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5736181"/>
        <w:docPartObj>
          <w:docPartGallery w:val="Cover Pages"/>
          <w:docPartUnique/>
        </w:docPartObj>
      </w:sdtPr>
      <w:sdtContent>
        <w:p w14:paraId="4BD61205" w14:textId="6AA7B86A" w:rsidR="00F65518" w:rsidRDefault="00F65518">
          <w:r>
            <w:rPr>
              <w:noProof/>
              <w:lang w:eastAsia="lv-LV"/>
            </w:rPr>
            <mc:AlternateContent>
              <mc:Choice Requires="wpg">
                <w:drawing>
                  <wp:anchor distT="0" distB="0" distL="114300" distR="114300" simplePos="0" relativeHeight="251659264" behindDoc="1" locked="0" layoutInCell="1" allowOverlap="1" wp14:anchorId="6E7E1664" wp14:editId="13AB00A0">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C40969" w14:textId="776691E5" w:rsidR="000E7810" w:rsidRDefault="000E7810">
                                  <w:pPr>
                                    <w:pStyle w:val="NoSpacing"/>
                                    <w:spacing w:before="120"/>
                                    <w:jc w:val="center"/>
                                    <w:rPr>
                                      <w:color w:val="FFFFFF" w:themeColor="background1"/>
                                    </w:rPr>
                                  </w:pPr>
                                </w:p>
                                <w:p w14:paraId="5DA9E253" w14:textId="5EA3336E" w:rsidR="000E7810" w:rsidRPr="00F65518" w:rsidRDefault="000E7810">
                                  <w:pPr>
                                    <w:pStyle w:val="NoSpacing"/>
                                    <w:spacing w:before="120"/>
                                    <w:jc w:val="center"/>
                                    <w:rPr>
                                      <w:b/>
                                      <w:color w:val="FFFFFF" w:themeColor="background1"/>
                                      <w:sz w:val="28"/>
                                    </w:rPr>
                                  </w:pPr>
                                  <w:r w:rsidRPr="00F65518">
                                    <w:rPr>
                                      <w:b/>
                                      <w:caps/>
                                      <w:color w:val="FFFFFF" w:themeColor="background1"/>
                                      <w:sz w:val="28"/>
                                    </w:rPr>
                                    <w:t>Rīga, 2015</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95C7A8B" w14:textId="71C13A7D" w:rsidR="000E7810" w:rsidRPr="00F65518" w:rsidRDefault="000E7810" w:rsidP="00F65518">
                                      <w:pPr>
                                        <w:pStyle w:val="NoSpacing"/>
                                        <w:ind w:firstLine="0"/>
                                        <w:jc w:val="center"/>
                                        <w:rPr>
                                          <w:rFonts w:asciiTheme="majorHAnsi" w:eastAsiaTheme="majorEastAsia" w:hAnsiTheme="majorHAnsi" w:cstheme="majorBidi"/>
                                          <w:caps/>
                                          <w:color w:val="4F81BD" w:themeColor="accent1"/>
                                          <w:sz w:val="80"/>
                                          <w:szCs w:val="80"/>
                                        </w:rPr>
                                      </w:pPr>
                                      <w:r w:rsidRPr="00F65518">
                                        <w:rPr>
                                          <w:rFonts w:asciiTheme="majorHAnsi" w:eastAsiaTheme="majorEastAsia" w:hAnsiTheme="majorHAnsi" w:cstheme="majorBidi"/>
                                          <w:caps/>
                                          <w:color w:val="4F81BD" w:themeColor="accent1"/>
                                          <w:sz w:val="88"/>
                                          <w:szCs w:val="88"/>
                                        </w:rPr>
                                        <w:t>Latvijas Vispārējās valdības budžeta plāna projekts 2016.gadam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7E1664"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7910;width:69430;height:492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14:paraId="4AC40969" w14:textId="776691E5" w:rsidR="000E7810" w:rsidRDefault="000E7810">
                            <w:pPr>
                              <w:pStyle w:val="NoSpacing"/>
                              <w:spacing w:before="120"/>
                              <w:jc w:val="center"/>
                              <w:rPr>
                                <w:color w:val="FFFFFF" w:themeColor="background1"/>
                              </w:rPr>
                            </w:pPr>
                          </w:p>
                          <w:p w14:paraId="5DA9E253" w14:textId="5EA3336E" w:rsidR="000E7810" w:rsidRPr="00F65518" w:rsidRDefault="000E7810">
                            <w:pPr>
                              <w:pStyle w:val="NoSpacing"/>
                              <w:spacing w:before="120"/>
                              <w:jc w:val="center"/>
                              <w:rPr>
                                <w:b/>
                                <w:color w:val="FFFFFF" w:themeColor="background1"/>
                                <w:sz w:val="28"/>
                              </w:rPr>
                            </w:pPr>
                            <w:r w:rsidRPr="00F65518">
                              <w:rPr>
                                <w:b/>
                                <w:caps/>
                                <w:color w:val="FFFFFF" w:themeColor="background1"/>
                                <w:sz w:val="28"/>
                              </w:rPr>
                              <w:t>Rīga, 2015</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95C7A8B" w14:textId="71C13A7D" w:rsidR="000E7810" w:rsidRPr="00F65518" w:rsidRDefault="000E7810" w:rsidP="00F65518">
                                <w:pPr>
                                  <w:pStyle w:val="NoSpacing"/>
                                  <w:ind w:firstLine="0"/>
                                  <w:jc w:val="center"/>
                                  <w:rPr>
                                    <w:rFonts w:asciiTheme="majorHAnsi" w:eastAsiaTheme="majorEastAsia" w:hAnsiTheme="majorHAnsi" w:cstheme="majorBidi"/>
                                    <w:caps/>
                                    <w:color w:val="4F81BD" w:themeColor="accent1"/>
                                    <w:sz w:val="80"/>
                                    <w:szCs w:val="80"/>
                                  </w:rPr>
                                </w:pPr>
                                <w:r w:rsidRPr="00F65518">
                                  <w:rPr>
                                    <w:rFonts w:asciiTheme="majorHAnsi" w:eastAsiaTheme="majorEastAsia" w:hAnsiTheme="majorHAnsi" w:cstheme="majorBidi"/>
                                    <w:caps/>
                                    <w:color w:val="4F81BD" w:themeColor="accent1"/>
                                    <w:sz w:val="88"/>
                                    <w:szCs w:val="88"/>
                                  </w:rPr>
                                  <w:t>Latvijas Vispārējās valdības budžeta plāna projekts 2016.gadam</w:t>
                                </w:r>
                              </w:p>
                            </w:sdtContent>
                          </w:sdt>
                        </w:txbxContent>
                      </v:textbox>
                    </v:shape>
                    <w10:wrap anchorx="page" anchory="page"/>
                  </v:group>
                </w:pict>
              </mc:Fallback>
            </mc:AlternateContent>
          </w:r>
        </w:p>
        <w:p w14:paraId="2E989082" w14:textId="77777777" w:rsidR="00F65518" w:rsidRDefault="00F65518" w:rsidP="00F65518">
          <w:pPr>
            <w:spacing w:after="0"/>
            <w:ind w:firstLine="0"/>
            <w:jc w:val="left"/>
          </w:pPr>
          <w:r>
            <w:br w:type="page"/>
          </w:r>
        </w:p>
      </w:sdtContent>
    </w:sdt>
    <w:sdt>
      <w:sdtPr>
        <w:rPr>
          <w:rFonts w:ascii="Times New Roman" w:eastAsia="Times New Roman" w:hAnsi="Times New Roman"/>
          <w:b w:val="0"/>
          <w:bCs w:val="0"/>
          <w:color w:val="auto"/>
          <w:sz w:val="24"/>
          <w:szCs w:val="20"/>
          <w:lang w:val="lv-LV" w:eastAsia="en-US"/>
        </w:rPr>
        <w:id w:val="1895851769"/>
        <w:docPartObj>
          <w:docPartGallery w:val="Table of Contents"/>
          <w:docPartUnique/>
        </w:docPartObj>
      </w:sdtPr>
      <w:sdtEndPr>
        <w:rPr>
          <w:noProof/>
        </w:rPr>
      </w:sdtEndPr>
      <w:sdtContent>
        <w:p w14:paraId="5A7AAFEA" w14:textId="48C499C6" w:rsidR="007369A9" w:rsidRPr="002131F7" w:rsidRDefault="007369A9" w:rsidP="00CD6580">
          <w:pPr>
            <w:pStyle w:val="TOCHeading"/>
            <w:spacing w:before="120" w:after="240"/>
            <w:rPr>
              <w:rFonts w:ascii="Times New Roman" w:eastAsia="Times New Roman" w:hAnsi="Times New Roman"/>
              <w:color w:val="18185E"/>
              <w:sz w:val="28"/>
              <w:lang w:val="x-none" w:eastAsia="x-none"/>
            </w:rPr>
          </w:pPr>
          <w:r w:rsidRPr="002131F7">
            <w:rPr>
              <w:rFonts w:ascii="Times New Roman" w:eastAsia="Times New Roman" w:hAnsi="Times New Roman"/>
              <w:color w:val="18185E"/>
              <w:sz w:val="28"/>
              <w:lang w:val="x-none" w:eastAsia="x-none"/>
            </w:rPr>
            <w:t>Saturs</w:t>
          </w:r>
        </w:p>
        <w:p w14:paraId="403604A6" w14:textId="77777777" w:rsidR="00CD6580" w:rsidRDefault="007369A9">
          <w:pPr>
            <w:pStyle w:val="TOC1"/>
            <w:rPr>
              <w:rFonts w:asciiTheme="minorHAnsi" w:eastAsiaTheme="minorEastAsia" w:hAnsiTheme="minorHAnsi" w:cstheme="minorBidi"/>
              <w:sz w:val="22"/>
              <w:szCs w:val="22"/>
              <w:lang w:eastAsia="lv-LV"/>
            </w:rPr>
          </w:pPr>
          <w:r>
            <w:fldChar w:fldCharType="begin"/>
          </w:r>
          <w:r>
            <w:instrText xml:space="preserve"> TOC \o "1-3" \h \z \u </w:instrText>
          </w:r>
          <w:r>
            <w:fldChar w:fldCharType="separate"/>
          </w:r>
          <w:hyperlink w:anchor="_Toc431197076" w:history="1">
            <w:r w:rsidR="00CD6580" w:rsidRPr="00E72B7F">
              <w:rPr>
                <w:rStyle w:val="Hyperlink"/>
              </w:rPr>
              <w:t>Ievads</w:t>
            </w:r>
            <w:r w:rsidR="00CD6580">
              <w:rPr>
                <w:webHidden/>
              </w:rPr>
              <w:tab/>
            </w:r>
            <w:r w:rsidR="00CD6580">
              <w:rPr>
                <w:webHidden/>
              </w:rPr>
              <w:fldChar w:fldCharType="begin"/>
            </w:r>
            <w:r w:rsidR="00CD6580">
              <w:rPr>
                <w:webHidden/>
              </w:rPr>
              <w:instrText xml:space="preserve"> PAGEREF _Toc431197076 \h </w:instrText>
            </w:r>
            <w:r w:rsidR="00CD6580">
              <w:rPr>
                <w:webHidden/>
              </w:rPr>
            </w:r>
            <w:r w:rsidR="00CD6580">
              <w:rPr>
                <w:webHidden/>
              </w:rPr>
              <w:fldChar w:fldCharType="separate"/>
            </w:r>
            <w:r w:rsidR="00D640F7">
              <w:rPr>
                <w:webHidden/>
              </w:rPr>
              <w:t>3</w:t>
            </w:r>
            <w:r w:rsidR="00CD6580">
              <w:rPr>
                <w:webHidden/>
              </w:rPr>
              <w:fldChar w:fldCharType="end"/>
            </w:r>
          </w:hyperlink>
        </w:p>
        <w:p w14:paraId="735D2BD1" w14:textId="5072F904" w:rsidR="00CD6580" w:rsidRDefault="004126AC">
          <w:pPr>
            <w:pStyle w:val="TOC1"/>
            <w:rPr>
              <w:rFonts w:asciiTheme="minorHAnsi" w:eastAsiaTheme="minorEastAsia" w:hAnsiTheme="minorHAnsi" w:cstheme="minorBidi"/>
              <w:sz w:val="22"/>
              <w:szCs w:val="22"/>
              <w:lang w:eastAsia="lv-LV"/>
            </w:rPr>
          </w:pPr>
          <w:hyperlink w:anchor="_Toc431197077" w:history="1">
            <w:r w:rsidR="00CD6580" w:rsidRPr="00E72B7F">
              <w:rPr>
                <w:rStyle w:val="Hyperlink"/>
              </w:rPr>
              <w:t>Makroekonomiskās attīstības scenārijs</w:t>
            </w:r>
            <w:r w:rsidR="00CD6580">
              <w:rPr>
                <w:webHidden/>
              </w:rPr>
              <w:tab/>
            </w:r>
            <w:r w:rsidR="00CD6580">
              <w:rPr>
                <w:webHidden/>
              </w:rPr>
              <w:fldChar w:fldCharType="begin"/>
            </w:r>
            <w:r w:rsidR="00CD6580">
              <w:rPr>
                <w:webHidden/>
              </w:rPr>
              <w:instrText xml:space="preserve"> PAGEREF _Toc431197077 \h </w:instrText>
            </w:r>
            <w:r w:rsidR="00CD6580">
              <w:rPr>
                <w:webHidden/>
              </w:rPr>
            </w:r>
            <w:r w:rsidR="00CD6580">
              <w:rPr>
                <w:webHidden/>
              </w:rPr>
              <w:fldChar w:fldCharType="separate"/>
            </w:r>
            <w:r w:rsidR="00D640F7">
              <w:rPr>
                <w:webHidden/>
              </w:rPr>
              <w:t>4</w:t>
            </w:r>
            <w:r w:rsidR="00CD6580">
              <w:rPr>
                <w:webHidden/>
              </w:rPr>
              <w:fldChar w:fldCharType="end"/>
            </w:r>
          </w:hyperlink>
        </w:p>
        <w:p w14:paraId="36212533" w14:textId="77777777" w:rsidR="00CD6580" w:rsidRDefault="004126AC" w:rsidP="00CD6580">
          <w:pPr>
            <w:pStyle w:val="TOC1"/>
            <w:rPr>
              <w:rFonts w:asciiTheme="minorHAnsi" w:eastAsiaTheme="minorEastAsia" w:hAnsiTheme="minorHAnsi" w:cstheme="minorBidi"/>
              <w:sz w:val="22"/>
              <w:szCs w:val="22"/>
              <w:lang w:eastAsia="lv-LV"/>
            </w:rPr>
          </w:pPr>
          <w:hyperlink w:anchor="_Toc431197083" w:history="1">
            <w:r w:rsidR="00CD6580" w:rsidRPr="00E72B7F">
              <w:rPr>
                <w:rStyle w:val="Hyperlink"/>
              </w:rPr>
              <w:t>Fiskālā stratēģija un strukturālās bilances mērķi</w:t>
            </w:r>
            <w:r w:rsidR="00CD6580">
              <w:rPr>
                <w:webHidden/>
              </w:rPr>
              <w:tab/>
            </w:r>
            <w:r w:rsidR="00CD6580">
              <w:rPr>
                <w:webHidden/>
              </w:rPr>
              <w:fldChar w:fldCharType="begin"/>
            </w:r>
            <w:r w:rsidR="00CD6580">
              <w:rPr>
                <w:webHidden/>
              </w:rPr>
              <w:instrText xml:space="preserve"> PAGEREF _Toc431197083 \h </w:instrText>
            </w:r>
            <w:r w:rsidR="00CD6580">
              <w:rPr>
                <w:webHidden/>
              </w:rPr>
            </w:r>
            <w:r w:rsidR="00CD6580">
              <w:rPr>
                <w:webHidden/>
              </w:rPr>
              <w:fldChar w:fldCharType="separate"/>
            </w:r>
            <w:r w:rsidR="00D640F7">
              <w:rPr>
                <w:webHidden/>
              </w:rPr>
              <w:t>8</w:t>
            </w:r>
            <w:r w:rsidR="00CD6580">
              <w:rPr>
                <w:webHidden/>
              </w:rPr>
              <w:fldChar w:fldCharType="end"/>
            </w:r>
          </w:hyperlink>
        </w:p>
        <w:p w14:paraId="2C7E8ED4" w14:textId="77777777" w:rsidR="00CD6580" w:rsidRDefault="004126AC" w:rsidP="00CD6580">
          <w:pPr>
            <w:pStyle w:val="TOC1"/>
            <w:rPr>
              <w:rFonts w:asciiTheme="minorHAnsi" w:eastAsiaTheme="minorEastAsia" w:hAnsiTheme="minorHAnsi" w:cstheme="minorBidi"/>
              <w:sz w:val="22"/>
              <w:szCs w:val="22"/>
              <w:lang w:eastAsia="lv-LV"/>
            </w:rPr>
          </w:pPr>
          <w:hyperlink w:anchor="_Toc431197103" w:history="1">
            <w:r w:rsidR="00CD6580" w:rsidRPr="00E72B7F">
              <w:rPr>
                <w:rStyle w:val="Hyperlink"/>
              </w:rPr>
              <w:t>Pielikums: Metodoloģiskie aspekti</w:t>
            </w:r>
            <w:r w:rsidR="00CD6580">
              <w:rPr>
                <w:webHidden/>
              </w:rPr>
              <w:tab/>
            </w:r>
            <w:r w:rsidR="00CD6580">
              <w:rPr>
                <w:webHidden/>
              </w:rPr>
              <w:fldChar w:fldCharType="begin"/>
            </w:r>
            <w:r w:rsidR="00CD6580">
              <w:rPr>
                <w:webHidden/>
              </w:rPr>
              <w:instrText xml:space="preserve"> PAGEREF _Toc431197103 \h </w:instrText>
            </w:r>
            <w:r w:rsidR="00CD6580">
              <w:rPr>
                <w:webHidden/>
              </w:rPr>
            </w:r>
            <w:r w:rsidR="00CD6580">
              <w:rPr>
                <w:webHidden/>
              </w:rPr>
              <w:fldChar w:fldCharType="separate"/>
            </w:r>
            <w:r w:rsidR="00D640F7">
              <w:rPr>
                <w:webHidden/>
              </w:rPr>
              <w:t>40</w:t>
            </w:r>
            <w:r w:rsidR="00CD6580">
              <w:rPr>
                <w:webHidden/>
              </w:rPr>
              <w:fldChar w:fldCharType="end"/>
            </w:r>
          </w:hyperlink>
        </w:p>
        <w:p w14:paraId="0E3A2905" w14:textId="77777777" w:rsidR="00CD6580" w:rsidRDefault="00CD6580">
          <w:pPr>
            <w:pStyle w:val="TOC1"/>
            <w:rPr>
              <w:rStyle w:val="Hyperlink"/>
            </w:rPr>
          </w:pPr>
        </w:p>
        <w:p w14:paraId="68445BA9" w14:textId="77777777" w:rsidR="00CD6580" w:rsidRDefault="00CD6580">
          <w:pPr>
            <w:pStyle w:val="TOC1"/>
            <w:rPr>
              <w:rStyle w:val="Hyperlink"/>
            </w:rPr>
          </w:pPr>
        </w:p>
        <w:p w14:paraId="6E0957DF" w14:textId="77777777" w:rsidR="00CD6580" w:rsidRPr="00CD6580" w:rsidRDefault="00CD6580" w:rsidP="00CD6580">
          <w:pPr>
            <w:rPr>
              <w:noProof/>
            </w:rPr>
          </w:pPr>
        </w:p>
        <w:p w14:paraId="217D611A" w14:textId="22B8A631" w:rsidR="00CD6580" w:rsidRPr="002131F7" w:rsidRDefault="00CD6580">
          <w:pPr>
            <w:pStyle w:val="TOC1"/>
            <w:rPr>
              <w:b/>
              <w:bCs/>
              <w:color w:val="18185E"/>
              <w:sz w:val="28"/>
              <w:szCs w:val="28"/>
              <w:lang w:val="x-none" w:eastAsia="x-none"/>
            </w:rPr>
          </w:pPr>
          <w:r w:rsidRPr="002131F7">
            <w:rPr>
              <w:b/>
              <w:bCs/>
              <w:color w:val="18185E"/>
              <w:sz w:val="28"/>
              <w:szCs w:val="28"/>
              <w:lang w:val="x-none" w:eastAsia="x-none"/>
            </w:rPr>
            <w:t>Tabulas</w:t>
          </w:r>
        </w:p>
        <w:p w14:paraId="6202DBD7" w14:textId="77777777" w:rsidR="00CD6580" w:rsidRDefault="00CD6580">
          <w:pPr>
            <w:pStyle w:val="TOC1"/>
            <w:rPr>
              <w:rStyle w:val="Hyperlink"/>
            </w:rPr>
          </w:pPr>
        </w:p>
        <w:p w14:paraId="5866F71F" w14:textId="77777777" w:rsidR="00CD6580" w:rsidRDefault="004126AC">
          <w:pPr>
            <w:pStyle w:val="TOC1"/>
            <w:rPr>
              <w:rFonts w:asciiTheme="minorHAnsi" w:eastAsiaTheme="minorEastAsia" w:hAnsiTheme="minorHAnsi" w:cstheme="minorBidi"/>
              <w:sz w:val="22"/>
              <w:szCs w:val="22"/>
              <w:lang w:eastAsia="lv-LV"/>
            </w:rPr>
          </w:pPr>
          <w:hyperlink w:anchor="_Toc431197078" w:history="1">
            <w:r w:rsidR="00CD6580" w:rsidRPr="00E72B7F">
              <w:rPr>
                <w:rStyle w:val="Hyperlink"/>
              </w:rPr>
              <w:t>Tabula 0.i). Ārējās vides pamata pieņēmumi</w:t>
            </w:r>
            <w:r w:rsidR="00CD6580">
              <w:rPr>
                <w:webHidden/>
              </w:rPr>
              <w:tab/>
            </w:r>
            <w:r w:rsidR="00CD6580">
              <w:rPr>
                <w:webHidden/>
              </w:rPr>
              <w:fldChar w:fldCharType="begin"/>
            </w:r>
            <w:r w:rsidR="00CD6580">
              <w:rPr>
                <w:webHidden/>
              </w:rPr>
              <w:instrText xml:space="preserve"> PAGEREF _Toc431197078 \h </w:instrText>
            </w:r>
            <w:r w:rsidR="00CD6580">
              <w:rPr>
                <w:webHidden/>
              </w:rPr>
            </w:r>
            <w:r w:rsidR="00CD6580">
              <w:rPr>
                <w:webHidden/>
              </w:rPr>
              <w:fldChar w:fldCharType="separate"/>
            </w:r>
            <w:r w:rsidR="00D640F7">
              <w:rPr>
                <w:webHidden/>
              </w:rPr>
              <w:t>5</w:t>
            </w:r>
            <w:r w:rsidR="00CD6580">
              <w:rPr>
                <w:webHidden/>
              </w:rPr>
              <w:fldChar w:fldCharType="end"/>
            </w:r>
          </w:hyperlink>
        </w:p>
        <w:p w14:paraId="01234665" w14:textId="77777777" w:rsidR="00CD6580" w:rsidRDefault="004126AC">
          <w:pPr>
            <w:pStyle w:val="TOC1"/>
            <w:rPr>
              <w:rFonts w:asciiTheme="minorHAnsi" w:eastAsiaTheme="minorEastAsia" w:hAnsiTheme="minorHAnsi" w:cstheme="minorBidi"/>
              <w:sz w:val="22"/>
              <w:szCs w:val="22"/>
              <w:lang w:eastAsia="lv-LV"/>
            </w:rPr>
          </w:pPr>
          <w:hyperlink w:anchor="_Toc431197079" w:history="1">
            <w:r w:rsidR="00CD6580" w:rsidRPr="00E72B7F">
              <w:rPr>
                <w:rStyle w:val="Hyperlink"/>
              </w:rPr>
              <w:t>Tabula 1a: Izaugsme un ar to saistītie faktori</w:t>
            </w:r>
            <w:r w:rsidR="00CD6580">
              <w:rPr>
                <w:webHidden/>
              </w:rPr>
              <w:tab/>
            </w:r>
            <w:r w:rsidR="00CD6580">
              <w:rPr>
                <w:webHidden/>
              </w:rPr>
              <w:fldChar w:fldCharType="begin"/>
            </w:r>
            <w:r w:rsidR="00CD6580">
              <w:rPr>
                <w:webHidden/>
              </w:rPr>
              <w:instrText xml:space="preserve"> PAGEREF _Toc431197079 \h </w:instrText>
            </w:r>
            <w:r w:rsidR="00CD6580">
              <w:rPr>
                <w:webHidden/>
              </w:rPr>
            </w:r>
            <w:r w:rsidR="00CD6580">
              <w:rPr>
                <w:webHidden/>
              </w:rPr>
              <w:fldChar w:fldCharType="separate"/>
            </w:r>
            <w:r w:rsidR="00D640F7">
              <w:rPr>
                <w:webHidden/>
              </w:rPr>
              <w:t>6</w:t>
            </w:r>
            <w:r w:rsidR="00CD6580">
              <w:rPr>
                <w:webHidden/>
              </w:rPr>
              <w:fldChar w:fldCharType="end"/>
            </w:r>
          </w:hyperlink>
        </w:p>
        <w:p w14:paraId="415033E8" w14:textId="77777777" w:rsidR="00CD6580" w:rsidRDefault="004126AC">
          <w:pPr>
            <w:pStyle w:val="TOC1"/>
            <w:rPr>
              <w:rFonts w:asciiTheme="minorHAnsi" w:eastAsiaTheme="minorEastAsia" w:hAnsiTheme="minorHAnsi" w:cstheme="minorBidi"/>
              <w:sz w:val="22"/>
              <w:szCs w:val="22"/>
              <w:lang w:eastAsia="lv-LV"/>
            </w:rPr>
          </w:pPr>
          <w:hyperlink w:anchor="_Toc431197080" w:history="1">
            <w:r w:rsidR="00CD6580" w:rsidRPr="00E72B7F">
              <w:rPr>
                <w:rStyle w:val="Hyperlink"/>
              </w:rPr>
              <w:t>Tabula 1b: Patēriņa cenu izmaiņas</w:t>
            </w:r>
            <w:r w:rsidR="00CD6580">
              <w:rPr>
                <w:webHidden/>
              </w:rPr>
              <w:tab/>
            </w:r>
            <w:r w:rsidR="00CD6580">
              <w:rPr>
                <w:webHidden/>
              </w:rPr>
              <w:fldChar w:fldCharType="begin"/>
            </w:r>
            <w:r w:rsidR="00CD6580">
              <w:rPr>
                <w:webHidden/>
              </w:rPr>
              <w:instrText xml:space="preserve"> PAGEREF _Toc431197080 \h </w:instrText>
            </w:r>
            <w:r w:rsidR="00CD6580">
              <w:rPr>
                <w:webHidden/>
              </w:rPr>
            </w:r>
            <w:r w:rsidR="00CD6580">
              <w:rPr>
                <w:webHidden/>
              </w:rPr>
              <w:fldChar w:fldCharType="separate"/>
            </w:r>
            <w:r w:rsidR="00D640F7">
              <w:rPr>
                <w:webHidden/>
              </w:rPr>
              <w:t>7</w:t>
            </w:r>
            <w:r w:rsidR="00CD6580">
              <w:rPr>
                <w:webHidden/>
              </w:rPr>
              <w:fldChar w:fldCharType="end"/>
            </w:r>
          </w:hyperlink>
        </w:p>
        <w:p w14:paraId="3CE4335C" w14:textId="77777777" w:rsidR="00CD6580" w:rsidRDefault="004126AC">
          <w:pPr>
            <w:pStyle w:val="TOC1"/>
            <w:rPr>
              <w:rFonts w:asciiTheme="minorHAnsi" w:eastAsiaTheme="minorEastAsia" w:hAnsiTheme="minorHAnsi" w:cstheme="minorBidi"/>
              <w:sz w:val="22"/>
              <w:szCs w:val="22"/>
              <w:lang w:eastAsia="lv-LV"/>
            </w:rPr>
          </w:pPr>
          <w:hyperlink w:anchor="_Toc431197081" w:history="1">
            <w:r w:rsidR="00CD6580" w:rsidRPr="00E72B7F">
              <w:rPr>
                <w:rStyle w:val="Hyperlink"/>
              </w:rPr>
              <w:t>Tabula 1c: Darba tirgus attīstība</w:t>
            </w:r>
            <w:r w:rsidR="00CD6580">
              <w:rPr>
                <w:webHidden/>
              </w:rPr>
              <w:tab/>
            </w:r>
            <w:r w:rsidR="00CD6580">
              <w:rPr>
                <w:webHidden/>
              </w:rPr>
              <w:fldChar w:fldCharType="begin"/>
            </w:r>
            <w:r w:rsidR="00CD6580">
              <w:rPr>
                <w:webHidden/>
              </w:rPr>
              <w:instrText xml:space="preserve"> PAGEREF _Toc431197081 \h </w:instrText>
            </w:r>
            <w:r w:rsidR="00CD6580">
              <w:rPr>
                <w:webHidden/>
              </w:rPr>
            </w:r>
            <w:r w:rsidR="00CD6580">
              <w:rPr>
                <w:webHidden/>
              </w:rPr>
              <w:fldChar w:fldCharType="separate"/>
            </w:r>
            <w:r w:rsidR="00D640F7">
              <w:rPr>
                <w:webHidden/>
              </w:rPr>
              <w:t>7</w:t>
            </w:r>
            <w:r w:rsidR="00CD6580">
              <w:rPr>
                <w:webHidden/>
              </w:rPr>
              <w:fldChar w:fldCharType="end"/>
            </w:r>
          </w:hyperlink>
        </w:p>
        <w:p w14:paraId="19931AD4" w14:textId="77777777" w:rsidR="00CD6580" w:rsidRDefault="004126AC">
          <w:pPr>
            <w:pStyle w:val="TOC1"/>
            <w:rPr>
              <w:rFonts w:asciiTheme="minorHAnsi" w:eastAsiaTheme="minorEastAsia" w:hAnsiTheme="minorHAnsi" w:cstheme="minorBidi"/>
              <w:sz w:val="22"/>
              <w:szCs w:val="22"/>
              <w:lang w:eastAsia="lv-LV"/>
            </w:rPr>
          </w:pPr>
          <w:hyperlink w:anchor="_Toc431197082" w:history="1">
            <w:r w:rsidR="00CD6580" w:rsidRPr="00E72B7F">
              <w:rPr>
                <w:rStyle w:val="Hyperlink"/>
              </w:rPr>
              <w:t>Tabula 1d: Sektoru bilances</w:t>
            </w:r>
            <w:r w:rsidR="00CD6580">
              <w:rPr>
                <w:webHidden/>
              </w:rPr>
              <w:tab/>
            </w:r>
            <w:r w:rsidR="00CD6580">
              <w:rPr>
                <w:webHidden/>
              </w:rPr>
              <w:fldChar w:fldCharType="begin"/>
            </w:r>
            <w:r w:rsidR="00CD6580">
              <w:rPr>
                <w:webHidden/>
              </w:rPr>
              <w:instrText xml:space="preserve"> PAGEREF _Toc431197082 \h </w:instrText>
            </w:r>
            <w:r w:rsidR="00CD6580">
              <w:rPr>
                <w:webHidden/>
              </w:rPr>
            </w:r>
            <w:r w:rsidR="00CD6580">
              <w:rPr>
                <w:webHidden/>
              </w:rPr>
              <w:fldChar w:fldCharType="separate"/>
            </w:r>
            <w:r w:rsidR="00D640F7">
              <w:rPr>
                <w:webHidden/>
              </w:rPr>
              <w:t>7</w:t>
            </w:r>
            <w:r w:rsidR="00CD6580">
              <w:rPr>
                <w:webHidden/>
              </w:rPr>
              <w:fldChar w:fldCharType="end"/>
            </w:r>
          </w:hyperlink>
        </w:p>
        <w:p w14:paraId="2AE7FD01" w14:textId="77777777" w:rsidR="00CD6580" w:rsidRDefault="004126AC">
          <w:pPr>
            <w:pStyle w:val="TOC1"/>
            <w:rPr>
              <w:rFonts w:asciiTheme="minorHAnsi" w:eastAsiaTheme="minorEastAsia" w:hAnsiTheme="minorHAnsi" w:cstheme="minorBidi"/>
              <w:sz w:val="22"/>
              <w:szCs w:val="22"/>
              <w:lang w:eastAsia="lv-LV"/>
            </w:rPr>
          </w:pPr>
          <w:hyperlink w:anchor="_Toc431197084" w:history="1">
            <w:r w:rsidR="00CD6580" w:rsidRPr="00E72B7F">
              <w:rPr>
                <w:rStyle w:val="Hyperlink"/>
              </w:rPr>
              <w:t>Tabula 2.a: Vispārējās valdības budžeta mērķi sadalījumā pa apakšsektoriem</w:t>
            </w:r>
            <w:r w:rsidR="00CD6580">
              <w:rPr>
                <w:webHidden/>
              </w:rPr>
              <w:tab/>
            </w:r>
            <w:r w:rsidR="00CD6580">
              <w:rPr>
                <w:webHidden/>
              </w:rPr>
              <w:fldChar w:fldCharType="begin"/>
            </w:r>
            <w:r w:rsidR="00CD6580">
              <w:rPr>
                <w:webHidden/>
              </w:rPr>
              <w:instrText xml:space="preserve"> PAGEREF _Toc431197084 \h </w:instrText>
            </w:r>
            <w:r w:rsidR="00CD6580">
              <w:rPr>
                <w:webHidden/>
              </w:rPr>
            </w:r>
            <w:r w:rsidR="00CD6580">
              <w:rPr>
                <w:webHidden/>
              </w:rPr>
              <w:fldChar w:fldCharType="separate"/>
            </w:r>
            <w:r w:rsidR="00D640F7">
              <w:rPr>
                <w:webHidden/>
              </w:rPr>
              <w:t>10</w:t>
            </w:r>
            <w:r w:rsidR="00CD6580">
              <w:rPr>
                <w:webHidden/>
              </w:rPr>
              <w:fldChar w:fldCharType="end"/>
            </w:r>
          </w:hyperlink>
        </w:p>
        <w:p w14:paraId="20E1DD24" w14:textId="77777777" w:rsidR="00CD6580" w:rsidRDefault="004126AC">
          <w:pPr>
            <w:pStyle w:val="TOC1"/>
            <w:rPr>
              <w:rFonts w:asciiTheme="minorHAnsi" w:eastAsiaTheme="minorEastAsia" w:hAnsiTheme="minorHAnsi" w:cstheme="minorBidi"/>
              <w:sz w:val="22"/>
              <w:szCs w:val="22"/>
              <w:lang w:eastAsia="lv-LV"/>
            </w:rPr>
          </w:pPr>
          <w:hyperlink w:anchor="_Toc431197085" w:history="1">
            <w:r w:rsidR="00CD6580" w:rsidRPr="00E72B7F">
              <w:rPr>
                <w:rStyle w:val="Hyperlink"/>
              </w:rPr>
              <w:t>Tabula 2.b: Vispārējās valdības parāda attīstība 2015.-2016.gadā</w:t>
            </w:r>
            <w:r w:rsidR="00CD6580">
              <w:rPr>
                <w:webHidden/>
              </w:rPr>
              <w:tab/>
            </w:r>
            <w:r w:rsidR="00CD6580">
              <w:rPr>
                <w:webHidden/>
              </w:rPr>
              <w:fldChar w:fldCharType="begin"/>
            </w:r>
            <w:r w:rsidR="00CD6580">
              <w:rPr>
                <w:webHidden/>
              </w:rPr>
              <w:instrText xml:space="preserve"> PAGEREF _Toc431197085 \h </w:instrText>
            </w:r>
            <w:r w:rsidR="00CD6580">
              <w:rPr>
                <w:webHidden/>
              </w:rPr>
            </w:r>
            <w:r w:rsidR="00CD6580">
              <w:rPr>
                <w:webHidden/>
              </w:rPr>
              <w:fldChar w:fldCharType="separate"/>
            </w:r>
            <w:r w:rsidR="00D640F7">
              <w:rPr>
                <w:webHidden/>
              </w:rPr>
              <w:t>11</w:t>
            </w:r>
            <w:r w:rsidR="00CD6580">
              <w:rPr>
                <w:webHidden/>
              </w:rPr>
              <w:fldChar w:fldCharType="end"/>
            </w:r>
          </w:hyperlink>
        </w:p>
        <w:p w14:paraId="13ED7663" w14:textId="77777777" w:rsidR="00CD6580" w:rsidRDefault="004126AC">
          <w:pPr>
            <w:pStyle w:val="TOC1"/>
            <w:rPr>
              <w:rFonts w:asciiTheme="minorHAnsi" w:eastAsiaTheme="minorEastAsia" w:hAnsiTheme="minorHAnsi" w:cstheme="minorBidi"/>
              <w:sz w:val="22"/>
              <w:szCs w:val="22"/>
              <w:lang w:eastAsia="lv-LV"/>
            </w:rPr>
          </w:pPr>
          <w:hyperlink w:anchor="_Toc431197086" w:history="1">
            <w:r w:rsidR="00CD6580" w:rsidRPr="00E72B7F">
              <w:rPr>
                <w:rStyle w:val="Hyperlink"/>
              </w:rPr>
              <w:t>Tabula 2.c: Netiešās saistības</w:t>
            </w:r>
            <w:r w:rsidR="00CD6580">
              <w:rPr>
                <w:webHidden/>
              </w:rPr>
              <w:tab/>
            </w:r>
            <w:r w:rsidR="00CD6580">
              <w:rPr>
                <w:webHidden/>
              </w:rPr>
              <w:fldChar w:fldCharType="begin"/>
            </w:r>
            <w:r w:rsidR="00CD6580">
              <w:rPr>
                <w:webHidden/>
              </w:rPr>
              <w:instrText xml:space="preserve"> PAGEREF _Toc431197086 \h </w:instrText>
            </w:r>
            <w:r w:rsidR="00CD6580">
              <w:rPr>
                <w:webHidden/>
              </w:rPr>
            </w:r>
            <w:r w:rsidR="00CD6580">
              <w:rPr>
                <w:webHidden/>
              </w:rPr>
              <w:fldChar w:fldCharType="separate"/>
            </w:r>
            <w:r w:rsidR="00D640F7">
              <w:rPr>
                <w:webHidden/>
              </w:rPr>
              <w:t>11</w:t>
            </w:r>
            <w:r w:rsidR="00CD6580">
              <w:rPr>
                <w:webHidden/>
              </w:rPr>
              <w:fldChar w:fldCharType="end"/>
            </w:r>
          </w:hyperlink>
        </w:p>
        <w:p w14:paraId="17E3724F" w14:textId="77777777" w:rsidR="00CD6580" w:rsidRDefault="004126AC">
          <w:pPr>
            <w:pStyle w:val="TOC1"/>
            <w:rPr>
              <w:rFonts w:asciiTheme="minorHAnsi" w:eastAsiaTheme="minorEastAsia" w:hAnsiTheme="minorHAnsi" w:cstheme="minorBidi"/>
              <w:sz w:val="22"/>
              <w:szCs w:val="22"/>
              <w:lang w:eastAsia="lv-LV"/>
            </w:rPr>
          </w:pPr>
          <w:hyperlink w:anchor="_Toc431197087" w:history="1">
            <w:r w:rsidR="00CD6580" w:rsidRPr="00E72B7F">
              <w:rPr>
                <w:rStyle w:val="Hyperlink"/>
              </w:rPr>
              <w:t>Tabula 3: Vispārējās valdības izdevumu un ieņēmumu prognozes pie nemainīgas politikas sadalījumā pa galvenajām komponentēm</w:t>
            </w:r>
            <w:r w:rsidR="00CD6580">
              <w:rPr>
                <w:webHidden/>
              </w:rPr>
              <w:tab/>
            </w:r>
            <w:r w:rsidR="00CD6580">
              <w:rPr>
                <w:webHidden/>
              </w:rPr>
              <w:fldChar w:fldCharType="begin"/>
            </w:r>
            <w:r w:rsidR="00CD6580">
              <w:rPr>
                <w:webHidden/>
              </w:rPr>
              <w:instrText xml:space="preserve"> PAGEREF _Toc431197087 \h </w:instrText>
            </w:r>
            <w:r w:rsidR="00CD6580">
              <w:rPr>
                <w:webHidden/>
              </w:rPr>
            </w:r>
            <w:r w:rsidR="00CD6580">
              <w:rPr>
                <w:webHidden/>
              </w:rPr>
              <w:fldChar w:fldCharType="separate"/>
            </w:r>
            <w:r w:rsidR="00D640F7">
              <w:rPr>
                <w:webHidden/>
              </w:rPr>
              <w:t>12</w:t>
            </w:r>
            <w:r w:rsidR="00CD6580">
              <w:rPr>
                <w:webHidden/>
              </w:rPr>
              <w:fldChar w:fldCharType="end"/>
            </w:r>
          </w:hyperlink>
        </w:p>
        <w:p w14:paraId="0BA4F8F9" w14:textId="77777777" w:rsidR="00CD6580" w:rsidRDefault="004126AC">
          <w:pPr>
            <w:pStyle w:val="TOC1"/>
            <w:rPr>
              <w:rFonts w:asciiTheme="minorHAnsi" w:eastAsiaTheme="minorEastAsia" w:hAnsiTheme="minorHAnsi" w:cstheme="minorBidi"/>
              <w:sz w:val="22"/>
              <w:szCs w:val="22"/>
              <w:lang w:eastAsia="lv-LV"/>
            </w:rPr>
          </w:pPr>
          <w:hyperlink w:anchor="_Toc431197088" w:history="1">
            <w:r w:rsidR="00CD6580" w:rsidRPr="00E72B7F">
              <w:rPr>
                <w:rStyle w:val="Hyperlink"/>
              </w:rPr>
              <w:t>Tabula 4.a: Vispārējās valdības izdevumu un ieņēmumu mērķi sadalījumā pa galvenajām komponentēm</w:t>
            </w:r>
            <w:r w:rsidR="00CD6580">
              <w:rPr>
                <w:webHidden/>
              </w:rPr>
              <w:tab/>
            </w:r>
            <w:r w:rsidR="00CD6580">
              <w:rPr>
                <w:webHidden/>
              </w:rPr>
              <w:fldChar w:fldCharType="begin"/>
            </w:r>
            <w:r w:rsidR="00CD6580">
              <w:rPr>
                <w:webHidden/>
              </w:rPr>
              <w:instrText xml:space="preserve"> PAGEREF _Toc431197088 \h </w:instrText>
            </w:r>
            <w:r w:rsidR="00CD6580">
              <w:rPr>
                <w:webHidden/>
              </w:rPr>
            </w:r>
            <w:r w:rsidR="00CD6580">
              <w:rPr>
                <w:webHidden/>
              </w:rPr>
              <w:fldChar w:fldCharType="separate"/>
            </w:r>
            <w:r w:rsidR="00D640F7">
              <w:rPr>
                <w:webHidden/>
              </w:rPr>
              <w:t>13</w:t>
            </w:r>
            <w:r w:rsidR="00CD6580">
              <w:rPr>
                <w:webHidden/>
              </w:rPr>
              <w:fldChar w:fldCharType="end"/>
            </w:r>
          </w:hyperlink>
        </w:p>
        <w:p w14:paraId="52F02BBE" w14:textId="77777777" w:rsidR="00CD6580" w:rsidRDefault="004126AC">
          <w:pPr>
            <w:pStyle w:val="TOC1"/>
            <w:rPr>
              <w:rFonts w:asciiTheme="minorHAnsi" w:eastAsiaTheme="minorEastAsia" w:hAnsiTheme="minorHAnsi" w:cstheme="minorBidi"/>
              <w:sz w:val="22"/>
              <w:szCs w:val="22"/>
              <w:lang w:eastAsia="lv-LV"/>
            </w:rPr>
          </w:pPr>
          <w:hyperlink w:anchor="_Toc431197089" w:history="1">
            <w:r w:rsidR="00CD6580" w:rsidRPr="00E72B7F">
              <w:rPr>
                <w:rStyle w:val="Hyperlink"/>
              </w:rPr>
              <w:t>Tabula 4.b: Izdevumi, kas tiek izslēgti no izdevumu kritērija</w:t>
            </w:r>
            <w:r w:rsidR="00CD6580">
              <w:rPr>
                <w:webHidden/>
              </w:rPr>
              <w:tab/>
            </w:r>
            <w:r w:rsidR="00CD6580">
              <w:rPr>
                <w:webHidden/>
              </w:rPr>
              <w:fldChar w:fldCharType="begin"/>
            </w:r>
            <w:r w:rsidR="00CD6580">
              <w:rPr>
                <w:webHidden/>
              </w:rPr>
              <w:instrText xml:space="preserve"> PAGEREF _Toc431197089 \h </w:instrText>
            </w:r>
            <w:r w:rsidR="00CD6580">
              <w:rPr>
                <w:webHidden/>
              </w:rPr>
            </w:r>
            <w:r w:rsidR="00CD6580">
              <w:rPr>
                <w:webHidden/>
              </w:rPr>
              <w:fldChar w:fldCharType="separate"/>
            </w:r>
            <w:r w:rsidR="00D640F7">
              <w:rPr>
                <w:webHidden/>
              </w:rPr>
              <w:t>14</w:t>
            </w:r>
            <w:r w:rsidR="00CD6580">
              <w:rPr>
                <w:webHidden/>
              </w:rPr>
              <w:fldChar w:fldCharType="end"/>
            </w:r>
          </w:hyperlink>
        </w:p>
        <w:p w14:paraId="62CAF635" w14:textId="77777777" w:rsidR="00CD6580" w:rsidRDefault="004126AC">
          <w:pPr>
            <w:pStyle w:val="TOC1"/>
            <w:rPr>
              <w:rFonts w:asciiTheme="minorHAnsi" w:eastAsiaTheme="minorEastAsia" w:hAnsiTheme="minorHAnsi" w:cstheme="minorBidi"/>
              <w:sz w:val="22"/>
              <w:szCs w:val="22"/>
              <w:lang w:eastAsia="lv-LV"/>
            </w:rPr>
          </w:pPr>
          <w:hyperlink w:anchor="_Toc431197090" w:history="1">
            <w:r w:rsidR="00CD6580" w:rsidRPr="00E72B7F">
              <w:rPr>
                <w:rStyle w:val="Hyperlink"/>
              </w:rPr>
              <w:t>Tabula 4.c Vispārējās valdības izdevumi funkciju sadalījumā</w:t>
            </w:r>
            <w:r w:rsidR="00CD6580">
              <w:rPr>
                <w:webHidden/>
              </w:rPr>
              <w:tab/>
            </w:r>
            <w:r w:rsidR="00CD6580">
              <w:rPr>
                <w:webHidden/>
              </w:rPr>
              <w:fldChar w:fldCharType="begin"/>
            </w:r>
            <w:r w:rsidR="00CD6580">
              <w:rPr>
                <w:webHidden/>
              </w:rPr>
              <w:instrText xml:space="preserve"> PAGEREF _Toc431197090 \h </w:instrText>
            </w:r>
            <w:r w:rsidR="00CD6580">
              <w:rPr>
                <w:webHidden/>
              </w:rPr>
            </w:r>
            <w:r w:rsidR="00CD6580">
              <w:rPr>
                <w:webHidden/>
              </w:rPr>
              <w:fldChar w:fldCharType="separate"/>
            </w:r>
            <w:r w:rsidR="00D640F7">
              <w:rPr>
                <w:webHidden/>
              </w:rPr>
              <w:t>14</w:t>
            </w:r>
            <w:r w:rsidR="00CD6580">
              <w:rPr>
                <w:webHidden/>
              </w:rPr>
              <w:fldChar w:fldCharType="end"/>
            </w:r>
          </w:hyperlink>
        </w:p>
        <w:p w14:paraId="1F543575" w14:textId="77777777" w:rsidR="00CD6580" w:rsidRDefault="004126AC">
          <w:pPr>
            <w:pStyle w:val="TOC1"/>
            <w:rPr>
              <w:rFonts w:asciiTheme="minorHAnsi" w:eastAsiaTheme="minorEastAsia" w:hAnsiTheme="minorHAnsi" w:cstheme="minorBidi"/>
              <w:sz w:val="22"/>
              <w:szCs w:val="22"/>
              <w:lang w:eastAsia="lv-LV"/>
            </w:rPr>
          </w:pPr>
          <w:hyperlink w:anchor="_Toc431197091" w:history="1">
            <w:r w:rsidR="00CD6580" w:rsidRPr="00E72B7F">
              <w:rPr>
                <w:rStyle w:val="Hyperlink"/>
              </w:rPr>
              <w:t>4.c.i) Vispārējās valdības izdevumi izglītībai, veselības aprūpei un nodarbinātībai</w:t>
            </w:r>
            <w:r w:rsidR="00CD6580">
              <w:rPr>
                <w:webHidden/>
              </w:rPr>
              <w:tab/>
            </w:r>
            <w:r w:rsidR="00CD6580">
              <w:rPr>
                <w:webHidden/>
              </w:rPr>
              <w:fldChar w:fldCharType="begin"/>
            </w:r>
            <w:r w:rsidR="00CD6580">
              <w:rPr>
                <w:webHidden/>
              </w:rPr>
              <w:instrText xml:space="preserve"> PAGEREF _Toc431197091 \h </w:instrText>
            </w:r>
            <w:r w:rsidR="00CD6580">
              <w:rPr>
                <w:webHidden/>
              </w:rPr>
            </w:r>
            <w:r w:rsidR="00CD6580">
              <w:rPr>
                <w:webHidden/>
              </w:rPr>
              <w:fldChar w:fldCharType="separate"/>
            </w:r>
            <w:r w:rsidR="00D640F7">
              <w:rPr>
                <w:webHidden/>
              </w:rPr>
              <w:t>14</w:t>
            </w:r>
            <w:r w:rsidR="00CD6580">
              <w:rPr>
                <w:webHidden/>
              </w:rPr>
              <w:fldChar w:fldCharType="end"/>
            </w:r>
          </w:hyperlink>
        </w:p>
        <w:p w14:paraId="7C939A0C" w14:textId="77777777" w:rsidR="00CD6580" w:rsidRDefault="004126AC">
          <w:pPr>
            <w:pStyle w:val="TOC1"/>
            <w:rPr>
              <w:rFonts w:asciiTheme="minorHAnsi" w:eastAsiaTheme="minorEastAsia" w:hAnsiTheme="minorHAnsi" w:cstheme="minorBidi"/>
              <w:sz w:val="22"/>
              <w:szCs w:val="22"/>
              <w:lang w:eastAsia="lv-LV"/>
            </w:rPr>
          </w:pPr>
          <w:hyperlink w:anchor="_Toc431197092" w:history="1">
            <w:r w:rsidR="00CD6580" w:rsidRPr="00E72B7F">
              <w:rPr>
                <w:rStyle w:val="Hyperlink"/>
              </w:rPr>
              <w:t>4.c.ii) Vispārējās valdības izdevumi funkciju sadalījumā</w:t>
            </w:r>
            <w:r w:rsidR="00CD6580">
              <w:rPr>
                <w:webHidden/>
              </w:rPr>
              <w:tab/>
            </w:r>
            <w:r w:rsidR="00CD6580">
              <w:rPr>
                <w:webHidden/>
              </w:rPr>
              <w:fldChar w:fldCharType="begin"/>
            </w:r>
            <w:r w:rsidR="00CD6580">
              <w:rPr>
                <w:webHidden/>
              </w:rPr>
              <w:instrText xml:space="preserve"> PAGEREF _Toc431197092 \h </w:instrText>
            </w:r>
            <w:r w:rsidR="00CD6580">
              <w:rPr>
                <w:webHidden/>
              </w:rPr>
            </w:r>
            <w:r w:rsidR="00CD6580">
              <w:rPr>
                <w:webHidden/>
              </w:rPr>
              <w:fldChar w:fldCharType="separate"/>
            </w:r>
            <w:r w:rsidR="00D640F7">
              <w:rPr>
                <w:webHidden/>
              </w:rPr>
              <w:t>14</w:t>
            </w:r>
            <w:r w:rsidR="00CD6580">
              <w:rPr>
                <w:webHidden/>
              </w:rPr>
              <w:fldChar w:fldCharType="end"/>
            </w:r>
          </w:hyperlink>
        </w:p>
        <w:p w14:paraId="4589C8AD" w14:textId="77777777" w:rsidR="00CD6580" w:rsidRDefault="004126AC">
          <w:pPr>
            <w:pStyle w:val="TOC1"/>
            <w:rPr>
              <w:rFonts w:asciiTheme="minorHAnsi" w:eastAsiaTheme="minorEastAsia" w:hAnsiTheme="minorHAnsi" w:cstheme="minorBidi"/>
              <w:sz w:val="22"/>
              <w:szCs w:val="22"/>
              <w:lang w:eastAsia="lv-LV"/>
            </w:rPr>
          </w:pPr>
          <w:hyperlink w:anchor="_Toc431197093" w:history="1">
            <w:r w:rsidR="00CD6580" w:rsidRPr="00E72B7F">
              <w:rPr>
                <w:rStyle w:val="Hyperlink"/>
              </w:rPr>
              <w:t>Tabula 5:  Diskrecionāro pasākumu apraksts, kas iekļauti budžeta projektā</w:t>
            </w:r>
            <w:r w:rsidR="00CD6580">
              <w:rPr>
                <w:webHidden/>
              </w:rPr>
              <w:tab/>
            </w:r>
            <w:r w:rsidR="00CD6580">
              <w:rPr>
                <w:webHidden/>
              </w:rPr>
              <w:fldChar w:fldCharType="begin"/>
            </w:r>
            <w:r w:rsidR="00CD6580">
              <w:rPr>
                <w:webHidden/>
              </w:rPr>
              <w:instrText xml:space="preserve"> PAGEREF _Toc431197093 \h </w:instrText>
            </w:r>
            <w:r w:rsidR="00CD6580">
              <w:rPr>
                <w:webHidden/>
              </w:rPr>
            </w:r>
            <w:r w:rsidR="00CD6580">
              <w:rPr>
                <w:webHidden/>
              </w:rPr>
              <w:fldChar w:fldCharType="separate"/>
            </w:r>
            <w:r w:rsidR="00D640F7">
              <w:rPr>
                <w:webHidden/>
              </w:rPr>
              <w:t>16</w:t>
            </w:r>
            <w:r w:rsidR="00CD6580">
              <w:rPr>
                <w:webHidden/>
              </w:rPr>
              <w:fldChar w:fldCharType="end"/>
            </w:r>
          </w:hyperlink>
        </w:p>
        <w:p w14:paraId="51E47AAD" w14:textId="77777777" w:rsidR="00CD6580" w:rsidRDefault="004126AC">
          <w:pPr>
            <w:pStyle w:val="TOC1"/>
            <w:rPr>
              <w:rFonts w:asciiTheme="minorHAnsi" w:eastAsiaTheme="minorEastAsia" w:hAnsiTheme="minorHAnsi" w:cstheme="minorBidi"/>
              <w:sz w:val="22"/>
              <w:szCs w:val="22"/>
              <w:lang w:eastAsia="lv-LV"/>
            </w:rPr>
          </w:pPr>
          <w:hyperlink w:anchor="_Toc431197094" w:history="1">
            <w:r w:rsidR="00CD6580" w:rsidRPr="00E72B7F">
              <w:rPr>
                <w:rStyle w:val="Hyperlink"/>
              </w:rPr>
              <w:t>5.a.i) Diskrecionārie ieņēmumu pasākumi vispārējās valdības budžetā</w:t>
            </w:r>
            <w:r w:rsidR="00CD6580">
              <w:rPr>
                <w:webHidden/>
              </w:rPr>
              <w:tab/>
            </w:r>
            <w:r w:rsidR="00CD6580">
              <w:rPr>
                <w:webHidden/>
              </w:rPr>
              <w:fldChar w:fldCharType="begin"/>
            </w:r>
            <w:r w:rsidR="00CD6580">
              <w:rPr>
                <w:webHidden/>
              </w:rPr>
              <w:instrText xml:space="preserve"> PAGEREF _Toc431197094 \h </w:instrText>
            </w:r>
            <w:r w:rsidR="00CD6580">
              <w:rPr>
                <w:webHidden/>
              </w:rPr>
            </w:r>
            <w:r w:rsidR="00CD6580">
              <w:rPr>
                <w:webHidden/>
              </w:rPr>
              <w:fldChar w:fldCharType="separate"/>
            </w:r>
            <w:r w:rsidR="00D640F7">
              <w:rPr>
                <w:webHidden/>
              </w:rPr>
              <w:t>16</w:t>
            </w:r>
            <w:r w:rsidR="00CD6580">
              <w:rPr>
                <w:webHidden/>
              </w:rPr>
              <w:fldChar w:fldCharType="end"/>
            </w:r>
          </w:hyperlink>
        </w:p>
        <w:p w14:paraId="454312EB" w14:textId="77777777" w:rsidR="00CD6580" w:rsidRDefault="004126AC">
          <w:pPr>
            <w:pStyle w:val="TOC1"/>
            <w:rPr>
              <w:rFonts w:asciiTheme="minorHAnsi" w:eastAsiaTheme="minorEastAsia" w:hAnsiTheme="minorHAnsi" w:cstheme="minorBidi"/>
              <w:sz w:val="22"/>
              <w:szCs w:val="22"/>
              <w:lang w:eastAsia="lv-LV"/>
            </w:rPr>
          </w:pPr>
          <w:hyperlink w:anchor="_Toc431197095" w:history="1">
            <w:r w:rsidR="00CD6580" w:rsidRPr="00E72B7F">
              <w:rPr>
                <w:rStyle w:val="Hyperlink"/>
              </w:rPr>
              <w:t>5.a.ii) Diskrecionārie izdevumu pasākumi vispārējās valdības budžetā</w:t>
            </w:r>
            <w:r w:rsidR="00CD6580">
              <w:rPr>
                <w:webHidden/>
              </w:rPr>
              <w:tab/>
            </w:r>
            <w:r w:rsidR="00CD6580">
              <w:rPr>
                <w:webHidden/>
              </w:rPr>
              <w:fldChar w:fldCharType="begin"/>
            </w:r>
            <w:r w:rsidR="00CD6580">
              <w:rPr>
                <w:webHidden/>
              </w:rPr>
              <w:instrText xml:space="preserve"> PAGEREF _Toc431197095 \h </w:instrText>
            </w:r>
            <w:r w:rsidR="00CD6580">
              <w:rPr>
                <w:webHidden/>
              </w:rPr>
            </w:r>
            <w:r w:rsidR="00CD6580">
              <w:rPr>
                <w:webHidden/>
              </w:rPr>
              <w:fldChar w:fldCharType="separate"/>
            </w:r>
            <w:r w:rsidR="00D640F7">
              <w:rPr>
                <w:webHidden/>
              </w:rPr>
              <w:t>19</w:t>
            </w:r>
            <w:r w:rsidR="00CD6580">
              <w:rPr>
                <w:webHidden/>
              </w:rPr>
              <w:fldChar w:fldCharType="end"/>
            </w:r>
          </w:hyperlink>
        </w:p>
        <w:p w14:paraId="39399391" w14:textId="11D48432" w:rsidR="00CD6580" w:rsidRDefault="004126AC">
          <w:pPr>
            <w:pStyle w:val="TOC1"/>
            <w:rPr>
              <w:rFonts w:asciiTheme="minorHAnsi" w:eastAsiaTheme="minorEastAsia" w:hAnsiTheme="minorHAnsi" w:cstheme="minorBidi"/>
              <w:sz w:val="22"/>
              <w:szCs w:val="22"/>
              <w:lang w:eastAsia="lv-LV"/>
            </w:rPr>
          </w:pPr>
          <w:hyperlink w:anchor="_Toc431197096" w:history="1">
            <w:r w:rsidR="00CD6580" w:rsidRPr="00E72B7F">
              <w:rPr>
                <w:rStyle w:val="Hyperlink"/>
              </w:rPr>
              <w:t>5.b.i):  Diskrecionārie ieņēmumu pasākumi centrālās valdības budžetā</w:t>
            </w:r>
            <w:r w:rsidR="00CD6580">
              <w:rPr>
                <w:webHidden/>
              </w:rPr>
              <w:tab/>
            </w:r>
            <w:r w:rsidR="00CD6580">
              <w:rPr>
                <w:webHidden/>
              </w:rPr>
              <w:fldChar w:fldCharType="begin"/>
            </w:r>
            <w:r w:rsidR="00CD6580">
              <w:rPr>
                <w:webHidden/>
              </w:rPr>
              <w:instrText xml:space="preserve"> PAGEREF _Toc431197096 \h </w:instrText>
            </w:r>
            <w:r w:rsidR="00CD6580">
              <w:rPr>
                <w:webHidden/>
              </w:rPr>
            </w:r>
            <w:r w:rsidR="00CD6580">
              <w:rPr>
                <w:webHidden/>
              </w:rPr>
              <w:fldChar w:fldCharType="separate"/>
            </w:r>
            <w:r w:rsidR="00D640F7">
              <w:rPr>
                <w:webHidden/>
              </w:rPr>
              <w:t>20</w:t>
            </w:r>
            <w:r w:rsidR="00CD6580">
              <w:rPr>
                <w:webHidden/>
              </w:rPr>
              <w:fldChar w:fldCharType="end"/>
            </w:r>
          </w:hyperlink>
        </w:p>
        <w:p w14:paraId="70DF057A" w14:textId="20E03A79" w:rsidR="00CD6580" w:rsidRDefault="004126AC">
          <w:pPr>
            <w:pStyle w:val="TOC1"/>
            <w:rPr>
              <w:rFonts w:asciiTheme="minorHAnsi" w:eastAsiaTheme="minorEastAsia" w:hAnsiTheme="minorHAnsi" w:cstheme="minorBidi"/>
              <w:sz w:val="22"/>
              <w:szCs w:val="22"/>
              <w:lang w:eastAsia="lv-LV"/>
            </w:rPr>
          </w:pPr>
          <w:hyperlink w:anchor="_Toc431197097" w:history="1">
            <w:r w:rsidR="00CD6580" w:rsidRPr="00E72B7F">
              <w:rPr>
                <w:rStyle w:val="Hyperlink"/>
              </w:rPr>
              <w:t>5.b.ii):  Diskrecionārie izdevumi pasākumi centrālās valdības budžetā</w:t>
            </w:r>
            <w:r w:rsidR="00CD6580">
              <w:rPr>
                <w:webHidden/>
              </w:rPr>
              <w:tab/>
            </w:r>
            <w:r w:rsidR="00CD6580">
              <w:rPr>
                <w:webHidden/>
              </w:rPr>
              <w:fldChar w:fldCharType="begin"/>
            </w:r>
            <w:r w:rsidR="00CD6580">
              <w:rPr>
                <w:webHidden/>
              </w:rPr>
              <w:instrText xml:space="preserve"> PAGEREF _Toc431197097 \h </w:instrText>
            </w:r>
            <w:r w:rsidR="00CD6580">
              <w:rPr>
                <w:webHidden/>
              </w:rPr>
            </w:r>
            <w:r w:rsidR="00CD6580">
              <w:rPr>
                <w:webHidden/>
              </w:rPr>
              <w:fldChar w:fldCharType="separate"/>
            </w:r>
            <w:r w:rsidR="00D640F7">
              <w:rPr>
                <w:webHidden/>
              </w:rPr>
              <w:t>22</w:t>
            </w:r>
            <w:r w:rsidR="00CD6580">
              <w:rPr>
                <w:webHidden/>
              </w:rPr>
              <w:fldChar w:fldCharType="end"/>
            </w:r>
          </w:hyperlink>
        </w:p>
        <w:p w14:paraId="36E2176D" w14:textId="77777777" w:rsidR="00CD6580" w:rsidRDefault="004126AC">
          <w:pPr>
            <w:pStyle w:val="TOC1"/>
            <w:rPr>
              <w:rFonts w:asciiTheme="minorHAnsi" w:eastAsiaTheme="minorEastAsia" w:hAnsiTheme="minorHAnsi" w:cstheme="minorBidi"/>
              <w:sz w:val="22"/>
              <w:szCs w:val="22"/>
              <w:lang w:eastAsia="lv-LV"/>
            </w:rPr>
          </w:pPr>
          <w:hyperlink w:anchor="_Toc431197098" w:history="1">
            <w:r w:rsidR="00CD6580" w:rsidRPr="00E72B7F">
              <w:rPr>
                <w:rStyle w:val="Hyperlink"/>
              </w:rPr>
              <w:t>Tabula 5.c.  Diskrecionārie ieņēmumu pasākumi vietējās valdības budžetā</w:t>
            </w:r>
            <w:r w:rsidR="00CD6580">
              <w:rPr>
                <w:webHidden/>
              </w:rPr>
              <w:tab/>
            </w:r>
            <w:r w:rsidR="00CD6580">
              <w:rPr>
                <w:webHidden/>
              </w:rPr>
              <w:fldChar w:fldCharType="begin"/>
            </w:r>
            <w:r w:rsidR="00CD6580">
              <w:rPr>
                <w:webHidden/>
              </w:rPr>
              <w:instrText xml:space="preserve"> PAGEREF _Toc431197098 \h </w:instrText>
            </w:r>
            <w:r w:rsidR="00CD6580">
              <w:rPr>
                <w:webHidden/>
              </w:rPr>
            </w:r>
            <w:r w:rsidR="00CD6580">
              <w:rPr>
                <w:webHidden/>
              </w:rPr>
              <w:fldChar w:fldCharType="separate"/>
            </w:r>
            <w:r w:rsidR="00D640F7">
              <w:rPr>
                <w:webHidden/>
              </w:rPr>
              <w:t>23</w:t>
            </w:r>
            <w:r w:rsidR="00CD6580">
              <w:rPr>
                <w:webHidden/>
              </w:rPr>
              <w:fldChar w:fldCharType="end"/>
            </w:r>
          </w:hyperlink>
        </w:p>
        <w:p w14:paraId="1AA97F0D" w14:textId="77777777" w:rsidR="00CD6580" w:rsidRDefault="004126AC">
          <w:pPr>
            <w:pStyle w:val="TOC1"/>
            <w:rPr>
              <w:rFonts w:asciiTheme="minorHAnsi" w:eastAsiaTheme="minorEastAsia" w:hAnsiTheme="minorHAnsi" w:cstheme="minorBidi"/>
              <w:sz w:val="22"/>
              <w:szCs w:val="22"/>
              <w:lang w:eastAsia="lv-LV"/>
            </w:rPr>
          </w:pPr>
          <w:hyperlink w:anchor="_Toc431197099" w:history="1">
            <w:r w:rsidR="00CD6580" w:rsidRPr="00E72B7F">
              <w:rPr>
                <w:rStyle w:val="Hyperlink"/>
              </w:rPr>
              <w:t>Tabula 6.a: Valstu specifiskās rekomendācijas</w:t>
            </w:r>
            <w:r w:rsidR="00CD6580">
              <w:rPr>
                <w:webHidden/>
              </w:rPr>
              <w:tab/>
            </w:r>
            <w:r w:rsidR="00CD6580">
              <w:rPr>
                <w:webHidden/>
              </w:rPr>
              <w:fldChar w:fldCharType="begin"/>
            </w:r>
            <w:r w:rsidR="00CD6580">
              <w:rPr>
                <w:webHidden/>
              </w:rPr>
              <w:instrText xml:space="preserve"> PAGEREF _Toc431197099 \h </w:instrText>
            </w:r>
            <w:r w:rsidR="00CD6580">
              <w:rPr>
                <w:webHidden/>
              </w:rPr>
            </w:r>
            <w:r w:rsidR="00CD6580">
              <w:rPr>
                <w:webHidden/>
              </w:rPr>
              <w:fldChar w:fldCharType="separate"/>
            </w:r>
            <w:r w:rsidR="00D640F7">
              <w:rPr>
                <w:webHidden/>
              </w:rPr>
              <w:t>24</w:t>
            </w:r>
            <w:r w:rsidR="00CD6580">
              <w:rPr>
                <w:webHidden/>
              </w:rPr>
              <w:fldChar w:fldCharType="end"/>
            </w:r>
          </w:hyperlink>
        </w:p>
        <w:p w14:paraId="737BD004" w14:textId="77777777" w:rsidR="00CD6580" w:rsidRDefault="004126AC">
          <w:pPr>
            <w:pStyle w:val="TOC1"/>
            <w:rPr>
              <w:rFonts w:asciiTheme="minorHAnsi" w:eastAsiaTheme="minorEastAsia" w:hAnsiTheme="minorHAnsi" w:cstheme="minorBidi"/>
              <w:sz w:val="22"/>
              <w:szCs w:val="22"/>
              <w:lang w:eastAsia="lv-LV"/>
            </w:rPr>
          </w:pPr>
          <w:hyperlink w:anchor="_Toc431197100" w:history="1">
            <w:r w:rsidR="00CD6580" w:rsidRPr="00E72B7F">
              <w:rPr>
                <w:rStyle w:val="Hyperlink"/>
              </w:rPr>
              <w:t>Tabula 6.b: ES Stratēģijas noteiktie mērķi attiecibā uz izaugsmi un darbu</w:t>
            </w:r>
            <w:r w:rsidR="00CD6580">
              <w:rPr>
                <w:webHidden/>
              </w:rPr>
              <w:tab/>
            </w:r>
            <w:r w:rsidR="00CD6580">
              <w:rPr>
                <w:webHidden/>
              </w:rPr>
              <w:fldChar w:fldCharType="begin"/>
            </w:r>
            <w:r w:rsidR="00CD6580">
              <w:rPr>
                <w:webHidden/>
              </w:rPr>
              <w:instrText xml:space="preserve"> PAGEREF _Toc431197100 \h </w:instrText>
            </w:r>
            <w:r w:rsidR="00CD6580">
              <w:rPr>
                <w:webHidden/>
              </w:rPr>
            </w:r>
            <w:r w:rsidR="00CD6580">
              <w:rPr>
                <w:webHidden/>
              </w:rPr>
              <w:fldChar w:fldCharType="separate"/>
            </w:r>
            <w:r w:rsidR="00D640F7">
              <w:rPr>
                <w:webHidden/>
              </w:rPr>
              <w:t>29</w:t>
            </w:r>
            <w:r w:rsidR="00CD6580">
              <w:rPr>
                <w:webHidden/>
              </w:rPr>
              <w:fldChar w:fldCharType="end"/>
            </w:r>
          </w:hyperlink>
        </w:p>
        <w:p w14:paraId="34A4D10B" w14:textId="77777777" w:rsidR="00CD6580" w:rsidRDefault="004126AC">
          <w:pPr>
            <w:pStyle w:val="TOC1"/>
            <w:rPr>
              <w:rFonts w:asciiTheme="minorHAnsi" w:eastAsiaTheme="minorEastAsia" w:hAnsiTheme="minorHAnsi" w:cstheme="minorBidi"/>
              <w:sz w:val="22"/>
              <w:szCs w:val="22"/>
              <w:lang w:eastAsia="lv-LV"/>
            </w:rPr>
          </w:pPr>
          <w:hyperlink w:anchor="_Toc431197102" w:history="1">
            <w:r w:rsidR="00CD6580" w:rsidRPr="00E72B7F">
              <w:rPr>
                <w:rStyle w:val="Hyperlink"/>
              </w:rPr>
              <w:t>Tabula 7: Salīdzinājums ar Stabilitātes programmu 2015.-2018.gadam</w:t>
            </w:r>
            <w:r w:rsidR="00CD6580">
              <w:rPr>
                <w:webHidden/>
              </w:rPr>
              <w:tab/>
            </w:r>
            <w:r w:rsidR="00CD6580">
              <w:rPr>
                <w:webHidden/>
              </w:rPr>
              <w:fldChar w:fldCharType="begin"/>
            </w:r>
            <w:r w:rsidR="00CD6580">
              <w:rPr>
                <w:webHidden/>
              </w:rPr>
              <w:instrText xml:space="preserve"> PAGEREF _Toc431197102 \h </w:instrText>
            </w:r>
            <w:r w:rsidR="00CD6580">
              <w:rPr>
                <w:webHidden/>
              </w:rPr>
            </w:r>
            <w:r w:rsidR="00CD6580">
              <w:rPr>
                <w:webHidden/>
              </w:rPr>
              <w:fldChar w:fldCharType="separate"/>
            </w:r>
            <w:r w:rsidR="00D640F7">
              <w:rPr>
                <w:webHidden/>
              </w:rPr>
              <w:t>39</w:t>
            </w:r>
            <w:r w:rsidR="00CD6580">
              <w:rPr>
                <w:webHidden/>
              </w:rPr>
              <w:fldChar w:fldCharType="end"/>
            </w:r>
          </w:hyperlink>
        </w:p>
        <w:p w14:paraId="2FBB7874" w14:textId="429BC304" w:rsidR="007369A9" w:rsidRDefault="007369A9">
          <w:r>
            <w:rPr>
              <w:b/>
              <w:bCs/>
              <w:noProof/>
            </w:rPr>
            <w:fldChar w:fldCharType="end"/>
          </w:r>
        </w:p>
      </w:sdtContent>
    </w:sdt>
    <w:p w14:paraId="0EDCF06F" w14:textId="77777777" w:rsidR="00A922FB" w:rsidRDefault="00A922FB">
      <w:pPr>
        <w:spacing w:after="0"/>
        <w:ind w:firstLine="0"/>
        <w:jc w:val="left"/>
        <w:rPr>
          <w:color w:val="18185E"/>
          <w:sz w:val="28"/>
        </w:rPr>
      </w:pPr>
    </w:p>
    <w:p w14:paraId="4D009E27" w14:textId="77777777" w:rsidR="00A922FB" w:rsidRDefault="00A922FB">
      <w:pPr>
        <w:spacing w:after="0"/>
        <w:ind w:firstLine="0"/>
        <w:jc w:val="left"/>
        <w:rPr>
          <w:color w:val="18185E"/>
          <w:sz w:val="28"/>
        </w:rPr>
      </w:pPr>
    </w:p>
    <w:p w14:paraId="2BC0111D" w14:textId="77777777" w:rsidR="00A922FB" w:rsidRDefault="00A922FB">
      <w:pPr>
        <w:spacing w:after="0"/>
        <w:ind w:firstLine="0"/>
        <w:jc w:val="left"/>
        <w:rPr>
          <w:color w:val="18185E"/>
          <w:sz w:val="28"/>
        </w:rPr>
      </w:pPr>
    </w:p>
    <w:p w14:paraId="025D624D" w14:textId="77777777" w:rsidR="00A922FB" w:rsidRDefault="00A922FB">
      <w:pPr>
        <w:spacing w:after="0"/>
        <w:ind w:firstLine="0"/>
        <w:jc w:val="left"/>
        <w:rPr>
          <w:color w:val="18185E"/>
          <w:sz w:val="28"/>
        </w:rPr>
      </w:pPr>
    </w:p>
    <w:p w14:paraId="5390D281" w14:textId="77777777" w:rsidR="00A922FB" w:rsidRDefault="00A922FB">
      <w:pPr>
        <w:spacing w:after="0"/>
        <w:ind w:firstLine="0"/>
        <w:jc w:val="left"/>
        <w:rPr>
          <w:color w:val="18185E"/>
          <w:sz w:val="28"/>
        </w:rPr>
      </w:pPr>
    </w:p>
    <w:p w14:paraId="75E870FC" w14:textId="77777777" w:rsidR="00A922FB" w:rsidRDefault="00A922FB">
      <w:pPr>
        <w:spacing w:after="0"/>
        <w:ind w:firstLine="0"/>
        <w:jc w:val="left"/>
        <w:rPr>
          <w:color w:val="18185E"/>
          <w:sz w:val="28"/>
        </w:rPr>
      </w:pPr>
    </w:p>
    <w:p w14:paraId="71436762" w14:textId="77777777" w:rsidR="00A922FB" w:rsidRDefault="00A922FB">
      <w:pPr>
        <w:spacing w:after="0"/>
        <w:ind w:firstLine="0"/>
        <w:jc w:val="left"/>
        <w:rPr>
          <w:color w:val="18185E"/>
          <w:sz w:val="28"/>
        </w:rPr>
      </w:pPr>
    </w:p>
    <w:p w14:paraId="41E213E9" w14:textId="61B81210" w:rsidR="00C3203D" w:rsidRDefault="00C3203D">
      <w:pPr>
        <w:spacing w:after="0"/>
        <w:ind w:firstLine="0"/>
        <w:jc w:val="left"/>
        <w:rPr>
          <w:color w:val="18185E"/>
          <w:sz w:val="28"/>
        </w:rPr>
      </w:pPr>
    </w:p>
    <w:p w14:paraId="2D324912" w14:textId="77777777" w:rsidR="00C3203D" w:rsidRPr="00C3203D" w:rsidRDefault="00C3203D" w:rsidP="007369A9">
      <w:pPr>
        <w:rPr>
          <w:sz w:val="28"/>
        </w:rPr>
      </w:pPr>
    </w:p>
    <w:p w14:paraId="4F46064D" w14:textId="206C2D12" w:rsidR="00C3203D" w:rsidRPr="00C3203D" w:rsidRDefault="00C3203D" w:rsidP="00C3203D">
      <w:pPr>
        <w:tabs>
          <w:tab w:val="left" w:pos="5392"/>
        </w:tabs>
        <w:rPr>
          <w:sz w:val="28"/>
        </w:rPr>
      </w:pPr>
      <w:r>
        <w:rPr>
          <w:sz w:val="28"/>
        </w:rPr>
        <w:tab/>
      </w:r>
    </w:p>
    <w:p w14:paraId="6D99E5BF" w14:textId="0DABCAF4" w:rsidR="00A922FB" w:rsidRPr="00C3203D" w:rsidRDefault="00A922FB" w:rsidP="00C3203D">
      <w:pPr>
        <w:tabs>
          <w:tab w:val="left" w:pos="5392"/>
        </w:tabs>
        <w:rPr>
          <w:sz w:val="28"/>
        </w:rPr>
        <w:sectPr w:rsidR="00A922FB" w:rsidRPr="00C3203D" w:rsidSect="00B16CD6">
          <w:headerReference w:type="default" r:id="rId49"/>
          <w:footerReference w:type="default" r:id="rId50"/>
          <w:headerReference w:type="first" r:id="rId51"/>
          <w:pgSz w:w="11906" w:h="16838"/>
          <w:pgMar w:top="1418" w:right="1134" w:bottom="709" w:left="1701" w:header="1077" w:footer="624" w:gutter="0"/>
          <w:pgNumType w:start="0"/>
          <w:cols w:space="708"/>
          <w:titlePg/>
          <w:docGrid w:linePitch="360"/>
        </w:sectPr>
      </w:pPr>
    </w:p>
    <w:p w14:paraId="628C808B" w14:textId="77777777" w:rsidR="001F5AEA" w:rsidRPr="006B2FB4" w:rsidRDefault="001F5AEA" w:rsidP="00DA2011">
      <w:pPr>
        <w:pStyle w:val="Heading1"/>
        <w:tabs>
          <w:tab w:val="left" w:pos="1276"/>
        </w:tabs>
        <w:spacing w:before="0" w:after="240"/>
        <w:jc w:val="center"/>
        <w:rPr>
          <w:rFonts w:ascii="Times New Roman" w:hAnsi="Times New Roman"/>
          <w:color w:val="18185E"/>
        </w:rPr>
      </w:pPr>
      <w:bookmarkStart w:id="0" w:name="_Toc431197076"/>
      <w:r w:rsidRPr="006B2FB4">
        <w:rPr>
          <w:rFonts w:ascii="Times New Roman" w:hAnsi="Times New Roman"/>
          <w:color w:val="18185E"/>
          <w:sz w:val="28"/>
        </w:rPr>
        <w:lastRenderedPageBreak/>
        <w:t>Ievads</w:t>
      </w:r>
      <w:bookmarkEnd w:id="0"/>
    </w:p>
    <w:p w14:paraId="23885B71" w14:textId="281051DC" w:rsidR="00083DC0" w:rsidRPr="00DD2655" w:rsidRDefault="00083DC0" w:rsidP="00083DC0">
      <w:pPr>
        <w:pStyle w:val="teksts"/>
        <w:spacing w:before="60" w:after="60" w:line="276" w:lineRule="auto"/>
        <w:ind w:firstLine="720"/>
        <w:rPr>
          <w:rFonts w:ascii="Times New Roman" w:eastAsia="Calibri" w:hAnsi="Times New Roman"/>
          <w:color w:val="000000"/>
          <w:szCs w:val="24"/>
        </w:rPr>
      </w:pPr>
      <w:r w:rsidRPr="00DD2655">
        <w:rPr>
          <w:rFonts w:ascii="Times New Roman" w:eastAsia="Calibri" w:hAnsi="Times New Roman"/>
          <w:color w:val="000000"/>
          <w:szCs w:val="24"/>
        </w:rPr>
        <w:t xml:space="preserve">Latvijas Republika Eiropas Semestra ietvaros iesniedz Vispārējās valdības budžeta plāna projektu, ko nosaka Eiropas Parlamenta un Padomes Regula Nr.473/2013. Regula paredz koordinēt un stiprināt budžeta uzraudzības procesu </w:t>
      </w:r>
      <w:r w:rsidRPr="00DD2655">
        <w:rPr>
          <w:rFonts w:ascii="Times New Roman" w:eastAsia="Calibri" w:hAnsi="Times New Roman"/>
          <w:i/>
          <w:color w:val="000000"/>
          <w:szCs w:val="24"/>
        </w:rPr>
        <w:t>euro</w:t>
      </w:r>
      <w:r w:rsidRPr="00DD2655">
        <w:rPr>
          <w:rFonts w:ascii="Times New Roman" w:eastAsia="Calibri" w:hAnsi="Times New Roman"/>
          <w:color w:val="000000"/>
          <w:szCs w:val="24"/>
        </w:rPr>
        <w:t xml:space="preserve"> zonā kopumā: </w:t>
      </w:r>
    </w:p>
    <w:p w14:paraId="4128CCBA" w14:textId="5B9CB1F1" w:rsidR="00083DC0" w:rsidRPr="00DD2655" w:rsidRDefault="00083DC0" w:rsidP="00083DC0">
      <w:pPr>
        <w:pStyle w:val="teksts"/>
        <w:numPr>
          <w:ilvl w:val="0"/>
          <w:numId w:val="2"/>
        </w:numPr>
        <w:spacing w:before="60" w:after="60" w:line="276" w:lineRule="auto"/>
        <w:rPr>
          <w:rFonts w:ascii="Times New Roman" w:eastAsia="Calibri" w:hAnsi="Times New Roman"/>
          <w:color w:val="000000"/>
          <w:szCs w:val="24"/>
        </w:rPr>
      </w:pPr>
      <w:r w:rsidRPr="00DD2655">
        <w:rPr>
          <w:rFonts w:ascii="Times New Roman" w:eastAsia="Calibri" w:hAnsi="Times New Roman"/>
          <w:color w:val="000000"/>
          <w:szCs w:val="24"/>
        </w:rPr>
        <w:t>nodrošinot vienotu budžetu izstrādes laika ietvaru – budžeta procesa uzraudzība, kas tiek veikta pavasarī līdz ar Konverģences un Stabilitātes programmu sagatavošanu un iesniegšanu Eiropas Komisijā (</w:t>
      </w:r>
      <w:r w:rsidR="007D2E71">
        <w:rPr>
          <w:rFonts w:ascii="Times New Roman" w:eastAsia="Calibri" w:hAnsi="Times New Roman"/>
          <w:color w:val="000000"/>
          <w:szCs w:val="24"/>
        </w:rPr>
        <w:t xml:space="preserve">turpmāk – </w:t>
      </w:r>
      <w:r w:rsidRPr="00DD2655">
        <w:rPr>
          <w:rFonts w:ascii="Times New Roman" w:eastAsia="Calibri" w:hAnsi="Times New Roman"/>
          <w:color w:val="000000"/>
          <w:szCs w:val="24"/>
        </w:rPr>
        <w:t xml:space="preserve">EK), tiek papildināta ar otru uzraudzības fāzi, kas tiek īstenota rudenī, </w:t>
      </w:r>
      <w:r w:rsidRPr="00DD2655">
        <w:rPr>
          <w:rFonts w:ascii="Times New Roman" w:eastAsia="Calibri" w:hAnsi="Times New Roman"/>
          <w:i/>
          <w:color w:val="000000"/>
          <w:szCs w:val="24"/>
        </w:rPr>
        <w:t>euro</w:t>
      </w:r>
      <w:r w:rsidRPr="00DD2655">
        <w:rPr>
          <w:rFonts w:ascii="Times New Roman" w:eastAsia="Calibri" w:hAnsi="Times New Roman"/>
          <w:color w:val="000000"/>
          <w:szCs w:val="24"/>
        </w:rPr>
        <w:t xml:space="preserve"> zonas dalībvalstīm gatavojot gadskārtējo valsts budžetu;</w:t>
      </w:r>
    </w:p>
    <w:p w14:paraId="5542CAC5" w14:textId="07A41CB8" w:rsidR="00083DC0" w:rsidRPr="00DD2655" w:rsidRDefault="00083DC0" w:rsidP="00083DC0">
      <w:pPr>
        <w:pStyle w:val="teksts"/>
        <w:numPr>
          <w:ilvl w:val="0"/>
          <w:numId w:val="2"/>
        </w:numPr>
        <w:spacing w:before="60" w:after="60" w:line="276" w:lineRule="auto"/>
        <w:rPr>
          <w:rFonts w:ascii="Times New Roman" w:eastAsia="Calibri" w:hAnsi="Times New Roman"/>
          <w:color w:val="000000"/>
          <w:szCs w:val="24"/>
        </w:rPr>
      </w:pPr>
      <w:r w:rsidRPr="00DD2655">
        <w:rPr>
          <w:rFonts w:ascii="Times New Roman" w:eastAsia="Calibri" w:hAnsi="Times New Roman"/>
          <w:color w:val="000000"/>
          <w:szCs w:val="24"/>
        </w:rPr>
        <w:t>nosakot vienotus budžeta principus, kas balstās fiskālajos nosacījumos, ko paredz stiprinātais Stabilitātes un izaugsmes pakts</w:t>
      </w:r>
      <w:r w:rsidR="00C1309C">
        <w:rPr>
          <w:rFonts w:ascii="Times New Roman" w:eastAsia="Calibri" w:hAnsi="Times New Roman"/>
          <w:color w:val="000000"/>
          <w:szCs w:val="24"/>
        </w:rPr>
        <w:t xml:space="preserve"> (turpmāk – SIP)</w:t>
      </w:r>
      <w:r w:rsidRPr="00DD2655">
        <w:rPr>
          <w:rFonts w:ascii="Times New Roman" w:eastAsia="Calibri" w:hAnsi="Times New Roman"/>
          <w:color w:val="000000"/>
          <w:szCs w:val="24"/>
        </w:rPr>
        <w:t>.</w:t>
      </w:r>
    </w:p>
    <w:p w14:paraId="045DD66D" w14:textId="0008963F" w:rsidR="00083DC0" w:rsidRDefault="00DD2655" w:rsidP="00DD2655">
      <w:pPr>
        <w:pStyle w:val="teksts"/>
        <w:spacing w:before="60" w:after="60" w:line="276" w:lineRule="auto"/>
        <w:ind w:firstLine="720"/>
        <w:rPr>
          <w:rFonts w:ascii="Times New Roman" w:eastAsia="Calibri" w:hAnsi="Times New Roman"/>
          <w:color w:val="000000"/>
          <w:szCs w:val="24"/>
        </w:rPr>
      </w:pPr>
      <w:r w:rsidRPr="00DD2655">
        <w:rPr>
          <w:rFonts w:ascii="Times New Roman" w:eastAsia="Calibri" w:hAnsi="Times New Roman"/>
          <w:color w:val="000000"/>
          <w:szCs w:val="24"/>
        </w:rPr>
        <w:t>Latvijas</w:t>
      </w:r>
      <w:r w:rsidR="00083DC0" w:rsidRPr="00DD2655">
        <w:rPr>
          <w:rFonts w:ascii="Times New Roman" w:eastAsia="Calibri" w:hAnsi="Times New Roman"/>
          <w:color w:val="000000"/>
          <w:szCs w:val="24"/>
        </w:rPr>
        <w:t xml:space="preserve"> Vispārējās valdības budžeta plāna projektu</w:t>
      </w:r>
      <w:r w:rsidR="006E1046">
        <w:rPr>
          <w:rFonts w:ascii="Times New Roman" w:eastAsia="Calibri" w:hAnsi="Times New Roman"/>
          <w:color w:val="000000"/>
          <w:szCs w:val="24"/>
        </w:rPr>
        <w:t xml:space="preserve"> 2016.gadam</w:t>
      </w:r>
      <w:r w:rsidR="00083DC0" w:rsidRPr="00DD2655">
        <w:rPr>
          <w:rFonts w:ascii="Times New Roman" w:eastAsia="Calibri" w:hAnsi="Times New Roman"/>
          <w:color w:val="000000"/>
          <w:szCs w:val="24"/>
        </w:rPr>
        <w:t xml:space="preserve"> </w:t>
      </w:r>
      <w:r w:rsidRPr="00DD2655">
        <w:rPr>
          <w:rFonts w:ascii="Times New Roman" w:eastAsia="Calibri" w:hAnsi="Times New Roman"/>
          <w:color w:val="000000"/>
          <w:szCs w:val="24"/>
        </w:rPr>
        <w:t>29.septembrī</w:t>
      </w:r>
      <w:r w:rsidR="00083DC0" w:rsidRPr="00DD2655">
        <w:rPr>
          <w:rFonts w:ascii="Times New Roman" w:eastAsia="Calibri" w:hAnsi="Times New Roman"/>
          <w:color w:val="000000"/>
          <w:szCs w:val="24"/>
        </w:rPr>
        <w:t xml:space="preserve"> ir apstiprinājusi valdība. </w:t>
      </w:r>
    </w:p>
    <w:p w14:paraId="367D6A25" w14:textId="77777777" w:rsidR="00083DC0" w:rsidRDefault="00083DC0" w:rsidP="00054C89">
      <w:pPr>
        <w:pStyle w:val="teksts"/>
        <w:spacing w:before="60" w:after="60" w:line="276" w:lineRule="auto"/>
        <w:ind w:firstLine="720"/>
        <w:rPr>
          <w:rFonts w:ascii="Times New Roman" w:eastAsia="Calibri" w:hAnsi="Times New Roman"/>
          <w:color w:val="000000"/>
          <w:szCs w:val="24"/>
        </w:rPr>
      </w:pPr>
    </w:p>
    <w:p w14:paraId="6F42D9B1" w14:textId="77777777" w:rsidR="00054C89" w:rsidRPr="00976103" w:rsidRDefault="00054C89" w:rsidP="00054C89">
      <w:pPr>
        <w:pStyle w:val="teksts"/>
        <w:spacing w:before="60" w:after="60" w:line="276" w:lineRule="auto"/>
        <w:ind w:firstLine="720"/>
        <w:rPr>
          <w:rFonts w:ascii="Times New Roman" w:eastAsia="Calibri" w:hAnsi="Times New Roman"/>
          <w:color w:val="000000"/>
          <w:szCs w:val="24"/>
        </w:rPr>
      </w:pPr>
    </w:p>
    <w:p w14:paraId="72A63B0E" w14:textId="77777777" w:rsidR="0095691A" w:rsidRDefault="001F5AEA" w:rsidP="00375924">
      <w:pPr>
        <w:pStyle w:val="Heading1"/>
        <w:tabs>
          <w:tab w:val="left" w:pos="1276"/>
        </w:tabs>
        <w:spacing w:before="0" w:after="240"/>
        <w:jc w:val="center"/>
        <w:rPr>
          <w:rFonts w:ascii="Times New Roman" w:hAnsi="Times New Roman"/>
          <w:color w:val="18185E"/>
          <w:sz w:val="28"/>
        </w:rPr>
      </w:pPr>
      <w:r w:rsidRPr="00976103">
        <w:rPr>
          <w:rFonts w:eastAsia="Calibri"/>
          <w:b w:val="0"/>
          <w:color w:val="000000"/>
        </w:rPr>
        <w:br w:type="page"/>
      </w:r>
      <w:bookmarkStart w:id="1" w:name="_Toc431197077"/>
      <w:r w:rsidRPr="006B2FB4">
        <w:rPr>
          <w:rFonts w:ascii="Times New Roman" w:hAnsi="Times New Roman"/>
          <w:color w:val="18185E"/>
          <w:sz w:val="28"/>
        </w:rPr>
        <w:t>Makroekonomiskās attīstības scenārijs</w:t>
      </w:r>
      <w:bookmarkEnd w:id="1"/>
    </w:p>
    <w:p w14:paraId="7AB0E776" w14:textId="38D3C3FE" w:rsidR="002E3D3D" w:rsidRPr="002D6A9B" w:rsidRDefault="002E3D3D" w:rsidP="00F724FE">
      <w:pPr>
        <w:shd w:val="clear" w:color="auto" w:fill="FFFFFF" w:themeFill="background1"/>
        <w:spacing w:after="0" w:line="276" w:lineRule="auto"/>
        <w:ind w:firstLine="720"/>
        <w:rPr>
          <w:szCs w:val="24"/>
        </w:rPr>
      </w:pPr>
      <w:r w:rsidRPr="002D6A9B">
        <w:rPr>
          <w:szCs w:val="24"/>
        </w:rPr>
        <w:t xml:space="preserve">Pēc trim spēcīgas izaugsmes gadiem, kad Latvijas ekonomika bija starp straujāk augošajām valstīm </w:t>
      </w:r>
      <w:r w:rsidR="00527C18">
        <w:rPr>
          <w:szCs w:val="24"/>
        </w:rPr>
        <w:t>Eiropas Savienībā (turpmāk – ES)</w:t>
      </w:r>
      <w:r w:rsidRPr="002D6A9B">
        <w:rPr>
          <w:szCs w:val="24"/>
        </w:rPr>
        <w:t xml:space="preserve">, </w:t>
      </w:r>
      <w:r w:rsidR="00A24A94">
        <w:rPr>
          <w:szCs w:val="24"/>
        </w:rPr>
        <w:t>iekšzemes kopprodukta (turpmāk - IKP)</w:t>
      </w:r>
      <w:r w:rsidRPr="002D6A9B">
        <w:rPr>
          <w:szCs w:val="24"/>
        </w:rPr>
        <w:t xml:space="preserve"> pieaugums 2014.gadā kļuva lēnāks un arī 2015.gada pirmajā pusgadā izaugsmes tempi turpināja samazināties. Ja la</w:t>
      </w:r>
      <w:r w:rsidR="00527C18">
        <w:rPr>
          <w:szCs w:val="24"/>
        </w:rPr>
        <w:t>ika periodā no 2011. līdz 2013.</w:t>
      </w:r>
      <w:r w:rsidRPr="002D6A9B">
        <w:rPr>
          <w:szCs w:val="24"/>
        </w:rPr>
        <w:t>gadam Latvijas IKP auga par vidēji 4,7% gadā, tad 2014.gadā IKP palielinājās vien par 2,4%, bet 2015.gada pirmajā pusgadā ekonomika</w:t>
      </w:r>
      <w:r>
        <w:rPr>
          <w:szCs w:val="24"/>
        </w:rPr>
        <w:t>s izaugsme noslīdēja līdz 2,3%.</w:t>
      </w:r>
    </w:p>
    <w:p w14:paraId="6FAC97AB" w14:textId="2F75F601" w:rsidR="002E3D3D" w:rsidRPr="002D6A9B" w:rsidRDefault="002E3D3D" w:rsidP="00F724FE">
      <w:pPr>
        <w:spacing w:after="0" w:line="276" w:lineRule="auto"/>
        <w:ind w:firstLine="720"/>
        <w:rPr>
          <w:szCs w:val="24"/>
        </w:rPr>
      </w:pPr>
      <w:r w:rsidRPr="002D6A9B">
        <w:rPr>
          <w:szCs w:val="24"/>
        </w:rPr>
        <w:t>Ņemot vērā ārējās ekonomiskās vides attīstību un salīdzinoši vājos ekonom</w:t>
      </w:r>
      <w:r w:rsidR="00527C18">
        <w:rPr>
          <w:szCs w:val="24"/>
        </w:rPr>
        <w:t>iskās izaugsmes datus par 2014.gadu, kā arī 2015.</w:t>
      </w:r>
      <w:r w:rsidRPr="002D6A9B">
        <w:rPr>
          <w:szCs w:val="24"/>
        </w:rPr>
        <w:t xml:space="preserve">gada pirmo pusi, īstermiņā </w:t>
      </w:r>
      <w:r w:rsidR="00527C18">
        <w:rPr>
          <w:szCs w:val="24"/>
        </w:rPr>
        <w:t>Finanšu ministrija (turpmāk – FM)</w:t>
      </w:r>
      <w:r w:rsidRPr="002D6A9B">
        <w:rPr>
          <w:szCs w:val="24"/>
        </w:rPr>
        <w:t xml:space="preserve"> prognozē salīdzinoši mērenu izaugsmi, taču vidējā termiņā sagaidāms, ka tā atgriezīsies savā potenciālajā līmenī.</w:t>
      </w:r>
    </w:p>
    <w:p w14:paraId="4B437A6D" w14:textId="3CC69EBB" w:rsidR="002E3D3D" w:rsidRPr="002D6A9B" w:rsidRDefault="002E3D3D" w:rsidP="00F724FE">
      <w:pPr>
        <w:spacing w:after="0" w:line="276" w:lineRule="auto"/>
        <w:ind w:firstLine="720"/>
        <w:rPr>
          <w:szCs w:val="24"/>
        </w:rPr>
      </w:pPr>
      <w:r w:rsidRPr="002D6A9B">
        <w:rPr>
          <w:szCs w:val="24"/>
        </w:rPr>
        <w:t>Īstermiņā ekonomikas izaugsmi turpinās balstīt privātā patēriņa pieaugums, kā arī rūpniecības un eksport</w:t>
      </w:r>
      <w:r w:rsidR="00527C18">
        <w:rPr>
          <w:szCs w:val="24"/>
        </w:rPr>
        <w:t xml:space="preserve">a </w:t>
      </w:r>
      <w:r w:rsidR="000E3954">
        <w:rPr>
          <w:szCs w:val="24"/>
        </w:rPr>
        <w:t>attīstība</w:t>
      </w:r>
      <w:r w:rsidR="00527C18">
        <w:rPr>
          <w:szCs w:val="24"/>
        </w:rPr>
        <w:t>. Papildus tam 2015.</w:t>
      </w:r>
      <w:r w:rsidRPr="002D6A9B">
        <w:rPr>
          <w:szCs w:val="24"/>
        </w:rPr>
        <w:t xml:space="preserve">gada otrajā pusē gada pieauguma tempus </w:t>
      </w:r>
      <w:r w:rsidR="003C398E">
        <w:rPr>
          <w:szCs w:val="24"/>
        </w:rPr>
        <w:t xml:space="preserve">bāzes efekta dēļ </w:t>
      </w:r>
      <w:r w:rsidRPr="002D6A9B">
        <w:rPr>
          <w:szCs w:val="24"/>
        </w:rPr>
        <w:t xml:space="preserve">vairs neietekmēs pērnā gada augustā noteiktās Krievijas sankcijas. Tomēr nenoteiktība </w:t>
      </w:r>
      <w:r>
        <w:rPr>
          <w:szCs w:val="24"/>
        </w:rPr>
        <w:t>ā</w:t>
      </w:r>
      <w:r w:rsidRPr="002D6A9B">
        <w:rPr>
          <w:szCs w:val="24"/>
        </w:rPr>
        <w:t>rējā vidē arī turpmāk kavēs investīciju pieaugumu, tādēļ izaugsmes tempi paātrināsies tikai pakāpeniski. Atbilstoši FM prognozēm, Latvijas IKP pieaugums salīdzināmās cenās 2015.gadā būs 2,1%, savukārt 2016.gadā 3,0%.</w:t>
      </w:r>
    </w:p>
    <w:p w14:paraId="76BC7273" w14:textId="77777777" w:rsidR="002E3D3D" w:rsidRPr="002D6A9B" w:rsidRDefault="002E3D3D" w:rsidP="00F724FE">
      <w:pPr>
        <w:spacing w:after="0" w:line="276" w:lineRule="auto"/>
        <w:ind w:firstLine="720"/>
        <w:rPr>
          <w:szCs w:val="24"/>
        </w:rPr>
      </w:pPr>
      <w:r w:rsidRPr="002D6A9B">
        <w:rPr>
          <w:szCs w:val="24"/>
        </w:rPr>
        <w:t>Mazinoties ārējai nenoteiktībai un Latvijas uzņēmējiem pārorientējoties uz straujāk augošiem tirgiem, izaugsme pakāpeniski kļūs sabalansētāka starp ārējo un iekšējo pieprasījumu. Atbilstoši FM prognozēm, Latvijas IKP 2017. un 2018.gadā palielināsies par 3,6% gadā.</w:t>
      </w:r>
    </w:p>
    <w:p w14:paraId="367F913A" w14:textId="26630B99" w:rsidR="002E3D3D" w:rsidRPr="002D6A9B" w:rsidRDefault="002E3D3D" w:rsidP="00F724FE">
      <w:pPr>
        <w:spacing w:after="0" w:line="276" w:lineRule="auto"/>
        <w:ind w:firstLine="720"/>
        <w:rPr>
          <w:szCs w:val="24"/>
        </w:rPr>
      </w:pPr>
      <w:r w:rsidRPr="002D6A9B">
        <w:rPr>
          <w:szCs w:val="24"/>
        </w:rPr>
        <w:t xml:space="preserve">Izstrādājot vidēja termiņa makroekonomiskās attīstības scenāriju, FM ir konsultējusies ar Latvijas komercbanku, Starptautiskā Valūtas </w:t>
      </w:r>
      <w:r>
        <w:rPr>
          <w:szCs w:val="24"/>
        </w:rPr>
        <w:t xml:space="preserve">fonda </w:t>
      </w:r>
      <w:r w:rsidRPr="002D6A9B">
        <w:rPr>
          <w:szCs w:val="24"/>
        </w:rPr>
        <w:t>un</w:t>
      </w:r>
      <w:r w:rsidR="00A24A94">
        <w:rPr>
          <w:szCs w:val="24"/>
        </w:rPr>
        <w:t xml:space="preserve"> Eiropas Komisijas (turpmāk – </w:t>
      </w:r>
      <w:r w:rsidR="007D2E71">
        <w:rPr>
          <w:szCs w:val="24"/>
        </w:rPr>
        <w:t>EK</w:t>
      </w:r>
      <w:r w:rsidR="00A24A94">
        <w:rPr>
          <w:szCs w:val="24"/>
        </w:rPr>
        <w:t>)</w:t>
      </w:r>
      <w:r w:rsidRPr="002D6A9B">
        <w:rPr>
          <w:szCs w:val="24"/>
        </w:rPr>
        <w:t xml:space="preserve"> ekspertiem. </w:t>
      </w:r>
    </w:p>
    <w:p w14:paraId="56F323D4" w14:textId="383EA01E" w:rsidR="002E3D3D" w:rsidRPr="002D6A9B" w:rsidRDefault="002E3D3D" w:rsidP="00F724FE">
      <w:pPr>
        <w:spacing w:after="0" w:line="276" w:lineRule="auto"/>
        <w:ind w:firstLine="720"/>
        <w:rPr>
          <w:szCs w:val="24"/>
        </w:rPr>
      </w:pPr>
      <w:r w:rsidRPr="002D6A9B">
        <w:rPr>
          <w:szCs w:val="24"/>
        </w:rPr>
        <w:t>Lai nodrošinātu makroekonomisko rādītāju prognožu neatkarību, sagatavotās vidēja termiņa makroekonomisko rādītāju prognozes ir saskaņotas ar Latvijas Banku, kā arī ar Ekonomikas mi</w:t>
      </w:r>
      <w:r w:rsidR="00527C18">
        <w:rPr>
          <w:szCs w:val="24"/>
        </w:rPr>
        <w:t>nistriju. Papildus tam FM 2015.gada 9.</w:t>
      </w:r>
      <w:r w:rsidRPr="002D6A9B">
        <w:rPr>
          <w:szCs w:val="24"/>
        </w:rPr>
        <w:t xml:space="preserve">jūlijā makroekonomisko rādītāju prognozes prezentēja Fiskālās disciplīnas padomes potenciālā un nominālā iekšzemes kopprodukta novērtējuma darba grupai, kura atbalstīja FM sagatavoto </w:t>
      </w:r>
      <w:r w:rsidR="00527C18">
        <w:rPr>
          <w:szCs w:val="24"/>
        </w:rPr>
        <w:t>prognožu izmantošanu 2016.</w:t>
      </w:r>
      <w:r w:rsidRPr="002D6A9B">
        <w:rPr>
          <w:szCs w:val="24"/>
        </w:rPr>
        <w:t xml:space="preserve">gada valsts budžeta un vidēja termiņa </w:t>
      </w:r>
      <w:r w:rsidRPr="00527C18">
        <w:rPr>
          <w:szCs w:val="24"/>
        </w:rPr>
        <w:t>budžeta ietvara 2016. – 2018.gada veidošanā</w:t>
      </w:r>
      <w:r w:rsidRPr="00527C18">
        <w:rPr>
          <w:rStyle w:val="FootnoteReference"/>
          <w:rFonts w:ascii="Times New Roman" w:hAnsi="Times New Roman"/>
          <w:sz w:val="24"/>
          <w:szCs w:val="24"/>
        </w:rPr>
        <w:footnoteReference w:id="2"/>
      </w:r>
      <w:r w:rsidRPr="00527C18">
        <w:rPr>
          <w:szCs w:val="24"/>
        </w:rPr>
        <w:t>.</w:t>
      </w:r>
      <w:r w:rsidRPr="002D6A9B">
        <w:rPr>
          <w:szCs w:val="24"/>
        </w:rPr>
        <w:t xml:space="preserve"> </w:t>
      </w:r>
    </w:p>
    <w:p w14:paraId="48B259FA" w14:textId="09FFE705" w:rsidR="002E3D3D" w:rsidRPr="002D6A9B" w:rsidRDefault="002E3D3D" w:rsidP="00F724FE">
      <w:pPr>
        <w:spacing w:after="0" w:line="276" w:lineRule="auto"/>
        <w:ind w:firstLine="720"/>
        <w:rPr>
          <w:szCs w:val="24"/>
        </w:rPr>
      </w:pPr>
      <w:r w:rsidRPr="002D6A9B">
        <w:rPr>
          <w:szCs w:val="24"/>
        </w:rPr>
        <w:t>Vidēja termiņa makroekonomiskās att</w:t>
      </w:r>
      <w:r w:rsidR="00527C18">
        <w:rPr>
          <w:szCs w:val="24"/>
        </w:rPr>
        <w:t>īstības scenārijs 2016. – 2018.</w:t>
      </w:r>
      <w:r w:rsidRPr="002D6A9B">
        <w:rPr>
          <w:szCs w:val="24"/>
        </w:rPr>
        <w:t xml:space="preserve">gadam izstrādāts 2015.gada </w:t>
      </w:r>
      <w:r w:rsidR="00527C18">
        <w:rPr>
          <w:szCs w:val="24"/>
        </w:rPr>
        <w:t>jūnijā, ņemot vērā 2015.gada 1.</w:t>
      </w:r>
      <w:r w:rsidRPr="002D6A9B">
        <w:rPr>
          <w:szCs w:val="24"/>
        </w:rPr>
        <w:t>ceturkšņa IKP datus un aktuālāko pieejamo īstermiņa statistisko informāciju laika pe</w:t>
      </w:r>
      <w:r>
        <w:rPr>
          <w:szCs w:val="24"/>
        </w:rPr>
        <w:t>riodā līdz 2015.gada 8.jūnijam.</w:t>
      </w:r>
    </w:p>
    <w:p w14:paraId="7D329D1D" w14:textId="394E5A2C" w:rsidR="002E3D3D" w:rsidRPr="002D6A9B" w:rsidRDefault="002E3D3D" w:rsidP="00F724FE">
      <w:pPr>
        <w:spacing w:after="0" w:line="276" w:lineRule="auto"/>
        <w:ind w:firstLine="720"/>
        <w:rPr>
          <w:szCs w:val="24"/>
        </w:rPr>
      </w:pPr>
      <w:r w:rsidRPr="002D6A9B">
        <w:rPr>
          <w:szCs w:val="24"/>
        </w:rPr>
        <w:t xml:space="preserve">Makroekonomiskās attīstības scenārijs veidots, pamatojoties uz EK 2015.gada pavasara prognožu tehniskajiem ārējās vides pieņēmumiem. Šie pieņēmumi paredz, ka vidējā naftas cena 2015.gadā būs 59,4 dolāri par </w:t>
      </w:r>
      <w:r w:rsidRPr="002D6A9B">
        <w:rPr>
          <w:i/>
          <w:szCs w:val="24"/>
        </w:rPr>
        <w:t>Brent</w:t>
      </w:r>
      <w:r w:rsidRPr="002D6A9B">
        <w:rPr>
          <w:szCs w:val="24"/>
        </w:rPr>
        <w:t xml:space="preserve"> jēlnaftas barelu, savukārt 2016.gadā tā būs 66,0 dolāri. Tāpat tiek pieņemts, ka EUR/USD kurss 2015.gadā būs 1,08, savukārt 2016.gadā 1,07. </w:t>
      </w:r>
    </w:p>
    <w:p w14:paraId="19C264D0" w14:textId="7569E0A0" w:rsidR="002E3D3D" w:rsidRPr="002D6A9B" w:rsidRDefault="002E3D3D" w:rsidP="00F724FE">
      <w:pPr>
        <w:spacing w:after="0" w:line="276" w:lineRule="auto"/>
        <w:ind w:firstLine="720"/>
        <w:rPr>
          <w:szCs w:val="24"/>
        </w:rPr>
      </w:pPr>
      <w:r w:rsidRPr="002D6A9B">
        <w:rPr>
          <w:szCs w:val="24"/>
        </w:rPr>
        <w:t xml:space="preserve">Prognozēs pieņemts, ka </w:t>
      </w:r>
      <w:r w:rsidR="00527C18">
        <w:rPr>
          <w:i/>
          <w:szCs w:val="24"/>
        </w:rPr>
        <w:t>euro</w:t>
      </w:r>
      <w:r w:rsidR="00527C18">
        <w:rPr>
          <w:szCs w:val="24"/>
        </w:rPr>
        <w:t xml:space="preserve"> </w:t>
      </w:r>
      <w:r w:rsidRPr="002D6A9B">
        <w:rPr>
          <w:szCs w:val="24"/>
        </w:rPr>
        <w:t xml:space="preserve">zonā turpināsies lēna, bet tomēr stabila ekonomikas atveseļošanās un izaugsmes tempi pakāpeniski kļūs straujāki, vidējā termiņā tuvojoties 1,5% - 2% izaugsmei. Prognozēs pieņemts, ka Grieķija paliek </w:t>
      </w:r>
      <w:r w:rsidR="00527C18">
        <w:rPr>
          <w:i/>
          <w:szCs w:val="24"/>
        </w:rPr>
        <w:t>euro</w:t>
      </w:r>
      <w:r w:rsidR="00527C18">
        <w:rPr>
          <w:szCs w:val="24"/>
        </w:rPr>
        <w:t xml:space="preserve"> </w:t>
      </w:r>
      <w:r w:rsidRPr="002D6A9B">
        <w:rPr>
          <w:szCs w:val="24"/>
        </w:rPr>
        <w:t xml:space="preserve">zonā un tās ekonomikas problēmas neietekmēs citu ES valstu ekonomisko attīstību. Tādējādi palielināsies pieprasījums pēc Latvijas precēm un pakalpojumiem, kas veicinās ekonomikas izaugsmes tempu paātrināšanos 2016. un 2017.gadā. Makroekonomiskajā scenārijā arī pieņemts, ka Krievijas noteiktās sankcijas pret ES valstīm saglabāsies spēkā vidējā termiņā, taču Latvijas uzņēmēji arī turpmāk spēs kompensēt eksporta kritumu uz Krieviju </w:t>
      </w:r>
      <w:r>
        <w:rPr>
          <w:szCs w:val="24"/>
        </w:rPr>
        <w:t>ar jaunu noieta tirgu atrašanu.</w:t>
      </w:r>
    </w:p>
    <w:p w14:paraId="51A23C07" w14:textId="6DA263DE" w:rsidR="002E3D3D" w:rsidRPr="006F7B6D" w:rsidRDefault="002E3D3D" w:rsidP="00F724FE">
      <w:pPr>
        <w:spacing w:after="0" w:line="276" w:lineRule="auto"/>
        <w:ind w:firstLine="720"/>
        <w:rPr>
          <w:szCs w:val="24"/>
        </w:rPr>
      </w:pPr>
      <w:r w:rsidRPr="006F7B6D">
        <w:rPr>
          <w:szCs w:val="24"/>
        </w:rPr>
        <w:t>Makroekonomiskās attīstības scenārijs ir izstrādāts, balstoties uz konservatīviem pieņēmumiem par ārējā un iekšējā pieprasījuma pieaugumu un ņem vērā gan iekšēj</w:t>
      </w:r>
      <w:r>
        <w:rPr>
          <w:szCs w:val="24"/>
        </w:rPr>
        <w:t>ā</w:t>
      </w:r>
      <w:r w:rsidRPr="006F7B6D">
        <w:rPr>
          <w:szCs w:val="24"/>
        </w:rPr>
        <w:t>s, gan ārēj</w:t>
      </w:r>
      <w:r>
        <w:rPr>
          <w:szCs w:val="24"/>
        </w:rPr>
        <w:t>ā</w:t>
      </w:r>
      <w:r w:rsidRPr="006F7B6D">
        <w:rPr>
          <w:szCs w:val="24"/>
        </w:rPr>
        <w:t>s</w:t>
      </w:r>
      <w:r>
        <w:rPr>
          <w:szCs w:val="24"/>
        </w:rPr>
        <w:t xml:space="preserve"> vides</w:t>
      </w:r>
      <w:r w:rsidRPr="006F7B6D">
        <w:rPr>
          <w:szCs w:val="24"/>
        </w:rPr>
        <w:t xml:space="preserve"> riskus. Vidējā termiņā makroekonomiskās attīstības scenārija pozitīvie un negatīvie riski ir sabalansēti, tomēr īstermiņā dominē negatīvie riski, no kuriem būtiskākie ir ārējās vides riski, kas saistīti ar ģeopolitisko situāciju </w:t>
      </w:r>
      <w:r w:rsidR="00DD2655">
        <w:rPr>
          <w:szCs w:val="24"/>
        </w:rPr>
        <w:t xml:space="preserve">Austrumeiropas </w:t>
      </w:r>
      <w:r w:rsidRPr="006F7B6D">
        <w:rPr>
          <w:szCs w:val="24"/>
        </w:rPr>
        <w:t xml:space="preserve">reģionā, Krievijas ekonomikas recesiju, vājo ekonomikas izaugsmi </w:t>
      </w:r>
      <w:r w:rsidR="00527C18">
        <w:rPr>
          <w:i/>
          <w:szCs w:val="24"/>
        </w:rPr>
        <w:t>euro</w:t>
      </w:r>
      <w:r w:rsidR="00527C18">
        <w:rPr>
          <w:szCs w:val="24"/>
        </w:rPr>
        <w:t xml:space="preserve"> </w:t>
      </w:r>
      <w:r w:rsidRPr="006F7B6D">
        <w:rPr>
          <w:szCs w:val="24"/>
        </w:rPr>
        <w:t>zonā, aktualizējušos imigrācijas problēmu un joprojām neskaidro Grieķijas finanšu situāciju, kā arī izaugsmes tempu bremzēšanos pasaules otrajā lielākajā ekonomikā Ķīnā.</w:t>
      </w:r>
    </w:p>
    <w:p w14:paraId="57E5C8C9" w14:textId="77777777" w:rsidR="002E3D3D" w:rsidRDefault="002E3D3D" w:rsidP="00F724FE">
      <w:pPr>
        <w:spacing w:after="0" w:line="276" w:lineRule="auto"/>
        <w:ind w:firstLine="720"/>
        <w:rPr>
          <w:szCs w:val="24"/>
        </w:rPr>
      </w:pPr>
      <w:r w:rsidRPr="006F7B6D">
        <w:rPr>
          <w:szCs w:val="24"/>
        </w:rPr>
        <w:t xml:space="preserve">Papildus ārējās vides riskiem makroekonomiskā scenārija izpildi ietekmēs arī iekšējie faktori, tajā skaitā situācija darba tirgū, uzņēmumu spējas piesaistīt finanšu līdzekļus un īstenot investīciju projektus, lai palielinātu ražošanas jaudas, kreditēšanas attīstība u.c. faktori, kas tiešā veidā ietekmē valsts kredītreitingu, procentu likmes, konfidences rādītājus un iekšzemes pieprasījumu. </w:t>
      </w:r>
    </w:p>
    <w:p w14:paraId="3BC729BB" w14:textId="77777777" w:rsidR="00527C18" w:rsidRDefault="00527C18" w:rsidP="002E3D3D">
      <w:pPr>
        <w:spacing w:after="0"/>
        <w:ind w:firstLine="720"/>
        <w:rPr>
          <w:szCs w:val="24"/>
        </w:rPr>
      </w:pPr>
    </w:p>
    <w:p w14:paraId="246C0A77" w14:textId="77777777" w:rsidR="00527C18" w:rsidRDefault="00527C18" w:rsidP="002E3D3D">
      <w:pPr>
        <w:spacing w:after="0"/>
        <w:ind w:firstLine="720"/>
        <w:rPr>
          <w:szCs w:val="24"/>
        </w:rPr>
      </w:pPr>
    </w:p>
    <w:p w14:paraId="011305D0" w14:textId="372A6F0F" w:rsidR="00527C18" w:rsidRPr="00527C18" w:rsidRDefault="007369A9" w:rsidP="00527C18">
      <w:pPr>
        <w:pStyle w:val="Heading1"/>
        <w:tabs>
          <w:tab w:val="left" w:pos="1276"/>
        </w:tabs>
        <w:spacing w:before="0" w:after="240"/>
        <w:ind w:firstLine="0"/>
        <w:jc w:val="left"/>
        <w:rPr>
          <w:rFonts w:ascii="Times New Roman" w:hAnsi="Times New Roman"/>
          <w:color w:val="18185E"/>
          <w:sz w:val="24"/>
        </w:rPr>
      </w:pPr>
      <w:bookmarkStart w:id="2" w:name="_Toc431197078"/>
      <w:r>
        <w:rPr>
          <w:rFonts w:ascii="Times New Roman" w:hAnsi="Times New Roman"/>
          <w:color w:val="18185E"/>
          <w:sz w:val="24"/>
        </w:rPr>
        <w:t>Tabula 0.i)</w:t>
      </w:r>
      <w:r w:rsidR="00527C18" w:rsidRPr="00527C18">
        <w:rPr>
          <w:rFonts w:ascii="Times New Roman" w:hAnsi="Times New Roman"/>
          <w:color w:val="18185E"/>
          <w:sz w:val="24"/>
        </w:rPr>
        <w:t>. Ārējās vides pamata pieņēmumi</w:t>
      </w:r>
      <w:bookmarkEnd w:id="2"/>
    </w:p>
    <w:tbl>
      <w:tblPr>
        <w:tblStyle w:val="GridTable6Colorful-Accent11"/>
        <w:tblW w:w="9072" w:type="dxa"/>
        <w:jc w:val="center"/>
        <w:tblLayout w:type="fixed"/>
        <w:tblLook w:val="04A0" w:firstRow="1" w:lastRow="0" w:firstColumn="1" w:lastColumn="0" w:noHBand="0" w:noVBand="1"/>
      </w:tblPr>
      <w:tblGrid>
        <w:gridCol w:w="6799"/>
        <w:gridCol w:w="776"/>
        <w:gridCol w:w="788"/>
        <w:gridCol w:w="709"/>
      </w:tblGrid>
      <w:tr w:rsidR="00527C18" w:rsidRPr="00E877ED" w14:paraId="3B2FBD51" w14:textId="77777777" w:rsidTr="00E877E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14:paraId="241C13F4" w14:textId="77777777" w:rsidR="00527C18" w:rsidRPr="00527C18" w:rsidRDefault="00527C18" w:rsidP="00527C18">
            <w:pPr>
              <w:spacing w:after="0"/>
              <w:ind w:firstLine="0"/>
              <w:jc w:val="left"/>
              <w:rPr>
                <w:rFonts w:ascii="Arial" w:hAnsi="Arial" w:cs="Arial"/>
                <w:color w:val="auto"/>
                <w:lang w:eastAsia="lv-LV"/>
              </w:rPr>
            </w:pPr>
            <w:r w:rsidRPr="00527C18">
              <w:rPr>
                <w:rFonts w:ascii="Arial" w:hAnsi="Arial" w:cs="Arial"/>
                <w:color w:val="auto"/>
                <w:lang w:eastAsia="lv-LV"/>
              </w:rPr>
              <w:t> </w:t>
            </w:r>
          </w:p>
        </w:tc>
        <w:tc>
          <w:tcPr>
            <w:tcW w:w="776" w:type="dxa"/>
            <w:vAlign w:val="center"/>
            <w:hideMark/>
          </w:tcPr>
          <w:p w14:paraId="0E883F68" w14:textId="77777777" w:rsidR="00527C18" w:rsidRPr="00527C18" w:rsidRDefault="00527C18"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2014</w:t>
            </w:r>
          </w:p>
        </w:tc>
        <w:tc>
          <w:tcPr>
            <w:tcW w:w="788" w:type="dxa"/>
            <w:vAlign w:val="center"/>
            <w:hideMark/>
          </w:tcPr>
          <w:p w14:paraId="1BF541C4" w14:textId="77777777" w:rsidR="00527C18" w:rsidRPr="00527C18" w:rsidRDefault="00527C18"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2015</w:t>
            </w:r>
          </w:p>
        </w:tc>
        <w:tc>
          <w:tcPr>
            <w:tcW w:w="709" w:type="dxa"/>
            <w:vAlign w:val="center"/>
            <w:hideMark/>
          </w:tcPr>
          <w:p w14:paraId="2AE8AC89" w14:textId="77777777" w:rsidR="00527C18" w:rsidRPr="00527C18" w:rsidRDefault="00527C18"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2016</w:t>
            </w:r>
          </w:p>
        </w:tc>
      </w:tr>
      <w:tr w:rsidR="00527C18" w:rsidRPr="00E877ED" w14:paraId="11AAE9E9" w14:textId="77777777" w:rsidTr="00E877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317E9316" w14:textId="373324B6" w:rsidR="00527C18" w:rsidRPr="00527C18" w:rsidRDefault="00527C18" w:rsidP="00083DC0">
            <w:pPr>
              <w:spacing w:after="0"/>
              <w:ind w:firstLine="0"/>
              <w:jc w:val="left"/>
              <w:rPr>
                <w:color w:val="auto"/>
                <w:szCs w:val="22"/>
                <w:lang w:eastAsia="lv-LV"/>
              </w:rPr>
            </w:pPr>
            <w:r w:rsidRPr="00527C18">
              <w:rPr>
                <w:color w:val="auto"/>
                <w:szCs w:val="22"/>
                <w:lang w:eastAsia="lv-LV"/>
              </w:rPr>
              <w:t xml:space="preserve">Īstermiņa procentu likme </w:t>
            </w:r>
            <w:r w:rsidR="00083DC0">
              <w:rPr>
                <w:i/>
                <w:color w:val="auto"/>
                <w:szCs w:val="22"/>
                <w:lang w:eastAsia="lv-LV"/>
              </w:rPr>
              <w:t>euro</w:t>
            </w:r>
            <w:r w:rsidR="00083DC0">
              <w:rPr>
                <w:color w:val="auto"/>
                <w:szCs w:val="22"/>
                <w:lang w:eastAsia="lv-LV"/>
              </w:rPr>
              <w:t xml:space="preserve"> </w:t>
            </w:r>
            <w:r w:rsidRPr="00527C18">
              <w:rPr>
                <w:color w:val="auto"/>
                <w:szCs w:val="22"/>
                <w:lang w:eastAsia="lv-LV"/>
              </w:rPr>
              <w:t>zonā (gada vidējā)</w:t>
            </w:r>
          </w:p>
        </w:tc>
        <w:tc>
          <w:tcPr>
            <w:tcW w:w="776" w:type="dxa"/>
            <w:vAlign w:val="center"/>
            <w:hideMark/>
          </w:tcPr>
          <w:p w14:paraId="4D576841"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 </w:t>
            </w:r>
          </w:p>
        </w:tc>
        <w:tc>
          <w:tcPr>
            <w:tcW w:w="788" w:type="dxa"/>
            <w:vAlign w:val="center"/>
            <w:hideMark/>
          </w:tcPr>
          <w:p w14:paraId="2D476706"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0,0</w:t>
            </w:r>
          </w:p>
        </w:tc>
        <w:tc>
          <w:tcPr>
            <w:tcW w:w="709" w:type="dxa"/>
            <w:vAlign w:val="center"/>
            <w:hideMark/>
          </w:tcPr>
          <w:p w14:paraId="274809C1"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0,0</w:t>
            </w:r>
          </w:p>
        </w:tc>
      </w:tr>
      <w:tr w:rsidR="00527C18" w:rsidRPr="00E877ED" w14:paraId="66B8BFD9" w14:textId="77777777" w:rsidTr="00E877E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4DC5D58" w14:textId="0CE66A17" w:rsidR="00527C18" w:rsidRPr="00527C18" w:rsidRDefault="00527C18" w:rsidP="00083DC0">
            <w:pPr>
              <w:spacing w:after="0"/>
              <w:ind w:firstLine="0"/>
              <w:jc w:val="left"/>
              <w:rPr>
                <w:color w:val="auto"/>
                <w:szCs w:val="22"/>
                <w:lang w:eastAsia="lv-LV"/>
              </w:rPr>
            </w:pPr>
            <w:r w:rsidRPr="00527C18">
              <w:rPr>
                <w:color w:val="auto"/>
                <w:szCs w:val="22"/>
                <w:lang w:eastAsia="lv-LV"/>
              </w:rPr>
              <w:t xml:space="preserve">Ilgtermiņa procentu likme </w:t>
            </w:r>
            <w:r w:rsidR="00083DC0">
              <w:rPr>
                <w:i/>
                <w:color w:val="auto"/>
                <w:szCs w:val="22"/>
                <w:lang w:eastAsia="lv-LV"/>
              </w:rPr>
              <w:t>euro</w:t>
            </w:r>
            <w:r w:rsidR="00083DC0">
              <w:rPr>
                <w:color w:val="auto"/>
                <w:szCs w:val="22"/>
                <w:lang w:eastAsia="lv-LV"/>
              </w:rPr>
              <w:t xml:space="preserve"> </w:t>
            </w:r>
            <w:r w:rsidRPr="00527C18">
              <w:rPr>
                <w:color w:val="auto"/>
                <w:szCs w:val="22"/>
                <w:lang w:eastAsia="lv-LV"/>
              </w:rPr>
              <w:t>zonā (gada vidējā)</w:t>
            </w:r>
          </w:p>
        </w:tc>
        <w:tc>
          <w:tcPr>
            <w:tcW w:w="776" w:type="dxa"/>
            <w:vAlign w:val="center"/>
            <w:hideMark/>
          </w:tcPr>
          <w:p w14:paraId="17B8E8F3"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 </w:t>
            </w:r>
          </w:p>
        </w:tc>
        <w:tc>
          <w:tcPr>
            <w:tcW w:w="788" w:type="dxa"/>
            <w:vAlign w:val="center"/>
            <w:hideMark/>
          </w:tcPr>
          <w:p w14:paraId="2BCD6A40"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0,2</w:t>
            </w:r>
          </w:p>
        </w:tc>
        <w:tc>
          <w:tcPr>
            <w:tcW w:w="709" w:type="dxa"/>
            <w:vAlign w:val="center"/>
            <w:hideMark/>
          </w:tcPr>
          <w:p w14:paraId="0271E708"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0,3</w:t>
            </w:r>
          </w:p>
        </w:tc>
      </w:tr>
      <w:tr w:rsidR="00527C18" w:rsidRPr="00E877ED" w14:paraId="2FD3BCF5" w14:textId="77777777" w:rsidTr="00E877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8A4CC89"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USD/EUR kurss (gada vidējais)</w:t>
            </w:r>
          </w:p>
        </w:tc>
        <w:tc>
          <w:tcPr>
            <w:tcW w:w="776" w:type="dxa"/>
            <w:vAlign w:val="center"/>
            <w:hideMark/>
          </w:tcPr>
          <w:p w14:paraId="66D50B5D"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1,3</w:t>
            </w:r>
          </w:p>
        </w:tc>
        <w:tc>
          <w:tcPr>
            <w:tcW w:w="788" w:type="dxa"/>
            <w:vAlign w:val="center"/>
            <w:hideMark/>
          </w:tcPr>
          <w:p w14:paraId="1621CDCC"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1,1</w:t>
            </w:r>
          </w:p>
        </w:tc>
        <w:tc>
          <w:tcPr>
            <w:tcW w:w="709" w:type="dxa"/>
            <w:vAlign w:val="center"/>
            <w:hideMark/>
          </w:tcPr>
          <w:p w14:paraId="29E0CAE0"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1,1</w:t>
            </w:r>
          </w:p>
        </w:tc>
      </w:tr>
      <w:tr w:rsidR="00527C18" w:rsidRPr="00E877ED" w14:paraId="79814AFD" w14:textId="77777777" w:rsidTr="00E877E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904C4B7"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Nominālais efektīvais maiņas kurss ES</w:t>
            </w:r>
          </w:p>
        </w:tc>
        <w:tc>
          <w:tcPr>
            <w:tcW w:w="776" w:type="dxa"/>
            <w:vAlign w:val="center"/>
            <w:hideMark/>
          </w:tcPr>
          <w:p w14:paraId="2A4839AD"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4,6</w:t>
            </w:r>
          </w:p>
        </w:tc>
        <w:tc>
          <w:tcPr>
            <w:tcW w:w="788" w:type="dxa"/>
            <w:vAlign w:val="center"/>
            <w:hideMark/>
          </w:tcPr>
          <w:p w14:paraId="2FD96A9B"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-10,7</w:t>
            </w:r>
          </w:p>
        </w:tc>
        <w:tc>
          <w:tcPr>
            <w:tcW w:w="709" w:type="dxa"/>
            <w:vAlign w:val="center"/>
            <w:hideMark/>
          </w:tcPr>
          <w:p w14:paraId="42DB7E19"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-0,8</w:t>
            </w:r>
          </w:p>
        </w:tc>
      </w:tr>
      <w:tr w:rsidR="00527C18" w:rsidRPr="00E877ED" w14:paraId="26EDB47D" w14:textId="77777777" w:rsidTr="00E877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7026B7CE"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IKP, izņemot ES, pieaugums salīdzināmās cenās, %</w:t>
            </w:r>
          </w:p>
        </w:tc>
        <w:tc>
          <w:tcPr>
            <w:tcW w:w="776" w:type="dxa"/>
            <w:vAlign w:val="center"/>
            <w:hideMark/>
          </w:tcPr>
          <w:p w14:paraId="2715205A"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3,8</w:t>
            </w:r>
          </w:p>
        </w:tc>
        <w:tc>
          <w:tcPr>
            <w:tcW w:w="788" w:type="dxa"/>
            <w:vAlign w:val="center"/>
            <w:hideMark/>
          </w:tcPr>
          <w:p w14:paraId="7086D916"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3,8</w:t>
            </w:r>
          </w:p>
        </w:tc>
        <w:tc>
          <w:tcPr>
            <w:tcW w:w="709" w:type="dxa"/>
            <w:vAlign w:val="center"/>
            <w:hideMark/>
          </w:tcPr>
          <w:p w14:paraId="00430A45"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4,3</w:t>
            </w:r>
          </w:p>
        </w:tc>
      </w:tr>
      <w:tr w:rsidR="00527C18" w:rsidRPr="00E877ED" w14:paraId="4936BCD2" w14:textId="77777777" w:rsidTr="00E877E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831D477"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ES IKP pieaugums salīdzināmās cenās, %</w:t>
            </w:r>
          </w:p>
        </w:tc>
        <w:tc>
          <w:tcPr>
            <w:tcW w:w="776" w:type="dxa"/>
            <w:vAlign w:val="center"/>
            <w:hideMark/>
          </w:tcPr>
          <w:p w14:paraId="61F04EFA"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1,4</w:t>
            </w:r>
          </w:p>
        </w:tc>
        <w:tc>
          <w:tcPr>
            <w:tcW w:w="788" w:type="dxa"/>
            <w:vAlign w:val="center"/>
            <w:hideMark/>
          </w:tcPr>
          <w:p w14:paraId="5B12B173"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1,8</w:t>
            </w:r>
          </w:p>
        </w:tc>
        <w:tc>
          <w:tcPr>
            <w:tcW w:w="709" w:type="dxa"/>
            <w:vAlign w:val="center"/>
            <w:hideMark/>
          </w:tcPr>
          <w:p w14:paraId="772E6071"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2,1</w:t>
            </w:r>
          </w:p>
        </w:tc>
      </w:tr>
      <w:tr w:rsidR="00527C18" w:rsidRPr="00E877ED" w14:paraId="55CCB281" w14:textId="77777777" w:rsidTr="00E877ED">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3F6A22C"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preču un pakalpojumu tirdzniecības apjomu izmaiņas ES eksporta tirgos, izslēdzot ES, %</w:t>
            </w:r>
          </w:p>
        </w:tc>
        <w:tc>
          <w:tcPr>
            <w:tcW w:w="776" w:type="dxa"/>
            <w:vAlign w:val="center"/>
            <w:hideMark/>
          </w:tcPr>
          <w:p w14:paraId="37AE67E1"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3,0</w:t>
            </w:r>
          </w:p>
        </w:tc>
        <w:tc>
          <w:tcPr>
            <w:tcW w:w="788" w:type="dxa"/>
            <w:vAlign w:val="center"/>
            <w:hideMark/>
          </w:tcPr>
          <w:p w14:paraId="38D40532"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3,9</w:t>
            </w:r>
          </w:p>
        </w:tc>
        <w:tc>
          <w:tcPr>
            <w:tcW w:w="709" w:type="dxa"/>
            <w:vAlign w:val="center"/>
            <w:hideMark/>
          </w:tcPr>
          <w:p w14:paraId="38D81C91"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4,8</w:t>
            </w:r>
          </w:p>
        </w:tc>
      </w:tr>
      <w:tr w:rsidR="00527C18" w:rsidRPr="00E877ED" w14:paraId="35A8B841" w14:textId="77777777" w:rsidTr="00E877E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8E8D1D0"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preču un pakalpojumu importa apjomu izmaiņas, izslēdzot ES, %</w:t>
            </w:r>
          </w:p>
        </w:tc>
        <w:tc>
          <w:tcPr>
            <w:tcW w:w="776" w:type="dxa"/>
            <w:vAlign w:val="center"/>
            <w:hideMark/>
          </w:tcPr>
          <w:p w14:paraId="6DA18842"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3,0</w:t>
            </w:r>
          </w:p>
        </w:tc>
        <w:tc>
          <w:tcPr>
            <w:tcW w:w="788" w:type="dxa"/>
            <w:vAlign w:val="center"/>
            <w:hideMark/>
          </w:tcPr>
          <w:p w14:paraId="68F54476"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3,9</w:t>
            </w:r>
          </w:p>
        </w:tc>
        <w:tc>
          <w:tcPr>
            <w:tcW w:w="709" w:type="dxa"/>
            <w:vAlign w:val="center"/>
            <w:hideMark/>
          </w:tcPr>
          <w:p w14:paraId="24503FB5" w14:textId="77777777"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527C18">
              <w:rPr>
                <w:color w:val="auto"/>
                <w:szCs w:val="22"/>
                <w:lang w:eastAsia="lv-LV"/>
              </w:rPr>
              <w:t>4,8</w:t>
            </w:r>
          </w:p>
        </w:tc>
      </w:tr>
      <w:tr w:rsidR="00527C18" w:rsidRPr="00E877ED" w14:paraId="293413CB" w14:textId="77777777" w:rsidTr="00E877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4B1639E"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Naftas cena (</w:t>
            </w:r>
            <w:r w:rsidRPr="00381267">
              <w:rPr>
                <w:i/>
                <w:color w:val="auto"/>
                <w:szCs w:val="22"/>
                <w:lang w:eastAsia="lv-LV"/>
              </w:rPr>
              <w:t>Brent</w:t>
            </w:r>
            <w:r w:rsidRPr="00527C18">
              <w:rPr>
                <w:color w:val="auto"/>
                <w:szCs w:val="22"/>
                <w:lang w:eastAsia="lv-LV"/>
              </w:rPr>
              <w:t>, USD par barelu)</w:t>
            </w:r>
          </w:p>
        </w:tc>
        <w:tc>
          <w:tcPr>
            <w:tcW w:w="776" w:type="dxa"/>
            <w:vAlign w:val="center"/>
            <w:hideMark/>
          </w:tcPr>
          <w:p w14:paraId="0084583B"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99,7</w:t>
            </w:r>
          </w:p>
        </w:tc>
        <w:tc>
          <w:tcPr>
            <w:tcW w:w="788" w:type="dxa"/>
            <w:vAlign w:val="center"/>
            <w:hideMark/>
          </w:tcPr>
          <w:p w14:paraId="703988D3"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59,4</w:t>
            </w:r>
          </w:p>
        </w:tc>
        <w:tc>
          <w:tcPr>
            <w:tcW w:w="709" w:type="dxa"/>
            <w:vAlign w:val="center"/>
            <w:hideMark/>
          </w:tcPr>
          <w:p w14:paraId="6A430C19" w14:textId="777777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527C18">
              <w:rPr>
                <w:color w:val="auto"/>
                <w:szCs w:val="22"/>
                <w:lang w:eastAsia="lv-LV"/>
              </w:rPr>
              <w:t>66,0</w:t>
            </w:r>
          </w:p>
        </w:tc>
      </w:tr>
    </w:tbl>
    <w:p w14:paraId="51D2B2F6" w14:textId="77777777" w:rsidR="00527C18" w:rsidRPr="006F7B6D" w:rsidRDefault="00527C18" w:rsidP="002E3D3D">
      <w:pPr>
        <w:spacing w:after="0"/>
        <w:ind w:firstLine="720"/>
        <w:rPr>
          <w:szCs w:val="24"/>
        </w:rPr>
      </w:pPr>
    </w:p>
    <w:p w14:paraId="748CAA69" w14:textId="77777777" w:rsidR="002E3D3D" w:rsidRPr="002E3D3D" w:rsidRDefault="002E3D3D" w:rsidP="002E3D3D">
      <w:pPr>
        <w:ind w:firstLine="0"/>
        <w:rPr>
          <w:lang w:val="x-none" w:eastAsia="x-none"/>
        </w:rPr>
      </w:pPr>
    </w:p>
    <w:p w14:paraId="195196A6" w14:textId="77777777" w:rsidR="00527C18" w:rsidRDefault="00527C18">
      <w:pPr>
        <w:spacing w:after="0"/>
        <w:ind w:firstLine="0"/>
        <w:jc w:val="left"/>
        <w:rPr>
          <w:b/>
          <w:bCs/>
          <w:color w:val="18185E"/>
          <w:szCs w:val="28"/>
          <w:lang w:val="x-none" w:eastAsia="x-none"/>
        </w:rPr>
      </w:pPr>
      <w:r>
        <w:rPr>
          <w:color w:val="18185E"/>
        </w:rPr>
        <w:br w:type="page"/>
      </w:r>
    </w:p>
    <w:p w14:paraId="50783C64" w14:textId="6298C1D9"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3" w:name="_Toc431197079"/>
      <w:r w:rsidRPr="001D5709">
        <w:rPr>
          <w:rFonts w:ascii="Times New Roman" w:hAnsi="Times New Roman"/>
          <w:color w:val="18185E"/>
          <w:sz w:val="24"/>
        </w:rPr>
        <w:t>Tabula 1a: Izaugsme un ar to saistītie faktori</w:t>
      </w:r>
      <w:bookmarkEnd w:id="3"/>
    </w:p>
    <w:tbl>
      <w:tblPr>
        <w:tblStyle w:val="GridTable6Colorful-Accent11"/>
        <w:tblW w:w="9072" w:type="dxa"/>
        <w:jc w:val="center"/>
        <w:tblLayout w:type="fixed"/>
        <w:tblLook w:val="04A0" w:firstRow="1" w:lastRow="0" w:firstColumn="1" w:lastColumn="0" w:noHBand="0" w:noVBand="1"/>
      </w:tblPr>
      <w:tblGrid>
        <w:gridCol w:w="3119"/>
        <w:gridCol w:w="1417"/>
        <w:gridCol w:w="1418"/>
        <w:gridCol w:w="1134"/>
        <w:gridCol w:w="1129"/>
        <w:gridCol w:w="855"/>
      </w:tblGrid>
      <w:tr w:rsidR="00C32D1D" w:rsidRPr="001B0074" w14:paraId="2C7CD67A" w14:textId="77777777" w:rsidTr="001B0074">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FB1A611" w14:textId="77777777" w:rsidR="00C32D1D" w:rsidRPr="001B0074" w:rsidRDefault="00C32D1D" w:rsidP="006B2FB4">
            <w:pPr>
              <w:spacing w:after="0"/>
              <w:ind w:firstLineChars="100" w:firstLine="241"/>
              <w:jc w:val="left"/>
              <w:rPr>
                <w:color w:val="000000"/>
                <w:szCs w:val="24"/>
                <w:lang w:eastAsia="lv-LV"/>
              </w:rPr>
            </w:pPr>
            <w:r w:rsidRPr="001B0074">
              <w:rPr>
                <w:color w:val="000000"/>
                <w:szCs w:val="24"/>
                <w:lang w:eastAsia="lv-LV"/>
              </w:rPr>
              <w:t> </w:t>
            </w:r>
          </w:p>
        </w:tc>
        <w:tc>
          <w:tcPr>
            <w:tcW w:w="1417" w:type="dxa"/>
            <w:vAlign w:val="center"/>
            <w:hideMark/>
          </w:tcPr>
          <w:p w14:paraId="4D3C9691" w14:textId="7670BF9E" w:rsidR="00C32D1D" w:rsidRPr="001B0074"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w:t>
            </w:r>
            <w:r w:rsidR="00381267" w:rsidRPr="001B0074">
              <w:rPr>
                <w:rStyle w:val="FootnoteReference"/>
                <w:rFonts w:ascii="Times New Roman" w:hAnsi="Times New Roman"/>
                <w:color w:val="000000"/>
                <w:sz w:val="24"/>
                <w:szCs w:val="24"/>
                <w:lang w:eastAsia="lv-LV"/>
              </w:rPr>
              <w:footnoteReference w:id="3"/>
            </w:r>
            <w:r w:rsidRPr="001B0074">
              <w:rPr>
                <w:color w:val="000000"/>
                <w:szCs w:val="24"/>
                <w:lang w:eastAsia="lv-LV"/>
              </w:rPr>
              <w:t xml:space="preserve"> k</w:t>
            </w:r>
            <w:r w:rsidR="00C32D1D" w:rsidRPr="001B0074">
              <w:rPr>
                <w:color w:val="000000"/>
                <w:szCs w:val="24"/>
                <w:lang w:eastAsia="lv-LV"/>
              </w:rPr>
              <w:t>ods</w:t>
            </w:r>
          </w:p>
        </w:tc>
        <w:tc>
          <w:tcPr>
            <w:tcW w:w="1418" w:type="dxa"/>
            <w:vAlign w:val="center"/>
            <w:hideMark/>
          </w:tcPr>
          <w:p w14:paraId="286921F4" w14:textId="0FB6B70C" w:rsidR="00C32D1D" w:rsidRPr="001B0074" w:rsidRDefault="0071244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2014</w:t>
            </w:r>
          </w:p>
        </w:tc>
        <w:tc>
          <w:tcPr>
            <w:tcW w:w="1134" w:type="dxa"/>
            <w:vAlign w:val="center"/>
            <w:hideMark/>
          </w:tcPr>
          <w:p w14:paraId="644848FB" w14:textId="5BC76ACF" w:rsidR="00C32D1D" w:rsidRPr="001B0074" w:rsidRDefault="0071244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2014</w:t>
            </w:r>
          </w:p>
        </w:tc>
        <w:tc>
          <w:tcPr>
            <w:tcW w:w="1129" w:type="dxa"/>
            <w:vAlign w:val="center"/>
            <w:hideMark/>
          </w:tcPr>
          <w:p w14:paraId="4424BFFE" w14:textId="5CF50268" w:rsidR="00C32D1D" w:rsidRPr="001B0074" w:rsidRDefault="0071244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2015</w:t>
            </w:r>
          </w:p>
        </w:tc>
        <w:tc>
          <w:tcPr>
            <w:tcW w:w="855" w:type="dxa"/>
            <w:vAlign w:val="center"/>
            <w:hideMark/>
          </w:tcPr>
          <w:p w14:paraId="50E641F3" w14:textId="0A66C374" w:rsidR="00C32D1D" w:rsidRPr="001B0074" w:rsidRDefault="0071244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2016</w:t>
            </w:r>
          </w:p>
        </w:tc>
      </w:tr>
      <w:tr w:rsidR="00C32D1D" w:rsidRPr="001B0074" w14:paraId="39F54910" w14:textId="77777777" w:rsidTr="00777B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C3CDFEF" w14:textId="77777777" w:rsidR="00C32D1D" w:rsidRPr="001B0074" w:rsidRDefault="00C32D1D" w:rsidP="006B2FB4">
            <w:pPr>
              <w:spacing w:after="0"/>
              <w:ind w:firstLineChars="100" w:firstLine="241"/>
              <w:jc w:val="left"/>
              <w:rPr>
                <w:color w:val="000000"/>
                <w:szCs w:val="24"/>
                <w:lang w:eastAsia="lv-LV"/>
              </w:rPr>
            </w:pPr>
            <w:r w:rsidRPr="001B0074">
              <w:rPr>
                <w:color w:val="000000"/>
                <w:szCs w:val="24"/>
                <w:lang w:eastAsia="lv-LV"/>
              </w:rPr>
              <w:t> </w:t>
            </w:r>
          </w:p>
        </w:tc>
        <w:tc>
          <w:tcPr>
            <w:tcW w:w="1417" w:type="dxa"/>
            <w:vAlign w:val="center"/>
            <w:hideMark/>
          </w:tcPr>
          <w:p w14:paraId="5667B6F4" w14:textId="7B3FBCD5"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hideMark/>
          </w:tcPr>
          <w:p w14:paraId="63E29464" w14:textId="57BD8FDE" w:rsidR="00C32D1D" w:rsidRPr="001B0074" w:rsidRDefault="005B0736" w:rsidP="006B2FB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118" w:type="dxa"/>
            <w:gridSpan w:val="3"/>
            <w:hideMark/>
          </w:tcPr>
          <w:p w14:paraId="0663B3CC" w14:textId="77777777" w:rsidR="00C32D1D" w:rsidRPr="001B0074" w:rsidRDefault="00C32D1D" w:rsidP="0038126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C32D1D" w:rsidRPr="001B0074" w14:paraId="56D10053"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200CE3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 Reālais IKP</w:t>
            </w:r>
          </w:p>
        </w:tc>
        <w:tc>
          <w:tcPr>
            <w:tcW w:w="1417" w:type="dxa"/>
            <w:vAlign w:val="center"/>
            <w:hideMark/>
          </w:tcPr>
          <w:p w14:paraId="43F4FBC9"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418" w:type="dxa"/>
            <w:vAlign w:val="center"/>
          </w:tcPr>
          <w:p w14:paraId="286C3100" w14:textId="61FFA2AC" w:rsidR="00C32D1D" w:rsidRPr="001B0074" w:rsidRDefault="009A5E0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21,3</w:t>
            </w:r>
          </w:p>
        </w:tc>
        <w:tc>
          <w:tcPr>
            <w:tcW w:w="1134" w:type="dxa"/>
            <w:vAlign w:val="center"/>
          </w:tcPr>
          <w:p w14:paraId="59A0A4D1" w14:textId="40005F01" w:rsidR="00C32D1D" w:rsidRPr="001B0074" w:rsidRDefault="009A5E0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2,4</w:t>
            </w:r>
          </w:p>
        </w:tc>
        <w:tc>
          <w:tcPr>
            <w:tcW w:w="1129" w:type="dxa"/>
            <w:vAlign w:val="center"/>
          </w:tcPr>
          <w:p w14:paraId="02DFBB46" w14:textId="4277E7DE" w:rsidR="00C32D1D" w:rsidRPr="001B0074" w:rsidRDefault="009A5E0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2,1</w:t>
            </w:r>
          </w:p>
        </w:tc>
        <w:tc>
          <w:tcPr>
            <w:tcW w:w="855" w:type="dxa"/>
            <w:vAlign w:val="center"/>
          </w:tcPr>
          <w:p w14:paraId="5C201BA2" w14:textId="612C3BC8" w:rsidR="00C32D1D" w:rsidRPr="001B0074" w:rsidRDefault="009A5E0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3,0</w:t>
            </w:r>
          </w:p>
        </w:tc>
      </w:tr>
      <w:tr w:rsidR="00C32D1D" w:rsidRPr="001B0074" w14:paraId="5605DA46"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B066544"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no kā</w:t>
            </w:r>
          </w:p>
        </w:tc>
        <w:tc>
          <w:tcPr>
            <w:tcW w:w="1417" w:type="dxa"/>
            <w:vAlign w:val="center"/>
            <w:hideMark/>
          </w:tcPr>
          <w:p w14:paraId="2F67B7DF" w14:textId="573C2EE3"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3905BB81" w14:textId="1D761591"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BF7275F" w14:textId="2F2444F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43AE2361" w14:textId="1DBB226C"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0A901F1A" w14:textId="6068561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0C88CFF1" w14:textId="77777777" w:rsidTr="00777B3F">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9938141"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pieskaitāmi aprēķinātajai ietekmei no budžeta pasākumiem uz ekonomikas izaugsmi</w:t>
            </w:r>
          </w:p>
        </w:tc>
        <w:tc>
          <w:tcPr>
            <w:tcW w:w="1417" w:type="dxa"/>
            <w:vAlign w:val="center"/>
            <w:hideMark/>
          </w:tcPr>
          <w:p w14:paraId="6AD25B93" w14:textId="3ADFAFE1"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231002C0" w14:textId="34229135"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8464C67" w14:textId="0C33A3E0"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7BEDDE49" w14:textId="0E1D1176"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6F7592AC" w14:textId="562615BF"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2E079AC5"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79E02F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2. Potenciālais IKP</w:t>
            </w:r>
          </w:p>
        </w:tc>
        <w:tc>
          <w:tcPr>
            <w:tcW w:w="1417" w:type="dxa"/>
            <w:vAlign w:val="center"/>
            <w:hideMark/>
          </w:tcPr>
          <w:p w14:paraId="03E51408" w14:textId="326B166B"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063E16E8" w14:textId="4D6593D5"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21,2</w:t>
            </w:r>
          </w:p>
        </w:tc>
        <w:tc>
          <w:tcPr>
            <w:tcW w:w="1134" w:type="dxa"/>
            <w:vAlign w:val="center"/>
          </w:tcPr>
          <w:p w14:paraId="170164E7" w14:textId="11DACF9E"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2,5</w:t>
            </w:r>
          </w:p>
        </w:tc>
        <w:tc>
          <w:tcPr>
            <w:tcW w:w="1129" w:type="dxa"/>
            <w:vAlign w:val="center"/>
          </w:tcPr>
          <w:p w14:paraId="2B88A240" w14:textId="60A62EA1"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2,9</w:t>
            </w:r>
          </w:p>
        </w:tc>
        <w:tc>
          <w:tcPr>
            <w:tcW w:w="855" w:type="dxa"/>
            <w:vAlign w:val="center"/>
          </w:tcPr>
          <w:p w14:paraId="33C52ACC" w14:textId="5A5089F6"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3,1</w:t>
            </w:r>
          </w:p>
        </w:tc>
      </w:tr>
      <w:tr w:rsidR="00C32D1D" w:rsidRPr="001B0074" w14:paraId="5AB35A65"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4C9360E"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Devums</w:t>
            </w:r>
          </w:p>
        </w:tc>
        <w:tc>
          <w:tcPr>
            <w:tcW w:w="1417" w:type="dxa"/>
            <w:vAlign w:val="center"/>
            <w:hideMark/>
          </w:tcPr>
          <w:p w14:paraId="662BA3A8" w14:textId="5147CBE1"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33324584" w14:textId="64706CE8"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2AA1987E" w14:textId="2C701F60"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1463F4D0" w14:textId="5E2E2C8E"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59B39DA3" w14:textId="1641322A"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5BCD47F2"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D9FA8EA" w14:textId="67819BE8" w:rsidR="00C32D1D" w:rsidRPr="001B0074" w:rsidRDefault="00381267" w:rsidP="006B2FB4">
            <w:pPr>
              <w:spacing w:after="0"/>
              <w:ind w:firstLine="0"/>
              <w:jc w:val="left"/>
              <w:rPr>
                <w:color w:val="000000"/>
                <w:szCs w:val="24"/>
                <w:lang w:eastAsia="lv-LV"/>
              </w:rPr>
            </w:pPr>
            <w:r w:rsidRPr="001B0074">
              <w:rPr>
                <w:color w:val="000000"/>
                <w:szCs w:val="24"/>
                <w:lang w:eastAsia="lv-LV"/>
              </w:rPr>
              <w:t>Devums pot.IKP: darba s</w:t>
            </w:r>
            <w:r w:rsidR="00C32D1D" w:rsidRPr="001B0074">
              <w:rPr>
                <w:color w:val="000000"/>
                <w:szCs w:val="24"/>
                <w:lang w:eastAsia="lv-LV"/>
              </w:rPr>
              <w:t>pēks</w:t>
            </w:r>
          </w:p>
        </w:tc>
        <w:tc>
          <w:tcPr>
            <w:tcW w:w="1417" w:type="dxa"/>
            <w:vAlign w:val="center"/>
            <w:hideMark/>
          </w:tcPr>
          <w:p w14:paraId="611FD2C7" w14:textId="4A655BBE"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1CE5F7DC" w14:textId="5E3C0A8E"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3D62650D" w14:textId="73ABC38B"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0,0</w:t>
            </w:r>
          </w:p>
        </w:tc>
        <w:tc>
          <w:tcPr>
            <w:tcW w:w="1129" w:type="dxa"/>
            <w:vAlign w:val="center"/>
          </w:tcPr>
          <w:p w14:paraId="02CB6B0F" w14:textId="1710A28E"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0,2</w:t>
            </w:r>
          </w:p>
        </w:tc>
        <w:tc>
          <w:tcPr>
            <w:tcW w:w="855" w:type="dxa"/>
            <w:vAlign w:val="center"/>
          </w:tcPr>
          <w:p w14:paraId="50D6CEED" w14:textId="478E47BA"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0,3</w:t>
            </w:r>
          </w:p>
        </w:tc>
      </w:tr>
      <w:tr w:rsidR="00C32D1D" w:rsidRPr="001B0074" w14:paraId="06AC0139"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D4DE454" w14:textId="48966A1C"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Devums </w:t>
            </w:r>
            <w:r w:rsidR="00381267" w:rsidRPr="001B0074">
              <w:rPr>
                <w:color w:val="000000"/>
                <w:szCs w:val="24"/>
                <w:lang w:eastAsia="lv-LV"/>
              </w:rPr>
              <w:t>pot.IKP: k</w:t>
            </w:r>
            <w:r w:rsidRPr="001B0074">
              <w:rPr>
                <w:color w:val="000000"/>
                <w:szCs w:val="24"/>
                <w:lang w:eastAsia="lv-LV"/>
              </w:rPr>
              <w:t>apitāls</w:t>
            </w:r>
          </w:p>
        </w:tc>
        <w:tc>
          <w:tcPr>
            <w:tcW w:w="1417" w:type="dxa"/>
            <w:vAlign w:val="center"/>
            <w:hideMark/>
          </w:tcPr>
          <w:p w14:paraId="603D6D6A" w14:textId="2D7D5C2B"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2F9B61F0" w14:textId="37B806A1"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7708F346" w14:textId="3952E13A" w:rsidR="00C32D1D" w:rsidRPr="001B0074" w:rsidRDefault="009A5E0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1,1</w:t>
            </w:r>
          </w:p>
        </w:tc>
        <w:tc>
          <w:tcPr>
            <w:tcW w:w="1129" w:type="dxa"/>
            <w:vAlign w:val="center"/>
          </w:tcPr>
          <w:p w14:paraId="2D69C263" w14:textId="56D582A2" w:rsidR="00C32D1D" w:rsidRPr="001B0074" w:rsidRDefault="009A5E0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1,0</w:t>
            </w:r>
          </w:p>
        </w:tc>
        <w:tc>
          <w:tcPr>
            <w:tcW w:w="855" w:type="dxa"/>
            <w:vAlign w:val="center"/>
          </w:tcPr>
          <w:p w14:paraId="4D53107A" w14:textId="49D56962" w:rsidR="00C32D1D" w:rsidRPr="001B0074" w:rsidRDefault="009A5E0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1,0</w:t>
            </w:r>
          </w:p>
        </w:tc>
      </w:tr>
      <w:tr w:rsidR="00C32D1D" w:rsidRPr="001B0074" w14:paraId="0A947751" w14:textId="77777777" w:rsidTr="00777B3F">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FB7A693" w14:textId="70DA5654"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Devums </w:t>
            </w:r>
            <w:r w:rsidR="00381267" w:rsidRPr="001B0074">
              <w:rPr>
                <w:color w:val="000000"/>
                <w:szCs w:val="24"/>
                <w:lang w:eastAsia="lv-LV"/>
              </w:rPr>
              <w:t>pot.IKP : faktoru p</w:t>
            </w:r>
            <w:r w:rsidRPr="001B0074">
              <w:rPr>
                <w:color w:val="000000"/>
                <w:szCs w:val="24"/>
                <w:lang w:eastAsia="lv-LV"/>
              </w:rPr>
              <w:t>roduktivitāte</w:t>
            </w:r>
          </w:p>
        </w:tc>
        <w:tc>
          <w:tcPr>
            <w:tcW w:w="1417" w:type="dxa"/>
            <w:vAlign w:val="center"/>
            <w:hideMark/>
          </w:tcPr>
          <w:p w14:paraId="137E1817" w14:textId="3D45B6C9"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676EF728" w14:textId="78A6605A"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70C9A57" w14:textId="2F2EC34B"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1,4</w:t>
            </w:r>
          </w:p>
        </w:tc>
        <w:tc>
          <w:tcPr>
            <w:tcW w:w="1129" w:type="dxa"/>
            <w:vAlign w:val="center"/>
          </w:tcPr>
          <w:p w14:paraId="2989C928" w14:textId="11F7758D"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1,6</w:t>
            </w:r>
          </w:p>
        </w:tc>
        <w:tc>
          <w:tcPr>
            <w:tcW w:w="855" w:type="dxa"/>
            <w:vAlign w:val="center"/>
          </w:tcPr>
          <w:p w14:paraId="25F6DD4C" w14:textId="1458FCE8" w:rsidR="00C32D1D" w:rsidRPr="001B0074" w:rsidRDefault="009A5E0F"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1,8</w:t>
            </w:r>
          </w:p>
        </w:tc>
      </w:tr>
      <w:tr w:rsidR="00C32D1D" w:rsidRPr="001B0074" w14:paraId="7E5F16BD"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B21592"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3. Nominālais IKP</w:t>
            </w:r>
          </w:p>
        </w:tc>
        <w:tc>
          <w:tcPr>
            <w:tcW w:w="1417" w:type="dxa"/>
            <w:vAlign w:val="center"/>
            <w:hideMark/>
          </w:tcPr>
          <w:p w14:paraId="56F27640"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418" w:type="dxa"/>
            <w:vAlign w:val="center"/>
          </w:tcPr>
          <w:p w14:paraId="2EAF6AF7" w14:textId="5FA601F9"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24,1</w:t>
            </w:r>
          </w:p>
        </w:tc>
        <w:tc>
          <w:tcPr>
            <w:tcW w:w="1134" w:type="dxa"/>
            <w:vAlign w:val="center"/>
          </w:tcPr>
          <w:p w14:paraId="1AA746EC" w14:textId="7EA6936E"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3,6</w:t>
            </w:r>
          </w:p>
        </w:tc>
        <w:tc>
          <w:tcPr>
            <w:tcW w:w="1129" w:type="dxa"/>
            <w:vAlign w:val="center"/>
          </w:tcPr>
          <w:p w14:paraId="1E588043" w14:textId="5772EB54"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3,2</w:t>
            </w:r>
          </w:p>
        </w:tc>
        <w:tc>
          <w:tcPr>
            <w:tcW w:w="855" w:type="dxa"/>
            <w:vAlign w:val="center"/>
          </w:tcPr>
          <w:p w14:paraId="443D4A7B" w14:textId="6EBAE5D5"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5,2</w:t>
            </w:r>
          </w:p>
        </w:tc>
      </w:tr>
      <w:tr w:rsidR="00C32D1D" w:rsidRPr="001B0074" w14:paraId="7E18D6EA"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0F84A7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Reālā IKP komponentes</w:t>
            </w:r>
          </w:p>
        </w:tc>
        <w:tc>
          <w:tcPr>
            <w:tcW w:w="1417" w:type="dxa"/>
            <w:vAlign w:val="center"/>
            <w:hideMark/>
          </w:tcPr>
          <w:p w14:paraId="704EAB19" w14:textId="36821CB4"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1506CA6E" w14:textId="5C0B2BD0"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090AA9D" w14:textId="624DC1A8"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8EE1BE9" w14:textId="4327A0B9"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31B16913" w14:textId="53C18C13"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384756BF"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9F9C71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4. Privātais patēriņš</w:t>
            </w:r>
          </w:p>
        </w:tc>
        <w:tc>
          <w:tcPr>
            <w:tcW w:w="1417" w:type="dxa"/>
            <w:vAlign w:val="center"/>
            <w:hideMark/>
          </w:tcPr>
          <w:p w14:paraId="1E58AA55"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P.3</w:t>
            </w:r>
          </w:p>
        </w:tc>
        <w:tc>
          <w:tcPr>
            <w:tcW w:w="1418" w:type="dxa"/>
            <w:vAlign w:val="center"/>
          </w:tcPr>
          <w:p w14:paraId="4A8B4FF3" w14:textId="131000F0"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13,4</w:t>
            </w:r>
          </w:p>
        </w:tc>
        <w:tc>
          <w:tcPr>
            <w:tcW w:w="1134" w:type="dxa"/>
            <w:vAlign w:val="center"/>
          </w:tcPr>
          <w:p w14:paraId="5D870BA5" w14:textId="6800A1AB"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2,3</w:t>
            </w:r>
          </w:p>
        </w:tc>
        <w:tc>
          <w:tcPr>
            <w:tcW w:w="1129" w:type="dxa"/>
            <w:vAlign w:val="center"/>
          </w:tcPr>
          <w:p w14:paraId="20D6A823" w14:textId="7B471CF2"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2,6</w:t>
            </w:r>
          </w:p>
        </w:tc>
        <w:tc>
          <w:tcPr>
            <w:tcW w:w="855" w:type="dxa"/>
            <w:vAlign w:val="center"/>
          </w:tcPr>
          <w:p w14:paraId="65FD0F78" w14:textId="722E6B78"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3,5</w:t>
            </w:r>
          </w:p>
        </w:tc>
      </w:tr>
      <w:tr w:rsidR="00C32D1D" w:rsidRPr="001B0074" w14:paraId="52E2379B" w14:textId="77777777" w:rsidTr="00777B3F">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3D7A34C"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5. Valdības patēriņš</w:t>
            </w:r>
          </w:p>
        </w:tc>
        <w:tc>
          <w:tcPr>
            <w:tcW w:w="1417" w:type="dxa"/>
            <w:vAlign w:val="center"/>
            <w:hideMark/>
          </w:tcPr>
          <w:p w14:paraId="22A06025"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P.3</w:t>
            </w:r>
          </w:p>
        </w:tc>
        <w:tc>
          <w:tcPr>
            <w:tcW w:w="1418" w:type="dxa"/>
            <w:vAlign w:val="center"/>
          </w:tcPr>
          <w:p w14:paraId="7D95347E" w14:textId="79DDC8A9"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3,6</w:t>
            </w:r>
          </w:p>
        </w:tc>
        <w:tc>
          <w:tcPr>
            <w:tcW w:w="1134" w:type="dxa"/>
            <w:vAlign w:val="center"/>
          </w:tcPr>
          <w:p w14:paraId="600BC9CC" w14:textId="4C67F527"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3,4</w:t>
            </w:r>
          </w:p>
        </w:tc>
        <w:tc>
          <w:tcPr>
            <w:tcW w:w="1129" w:type="dxa"/>
            <w:vAlign w:val="center"/>
          </w:tcPr>
          <w:p w14:paraId="3F49730C" w14:textId="4B34B973"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3,0</w:t>
            </w:r>
          </w:p>
        </w:tc>
        <w:tc>
          <w:tcPr>
            <w:tcW w:w="855" w:type="dxa"/>
            <w:vAlign w:val="center"/>
          </w:tcPr>
          <w:p w14:paraId="7FCF6853" w14:textId="40BB5A47"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2,5</w:t>
            </w:r>
          </w:p>
        </w:tc>
      </w:tr>
      <w:tr w:rsidR="00C32D1D" w:rsidRPr="001B0074" w14:paraId="462730FF"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B7C0E1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6. Bruto pamatkapitāla veidošana</w:t>
            </w:r>
          </w:p>
        </w:tc>
        <w:tc>
          <w:tcPr>
            <w:tcW w:w="1417" w:type="dxa"/>
            <w:vAlign w:val="center"/>
            <w:hideMark/>
          </w:tcPr>
          <w:p w14:paraId="7135B849"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P.51</w:t>
            </w:r>
          </w:p>
        </w:tc>
        <w:tc>
          <w:tcPr>
            <w:tcW w:w="1418" w:type="dxa"/>
            <w:vAlign w:val="center"/>
          </w:tcPr>
          <w:p w14:paraId="34EBB53E" w14:textId="6E83260A"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4,7</w:t>
            </w:r>
          </w:p>
        </w:tc>
        <w:tc>
          <w:tcPr>
            <w:tcW w:w="1134" w:type="dxa"/>
            <w:vAlign w:val="center"/>
          </w:tcPr>
          <w:p w14:paraId="5194D494" w14:textId="38573C14"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1,3</w:t>
            </w:r>
          </w:p>
        </w:tc>
        <w:tc>
          <w:tcPr>
            <w:tcW w:w="1129" w:type="dxa"/>
            <w:vAlign w:val="center"/>
          </w:tcPr>
          <w:p w14:paraId="55AC0F6D" w14:textId="05A89B38"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-0,9</w:t>
            </w:r>
          </w:p>
        </w:tc>
        <w:tc>
          <w:tcPr>
            <w:tcW w:w="855" w:type="dxa"/>
            <w:vAlign w:val="center"/>
          </w:tcPr>
          <w:p w14:paraId="44D8A463" w14:textId="30575F8D"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2,5</w:t>
            </w:r>
          </w:p>
        </w:tc>
      </w:tr>
      <w:tr w:rsidR="00C32D1D" w:rsidRPr="001B0074" w14:paraId="05B6C39C" w14:textId="77777777" w:rsidTr="00777B3F">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88F87F7"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7. Izmaiņas krājumos</w:t>
            </w:r>
          </w:p>
        </w:tc>
        <w:tc>
          <w:tcPr>
            <w:tcW w:w="1417" w:type="dxa"/>
            <w:vAlign w:val="center"/>
            <w:hideMark/>
          </w:tcPr>
          <w:p w14:paraId="65600D0F"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418" w:type="dxa"/>
            <w:vAlign w:val="center"/>
          </w:tcPr>
          <w:p w14:paraId="30E1DBBB" w14:textId="22F98482"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0,2</w:t>
            </w:r>
          </w:p>
        </w:tc>
        <w:tc>
          <w:tcPr>
            <w:tcW w:w="1134" w:type="dxa"/>
            <w:vAlign w:val="center"/>
          </w:tcPr>
          <w:p w14:paraId="63B76242" w14:textId="595D325C"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-26,2</w:t>
            </w:r>
          </w:p>
        </w:tc>
        <w:tc>
          <w:tcPr>
            <w:tcW w:w="1129" w:type="dxa"/>
            <w:vAlign w:val="center"/>
          </w:tcPr>
          <w:p w14:paraId="0D416934" w14:textId="6761EA08"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-160,0</w:t>
            </w:r>
          </w:p>
        </w:tc>
        <w:tc>
          <w:tcPr>
            <w:tcW w:w="855" w:type="dxa"/>
            <w:vAlign w:val="center"/>
          </w:tcPr>
          <w:p w14:paraId="216DA099" w14:textId="325C235A"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2,5</w:t>
            </w:r>
          </w:p>
        </w:tc>
      </w:tr>
      <w:tr w:rsidR="00C32D1D" w:rsidRPr="001B0074" w14:paraId="0C5D05EB"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F7AE9B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8. Eksports</w:t>
            </w:r>
          </w:p>
        </w:tc>
        <w:tc>
          <w:tcPr>
            <w:tcW w:w="1417" w:type="dxa"/>
            <w:vAlign w:val="center"/>
            <w:hideMark/>
          </w:tcPr>
          <w:p w14:paraId="396544EF"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P.6</w:t>
            </w:r>
          </w:p>
        </w:tc>
        <w:tc>
          <w:tcPr>
            <w:tcW w:w="1418" w:type="dxa"/>
            <w:vAlign w:val="center"/>
          </w:tcPr>
          <w:p w14:paraId="7D125FC9" w14:textId="13C5037F"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12,3</w:t>
            </w:r>
          </w:p>
        </w:tc>
        <w:tc>
          <w:tcPr>
            <w:tcW w:w="1134" w:type="dxa"/>
            <w:vAlign w:val="center"/>
          </w:tcPr>
          <w:p w14:paraId="44F18F7D" w14:textId="0823E3C6"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2,2</w:t>
            </w:r>
          </w:p>
        </w:tc>
        <w:tc>
          <w:tcPr>
            <w:tcW w:w="1129" w:type="dxa"/>
            <w:vAlign w:val="center"/>
          </w:tcPr>
          <w:p w14:paraId="021A96CA" w14:textId="63E5E517"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2,5</w:t>
            </w:r>
          </w:p>
        </w:tc>
        <w:tc>
          <w:tcPr>
            <w:tcW w:w="855" w:type="dxa"/>
            <w:vAlign w:val="center"/>
          </w:tcPr>
          <w:p w14:paraId="511777D5" w14:textId="05928C1C"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4,5</w:t>
            </w:r>
          </w:p>
        </w:tc>
      </w:tr>
      <w:tr w:rsidR="00C32D1D" w:rsidRPr="001B0074" w14:paraId="072F1F86"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7B8C330"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9. Imports</w:t>
            </w:r>
          </w:p>
        </w:tc>
        <w:tc>
          <w:tcPr>
            <w:tcW w:w="1417" w:type="dxa"/>
            <w:vAlign w:val="center"/>
            <w:hideMark/>
          </w:tcPr>
          <w:p w14:paraId="3624F8D5"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P.7</w:t>
            </w:r>
          </w:p>
        </w:tc>
        <w:tc>
          <w:tcPr>
            <w:tcW w:w="1418" w:type="dxa"/>
            <w:vAlign w:val="center"/>
          </w:tcPr>
          <w:p w14:paraId="436AC88A" w14:textId="6215BF19"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12,9</w:t>
            </w:r>
          </w:p>
        </w:tc>
        <w:tc>
          <w:tcPr>
            <w:tcW w:w="1134" w:type="dxa"/>
            <w:vAlign w:val="center"/>
          </w:tcPr>
          <w:p w14:paraId="729C22B5" w14:textId="7751135F"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1,6</w:t>
            </w:r>
          </w:p>
        </w:tc>
        <w:tc>
          <w:tcPr>
            <w:tcW w:w="1129" w:type="dxa"/>
            <w:vAlign w:val="center"/>
          </w:tcPr>
          <w:p w14:paraId="6AEC6C04" w14:textId="7C6115ED"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-0,4</w:t>
            </w:r>
          </w:p>
        </w:tc>
        <w:tc>
          <w:tcPr>
            <w:tcW w:w="855" w:type="dxa"/>
            <w:vAlign w:val="center"/>
          </w:tcPr>
          <w:p w14:paraId="0AF8D5CF" w14:textId="33930D06"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4,7</w:t>
            </w:r>
          </w:p>
        </w:tc>
      </w:tr>
      <w:tr w:rsidR="00C32D1D" w:rsidRPr="001B0074" w14:paraId="64005B99"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5D9096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Devums reālā IKP pieaugumā</w:t>
            </w:r>
          </w:p>
        </w:tc>
        <w:tc>
          <w:tcPr>
            <w:tcW w:w="1417" w:type="dxa"/>
            <w:vAlign w:val="center"/>
            <w:hideMark/>
          </w:tcPr>
          <w:p w14:paraId="624BB22D" w14:textId="3893FD82"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0CFF53CC" w14:textId="6CD32D57"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A3E7EB8" w14:textId="729F858B"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A9028DF" w14:textId="02402A33"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577CA630" w14:textId="2A971CFF"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4636AA0D" w14:textId="77777777" w:rsidTr="00777B3F">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C6E674"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10. Kopējais iekšzemes pieprasījums</w:t>
            </w:r>
          </w:p>
        </w:tc>
        <w:tc>
          <w:tcPr>
            <w:tcW w:w="1417" w:type="dxa"/>
            <w:vAlign w:val="center"/>
            <w:hideMark/>
          </w:tcPr>
          <w:p w14:paraId="7583E33A" w14:textId="20712F15"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5FB12845" w14:textId="4BA4627B"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A62D72E" w14:textId="2B67769F"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2,3</w:t>
            </w:r>
          </w:p>
        </w:tc>
        <w:tc>
          <w:tcPr>
            <w:tcW w:w="1129" w:type="dxa"/>
            <w:vAlign w:val="center"/>
          </w:tcPr>
          <w:p w14:paraId="2CE5B9B5" w14:textId="3B3E8AA1"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1,9</w:t>
            </w:r>
          </w:p>
        </w:tc>
        <w:tc>
          <w:tcPr>
            <w:tcW w:w="855" w:type="dxa"/>
            <w:vAlign w:val="center"/>
          </w:tcPr>
          <w:p w14:paraId="04121EDD" w14:textId="6959064C"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3,2</w:t>
            </w:r>
          </w:p>
        </w:tc>
      </w:tr>
      <w:tr w:rsidR="00C32D1D" w:rsidRPr="001B0074" w14:paraId="76BA20AC" w14:textId="77777777" w:rsidTr="00777B3F">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A267D2E"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11. Izmaiņas krājumos</w:t>
            </w:r>
          </w:p>
        </w:tc>
        <w:tc>
          <w:tcPr>
            <w:tcW w:w="1417" w:type="dxa"/>
            <w:vAlign w:val="center"/>
            <w:hideMark/>
          </w:tcPr>
          <w:p w14:paraId="719D19FC"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418" w:type="dxa"/>
            <w:vAlign w:val="center"/>
          </w:tcPr>
          <w:p w14:paraId="32FAD54E" w14:textId="51C8D40D"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5BD5D572" w14:textId="17537A36"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-0,3</w:t>
            </w:r>
          </w:p>
        </w:tc>
        <w:tc>
          <w:tcPr>
            <w:tcW w:w="1129" w:type="dxa"/>
            <w:vAlign w:val="center"/>
          </w:tcPr>
          <w:p w14:paraId="356A5486" w14:textId="788432F8"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-1,5</w:t>
            </w:r>
          </w:p>
        </w:tc>
        <w:tc>
          <w:tcPr>
            <w:tcW w:w="855" w:type="dxa"/>
            <w:vAlign w:val="center"/>
          </w:tcPr>
          <w:p w14:paraId="4B3977EA" w14:textId="02A44DA2" w:rsidR="00C32D1D" w:rsidRPr="001B0074" w:rsidRDefault="007124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0,0</w:t>
            </w:r>
          </w:p>
        </w:tc>
      </w:tr>
      <w:tr w:rsidR="00C32D1D" w:rsidRPr="001B0074" w14:paraId="438FE66B" w14:textId="77777777" w:rsidTr="00777B3F">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D84706D"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12. Preču un pakalpojumu tirdzniecības bilance</w:t>
            </w:r>
          </w:p>
        </w:tc>
        <w:tc>
          <w:tcPr>
            <w:tcW w:w="1417" w:type="dxa"/>
            <w:vAlign w:val="center"/>
            <w:hideMark/>
          </w:tcPr>
          <w:p w14:paraId="3CD9EEDF"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B.11</w:t>
            </w:r>
          </w:p>
        </w:tc>
        <w:tc>
          <w:tcPr>
            <w:tcW w:w="1418" w:type="dxa"/>
            <w:vAlign w:val="center"/>
          </w:tcPr>
          <w:p w14:paraId="0FADC2B9" w14:textId="2C816AD2"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1813E14A" w14:textId="7442E4F0"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0,4</w:t>
            </w:r>
          </w:p>
        </w:tc>
        <w:tc>
          <w:tcPr>
            <w:tcW w:w="1129" w:type="dxa"/>
            <w:vAlign w:val="center"/>
          </w:tcPr>
          <w:p w14:paraId="4DB6A28F" w14:textId="4555C805"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1,7</w:t>
            </w:r>
          </w:p>
        </w:tc>
        <w:tc>
          <w:tcPr>
            <w:tcW w:w="855" w:type="dxa"/>
            <w:vAlign w:val="center"/>
          </w:tcPr>
          <w:p w14:paraId="72871725" w14:textId="06E749E7" w:rsidR="00C32D1D" w:rsidRPr="001B0074" w:rsidRDefault="007124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-0,2</w:t>
            </w:r>
          </w:p>
        </w:tc>
      </w:tr>
    </w:tbl>
    <w:p w14:paraId="02877A01" w14:textId="77777777" w:rsidR="00C32D1D" w:rsidRPr="00976103" w:rsidRDefault="00C32D1D" w:rsidP="00C32D1D">
      <w:pPr>
        <w:ind w:firstLine="0"/>
        <w:jc w:val="left"/>
        <w:rPr>
          <w:szCs w:val="24"/>
        </w:rPr>
      </w:pPr>
    </w:p>
    <w:p w14:paraId="226037C1" w14:textId="77777777" w:rsidR="00C32D1D" w:rsidRPr="00976103" w:rsidRDefault="00C32D1D" w:rsidP="00C32D1D">
      <w:pPr>
        <w:pStyle w:val="Heading1"/>
        <w:tabs>
          <w:tab w:val="left" w:pos="1276"/>
        </w:tabs>
        <w:spacing w:before="0" w:after="240"/>
        <w:ind w:firstLine="0"/>
        <w:jc w:val="left"/>
        <w:rPr>
          <w:rFonts w:ascii="Times New Roman" w:hAnsi="Times New Roman"/>
        </w:rPr>
      </w:pPr>
      <w:r w:rsidRPr="00976103">
        <w:rPr>
          <w:b w:val="0"/>
        </w:rPr>
        <w:br w:type="page"/>
      </w:r>
      <w:bookmarkStart w:id="4" w:name="_Toc431197080"/>
      <w:r w:rsidRPr="001D5709">
        <w:rPr>
          <w:rFonts w:ascii="Times New Roman" w:hAnsi="Times New Roman"/>
          <w:color w:val="18185E"/>
          <w:sz w:val="24"/>
        </w:rPr>
        <w:t>Tabula 1b: Patēriņa cenu izmaiņas</w:t>
      </w:r>
      <w:bookmarkEnd w:id="4"/>
    </w:p>
    <w:tbl>
      <w:tblPr>
        <w:tblStyle w:val="GridTable6Colorful-Accent11"/>
        <w:tblW w:w="9612" w:type="dxa"/>
        <w:jc w:val="center"/>
        <w:tblLook w:val="04A0" w:firstRow="1" w:lastRow="0" w:firstColumn="1" w:lastColumn="0" w:noHBand="0" w:noVBand="1"/>
      </w:tblPr>
      <w:tblGrid>
        <w:gridCol w:w="3673"/>
        <w:gridCol w:w="1305"/>
        <w:gridCol w:w="1003"/>
        <w:gridCol w:w="1130"/>
        <w:gridCol w:w="1270"/>
        <w:gridCol w:w="1231"/>
      </w:tblGrid>
      <w:tr w:rsidR="00C32D1D" w:rsidRPr="001B0074" w14:paraId="2539C218"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6047B437" w14:textId="77777777" w:rsidR="00C32D1D" w:rsidRPr="001B0074" w:rsidRDefault="00C32D1D" w:rsidP="00E254F1">
            <w:pPr>
              <w:spacing w:after="0"/>
              <w:ind w:firstLineChars="100" w:firstLine="240"/>
              <w:jc w:val="center"/>
              <w:rPr>
                <w:b w:val="0"/>
                <w:color w:val="000000"/>
                <w:szCs w:val="24"/>
                <w:lang w:eastAsia="lv-LV"/>
              </w:rPr>
            </w:pPr>
          </w:p>
        </w:tc>
        <w:tc>
          <w:tcPr>
            <w:tcW w:w="1305" w:type="dxa"/>
            <w:vAlign w:val="center"/>
            <w:hideMark/>
          </w:tcPr>
          <w:p w14:paraId="39D98F4D" w14:textId="26BF62E6" w:rsidR="00C32D1D" w:rsidRPr="001B0074" w:rsidRDefault="00C32D1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xml:space="preserve">EKS </w:t>
            </w:r>
            <w:r w:rsidR="000318B2" w:rsidRPr="001B0074">
              <w:rPr>
                <w:color w:val="000000"/>
                <w:szCs w:val="24"/>
                <w:lang w:eastAsia="lv-LV"/>
              </w:rPr>
              <w:t>k</w:t>
            </w:r>
            <w:r w:rsidRPr="001B0074">
              <w:rPr>
                <w:color w:val="000000"/>
                <w:szCs w:val="24"/>
                <w:lang w:eastAsia="lv-LV"/>
              </w:rPr>
              <w:t>ods</w:t>
            </w:r>
          </w:p>
        </w:tc>
        <w:tc>
          <w:tcPr>
            <w:tcW w:w="1003" w:type="dxa"/>
            <w:vAlign w:val="center"/>
            <w:hideMark/>
          </w:tcPr>
          <w:p w14:paraId="6A5B5755" w14:textId="6C1E2F3E" w:rsidR="00C32D1D" w:rsidRPr="001B0074" w:rsidRDefault="009F2CF9"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2014</w:t>
            </w:r>
          </w:p>
        </w:tc>
        <w:tc>
          <w:tcPr>
            <w:tcW w:w="1130" w:type="dxa"/>
            <w:vAlign w:val="center"/>
            <w:hideMark/>
          </w:tcPr>
          <w:p w14:paraId="4D325A54" w14:textId="7A3CAD02" w:rsidR="00C32D1D" w:rsidRPr="001B0074" w:rsidRDefault="009F2CF9"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2014</w:t>
            </w:r>
          </w:p>
        </w:tc>
        <w:tc>
          <w:tcPr>
            <w:tcW w:w="1270" w:type="dxa"/>
            <w:vAlign w:val="center"/>
            <w:hideMark/>
          </w:tcPr>
          <w:p w14:paraId="1FC02B6C" w14:textId="4244FACA" w:rsidR="00C32D1D" w:rsidRPr="001B0074" w:rsidRDefault="009F2CF9"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2015</w:t>
            </w:r>
          </w:p>
        </w:tc>
        <w:tc>
          <w:tcPr>
            <w:tcW w:w="1231" w:type="dxa"/>
            <w:vAlign w:val="center"/>
            <w:hideMark/>
          </w:tcPr>
          <w:p w14:paraId="2A4E9F15" w14:textId="5B058A06" w:rsidR="00C32D1D" w:rsidRPr="001B0074" w:rsidRDefault="009F2CF9"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2016</w:t>
            </w:r>
          </w:p>
        </w:tc>
      </w:tr>
      <w:tr w:rsidR="00C32D1D" w:rsidRPr="001B0074" w14:paraId="7A38AF6F" w14:textId="77777777" w:rsidTr="001B007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33D7E7EA" w14:textId="77777777" w:rsidR="00C32D1D" w:rsidRPr="001B0074" w:rsidRDefault="00C32D1D" w:rsidP="006B2FB4">
            <w:pPr>
              <w:spacing w:after="0"/>
              <w:ind w:firstLineChars="100" w:firstLine="241"/>
              <w:jc w:val="right"/>
              <w:rPr>
                <w:color w:val="000000"/>
                <w:szCs w:val="24"/>
                <w:lang w:eastAsia="lv-LV"/>
              </w:rPr>
            </w:pPr>
            <w:r w:rsidRPr="001B0074">
              <w:rPr>
                <w:color w:val="000000"/>
                <w:szCs w:val="24"/>
                <w:lang w:eastAsia="lv-LV"/>
              </w:rPr>
              <w:t> </w:t>
            </w:r>
          </w:p>
        </w:tc>
        <w:tc>
          <w:tcPr>
            <w:tcW w:w="1305" w:type="dxa"/>
            <w:vAlign w:val="center"/>
            <w:hideMark/>
          </w:tcPr>
          <w:p w14:paraId="7CE8C3A3" w14:textId="33457578" w:rsidR="00C32D1D" w:rsidRPr="001B0074"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03" w:type="dxa"/>
            <w:vAlign w:val="center"/>
            <w:hideMark/>
          </w:tcPr>
          <w:p w14:paraId="08A636EF" w14:textId="77777777" w:rsidR="00C32D1D" w:rsidRPr="001B0074"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631" w:type="dxa"/>
            <w:gridSpan w:val="3"/>
            <w:vAlign w:val="center"/>
            <w:hideMark/>
          </w:tcPr>
          <w:p w14:paraId="6B9625E5" w14:textId="77777777" w:rsidR="00C32D1D" w:rsidRPr="001B0074"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C32D1D" w:rsidRPr="001B0074" w14:paraId="5AC7FFBB" w14:textId="77777777" w:rsidTr="00381267">
        <w:trPr>
          <w:trHeight w:val="315"/>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6BAF2F3B"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 IKP deflators</w:t>
            </w:r>
          </w:p>
        </w:tc>
        <w:tc>
          <w:tcPr>
            <w:tcW w:w="1305" w:type="dxa"/>
            <w:hideMark/>
          </w:tcPr>
          <w:p w14:paraId="3AB3D8A7"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03" w:type="dxa"/>
            <w:hideMark/>
          </w:tcPr>
          <w:p w14:paraId="208B6001"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130" w:type="dxa"/>
            <w:vAlign w:val="center"/>
          </w:tcPr>
          <w:p w14:paraId="1DEEB7F8" w14:textId="0AE9161C"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1,2</w:t>
            </w:r>
          </w:p>
        </w:tc>
        <w:tc>
          <w:tcPr>
            <w:tcW w:w="1270" w:type="dxa"/>
            <w:vAlign w:val="center"/>
          </w:tcPr>
          <w:p w14:paraId="6A146202" w14:textId="2B01D63D"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1,1</w:t>
            </w:r>
          </w:p>
        </w:tc>
        <w:tc>
          <w:tcPr>
            <w:tcW w:w="1231" w:type="dxa"/>
            <w:vAlign w:val="center"/>
          </w:tcPr>
          <w:p w14:paraId="2B00DA6B" w14:textId="0084A021"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2,1</w:t>
            </w:r>
          </w:p>
        </w:tc>
      </w:tr>
      <w:tr w:rsidR="00C32D1D" w:rsidRPr="001B0074" w14:paraId="60E231B3" w14:textId="77777777" w:rsidTr="003812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45AA8000"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2. Privātā patēriņa deflators</w:t>
            </w:r>
          </w:p>
        </w:tc>
        <w:tc>
          <w:tcPr>
            <w:tcW w:w="1305" w:type="dxa"/>
            <w:hideMark/>
          </w:tcPr>
          <w:p w14:paraId="38FD5C63"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03" w:type="dxa"/>
            <w:hideMark/>
          </w:tcPr>
          <w:p w14:paraId="6ACE1A61"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130" w:type="dxa"/>
            <w:vAlign w:val="center"/>
          </w:tcPr>
          <w:p w14:paraId="7FD6E1F6" w14:textId="7AFFCDC7"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0,6</w:t>
            </w:r>
          </w:p>
        </w:tc>
        <w:tc>
          <w:tcPr>
            <w:tcW w:w="1270" w:type="dxa"/>
            <w:vAlign w:val="center"/>
          </w:tcPr>
          <w:p w14:paraId="71A79BC4" w14:textId="4286498C"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0,8</w:t>
            </w:r>
          </w:p>
        </w:tc>
        <w:tc>
          <w:tcPr>
            <w:tcW w:w="1231" w:type="dxa"/>
            <w:vAlign w:val="center"/>
          </w:tcPr>
          <w:p w14:paraId="460FA2B7" w14:textId="34C067C9"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2,0</w:t>
            </w:r>
          </w:p>
        </w:tc>
      </w:tr>
      <w:tr w:rsidR="00C32D1D" w:rsidRPr="001B0074" w14:paraId="1A7A434D" w14:textId="77777777" w:rsidTr="00381267">
        <w:trPr>
          <w:trHeight w:val="315"/>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60999D75" w14:textId="3703ACD6"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3. </w:t>
            </w:r>
            <w:r w:rsidR="00381267" w:rsidRPr="001B0074">
              <w:rPr>
                <w:color w:val="000000"/>
                <w:szCs w:val="24"/>
                <w:lang w:eastAsia="lv-LV"/>
              </w:rPr>
              <w:t>Saskaņotā patēriņa cenu indekss (SPCI)</w:t>
            </w:r>
          </w:p>
        </w:tc>
        <w:tc>
          <w:tcPr>
            <w:tcW w:w="1305" w:type="dxa"/>
            <w:hideMark/>
          </w:tcPr>
          <w:p w14:paraId="003A6DE5"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03" w:type="dxa"/>
            <w:hideMark/>
          </w:tcPr>
          <w:p w14:paraId="5C969C3E"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130" w:type="dxa"/>
            <w:vAlign w:val="center"/>
          </w:tcPr>
          <w:p w14:paraId="18F4DD41" w14:textId="545A6163"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0,6</w:t>
            </w:r>
          </w:p>
        </w:tc>
        <w:tc>
          <w:tcPr>
            <w:tcW w:w="1270" w:type="dxa"/>
            <w:vAlign w:val="center"/>
          </w:tcPr>
          <w:p w14:paraId="04D8C99A" w14:textId="2A56E4DD"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0,8</w:t>
            </w:r>
          </w:p>
        </w:tc>
        <w:tc>
          <w:tcPr>
            <w:tcW w:w="1231" w:type="dxa"/>
            <w:vAlign w:val="center"/>
          </w:tcPr>
          <w:p w14:paraId="0BBADB43" w14:textId="6296BA37"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2,0</w:t>
            </w:r>
          </w:p>
        </w:tc>
      </w:tr>
      <w:tr w:rsidR="00C32D1D" w:rsidRPr="001B0074" w14:paraId="68663050" w14:textId="77777777" w:rsidTr="0038126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5F74B005"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4. Valdības patēriņa deflators</w:t>
            </w:r>
          </w:p>
        </w:tc>
        <w:tc>
          <w:tcPr>
            <w:tcW w:w="1305" w:type="dxa"/>
            <w:hideMark/>
          </w:tcPr>
          <w:p w14:paraId="1A91A1DC"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03" w:type="dxa"/>
            <w:hideMark/>
          </w:tcPr>
          <w:p w14:paraId="5FFB39EE"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130" w:type="dxa"/>
            <w:vAlign w:val="center"/>
          </w:tcPr>
          <w:p w14:paraId="43EA4477" w14:textId="4B72B835"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0,4</w:t>
            </w:r>
          </w:p>
        </w:tc>
        <w:tc>
          <w:tcPr>
            <w:tcW w:w="1270" w:type="dxa"/>
            <w:vAlign w:val="center"/>
          </w:tcPr>
          <w:p w14:paraId="0D515D61" w14:textId="15AA5B69"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3,3</w:t>
            </w:r>
          </w:p>
        </w:tc>
        <w:tc>
          <w:tcPr>
            <w:tcW w:w="1231" w:type="dxa"/>
            <w:vAlign w:val="center"/>
          </w:tcPr>
          <w:p w14:paraId="0578050B" w14:textId="43819AF1"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2,0</w:t>
            </w:r>
          </w:p>
        </w:tc>
      </w:tr>
      <w:tr w:rsidR="00C32D1D" w:rsidRPr="001B0074" w14:paraId="6DB3B055" w14:textId="77777777" w:rsidTr="00381267">
        <w:trPr>
          <w:trHeight w:val="315"/>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33586B8B"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5. Investīciju deflators</w:t>
            </w:r>
          </w:p>
        </w:tc>
        <w:tc>
          <w:tcPr>
            <w:tcW w:w="1305" w:type="dxa"/>
            <w:hideMark/>
          </w:tcPr>
          <w:p w14:paraId="62227E59"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03" w:type="dxa"/>
            <w:hideMark/>
          </w:tcPr>
          <w:p w14:paraId="605607C7"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130" w:type="dxa"/>
            <w:vAlign w:val="center"/>
          </w:tcPr>
          <w:p w14:paraId="5F754943" w14:textId="5E21FA8C"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1,2</w:t>
            </w:r>
          </w:p>
        </w:tc>
        <w:tc>
          <w:tcPr>
            <w:tcW w:w="1270" w:type="dxa"/>
            <w:vAlign w:val="center"/>
          </w:tcPr>
          <w:p w14:paraId="318885BA" w14:textId="5895B562"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1,5</w:t>
            </w:r>
          </w:p>
        </w:tc>
        <w:tc>
          <w:tcPr>
            <w:tcW w:w="1231" w:type="dxa"/>
            <w:vAlign w:val="center"/>
          </w:tcPr>
          <w:p w14:paraId="5D7F0A1C" w14:textId="025C595B"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2,5</w:t>
            </w:r>
          </w:p>
        </w:tc>
      </w:tr>
      <w:tr w:rsidR="00C32D1D" w:rsidRPr="001B0074" w14:paraId="282C942D" w14:textId="77777777" w:rsidTr="0038126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218096C1"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6. Eksporta cenu deflators</w:t>
            </w:r>
          </w:p>
        </w:tc>
        <w:tc>
          <w:tcPr>
            <w:tcW w:w="1305" w:type="dxa"/>
            <w:hideMark/>
          </w:tcPr>
          <w:p w14:paraId="5D2436EA"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03" w:type="dxa"/>
            <w:hideMark/>
          </w:tcPr>
          <w:p w14:paraId="515B8FD0"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130" w:type="dxa"/>
            <w:vAlign w:val="center"/>
          </w:tcPr>
          <w:p w14:paraId="40A9127A" w14:textId="2BDCA8FD"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-1,0</w:t>
            </w:r>
          </w:p>
        </w:tc>
        <w:tc>
          <w:tcPr>
            <w:tcW w:w="1270" w:type="dxa"/>
            <w:vAlign w:val="center"/>
          </w:tcPr>
          <w:p w14:paraId="3136AC16" w14:textId="4B4BBCD7"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-0,2</w:t>
            </w:r>
          </w:p>
        </w:tc>
        <w:tc>
          <w:tcPr>
            <w:tcW w:w="1231" w:type="dxa"/>
            <w:vAlign w:val="center"/>
          </w:tcPr>
          <w:p w14:paraId="197492B3" w14:textId="33986729" w:rsidR="00C32D1D" w:rsidRPr="001B0074" w:rsidRDefault="00DF141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1,0</w:t>
            </w:r>
          </w:p>
        </w:tc>
      </w:tr>
      <w:tr w:rsidR="00C32D1D" w:rsidRPr="001B0074" w14:paraId="2DAFF039" w14:textId="77777777" w:rsidTr="00381267">
        <w:trPr>
          <w:trHeight w:val="317"/>
          <w:jc w:val="center"/>
        </w:trPr>
        <w:tc>
          <w:tcPr>
            <w:cnfStyle w:val="001000000000" w:firstRow="0" w:lastRow="0" w:firstColumn="1" w:lastColumn="0" w:oddVBand="0" w:evenVBand="0" w:oddHBand="0" w:evenHBand="0" w:firstRowFirstColumn="0" w:firstRowLastColumn="0" w:lastRowFirstColumn="0" w:lastRowLastColumn="0"/>
            <w:tcW w:w="3673" w:type="dxa"/>
            <w:hideMark/>
          </w:tcPr>
          <w:p w14:paraId="513D5033"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7. Importa cenu deflators</w:t>
            </w:r>
          </w:p>
        </w:tc>
        <w:tc>
          <w:tcPr>
            <w:tcW w:w="1305" w:type="dxa"/>
            <w:hideMark/>
          </w:tcPr>
          <w:p w14:paraId="383A83CD"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03" w:type="dxa"/>
            <w:hideMark/>
          </w:tcPr>
          <w:p w14:paraId="37DF300E"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130" w:type="dxa"/>
            <w:vAlign w:val="center"/>
          </w:tcPr>
          <w:p w14:paraId="08436819" w14:textId="78BA6EAD"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-0,3</w:t>
            </w:r>
          </w:p>
        </w:tc>
        <w:tc>
          <w:tcPr>
            <w:tcW w:w="1270" w:type="dxa"/>
            <w:vAlign w:val="center"/>
          </w:tcPr>
          <w:p w14:paraId="1CFD46D9" w14:textId="2334DA6F"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0,9</w:t>
            </w:r>
          </w:p>
        </w:tc>
        <w:tc>
          <w:tcPr>
            <w:tcW w:w="1231" w:type="dxa"/>
            <w:vAlign w:val="center"/>
          </w:tcPr>
          <w:p w14:paraId="3B93BC6A" w14:textId="3DACAA44" w:rsidR="00C32D1D" w:rsidRPr="001B0074" w:rsidRDefault="00DF141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1,0</w:t>
            </w:r>
          </w:p>
        </w:tc>
      </w:tr>
    </w:tbl>
    <w:p w14:paraId="519F79A5" w14:textId="77777777" w:rsidR="00C32D1D" w:rsidRPr="00976103" w:rsidRDefault="00C32D1D" w:rsidP="00C32D1D">
      <w:pPr>
        <w:ind w:firstLine="0"/>
        <w:jc w:val="left"/>
        <w:rPr>
          <w:szCs w:val="24"/>
        </w:rPr>
      </w:pPr>
    </w:p>
    <w:p w14:paraId="6E0A9EF5" w14:textId="77777777" w:rsidR="00C32D1D" w:rsidRPr="00976103" w:rsidRDefault="00C32D1D" w:rsidP="00C32D1D">
      <w:pPr>
        <w:ind w:firstLine="0"/>
        <w:jc w:val="left"/>
        <w:rPr>
          <w:b/>
          <w:szCs w:val="24"/>
        </w:rPr>
      </w:pPr>
    </w:p>
    <w:p w14:paraId="28810C0D"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5" w:name="_Toc431197081"/>
      <w:r w:rsidRPr="001D5709">
        <w:rPr>
          <w:rFonts w:ascii="Times New Roman" w:hAnsi="Times New Roman"/>
          <w:color w:val="18185E"/>
          <w:sz w:val="24"/>
        </w:rPr>
        <w:t>Tabula 1c: Darba tirgus attīstība</w:t>
      </w:r>
      <w:bookmarkEnd w:id="5"/>
    </w:p>
    <w:tbl>
      <w:tblPr>
        <w:tblStyle w:val="GridTable6Colorful-Accent11"/>
        <w:tblW w:w="9603" w:type="dxa"/>
        <w:jc w:val="center"/>
        <w:tblLayout w:type="fixed"/>
        <w:tblLook w:val="04A0" w:firstRow="1" w:lastRow="0" w:firstColumn="1" w:lastColumn="0" w:noHBand="0" w:noVBand="1"/>
      </w:tblPr>
      <w:tblGrid>
        <w:gridCol w:w="3539"/>
        <w:gridCol w:w="1004"/>
        <w:gridCol w:w="1635"/>
        <w:gridCol w:w="1157"/>
        <w:gridCol w:w="1134"/>
        <w:gridCol w:w="1134"/>
      </w:tblGrid>
      <w:tr w:rsidR="00C32D1D" w:rsidRPr="00976103" w14:paraId="57002110" w14:textId="77777777" w:rsidTr="00287764">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79B809B0" w14:textId="77777777" w:rsidR="00C32D1D" w:rsidRPr="00976103" w:rsidRDefault="00C32D1D" w:rsidP="006B2FB4">
            <w:pPr>
              <w:spacing w:after="0"/>
              <w:ind w:firstLineChars="100" w:firstLine="241"/>
              <w:jc w:val="right"/>
              <w:rPr>
                <w:color w:val="000000"/>
                <w:szCs w:val="24"/>
                <w:lang w:eastAsia="lv-LV"/>
              </w:rPr>
            </w:pPr>
            <w:r w:rsidRPr="00976103">
              <w:rPr>
                <w:color w:val="000000"/>
                <w:szCs w:val="24"/>
                <w:lang w:eastAsia="lv-LV"/>
              </w:rPr>
              <w:t> </w:t>
            </w:r>
          </w:p>
        </w:tc>
        <w:tc>
          <w:tcPr>
            <w:tcW w:w="1004" w:type="dxa"/>
            <w:hideMark/>
          </w:tcPr>
          <w:p w14:paraId="2458A345" w14:textId="39A2334F" w:rsidR="00C32D1D" w:rsidRPr="00517C82" w:rsidRDefault="000318B2" w:rsidP="006B2FB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EKS k</w:t>
            </w:r>
            <w:r w:rsidR="00C32D1D" w:rsidRPr="00517C82">
              <w:rPr>
                <w:color w:val="000000"/>
                <w:szCs w:val="24"/>
                <w:lang w:eastAsia="lv-LV"/>
              </w:rPr>
              <w:t>ods</w:t>
            </w:r>
          </w:p>
        </w:tc>
        <w:tc>
          <w:tcPr>
            <w:tcW w:w="1635" w:type="dxa"/>
            <w:vAlign w:val="center"/>
            <w:hideMark/>
          </w:tcPr>
          <w:p w14:paraId="777C4B21" w14:textId="4DB75097" w:rsidR="00C32D1D" w:rsidRPr="00517C82" w:rsidRDefault="007A4C93"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2014</w:t>
            </w:r>
          </w:p>
        </w:tc>
        <w:tc>
          <w:tcPr>
            <w:tcW w:w="1157" w:type="dxa"/>
            <w:vAlign w:val="center"/>
            <w:hideMark/>
          </w:tcPr>
          <w:p w14:paraId="765B329C" w14:textId="453EAAAF" w:rsidR="00C32D1D" w:rsidRPr="00517C82" w:rsidRDefault="00C32D1D" w:rsidP="007A4C9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517C82">
              <w:rPr>
                <w:color w:val="000000"/>
                <w:szCs w:val="24"/>
                <w:lang w:eastAsia="lv-LV"/>
              </w:rPr>
              <w:t>201</w:t>
            </w:r>
            <w:r w:rsidR="007A4C93">
              <w:rPr>
                <w:color w:val="000000"/>
                <w:szCs w:val="24"/>
                <w:lang w:eastAsia="lv-LV"/>
              </w:rPr>
              <w:t>4</w:t>
            </w:r>
          </w:p>
        </w:tc>
        <w:tc>
          <w:tcPr>
            <w:tcW w:w="1134" w:type="dxa"/>
            <w:vAlign w:val="center"/>
            <w:hideMark/>
          </w:tcPr>
          <w:p w14:paraId="23B1942B" w14:textId="3A6EF0DB" w:rsidR="00C32D1D" w:rsidRPr="00517C82" w:rsidRDefault="00C32D1D"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517C82">
              <w:rPr>
                <w:color w:val="000000"/>
                <w:szCs w:val="24"/>
                <w:lang w:eastAsia="lv-LV"/>
              </w:rPr>
              <w:t>2</w:t>
            </w:r>
            <w:r w:rsidR="007A4C93">
              <w:rPr>
                <w:color w:val="000000"/>
                <w:szCs w:val="24"/>
                <w:lang w:eastAsia="lv-LV"/>
              </w:rPr>
              <w:t>015</w:t>
            </w:r>
          </w:p>
        </w:tc>
        <w:tc>
          <w:tcPr>
            <w:tcW w:w="1134" w:type="dxa"/>
            <w:vAlign w:val="center"/>
            <w:hideMark/>
          </w:tcPr>
          <w:p w14:paraId="6E8DF515" w14:textId="1A3D2B48" w:rsidR="00C32D1D" w:rsidRPr="00517C82" w:rsidRDefault="007A4C93"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r>
      <w:tr w:rsidR="00C32D1D" w:rsidRPr="00976103" w14:paraId="4549E323" w14:textId="77777777" w:rsidTr="001B007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3B013529" w14:textId="77777777" w:rsidR="00C32D1D" w:rsidRPr="00976103" w:rsidRDefault="00C32D1D" w:rsidP="006B2FB4">
            <w:pPr>
              <w:spacing w:after="0"/>
              <w:ind w:firstLineChars="100" w:firstLine="241"/>
              <w:jc w:val="right"/>
              <w:rPr>
                <w:color w:val="000000"/>
                <w:szCs w:val="24"/>
                <w:lang w:eastAsia="lv-LV"/>
              </w:rPr>
            </w:pPr>
            <w:r w:rsidRPr="00976103">
              <w:rPr>
                <w:color w:val="000000"/>
                <w:szCs w:val="24"/>
                <w:lang w:eastAsia="lv-LV"/>
              </w:rPr>
              <w:t> </w:t>
            </w:r>
          </w:p>
        </w:tc>
        <w:tc>
          <w:tcPr>
            <w:tcW w:w="1004" w:type="dxa"/>
            <w:hideMark/>
          </w:tcPr>
          <w:p w14:paraId="38613146" w14:textId="77777777" w:rsidR="00C32D1D" w:rsidRPr="00976103"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1635" w:type="dxa"/>
            <w:vAlign w:val="center"/>
            <w:hideMark/>
          </w:tcPr>
          <w:p w14:paraId="03AC19EF" w14:textId="77777777" w:rsidR="00C32D1D" w:rsidRPr="00976103"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Līmenis</w:t>
            </w:r>
          </w:p>
        </w:tc>
        <w:tc>
          <w:tcPr>
            <w:tcW w:w="3425" w:type="dxa"/>
            <w:gridSpan w:val="3"/>
            <w:vAlign w:val="center"/>
            <w:hideMark/>
          </w:tcPr>
          <w:p w14:paraId="7C6B8E95" w14:textId="77777777" w:rsidR="00C32D1D" w:rsidRPr="00976103"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Pieaugums %</w:t>
            </w:r>
          </w:p>
        </w:tc>
      </w:tr>
      <w:tr w:rsidR="00C32D1D" w:rsidRPr="00976103" w14:paraId="7850D91D" w14:textId="77777777" w:rsidTr="00777B3F">
        <w:trPr>
          <w:trHeight w:val="246"/>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3E9B9D0B"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1. Nodarbinātība</w:t>
            </w:r>
            <w:r w:rsidR="008329B8">
              <w:rPr>
                <w:color w:val="000000"/>
                <w:szCs w:val="24"/>
                <w:lang w:eastAsia="lv-LV"/>
              </w:rPr>
              <w:t>, cilvēki, tūkst.</w:t>
            </w:r>
          </w:p>
        </w:tc>
        <w:tc>
          <w:tcPr>
            <w:tcW w:w="1004" w:type="dxa"/>
            <w:vAlign w:val="center"/>
            <w:hideMark/>
          </w:tcPr>
          <w:p w14:paraId="72E474FA" w14:textId="180529DE"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41688DB0" w14:textId="58935E0A"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884,6</w:t>
            </w:r>
          </w:p>
        </w:tc>
        <w:tc>
          <w:tcPr>
            <w:tcW w:w="1157" w:type="dxa"/>
            <w:vAlign w:val="center"/>
          </w:tcPr>
          <w:p w14:paraId="63105DF2" w14:textId="288B8B2A"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c>
          <w:tcPr>
            <w:tcW w:w="1134" w:type="dxa"/>
            <w:vAlign w:val="center"/>
          </w:tcPr>
          <w:p w14:paraId="05F0F1EC" w14:textId="0C668275"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134" w:type="dxa"/>
            <w:vAlign w:val="center"/>
          </w:tcPr>
          <w:p w14:paraId="077D9885" w14:textId="53A77ED2"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r>
      <w:tr w:rsidR="00C32D1D" w:rsidRPr="00976103" w14:paraId="3920DEA8" w14:textId="77777777" w:rsidTr="00777B3F">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50A63395" w14:textId="77777777" w:rsidR="00C32D1D" w:rsidRPr="00976103" w:rsidRDefault="00C32D1D" w:rsidP="00322A76">
            <w:pPr>
              <w:spacing w:after="0"/>
              <w:ind w:firstLine="0"/>
              <w:jc w:val="left"/>
              <w:rPr>
                <w:color w:val="000000"/>
                <w:szCs w:val="24"/>
                <w:lang w:eastAsia="lv-LV"/>
              </w:rPr>
            </w:pPr>
            <w:r w:rsidRPr="00976103">
              <w:rPr>
                <w:color w:val="000000"/>
                <w:szCs w:val="24"/>
                <w:lang w:eastAsia="lv-LV"/>
              </w:rPr>
              <w:t>2. Nostrādātās stundas</w:t>
            </w:r>
          </w:p>
        </w:tc>
        <w:tc>
          <w:tcPr>
            <w:tcW w:w="1004" w:type="dxa"/>
            <w:vAlign w:val="center"/>
            <w:hideMark/>
          </w:tcPr>
          <w:p w14:paraId="1315B353" w14:textId="1923E42C"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635" w:type="dxa"/>
            <w:vAlign w:val="center"/>
          </w:tcPr>
          <w:p w14:paraId="428D229C" w14:textId="53AC996E" w:rsidR="00C32D1D" w:rsidRPr="00976103" w:rsidRDefault="00E877ED"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E877ED">
              <w:rPr>
                <w:color w:val="000000"/>
                <w:szCs w:val="24"/>
                <w:lang w:eastAsia="lv-LV"/>
              </w:rPr>
              <w:t>1303265233</w:t>
            </w:r>
            <w:r>
              <w:rPr>
                <w:color w:val="000000"/>
                <w:szCs w:val="24"/>
                <w:lang w:eastAsia="lv-LV"/>
              </w:rPr>
              <w:t>,0</w:t>
            </w:r>
          </w:p>
        </w:tc>
        <w:tc>
          <w:tcPr>
            <w:tcW w:w="1157" w:type="dxa"/>
            <w:vAlign w:val="center"/>
          </w:tcPr>
          <w:p w14:paraId="3B75A200" w14:textId="1F86E329"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1134" w:type="dxa"/>
            <w:vAlign w:val="center"/>
          </w:tcPr>
          <w:p w14:paraId="2AD49FFC" w14:textId="14C55957"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1134" w:type="dxa"/>
            <w:vAlign w:val="center"/>
          </w:tcPr>
          <w:p w14:paraId="3A0A530D" w14:textId="72010FFB"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r>
      <w:tr w:rsidR="00C32D1D" w:rsidRPr="00976103" w14:paraId="3EB822AC" w14:textId="77777777" w:rsidTr="00777B3F">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3D0AB111"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3. Bezdarbs</w:t>
            </w:r>
            <w:r w:rsidR="008329B8">
              <w:rPr>
                <w:color w:val="000000"/>
                <w:szCs w:val="24"/>
                <w:lang w:eastAsia="lv-LV"/>
              </w:rPr>
              <w:t xml:space="preserve"> (%)</w:t>
            </w:r>
          </w:p>
        </w:tc>
        <w:tc>
          <w:tcPr>
            <w:tcW w:w="1004" w:type="dxa"/>
            <w:vAlign w:val="center"/>
            <w:hideMark/>
          </w:tcPr>
          <w:p w14:paraId="5E37B171" w14:textId="10F51A25"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199F14D8" w14:textId="15B5279B" w:rsidR="00C32D1D" w:rsidRPr="00976103"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57" w:type="dxa"/>
            <w:vAlign w:val="center"/>
          </w:tcPr>
          <w:p w14:paraId="06EF5F50" w14:textId="2DCF04EC"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10,8</w:t>
            </w:r>
          </w:p>
        </w:tc>
        <w:tc>
          <w:tcPr>
            <w:tcW w:w="1134" w:type="dxa"/>
            <w:vAlign w:val="center"/>
          </w:tcPr>
          <w:p w14:paraId="2828466C" w14:textId="79FCAB92"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9,7</w:t>
            </w:r>
          </w:p>
        </w:tc>
        <w:tc>
          <w:tcPr>
            <w:tcW w:w="1134" w:type="dxa"/>
            <w:vAlign w:val="center"/>
          </w:tcPr>
          <w:p w14:paraId="2C226637" w14:textId="6D4EF812"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9,1</w:t>
            </w:r>
          </w:p>
        </w:tc>
      </w:tr>
      <w:tr w:rsidR="00C32D1D" w:rsidRPr="00976103" w14:paraId="0D24B6DE" w14:textId="77777777" w:rsidTr="00777B3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39170065"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4. Produktivitāte uz nodarbināto</w:t>
            </w:r>
          </w:p>
        </w:tc>
        <w:tc>
          <w:tcPr>
            <w:tcW w:w="1004" w:type="dxa"/>
            <w:vAlign w:val="center"/>
            <w:hideMark/>
          </w:tcPr>
          <w:p w14:paraId="4276E959" w14:textId="25F8ACB9"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635" w:type="dxa"/>
            <w:vAlign w:val="center"/>
          </w:tcPr>
          <w:p w14:paraId="66E2E02F" w14:textId="69914877"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57" w:type="dxa"/>
            <w:vAlign w:val="center"/>
          </w:tcPr>
          <w:p w14:paraId="28BF57A6" w14:textId="098FCA72"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3,4</w:t>
            </w:r>
          </w:p>
        </w:tc>
        <w:tc>
          <w:tcPr>
            <w:tcW w:w="1134" w:type="dxa"/>
            <w:vAlign w:val="center"/>
          </w:tcPr>
          <w:p w14:paraId="4F923659" w14:textId="6C562D49"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2,1</w:t>
            </w:r>
          </w:p>
        </w:tc>
        <w:tc>
          <w:tcPr>
            <w:tcW w:w="1134" w:type="dxa"/>
            <w:vAlign w:val="center"/>
          </w:tcPr>
          <w:p w14:paraId="373BD344" w14:textId="41143A5D"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2,8</w:t>
            </w:r>
          </w:p>
        </w:tc>
      </w:tr>
      <w:tr w:rsidR="00C32D1D" w:rsidRPr="00976103" w14:paraId="4B427356" w14:textId="77777777" w:rsidTr="00777B3F">
        <w:trPr>
          <w:trHeight w:val="291"/>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548809FC"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5. Produktivitāte stundā</w:t>
            </w:r>
          </w:p>
        </w:tc>
        <w:tc>
          <w:tcPr>
            <w:tcW w:w="1004" w:type="dxa"/>
            <w:vAlign w:val="center"/>
            <w:hideMark/>
          </w:tcPr>
          <w:p w14:paraId="01F3F040" w14:textId="50070049"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065489B7" w14:textId="5F21526F" w:rsidR="00C32D1D" w:rsidRPr="00976103"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57" w:type="dxa"/>
            <w:vAlign w:val="center"/>
          </w:tcPr>
          <w:p w14:paraId="7433E960" w14:textId="400FCA8A"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w:t>
            </w:r>
          </w:p>
        </w:tc>
        <w:tc>
          <w:tcPr>
            <w:tcW w:w="1134" w:type="dxa"/>
            <w:vAlign w:val="center"/>
          </w:tcPr>
          <w:p w14:paraId="068D0C0B" w14:textId="38D9F849"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2,1</w:t>
            </w:r>
          </w:p>
        </w:tc>
        <w:tc>
          <w:tcPr>
            <w:tcW w:w="1134" w:type="dxa"/>
            <w:vAlign w:val="center"/>
          </w:tcPr>
          <w:p w14:paraId="6C13B638" w14:textId="1D16CE6E"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r>
      <w:tr w:rsidR="00C32D1D" w:rsidRPr="00976103" w14:paraId="393FF780" w14:textId="77777777" w:rsidTr="00777B3F">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4F4F80C9"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6. Darbinieku atalgojums kopā</w:t>
            </w:r>
            <w:r w:rsidR="008329B8">
              <w:rPr>
                <w:color w:val="000000"/>
                <w:szCs w:val="24"/>
                <w:lang w:eastAsia="lv-LV"/>
              </w:rPr>
              <w:t xml:space="preserve">, mljrd. </w:t>
            </w:r>
            <w:r w:rsidR="008329B8" w:rsidRPr="0067207B">
              <w:rPr>
                <w:i/>
                <w:color w:val="000000"/>
                <w:szCs w:val="24"/>
                <w:lang w:eastAsia="lv-LV"/>
              </w:rPr>
              <w:t>euro</w:t>
            </w:r>
          </w:p>
        </w:tc>
        <w:tc>
          <w:tcPr>
            <w:tcW w:w="1004" w:type="dxa"/>
            <w:vAlign w:val="center"/>
            <w:hideMark/>
          </w:tcPr>
          <w:p w14:paraId="380C70FE" w14:textId="77777777" w:rsidR="00C32D1D" w:rsidRPr="00976103"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635" w:type="dxa"/>
            <w:vAlign w:val="center"/>
          </w:tcPr>
          <w:p w14:paraId="50578F2C" w14:textId="38617568"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10275,6</w:t>
            </w:r>
          </w:p>
        </w:tc>
        <w:tc>
          <w:tcPr>
            <w:tcW w:w="1157" w:type="dxa"/>
            <w:vAlign w:val="center"/>
          </w:tcPr>
          <w:p w14:paraId="4A1C6F17" w14:textId="0EFA177F"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7,3</w:t>
            </w:r>
          </w:p>
        </w:tc>
        <w:tc>
          <w:tcPr>
            <w:tcW w:w="1134" w:type="dxa"/>
            <w:vAlign w:val="center"/>
          </w:tcPr>
          <w:p w14:paraId="3FDE929B" w14:textId="2B642C32"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5,7</w:t>
            </w:r>
          </w:p>
        </w:tc>
        <w:tc>
          <w:tcPr>
            <w:tcW w:w="1134" w:type="dxa"/>
            <w:vAlign w:val="center"/>
          </w:tcPr>
          <w:p w14:paraId="58AB2890" w14:textId="3D003176" w:rsidR="00C32D1D" w:rsidRPr="00976103" w:rsidRDefault="00E877E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5,2</w:t>
            </w:r>
          </w:p>
        </w:tc>
      </w:tr>
      <w:tr w:rsidR="00C32D1D" w:rsidRPr="00976103" w14:paraId="62BF9038" w14:textId="77777777" w:rsidTr="006652F3">
        <w:trPr>
          <w:trHeight w:val="234"/>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6606C583"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7. Bruto alga</w:t>
            </w:r>
            <w:r w:rsidR="008329B8">
              <w:rPr>
                <w:color w:val="000000"/>
                <w:szCs w:val="24"/>
                <w:lang w:eastAsia="lv-LV"/>
              </w:rPr>
              <w:t xml:space="preserve">, </w:t>
            </w:r>
            <w:r w:rsidR="008329B8" w:rsidRPr="0067207B">
              <w:rPr>
                <w:i/>
                <w:color w:val="000000"/>
                <w:szCs w:val="24"/>
                <w:lang w:eastAsia="lv-LV"/>
              </w:rPr>
              <w:t>euro</w:t>
            </w:r>
          </w:p>
        </w:tc>
        <w:tc>
          <w:tcPr>
            <w:tcW w:w="1004" w:type="dxa"/>
            <w:hideMark/>
          </w:tcPr>
          <w:p w14:paraId="2CD40E87" w14:textId="77777777" w:rsidR="00C32D1D" w:rsidRPr="00976103"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1635" w:type="dxa"/>
            <w:vAlign w:val="center"/>
          </w:tcPr>
          <w:p w14:paraId="5E3E2603" w14:textId="0DE1FA11"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765,2</w:t>
            </w:r>
          </w:p>
        </w:tc>
        <w:tc>
          <w:tcPr>
            <w:tcW w:w="1157" w:type="dxa"/>
            <w:vAlign w:val="center"/>
          </w:tcPr>
          <w:p w14:paraId="11451A2F" w14:textId="4B7657A7"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6,8</w:t>
            </w:r>
          </w:p>
        </w:tc>
        <w:tc>
          <w:tcPr>
            <w:tcW w:w="1134" w:type="dxa"/>
            <w:vAlign w:val="center"/>
          </w:tcPr>
          <w:p w14:paraId="230A2F6E" w14:textId="160D8F11"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5,5</w:t>
            </w:r>
          </w:p>
        </w:tc>
        <w:tc>
          <w:tcPr>
            <w:tcW w:w="1134" w:type="dxa"/>
            <w:vAlign w:val="center"/>
          </w:tcPr>
          <w:p w14:paraId="58CA44D5" w14:textId="21363A26" w:rsidR="00C32D1D" w:rsidRPr="00976103" w:rsidRDefault="00E877E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5,0</w:t>
            </w:r>
          </w:p>
        </w:tc>
      </w:tr>
    </w:tbl>
    <w:p w14:paraId="6A0CA34F" w14:textId="77777777" w:rsidR="00C32D1D" w:rsidRPr="00976103" w:rsidRDefault="00C32D1D" w:rsidP="00C32D1D">
      <w:pPr>
        <w:ind w:firstLine="0"/>
        <w:jc w:val="left"/>
        <w:rPr>
          <w:szCs w:val="24"/>
        </w:rPr>
      </w:pPr>
    </w:p>
    <w:p w14:paraId="01E20E48" w14:textId="77777777" w:rsidR="00C32D1D" w:rsidRPr="00976103" w:rsidRDefault="00C32D1D" w:rsidP="00C32D1D">
      <w:pPr>
        <w:ind w:firstLine="0"/>
        <w:jc w:val="left"/>
        <w:rPr>
          <w:szCs w:val="24"/>
        </w:rPr>
      </w:pPr>
    </w:p>
    <w:p w14:paraId="584A87F1" w14:textId="77777777" w:rsidR="00C32D1D" w:rsidRPr="001D5709" w:rsidRDefault="00C32D1D" w:rsidP="001D5709">
      <w:pPr>
        <w:pStyle w:val="Heading1"/>
        <w:tabs>
          <w:tab w:val="left" w:pos="1276"/>
        </w:tabs>
        <w:spacing w:before="0" w:after="240"/>
        <w:ind w:firstLine="0"/>
        <w:jc w:val="left"/>
        <w:rPr>
          <w:rFonts w:ascii="Times New Roman" w:hAnsi="Times New Roman"/>
          <w:color w:val="18185E"/>
          <w:sz w:val="24"/>
        </w:rPr>
      </w:pPr>
      <w:bookmarkStart w:id="6" w:name="_Toc431197082"/>
      <w:r w:rsidRPr="001D5709">
        <w:rPr>
          <w:rFonts w:ascii="Times New Roman" w:hAnsi="Times New Roman"/>
          <w:color w:val="18185E"/>
          <w:sz w:val="24"/>
        </w:rPr>
        <w:t>Tabula 1d: Sektoru bilances</w:t>
      </w:r>
      <w:bookmarkEnd w:id="6"/>
    </w:p>
    <w:tbl>
      <w:tblPr>
        <w:tblStyle w:val="GridTable6Colorful-Accent11"/>
        <w:tblW w:w="9727" w:type="dxa"/>
        <w:jc w:val="center"/>
        <w:tblLook w:val="04A0" w:firstRow="1" w:lastRow="0" w:firstColumn="1" w:lastColumn="0" w:noHBand="0" w:noVBand="1"/>
      </w:tblPr>
      <w:tblGrid>
        <w:gridCol w:w="5382"/>
        <w:gridCol w:w="1362"/>
        <w:gridCol w:w="998"/>
        <w:gridCol w:w="993"/>
        <w:gridCol w:w="992"/>
      </w:tblGrid>
      <w:tr w:rsidR="00C32D1D" w:rsidRPr="00976103" w14:paraId="20764141" w14:textId="77777777" w:rsidTr="001B0074">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E4E13B3" w14:textId="77777777" w:rsidR="00C32D1D" w:rsidRPr="00976103" w:rsidRDefault="00C32D1D" w:rsidP="006B2FB4">
            <w:pPr>
              <w:spacing w:after="0"/>
              <w:ind w:firstLineChars="100" w:firstLine="241"/>
              <w:jc w:val="right"/>
              <w:rPr>
                <w:color w:val="000000"/>
                <w:szCs w:val="22"/>
                <w:lang w:eastAsia="lv-LV"/>
              </w:rPr>
            </w:pPr>
            <w:r w:rsidRPr="00976103">
              <w:rPr>
                <w:color w:val="000000"/>
                <w:szCs w:val="22"/>
                <w:lang w:eastAsia="lv-LV"/>
              </w:rPr>
              <w:t> </w:t>
            </w:r>
          </w:p>
        </w:tc>
        <w:tc>
          <w:tcPr>
            <w:tcW w:w="1362" w:type="dxa"/>
            <w:vAlign w:val="center"/>
            <w:hideMark/>
          </w:tcPr>
          <w:p w14:paraId="5456A121" w14:textId="2DA157E1" w:rsidR="00C32D1D" w:rsidRPr="00517C82"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EKS k</w:t>
            </w:r>
            <w:r w:rsidR="00C32D1D" w:rsidRPr="00517C82">
              <w:rPr>
                <w:color w:val="000000"/>
                <w:szCs w:val="22"/>
                <w:lang w:eastAsia="lv-LV"/>
              </w:rPr>
              <w:t>ods</w:t>
            </w:r>
          </w:p>
        </w:tc>
        <w:tc>
          <w:tcPr>
            <w:tcW w:w="998" w:type="dxa"/>
            <w:vAlign w:val="center"/>
            <w:hideMark/>
          </w:tcPr>
          <w:p w14:paraId="1A70466F" w14:textId="46CB7630" w:rsidR="00C32D1D" w:rsidRPr="00517C82" w:rsidRDefault="00777B3F"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2014</w:t>
            </w:r>
          </w:p>
        </w:tc>
        <w:tc>
          <w:tcPr>
            <w:tcW w:w="993" w:type="dxa"/>
            <w:vAlign w:val="center"/>
            <w:hideMark/>
          </w:tcPr>
          <w:p w14:paraId="604AC2D3" w14:textId="3F7AAA80" w:rsidR="00C32D1D" w:rsidRPr="00517C82" w:rsidRDefault="00777B3F"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2015</w:t>
            </w:r>
          </w:p>
        </w:tc>
        <w:tc>
          <w:tcPr>
            <w:tcW w:w="992" w:type="dxa"/>
            <w:vAlign w:val="center"/>
            <w:hideMark/>
          </w:tcPr>
          <w:p w14:paraId="2F2102D4" w14:textId="758468D7" w:rsidR="00C32D1D" w:rsidRPr="00517C82" w:rsidRDefault="00777B3F"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2016</w:t>
            </w:r>
          </w:p>
        </w:tc>
      </w:tr>
      <w:tr w:rsidR="00C32D1D" w:rsidRPr="00976103" w14:paraId="27AFB500" w14:textId="77777777" w:rsidTr="001B007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3B223F7" w14:textId="77777777" w:rsidR="00C32D1D" w:rsidRPr="00976103" w:rsidRDefault="00C32D1D" w:rsidP="006B2FB4">
            <w:pPr>
              <w:spacing w:after="0"/>
              <w:ind w:firstLineChars="100" w:firstLine="241"/>
              <w:jc w:val="right"/>
              <w:rPr>
                <w:color w:val="000000"/>
                <w:szCs w:val="22"/>
                <w:lang w:eastAsia="lv-LV"/>
              </w:rPr>
            </w:pPr>
            <w:r w:rsidRPr="00976103">
              <w:rPr>
                <w:color w:val="000000"/>
                <w:szCs w:val="22"/>
                <w:lang w:eastAsia="lv-LV"/>
              </w:rPr>
              <w:t> </w:t>
            </w:r>
          </w:p>
        </w:tc>
        <w:tc>
          <w:tcPr>
            <w:tcW w:w="1362" w:type="dxa"/>
            <w:vAlign w:val="center"/>
            <w:hideMark/>
          </w:tcPr>
          <w:p w14:paraId="141AB444" w14:textId="37A2CA82" w:rsidR="00C32D1D" w:rsidRPr="00976103"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2983" w:type="dxa"/>
            <w:gridSpan w:val="3"/>
            <w:vAlign w:val="center"/>
            <w:hideMark/>
          </w:tcPr>
          <w:p w14:paraId="5F826028" w14:textId="77777777" w:rsidR="00C32D1D" w:rsidRPr="00976103"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 no IKP</w:t>
            </w:r>
          </w:p>
        </w:tc>
      </w:tr>
      <w:tr w:rsidR="00C32D1D" w:rsidRPr="00976103" w14:paraId="2C7E7293" w14:textId="77777777" w:rsidTr="00777B3F">
        <w:trPr>
          <w:trHeight w:val="491"/>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1ABF8C01" w14:textId="77777777" w:rsidR="00C32D1D" w:rsidRPr="00976103" w:rsidRDefault="00C32D1D" w:rsidP="00777B3F">
            <w:pPr>
              <w:spacing w:after="0"/>
              <w:ind w:firstLine="0"/>
              <w:jc w:val="left"/>
              <w:rPr>
                <w:color w:val="000000"/>
                <w:szCs w:val="22"/>
                <w:lang w:eastAsia="lv-LV"/>
              </w:rPr>
            </w:pPr>
            <w:r w:rsidRPr="00976103">
              <w:rPr>
                <w:color w:val="000000"/>
                <w:szCs w:val="22"/>
                <w:lang w:eastAsia="lv-LV"/>
              </w:rPr>
              <w:t>1. Neto aizdevumi/aizņēmumi attiecībā pret pārējām valstīm</w:t>
            </w:r>
          </w:p>
        </w:tc>
        <w:tc>
          <w:tcPr>
            <w:tcW w:w="1362" w:type="dxa"/>
            <w:vAlign w:val="center"/>
            <w:hideMark/>
          </w:tcPr>
          <w:p w14:paraId="416AD562" w14:textId="77777777" w:rsidR="00C32D1D" w:rsidRPr="00976103"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B.9</w:t>
            </w:r>
          </w:p>
        </w:tc>
        <w:tc>
          <w:tcPr>
            <w:tcW w:w="998" w:type="dxa"/>
            <w:vAlign w:val="center"/>
          </w:tcPr>
          <w:p w14:paraId="3A88F455" w14:textId="73B700E8" w:rsidR="00C32D1D" w:rsidRPr="00976103" w:rsidRDefault="00777B3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1,2</w:t>
            </w:r>
          </w:p>
        </w:tc>
        <w:tc>
          <w:tcPr>
            <w:tcW w:w="993" w:type="dxa"/>
            <w:vAlign w:val="center"/>
          </w:tcPr>
          <w:p w14:paraId="331231A7" w14:textId="4EAAA769" w:rsidR="00C32D1D" w:rsidRPr="00976103" w:rsidRDefault="00777B3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1,2</w:t>
            </w:r>
          </w:p>
        </w:tc>
        <w:tc>
          <w:tcPr>
            <w:tcW w:w="992" w:type="dxa"/>
            <w:vAlign w:val="center"/>
          </w:tcPr>
          <w:p w14:paraId="5C07A62A" w14:textId="03E54CFA" w:rsidR="00C32D1D" w:rsidRPr="00976103" w:rsidRDefault="00777B3F"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0,8</w:t>
            </w:r>
          </w:p>
        </w:tc>
      </w:tr>
      <w:tr w:rsidR="00C32D1D" w:rsidRPr="00976103" w14:paraId="0A659E72" w14:textId="77777777" w:rsidTr="00777B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09FE38AA" w14:textId="77777777" w:rsidR="00C32D1D" w:rsidRPr="00976103" w:rsidRDefault="00C32D1D" w:rsidP="00777B3F">
            <w:pPr>
              <w:spacing w:after="0"/>
              <w:ind w:firstLine="0"/>
              <w:jc w:val="left"/>
              <w:rPr>
                <w:color w:val="000000"/>
                <w:szCs w:val="22"/>
                <w:lang w:eastAsia="lv-LV"/>
              </w:rPr>
            </w:pPr>
            <w:r w:rsidRPr="00976103">
              <w:rPr>
                <w:color w:val="000000"/>
                <w:szCs w:val="22"/>
                <w:lang w:eastAsia="lv-LV"/>
              </w:rPr>
              <w:t>no kā</w:t>
            </w:r>
          </w:p>
        </w:tc>
        <w:tc>
          <w:tcPr>
            <w:tcW w:w="1362" w:type="dxa"/>
            <w:vAlign w:val="center"/>
            <w:hideMark/>
          </w:tcPr>
          <w:p w14:paraId="78D07B44" w14:textId="2BA3E6FA"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98" w:type="dxa"/>
            <w:vAlign w:val="center"/>
          </w:tcPr>
          <w:p w14:paraId="7115D1AB" w14:textId="2ADA4C94"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93" w:type="dxa"/>
            <w:vAlign w:val="center"/>
          </w:tcPr>
          <w:p w14:paraId="6D197199" w14:textId="2204BD2E"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92" w:type="dxa"/>
            <w:vAlign w:val="center"/>
          </w:tcPr>
          <w:p w14:paraId="0427EAC1" w14:textId="6E829115"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r>
      <w:tr w:rsidR="00777B3F" w:rsidRPr="00976103" w14:paraId="4AA8B399" w14:textId="77777777" w:rsidTr="00777B3F">
        <w:trPr>
          <w:trHeight w:val="219"/>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777C34F5"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Preču un pakalpojumu bilance</w:t>
            </w:r>
          </w:p>
        </w:tc>
        <w:tc>
          <w:tcPr>
            <w:tcW w:w="1362" w:type="dxa"/>
            <w:vAlign w:val="center"/>
            <w:hideMark/>
          </w:tcPr>
          <w:p w14:paraId="73088806" w14:textId="49E0DC43" w:rsidR="00777B3F" w:rsidRPr="00976103" w:rsidRDefault="00777B3F"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998" w:type="dxa"/>
            <w:vAlign w:val="center"/>
          </w:tcPr>
          <w:p w14:paraId="2957331C" w14:textId="7926B4E1"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-2,2</w:t>
            </w:r>
          </w:p>
        </w:tc>
        <w:tc>
          <w:tcPr>
            <w:tcW w:w="993" w:type="dxa"/>
            <w:vAlign w:val="center"/>
          </w:tcPr>
          <w:p w14:paraId="1150866D" w14:textId="5CF61160"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w:t>
            </w:r>
          </w:p>
        </w:tc>
        <w:tc>
          <w:tcPr>
            <w:tcW w:w="992" w:type="dxa"/>
            <w:vAlign w:val="center"/>
          </w:tcPr>
          <w:p w14:paraId="5941C17D" w14:textId="6705709B"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-2,1</w:t>
            </w:r>
          </w:p>
        </w:tc>
      </w:tr>
      <w:tr w:rsidR="00777B3F" w:rsidRPr="00976103" w14:paraId="2662C70F" w14:textId="77777777" w:rsidTr="00777B3F">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44FED098"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Primāro ienākumu un transfēru bilance</w:t>
            </w:r>
          </w:p>
        </w:tc>
        <w:tc>
          <w:tcPr>
            <w:tcW w:w="1362" w:type="dxa"/>
            <w:vAlign w:val="center"/>
            <w:hideMark/>
          </w:tcPr>
          <w:p w14:paraId="7E953327" w14:textId="526ECF34" w:rsidR="00777B3F" w:rsidRPr="00976103" w:rsidRDefault="00777B3F"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98" w:type="dxa"/>
            <w:vAlign w:val="center"/>
          </w:tcPr>
          <w:p w14:paraId="3CD85A80" w14:textId="56BDD741"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0,3</w:t>
            </w:r>
          </w:p>
        </w:tc>
        <w:tc>
          <w:tcPr>
            <w:tcW w:w="993" w:type="dxa"/>
            <w:vAlign w:val="center"/>
          </w:tcPr>
          <w:p w14:paraId="5314B9BD" w14:textId="4BF7B67F"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0,2</w:t>
            </w:r>
          </w:p>
        </w:tc>
        <w:tc>
          <w:tcPr>
            <w:tcW w:w="992" w:type="dxa"/>
            <w:vAlign w:val="center"/>
          </w:tcPr>
          <w:p w14:paraId="5D266E4F" w14:textId="792116D3"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0,2</w:t>
            </w:r>
          </w:p>
        </w:tc>
      </w:tr>
      <w:tr w:rsidR="00777B3F" w:rsidRPr="00976103" w14:paraId="39A80EB4" w14:textId="77777777" w:rsidTr="00777B3F">
        <w:trPr>
          <w:trHeight w:val="269"/>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367B55AE"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Kapitāla konts</w:t>
            </w:r>
          </w:p>
        </w:tc>
        <w:tc>
          <w:tcPr>
            <w:tcW w:w="1362" w:type="dxa"/>
            <w:vAlign w:val="center"/>
            <w:hideMark/>
          </w:tcPr>
          <w:p w14:paraId="3492B5C6" w14:textId="000FE811" w:rsidR="00777B3F" w:rsidRPr="00976103" w:rsidRDefault="00777B3F"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998" w:type="dxa"/>
            <w:vAlign w:val="center"/>
          </w:tcPr>
          <w:p w14:paraId="7B54444B" w14:textId="0575A40D"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3,1</w:t>
            </w:r>
          </w:p>
        </w:tc>
        <w:tc>
          <w:tcPr>
            <w:tcW w:w="993" w:type="dxa"/>
            <w:vAlign w:val="center"/>
          </w:tcPr>
          <w:p w14:paraId="6ACCE981" w14:textId="0D2342E5"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2,9</w:t>
            </w:r>
          </w:p>
        </w:tc>
        <w:tc>
          <w:tcPr>
            <w:tcW w:w="992" w:type="dxa"/>
            <w:vAlign w:val="center"/>
          </w:tcPr>
          <w:p w14:paraId="5226E83B" w14:textId="1CC9F933"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2,7</w:t>
            </w:r>
          </w:p>
        </w:tc>
      </w:tr>
      <w:tr w:rsidR="00777B3F" w:rsidRPr="00976103" w14:paraId="159C3C76" w14:textId="77777777" w:rsidTr="00777B3F">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7F48DF1C"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2. Neto aizdevumi/aizņēmumi privātajā sektorā</w:t>
            </w:r>
          </w:p>
        </w:tc>
        <w:tc>
          <w:tcPr>
            <w:tcW w:w="1362" w:type="dxa"/>
            <w:vAlign w:val="center"/>
            <w:hideMark/>
          </w:tcPr>
          <w:p w14:paraId="29A43F91" w14:textId="77777777" w:rsidR="00777B3F" w:rsidRPr="00976103" w:rsidRDefault="00777B3F"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B.9</w:t>
            </w:r>
          </w:p>
        </w:tc>
        <w:tc>
          <w:tcPr>
            <w:tcW w:w="998" w:type="dxa"/>
            <w:vAlign w:val="center"/>
          </w:tcPr>
          <w:p w14:paraId="1D276409" w14:textId="0B69E13D"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0,5</w:t>
            </w:r>
          </w:p>
        </w:tc>
        <w:tc>
          <w:tcPr>
            <w:tcW w:w="993" w:type="dxa"/>
            <w:vAlign w:val="center"/>
          </w:tcPr>
          <w:p w14:paraId="0B357641" w14:textId="77F28E1D"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2,6</w:t>
            </w:r>
          </w:p>
        </w:tc>
        <w:tc>
          <w:tcPr>
            <w:tcW w:w="992" w:type="dxa"/>
            <w:vAlign w:val="center"/>
          </w:tcPr>
          <w:p w14:paraId="1D064BF2" w14:textId="2F42EE24"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1,8</w:t>
            </w:r>
          </w:p>
        </w:tc>
      </w:tr>
      <w:tr w:rsidR="00777B3F" w:rsidRPr="00976103" w14:paraId="17CA6486" w14:textId="77777777" w:rsidTr="00777B3F">
        <w:trPr>
          <w:trHeight w:val="267"/>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25C84187"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3. Neto aizdevumi/aizņēmumi valdības sektorā</w:t>
            </w:r>
          </w:p>
        </w:tc>
        <w:tc>
          <w:tcPr>
            <w:tcW w:w="1362" w:type="dxa"/>
            <w:vAlign w:val="center"/>
            <w:hideMark/>
          </w:tcPr>
          <w:p w14:paraId="0E869689" w14:textId="77777777" w:rsidR="00777B3F" w:rsidRPr="00976103" w:rsidRDefault="00777B3F"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EDP B.9</w:t>
            </w:r>
          </w:p>
        </w:tc>
        <w:tc>
          <w:tcPr>
            <w:tcW w:w="998" w:type="dxa"/>
            <w:vAlign w:val="center"/>
          </w:tcPr>
          <w:p w14:paraId="5C49CBFA" w14:textId="35B69B71"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-1,4</w:t>
            </w:r>
          </w:p>
        </w:tc>
        <w:tc>
          <w:tcPr>
            <w:tcW w:w="993" w:type="dxa"/>
            <w:vAlign w:val="center"/>
          </w:tcPr>
          <w:p w14:paraId="1623173B" w14:textId="39761904"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-1,4</w:t>
            </w:r>
          </w:p>
        </w:tc>
        <w:tc>
          <w:tcPr>
            <w:tcW w:w="992" w:type="dxa"/>
            <w:vAlign w:val="center"/>
          </w:tcPr>
          <w:p w14:paraId="5B3EEB01" w14:textId="02AA7590" w:rsidR="00777B3F" w:rsidRPr="00976103" w:rsidRDefault="00777B3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-1,0</w:t>
            </w:r>
          </w:p>
        </w:tc>
      </w:tr>
      <w:tr w:rsidR="00777B3F" w:rsidRPr="00976103" w14:paraId="74B5DF4A" w14:textId="77777777" w:rsidTr="00777B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4A7F3661"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4. Statistiskā novirze</w:t>
            </w:r>
          </w:p>
        </w:tc>
        <w:tc>
          <w:tcPr>
            <w:tcW w:w="1362" w:type="dxa"/>
            <w:vAlign w:val="center"/>
            <w:hideMark/>
          </w:tcPr>
          <w:p w14:paraId="0D560EF1" w14:textId="7D469669" w:rsidR="00777B3F" w:rsidRPr="00976103" w:rsidRDefault="00777B3F"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98" w:type="dxa"/>
            <w:vAlign w:val="center"/>
          </w:tcPr>
          <w:p w14:paraId="3987F603" w14:textId="606CD73F"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2,1</w:t>
            </w:r>
          </w:p>
        </w:tc>
        <w:tc>
          <w:tcPr>
            <w:tcW w:w="993" w:type="dxa"/>
            <w:vAlign w:val="center"/>
          </w:tcPr>
          <w:p w14:paraId="2FF5AF5A" w14:textId="4A8A8619"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c>
          <w:tcPr>
            <w:tcW w:w="992" w:type="dxa"/>
            <w:vAlign w:val="center"/>
          </w:tcPr>
          <w:p w14:paraId="7F54D680" w14:textId="3F474160" w:rsidR="00777B3F" w:rsidRPr="00976103" w:rsidRDefault="00777B3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r>
    </w:tbl>
    <w:p w14:paraId="41BAC995" w14:textId="77777777" w:rsidR="005904B9" w:rsidRDefault="005904B9" w:rsidP="00375924">
      <w:pPr>
        <w:pStyle w:val="Heading1"/>
        <w:tabs>
          <w:tab w:val="left" w:pos="1276"/>
        </w:tabs>
        <w:spacing w:before="0" w:after="240"/>
        <w:jc w:val="center"/>
        <w:rPr>
          <w:rFonts w:ascii="Times New Roman" w:hAnsi="Times New Roman"/>
          <w:color w:val="18185E"/>
          <w:sz w:val="28"/>
        </w:rPr>
      </w:pPr>
    </w:p>
    <w:p w14:paraId="27163864" w14:textId="77777777" w:rsidR="005904B9" w:rsidRDefault="005904B9">
      <w:pPr>
        <w:spacing w:after="0"/>
        <w:ind w:firstLine="0"/>
        <w:jc w:val="left"/>
        <w:rPr>
          <w:b/>
          <w:bCs/>
          <w:color w:val="18185E"/>
          <w:sz w:val="28"/>
          <w:szCs w:val="28"/>
          <w:lang w:val="x-none" w:eastAsia="x-none"/>
        </w:rPr>
      </w:pPr>
      <w:r>
        <w:rPr>
          <w:color w:val="18185E"/>
          <w:sz w:val="28"/>
        </w:rPr>
        <w:br w:type="page"/>
      </w:r>
    </w:p>
    <w:p w14:paraId="0043FE37" w14:textId="35D4282E" w:rsidR="0095691A" w:rsidRDefault="00DE25FE" w:rsidP="00375924">
      <w:pPr>
        <w:pStyle w:val="Heading1"/>
        <w:tabs>
          <w:tab w:val="left" w:pos="1276"/>
        </w:tabs>
        <w:spacing w:before="0" w:after="240"/>
        <w:jc w:val="center"/>
        <w:rPr>
          <w:rFonts w:ascii="Times New Roman" w:hAnsi="Times New Roman"/>
          <w:color w:val="18185E"/>
          <w:sz w:val="28"/>
        </w:rPr>
      </w:pPr>
      <w:bookmarkStart w:id="7" w:name="_Toc431197083"/>
      <w:r w:rsidRPr="006B2FB4">
        <w:rPr>
          <w:rFonts w:ascii="Times New Roman" w:hAnsi="Times New Roman"/>
          <w:color w:val="18185E"/>
          <w:sz w:val="28"/>
        </w:rPr>
        <w:t>Fiskālā stratēģija un strukturālās bilances mērķi</w:t>
      </w:r>
      <w:bookmarkEnd w:id="7"/>
    </w:p>
    <w:p w14:paraId="3FEC5F42" w14:textId="4AFF1312" w:rsidR="004A10AB" w:rsidRPr="00F724FE" w:rsidRDefault="004A10AB" w:rsidP="00F724FE">
      <w:pPr>
        <w:pStyle w:val="NoSpacing"/>
        <w:spacing w:line="276" w:lineRule="auto"/>
        <w:ind w:firstLine="720"/>
        <w:rPr>
          <w:rFonts w:eastAsia="Calibri"/>
          <w:szCs w:val="24"/>
        </w:rPr>
      </w:pPr>
      <w:r w:rsidRPr="00F724FE">
        <w:rPr>
          <w:rFonts w:eastAsia="Calibri"/>
          <w:szCs w:val="24"/>
        </w:rPr>
        <w:t>Latvijas fiskālās politikas principi, vidēja termiņa strukturālās bilances mērķis (</w:t>
      </w:r>
      <w:r w:rsidR="005D77C5">
        <w:rPr>
          <w:rFonts w:eastAsia="Calibri"/>
          <w:szCs w:val="24"/>
        </w:rPr>
        <w:t xml:space="preserve">turpmāk - </w:t>
      </w:r>
      <w:r w:rsidRPr="00F724FE">
        <w:rPr>
          <w:rFonts w:eastAsia="Calibri"/>
          <w:szCs w:val="24"/>
        </w:rPr>
        <w:t>MTO) un pielietotās atkāpes sakarā ar iemaksu atjaunošanos 2.pensiju līmenī nav mainīti un ir aprakstīti Latvijas Stabilitātes programmā 2015.-2018. gadam. Tāpat Latvijas fiskālās politikas vispārējais mērķis – ilgtspējīgi paaugstināt Latvijas iedzīvotāju dzīves kvalitāti – nav mainījies.</w:t>
      </w:r>
    </w:p>
    <w:p w14:paraId="6A0F2C95" w14:textId="230A602A" w:rsidR="004A10AB" w:rsidRPr="00F724FE" w:rsidRDefault="004A10AB" w:rsidP="00F724FE">
      <w:pPr>
        <w:pStyle w:val="NoSpacing"/>
        <w:spacing w:line="276" w:lineRule="auto"/>
        <w:ind w:firstLine="720"/>
        <w:rPr>
          <w:rFonts w:eastAsia="Calibri"/>
          <w:szCs w:val="24"/>
        </w:rPr>
      </w:pPr>
      <w:r w:rsidRPr="00F724FE">
        <w:rPr>
          <w:rFonts w:eastAsia="Calibri"/>
          <w:szCs w:val="24"/>
        </w:rPr>
        <w:t>Sagatavojot aktuālo vispārējās valdības budžeta plāna projektu fiskālās politikas specifiskie mērķi ir tikuši precizēti, ņemot vērā apstākļus, kas jau bija zināmi</w:t>
      </w:r>
      <w:r w:rsidR="00381267">
        <w:rPr>
          <w:rFonts w:eastAsia="Calibri"/>
          <w:szCs w:val="24"/>
        </w:rPr>
        <w:t>,</w:t>
      </w:r>
      <w:r w:rsidRPr="00F724FE">
        <w:rPr>
          <w:rFonts w:eastAsia="Calibri"/>
          <w:szCs w:val="24"/>
        </w:rPr>
        <w:t xml:space="preserve"> izstrādājot Latvijas Sta</w:t>
      </w:r>
      <w:r w:rsidR="00416CD6">
        <w:rPr>
          <w:rFonts w:eastAsia="Calibri"/>
          <w:szCs w:val="24"/>
        </w:rPr>
        <w:t>bilitātes programmu 2015.-2018.</w:t>
      </w:r>
      <w:r w:rsidRPr="00F724FE">
        <w:rPr>
          <w:rFonts w:eastAsia="Calibri"/>
          <w:szCs w:val="24"/>
        </w:rPr>
        <w:t>gadam, piemēram, nepieciešamība nodrošināt papildus resursus aizsardzībai. Tāpat definējot fiskālās politikas specifiskos mērķus joprojām ir saglabāti Latvijas Sta</w:t>
      </w:r>
      <w:r w:rsidR="00416CD6">
        <w:rPr>
          <w:rFonts w:eastAsia="Calibri"/>
          <w:szCs w:val="24"/>
        </w:rPr>
        <w:t>bilitātes programmā 2015.-2018.</w:t>
      </w:r>
      <w:r w:rsidRPr="00F724FE">
        <w:rPr>
          <w:rFonts w:eastAsia="Calibri"/>
          <w:szCs w:val="24"/>
        </w:rPr>
        <w:t xml:space="preserve">gadam noteiktie valdības rīcības virzieni - nodokļu ieņēmumu proporcijas pret IKP palielināšana un iedzīvotāju ienākumu nevienlīdzības mazināšana. Līdz ar to specifiskie fiskālās politikas mērķi, kas vienlaikus ir arī vidēja termiņa budžeta politikas prioritārie attīstības virzieni ir sekojoši:   </w:t>
      </w:r>
    </w:p>
    <w:p w14:paraId="632E4684" w14:textId="3A5476AA" w:rsidR="004A10AB" w:rsidRPr="00F724FE" w:rsidRDefault="004A10AB" w:rsidP="00F724FE">
      <w:pPr>
        <w:pStyle w:val="NoSpacing"/>
        <w:numPr>
          <w:ilvl w:val="0"/>
          <w:numId w:val="36"/>
        </w:numPr>
        <w:spacing w:line="276" w:lineRule="auto"/>
        <w:ind w:left="1560"/>
        <w:rPr>
          <w:rFonts w:eastAsia="Calibri"/>
          <w:szCs w:val="24"/>
        </w:rPr>
      </w:pPr>
      <w:r w:rsidRPr="00F724FE">
        <w:rPr>
          <w:rFonts w:eastAsia="Calibri"/>
          <w:szCs w:val="24"/>
        </w:rPr>
        <w:t xml:space="preserve">valsts aizsardzības spēju palielināšana, kāpinot valsts aizsardzības finansējumu pret </w:t>
      </w:r>
      <w:r w:rsidR="00416CD6">
        <w:rPr>
          <w:rFonts w:eastAsia="Calibri"/>
          <w:szCs w:val="24"/>
        </w:rPr>
        <w:t>IKP</w:t>
      </w:r>
      <w:r w:rsidRPr="00F724FE">
        <w:rPr>
          <w:rFonts w:eastAsia="Calibri"/>
          <w:szCs w:val="24"/>
        </w:rPr>
        <w:t xml:space="preserve"> līdz 2% 2018.gadā; </w:t>
      </w:r>
    </w:p>
    <w:p w14:paraId="01540F7F" w14:textId="0A1E41CE" w:rsidR="004A10AB" w:rsidRPr="00F724FE" w:rsidRDefault="004A10AB" w:rsidP="00F724FE">
      <w:pPr>
        <w:pStyle w:val="NoSpacing"/>
        <w:numPr>
          <w:ilvl w:val="0"/>
          <w:numId w:val="36"/>
        </w:numPr>
        <w:spacing w:line="276" w:lineRule="auto"/>
        <w:ind w:left="1560"/>
        <w:rPr>
          <w:rFonts w:eastAsia="Calibri"/>
          <w:szCs w:val="24"/>
        </w:rPr>
      </w:pPr>
      <w:r w:rsidRPr="00F724FE">
        <w:rPr>
          <w:rFonts w:eastAsia="Calibri"/>
          <w:szCs w:val="24"/>
        </w:rPr>
        <w:t>ilgtspējīgas un sabalansētas valsts ekonomiskās attīstības veicināšana, valsts budžeta iespēju robežās primāri nodrošinot finansējuma pieaugumu aizsardzībai, iekšējai drošībai, veselībai un izglītībai;</w:t>
      </w:r>
    </w:p>
    <w:p w14:paraId="10E330F0" w14:textId="560EA008" w:rsidR="004A10AB" w:rsidRPr="00F724FE" w:rsidRDefault="004A10AB" w:rsidP="00F724FE">
      <w:pPr>
        <w:pStyle w:val="NoSpacing"/>
        <w:numPr>
          <w:ilvl w:val="0"/>
          <w:numId w:val="36"/>
        </w:numPr>
        <w:spacing w:line="276" w:lineRule="auto"/>
        <w:ind w:left="1560"/>
        <w:rPr>
          <w:rFonts w:eastAsia="Calibri"/>
          <w:szCs w:val="24"/>
        </w:rPr>
      </w:pPr>
      <w:r w:rsidRPr="00F724FE">
        <w:rPr>
          <w:rFonts w:eastAsia="Calibri"/>
          <w:szCs w:val="24"/>
        </w:rPr>
        <w:t>iedzīvotāju ienākumu nevienlīdzības mazināšana, pakāpeniski palielinot minimālo algu un ieviešot progresīvo iedzīvotāju ienākumu nodokļa neapliekamo minimumu;</w:t>
      </w:r>
    </w:p>
    <w:p w14:paraId="76D92AB2" w14:textId="26C105F7" w:rsidR="004A10AB" w:rsidRPr="00F724FE" w:rsidRDefault="004A10AB" w:rsidP="00F724FE">
      <w:pPr>
        <w:pStyle w:val="NoSpacing"/>
        <w:numPr>
          <w:ilvl w:val="0"/>
          <w:numId w:val="36"/>
        </w:numPr>
        <w:spacing w:line="276" w:lineRule="auto"/>
        <w:ind w:left="1560"/>
        <w:rPr>
          <w:rFonts w:eastAsia="Calibri"/>
          <w:szCs w:val="24"/>
        </w:rPr>
      </w:pPr>
      <w:r w:rsidRPr="00F724FE">
        <w:rPr>
          <w:rFonts w:eastAsia="Calibri"/>
          <w:szCs w:val="24"/>
        </w:rPr>
        <w:t>nodokļu ieņēmumu apjoma pret IKP pakāpeniska palielināšana līdz 1/3 no IKP, pamatā uzlabojot nodokļu iekasējamību.</w:t>
      </w:r>
    </w:p>
    <w:p w14:paraId="0447ED42" w14:textId="155D31D2" w:rsidR="004A10AB" w:rsidRPr="00F724FE" w:rsidRDefault="004A10AB" w:rsidP="00F724FE">
      <w:pPr>
        <w:pStyle w:val="NoSpacing"/>
        <w:spacing w:line="276" w:lineRule="auto"/>
        <w:ind w:firstLine="720"/>
        <w:rPr>
          <w:rFonts w:eastAsia="Calibri"/>
          <w:szCs w:val="24"/>
        </w:rPr>
      </w:pPr>
      <w:r w:rsidRPr="00F724FE">
        <w:rPr>
          <w:rFonts w:eastAsia="Calibri"/>
          <w:szCs w:val="24"/>
        </w:rPr>
        <w:t>Augstāk minētie precizētie fiskālās politikas specifiskie mērķi būtiski sasaucās ar Latvijas Sta</w:t>
      </w:r>
      <w:r w:rsidR="0058577F">
        <w:rPr>
          <w:rFonts w:eastAsia="Calibri"/>
          <w:szCs w:val="24"/>
        </w:rPr>
        <w:t>bilitātes programmā 2015.-2018.</w:t>
      </w:r>
      <w:r w:rsidRPr="00F724FE">
        <w:rPr>
          <w:rFonts w:eastAsia="Calibri"/>
          <w:szCs w:val="24"/>
        </w:rPr>
        <w:t>gadam definētajiem principiem:</w:t>
      </w:r>
    </w:p>
    <w:p w14:paraId="5665BF23" w14:textId="1368EEB1" w:rsidR="004A10AB" w:rsidRPr="00F724FE" w:rsidRDefault="00381267" w:rsidP="00F724FE">
      <w:pPr>
        <w:pStyle w:val="NoSpacing"/>
        <w:numPr>
          <w:ilvl w:val="0"/>
          <w:numId w:val="32"/>
        </w:numPr>
        <w:spacing w:line="276" w:lineRule="auto"/>
        <w:ind w:left="1560"/>
        <w:rPr>
          <w:szCs w:val="24"/>
        </w:rPr>
      </w:pPr>
      <w:r>
        <w:rPr>
          <w:szCs w:val="24"/>
        </w:rPr>
        <w:t>n</w:t>
      </w:r>
      <w:r w:rsidR="004A10AB" w:rsidRPr="00F724FE">
        <w:rPr>
          <w:szCs w:val="24"/>
        </w:rPr>
        <w:t>odrošināt atbildīgu un ilgtspējīgu fiskālo politiku, ievērojot fiskālo disciplīnu;</w:t>
      </w:r>
    </w:p>
    <w:p w14:paraId="18628A78" w14:textId="106C88D1" w:rsidR="004A10AB" w:rsidRPr="00F724FE" w:rsidRDefault="00381267" w:rsidP="00F724FE">
      <w:pPr>
        <w:pStyle w:val="NoSpacing"/>
        <w:numPr>
          <w:ilvl w:val="0"/>
          <w:numId w:val="32"/>
        </w:numPr>
        <w:spacing w:line="276" w:lineRule="auto"/>
        <w:ind w:left="1560"/>
        <w:rPr>
          <w:szCs w:val="24"/>
        </w:rPr>
      </w:pPr>
      <w:r>
        <w:rPr>
          <w:szCs w:val="24"/>
        </w:rPr>
        <w:t>k</w:t>
      </w:r>
      <w:r w:rsidR="004A10AB" w:rsidRPr="00F724FE">
        <w:rPr>
          <w:szCs w:val="24"/>
        </w:rPr>
        <w:t>āpināt iedzīvotāju dzīves kvalitāti;</w:t>
      </w:r>
    </w:p>
    <w:p w14:paraId="1766CE86" w14:textId="7F62E680" w:rsidR="004A10AB" w:rsidRPr="00F724FE" w:rsidRDefault="00381267" w:rsidP="00F724FE">
      <w:pPr>
        <w:pStyle w:val="NoSpacing"/>
        <w:numPr>
          <w:ilvl w:val="0"/>
          <w:numId w:val="32"/>
        </w:numPr>
        <w:spacing w:line="276" w:lineRule="auto"/>
        <w:ind w:left="1560"/>
        <w:rPr>
          <w:szCs w:val="24"/>
        </w:rPr>
      </w:pPr>
      <w:r>
        <w:rPr>
          <w:szCs w:val="24"/>
        </w:rPr>
        <w:t>n</w:t>
      </w:r>
      <w:r w:rsidR="004A10AB" w:rsidRPr="00F724FE">
        <w:rPr>
          <w:szCs w:val="24"/>
        </w:rPr>
        <w:t xml:space="preserve">odrošināt labvēlīgu vidi ekonomikas attīstībai; </w:t>
      </w:r>
    </w:p>
    <w:p w14:paraId="5E0DB59B" w14:textId="60DBC338" w:rsidR="004A10AB" w:rsidRPr="00F724FE" w:rsidRDefault="00381267" w:rsidP="00F724FE">
      <w:pPr>
        <w:pStyle w:val="NoSpacing"/>
        <w:numPr>
          <w:ilvl w:val="0"/>
          <w:numId w:val="32"/>
        </w:numPr>
        <w:spacing w:line="276" w:lineRule="auto"/>
        <w:ind w:left="1560"/>
        <w:rPr>
          <w:rFonts w:eastAsia="Calibri"/>
          <w:szCs w:val="24"/>
        </w:rPr>
      </w:pPr>
      <w:r>
        <w:rPr>
          <w:szCs w:val="24"/>
        </w:rPr>
        <w:t>n</w:t>
      </w:r>
      <w:r w:rsidR="004A10AB" w:rsidRPr="00F724FE">
        <w:rPr>
          <w:szCs w:val="24"/>
        </w:rPr>
        <w:t>odrošināt ģeopolitiskajiem riskiem adekvātu valsts aizsardzības kapacitāti.</w:t>
      </w:r>
    </w:p>
    <w:p w14:paraId="4EFCEDB9" w14:textId="14EC82E4" w:rsidR="004A10AB" w:rsidRPr="00F724FE" w:rsidRDefault="00083DC0" w:rsidP="00F724FE">
      <w:pPr>
        <w:pStyle w:val="NoSpacing"/>
        <w:spacing w:line="276" w:lineRule="auto"/>
        <w:ind w:firstLine="720"/>
        <w:rPr>
          <w:rFonts w:eastAsia="Calibri"/>
          <w:szCs w:val="24"/>
        </w:rPr>
      </w:pPr>
      <w:r w:rsidRPr="00F724FE">
        <w:rPr>
          <w:rFonts w:eastAsia="Calibri"/>
          <w:szCs w:val="24"/>
        </w:rPr>
        <w:t xml:space="preserve">To </w:t>
      </w:r>
      <w:r w:rsidR="004A10AB" w:rsidRPr="00F724FE">
        <w:rPr>
          <w:rFonts w:eastAsia="Calibri"/>
          <w:szCs w:val="24"/>
        </w:rPr>
        <w:t xml:space="preserve">ieviešanai īstenotie diskrecionārie ieņēmumu un izdevumu pasākumi tika iekļauti gan likumā „Par vidēja termiņa budžeta ietvaru 2014., 2015. un 2016.gadam”, gan likumā „Par vidēja termiņa budžeta ietvaru 2015., 2016. un 2017.gadam” katram gadam un ir attiecīgi aprakstīti Latvijas Stabilitātes programmā 2015.-2018.gadam. </w:t>
      </w:r>
    </w:p>
    <w:p w14:paraId="687DC4D6" w14:textId="3B5027E8" w:rsidR="00F7151A" w:rsidRDefault="00381267" w:rsidP="005F7BD4">
      <w:pPr>
        <w:pStyle w:val="NoSpacing"/>
        <w:spacing w:line="276" w:lineRule="auto"/>
        <w:ind w:firstLine="720"/>
        <w:rPr>
          <w:rFonts w:eastAsia="Calibri"/>
          <w:szCs w:val="24"/>
        </w:rPr>
      </w:pPr>
      <w:r>
        <w:rPr>
          <w:rFonts w:eastAsia="Calibri"/>
          <w:szCs w:val="24"/>
        </w:rPr>
        <w:t>Tabulā Nr.</w:t>
      </w:r>
      <w:r w:rsidR="004A10AB" w:rsidRPr="00F724FE">
        <w:rPr>
          <w:rFonts w:eastAsia="Calibri"/>
          <w:szCs w:val="24"/>
        </w:rPr>
        <w:t xml:space="preserve">3 sniegtie fiskālie dati ir sagatavoti pie nemainīgas politikas scenārija, kas ietver likumā „Par vidēja termiņa budžeta ietvaru 2014., 2015. un 2016.gadam” un likumā „Par vidēja termiņa budžeta ietvaru 2015., 2016. un 2017.gadam” iekļautos 2016.gada diskrecionāros </w:t>
      </w:r>
      <w:r w:rsidR="007703DC">
        <w:rPr>
          <w:rFonts w:eastAsia="Calibri"/>
          <w:szCs w:val="24"/>
        </w:rPr>
        <w:t>ieņēmumu un izdevumu pasākumus.</w:t>
      </w:r>
      <w:r w:rsidR="00F7151A">
        <w:rPr>
          <w:rFonts w:eastAsia="Calibri"/>
          <w:szCs w:val="24"/>
        </w:rPr>
        <w:t xml:space="preserve"> Nemainīgas politikas scenārijā 2016.gadā papildus izmaiņām, kas ir veidojušās sakarā ar atjaunoto makroekonomisko scenāriju, atjaunotas ir arī izdevumu prognozes atsevišķos vispārējās valdības līmeņos, piemēram pašvaldību budžetos, ņemot vērā aktuālos izpildes rādītājus, kas netiek klasificētās kā diskrecionārie izdevumu pasākumi un attiecīgi nav iekļauti  tabulās nr.5. Tādējādi šīs izmaiņas 2016.gadā papildus izskaidro atšķirību starp izdevumu izmaiņām starp nemainīgas un mainīgas politikas scenāriju. </w:t>
      </w:r>
    </w:p>
    <w:p w14:paraId="1346A1DA" w14:textId="680F0211" w:rsidR="004A10AB" w:rsidRPr="00F724FE" w:rsidRDefault="00F7151A" w:rsidP="00F724FE">
      <w:pPr>
        <w:pStyle w:val="NoSpacing"/>
        <w:spacing w:line="276" w:lineRule="auto"/>
        <w:ind w:firstLine="720"/>
        <w:rPr>
          <w:rFonts w:eastAsia="Calibri"/>
          <w:szCs w:val="24"/>
        </w:rPr>
      </w:pPr>
      <w:r>
        <w:rPr>
          <w:rFonts w:eastAsia="Calibri"/>
          <w:szCs w:val="24"/>
        </w:rPr>
        <w:t xml:space="preserve"> </w:t>
      </w:r>
      <w:r w:rsidR="004A10AB" w:rsidRPr="00F724FE">
        <w:rPr>
          <w:rFonts w:eastAsia="Calibri"/>
          <w:szCs w:val="24"/>
        </w:rPr>
        <w:t xml:space="preserve">Jau sagatavojot Latvijas Stabilitātes programmu 2015.-2018.gadam </w:t>
      </w:r>
      <w:r w:rsidR="00E0695C">
        <w:rPr>
          <w:rFonts w:eastAsia="Calibri"/>
          <w:szCs w:val="24"/>
        </w:rPr>
        <w:t>bija zināms</w:t>
      </w:r>
      <w:r w:rsidR="004A10AB" w:rsidRPr="00F724FE">
        <w:rPr>
          <w:rFonts w:eastAsia="Calibri"/>
          <w:szCs w:val="24"/>
        </w:rPr>
        <w:t xml:space="preserve">, ka 2016.gadā  tiek prognozēta negatīva fiskālā telpa un līdz ar to, izstrādājot 2016.gada budžetu valdībai būs nepieciešams pieņemt diskrecionārus lēmumus negatīvās fiskālās telpas aizpildīšanai. Izvērtējot Latvijas iesniegto Stabilitātes programmu, </w:t>
      </w:r>
      <w:r w:rsidR="0058577F">
        <w:rPr>
          <w:rFonts w:eastAsia="Calibri"/>
          <w:szCs w:val="24"/>
        </w:rPr>
        <w:t>EK</w:t>
      </w:r>
      <w:r w:rsidR="004A10AB" w:rsidRPr="00F724FE">
        <w:rPr>
          <w:rFonts w:eastAsia="Calibri"/>
          <w:szCs w:val="24"/>
        </w:rPr>
        <w:t xml:space="preserve"> balstoties savās aktuālajās pavasara prognozēs un ņemot vērā Stabilitātes programmā paredzēto, secināja, ka 2016.gadā Latvija būtiski pārsniedz MTO un izstrādājot nākamā gada budžetu ir nepieciešami korektīvie pasāku</w:t>
      </w:r>
      <w:r w:rsidR="0058577F">
        <w:rPr>
          <w:rFonts w:eastAsia="Calibri"/>
          <w:szCs w:val="24"/>
        </w:rPr>
        <w:t xml:space="preserve">mi, lai novērstu neatbilstību. </w:t>
      </w:r>
      <w:r w:rsidR="004A10AB" w:rsidRPr="00F724FE">
        <w:rPr>
          <w:rFonts w:eastAsia="Calibri"/>
          <w:szCs w:val="24"/>
        </w:rPr>
        <w:t xml:space="preserve">Latvijas Stabilitātes programma 2015.-2018.gadam arī paredzēja, ka sakarā ar īstenotajām reformām veselības nozarē, Latvija izmanto papildus novirzi no MTO, saskaņā ar </w:t>
      </w:r>
      <w:r w:rsidR="0058577F">
        <w:rPr>
          <w:rFonts w:eastAsia="Calibri"/>
          <w:szCs w:val="24"/>
        </w:rPr>
        <w:t>EK komunikāciju</w:t>
      </w:r>
      <w:r w:rsidR="004A10AB" w:rsidRPr="00F724FE">
        <w:rPr>
          <w:rFonts w:eastAsia="Calibri"/>
          <w:szCs w:val="24"/>
        </w:rPr>
        <w:t xml:space="preserve"> par esošā </w:t>
      </w:r>
      <w:r w:rsidR="00C1309C">
        <w:rPr>
          <w:rFonts w:eastAsia="Calibri"/>
          <w:szCs w:val="24"/>
        </w:rPr>
        <w:t>SIP</w:t>
      </w:r>
      <w:r w:rsidR="004A10AB" w:rsidRPr="00F724FE">
        <w:rPr>
          <w:rFonts w:eastAsia="Calibri"/>
          <w:szCs w:val="24"/>
        </w:rPr>
        <w:t xml:space="preserve"> regulējuma elastības labāku piemērošanu attiecībā uz strukturālajām reformām. Tāpat Latvijas Stabilitātes programmas 2015.-2018.gadam fiskālais scenārijs paredzēja, ka papildus izdevumi aizsardzībai tiek definēti kā vienreizēji izdevumu, kas neietekmē strukturālās bilances mērķu sasniegšanu. Jāatzīmē, ka </w:t>
      </w:r>
      <w:r w:rsidR="0058577F">
        <w:rPr>
          <w:rFonts w:eastAsia="Calibri"/>
          <w:szCs w:val="24"/>
        </w:rPr>
        <w:t>EK</w:t>
      </w:r>
      <w:r w:rsidR="004A10AB" w:rsidRPr="00F724FE">
        <w:rPr>
          <w:rFonts w:eastAsia="Calibri"/>
          <w:szCs w:val="24"/>
        </w:rPr>
        <w:t xml:space="preserve"> izvērtējot iesniegto Stabilitātes programmu, neatbalstīja pieeju, ka papildu izdevumi aizsardzībai tiek definēti kā vienreizējie pasākumi un neatbalstīja elastības klauzulas piemērošanu strukturālajām reformām veselībā, jo tiek pārsniegts drošī</w:t>
      </w:r>
      <w:r w:rsidR="00083DC0" w:rsidRPr="00F724FE">
        <w:rPr>
          <w:rFonts w:eastAsia="Calibri"/>
          <w:szCs w:val="24"/>
        </w:rPr>
        <w:t>bas attālums līdz Māstrihtas 3%</w:t>
      </w:r>
      <w:r w:rsidR="004A10AB" w:rsidRPr="00F724FE">
        <w:rPr>
          <w:rFonts w:eastAsia="Calibri"/>
          <w:szCs w:val="24"/>
        </w:rPr>
        <w:t xml:space="preserve"> deficīta griestiem. Līdz ar to EK savās rekomendācijas ir norādījusi, ka Latvijai ir nepieciešams nodrošināt, ka novirze no vid</w:t>
      </w:r>
      <w:r w:rsidR="0058577F">
        <w:rPr>
          <w:rFonts w:eastAsia="Calibri"/>
          <w:szCs w:val="24"/>
        </w:rPr>
        <w:t>ēja termiņa budžeta mērķa 2016.gadā ir vienīgā</w:t>
      </w:r>
      <w:r w:rsidR="004A10AB" w:rsidRPr="00F724FE">
        <w:rPr>
          <w:rFonts w:eastAsia="Calibri"/>
          <w:szCs w:val="24"/>
        </w:rPr>
        <w:t xml:space="preserve"> pielaide, kas saistīta ar sistēmisko pensiju reformu.   </w:t>
      </w:r>
    </w:p>
    <w:p w14:paraId="17BBD7DA" w14:textId="5F45500D" w:rsidR="004A10AB" w:rsidRPr="00F724FE" w:rsidRDefault="004A10AB" w:rsidP="00F724FE">
      <w:pPr>
        <w:pStyle w:val="NoSpacing"/>
        <w:spacing w:line="276" w:lineRule="auto"/>
        <w:ind w:firstLine="720"/>
        <w:rPr>
          <w:rFonts w:eastAsia="Calibri"/>
          <w:szCs w:val="24"/>
        </w:rPr>
      </w:pPr>
      <w:r w:rsidRPr="00F724FE">
        <w:rPr>
          <w:rFonts w:eastAsia="Calibri"/>
          <w:szCs w:val="24"/>
        </w:rPr>
        <w:t>Ņemot vērā</w:t>
      </w:r>
      <w:r w:rsidR="00E0695C">
        <w:rPr>
          <w:rFonts w:eastAsia="Calibri"/>
          <w:szCs w:val="24"/>
        </w:rPr>
        <w:t xml:space="preserve"> iepriekš</w:t>
      </w:r>
      <w:r w:rsidRPr="00F724FE">
        <w:rPr>
          <w:rFonts w:eastAsia="Calibri"/>
          <w:szCs w:val="24"/>
        </w:rPr>
        <w:t xml:space="preserve"> minēto</w:t>
      </w:r>
      <w:r w:rsidR="00E0695C">
        <w:rPr>
          <w:rFonts w:eastAsia="Calibri"/>
          <w:szCs w:val="24"/>
        </w:rPr>
        <w:t>,</w:t>
      </w:r>
      <w:r w:rsidRPr="00F724FE">
        <w:rPr>
          <w:rFonts w:eastAsia="Calibri"/>
          <w:szCs w:val="24"/>
        </w:rPr>
        <w:t xml:space="preserve"> 2016.gada budžets ir sagatavots:</w:t>
      </w:r>
    </w:p>
    <w:p w14:paraId="1C548DC1" w14:textId="6C78EE9B" w:rsidR="004A10AB" w:rsidRPr="00F724FE" w:rsidRDefault="00381267" w:rsidP="00C3203D">
      <w:pPr>
        <w:pStyle w:val="NoSpacing"/>
        <w:numPr>
          <w:ilvl w:val="0"/>
          <w:numId w:val="37"/>
        </w:numPr>
        <w:spacing w:line="276" w:lineRule="auto"/>
        <w:ind w:left="1560"/>
        <w:rPr>
          <w:rFonts w:eastAsia="Calibri"/>
          <w:szCs w:val="24"/>
        </w:rPr>
      </w:pPr>
      <w:r>
        <w:rPr>
          <w:rFonts w:eastAsia="Calibri"/>
          <w:szCs w:val="24"/>
        </w:rPr>
        <w:t>p</w:t>
      </w:r>
      <w:r w:rsidR="004A10AB" w:rsidRPr="00F724FE">
        <w:rPr>
          <w:rFonts w:eastAsia="Calibri"/>
          <w:szCs w:val="24"/>
        </w:rPr>
        <w:t xml:space="preserve">rognozējot, ka </w:t>
      </w:r>
      <w:r w:rsidR="0058577F">
        <w:rPr>
          <w:rFonts w:eastAsia="Calibri"/>
          <w:szCs w:val="24"/>
        </w:rPr>
        <w:t xml:space="preserve">vispārējās valdības nominālais </w:t>
      </w:r>
      <w:r w:rsidR="004A10AB" w:rsidRPr="00F724FE">
        <w:rPr>
          <w:rFonts w:eastAsia="Calibri"/>
          <w:szCs w:val="24"/>
        </w:rPr>
        <w:t xml:space="preserve">deficīts 2016.gadā ir 1% no IKP, kas saskaņā ar Latvijas prognozēm ļauj nodrošināt </w:t>
      </w:r>
      <w:r w:rsidR="0058577F">
        <w:rPr>
          <w:rFonts w:eastAsia="Calibri"/>
          <w:szCs w:val="24"/>
        </w:rPr>
        <w:t>EK</w:t>
      </w:r>
      <w:r w:rsidR="004A10AB" w:rsidRPr="00F724FE">
        <w:rPr>
          <w:rFonts w:eastAsia="Calibri"/>
          <w:szCs w:val="24"/>
        </w:rPr>
        <w:t xml:space="preserve"> fiskālajā rekomendācijā noteikto;</w:t>
      </w:r>
    </w:p>
    <w:p w14:paraId="72CEEA7E" w14:textId="57C2FA7C" w:rsidR="004A10AB" w:rsidRPr="00F724FE" w:rsidRDefault="00381267" w:rsidP="00C3203D">
      <w:pPr>
        <w:pStyle w:val="NoSpacing"/>
        <w:numPr>
          <w:ilvl w:val="0"/>
          <w:numId w:val="37"/>
        </w:numPr>
        <w:spacing w:line="276" w:lineRule="auto"/>
        <w:ind w:left="1560"/>
        <w:rPr>
          <w:rFonts w:eastAsia="Calibri"/>
          <w:szCs w:val="24"/>
        </w:rPr>
      </w:pPr>
      <w:r>
        <w:rPr>
          <w:rFonts w:eastAsia="Calibri"/>
          <w:szCs w:val="24"/>
        </w:rPr>
        <w:t>i</w:t>
      </w:r>
      <w:r w:rsidR="004A10AB" w:rsidRPr="00F724FE">
        <w:rPr>
          <w:rFonts w:eastAsia="Calibri"/>
          <w:szCs w:val="24"/>
        </w:rPr>
        <w:t>zstrādājot papildu diskrecionāros ieņēmumus palielinošos un izdevumus samazinošus pasākumus, lai likvidētu negatīvo fiskālo telpu un nodrošinātu finansējumu valdības definētajām prioritātēm – iekšējai un ārējai drošībai, veselībai un izglītībai;</w:t>
      </w:r>
    </w:p>
    <w:p w14:paraId="0706EB9F" w14:textId="7FC71F72" w:rsidR="004A10AB" w:rsidRPr="00F724FE" w:rsidRDefault="00381267" w:rsidP="00C3203D">
      <w:pPr>
        <w:pStyle w:val="NoSpacing"/>
        <w:numPr>
          <w:ilvl w:val="0"/>
          <w:numId w:val="37"/>
        </w:numPr>
        <w:spacing w:line="276" w:lineRule="auto"/>
        <w:ind w:left="1560"/>
        <w:rPr>
          <w:rFonts w:eastAsia="Calibri"/>
          <w:szCs w:val="24"/>
        </w:rPr>
      </w:pPr>
      <w:r>
        <w:rPr>
          <w:rFonts w:eastAsia="Calibri"/>
          <w:szCs w:val="24"/>
        </w:rPr>
        <w:t>p</w:t>
      </w:r>
      <w:r w:rsidR="004A10AB" w:rsidRPr="00F724FE">
        <w:rPr>
          <w:rFonts w:eastAsia="Calibri"/>
          <w:szCs w:val="24"/>
        </w:rPr>
        <w:t>ieņemot papildus diskrecionāros lēmumus iedzīvotāju ienā</w:t>
      </w:r>
      <w:r w:rsidR="0058577F">
        <w:rPr>
          <w:rFonts w:eastAsia="Calibri"/>
          <w:szCs w:val="24"/>
        </w:rPr>
        <w:t>kumu nevienlīdzības mazināšanai;</w:t>
      </w:r>
    </w:p>
    <w:p w14:paraId="2F89F261" w14:textId="60D80940" w:rsidR="004A10AB" w:rsidRPr="00F724FE" w:rsidRDefault="00381267" w:rsidP="00C3203D">
      <w:pPr>
        <w:pStyle w:val="NoSpacing"/>
        <w:numPr>
          <w:ilvl w:val="0"/>
          <w:numId w:val="37"/>
        </w:numPr>
        <w:spacing w:line="276" w:lineRule="auto"/>
        <w:ind w:left="1560"/>
        <w:rPr>
          <w:rFonts w:eastAsia="Calibri"/>
          <w:szCs w:val="24"/>
        </w:rPr>
      </w:pPr>
      <w:r>
        <w:rPr>
          <w:rFonts w:eastAsia="Calibri"/>
          <w:szCs w:val="24"/>
        </w:rPr>
        <w:t>n</w:t>
      </w:r>
      <w:r w:rsidR="004A10AB" w:rsidRPr="00F724FE">
        <w:rPr>
          <w:rFonts w:eastAsia="Calibri"/>
          <w:szCs w:val="24"/>
        </w:rPr>
        <w:t>odrošinot turpmākas darbības ēnu ekonomikas samazināšanai un nodokļu iekasējamības uzlabošanai.</w:t>
      </w:r>
    </w:p>
    <w:p w14:paraId="12FFF086" w14:textId="7095D26A" w:rsidR="00083DC0" w:rsidRDefault="00083DC0">
      <w:pPr>
        <w:spacing w:after="0"/>
        <w:ind w:firstLine="0"/>
        <w:jc w:val="left"/>
        <w:rPr>
          <w:b/>
          <w:bCs/>
          <w:color w:val="18185E"/>
          <w:szCs w:val="28"/>
          <w:lang w:val="x-none" w:eastAsia="x-none"/>
        </w:rPr>
      </w:pPr>
    </w:p>
    <w:p w14:paraId="2AFB089B" w14:textId="77777777" w:rsidR="00C26D86" w:rsidRDefault="00C26D86">
      <w:pPr>
        <w:spacing w:after="0"/>
        <w:ind w:firstLine="0"/>
        <w:jc w:val="left"/>
        <w:rPr>
          <w:b/>
          <w:bCs/>
          <w:color w:val="18185E"/>
          <w:szCs w:val="28"/>
          <w:lang w:val="x-none" w:eastAsia="x-none"/>
        </w:rPr>
      </w:pPr>
    </w:p>
    <w:p w14:paraId="6D45BACA" w14:textId="77777777" w:rsidR="00F724FE" w:rsidRDefault="00F724FE">
      <w:pPr>
        <w:spacing w:after="0"/>
        <w:ind w:firstLine="0"/>
        <w:jc w:val="left"/>
        <w:rPr>
          <w:b/>
          <w:bCs/>
          <w:color w:val="18185E"/>
          <w:szCs w:val="28"/>
          <w:lang w:val="x-none" w:eastAsia="x-none"/>
        </w:rPr>
      </w:pPr>
      <w:r>
        <w:rPr>
          <w:color w:val="18185E"/>
        </w:rPr>
        <w:br w:type="page"/>
      </w:r>
    </w:p>
    <w:p w14:paraId="077185AD" w14:textId="3EB628BD" w:rsidR="00272FF4" w:rsidRPr="00976103" w:rsidRDefault="00272FF4" w:rsidP="00272FF4">
      <w:pPr>
        <w:pStyle w:val="Heading1"/>
        <w:tabs>
          <w:tab w:val="left" w:pos="1276"/>
        </w:tabs>
        <w:spacing w:before="0" w:after="240"/>
        <w:ind w:firstLine="0"/>
        <w:jc w:val="left"/>
        <w:rPr>
          <w:rFonts w:ascii="Times New Roman" w:hAnsi="Times New Roman"/>
        </w:rPr>
      </w:pPr>
      <w:bookmarkStart w:id="8" w:name="_Toc431197084"/>
      <w:r w:rsidRPr="006B2FB4">
        <w:rPr>
          <w:rFonts w:ascii="Times New Roman" w:hAnsi="Times New Roman"/>
          <w:color w:val="18185E"/>
          <w:sz w:val="24"/>
        </w:rPr>
        <w:t>Tabula 2.a: Vispārējās valdības budžeta mērķi sadalījumā pa apakšsektoriem</w:t>
      </w:r>
      <w:bookmarkEnd w:id="8"/>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272FF4" w:rsidRPr="00976103" w14:paraId="3357E894" w14:textId="77777777" w:rsidTr="001B0074">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921E4F6"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1459842A" w14:textId="0AB84713" w:rsidR="00272FF4" w:rsidRPr="00AA5420"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 k</w:t>
            </w:r>
            <w:r w:rsidR="00272FF4" w:rsidRPr="00AA5420">
              <w:rPr>
                <w:color w:val="000000"/>
                <w:szCs w:val="24"/>
                <w:lang w:eastAsia="lv-LV"/>
              </w:rPr>
              <w:t>ods</w:t>
            </w:r>
          </w:p>
        </w:tc>
        <w:tc>
          <w:tcPr>
            <w:tcW w:w="1309" w:type="dxa"/>
            <w:vAlign w:val="center"/>
            <w:hideMark/>
          </w:tcPr>
          <w:p w14:paraId="49300E15" w14:textId="1E2AFCFF" w:rsidR="00272FF4" w:rsidRPr="00AA5420" w:rsidRDefault="00E839C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2015</w:t>
            </w:r>
          </w:p>
        </w:tc>
        <w:tc>
          <w:tcPr>
            <w:tcW w:w="1221" w:type="dxa"/>
            <w:vAlign w:val="center"/>
            <w:hideMark/>
          </w:tcPr>
          <w:p w14:paraId="539918C4" w14:textId="7FBE12AA" w:rsidR="00272FF4" w:rsidRPr="00AA5420" w:rsidRDefault="00E839C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r>
      <w:tr w:rsidR="00272FF4" w:rsidRPr="00976103" w14:paraId="2EFC750F" w14:textId="77777777" w:rsidTr="001B007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E823348"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73F62FDD" w14:textId="5A8B6C82"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14:paraId="469721E7" w14:textId="77777777"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272FF4" w:rsidRPr="00976103" w14:paraId="0247903C" w14:textId="77777777" w:rsidTr="008E65EC">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62387A2" w14:textId="0774F431" w:rsidR="00272FF4" w:rsidRPr="00976103" w:rsidRDefault="00272FF4" w:rsidP="00272FF4">
            <w:pPr>
              <w:spacing w:after="0"/>
              <w:ind w:firstLine="0"/>
              <w:jc w:val="left"/>
              <w:rPr>
                <w:color w:val="000000"/>
                <w:szCs w:val="24"/>
                <w:lang w:eastAsia="lv-LV"/>
              </w:rPr>
            </w:pPr>
            <w:r w:rsidRPr="00976103">
              <w:rPr>
                <w:color w:val="000000"/>
                <w:szCs w:val="24"/>
                <w:lang w:eastAsia="lv-LV"/>
              </w:rPr>
              <w:t>Neto aizdevumi (+) v</w:t>
            </w:r>
            <w:r w:rsidR="00381267">
              <w:rPr>
                <w:color w:val="000000"/>
                <w:szCs w:val="24"/>
                <w:lang w:eastAsia="lv-LV"/>
              </w:rPr>
              <w:t>ai aizņēmumi (–) (B.9) pa apakš</w:t>
            </w:r>
            <w:r w:rsidRPr="00976103">
              <w:rPr>
                <w:color w:val="000000"/>
                <w:szCs w:val="24"/>
                <w:lang w:eastAsia="lv-LV"/>
              </w:rPr>
              <w:t>sektoriem</w:t>
            </w:r>
          </w:p>
        </w:tc>
        <w:tc>
          <w:tcPr>
            <w:tcW w:w="1409" w:type="dxa"/>
            <w:hideMark/>
          </w:tcPr>
          <w:p w14:paraId="3C171AC2"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hideMark/>
          </w:tcPr>
          <w:p w14:paraId="5D6A5433" w14:textId="77777777"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1" w:type="dxa"/>
            <w:vAlign w:val="center"/>
            <w:hideMark/>
          </w:tcPr>
          <w:p w14:paraId="532D0C8E" w14:textId="77777777"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r>
      <w:tr w:rsidR="00272FF4" w:rsidRPr="00976103" w14:paraId="2171B4F1"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E750FD0"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 Vispārējā valdība</w:t>
            </w:r>
          </w:p>
        </w:tc>
        <w:tc>
          <w:tcPr>
            <w:tcW w:w="1409" w:type="dxa"/>
            <w:hideMark/>
          </w:tcPr>
          <w:p w14:paraId="3BEC5304"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 </w:t>
            </w:r>
          </w:p>
        </w:tc>
        <w:tc>
          <w:tcPr>
            <w:tcW w:w="1309" w:type="dxa"/>
            <w:vAlign w:val="center"/>
          </w:tcPr>
          <w:p w14:paraId="743990A0" w14:textId="1770E978"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-1,4</w:t>
            </w:r>
          </w:p>
        </w:tc>
        <w:tc>
          <w:tcPr>
            <w:tcW w:w="1221" w:type="dxa"/>
            <w:vAlign w:val="center"/>
          </w:tcPr>
          <w:p w14:paraId="5F6E3199" w14:textId="550C56A3"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272FF4" w:rsidRPr="00976103" w14:paraId="47471A62"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374CC8"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2. Centrālā valdība</w:t>
            </w:r>
          </w:p>
        </w:tc>
        <w:tc>
          <w:tcPr>
            <w:tcW w:w="1409" w:type="dxa"/>
            <w:hideMark/>
          </w:tcPr>
          <w:p w14:paraId="3E895638"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S.1311 </w:t>
            </w:r>
          </w:p>
        </w:tc>
        <w:tc>
          <w:tcPr>
            <w:tcW w:w="1309" w:type="dxa"/>
            <w:vAlign w:val="center"/>
          </w:tcPr>
          <w:p w14:paraId="35BD79B6" w14:textId="55649204"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-1,6</w:t>
            </w:r>
          </w:p>
        </w:tc>
        <w:tc>
          <w:tcPr>
            <w:tcW w:w="1221" w:type="dxa"/>
            <w:vAlign w:val="center"/>
          </w:tcPr>
          <w:p w14:paraId="40F30D04" w14:textId="0E428563"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r>
      <w:tr w:rsidR="00272FF4" w:rsidRPr="00976103" w14:paraId="2D4893CD"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DCC09D5"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3. Štatu valdība</w:t>
            </w:r>
          </w:p>
        </w:tc>
        <w:tc>
          <w:tcPr>
            <w:tcW w:w="1409" w:type="dxa"/>
            <w:hideMark/>
          </w:tcPr>
          <w:p w14:paraId="67A1D6E4" w14:textId="77777777" w:rsidR="00272FF4" w:rsidRPr="00003E2F"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xml:space="preserve">S.1312 </w:t>
            </w:r>
          </w:p>
        </w:tc>
        <w:tc>
          <w:tcPr>
            <w:tcW w:w="1309" w:type="dxa"/>
            <w:vAlign w:val="center"/>
          </w:tcPr>
          <w:p w14:paraId="46BDD09B" w14:textId="69BEA87B"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c>
          <w:tcPr>
            <w:tcW w:w="1221" w:type="dxa"/>
            <w:vAlign w:val="center"/>
          </w:tcPr>
          <w:p w14:paraId="7AF893BC" w14:textId="089C2832"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r>
      <w:tr w:rsidR="00272FF4" w:rsidRPr="00976103" w14:paraId="7F18657F"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45AE6BB"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4. Vietējā valdība</w:t>
            </w:r>
          </w:p>
        </w:tc>
        <w:tc>
          <w:tcPr>
            <w:tcW w:w="1409" w:type="dxa"/>
            <w:hideMark/>
          </w:tcPr>
          <w:p w14:paraId="3E5263CF"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S.1313 </w:t>
            </w:r>
          </w:p>
        </w:tc>
        <w:tc>
          <w:tcPr>
            <w:tcW w:w="1309" w:type="dxa"/>
            <w:vAlign w:val="center"/>
          </w:tcPr>
          <w:p w14:paraId="79CBC7CC" w14:textId="2903E9F4"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221" w:type="dxa"/>
            <w:vAlign w:val="center"/>
          </w:tcPr>
          <w:p w14:paraId="19BCE7E1" w14:textId="1632F7F4"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2EAC1B3E"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5FAB345"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5. Sociālās nodrošināšanas fondi</w:t>
            </w:r>
          </w:p>
        </w:tc>
        <w:tc>
          <w:tcPr>
            <w:tcW w:w="1409" w:type="dxa"/>
            <w:hideMark/>
          </w:tcPr>
          <w:p w14:paraId="5DBC3AE7"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S.1314 </w:t>
            </w:r>
          </w:p>
        </w:tc>
        <w:tc>
          <w:tcPr>
            <w:tcW w:w="1309" w:type="dxa"/>
            <w:vAlign w:val="center"/>
          </w:tcPr>
          <w:p w14:paraId="192C8BC8" w14:textId="3C5F1BF7"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1221" w:type="dxa"/>
            <w:vAlign w:val="center"/>
          </w:tcPr>
          <w:p w14:paraId="5CFB45A8" w14:textId="27C0A1C8"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06C1953F"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B9DF1DE"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6. Procentu izdevumi</w:t>
            </w:r>
          </w:p>
        </w:tc>
        <w:tc>
          <w:tcPr>
            <w:tcW w:w="1409" w:type="dxa"/>
            <w:hideMark/>
          </w:tcPr>
          <w:p w14:paraId="15548B0C"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D.41 </w:t>
            </w:r>
          </w:p>
        </w:tc>
        <w:tc>
          <w:tcPr>
            <w:tcW w:w="1309" w:type="dxa"/>
            <w:vAlign w:val="center"/>
          </w:tcPr>
          <w:p w14:paraId="67670414" w14:textId="240B4156"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1,2</w:t>
            </w:r>
          </w:p>
        </w:tc>
        <w:tc>
          <w:tcPr>
            <w:tcW w:w="1221" w:type="dxa"/>
            <w:vAlign w:val="center"/>
          </w:tcPr>
          <w:p w14:paraId="7614605C" w14:textId="5ED64540"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1,2</w:t>
            </w:r>
          </w:p>
        </w:tc>
      </w:tr>
      <w:tr w:rsidR="00272FF4" w:rsidRPr="00976103" w14:paraId="5BF13EF2" w14:textId="77777777" w:rsidTr="00FA1FE7">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B87540C"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7. Primārā bilance</w:t>
            </w:r>
          </w:p>
        </w:tc>
        <w:tc>
          <w:tcPr>
            <w:tcW w:w="1409" w:type="dxa"/>
            <w:hideMark/>
          </w:tcPr>
          <w:p w14:paraId="21B0391C"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08BBE78" w14:textId="5D2B8D40" w:rsidR="00272FF4" w:rsidRPr="00976103" w:rsidRDefault="006F46A3" w:rsidP="009B64D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c>
          <w:tcPr>
            <w:tcW w:w="1221" w:type="dxa"/>
            <w:vAlign w:val="center"/>
          </w:tcPr>
          <w:p w14:paraId="0C16A62A" w14:textId="6AD6CAC1"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r>
      <w:tr w:rsidR="00272FF4" w:rsidRPr="00976103" w14:paraId="422CF375" w14:textId="77777777" w:rsidTr="006652F3">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08BD44"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8. Vienreizēji un citi īslaicīgi pasākumi</w:t>
            </w:r>
          </w:p>
        </w:tc>
        <w:tc>
          <w:tcPr>
            <w:tcW w:w="1409" w:type="dxa"/>
            <w:hideMark/>
          </w:tcPr>
          <w:p w14:paraId="5751B8B6"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528043E" w14:textId="18CBE6BD"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1" w:type="dxa"/>
            <w:vAlign w:val="center"/>
          </w:tcPr>
          <w:p w14:paraId="1B37AE78" w14:textId="33E950C2"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272FF4" w:rsidRPr="00976103" w14:paraId="2A136CB5" w14:textId="77777777" w:rsidTr="006652F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849C61"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9. Reālā IKP pieaugums (%) (=1. Tabulā 1.a)</w:t>
            </w:r>
          </w:p>
        </w:tc>
        <w:tc>
          <w:tcPr>
            <w:tcW w:w="1409" w:type="dxa"/>
            <w:hideMark/>
          </w:tcPr>
          <w:p w14:paraId="67701D03"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315EBE2" w14:textId="4D2D4DA4"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2,1</w:t>
            </w:r>
          </w:p>
        </w:tc>
        <w:tc>
          <w:tcPr>
            <w:tcW w:w="1221" w:type="dxa"/>
            <w:vAlign w:val="center"/>
          </w:tcPr>
          <w:p w14:paraId="0B07173E" w14:textId="5E086C69"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3,0</w:t>
            </w:r>
          </w:p>
        </w:tc>
      </w:tr>
      <w:tr w:rsidR="00272FF4" w:rsidRPr="00976103" w14:paraId="65B01666" w14:textId="77777777" w:rsidTr="006652F3">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3E24A9"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10. Potenciālā IKP pieaugums (=2 Tabulā 1.a)</w:t>
            </w:r>
          </w:p>
        </w:tc>
        <w:tc>
          <w:tcPr>
            <w:tcW w:w="1409" w:type="dxa"/>
            <w:hideMark/>
          </w:tcPr>
          <w:p w14:paraId="5911371E"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47C5DEF" w14:textId="0433DE33"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2,9</w:t>
            </w:r>
          </w:p>
        </w:tc>
        <w:tc>
          <w:tcPr>
            <w:tcW w:w="1221" w:type="dxa"/>
            <w:vAlign w:val="center"/>
          </w:tcPr>
          <w:p w14:paraId="322C39BF" w14:textId="54E00D23"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3,1</w:t>
            </w:r>
          </w:p>
        </w:tc>
      </w:tr>
      <w:tr w:rsidR="00272FF4" w:rsidRPr="00976103" w14:paraId="19CE3C74"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F5821DE"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iemaksas:</w:t>
            </w:r>
          </w:p>
        </w:tc>
        <w:tc>
          <w:tcPr>
            <w:tcW w:w="1409" w:type="dxa"/>
            <w:hideMark/>
          </w:tcPr>
          <w:p w14:paraId="6318212E" w14:textId="77777777" w:rsidR="00272FF4" w:rsidRPr="00976103"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241" w14:textId="7F7D4FAB"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1" w:type="dxa"/>
            <w:vAlign w:val="center"/>
          </w:tcPr>
          <w:p w14:paraId="2037DAB6" w14:textId="3C82C2F0"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272FF4" w:rsidRPr="00976103" w14:paraId="046EBEAD"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7F1FACC"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 darbaspēks</w:t>
            </w:r>
          </w:p>
        </w:tc>
        <w:tc>
          <w:tcPr>
            <w:tcW w:w="1409" w:type="dxa"/>
            <w:hideMark/>
          </w:tcPr>
          <w:p w14:paraId="392F109E"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D9D5331" w14:textId="3264E3EA"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c>
          <w:tcPr>
            <w:tcW w:w="1221" w:type="dxa"/>
            <w:vAlign w:val="center"/>
          </w:tcPr>
          <w:p w14:paraId="778D57D0" w14:textId="63884692"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0,3</w:t>
            </w:r>
          </w:p>
        </w:tc>
      </w:tr>
      <w:tr w:rsidR="00272FF4" w:rsidRPr="00976103" w14:paraId="2A9685EF"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95ACEB"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 kapitāls</w:t>
            </w:r>
          </w:p>
        </w:tc>
        <w:tc>
          <w:tcPr>
            <w:tcW w:w="1409" w:type="dxa"/>
            <w:hideMark/>
          </w:tcPr>
          <w:p w14:paraId="34178472"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540D16D" w14:textId="7E084293"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1221" w:type="dxa"/>
            <w:vAlign w:val="center"/>
          </w:tcPr>
          <w:p w14:paraId="22AEE511" w14:textId="1DEF050E"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272FF4" w:rsidRPr="00976103" w14:paraId="7D9A66CC"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B9CE39C"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 kopējais faktoru ražīgums</w:t>
            </w:r>
          </w:p>
        </w:tc>
        <w:tc>
          <w:tcPr>
            <w:tcW w:w="1409" w:type="dxa"/>
            <w:hideMark/>
          </w:tcPr>
          <w:p w14:paraId="7CD4C3F1"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96DE087" w14:textId="75A1A31A"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1,6</w:t>
            </w:r>
          </w:p>
        </w:tc>
        <w:tc>
          <w:tcPr>
            <w:tcW w:w="1221" w:type="dxa"/>
            <w:vAlign w:val="center"/>
          </w:tcPr>
          <w:p w14:paraId="574B44C7" w14:textId="54FB256A"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1,8</w:t>
            </w:r>
          </w:p>
        </w:tc>
      </w:tr>
      <w:tr w:rsidR="00272FF4" w:rsidRPr="00976103" w14:paraId="2BD57F5C" w14:textId="77777777" w:rsidTr="006652F3">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669E84"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11. Starpība starp faktisko un potenciālo IKP (% no potenciālā IKP)</w:t>
            </w:r>
          </w:p>
        </w:tc>
        <w:tc>
          <w:tcPr>
            <w:tcW w:w="1409" w:type="dxa"/>
            <w:hideMark/>
          </w:tcPr>
          <w:p w14:paraId="26DBF1EA"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EDC6E2E" w14:textId="41D72ED8"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c>
          <w:tcPr>
            <w:tcW w:w="1221" w:type="dxa"/>
            <w:vAlign w:val="center"/>
          </w:tcPr>
          <w:p w14:paraId="497BC230" w14:textId="772CFE6A" w:rsidR="00272FF4" w:rsidRPr="00976103" w:rsidRDefault="006F46A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-0,4</w:t>
            </w:r>
          </w:p>
        </w:tc>
      </w:tr>
      <w:tr w:rsidR="00272FF4" w:rsidRPr="00976103" w14:paraId="059BD621" w14:textId="77777777" w:rsidTr="006652F3">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883B0AF"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12. Budžeta bilances cikliskā komponente (% no IKP)</w:t>
            </w:r>
          </w:p>
        </w:tc>
        <w:tc>
          <w:tcPr>
            <w:tcW w:w="1409" w:type="dxa"/>
            <w:hideMark/>
          </w:tcPr>
          <w:p w14:paraId="2F1DEF42"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A708DF8" w14:textId="14292292"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221" w:type="dxa"/>
            <w:vAlign w:val="center"/>
          </w:tcPr>
          <w:p w14:paraId="3B033883" w14:textId="091FEA79" w:rsidR="00272FF4" w:rsidRPr="00976103" w:rsidRDefault="006F46A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4F08E279" w14:textId="77777777" w:rsidTr="006652F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726FFA"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13. Cikliski koriģētā bilance (1 - 12) (% no IKP)</w:t>
            </w:r>
          </w:p>
        </w:tc>
        <w:tc>
          <w:tcPr>
            <w:tcW w:w="1409" w:type="dxa"/>
            <w:hideMark/>
          </w:tcPr>
          <w:p w14:paraId="2F3EA84E"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1CB940D" w14:textId="0AD7193C" w:rsidR="00272FF4" w:rsidRPr="00976103" w:rsidRDefault="0072589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-1,4</w:t>
            </w:r>
          </w:p>
        </w:tc>
        <w:tc>
          <w:tcPr>
            <w:tcW w:w="1221" w:type="dxa"/>
            <w:vAlign w:val="center"/>
          </w:tcPr>
          <w:p w14:paraId="49FB76C9" w14:textId="78EFB689" w:rsidR="00272FF4" w:rsidRPr="00976103" w:rsidRDefault="0072589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r>
      <w:tr w:rsidR="00272FF4" w:rsidRPr="00976103" w14:paraId="41C6F12D" w14:textId="77777777" w:rsidTr="006652F3">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E5138D"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14. Cikliski koriģētā primārā bilance (13 + 6) (% no IKP)</w:t>
            </w:r>
          </w:p>
        </w:tc>
        <w:tc>
          <w:tcPr>
            <w:tcW w:w="1409" w:type="dxa"/>
            <w:hideMark/>
          </w:tcPr>
          <w:p w14:paraId="492BC8A9"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D54" w14:textId="1F3A9843" w:rsidR="00272FF4" w:rsidRPr="00976103" w:rsidRDefault="0072589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221" w:type="dxa"/>
            <w:vAlign w:val="center"/>
          </w:tcPr>
          <w:p w14:paraId="21E0A281" w14:textId="25F00ACC" w:rsidR="00272FF4" w:rsidRPr="00976103" w:rsidRDefault="0072589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0,3</w:t>
            </w:r>
          </w:p>
        </w:tc>
      </w:tr>
      <w:tr w:rsidR="00272FF4" w:rsidRPr="00976103" w14:paraId="3DED2306" w14:textId="77777777" w:rsidTr="006652F3">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81F1BAD"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15. Strukturālā bilance (13 - 8)  (% no IKP)</w:t>
            </w:r>
          </w:p>
        </w:tc>
        <w:tc>
          <w:tcPr>
            <w:tcW w:w="1409" w:type="dxa"/>
            <w:noWrap/>
            <w:hideMark/>
          </w:tcPr>
          <w:p w14:paraId="2C756489" w14:textId="77777777" w:rsidR="00272FF4" w:rsidRPr="00976103"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E9EA773" w14:textId="04DB0064" w:rsidR="00272FF4" w:rsidRPr="00976103" w:rsidRDefault="0072589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-1,4</w:t>
            </w:r>
          </w:p>
        </w:tc>
        <w:tc>
          <w:tcPr>
            <w:tcW w:w="1221" w:type="dxa"/>
            <w:vAlign w:val="center"/>
          </w:tcPr>
          <w:p w14:paraId="178AABCA" w14:textId="60AAAC5B" w:rsidR="00272FF4" w:rsidRPr="00976103" w:rsidRDefault="0072589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r>
    </w:tbl>
    <w:p w14:paraId="4D657153" w14:textId="78174312" w:rsidR="00272FF4" w:rsidRPr="00976103" w:rsidRDefault="00272FF4" w:rsidP="00272FF4">
      <w:pPr>
        <w:pStyle w:val="Heading1"/>
        <w:tabs>
          <w:tab w:val="left" w:pos="1276"/>
        </w:tabs>
        <w:spacing w:before="0" w:after="240"/>
        <w:ind w:firstLine="0"/>
        <w:jc w:val="left"/>
        <w:rPr>
          <w:rFonts w:ascii="Times New Roman" w:hAnsi="Times New Roman"/>
        </w:rPr>
      </w:pPr>
      <w:r w:rsidRPr="00976103">
        <w:rPr>
          <w:b w:val="0"/>
        </w:rPr>
        <w:br w:type="page"/>
      </w:r>
      <w:bookmarkStart w:id="9" w:name="_Toc431197085"/>
      <w:r w:rsidRPr="001D5709">
        <w:rPr>
          <w:rFonts w:ascii="Times New Roman" w:hAnsi="Times New Roman"/>
          <w:color w:val="18185F"/>
          <w:sz w:val="24"/>
        </w:rPr>
        <w:t>Tabula 2.b: Vispārējās valdības parāda attīstība 201</w:t>
      </w:r>
      <w:r w:rsidR="00750527">
        <w:rPr>
          <w:rFonts w:ascii="Times New Roman" w:hAnsi="Times New Roman"/>
          <w:color w:val="18185F"/>
          <w:sz w:val="24"/>
          <w:lang w:val="lv-LV"/>
        </w:rPr>
        <w:t>5</w:t>
      </w:r>
      <w:r w:rsidR="00750527">
        <w:rPr>
          <w:rFonts w:ascii="Times New Roman" w:hAnsi="Times New Roman"/>
          <w:color w:val="18185F"/>
          <w:sz w:val="24"/>
        </w:rPr>
        <w:t>.-2016</w:t>
      </w:r>
      <w:r w:rsidRPr="001D5709">
        <w:rPr>
          <w:rFonts w:ascii="Times New Roman" w:hAnsi="Times New Roman"/>
          <w:color w:val="18185F"/>
          <w:sz w:val="24"/>
        </w:rPr>
        <w:t>.gadā</w:t>
      </w:r>
      <w:bookmarkEnd w:id="9"/>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003E2F" w14:paraId="33BCF3D2"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7B95651" w14:textId="467F7717" w:rsidR="00272FF4" w:rsidRPr="00003E2F" w:rsidRDefault="00272FF4" w:rsidP="001B0074">
            <w:pPr>
              <w:spacing w:after="0"/>
              <w:ind w:firstLine="0"/>
              <w:jc w:val="center"/>
              <w:rPr>
                <w:b w:val="0"/>
                <w:bCs w:val="0"/>
                <w:color w:val="auto"/>
                <w:szCs w:val="24"/>
                <w:lang w:eastAsia="lv-LV"/>
              </w:rPr>
            </w:pPr>
          </w:p>
        </w:tc>
        <w:tc>
          <w:tcPr>
            <w:tcW w:w="1276" w:type="dxa"/>
            <w:vAlign w:val="center"/>
            <w:hideMark/>
          </w:tcPr>
          <w:p w14:paraId="2C31411C" w14:textId="77777777"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003E2F">
              <w:rPr>
                <w:color w:val="auto"/>
                <w:szCs w:val="24"/>
                <w:lang w:eastAsia="lv-LV"/>
              </w:rPr>
              <w:t>EKS kods</w:t>
            </w:r>
          </w:p>
        </w:tc>
        <w:tc>
          <w:tcPr>
            <w:tcW w:w="1237" w:type="dxa"/>
            <w:noWrap/>
            <w:vAlign w:val="center"/>
            <w:hideMark/>
          </w:tcPr>
          <w:p w14:paraId="789BA749" w14:textId="75315BA4" w:rsidR="00272FF4" w:rsidRPr="00003E2F" w:rsidRDefault="00750527"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2015</w:t>
            </w:r>
          </w:p>
        </w:tc>
        <w:tc>
          <w:tcPr>
            <w:tcW w:w="1181" w:type="dxa"/>
            <w:noWrap/>
            <w:vAlign w:val="center"/>
            <w:hideMark/>
          </w:tcPr>
          <w:p w14:paraId="066D8CBD" w14:textId="63C68D82" w:rsidR="00272FF4" w:rsidRPr="00003E2F" w:rsidRDefault="00750527"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2016</w:t>
            </w:r>
          </w:p>
        </w:tc>
      </w:tr>
      <w:tr w:rsidR="00381267" w:rsidRPr="00003E2F" w14:paraId="126205BB" w14:textId="77777777"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14:paraId="46F3799A" w14:textId="77777777" w:rsidR="00381267" w:rsidRPr="00003E2F" w:rsidRDefault="00381267" w:rsidP="001B0074">
            <w:pPr>
              <w:spacing w:after="0"/>
              <w:ind w:firstLine="0"/>
              <w:jc w:val="center"/>
              <w:rPr>
                <w:szCs w:val="24"/>
                <w:lang w:eastAsia="lv-LV"/>
              </w:rPr>
            </w:pPr>
          </w:p>
        </w:tc>
        <w:tc>
          <w:tcPr>
            <w:tcW w:w="3694" w:type="dxa"/>
            <w:gridSpan w:val="3"/>
            <w:vAlign w:val="center"/>
          </w:tcPr>
          <w:p w14:paraId="4A6EA94F" w14:textId="2886628D" w:rsidR="00381267"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003E2F">
              <w:rPr>
                <w:color w:val="auto"/>
                <w:szCs w:val="24"/>
                <w:lang w:eastAsia="lv-LV"/>
              </w:rPr>
              <w:t>% no IKP</w:t>
            </w:r>
          </w:p>
        </w:tc>
      </w:tr>
      <w:tr w:rsidR="00003E2F" w:rsidRPr="00003E2F" w14:paraId="3CA3FB2A" w14:textId="77777777" w:rsidTr="006652F3">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2E28BDD"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1. Bruto parāds</w:t>
            </w:r>
          </w:p>
        </w:tc>
        <w:tc>
          <w:tcPr>
            <w:tcW w:w="1276" w:type="dxa"/>
            <w:noWrap/>
            <w:hideMark/>
          </w:tcPr>
          <w:p w14:paraId="781C8F8C"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ABBEE35" w14:textId="2F7511D6" w:rsidR="00272FF4" w:rsidRPr="00003E2F" w:rsidRDefault="00750527"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36,3</w:t>
            </w:r>
          </w:p>
        </w:tc>
        <w:tc>
          <w:tcPr>
            <w:tcW w:w="1181" w:type="dxa"/>
            <w:noWrap/>
            <w:vAlign w:val="center"/>
          </w:tcPr>
          <w:p w14:paraId="16AE6D4E" w14:textId="393A01CE" w:rsidR="00272FF4" w:rsidRPr="00003E2F" w:rsidRDefault="00750527"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39,9</w:t>
            </w:r>
          </w:p>
        </w:tc>
      </w:tr>
      <w:tr w:rsidR="00003E2F" w:rsidRPr="00003E2F" w14:paraId="49B26BAA" w14:textId="77777777" w:rsidTr="006652F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9E74C14"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2. Bruto parāda izmaiņas</w:t>
            </w:r>
          </w:p>
        </w:tc>
        <w:tc>
          <w:tcPr>
            <w:tcW w:w="1276" w:type="dxa"/>
            <w:noWrap/>
            <w:hideMark/>
          </w:tcPr>
          <w:p w14:paraId="395E8298"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9C4C746" w14:textId="0164051F" w:rsidR="00272FF4" w:rsidRPr="00003E2F" w:rsidRDefault="00750527"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-3,8</w:t>
            </w:r>
          </w:p>
        </w:tc>
        <w:tc>
          <w:tcPr>
            <w:tcW w:w="1181" w:type="dxa"/>
            <w:noWrap/>
            <w:vAlign w:val="center"/>
          </w:tcPr>
          <w:p w14:paraId="0D1DC244" w14:textId="75251C19" w:rsidR="00272FF4" w:rsidRPr="00003E2F" w:rsidRDefault="00750527" w:rsidP="0080588C">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3,6</w:t>
            </w:r>
          </w:p>
        </w:tc>
      </w:tr>
      <w:tr w:rsidR="00003E2F" w:rsidRPr="00003E2F" w14:paraId="163CE950" w14:textId="77777777"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5CD9451A" w14:textId="77777777" w:rsidR="00272FF4" w:rsidRPr="00003E2F" w:rsidRDefault="00272FF4" w:rsidP="00517C82">
            <w:pPr>
              <w:spacing w:after="0"/>
              <w:ind w:firstLine="0"/>
              <w:jc w:val="center"/>
              <w:rPr>
                <w:bCs w:val="0"/>
                <w:color w:val="auto"/>
                <w:szCs w:val="24"/>
                <w:lang w:eastAsia="lv-LV"/>
              </w:rPr>
            </w:pPr>
            <w:r w:rsidRPr="00003E2F">
              <w:rPr>
                <w:color w:val="auto"/>
                <w:szCs w:val="24"/>
                <w:lang w:eastAsia="lv-LV"/>
              </w:rPr>
              <w:t>Kopējā parāda izmaiņas ietekmējošie faktori</w:t>
            </w:r>
          </w:p>
        </w:tc>
      </w:tr>
      <w:tr w:rsidR="00003E2F" w:rsidRPr="00003E2F" w14:paraId="2CA7AF57" w14:textId="77777777" w:rsidTr="006652F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9CF66FF"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3. Primārā bilance</w:t>
            </w:r>
          </w:p>
        </w:tc>
        <w:tc>
          <w:tcPr>
            <w:tcW w:w="1276" w:type="dxa"/>
            <w:noWrap/>
            <w:hideMark/>
          </w:tcPr>
          <w:p w14:paraId="64AF22A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2DD1F8C0" w14:textId="32155090" w:rsidR="00272FF4" w:rsidRPr="00003E2F" w:rsidRDefault="00D34C02"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-0,2</w:t>
            </w:r>
          </w:p>
        </w:tc>
        <w:tc>
          <w:tcPr>
            <w:tcW w:w="1181" w:type="dxa"/>
            <w:noWrap/>
            <w:vAlign w:val="center"/>
          </w:tcPr>
          <w:p w14:paraId="6B40B68A" w14:textId="76C07F0C" w:rsidR="00272FF4" w:rsidRPr="00003E2F" w:rsidRDefault="00D34C02"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0,2</w:t>
            </w:r>
          </w:p>
        </w:tc>
      </w:tr>
      <w:tr w:rsidR="00003E2F" w:rsidRPr="00003E2F" w14:paraId="34A023D5" w14:textId="77777777" w:rsidTr="006652F3">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7FE62F7"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 xml:space="preserve">4. Procentu maksājumi </w:t>
            </w:r>
          </w:p>
        </w:tc>
        <w:tc>
          <w:tcPr>
            <w:tcW w:w="1276" w:type="dxa"/>
            <w:hideMark/>
          </w:tcPr>
          <w:p w14:paraId="352766B6"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EDP D.41</w:t>
            </w:r>
          </w:p>
        </w:tc>
        <w:tc>
          <w:tcPr>
            <w:tcW w:w="1237" w:type="dxa"/>
            <w:noWrap/>
            <w:vAlign w:val="center"/>
          </w:tcPr>
          <w:p w14:paraId="439C2ACF" w14:textId="51D6EE4A" w:rsidR="00272FF4" w:rsidRPr="00003E2F" w:rsidRDefault="00D34C02"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1,2</w:t>
            </w:r>
          </w:p>
        </w:tc>
        <w:tc>
          <w:tcPr>
            <w:tcW w:w="1181" w:type="dxa"/>
            <w:noWrap/>
            <w:vAlign w:val="center"/>
          </w:tcPr>
          <w:p w14:paraId="5923271B" w14:textId="3D805B55" w:rsidR="00272FF4" w:rsidRPr="00003E2F" w:rsidRDefault="00D34C02"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1,2</w:t>
            </w:r>
          </w:p>
        </w:tc>
      </w:tr>
      <w:tr w:rsidR="00003E2F" w:rsidRPr="00003E2F" w14:paraId="6D22989F" w14:textId="77777777" w:rsidTr="006652F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E8B60DE" w14:textId="3B8F3296" w:rsidR="00272FF4" w:rsidRPr="00003E2F" w:rsidRDefault="00272FF4" w:rsidP="00103B5C">
            <w:pPr>
              <w:spacing w:after="0"/>
              <w:ind w:firstLine="0"/>
              <w:jc w:val="left"/>
              <w:rPr>
                <w:bCs w:val="0"/>
                <w:color w:val="auto"/>
                <w:szCs w:val="24"/>
                <w:lang w:eastAsia="lv-LV"/>
              </w:rPr>
            </w:pPr>
            <w:r w:rsidRPr="00003E2F">
              <w:rPr>
                <w:color w:val="auto"/>
                <w:szCs w:val="24"/>
                <w:lang w:eastAsia="lv-LV"/>
              </w:rPr>
              <w:t xml:space="preserve">5. Krājumu </w:t>
            </w:r>
            <w:r w:rsidRPr="00B21E59">
              <w:rPr>
                <w:color w:val="auto"/>
                <w:szCs w:val="24"/>
                <w:lang w:eastAsia="lv-LV"/>
              </w:rPr>
              <w:t>izmaiņas</w:t>
            </w:r>
            <w:r w:rsidR="00103B5C" w:rsidRPr="00B21E59">
              <w:rPr>
                <w:color w:val="auto"/>
                <w:szCs w:val="24"/>
                <w:lang w:eastAsia="lv-LV"/>
              </w:rPr>
              <w:t>, t.sk.</w:t>
            </w:r>
          </w:p>
        </w:tc>
        <w:tc>
          <w:tcPr>
            <w:tcW w:w="1276" w:type="dxa"/>
            <w:hideMark/>
          </w:tcPr>
          <w:p w14:paraId="44101138"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377172D4" w14:textId="003CAC8A" w:rsidR="00272FF4" w:rsidRPr="00003E2F" w:rsidRDefault="00D34C02"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-5,2</w:t>
            </w:r>
          </w:p>
        </w:tc>
        <w:tc>
          <w:tcPr>
            <w:tcW w:w="1181" w:type="dxa"/>
            <w:noWrap/>
            <w:vAlign w:val="center"/>
          </w:tcPr>
          <w:p w14:paraId="164EEE8F" w14:textId="32B3E9C0" w:rsidR="00272FF4" w:rsidRPr="00003E2F" w:rsidRDefault="00D34C02" w:rsidP="0080588C">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2,6</w:t>
            </w:r>
          </w:p>
        </w:tc>
      </w:tr>
      <w:tr w:rsidR="00003E2F" w:rsidRPr="00003E2F" w14:paraId="73A8FFD2" w14:textId="77777777" w:rsidTr="006652F3">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63460033"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Valsts parāda netiešā procentu likme</w:t>
            </w:r>
          </w:p>
        </w:tc>
        <w:tc>
          <w:tcPr>
            <w:tcW w:w="1276" w:type="dxa"/>
            <w:noWrap/>
            <w:hideMark/>
          </w:tcPr>
          <w:p w14:paraId="0F8288DC"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1DC91BB8" w14:textId="3B1B2665" w:rsidR="00272FF4" w:rsidRPr="00003E2F" w:rsidRDefault="00D34C02"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3,2</w:t>
            </w:r>
          </w:p>
        </w:tc>
        <w:tc>
          <w:tcPr>
            <w:tcW w:w="1181" w:type="dxa"/>
            <w:noWrap/>
            <w:vAlign w:val="center"/>
          </w:tcPr>
          <w:p w14:paraId="4739135F" w14:textId="1B9CC909" w:rsidR="00272FF4" w:rsidRPr="00003E2F" w:rsidRDefault="00D34C02"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3,4</w:t>
            </w:r>
          </w:p>
        </w:tc>
      </w:tr>
      <w:tr w:rsidR="00003E2F" w:rsidRPr="00003E2F" w14:paraId="67C89101" w14:textId="77777777"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356B131A" w14:textId="77777777" w:rsidR="00272FF4" w:rsidRPr="00003E2F" w:rsidRDefault="00272FF4" w:rsidP="00517C82">
            <w:pPr>
              <w:spacing w:after="0"/>
              <w:ind w:firstLine="0"/>
              <w:jc w:val="center"/>
              <w:rPr>
                <w:bCs w:val="0"/>
                <w:color w:val="auto"/>
                <w:szCs w:val="24"/>
                <w:lang w:eastAsia="lv-LV"/>
              </w:rPr>
            </w:pPr>
            <w:r w:rsidRPr="00003E2F">
              <w:rPr>
                <w:color w:val="auto"/>
                <w:szCs w:val="24"/>
                <w:lang w:eastAsia="lv-LV"/>
              </w:rPr>
              <w:t>Citi mainīgie</w:t>
            </w:r>
          </w:p>
        </w:tc>
      </w:tr>
      <w:tr w:rsidR="00003E2F" w:rsidRPr="00003E2F" w14:paraId="0967493C" w14:textId="77777777" w:rsidTr="00845A13">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46FB4EC"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6. Likvīdi finanšu aktīvi</w:t>
            </w:r>
          </w:p>
        </w:tc>
        <w:tc>
          <w:tcPr>
            <w:tcW w:w="1276" w:type="dxa"/>
            <w:noWrap/>
            <w:hideMark/>
          </w:tcPr>
          <w:p w14:paraId="1C7C883F"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hideMark/>
          </w:tcPr>
          <w:p w14:paraId="70838970" w14:textId="77777777"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181" w:type="dxa"/>
            <w:noWrap/>
            <w:vAlign w:val="center"/>
            <w:hideMark/>
          </w:tcPr>
          <w:p w14:paraId="013C8281" w14:textId="77777777"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r>
      <w:tr w:rsidR="00003E2F" w:rsidRPr="00003E2F" w14:paraId="0AF39B04" w14:textId="77777777"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5A714961"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7. Neto finansiālais parāds (7=1-6)</w:t>
            </w:r>
          </w:p>
        </w:tc>
        <w:tc>
          <w:tcPr>
            <w:tcW w:w="1276" w:type="dxa"/>
            <w:noWrap/>
            <w:hideMark/>
          </w:tcPr>
          <w:p w14:paraId="4718F7A0"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E08E24" w14:textId="51B23B83"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78B9CCD2" w14:textId="021A9AD3"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003E2F" w:rsidRPr="00003E2F" w14:paraId="7592411E" w14:textId="77777777" w:rsidTr="006652F3">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3E8E8C58"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8. Parāda amortizācija</w:t>
            </w:r>
          </w:p>
        </w:tc>
        <w:tc>
          <w:tcPr>
            <w:tcW w:w="1276" w:type="dxa"/>
            <w:noWrap/>
            <w:hideMark/>
          </w:tcPr>
          <w:p w14:paraId="7DAAE607" w14:textId="77777777" w:rsidR="00272FF4" w:rsidRPr="00003E2F" w:rsidRDefault="00272FF4" w:rsidP="00272FF4">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047A77C" w14:textId="2BB3E0DF" w:rsidR="00272FF4" w:rsidRPr="00003E2F" w:rsidRDefault="00750527"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0,7</w:t>
            </w:r>
          </w:p>
        </w:tc>
        <w:tc>
          <w:tcPr>
            <w:tcW w:w="1181" w:type="dxa"/>
            <w:noWrap/>
            <w:vAlign w:val="center"/>
          </w:tcPr>
          <w:p w14:paraId="77F10D25" w14:textId="2EC69EB5" w:rsidR="00272FF4" w:rsidRPr="00003E2F" w:rsidRDefault="00750527"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1,0</w:t>
            </w:r>
          </w:p>
        </w:tc>
      </w:tr>
      <w:tr w:rsidR="00003E2F" w:rsidRPr="00003E2F" w14:paraId="65DAB55B" w14:textId="77777777"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06D925B2"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9. Ārvalstu valūtā denominētā parāda īpatsvars</w:t>
            </w:r>
          </w:p>
        </w:tc>
        <w:tc>
          <w:tcPr>
            <w:tcW w:w="1276" w:type="dxa"/>
            <w:noWrap/>
            <w:hideMark/>
          </w:tcPr>
          <w:p w14:paraId="5387D2A3"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CA8A12A" w14:textId="14C35B7A" w:rsidR="00272FF4" w:rsidRPr="00003E2F" w:rsidRDefault="00750527"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29,4</w:t>
            </w:r>
          </w:p>
        </w:tc>
        <w:tc>
          <w:tcPr>
            <w:tcW w:w="1181" w:type="dxa"/>
            <w:noWrap/>
            <w:vAlign w:val="center"/>
          </w:tcPr>
          <w:p w14:paraId="0C3B9BF5" w14:textId="25990301" w:rsidR="00272FF4" w:rsidRPr="00003E2F" w:rsidRDefault="00750527"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25,9</w:t>
            </w:r>
          </w:p>
        </w:tc>
      </w:tr>
      <w:tr w:rsidR="00003E2F" w:rsidRPr="00003E2F" w14:paraId="07B1A006" w14:textId="77777777" w:rsidTr="006652F3">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26C5C79"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10. Vidējā dzēšana</w:t>
            </w:r>
          </w:p>
        </w:tc>
        <w:tc>
          <w:tcPr>
            <w:tcW w:w="1276" w:type="dxa"/>
            <w:noWrap/>
            <w:hideMark/>
          </w:tcPr>
          <w:p w14:paraId="62243D76"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56B7DA" w14:textId="7A15133A" w:rsidR="00272FF4" w:rsidRPr="00003E2F" w:rsidRDefault="00750527" w:rsidP="00103B5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5,06 gadi</w:t>
            </w:r>
          </w:p>
        </w:tc>
        <w:tc>
          <w:tcPr>
            <w:tcW w:w="1181" w:type="dxa"/>
            <w:noWrap/>
            <w:vAlign w:val="center"/>
          </w:tcPr>
          <w:p w14:paraId="50D7F3D2" w14:textId="076F63A5"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6368FFF2" w14:textId="77777777" w:rsidTr="006652F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454CCC3" w14:textId="77777777" w:rsidR="00272FF4" w:rsidRPr="00003E2F" w:rsidRDefault="00272FF4" w:rsidP="00442C25">
            <w:pPr>
              <w:spacing w:after="0"/>
              <w:ind w:firstLine="0"/>
              <w:jc w:val="left"/>
              <w:rPr>
                <w:bCs w:val="0"/>
                <w:i/>
                <w:iCs/>
                <w:color w:val="auto"/>
                <w:szCs w:val="24"/>
                <w:lang w:eastAsia="lv-LV"/>
              </w:rPr>
            </w:pPr>
            <w:r w:rsidRPr="00003E2F">
              <w:rPr>
                <w:i/>
                <w:iCs/>
                <w:color w:val="auto"/>
                <w:szCs w:val="24"/>
                <w:lang w:eastAsia="lv-LV"/>
              </w:rPr>
              <w:t>Informācijai - aprēķinos izmantotie IKP dati:</w:t>
            </w:r>
          </w:p>
        </w:tc>
        <w:tc>
          <w:tcPr>
            <w:tcW w:w="1276" w:type="dxa"/>
            <w:noWrap/>
            <w:hideMark/>
          </w:tcPr>
          <w:p w14:paraId="044032B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DE6D3E7" w14:textId="00D663F2"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0B5BFF97" w14:textId="72F6CAFE"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003E2F" w:rsidRPr="00003E2F" w14:paraId="31E168F0" w14:textId="77777777" w:rsidTr="006652F3">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E2FDAAD"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IKP faktiskajās cenās, milj.</w:t>
            </w:r>
            <w:r w:rsidRPr="00003E2F">
              <w:rPr>
                <w:i/>
                <w:color w:val="auto"/>
                <w:szCs w:val="24"/>
                <w:lang w:eastAsia="lv-LV"/>
              </w:rPr>
              <w:t>euro</w:t>
            </w:r>
          </w:p>
        </w:tc>
        <w:tc>
          <w:tcPr>
            <w:tcW w:w="1276" w:type="dxa"/>
            <w:noWrap/>
            <w:hideMark/>
          </w:tcPr>
          <w:p w14:paraId="1CE5110A"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ACB7F95" w14:textId="158F9E6B" w:rsidR="00272FF4" w:rsidRPr="00003E2F" w:rsidRDefault="00750527"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24841,6</w:t>
            </w:r>
          </w:p>
        </w:tc>
        <w:tc>
          <w:tcPr>
            <w:tcW w:w="1181" w:type="dxa"/>
            <w:noWrap/>
            <w:vAlign w:val="center"/>
          </w:tcPr>
          <w:p w14:paraId="0BEA2D88" w14:textId="41BD3C92" w:rsidR="00272FF4" w:rsidRPr="00003E2F" w:rsidRDefault="00750527"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26126,5</w:t>
            </w:r>
          </w:p>
        </w:tc>
      </w:tr>
    </w:tbl>
    <w:p w14:paraId="2F83914F" w14:textId="77777777" w:rsidR="00272FF4" w:rsidRPr="00976103" w:rsidRDefault="00272FF4" w:rsidP="00272FF4">
      <w:pPr>
        <w:ind w:firstLine="0"/>
        <w:jc w:val="left"/>
        <w:rPr>
          <w:szCs w:val="24"/>
        </w:rPr>
      </w:pPr>
    </w:p>
    <w:p w14:paraId="656A6089" w14:textId="77777777" w:rsidR="00272FF4" w:rsidRPr="00976103" w:rsidRDefault="00272FF4" w:rsidP="00272FF4">
      <w:pPr>
        <w:ind w:firstLine="0"/>
        <w:jc w:val="left"/>
        <w:rPr>
          <w:b/>
          <w:szCs w:val="24"/>
        </w:rPr>
      </w:pPr>
    </w:p>
    <w:p w14:paraId="3D0643A2" w14:textId="77777777" w:rsidR="00272FF4" w:rsidRPr="001D5709" w:rsidRDefault="00272FF4" w:rsidP="00272FF4">
      <w:pPr>
        <w:pStyle w:val="Heading1"/>
        <w:tabs>
          <w:tab w:val="left" w:pos="1276"/>
        </w:tabs>
        <w:spacing w:before="0" w:after="240"/>
        <w:ind w:firstLine="0"/>
        <w:jc w:val="left"/>
        <w:rPr>
          <w:rFonts w:ascii="Times New Roman" w:hAnsi="Times New Roman"/>
          <w:color w:val="18185F"/>
          <w:sz w:val="24"/>
        </w:rPr>
      </w:pPr>
      <w:bookmarkStart w:id="10" w:name="_Toc431197086"/>
      <w:r w:rsidRPr="001D5709">
        <w:rPr>
          <w:rFonts w:ascii="Times New Roman" w:hAnsi="Times New Roman"/>
          <w:color w:val="18185F"/>
          <w:sz w:val="24"/>
        </w:rPr>
        <w:t>Tabula 2.c: Netiešās saistības</w:t>
      </w:r>
      <w:bookmarkEnd w:id="10"/>
    </w:p>
    <w:tbl>
      <w:tblPr>
        <w:tblStyle w:val="GridTable6Colorful-Accent11"/>
        <w:tblW w:w="6024" w:type="dxa"/>
        <w:tblInd w:w="-147" w:type="dxa"/>
        <w:tblLook w:val="04A0" w:firstRow="1" w:lastRow="0" w:firstColumn="1" w:lastColumn="0" w:noHBand="0" w:noVBand="1"/>
      </w:tblPr>
      <w:tblGrid>
        <w:gridCol w:w="3686"/>
        <w:gridCol w:w="1134"/>
        <w:gridCol w:w="1204"/>
      </w:tblGrid>
      <w:tr w:rsidR="00003E2F" w:rsidRPr="00003E2F" w14:paraId="4B4C5A18" w14:textId="77777777" w:rsidTr="00103B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14:paraId="345D6BDA" w14:textId="77777777" w:rsidR="00272FF4" w:rsidRPr="00003E2F" w:rsidRDefault="00272FF4" w:rsidP="001B0074">
            <w:pPr>
              <w:spacing w:after="0"/>
              <w:ind w:firstLine="0"/>
              <w:jc w:val="left"/>
              <w:rPr>
                <w:color w:val="auto"/>
                <w:szCs w:val="24"/>
                <w:lang w:eastAsia="lv-LV"/>
              </w:rPr>
            </w:pPr>
            <w:r w:rsidRPr="00003E2F">
              <w:rPr>
                <w:color w:val="auto"/>
                <w:szCs w:val="24"/>
                <w:lang w:eastAsia="lv-LV"/>
              </w:rPr>
              <w:t>% no IKP</w:t>
            </w:r>
          </w:p>
        </w:tc>
        <w:tc>
          <w:tcPr>
            <w:tcW w:w="1134" w:type="dxa"/>
            <w:vMerge w:val="restart"/>
            <w:vAlign w:val="center"/>
            <w:hideMark/>
          </w:tcPr>
          <w:p w14:paraId="7EFF6767" w14:textId="77651BA0"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EC08EA">
              <w:rPr>
                <w:color w:val="auto"/>
                <w:szCs w:val="24"/>
                <w:lang w:eastAsia="lv-LV"/>
              </w:rPr>
              <w:t>5</w:t>
            </w:r>
          </w:p>
        </w:tc>
        <w:tc>
          <w:tcPr>
            <w:tcW w:w="1204" w:type="dxa"/>
            <w:vMerge w:val="restart"/>
            <w:vAlign w:val="center"/>
            <w:hideMark/>
          </w:tcPr>
          <w:p w14:paraId="272ED920" w14:textId="7B070381"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EC08EA">
              <w:rPr>
                <w:color w:val="auto"/>
                <w:szCs w:val="24"/>
                <w:lang w:eastAsia="lv-LV"/>
              </w:rPr>
              <w:t>6</w:t>
            </w:r>
          </w:p>
        </w:tc>
      </w:tr>
      <w:tr w:rsidR="00003E2F" w:rsidRPr="00003E2F" w14:paraId="61FEBB71" w14:textId="77777777" w:rsidTr="001B00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14:paraId="4B2930C5" w14:textId="77777777" w:rsidR="00272FF4" w:rsidRPr="00003E2F" w:rsidRDefault="00272FF4" w:rsidP="00272FF4">
            <w:pPr>
              <w:spacing w:after="0"/>
              <w:ind w:firstLine="0"/>
              <w:jc w:val="left"/>
              <w:rPr>
                <w:color w:val="auto"/>
                <w:szCs w:val="24"/>
                <w:lang w:eastAsia="lv-LV"/>
              </w:rPr>
            </w:pPr>
          </w:p>
        </w:tc>
        <w:tc>
          <w:tcPr>
            <w:tcW w:w="1134" w:type="dxa"/>
            <w:vMerge/>
            <w:hideMark/>
          </w:tcPr>
          <w:p w14:paraId="0640DE8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hideMark/>
          </w:tcPr>
          <w:p w14:paraId="01A64055"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003E2F" w:rsidRPr="00003E2F" w14:paraId="1828B1E0" w14:textId="77777777" w:rsidTr="006652F3">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14:paraId="0469D198" w14:textId="1BB12E49" w:rsidR="00272FF4" w:rsidRPr="00003E2F" w:rsidRDefault="00272FF4" w:rsidP="00381267">
            <w:pPr>
              <w:spacing w:after="0"/>
              <w:ind w:firstLine="0"/>
              <w:jc w:val="left"/>
              <w:rPr>
                <w:bCs w:val="0"/>
                <w:color w:val="auto"/>
                <w:szCs w:val="24"/>
                <w:lang w:eastAsia="lv-LV"/>
              </w:rPr>
            </w:pPr>
            <w:r w:rsidRPr="00003E2F">
              <w:rPr>
                <w:color w:val="auto"/>
                <w:szCs w:val="24"/>
                <w:lang w:eastAsia="lv-LV"/>
              </w:rPr>
              <w:t xml:space="preserve">Valsts un pašvaldību </w:t>
            </w:r>
            <w:r w:rsidR="00381267">
              <w:rPr>
                <w:color w:val="auto"/>
                <w:szCs w:val="24"/>
                <w:lang w:eastAsia="lv-LV"/>
              </w:rPr>
              <w:t>galvojumi</w:t>
            </w:r>
          </w:p>
        </w:tc>
        <w:tc>
          <w:tcPr>
            <w:tcW w:w="1134" w:type="dxa"/>
            <w:vAlign w:val="center"/>
          </w:tcPr>
          <w:p w14:paraId="6A9A769A" w14:textId="571E5E94" w:rsidR="00272FF4" w:rsidRPr="00003E2F" w:rsidRDefault="00EC08E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0,87</w:t>
            </w:r>
          </w:p>
        </w:tc>
        <w:tc>
          <w:tcPr>
            <w:tcW w:w="1204" w:type="dxa"/>
            <w:vAlign w:val="center"/>
          </w:tcPr>
          <w:p w14:paraId="42C4EF9A" w14:textId="431F3134" w:rsidR="00272FF4" w:rsidRPr="00003E2F" w:rsidRDefault="00EC08E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0,94</w:t>
            </w:r>
          </w:p>
        </w:tc>
      </w:tr>
    </w:tbl>
    <w:p w14:paraId="322B3FD6" w14:textId="77777777" w:rsidR="00272FF4" w:rsidRPr="00976103" w:rsidRDefault="00272FF4" w:rsidP="00272FF4">
      <w:pPr>
        <w:ind w:firstLine="0"/>
        <w:jc w:val="left"/>
        <w:rPr>
          <w:szCs w:val="24"/>
        </w:rPr>
      </w:pPr>
    </w:p>
    <w:p w14:paraId="403CC0CB" w14:textId="77777777" w:rsidR="00272FF4" w:rsidRDefault="00272FF4" w:rsidP="00272FF4">
      <w:pPr>
        <w:pStyle w:val="NoSpacing"/>
        <w:rPr>
          <w:rFonts w:eastAsia="Calibri"/>
        </w:rPr>
      </w:pPr>
      <w:r w:rsidRPr="00976103">
        <w:br w:type="page"/>
      </w:r>
    </w:p>
    <w:p w14:paraId="75BD1398" w14:textId="77777777" w:rsidR="00CB5AC9" w:rsidRPr="00976103" w:rsidRDefault="00DA2011" w:rsidP="001D5709">
      <w:pPr>
        <w:pStyle w:val="Heading1"/>
        <w:tabs>
          <w:tab w:val="left" w:pos="1276"/>
        </w:tabs>
        <w:spacing w:before="0" w:after="240"/>
        <w:ind w:left="1134" w:hanging="1134"/>
        <w:jc w:val="left"/>
        <w:rPr>
          <w:rFonts w:ascii="Times New Roman" w:hAnsi="Times New Roman"/>
        </w:rPr>
      </w:pPr>
      <w:bookmarkStart w:id="11" w:name="_Toc431197087"/>
      <w:r w:rsidRPr="001D5709">
        <w:rPr>
          <w:rFonts w:ascii="Times New Roman" w:hAnsi="Times New Roman"/>
          <w:color w:val="18185F"/>
          <w:sz w:val="24"/>
        </w:rPr>
        <w:t>Tabula 3:</w:t>
      </w:r>
      <w:r w:rsidR="00CB5AC9" w:rsidRPr="001D5709">
        <w:rPr>
          <w:rFonts w:ascii="Times New Roman" w:hAnsi="Times New Roman"/>
          <w:color w:val="18185F"/>
          <w:sz w:val="24"/>
        </w:rPr>
        <w:t xml:space="preserve"> Vispārējās valdības izdevumu un ieņēmumu prognozes pie nemainīgas politikas sadalījumā pa galvenajām komponentēm</w:t>
      </w:r>
      <w:bookmarkEnd w:id="11"/>
    </w:p>
    <w:tbl>
      <w:tblPr>
        <w:tblStyle w:val="GridTable6Colorful-Accent11"/>
        <w:tblW w:w="8313" w:type="dxa"/>
        <w:jc w:val="center"/>
        <w:tblLook w:val="04A0" w:firstRow="1" w:lastRow="0" w:firstColumn="1" w:lastColumn="0" w:noHBand="0" w:noVBand="1"/>
      </w:tblPr>
      <w:tblGrid>
        <w:gridCol w:w="4850"/>
        <w:gridCol w:w="960"/>
        <w:gridCol w:w="1227"/>
        <w:gridCol w:w="1276"/>
      </w:tblGrid>
      <w:tr w:rsidR="00CB5AC9" w:rsidRPr="00976103" w14:paraId="63B0C257" w14:textId="77777777" w:rsidTr="00287764">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71A5A4FA"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960" w:type="dxa"/>
            <w:hideMark/>
          </w:tcPr>
          <w:p w14:paraId="7AB70746" w14:textId="5544CF57" w:rsidR="00CB5AC9" w:rsidRPr="006F0B98" w:rsidRDefault="006F0B98" w:rsidP="00381267">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6F0B98">
              <w:rPr>
                <w:color w:val="000000"/>
                <w:szCs w:val="24"/>
                <w:lang w:eastAsia="lv-LV"/>
              </w:rPr>
              <w:t xml:space="preserve">EKS </w:t>
            </w:r>
            <w:r w:rsidR="00381267">
              <w:rPr>
                <w:color w:val="000000"/>
                <w:szCs w:val="24"/>
                <w:lang w:eastAsia="lv-LV"/>
              </w:rPr>
              <w:t>k</w:t>
            </w:r>
            <w:r w:rsidRPr="006F0B98">
              <w:rPr>
                <w:color w:val="000000"/>
                <w:szCs w:val="24"/>
                <w:lang w:eastAsia="lv-LV"/>
              </w:rPr>
              <w:t>ods</w:t>
            </w:r>
            <w:r w:rsidR="00CB5AC9" w:rsidRPr="006F0B98">
              <w:rPr>
                <w:color w:val="000000"/>
                <w:szCs w:val="24"/>
                <w:lang w:eastAsia="lv-LV"/>
              </w:rPr>
              <w:t xml:space="preserve"> </w:t>
            </w:r>
          </w:p>
        </w:tc>
        <w:tc>
          <w:tcPr>
            <w:tcW w:w="1227" w:type="dxa"/>
            <w:vAlign w:val="center"/>
            <w:hideMark/>
          </w:tcPr>
          <w:p w14:paraId="5A9EFD64" w14:textId="384304E8" w:rsidR="00CB5AC9" w:rsidRPr="006F0B98" w:rsidRDefault="0072589F"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2015</w:t>
            </w:r>
          </w:p>
        </w:tc>
        <w:tc>
          <w:tcPr>
            <w:tcW w:w="1276" w:type="dxa"/>
            <w:vAlign w:val="center"/>
            <w:hideMark/>
          </w:tcPr>
          <w:p w14:paraId="206BD400" w14:textId="2BA10C42" w:rsidR="00CB5AC9" w:rsidRPr="006F0B98" w:rsidRDefault="0072589F"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r>
      <w:tr w:rsidR="00287764" w:rsidRPr="00976103" w14:paraId="1F8B4E63" w14:textId="77777777" w:rsidTr="00845A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F1C623E" w14:textId="77777777" w:rsidR="00287764" w:rsidRPr="00976103" w:rsidRDefault="00287764" w:rsidP="00CB5AC9">
            <w:pPr>
              <w:spacing w:after="0"/>
              <w:ind w:firstLine="0"/>
              <w:jc w:val="center"/>
              <w:rPr>
                <w:bCs w:val="0"/>
                <w:color w:val="000000"/>
                <w:szCs w:val="24"/>
                <w:lang w:eastAsia="lv-LV"/>
              </w:rPr>
            </w:pPr>
          </w:p>
        </w:tc>
        <w:tc>
          <w:tcPr>
            <w:tcW w:w="960" w:type="dxa"/>
            <w:hideMark/>
          </w:tcPr>
          <w:p w14:paraId="4EF1A7CF" w14:textId="77777777" w:rsidR="00287764" w:rsidRPr="00976103" w:rsidRDefault="00287764"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03" w:type="dxa"/>
            <w:gridSpan w:val="2"/>
            <w:hideMark/>
          </w:tcPr>
          <w:p w14:paraId="7AC62BCD" w14:textId="1E389D23" w:rsidR="00287764" w:rsidRPr="00976103" w:rsidRDefault="00287764" w:rsidP="006F0B9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no IKP</w:t>
            </w:r>
          </w:p>
        </w:tc>
      </w:tr>
      <w:tr w:rsidR="00CB5AC9" w:rsidRPr="00976103" w14:paraId="5F6D9B22" w14:textId="77777777" w:rsidTr="006652F3">
        <w:trPr>
          <w:trHeight w:val="214"/>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3E4AE9A2"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1. Kopējie ieņēmumi pie nemainīgas politikas</w:t>
            </w:r>
          </w:p>
        </w:tc>
        <w:tc>
          <w:tcPr>
            <w:tcW w:w="960" w:type="dxa"/>
            <w:vAlign w:val="center"/>
            <w:hideMark/>
          </w:tcPr>
          <w:p w14:paraId="5AF1B222" w14:textId="7542B5B4" w:rsidR="00CB5AC9" w:rsidRPr="00976103" w:rsidRDefault="00CB5AC9" w:rsidP="00845A1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227" w:type="dxa"/>
            <w:vAlign w:val="center"/>
          </w:tcPr>
          <w:p w14:paraId="054BAABB" w14:textId="0EA30976" w:rsidR="00CB5AC9" w:rsidRPr="00976103" w:rsidRDefault="0072589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34,8</w:t>
            </w:r>
          </w:p>
        </w:tc>
        <w:tc>
          <w:tcPr>
            <w:tcW w:w="1276" w:type="dxa"/>
            <w:vAlign w:val="center"/>
          </w:tcPr>
          <w:p w14:paraId="42E17C62" w14:textId="1FAEA4A6" w:rsidR="00CB5AC9" w:rsidRPr="00976103" w:rsidRDefault="0072589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33,3</w:t>
            </w:r>
          </w:p>
        </w:tc>
      </w:tr>
      <w:tr w:rsidR="00CB5AC9" w:rsidRPr="00976103" w14:paraId="71B82781"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0AE557E6" w14:textId="77777777" w:rsidR="00CB5AC9" w:rsidRPr="00976103" w:rsidRDefault="00CB5AC9" w:rsidP="00CB5AC9">
            <w:pPr>
              <w:spacing w:after="0"/>
              <w:ind w:firstLine="0"/>
              <w:jc w:val="center"/>
              <w:rPr>
                <w:color w:val="000000"/>
                <w:szCs w:val="24"/>
                <w:lang w:eastAsia="lv-LV"/>
              </w:rPr>
            </w:pPr>
            <w:r w:rsidRPr="00976103">
              <w:rPr>
                <w:color w:val="000000"/>
                <w:szCs w:val="24"/>
                <w:lang w:eastAsia="lv-LV"/>
              </w:rPr>
              <w:t>t.sk.</w:t>
            </w:r>
          </w:p>
        </w:tc>
        <w:tc>
          <w:tcPr>
            <w:tcW w:w="960" w:type="dxa"/>
            <w:vAlign w:val="center"/>
            <w:hideMark/>
          </w:tcPr>
          <w:p w14:paraId="1B69BF4A" w14:textId="1B41B1AE" w:rsidR="00CB5AC9" w:rsidRPr="00976103" w:rsidRDefault="00CB5AC9" w:rsidP="00845A1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42DC3E38" w14:textId="2D4AA31A" w:rsidR="00CB5AC9" w:rsidRPr="00976103" w:rsidRDefault="00CB5AC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76" w:type="dxa"/>
            <w:vAlign w:val="center"/>
          </w:tcPr>
          <w:p w14:paraId="164BB700" w14:textId="145573DD" w:rsidR="00CB5AC9" w:rsidRPr="00976103" w:rsidRDefault="00CB5AC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72589F" w:rsidRPr="00976103" w14:paraId="2E1295DB" w14:textId="77777777" w:rsidTr="006652F3">
        <w:trPr>
          <w:trHeight w:val="96"/>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40D07C05"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1.1. Ražošanas un importa nodokļi</w:t>
            </w:r>
          </w:p>
        </w:tc>
        <w:tc>
          <w:tcPr>
            <w:tcW w:w="960" w:type="dxa"/>
            <w:vAlign w:val="center"/>
            <w:hideMark/>
          </w:tcPr>
          <w:p w14:paraId="1932A4E9" w14:textId="424A1A48"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227" w:type="dxa"/>
            <w:vAlign w:val="center"/>
          </w:tcPr>
          <w:p w14:paraId="46ED30FF" w14:textId="7244A69E"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12,4</w:t>
            </w:r>
          </w:p>
        </w:tc>
        <w:tc>
          <w:tcPr>
            <w:tcW w:w="1276" w:type="dxa"/>
            <w:vAlign w:val="center"/>
          </w:tcPr>
          <w:p w14:paraId="147D82E0" w14:textId="4EB8F89A"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12,3</w:t>
            </w:r>
          </w:p>
        </w:tc>
      </w:tr>
      <w:tr w:rsidR="0072589F" w:rsidRPr="00976103" w14:paraId="7E71B919" w14:textId="77777777" w:rsidTr="006652F3">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1A0BBB2B"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1.2. Ienākuma un mantas kārtējie nodokļi</w:t>
            </w:r>
          </w:p>
        </w:tc>
        <w:tc>
          <w:tcPr>
            <w:tcW w:w="960" w:type="dxa"/>
            <w:vAlign w:val="center"/>
            <w:hideMark/>
          </w:tcPr>
          <w:p w14:paraId="4F181479" w14:textId="2FDF0D3B"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227" w:type="dxa"/>
            <w:vAlign w:val="center"/>
          </w:tcPr>
          <w:p w14:paraId="69D6341B" w14:textId="292619DE"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7,6</w:t>
            </w:r>
          </w:p>
        </w:tc>
        <w:tc>
          <w:tcPr>
            <w:tcW w:w="1276" w:type="dxa"/>
            <w:vAlign w:val="center"/>
          </w:tcPr>
          <w:p w14:paraId="5999DAF4" w14:textId="35BB1F08"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7,3</w:t>
            </w:r>
          </w:p>
        </w:tc>
      </w:tr>
      <w:tr w:rsidR="0072589F" w:rsidRPr="00976103" w14:paraId="68EC6706" w14:textId="77777777" w:rsidTr="006652F3">
        <w:trPr>
          <w:trHeight w:val="204"/>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6BD6FAF3"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1.3. Kapitāla nodokļi</w:t>
            </w:r>
          </w:p>
        </w:tc>
        <w:tc>
          <w:tcPr>
            <w:tcW w:w="960" w:type="dxa"/>
            <w:vAlign w:val="center"/>
            <w:hideMark/>
          </w:tcPr>
          <w:p w14:paraId="31663AAF" w14:textId="1B0B5871"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227" w:type="dxa"/>
            <w:vAlign w:val="center"/>
          </w:tcPr>
          <w:p w14:paraId="39E60F89" w14:textId="66A25763"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276" w:type="dxa"/>
            <w:vAlign w:val="center"/>
          </w:tcPr>
          <w:p w14:paraId="49EECAF1" w14:textId="7CFF56DD"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72589F" w:rsidRPr="00976103" w14:paraId="307BB78E"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50394B76"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1.4. Sociālās iemaksas</w:t>
            </w:r>
          </w:p>
        </w:tc>
        <w:tc>
          <w:tcPr>
            <w:tcW w:w="960" w:type="dxa"/>
            <w:vAlign w:val="center"/>
            <w:hideMark/>
          </w:tcPr>
          <w:p w14:paraId="4110D87E" w14:textId="1D4CAFE2"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227" w:type="dxa"/>
            <w:vAlign w:val="center"/>
          </w:tcPr>
          <w:p w14:paraId="3E4E1F75" w14:textId="6AB45DAF"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8,3</w:t>
            </w:r>
          </w:p>
        </w:tc>
        <w:tc>
          <w:tcPr>
            <w:tcW w:w="1276" w:type="dxa"/>
            <w:vAlign w:val="center"/>
          </w:tcPr>
          <w:p w14:paraId="5619A27F" w14:textId="247AF717"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8,1</w:t>
            </w:r>
          </w:p>
        </w:tc>
      </w:tr>
      <w:tr w:rsidR="0072589F" w:rsidRPr="00976103" w14:paraId="2C5207D8"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153D9F20"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1.5. Īpašuma ienākumi</w:t>
            </w:r>
          </w:p>
        </w:tc>
        <w:tc>
          <w:tcPr>
            <w:tcW w:w="960" w:type="dxa"/>
            <w:vAlign w:val="center"/>
            <w:hideMark/>
          </w:tcPr>
          <w:p w14:paraId="780E4E9C" w14:textId="220439DC"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227" w:type="dxa"/>
            <w:vAlign w:val="center"/>
          </w:tcPr>
          <w:p w14:paraId="57EABB85" w14:textId="1C65F224"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c>
          <w:tcPr>
            <w:tcW w:w="1276" w:type="dxa"/>
            <w:vAlign w:val="center"/>
          </w:tcPr>
          <w:p w14:paraId="6328B91A" w14:textId="0E071F2E"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r>
      <w:tr w:rsidR="0072589F" w:rsidRPr="00976103" w14:paraId="7780EF2A" w14:textId="77777777" w:rsidTr="006652F3">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6203A470"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1.6. Pārējie ieņēmumi</w:t>
            </w:r>
          </w:p>
        </w:tc>
        <w:tc>
          <w:tcPr>
            <w:tcW w:w="960" w:type="dxa"/>
            <w:vAlign w:val="center"/>
            <w:hideMark/>
          </w:tcPr>
          <w:p w14:paraId="40C834A7" w14:textId="172C6EB6"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5B98CDF2" w14:textId="4243E1DB"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5,8</w:t>
            </w:r>
          </w:p>
        </w:tc>
        <w:tc>
          <w:tcPr>
            <w:tcW w:w="1276" w:type="dxa"/>
            <w:vAlign w:val="center"/>
          </w:tcPr>
          <w:p w14:paraId="1021B09B" w14:textId="413C6699"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5,0</w:t>
            </w:r>
          </w:p>
        </w:tc>
      </w:tr>
      <w:tr w:rsidR="0072589F" w:rsidRPr="00976103" w14:paraId="0D6C26CA" w14:textId="77777777" w:rsidTr="006652F3">
        <w:trPr>
          <w:trHeight w:val="224"/>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28641BB1"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Nodokļu slogs (D.2+D.5+D.61+D.91-D.995)</w:t>
            </w:r>
          </w:p>
        </w:tc>
        <w:tc>
          <w:tcPr>
            <w:tcW w:w="960" w:type="dxa"/>
            <w:vAlign w:val="center"/>
            <w:hideMark/>
          </w:tcPr>
          <w:p w14:paraId="23870B7A" w14:textId="1EA00207"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0ED00750" w14:textId="4538E5D5"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28,2</w:t>
            </w:r>
          </w:p>
        </w:tc>
        <w:tc>
          <w:tcPr>
            <w:tcW w:w="1276" w:type="dxa"/>
            <w:vAlign w:val="center"/>
          </w:tcPr>
          <w:p w14:paraId="5DB5402F" w14:textId="32D5E596"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27,6</w:t>
            </w:r>
          </w:p>
        </w:tc>
      </w:tr>
      <w:tr w:rsidR="0072589F" w:rsidRPr="00976103" w14:paraId="489E824C" w14:textId="77777777" w:rsidTr="006652F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0918D373" w14:textId="77777777" w:rsidR="0072589F" w:rsidRPr="00976103" w:rsidRDefault="0072589F" w:rsidP="0072589F">
            <w:pPr>
              <w:spacing w:after="0"/>
              <w:ind w:firstLine="0"/>
              <w:jc w:val="left"/>
              <w:rPr>
                <w:color w:val="000000"/>
                <w:szCs w:val="24"/>
                <w:lang w:eastAsia="lv-LV"/>
              </w:rPr>
            </w:pPr>
            <w:r w:rsidRPr="00976103">
              <w:rPr>
                <w:color w:val="000000"/>
                <w:szCs w:val="24"/>
                <w:lang w:eastAsia="lv-LV"/>
              </w:rPr>
              <w:t>2. Kopējie izdevumi pie nemainīgas politikas</w:t>
            </w:r>
          </w:p>
        </w:tc>
        <w:tc>
          <w:tcPr>
            <w:tcW w:w="960" w:type="dxa"/>
            <w:vAlign w:val="center"/>
            <w:hideMark/>
          </w:tcPr>
          <w:p w14:paraId="1874A1DF" w14:textId="7B7A8C13"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w:t>
            </w:r>
          </w:p>
        </w:tc>
        <w:tc>
          <w:tcPr>
            <w:tcW w:w="1227" w:type="dxa"/>
            <w:vAlign w:val="center"/>
          </w:tcPr>
          <w:p w14:paraId="4D72993D" w14:textId="52D570BA"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36,2</w:t>
            </w:r>
          </w:p>
        </w:tc>
        <w:tc>
          <w:tcPr>
            <w:tcW w:w="1276" w:type="dxa"/>
            <w:vAlign w:val="center"/>
          </w:tcPr>
          <w:p w14:paraId="406D9FF6" w14:textId="6152631D"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34,6</w:t>
            </w:r>
          </w:p>
        </w:tc>
      </w:tr>
      <w:tr w:rsidR="0072589F" w:rsidRPr="00976103" w14:paraId="09FC3DF8"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03F986F6" w14:textId="77777777" w:rsidR="0072589F" w:rsidRPr="00976103" w:rsidRDefault="0072589F" w:rsidP="0072589F">
            <w:pPr>
              <w:spacing w:after="0"/>
              <w:ind w:firstLine="0"/>
              <w:jc w:val="center"/>
              <w:rPr>
                <w:color w:val="000000"/>
                <w:szCs w:val="24"/>
                <w:lang w:eastAsia="lv-LV"/>
              </w:rPr>
            </w:pPr>
            <w:r w:rsidRPr="00976103">
              <w:rPr>
                <w:color w:val="000000"/>
                <w:szCs w:val="24"/>
                <w:lang w:eastAsia="lv-LV"/>
              </w:rPr>
              <w:t>t.sk.</w:t>
            </w:r>
          </w:p>
        </w:tc>
        <w:tc>
          <w:tcPr>
            <w:tcW w:w="960" w:type="dxa"/>
            <w:vAlign w:val="center"/>
            <w:hideMark/>
          </w:tcPr>
          <w:p w14:paraId="16BB4DAE" w14:textId="275CA453"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2A9FDC89" w14:textId="04A28014"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76" w:type="dxa"/>
            <w:vAlign w:val="center"/>
          </w:tcPr>
          <w:p w14:paraId="51DC42D1" w14:textId="4764E498"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72589F" w:rsidRPr="00976103" w14:paraId="0FC82630"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2CE2181B"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2.1. Atlīdzība nodarbinātajiem</w:t>
            </w:r>
          </w:p>
        </w:tc>
        <w:tc>
          <w:tcPr>
            <w:tcW w:w="960" w:type="dxa"/>
            <w:vAlign w:val="center"/>
            <w:hideMark/>
          </w:tcPr>
          <w:p w14:paraId="78C38272" w14:textId="2818BB87"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227" w:type="dxa"/>
            <w:vAlign w:val="center"/>
          </w:tcPr>
          <w:p w14:paraId="7F7049EB" w14:textId="30B13DAE"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9,6</w:t>
            </w:r>
          </w:p>
        </w:tc>
        <w:tc>
          <w:tcPr>
            <w:tcW w:w="1276" w:type="dxa"/>
            <w:vAlign w:val="center"/>
          </w:tcPr>
          <w:p w14:paraId="11D0BBFA" w14:textId="1A981681"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9,3</w:t>
            </w:r>
          </w:p>
        </w:tc>
      </w:tr>
      <w:tr w:rsidR="0072589F" w:rsidRPr="00976103" w14:paraId="0E8C2446"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0C6DB40A"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2.2. Starppatēriņš</w:t>
            </w:r>
          </w:p>
        </w:tc>
        <w:tc>
          <w:tcPr>
            <w:tcW w:w="960" w:type="dxa"/>
            <w:vAlign w:val="center"/>
            <w:hideMark/>
          </w:tcPr>
          <w:p w14:paraId="67A0AABD" w14:textId="57DEE66F"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227" w:type="dxa"/>
            <w:vAlign w:val="center"/>
          </w:tcPr>
          <w:p w14:paraId="19C2FCF7" w14:textId="57A4019E"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6,4</w:t>
            </w:r>
          </w:p>
        </w:tc>
        <w:tc>
          <w:tcPr>
            <w:tcW w:w="1276" w:type="dxa"/>
            <w:vAlign w:val="center"/>
          </w:tcPr>
          <w:p w14:paraId="686F3D36" w14:textId="49DEF16D"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6,0</w:t>
            </w:r>
          </w:p>
        </w:tc>
      </w:tr>
      <w:tr w:rsidR="0072589F" w:rsidRPr="00976103" w14:paraId="75589C10" w14:textId="77777777" w:rsidTr="006652F3">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31585B3C"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2.3. Sociālie maksājumi</w:t>
            </w:r>
          </w:p>
        </w:tc>
        <w:tc>
          <w:tcPr>
            <w:tcW w:w="960" w:type="dxa"/>
            <w:vAlign w:val="center"/>
            <w:hideMark/>
          </w:tcPr>
          <w:p w14:paraId="25B0E36A" w14:textId="1D3B199A"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D.62  D.632</w:t>
            </w:r>
          </w:p>
        </w:tc>
        <w:tc>
          <w:tcPr>
            <w:tcW w:w="1227" w:type="dxa"/>
            <w:vAlign w:val="center"/>
          </w:tcPr>
          <w:p w14:paraId="0E113273" w14:textId="08E0B313"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11,4</w:t>
            </w:r>
          </w:p>
        </w:tc>
        <w:tc>
          <w:tcPr>
            <w:tcW w:w="1276" w:type="dxa"/>
            <w:vAlign w:val="center"/>
          </w:tcPr>
          <w:p w14:paraId="44C9308E" w14:textId="2F429687"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11,0</w:t>
            </w:r>
          </w:p>
        </w:tc>
      </w:tr>
      <w:tr w:rsidR="0072589F" w:rsidRPr="00976103" w14:paraId="38F5BFA1" w14:textId="77777777" w:rsidTr="006652F3">
        <w:trPr>
          <w:trHeight w:val="2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636801E7" w14:textId="77777777" w:rsidR="0072589F" w:rsidRPr="00976103" w:rsidRDefault="0072589F" w:rsidP="0072589F">
            <w:pPr>
              <w:spacing w:after="0"/>
              <w:ind w:firstLineChars="300" w:firstLine="723"/>
              <w:jc w:val="left"/>
              <w:rPr>
                <w:color w:val="000000"/>
                <w:szCs w:val="24"/>
                <w:lang w:eastAsia="lv-LV"/>
              </w:rPr>
            </w:pPr>
            <w:r w:rsidRPr="00976103">
              <w:rPr>
                <w:color w:val="000000"/>
                <w:szCs w:val="24"/>
                <w:lang w:eastAsia="lv-LV"/>
              </w:rPr>
              <w:t>tai skaitā bezdarbnieku pabalsti</w:t>
            </w:r>
          </w:p>
        </w:tc>
        <w:tc>
          <w:tcPr>
            <w:tcW w:w="960" w:type="dxa"/>
            <w:vAlign w:val="center"/>
            <w:hideMark/>
          </w:tcPr>
          <w:p w14:paraId="281DF0EF" w14:textId="7F51E449"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1FB0B786" w14:textId="28957C7B"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1276" w:type="dxa"/>
            <w:vAlign w:val="center"/>
          </w:tcPr>
          <w:p w14:paraId="597D5A15" w14:textId="09D54072"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r>
      <w:tr w:rsidR="0072589F" w:rsidRPr="00976103" w14:paraId="1234C66B"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46C561D3"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2.4. Procentu izdevumi</w:t>
            </w:r>
          </w:p>
        </w:tc>
        <w:tc>
          <w:tcPr>
            <w:tcW w:w="960" w:type="dxa"/>
            <w:vAlign w:val="center"/>
            <w:hideMark/>
          </w:tcPr>
          <w:p w14:paraId="1D46A96E" w14:textId="03AFBF55"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227" w:type="dxa"/>
            <w:vAlign w:val="center"/>
          </w:tcPr>
          <w:p w14:paraId="3ADEA944" w14:textId="55160D03"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1,2</w:t>
            </w:r>
          </w:p>
        </w:tc>
        <w:tc>
          <w:tcPr>
            <w:tcW w:w="1276" w:type="dxa"/>
            <w:vAlign w:val="center"/>
          </w:tcPr>
          <w:p w14:paraId="0B107A69" w14:textId="49FDFD63"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1,2</w:t>
            </w:r>
          </w:p>
        </w:tc>
      </w:tr>
      <w:tr w:rsidR="0072589F" w:rsidRPr="00976103" w14:paraId="0906B338"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0DACBA29"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2.5. Subsīdijas</w:t>
            </w:r>
          </w:p>
        </w:tc>
        <w:tc>
          <w:tcPr>
            <w:tcW w:w="960" w:type="dxa"/>
            <w:vAlign w:val="center"/>
            <w:hideMark/>
          </w:tcPr>
          <w:p w14:paraId="366E6EB8" w14:textId="084BC845"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227" w:type="dxa"/>
            <w:vAlign w:val="center"/>
          </w:tcPr>
          <w:p w14:paraId="459A48AF" w14:textId="2FEE9BE1"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1276" w:type="dxa"/>
            <w:vAlign w:val="center"/>
          </w:tcPr>
          <w:p w14:paraId="4AE3321F" w14:textId="6FDEC334"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r>
      <w:tr w:rsidR="0072589F" w:rsidRPr="00976103" w14:paraId="544EE272" w14:textId="77777777" w:rsidTr="006652F3">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61162AA8"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2.6. Bruto kopējā pamatkapitāla veidošana</w:t>
            </w:r>
          </w:p>
        </w:tc>
        <w:tc>
          <w:tcPr>
            <w:tcW w:w="960" w:type="dxa"/>
            <w:vAlign w:val="center"/>
            <w:hideMark/>
          </w:tcPr>
          <w:p w14:paraId="2A6F5B87" w14:textId="5E4EAEDE"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227" w:type="dxa"/>
            <w:vAlign w:val="center"/>
          </w:tcPr>
          <w:p w14:paraId="0D17247C" w14:textId="4FF39222"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4,2</w:t>
            </w:r>
          </w:p>
        </w:tc>
        <w:tc>
          <w:tcPr>
            <w:tcW w:w="1276" w:type="dxa"/>
            <w:vAlign w:val="center"/>
          </w:tcPr>
          <w:p w14:paraId="4BDF65BD" w14:textId="4E3A0016"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w:t>
            </w:r>
          </w:p>
        </w:tc>
      </w:tr>
      <w:tr w:rsidR="0072589F" w:rsidRPr="00976103" w14:paraId="7AAF8E17" w14:textId="77777777" w:rsidTr="006652F3">
        <w:trPr>
          <w:trHeight w:val="212"/>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715200A2"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2.7. Kapitālo izdevumu transferti</w:t>
            </w:r>
          </w:p>
        </w:tc>
        <w:tc>
          <w:tcPr>
            <w:tcW w:w="960" w:type="dxa"/>
            <w:vAlign w:val="center"/>
            <w:hideMark/>
          </w:tcPr>
          <w:p w14:paraId="71EF4328" w14:textId="0B977682"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227" w:type="dxa"/>
            <w:vAlign w:val="center"/>
          </w:tcPr>
          <w:p w14:paraId="02F03C90" w14:textId="22222EC0"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276" w:type="dxa"/>
            <w:vAlign w:val="center"/>
          </w:tcPr>
          <w:p w14:paraId="55500A7F" w14:textId="14683EAA"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72589F" w:rsidRPr="00976103" w14:paraId="25804A1A" w14:textId="77777777" w:rsidTr="006652F3">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4850" w:type="dxa"/>
            <w:hideMark/>
          </w:tcPr>
          <w:p w14:paraId="3BEB0509"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2.8. Pārējie izdevumi</w:t>
            </w:r>
          </w:p>
        </w:tc>
        <w:tc>
          <w:tcPr>
            <w:tcW w:w="960" w:type="dxa"/>
            <w:hideMark/>
          </w:tcPr>
          <w:p w14:paraId="422D0DB3" w14:textId="77777777"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7" w:type="dxa"/>
          </w:tcPr>
          <w:p w14:paraId="5573674A" w14:textId="7E38BB19"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2,7</w:t>
            </w:r>
          </w:p>
        </w:tc>
        <w:tc>
          <w:tcPr>
            <w:tcW w:w="1276" w:type="dxa"/>
          </w:tcPr>
          <w:p w14:paraId="474E64DD" w14:textId="616EA8E3" w:rsidR="0072589F" w:rsidRPr="00976103" w:rsidRDefault="0072589F"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3,0</w:t>
            </w:r>
          </w:p>
        </w:tc>
      </w:tr>
    </w:tbl>
    <w:p w14:paraId="45A79CCA" w14:textId="77777777" w:rsidR="00CB5AC9" w:rsidRPr="00976103" w:rsidRDefault="00CB5AC9" w:rsidP="0095691A">
      <w:pPr>
        <w:ind w:firstLine="0"/>
        <w:jc w:val="left"/>
        <w:rPr>
          <w:szCs w:val="24"/>
        </w:rPr>
      </w:pPr>
    </w:p>
    <w:p w14:paraId="4A36C6F3" w14:textId="77777777" w:rsidR="00CD68EC" w:rsidRPr="00976103" w:rsidRDefault="00CB5AC9" w:rsidP="001D5709">
      <w:pPr>
        <w:pStyle w:val="Heading1"/>
        <w:tabs>
          <w:tab w:val="left" w:pos="1276"/>
        </w:tabs>
        <w:spacing w:before="0" w:after="240"/>
        <w:ind w:left="1276" w:hanging="1276"/>
        <w:jc w:val="left"/>
        <w:rPr>
          <w:rFonts w:ascii="Times New Roman" w:hAnsi="Times New Roman"/>
        </w:rPr>
      </w:pPr>
      <w:r w:rsidRPr="00976103">
        <w:rPr>
          <w:b w:val="0"/>
        </w:rPr>
        <w:br w:type="page"/>
      </w:r>
      <w:bookmarkStart w:id="12" w:name="_Toc431197088"/>
      <w:r w:rsidRPr="001D5709">
        <w:rPr>
          <w:rFonts w:ascii="Times New Roman" w:hAnsi="Times New Roman"/>
          <w:color w:val="18185F"/>
          <w:sz w:val="24"/>
        </w:rPr>
        <w:t>Tabula 4.a</w:t>
      </w:r>
      <w:r w:rsidR="00DA2011" w:rsidRPr="001D5709">
        <w:rPr>
          <w:rFonts w:ascii="Times New Roman" w:hAnsi="Times New Roman"/>
          <w:color w:val="18185F"/>
          <w:sz w:val="24"/>
        </w:rPr>
        <w:t>:</w:t>
      </w:r>
      <w:r w:rsidRPr="001D5709">
        <w:rPr>
          <w:rFonts w:ascii="Times New Roman" w:hAnsi="Times New Roman"/>
          <w:color w:val="18185F"/>
          <w:sz w:val="24"/>
        </w:rPr>
        <w:t xml:space="preserve"> Vispārējās valdības izdevumu un ieņēmumu mērķi sadalījumā pa galvenajām komponentēm</w:t>
      </w:r>
      <w:bookmarkEnd w:id="12"/>
    </w:p>
    <w:tbl>
      <w:tblPr>
        <w:tblStyle w:val="GridTable6Colorful-Accent11"/>
        <w:tblW w:w="8700" w:type="dxa"/>
        <w:jc w:val="center"/>
        <w:tblLook w:val="04A0" w:firstRow="1" w:lastRow="0" w:firstColumn="1" w:lastColumn="0" w:noHBand="0" w:noVBand="1"/>
      </w:tblPr>
      <w:tblGrid>
        <w:gridCol w:w="4941"/>
        <w:gridCol w:w="960"/>
        <w:gridCol w:w="1427"/>
        <w:gridCol w:w="1372"/>
      </w:tblGrid>
      <w:tr w:rsidR="00CB5AC9" w:rsidRPr="00976103" w14:paraId="4A4D0F1B" w14:textId="77777777" w:rsidTr="00B07724">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327B42C0"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960" w:type="dxa"/>
            <w:hideMark/>
          </w:tcPr>
          <w:p w14:paraId="3DBC9DDC" w14:textId="77777777" w:rsidR="00CB5AC9" w:rsidRPr="00AA5420" w:rsidRDefault="00AA5420" w:rsidP="00C6272E">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AA5420">
              <w:rPr>
                <w:color w:val="000000"/>
                <w:szCs w:val="24"/>
                <w:lang w:eastAsia="lv-LV"/>
              </w:rPr>
              <w:t>EKS</w:t>
            </w:r>
            <w:r w:rsidR="00CB5AC9" w:rsidRPr="00AA5420">
              <w:rPr>
                <w:color w:val="000000"/>
                <w:szCs w:val="24"/>
                <w:lang w:eastAsia="lv-LV"/>
              </w:rPr>
              <w:t xml:space="preserve"> </w:t>
            </w:r>
            <w:r w:rsidR="00C6272E" w:rsidRPr="00AA5420">
              <w:rPr>
                <w:color w:val="000000"/>
                <w:szCs w:val="24"/>
                <w:lang w:eastAsia="lv-LV"/>
              </w:rPr>
              <w:t>Kods</w:t>
            </w:r>
            <w:r w:rsidR="00CB5AC9" w:rsidRPr="00AA5420">
              <w:rPr>
                <w:color w:val="000000"/>
                <w:szCs w:val="24"/>
                <w:lang w:eastAsia="lv-LV"/>
              </w:rPr>
              <w:t xml:space="preserve"> </w:t>
            </w:r>
          </w:p>
        </w:tc>
        <w:tc>
          <w:tcPr>
            <w:tcW w:w="1427" w:type="dxa"/>
            <w:vAlign w:val="center"/>
            <w:hideMark/>
          </w:tcPr>
          <w:p w14:paraId="0800E029" w14:textId="7E1360EE" w:rsidR="00CB5AC9" w:rsidRPr="00AA5420" w:rsidRDefault="0072589F" w:rsidP="00B0772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2015</w:t>
            </w:r>
          </w:p>
        </w:tc>
        <w:tc>
          <w:tcPr>
            <w:tcW w:w="1372" w:type="dxa"/>
            <w:vAlign w:val="center"/>
            <w:hideMark/>
          </w:tcPr>
          <w:p w14:paraId="24A43334" w14:textId="1F8574C0" w:rsidR="00CB5AC9" w:rsidRPr="00AA5420" w:rsidRDefault="0072589F" w:rsidP="00B0772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r>
      <w:tr w:rsidR="00C6272E" w:rsidRPr="00976103" w14:paraId="4ECBE069" w14:textId="77777777" w:rsidTr="002877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09496803" w14:textId="77777777" w:rsidR="00C6272E" w:rsidRPr="00976103" w:rsidRDefault="00C6272E" w:rsidP="00CB5AC9">
            <w:pPr>
              <w:spacing w:after="0"/>
              <w:ind w:firstLine="0"/>
              <w:jc w:val="center"/>
              <w:rPr>
                <w:color w:val="000000"/>
                <w:szCs w:val="24"/>
                <w:lang w:eastAsia="lv-LV"/>
              </w:rPr>
            </w:pPr>
            <w:r w:rsidRPr="00976103">
              <w:rPr>
                <w:color w:val="000000"/>
                <w:szCs w:val="24"/>
                <w:lang w:eastAsia="lv-LV"/>
              </w:rPr>
              <w:t> </w:t>
            </w:r>
          </w:p>
        </w:tc>
        <w:tc>
          <w:tcPr>
            <w:tcW w:w="960" w:type="dxa"/>
            <w:hideMark/>
          </w:tcPr>
          <w:p w14:paraId="6027EF77" w14:textId="77777777" w:rsidR="00C6272E" w:rsidRPr="00976103" w:rsidRDefault="00C6272E"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799" w:type="dxa"/>
            <w:gridSpan w:val="2"/>
            <w:vAlign w:val="center"/>
            <w:hideMark/>
          </w:tcPr>
          <w:p w14:paraId="771A80CB" w14:textId="77777777" w:rsidR="00C6272E" w:rsidRPr="00976103" w:rsidRDefault="00C6272E" w:rsidP="0028776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070BC1" w:rsidRPr="00976103" w14:paraId="1CB270C0"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7E6CEEF0" w14:textId="77777777" w:rsidR="00070BC1" w:rsidRPr="00976103" w:rsidRDefault="00070BC1" w:rsidP="00070BC1">
            <w:pPr>
              <w:spacing w:after="0"/>
              <w:ind w:firstLine="0"/>
              <w:jc w:val="left"/>
              <w:rPr>
                <w:color w:val="000000"/>
                <w:szCs w:val="24"/>
                <w:lang w:eastAsia="lv-LV"/>
              </w:rPr>
            </w:pPr>
            <w:r w:rsidRPr="00976103">
              <w:rPr>
                <w:color w:val="000000"/>
                <w:szCs w:val="24"/>
                <w:lang w:eastAsia="lv-LV"/>
              </w:rPr>
              <w:t>1. Ieņēmumu plāna kopsumma</w:t>
            </w:r>
          </w:p>
        </w:tc>
        <w:tc>
          <w:tcPr>
            <w:tcW w:w="960" w:type="dxa"/>
            <w:vAlign w:val="center"/>
            <w:hideMark/>
          </w:tcPr>
          <w:p w14:paraId="34176260" w14:textId="4CAA165E"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427" w:type="dxa"/>
            <w:vAlign w:val="center"/>
          </w:tcPr>
          <w:p w14:paraId="0025DA04" w14:textId="5DDCA458"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34,8</w:t>
            </w:r>
          </w:p>
        </w:tc>
        <w:tc>
          <w:tcPr>
            <w:tcW w:w="1372" w:type="dxa"/>
            <w:vAlign w:val="center"/>
          </w:tcPr>
          <w:p w14:paraId="47297676" w14:textId="74999F74"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34,3</w:t>
            </w:r>
          </w:p>
        </w:tc>
      </w:tr>
      <w:tr w:rsidR="00070BC1" w:rsidRPr="00976103" w14:paraId="142642A0"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049C3C7C" w14:textId="77777777" w:rsidR="00070BC1" w:rsidRPr="00976103" w:rsidRDefault="00070BC1" w:rsidP="00070BC1">
            <w:pPr>
              <w:spacing w:after="0"/>
              <w:ind w:firstLine="0"/>
              <w:jc w:val="center"/>
              <w:rPr>
                <w:color w:val="000000"/>
                <w:szCs w:val="24"/>
                <w:lang w:eastAsia="lv-LV"/>
              </w:rPr>
            </w:pPr>
            <w:r w:rsidRPr="00976103">
              <w:rPr>
                <w:color w:val="000000"/>
                <w:szCs w:val="24"/>
                <w:lang w:eastAsia="lv-LV"/>
              </w:rPr>
              <w:t>t.sk.</w:t>
            </w:r>
          </w:p>
        </w:tc>
        <w:tc>
          <w:tcPr>
            <w:tcW w:w="960" w:type="dxa"/>
            <w:vAlign w:val="center"/>
            <w:hideMark/>
          </w:tcPr>
          <w:p w14:paraId="78C92681" w14:textId="3428F661"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27" w:type="dxa"/>
            <w:vAlign w:val="center"/>
          </w:tcPr>
          <w:p w14:paraId="57D70B50" w14:textId="37B8D7DA" w:rsidR="00070BC1" w:rsidRPr="00070BC1" w:rsidRDefault="00070BC1"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372" w:type="dxa"/>
            <w:vAlign w:val="center"/>
          </w:tcPr>
          <w:p w14:paraId="6FD9DDFE" w14:textId="40E8A2C3" w:rsidR="00070BC1" w:rsidRPr="00070BC1" w:rsidRDefault="00070BC1"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070BC1" w:rsidRPr="00976103" w14:paraId="44EA5B39"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1AD6B697"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1.1. Ražošanas un importa nodokļi</w:t>
            </w:r>
          </w:p>
        </w:tc>
        <w:tc>
          <w:tcPr>
            <w:tcW w:w="960" w:type="dxa"/>
            <w:vAlign w:val="center"/>
            <w:hideMark/>
          </w:tcPr>
          <w:p w14:paraId="3A2776C1" w14:textId="2280C61A"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427" w:type="dxa"/>
            <w:vAlign w:val="center"/>
          </w:tcPr>
          <w:p w14:paraId="170390EC" w14:textId="44871D07"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12,4</w:t>
            </w:r>
          </w:p>
        </w:tc>
        <w:tc>
          <w:tcPr>
            <w:tcW w:w="1372" w:type="dxa"/>
            <w:vAlign w:val="center"/>
          </w:tcPr>
          <w:p w14:paraId="7EDB7A28" w14:textId="0E716100"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12,6</w:t>
            </w:r>
          </w:p>
        </w:tc>
      </w:tr>
      <w:tr w:rsidR="00070BC1" w:rsidRPr="00976103" w14:paraId="5475051A"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6DBA7BF0"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1.2. Ienākuma un mantas kārtējie nodokļi</w:t>
            </w:r>
          </w:p>
        </w:tc>
        <w:tc>
          <w:tcPr>
            <w:tcW w:w="960" w:type="dxa"/>
            <w:vAlign w:val="center"/>
            <w:hideMark/>
          </w:tcPr>
          <w:p w14:paraId="2631850C" w14:textId="413C8546"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427" w:type="dxa"/>
            <w:vAlign w:val="center"/>
          </w:tcPr>
          <w:p w14:paraId="54C9F5B3" w14:textId="2EA2ED1B"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7,6</w:t>
            </w:r>
          </w:p>
        </w:tc>
        <w:tc>
          <w:tcPr>
            <w:tcW w:w="1372" w:type="dxa"/>
            <w:vAlign w:val="center"/>
          </w:tcPr>
          <w:p w14:paraId="62E3B3C9" w14:textId="3B6EEFD0"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7,9</w:t>
            </w:r>
          </w:p>
        </w:tc>
      </w:tr>
      <w:tr w:rsidR="00070BC1" w:rsidRPr="00976103" w14:paraId="0910AF35"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2851A38B"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1.3. Kapitāla nodokļi</w:t>
            </w:r>
          </w:p>
        </w:tc>
        <w:tc>
          <w:tcPr>
            <w:tcW w:w="960" w:type="dxa"/>
            <w:vAlign w:val="center"/>
            <w:hideMark/>
          </w:tcPr>
          <w:p w14:paraId="5EFBD0F4" w14:textId="49D1A040"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427" w:type="dxa"/>
            <w:vAlign w:val="center"/>
          </w:tcPr>
          <w:p w14:paraId="7D8C0916" w14:textId="29F2D196"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372" w:type="dxa"/>
            <w:vAlign w:val="center"/>
          </w:tcPr>
          <w:p w14:paraId="00459924" w14:textId="635F24DB"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070BC1" w:rsidRPr="00976103" w14:paraId="3E06EA1B"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601E2F6A"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1.4. Sociālās iemaksas</w:t>
            </w:r>
          </w:p>
        </w:tc>
        <w:tc>
          <w:tcPr>
            <w:tcW w:w="960" w:type="dxa"/>
            <w:vAlign w:val="center"/>
            <w:hideMark/>
          </w:tcPr>
          <w:p w14:paraId="010DCF57" w14:textId="09FD9E94"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427" w:type="dxa"/>
            <w:vAlign w:val="center"/>
          </w:tcPr>
          <w:p w14:paraId="09D7FEFF" w14:textId="5415DCB2"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8,3</w:t>
            </w:r>
          </w:p>
        </w:tc>
        <w:tc>
          <w:tcPr>
            <w:tcW w:w="1372" w:type="dxa"/>
            <w:vAlign w:val="center"/>
          </w:tcPr>
          <w:p w14:paraId="3E5E2D91" w14:textId="65C06B28"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8,2</w:t>
            </w:r>
          </w:p>
        </w:tc>
      </w:tr>
      <w:tr w:rsidR="00070BC1" w:rsidRPr="00976103" w14:paraId="726D7847"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2A4FE879"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1.5. Īpašuma ienākumi</w:t>
            </w:r>
          </w:p>
        </w:tc>
        <w:tc>
          <w:tcPr>
            <w:tcW w:w="960" w:type="dxa"/>
            <w:vAlign w:val="center"/>
            <w:hideMark/>
          </w:tcPr>
          <w:p w14:paraId="56963B8E" w14:textId="61B959BF"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427" w:type="dxa"/>
            <w:vAlign w:val="center"/>
          </w:tcPr>
          <w:p w14:paraId="5C778901" w14:textId="21DBDD36"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c>
          <w:tcPr>
            <w:tcW w:w="1372" w:type="dxa"/>
            <w:vAlign w:val="center"/>
          </w:tcPr>
          <w:p w14:paraId="70CFE412" w14:textId="0AC227E1"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r>
      <w:tr w:rsidR="00070BC1" w:rsidRPr="00976103" w14:paraId="789532F0" w14:textId="77777777" w:rsidTr="006652F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6CAC31CD"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1.6. Pārējie ieņēmumi</w:t>
            </w:r>
          </w:p>
        </w:tc>
        <w:tc>
          <w:tcPr>
            <w:tcW w:w="960" w:type="dxa"/>
            <w:vAlign w:val="center"/>
            <w:hideMark/>
          </w:tcPr>
          <w:p w14:paraId="24FF88F9" w14:textId="1EB4E741"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27" w:type="dxa"/>
            <w:vAlign w:val="center"/>
          </w:tcPr>
          <w:p w14:paraId="7A3689E7" w14:textId="55808C3F"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5,8</w:t>
            </w:r>
          </w:p>
        </w:tc>
        <w:tc>
          <w:tcPr>
            <w:tcW w:w="1372" w:type="dxa"/>
            <w:vAlign w:val="center"/>
          </w:tcPr>
          <w:p w14:paraId="19554DC5" w14:textId="3F913EDA"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4,8</w:t>
            </w:r>
          </w:p>
        </w:tc>
      </w:tr>
      <w:tr w:rsidR="00070BC1" w:rsidRPr="00976103" w14:paraId="4A192079" w14:textId="77777777" w:rsidTr="006652F3">
        <w:trPr>
          <w:trHeight w:val="335"/>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0ED0201F"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Nodokļu slogs (D.2+D.5+D.61+D.91-D.995)</w:t>
            </w:r>
          </w:p>
        </w:tc>
        <w:tc>
          <w:tcPr>
            <w:tcW w:w="960" w:type="dxa"/>
            <w:vAlign w:val="center"/>
            <w:hideMark/>
          </w:tcPr>
          <w:p w14:paraId="616CED59" w14:textId="1D186D8D"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2ADA4FFE" w14:textId="42251599"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28,2</w:t>
            </w:r>
          </w:p>
        </w:tc>
        <w:tc>
          <w:tcPr>
            <w:tcW w:w="1372" w:type="dxa"/>
            <w:vAlign w:val="center"/>
          </w:tcPr>
          <w:p w14:paraId="143B82E4" w14:textId="23BA77B5"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28,6</w:t>
            </w:r>
          </w:p>
        </w:tc>
      </w:tr>
      <w:tr w:rsidR="00070BC1" w:rsidRPr="00976103" w14:paraId="0AFF3A05"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40FF8BE9" w14:textId="77777777" w:rsidR="00070BC1" w:rsidRPr="00976103" w:rsidRDefault="00070BC1" w:rsidP="00070BC1">
            <w:pPr>
              <w:spacing w:after="0"/>
              <w:ind w:firstLine="0"/>
              <w:jc w:val="left"/>
              <w:rPr>
                <w:color w:val="000000"/>
                <w:szCs w:val="24"/>
                <w:lang w:eastAsia="lv-LV"/>
              </w:rPr>
            </w:pPr>
            <w:r w:rsidRPr="00976103">
              <w:rPr>
                <w:color w:val="000000"/>
                <w:szCs w:val="24"/>
                <w:lang w:eastAsia="lv-LV"/>
              </w:rPr>
              <w:t>2. Izdevumu plāna kopsumma</w:t>
            </w:r>
          </w:p>
        </w:tc>
        <w:tc>
          <w:tcPr>
            <w:tcW w:w="960" w:type="dxa"/>
            <w:vAlign w:val="center"/>
            <w:hideMark/>
          </w:tcPr>
          <w:p w14:paraId="26A74E33" w14:textId="4D2F71E5"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TE3</w:t>
            </w:r>
          </w:p>
        </w:tc>
        <w:tc>
          <w:tcPr>
            <w:tcW w:w="1427" w:type="dxa"/>
            <w:vAlign w:val="center"/>
          </w:tcPr>
          <w:p w14:paraId="7B6FCB39" w14:textId="438F2E86"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36,2</w:t>
            </w:r>
          </w:p>
        </w:tc>
        <w:tc>
          <w:tcPr>
            <w:tcW w:w="1372" w:type="dxa"/>
            <w:vAlign w:val="center"/>
          </w:tcPr>
          <w:p w14:paraId="0AD43B9A" w14:textId="66F8A75D"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35,3</w:t>
            </w:r>
          </w:p>
        </w:tc>
      </w:tr>
      <w:tr w:rsidR="00070BC1" w:rsidRPr="00976103" w14:paraId="62739C63"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7C6198B2" w14:textId="77777777" w:rsidR="00070BC1" w:rsidRPr="00976103" w:rsidRDefault="00070BC1" w:rsidP="00070BC1">
            <w:pPr>
              <w:spacing w:after="0"/>
              <w:ind w:firstLine="0"/>
              <w:jc w:val="center"/>
              <w:rPr>
                <w:color w:val="000000"/>
                <w:szCs w:val="24"/>
                <w:lang w:eastAsia="lv-LV"/>
              </w:rPr>
            </w:pPr>
            <w:r w:rsidRPr="00976103">
              <w:rPr>
                <w:color w:val="000000"/>
                <w:szCs w:val="24"/>
                <w:lang w:eastAsia="lv-LV"/>
              </w:rPr>
              <w:t>t.sk.</w:t>
            </w:r>
          </w:p>
        </w:tc>
        <w:tc>
          <w:tcPr>
            <w:tcW w:w="960" w:type="dxa"/>
            <w:vAlign w:val="center"/>
            <w:hideMark/>
          </w:tcPr>
          <w:p w14:paraId="472BDE6C" w14:textId="30313675"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7900B584" w14:textId="193B8150" w:rsidR="00070BC1" w:rsidRPr="00070BC1" w:rsidRDefault="00070BC1"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372" w:type="dxa"/>
            <w:vAlign w:val="center"/>
          </w:tcPr>
          <w:p w14:paraId="2B407274" w14:textId="64C29E30" w:rsidR="00070BC1" w:rsidRPr="00070BC1" w:rsidRDefault="00070BC1"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070BC1" w:rsidRPr="00976103" w14:paraId="48C97E5A"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0843706A"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2.1. Atlīdzība nodarbinātajiem</w:t>
            </w:r>
          </w:p>
        </w:tc>
        <w:tc>
          <w:tcPr>
            <w:tcW w:w="960" w:type="dxa"/>
            <w:vAlign w:val="center"/>
            <w:hideMark/>
          </w:tcPr>
          <w:p w14:paraId="1E3C3BF2" w14:textId="6B02FF4B"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427" w:type="dxa"/>
            <w:vAlign w:val="center"/>
          </w:tcPr>
          <w:p w14:paraId="07D4778D" w14:textId="6C398F12"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9,6</w:t>
            </w:r>
          </w:p>
        </w:tc>
        <w:tc>
          <w:tcPr>
            <w:tcW w:w="1372" w:type="dxa"/>
            <w:vAlign w:val="center"/>
          </w:tcPr>
          <w:p w14:paraId="7CFB1E62" w14:textId="7732A224"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9,6</w:t>
            </w:r>
          </w:p>
        </w:tc>
      </w:tr>
      <w:tr w:rsidR="00070BC1" w:rsidRPr="00976103" w14:paraId="4EC9A185"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75011A22"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2.2. Starppatēriņš</w:t>
            </w:r>
          </w:p>
        </w:tc>
        <w:tc>
          <w:tcPr>
            <w:tcW w:w="960" w:type="dxa"/>
            <w:vAlign w:val="center"/>
            <w:hideMark/>
          </w:tcPr>
          <w:p w14:paraId="46548994" w14:textId="6D08C373"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427" w:type="dxa"/>
            <w:vAlign w:val="center"/>
          </w:tcPr>
          <w:p w14:paraId="342EDD17" w14:textId="6C8341FA"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6,4</w:t>
            </w:r>
          </w:p>
        </w:tc>
        <w:tc>
          <w:tcPr>
            <w:tcW w:w="1372" w:type="dxa"/>
            <w:vAlign w:val="center"/>
          </w:tcPr>
          <w:p w14:paraId="04E48B88" w14:textId="0286FA40"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6,2</w:t>
            </w:r>
          </w:p>
        </w:tc>
      </w:tr>
      <w:tr w:rsidR="00070BC1" w:rsidRPr="00976103" w14:paraId="34E36634" w14:textId="77777777" w:rsidTr="006652F3">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28463F3D"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2.3. Sociālie maksājumi</w:t>
            </w:r>
          </w:p>
        </w:tc>
        <w:tc>
          <w:tcPr>
            <w:tcW w:w="960" w:type="dxa"/>
            <w:vAlign w:val="center"/>
            <w:hideMark/>
          </w:tcPr>
          <w:p w14:paraId="29F4CB6C" w14:textId="043EFF81"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D.62 D.632</w:t>
            </w:r>
          </w:p>
        </w:tc>
        <w:tc>
          <w:tcPr>
            <w:tcW w:w="1427" w:type="dxa"/>
            <w:vAlign w:val="center"/>
          </w:tcPr>
          <w:p w14:paraId="2F2CB3EB" w14:textId="0F3B286B"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11,4</w:t>
            </w:r>
          </w:p>
        </w:tc>
        <w:tc>
          <w:tcPr>
            <w:tcW w:w="1372" w:type="dxa"/>
            <w:vAlign w:val="center"/>
          </w:tcPr>
          <w:p w14:paraId="60FF155C" w14:textId="6B8A4911"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11,0</w:t>
            </w:r>
          </w:p>
        </w:tc>
      </w:tr>
      <w:tr w:rsidR="00070BC1" w:rsidRPr="00976103" w14:paraId="3F61BFA6" w14:textId="77777777" w:rsidTr="006652F3">
        <w:trPr>
          <w:trHeight w:val="36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12D4B56E" w14:textId="77777777" w:rsidR="00070BC1" w:rsidRPr="00976103" w:rsidRDefault="00070BC1" w:rsidP="00070BC1">
            <w:pPr>
              <w:spacing w:after="0"/>
              <w:ind w:firstLineChars="300" w:firstLine="723"/>
              <w:jc w:val="left"/>
              <w:rPr>
                <w:color w:val="000000"/>
                <w:szCs w:val="24"/>
                <w:lang w:eastAsia="lv-LV"/>
              </w:rPr>
            </w:pPr>
            <w:r w:rsidRPr="00976103">
              <w:rPr>
                <w:color w:val="000000"/>
                <w:szCs w:val="24"/>
                <w:lang w:eastAsia="lv-LV"/>
              </w:rPr>
              <w:t>tai skaitā bezdarbnieku pabalsti</w:t>
            </w:r>
          </w:p>
        </w:tc>
        <w:tc>
          <w:tcPr>
            <w:tcW w:w="960" w:type="dxa"/>
            <w:vAlign w:val="center"/>
            <w:hideMark/>
          </w:tcPr>
          <w:p w14:paraId="0540FCF4" w14:textId="7FDC9A8D"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2934D4C3" w14:textId="33220ADC"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1372" w:type="dxa"/>
            <w:vAlign w:val="center"/>
          </w:tcPr>
          <w:p w14:paraId="6AD3188D" w14:textId="3C077329"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r>
      <w:tr w:rsidR="00070BC1" w:rsidRPr="00976103" w14:paraId="18EB5179"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240228D6"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2.4. Procentu izdevumi</w:t>
            </w:r>
          </w:p>
        </w:tc>
        <w:tc>
          <w:tcPr>
            <w:tcW w:w="960" w:type="dxa"/>
            <w:vAlign w:val="center"/>
            <w:hideMark/>
          </w:tcPr>
          <w:p w14:paraId="01E551F1" w14:textId="4D22173F"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427" w:type="dxa"/>
            <w:vAlign w:val="center"/>
          </w:tcPr>
          <w:p w14:paraId="558546DE" w14:textId="04D9D28D"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1,2</w:t>
            </w:r>
          </w:p>
        </w:tc>
        <w:tc>
          <w:tcPr>
            <w:tcW w:w="1372" w:type="dxa"/>
            <w:vAlign w:val="center"/>
          </w:tcPr>
          <w:p w14:paraId="74FC94F4" w14:textId="336F18DB"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1,2</w:t>
            </w:r>
          </w:p>
        </w:tc>
      </w:tr>
      <w:tr w:rsidR="00070BC1" w:rsidRPr="00976103" w14:paraId="17A00CED"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16A15A1D"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2.5. Subsīdijas</w:t>
            </w:r>
          </w:p>
        </w:tc>
        <w:tc>
          <w:tcPr>
            <w:tcW w:w="960" w:type="dxa"/>
            <w:vAlign w:val="center"/>
            <w:hideMark/>
          </w:tcPr>
          <w:p w14:paraId="470AC521" w14:textId="2FE2A7D3"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427" w:type="dxa"/>
            <w:vAlign w:val="center"/>
          </w:tcPr>
          <w:p w14:paraId="03395E7B" w14:textId="481954C9"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1372" w:type="dxa"/>
            <w:vAlign w:val="center"/>
          </w:tcPr>
          <w:p w14:paraId="4AEA3FD8" w14:textId="0ED68AF3"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r>
      <w:tr w:rsidR="00070BC1" w:rsidRPr="00976103" w14:paraId="15855964"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721CA734"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2.6. Bruto kopējā pamatkapitāla veidošana</w:t>
            </w:r>
          </w:p>
        </w:tc>
        <w:tc>
          <w:tcPr>
            <w:tcW w:w="960" w:type="dxa"/>
            <w:vAlign w:val="center"/>
            <w:hideMark/>
          </w:tcPr>
          <w:p w14:paraId="50475E31" w14:textId="254D1E9F"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427" w:type="dxa"/>
            <w:vAlign w:val="center"/>
          </w:tcPr>
          <w:p w14:paraId="5CF551A5" w14:textId="579D3D48"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4,2</w:t>
            </w:r>
          </w:p>
        </w:tc>
        <w:tc>
          <w:tcPr>
            <w:tcW w:w="1372" w:type="dxa"/>
            <w:vAlign w:val="center"/>
          </w:tcPr>
          <w:p w14:paraId="4A4A0A99" w14:textId="4644C50E"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3,6</w:t>
            </w:r>
          </w:p>
        </w:tc>
      </w:tr>
      <w:tr w:rsidR="00070BC1" w:rsidRPr="00976103" w14:paraId="5135F003"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37C30195"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2.7. Kapitālo izdevumu transferti</w:t>
            </w:r>
          </w:p>
        </w:tc>
        <w:tc>
          <w:tcPr>
            <w:tcW w:w="960" w:type="dxa"/>
            <w:vAlign w:val="center"/>
            <w:hideMark/>
          </w:tcPr>
          <w:p w14:paraId="4F208A11" w14:textId="1A9C92DB"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427" w:type="dxa"/>
            <w:vAlign w:val="center"/>
          </w:tcPr>
          <w:p w14:paraId="2E5D9F52" w14:textId="57487204"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372" w:type="dxa"/>
            <w:vAlign w:val="center"/>
          </w:tcPr>
          <w:p w14:paraId="58B5CAE7" w14:textId="114AEBAE" w:rsidR="00070BC1" w:rsidRPr="00070BC1" w:rsidRDefault="0072589F"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070BC1" w:rsidRPr="00976103" w14:paraId="5AA0A4D1" w14:textId="77777777"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941" w:type="dxa"/>
            <w:hideMark/>
          </w:tcPr>
          <w:p w14:paraId="1D4572BE"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2.8. Pārējie izdevumi</w:t>
            </w:r>
          </w:p>
        </w:tc>
        <w:tc>
          <w:tcPr>
            <w:tcW w:w="960" w:type="dxa"/>
            <w:hideMark/>
          </w:tcPr>
          <w:p w14:paraId="0C4F99B9" w14:textId="77777777"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427" w:type="dxa"/>
            <w:vAlign w:val="center"/>
          </w:tcPr>
          <w:p w14:paraId="64C9189C" w14:textId="02403F17"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2,7</w:t>
            </w:r>
          </w:p>
        </w:tc>
        <w:tc>
          <w:tcPr>
            <w:tcW w:w="1372" w:type="dxa"/>
            <w:vAlign w:val="center"/>
          </w:tcPr>
          <w:p w14:paraId="11C200AD" w14:textId="75C116C4" w:rsidR="00070BC1" w:rsidRPr="00070BC1" w:rsidRDefault="0072589F"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3,0</w:t>
            </w:r>
          </w:p>
        </w:tc>
      </w:tr>
    </w:tbl>
    <w:p w14:paraId="5FDFDA10" w14:textId="77777777" w:rsidR="00C6272E" w:rsidRPr="00976103" w:rsidRDefault="00C6272E" w:rsidP="0095691A">
      <w:pPr>
        <w:ind w:firstLine="0"/>
        <w:jc w:val="left"/>
        <w:rPr>
          <w:szCs w:val="24"/>
        </w:rPr>
      </w:pPr>
    </w:p>
    <w:p w14:paraId="29BD867C" w14:textId="3F21802A" w:rsidR="00CD68EC" w:rsidRPr="00976103" w:rsidRDefault="00C6272E" w:rsidP="00070BC1">
      <w:pPr>
        <w:pStyle w:val="Heading1"/>
        <w:tabs>
          <w:tab w:val="left" w:pos="1276"/>
        </w:tabs>
        <w:spacing w:before="0" w:after="240"/>
        <w:ind w:left="1276" w:hanging="1276"/>
        <w:jc w:val="left"/>
        <w:rPr>
          <w:rFonts w:ascii="Times New Roman" w:hAnsi="Times New Roman"/>
        </w:rPr>
      </w:pPr>
      <w:r w:rsidRPr="00976103">
        <w:rPr>
          <w:b w:val="0"/>
        </w:rPr>
        <w:br w:type="page"/>
      </w:r>
    </w:p>
    <w:p w14:paraId="2D223F90" w14:textId="77777777" w:rsidR="00F322FE" w:rsidRDefault="00F322FE" w:rsidP="0095691A">
      <w:pPr>
        <w:ind w:firstLine="0"/>
        <w:jc w:val="left"/>
        <w:rPr>
          <w:szCs w:val="24"/>
        </w:rPr>
      </w:pPr>
    </w:p>
    <w:p w14:paraId="15ED3E03" w14:textId="77777777" w:rsidR="00F322FE" w:rsidRPr="001D5709" w:rsidRDefault="00F322FE" w:rsidP="00375924">
      <w:pPr>
        <w:pStyle w:val="Heading1"/>
        <w:tabs>
          <w:tab w:val="left" w:pos="1276"/>
        </w:tabs>
        <w:spacing w:before="0" w:after="240"/>
        <w:ind w:left="1276" w:hanging="1276"/>
        <w:jc w:val="left"/>
        <w:rPr>
          <w:rFonts w:ascii="Times New Roman" w:hAnsi="Times New Roman"/>
          <w:color w:val="18185F"/>
          <w:sz w:val="24"/>
        </w:rPr>
      </w:pPr>
      <w:bookmarkStart w:id="13" w:name="_Toc431197089"/>
      <w:r w:rsidRPr="001D5709">
        <w:rPr>
          <w:rFonts w:ascii="Times New Roman" w:hAnsi="Times New Roman"/>
          <w:color w:val="18185F"/>
          <w:sz w:val="24"/>
        </w:rPr>
        <w:t>Tabula 4.b: Izdevumi, kas tiek izslēgti no izdevumu kritērija</w:t>
      </w:r>
      <w:bookmarkEnd w:id="13"/>
    </w:p>
    <w:tbl>
      <w:tblPr>
        <w:tblStyle w:val="GridTable3-Accent11"/>
        <w:tblW w:w="9036" w:type="dxa"/>
        <w:jc w:val="center"/>
        <w:tblLayout w:type="fixed"/>
        <w:tblLook w:val="0000" w:firstRow="0" w:lastRow="0" w:firstColumn="0" w:lastColumn="0" w:noHBand="0" w:noVBand="0"/>
      </w:tblPr>
      <w:tblGrid>
        <w:gridCol w:w="4179"/>
        <w:gridCol w:w="1207"/>
        <w:gridCol w:w="1275"/>
        <w:gridCol w:w="816"/>
        <w:gridCol w:w="850"/>
        <w:gridCol w:w="709"/>
      </w:tblGrid>
      <w:tr w:rsidR="00F322FE" w:rsidRPr="00F322FE" w14:paraId="45EE5980" w14:textId="77777777" w:rsidTr="004D377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79" w:type="dxa"/>
            <w:shd w:val="clear" w:color="auto" w:fill="FFFFFF" w:themeFill="background1"/>
          </w:tcPr>
          <w:p w14:paraId="4970A7E2" w14:textId="77777777" w:rsidR="00F322FE" w:rsidRPr="00003E2F" w:rsidRDefault="00F322FE" w:rsidP="00003E2F">
            <w:pPr>
              <w:spacing w:after="0"/>
              <w:ind w:firstLine="0"/>
              <w:jc w:val="left"/>
              <w:rPr>
                <w:szCs w:val="24"/>
                <w:lang w:eastAsia="lv-LV"/>
              </w:rPr>
            </w:pPr>
          </w:p>
        </w:tc>
        <w:tc>
          <w:tcPr>
            <w:tcW w:w="1207" w:type="dxa"/>
            <w:shd w:val="clear" w:color="auto" w:fill="FFFFFF" w:themeFill="background1"/>
            <w:vAlign w:val="center"/>
          </w:tcPr>
          <w:p w14:paraId="01E5606F" w14:textId="77777777" w:rsidR="00F322FE" w:rsidRPr="00F322FE" w:rsidRDefault="00F322FE"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EKS Kods</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vAlign w:val="center"/>
          </w:tcPr>
          <w:p w14:paraId="57B13D84" w14:textId="29286A2C" w:rsidR="00F322FE" w:rsidRPr="00F322FE" w:rsidRDefault="002F0C44" w:rsidP="00287764">
            <w:pPr>
              <w:pStyle w:val="tabteksts"/>
              <w:jc w:val="center"/>
              <w:rPr>
                <w:b/>
                <w:sz w:val="24"/>
              </w:rPr>
            </w:pPr>
            <w:r>
              <w:rPr>
                <w:b/>
                <w:sz w:val="24"/>
              </w:rPr>
              <w:t>2014</w:t>
            </w:r>
          </w:p>
        </w:tc>
        <w:tc>
          <w:tcPr>
            <w:tcW w:w="816" w:type="dxa"/>
            <w:shd w:val="clear" w:color="auto" w:fill="FFFFFF" w:themeFill="background1"/>
            <w:vAlign w:val="center"/>
          </w:tcPr>
          <w:p w14:paraId="4591DDD4" w14:textId="0F33CC05" w:rsidR="00F322FE" w:rsidRPr="00F322FE" w:rsidRDefault="002F0C44"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2014</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07F7D593" w14:textId="5056B647" w:rsidR="00F322FE" w:rsidRPr="00F322FE" w:rsidRDefault="002F0C44" w:rsidP="00287764">
            <w:pPr>
              <w:pStyle w:val="tabteksts"/>
              <w:jc w:val="center"/>
              <w:rPr>
                <w:b/>
                <w:sz w:val="24"/>
              </w:rPr>
            </w:pPr>
            <w:r>
              <w:rPr>
                <w:b/>
                <w:sz w:val="24"/>
              </w:rPr>
              <w:t>2015</w:t>
            </w:r>
          </w:p>
        </w:tc>
        <w:tc>
          <w:tcPr>
            <w:tcW w:w="709" w:type="dxa"/>
            <w:shd w:val="clear" w:color="auto" w:fill="FFFFFF" w:themeFill="background1"/>
            <w:vAlign w:val="center"/>
          </w:tcPr>
          <w:p w14:paraId="49C92DC9" w14:textId="5385D250" w:rsidR="00F322FE" w:rsidRPr="00F322FE" w:rsidRDefault="00F322FE" w:rsidP="002F0C4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sidRPr="00F322FE">
              <w:rPr>
                <w:b/>
                <w:sz w:val="24"/>
              </w:rPr>
              <w:t>201</w:t>
            </w:r>
            <w:r w:rsidR="002F0C44">
              <w:rPr>
                <w:b/>
                <w:sz w:val="24"/>
              </w:rPr>
              <w:t>6</w:t>
            </w:r>
          </w:p>
        </w:tc>
      </w:tr>
      <w:tr w:rsidR="00F322FE" w:rsidRPr="00F322FE" w14:paraId="7767B5F2" w14:textId="77777777" w:rsidTr="004D377A">
        <w:trPr>
          <w:jc w:val="center"/>
        </w:trPr>
        <w:tc>
          <w:tcPr>
            <w:cnfStyle w:val="000010000000" w:firstRow="0" w:lastRow="0" w:firstColumn="0" w:lastColumn="0" w:oddVBand="1" w:evenVBand="0" w:oddHBand="0" w:evenHBand="0" w:firstRowFirstColumn="0" w:firstRowLastColumn="0" w:lastRowFirstColumn="0" w:lastRowLastColumn="0"/>
            <w:tcW w:w="4179" w:type="dxa"/>
            <w:shd w:val="clear" w:color="auto" w:fill="DBE5F1"/>
          </w:tcPr>
          <w:p w14:paraId="63EC6967" w14:textId="77777777" w:rsidR="00F322FE" w:rsidRPr="00003E2F" w:rsidRDefault="00F322FE" w:rsidP="00003E2F">
            <w:pPr>
              <w:spacing w:after="0"/>
              <w:ind w:firstLine="0"/>
              <w:jc w:val="left"/>
              <w:rPr>
                <w:szCs w:val="24"/>
                <w:lang w:eastAsia="lv-LV"/>
              </w:rPr>
            </w:pPr>
          </w:p>
        </w:tc>
        <w:tc>
          <w:tcPr>
            <w:tcW w:w="1207" w:type="dxa"/>
            <w:shd w:val="clear" w:color="auto" w:fill="DBE5F1"/>
          </w:tcPr>
          <w:p w14:paraId="7F946F74" w14:textId="77777777" w:rsidR="00F322FE" w:rsidRPr="00F322FE" w:rsidRDefault="00F322FE" w:rsidP="00F322FE">
            <w:pPr>
              <w:pStyle w:val="tabteksts"/>
              <w:cnfStyle w:val="000000000000" w:firstRow="0" w:lastRow="0" w:firstColumn="0" w:lastColumn="0" w:oddVBand="0" w:evenVBand="0" w:oddHBand="0" w:evenHBand="0" w:firstRowFirstColumn="0" w:firstRowLastColumn="0" w:lastRowFirstColumn="0" w:lastRowLastColumn="0"/>
              <w:rPr>
                <w:noProof/>
                <w:sz w:val="24"/>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DBE5F1"/>
          </w:tcPr>
          <w:p w14:paraId="7C84A993" w14:textId="77777777" w:rsidR="00F322FE" w:rsidRPr="00F322FE" w:rsidRDefault="002E37C1" w:rsidP="00F322FE">
            <w:pPr>
              <w:pStyle w:val="tabteksts"/>
              <w:rPr>
                <w:noProof/>
                <w:sz w:val="24"/>
              </w:rPr>
            </w:pPr>
            <w:r>
              <w:rPr>
                <w:noProof/>
                <w:sz w:val="24"/>
              </w:rPr>
              <w:t xml:space="preserve">milj. </w:t>
            </w:r>
            <w:r w:rsidRPr="00B07724">
              <w:rPr>
                <w:i/>
                <w:noProof/>
                <w:sz w:val="24"/>
              </w:rPr>
              <w:t>euro</w:t>
            </w:r>
          </w:p>
        </w:tc>
        <w:tc>
          <w:tcPr>
            <w:tcW w:w="2375" w:type="dxa"/>
            <w:gridSpan w:val="3"/>
            <w:shd w:val="clear" w:color="auto" w:fill="DBE5F1"/>
          </w:tcPr>
          <w:p w14:paraId="086A7719" w14:textId="77777777" w:rsidR="00F322FE" w:rsidRPr="00F322FE" w:rsidRDefault="00F322FE" w:rsidP="00F322FE">
            <w:pPr>
              <w:pStyle w:val="tabteksts"/>
              <w:jc w:val="center"/>
              <w:cnfStyle w:val="000000000000" w:firstRow="0" w:lastRow="0" w:firstColumn="0" w:lastColumn="0" w:oddVBand="0" w:evenVBand="0" w:oddHBand="0" w:evenHBand="0" w:firstRowFirstColumn="0" w:firstRowLastColumn="0" w:lastRowFirstColumn="0" w:lastRowLastColumn="0"/>
              <w:rPr>
                <w:sz w:val="24"/>
              </w:rPr>
            </w:pPr>
            <w:r w:rsidRPr="00F322FE">
              <w:rPr>
                <w:sz w:val="24"/>
              </w:rPr>
              <w:t>% no IKP</w:t>
            </w:r>
          </w:p>
        </w:tc>
      </w:tr>
      <w:tr w:rsidR="00055479" w:rsidRPr="00F322FE" w14:paraId="4878CA98" w14:textId="77777777" w:rsidTr="00C320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79" w:type="dxa"/>
            <w:shd w:val="clear" w:color="auto" w:fill="FFFFFF" w:themeFill="background1"/>
          </w:tcPr>
          <w:p w14:paraId="60BC0A23" w14:textId="77777777" w:rsidR="00055479" w:rsidRPr="00003E2F" w:rsidRDefault="00055479" w:rsidP="00055479">
            <w:pPr>
              <w:spacing w:after="0"/>
              <w:ind w:firstLine="0"/>
              <w:jc w:val="left"/>
              <w:rPr>
                <w:b/>
                <w:szCs w:val="24"/>
                <w:lang w:eastAsia="lv-LV"/>
              </w:rPr>
            </w:pPr>
            <w:r w:rsidRPr="00003E2F">
              <w:rPr>
                <w:b/>
                <w:szCs w:val="24"/>
                <w:lang w:eastAsia="lv-LV"/>
              </w:rPr>
              <w:t>1. Izdevumi ārvalstu finanšu palīdzības projektiem,  kas atbilst saņemtajiem ārvalstu finanšu palīdzības ieņēmumiem</w:t>
            </w:r>
          </w:p>
        </w:tc>
        <w:tc>
          <w:tcPr>
            <w:tcW w:w="1207" w:type="dxa"/>
            <w:shd w:val="clear" w:color="auto" w:fill="FFFFFF" w:themeFill="background1"/>
          </w:tcPr>
          <w:p w14:paraId="28DDB90F" w14:textId="77777777" w:rsidR="00055479" w:rsidRPr="00F322FE" w:rsidRDefault="00055479" w:rsidP="00055479">
            <w:pPr>
              <w:pStyle w:val="tabteksts"/>
              <w:cnfStyle w:val="000000100000" w:firstRow="0" w:lastRow="0" w:firstColumn="0" w:lastColumn="0" w:oddVBand="0" w:evenVBand="0" w:oddHBand="1"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vAlign w:val="center"/>
          </w:tcPr>
          <w:p w14:paraId="05548C52" w14:textId="14BE1E49" w:rsidR="00055479" w:rsidRPr="00055479" w:rsidRDefault="00055479" w:rsidP="00C3203D">
            <w:pPr>
              <w:spacing w:after="0"/>
              <w:ind w:firstLine="0"/>
              <w:jc w:val="right"/>
              <w:rPr>
                <w:szCs w:val="24"/>
              </w:rPr>
            </w:pPr>
            <w:r w:rsidRPr="00055479">
              <w:rPr>
                <w:szCs w:val="24"/>
              </w:rPr>
              <w:t>1214,3</w:t>
            </w:r>
          </w:p>
        </w:tc>
        <w:tc>
          <w:tcPr>
            <w:tcW w:w="816" w:type="dxa"/>
            <w:shd w:val="clear" w:color="auto" w:fill="FFFFFF" w:themeFill="background1"/>
            <w:vAlign w:val="center"/>
          </w:tcPr>
          <w:p w14:paraId="1797EB40" w14:textId="2FB9DF07" w:rsidR="00055479" w:rsidRPr="00055479" w:rsidRDefault="00055479" w:rsidP="00C3203D">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055479">
              <w:rPr>
                <w:szCs w:val="24"/>
              </w:rPr>
              <w:t>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3A28B856" w14:textId="08ADE231" w:rsidR="00055479" w:rsidRPr="00055479" w:rsidRDefault="00055479" w:rsidP="00C3203D">
            <w:pPr>
              <w:spacing w:after="0"/>
              <w:ind w:firstLine="0"/>
              <w:jc w:val="right"/>
              <w:rPr>
                <w:szCs w:val="24"/>
              </w:rPr>
            </w:pPr>
            <w:r w:rsidRPr="00055479">
              <w:rPr>
                <w:szCs w:val="24"/>
              </w:rPr>
              <w:t>4,6</w:t>
            </w:r>
          </w:p>
        </w:tc>
        <w:tc>
          <w:tcPr>
            <w:tcW w:w="709" w:type="dxa"/>
            <w:shd w:val="clear" w:color="auto" w:fill="FFFFFF" w:themeFill="background1"/>
            <w:vAlign w:val="center"/>
          </w:tcPr>
          <w:p w14:paraId="47349D06" w14:textId="11CB32B1" w:rsidR="00055479" w:rsidRPr="00055479" w:rsidRDefault="00055479" w:rsidP="00C3203D">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055479">
              <w:rPr>
                <w:szCs w:val="24"/>
              </w:rPr>
              <w:t>3,9</w:t>
            </w:r>
          </w:p>
        </w:tc>
      </w:tr>
      <w:tr w:rsidR="006A5442" w:rsidRPr="00F322FE" w14:paraId="09AA655B" w14:textId="77777777" w:rsidTr="00C3203D">
        <w:trPr>
          <w:jc w:val="center"/>
        </w:trPr>
        <w:tc>
          <w:tcPr>
            <w:cnfStyle w:val="000010000000" w:firstRow="0" w:lastRow="0" w:firstColumn="0" w:lastColumn="0" w:oddVBand="1" w:evenVBand="0" w:oddHBand="0" w:evenHBand="0" w:firstRowFirstColumn="0" w:firstRowLastColumn="0" w:lastRowFirstColumn="0" w:lastRowLastColumn="0"/>
            <w:tcW w:w="4179" w:type="dxa"/>
            <w:shd w:val="clear" w:color="auto" w:fill="DBE5F1"/>
          </w:tcPr>
          <w:p w14:paraId="5D00F3C5" w14:textId="77777777" w:rsidR="006A5442" w:rsidRPr="00003E2F" w:rsidRDefault="006A5442" w:rsidP="00003E2F">
            <w:pPr>
              <w:spacing w:after="0"/>
              <w:ind w:firstLine="0"/>
              <w:jc w:val="left"/>
              <w:rPr>
                <w:b/>
                <w:szCs w:val="24"/>
                <w:lang w:eastAsia="lv-LV"/>
              </w:rPr>
            </w:pPr>
            <w:r w:rsidRPr="00003E2F">
              <w:rPr>
                <w:b/>
                <w:szCs w:val="24"/>
                <w:lang w:eastAsia="lv-LV"/>
              </w:rPr>
              <w:t>2. Cikliskie izdevumi bezdarbnieku pabalstiem</w:t>
            </w:r>
          </w:p>
        </w:tc>
        <w:tc>
          <w:tcPr>
            <w:tcW w:w="1207" w:type="dxa"/>
            <w:shd w:val="clear" w:color="auto" w:fill="DBE5F1"/>
          </w:tcPr>
          <w:p w14:paraId="0894C282" w14:textId="77777777" w:rsidR="006A5442" w:rsidRPr="00F322FE" w:rsidRDefault="006A5442" w:rsidP="006A5442">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DBE5F1"/>
            <w:vAlign w:val="center"/>
          </w:tcPr>
          <w:p w14:paraId="4DF6A4F5" w14:textId="77777777" w:rsidR="006A5442" w:rsidRPr="00F322FE" w:rsidRDefault="006A5442" w:rsidP="00C3203D">
            <w:pPr>
              <w:pStyle w:val="tabteksts"/>
              <w:jc w:val="right"/>
              <w:rPr>
                <w:snapToGrid w:val="0"/>
                <w:sz w:val="24"/>
              </w:rPr>
            </w:pPr>
          </w:p>
        </w:tc>
        <w:tc>
          <w:tcPr>
            <w:tcW w:w="816" w:type="dxa"/>
            <w:shd w:val="clear" w:color="auto" w:fill="DBE5F1"/>
            <w:vAlign w:val="center"/>
          </w:tcPr>
          <w:p w14:paraId="0A231988" w14:textId="77777777" w:rsidR="006A5442" w:rsidRPr="00F322FE" w:rsidRDefault="006A5442" w:rsidP="00C3203D">
            <w:pPr>
              <w:pStyle w:val="tabteksts"/>
              <w:jc w:val="right"/>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vAlign w:val="center"/>
          </w:tcPr>
          <w:p w14:paraId="7F9737AA" w14:textId="77777777" w:rsidR="006A5442" w:rsidRPr="00F322FE" w:rsidRDefault="006A5442" w:rsidP="00C3203D">
            <w:pPr>
              <w:pStyle w:val="tabteksts"/>
              <w:jc w:val="right"/>
              <w:rPr>
                <w:snapToGrid w:val="0"/>
                <w:sz w:val="24"/>
              </w:rPr>
            </w:pPr>
          </w:p>
        </w:tc>
        <w:tc>
          <w:tcPr>
            <w:tcW w:w="709" w:type="dxa"/>
            <w:shd w:val="clear" w:color="auto" w:fill="DBE5F1"/>
            <w:vAlign w:val="center"/>
          </w:tcPr>
          <w:p w14:paraId="673F7CFA" w14:textId="77777777" w:rsidR="006A5442" w:rsidRPr="00F322FE" w:rsidRDefault="006A5442" w:rsidP="00C3203D">
            <w:pPr>
              <w:pStyle w:val="tabteksts"/>
              <w:jc w:val="right"/>
              <w:cnfStyle w:val="000000000000" w:firstRow="0" w:lastRow="0" w:firstColumn="0" w:lastColumn="0" w:oddVBand="0" w:evenVBand="0" w:oddHBand="0" w:evenHBand="0" w:firstRowFirstColumn="0" w:firstRowLastColumn="0" w:lastRowFirstColumn="0" w:lastRowLastColumn="0"/>
              <w:rPr>
                <w:snapToGrid w:val="0"/>
                <w:sz w:val="24"/>
              </w:rPr>
            </w:pPr>
          </w:p>
        </w:tc>
      </w:tr>
      <w:tr w:rsidR="00055479" w:rsidRPr="00F322FE" w14:paraId="201C495A" w14:textId="77777777" w:rsidTr="00C3203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79" w:type="dxa"/>
            <w:shd w:val="clear" w:color="auto" w:fill="FFFFFF" w:themeFill="background1"/>
          </w:tcPr>
          <w:p w14:paraId="68FF0210" w14:textId="77777777" w:rsidR="00055479" w:rsidRPr="00003E2F" w:rsidRDefault="00055479" w:rsidP="00055479">
            <w:pPr>
              <w:spacing w:after="0"/>
              <w:ind w:firstLine="0"/>
              <w:jc w:val="left"/>
              <w:rPr>
                <w:b/>
                <w:szCs w:val="24"/>
                <w:lang w:eastAsia="lv-LV"/>
              </w:rPr>
            </w:pPr>
            <w:r w:rsidRPr="00003E2F">
              <w:rPr>
                <w:b/>
                <w:szCs w:val="24"/>
                <w:lang w:eastAsia="lv-LV"/>
              </w:rPr>
              <w:t>3. Diskrecionāri ieņēmumu pasākumi</w:t>
            </w:r>
          </w:p>
        </w:tc>
        <w:tc>
          <w:tcPr>
            <w:tcW w:w="1207" w:type="dxa"/>
            <w:shd w:val="clear" w:color="auto" w:fill="FFFFFF" w:themeFill="background1"/>
          </w:tcPr>
          <w:p w14:paraId="19FF0DE3" w14:textId="77777777" w:rsidR="00055479" w:rsidRPr="00F322FE" w:rsidRDefault="00055479" w:rsidP="00055479">
            <w:pPr>
              <w:pStyle w:val="tabteksts"/>
              <w:cnfStyle w:val="000000100000" w:firstRow="0" w:lastRow="0" w:firstColumn="0" w:lastColumn="0" w:oddVBand="0" w:evenVBand="0" w:oddHBand="1"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vAlign w:val="center"/>
          </w:tcPr>
          <w:p w14:paraId="68C46A6B" w14:textId="39794AE2" w:rsidR="00055479" w:rsidRPr="00055479" w:rsidRDefault="00055479" w:rsidP="00C3203D">
            <w:pPr>
              <w:spacing w:after="0"/>
              <w:ind w:firstLine="0"/>
              <w:jc w:val="right"/>
              <w:rPr>
                <w:szCs w:val="24"/>
              </w:rPr>
            </w:pPr>
            <w:r w:rsidRPr="00055479">
              <w:rPr>
                <w:szCs w:val="24"/>
              </w:rPr>
              <w:t>0,0</w:t>
            </w:r>
          </w:p>
        </w:tc>
        <w:tc>
          <w:tcPr>
            <w:tcW w:w="816" w:type="dxa"/>
            <w:shd w:val="clear" w:color="auto" w:fill="FFFFFF" w:themeFill="background1"/>
            <w:vAlign w:val="center"/>
          </w:tcPr>
          <w:p w14:paraId="52338A79" w14:textId="14188C1F" w:rsidR="00055479" w:rsidRPr="00055479" w:rsidRDefault="00055479" w:rsidP="00C3203D">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055479">
              <w:rPr>
                <w:szCs w:val="24"/>
              </w:rPr>
              <w:t>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1E542A9C" w14:textId="0CC438DD" w:rsidR="00055479" w:rsidRPr="00055479" w:rsidRDefault="00055479" w:rsidP="00C3203D">
            <w:pPr>
              <w:spacing w:after="0"/>
              <w:ind w:firstLine="0"/>
              <w:jc w:val="right"/>
              <w:rPr>
                <w:szCs w:val="24"/>
              </w:rPr>
            </w:pPr>
            <w:r w:rsidRPr="00055479">
              <w:rPr>
                <w:szCs w:val="24"/>
              </w:rPr>
              <w:t>0,2</w:t>
            </w:r>
          </w:p>
        </w:tc>
        <w:tc>
          <w:tcPr>
            <w:tcW w:w="709" w:type="dxa"/>
            <w:shd w:val="clear" w:color="auto" w:fill="FFFFFF" w:themeFill="background1"/>
            <w:vAlign w:val="center"/>
          </w:tcPr>
          <w:p w14:paraId="1DF376AB" w14:textId="5EC62138" w:rsidR="00055479" w:rsidRPr="00055479" w:rsidRDefault="00055479" w:rsidP="00C3203D">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055479">
              <w:rPr>
                <w:szCs w:val="24"/>
              </w:rPr>
              <w:t>0,5</w:t>
            </w:r>
          </w:p>
        </w:tc>
      </w:tr>
      <w:tr w:rsidR="006A5442" w:rsidRPr="00F322FE" w14:paraId="7CB94551" w14:textId="77777777" w:rsidTr="004D377A">
        <w:trPr>
          <w:jc w:val="center"/>
        </w:trPr>
        <w:tc>
          <w:tcPr>
            <w:cnfStyle w:val="000010000000" w:firstRow="0" w:lastRow="0" w:firstColumn="0" w:lastColumn="0" w:oddVBand="1" w:evenVBand="0" w:oddHBand="0" w:evenHBand="0" w:firstRowFirstColumn="0" w:firstRowLastColumn="0" w:lastRowFirstColumn="0" w:lastRowLastColumn="0"/>
            <w:tcW w:w="4179" w:type="dxa"/>
            <w:shd w:val="clear" w:color="auto" w:fill="DBE5F1"/>
          </w:tcPr>
          <w:p w14:paraId="7836C341" w14:textId="77777777" w:rsidR="006A5442" w:rsidRPr="00003E2F" w:rsidRDefault="006A5442" w:rsidP="00003E2F">
            <w:pPr>
              <w:spacing w:after="0"/>
              <w:ind w:firstLine="0"/>
              <w:jc w:val="left"/>
              <w:rPr>
                <w:b/>
                <w:szCs w:val="24"/>
                <w:lang w:eastAsia="lv-LV"/>
              </w:rPr>
            </w:pPr>
            <w:r w:rsidRPr="00003E2F">
              <w:rPr>
                <w:b/>
                <w:szCs w:val="24"/>
                <w:lang w:eastAsia="lv-LV"/>
              </w:rPr>
              <w:t>4. Ieņēmumu palielinājums, kas apstiprināts ar likumu</w:t>
            </w:r>
          </w:p>
        </w:tc>
        <w:tc>
          <w:tcPr>
            <w:tcW w:w="1207" w:type="dxa"/>
            <w:shd w:val="clear" w:color="auto" w:fill="DBE5F1"/>
          </w:tcPr>
          <w:p w14:paraId="67ED9257" w14:textId="77777777" w:rsidR="006A5442" w:rsidRPr="00F322FE" w:rsidRDefault="006A5442" w:rsidP="006A5442">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DBE5F1"/>
          </w:tcPr>
          <w:p w14:paraId="20140C04" w14:textId="77777777" w:rsidR="006A5442" w:rsidRPr="00F322FE" w:rsidRDefault="006A5442" w:rsidP="006A5442">
            <w:pPr>
              <w:pStyle w:val="tabteksts"/>
              <w:rPr>
                <w:snapToGrid w:val="0"/>
                <w:sz w:val="24"/>
              </w:rPr>
            </w:pPr>
          </w:p>
        </w:tc>
        <w:tc>
          <w:tcPr>
            <w:tcW w:w="816" w:type="dxa"/>
            <w:shd w:val="clear" w:color="auto" w:fill="DBE5F1"/>
          </w:tcPr>
          <w:p w14:paraId="3C1DCB52" w14:textId="77777777" w:rsidR="006A5442" w:rsidRPr="00F322FE" w:rsidRDefault="006A5442" w:rsidP="006A5442">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5E0DE8C5" w14:textId="77777777" w:rsidR="006A5442" w:rsidRPr="00F322FE" w:rsidRDefault="006A5442" w:rsidP="006A5442">
            <w:pPr>
              <w:pStyle w:val="tabteksts"/>
              <w:rPr>
                <w:snapToGrid w:val="0"/>
                <w:sz w:val="24"/>
              </w:rPr>
            </w:pPr>
          </w:p>
        </w:tc>
        <w:tc>
          <w:tcPr>
            <w:tcW w:w="709" w:type="dxa"/>
            <w:shd w:val="clear" w:color="auto" w:fill="DBE5F1"/>
          </w:tcPr>
          <w:p w14:paraId="56A7C18E" w14:textId="77777777" w:rsidR="006A5442" w:rsidRPr="00F322FE" w:rsidRDefault="006A5442" w:rsidP="006A5442">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r>
    </w:tbl>
    <w:p w14:paraId="6AA5215F" w14:textId="77777777" w:rsidR="00976103" w:rsidRDefault="00976103" w:rsidP="002F0C44">
      <w:pPr>
        <w:pStyle w:val="Heading1"/>
        <w:tabs>
          <w:tab w:val="left" w:pos="1276"/>
        </w:tabs>
        <w:spacing w:before="0" w:after="240"/>
        <w:ind w:left="1276" w:hanging="1276"/>
        <w:jc w:val="left"/>
        <w:rPr>
          <w:rFonts w:ascii="Times New Roman" w:hAnsi="Times New Roman"/>
          <w:color w:val="18185F"/>
          <w:sz w:val="24"/>
        </w:rPr>
      </w:pPr>
    </w:p>
    <w:p w14:paraId="5201AC20" w14:textId="77777777" w:rsidR="004D377A" w:rsidRPr="004D377A" w:rsidRDefault="004D377A" w:rsidP="004D377A">
      <w:pPr>
        <w:rPr>
          <w:lang w:val="x-none" w:eastAsia="x-none"/>
        </w:rPr>
      </w:pPr>
    </w:p>
    <w:p w14:paraId="34E91EF2" w14:textId="1AFAD515" w:rsidR="004D377A" w:rsidRDefault="002F0C44" w:rsidP="002F0C44">
      <w:pPr>
        <w:pStyle w:val="Heading1"/>
        <w:tabs>
          <w:tab w:val="left" w:pos="1276"/>
        </w:tabs>
        <w:spacing w:before="0" w:after="240"/>
        <w:ind w:left="1276" w:hanging="1276"/>
        <w:jc w:val="left"/>
        <w:rPr>
          <w:rFonts w:ascii="Times New Roman" w:hAnsi="Times New Roman"/>
          <w:color w:val="18185F"/>
          <w:sz w:val="24"/>
          <w:lang w:val="lv-LV"/>
        </w:rPr>
      </w:pPr>
      <w:bookmarkStart w:id="14" w:name="_Toc431197090"/>
      <w:r>
        <w:rPr>
          <w:rFonts w:ascii="Times New Roman" w:hAnsi="Times New Roman"/>
          <w:color w:val="18185F"/>
          <w:sz w:val="24"/>
          <w:lang w:val="lv-LV"/>
        </w:rPr>
        <w:t xml:space="preserve">Tabula </w:t>
      </w:r>
      <w:r w:rsidR="004D377A">
        <w:rPr>
          <w:rFonts w:ascii="Times New Roman" w:hAnsi="Times New Roman"/>
          <w:color w:val="18185F"/>
          <w:sz w:val="24"/>
          <w:lang w:val="lv-LV"/>
        </w:rPr>
        <w:t>4.c Vispārējās valdības izdevu</w:t>
      </w:r>
      <w:r w:rsidR="00524163">
        <w:rPr>
          <w:rFonts w:ascii="Times New Roman" w:hAnsi="Times New Roman"/>
          <w:color w:val="18185F"/>
          <w:sz w:val="24"/>
          <w:lang w:val="lv-LV"/>
        </w:rPr>
        <w:t>mi</w:t>
      </w:r>
      <w:r w:rsidR="004D377A">
        <w:rPr>
          <w:rFonts w:ascii="Times New Roman" w:hAnsi="Times New Roman"/>
          <w:color w:val="18185F"/>
          <w:sz w:val="24"/>
          <w:lang w:val="lv-LV"/>
        </w:rPr>
        <w:t xml:space="preserve"> </w:t>
      </w:r>
      <w:r w:rsidR="00D27E4E" w:rsidRPr="00AA5591">
        <w:rPr>
          <w:rFonts w:ascii="Times New Roman" w:hAnsi="Times New Roman"/>
          <w:color w:val="18185F"/>
          <w:sz w:val="24"/>
        </w:rPr>
        <w:t>funkciju sadalījumā</w:t>
      </w:r>
      <w:bookmarkEnd w:id="14"/>
    </w:p>
    <w:p w14:paraId="0006C104" w14:textId="25352882" w:rsidR="00AA5591" w:rsidRPr="00AA5591" w:rsidRDefault="00AA5591" w:rsidP="00AA5591">
      <w:pPr>
        <w:pStyle w:val="Heading1"/>
        <w:tabs>
          <w:tab w:val="left" w:pos="1276"/>
        </w:tabs>
        <w:spacing w:before="0" w:after="240"/>
        <w:ind w:left="1276" w:hanging="1276"/>
        <w:jc w:val="left"/>
        <w:rPr>
          <w:rFonts w:ascii="Times New Roman" w:hAnsi="Times New Roman"/>
          <w:color w:val="18185F"/>
          <w:sz w:val="24"/>
        </w:rPr>
      </w:pPr>
      <w:bookmarkStart w:id="15" w:name="_Toc431197091"/>
      <w:r w:rsidRPr="00AA5591">
        <w:rPr>
          <w:rFonts w:ascii="Times New Roman" w:hAnsi="Times New Roman"/>
          <w:color w:val="18185F"/>
          <w:sz w:val="24"/>
        </w:rPr>
        <w:t>4.c.i) Vispārējās valdības izdevumi izglītībai, veselības aprūpei un nodarbinātībai</w:t>
      </w:r>
      <w:bookmarkEnd w:id="15"/>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AA5591" w14:paraId="730BFDF4" w14:textId="77777777" w:rsidTr="004D377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6E68B2FD" w14:textId="1EC81900" w:rsidR="00AA5591" w:rsidRPr="00AA5591" w:rsidRDefault="00AA5591" w:rsidP="00AA5591">
            <w:pPr>
              <w:spacing w:after="0"/>
              <w:ind w:firstLine="0"/>
              <w:jc w:val="center"/>
              <w:rPr>
                <w:color w:val="auto"/>
                <w:szCs w:val="22"/>
                <w:lang w:eastAsia="lv-LV"/>
              </w:rPr>
            </w:pPr>
          </w:p>
        </w:tc>
        <w:tc>
          <w:tcPr>
            <w:tcW w:w="3941" w:type="dxa"/>
            <w:gridSpan w:val="2"/>
            <w:vAlign w:val="center"/>
            <w:hideMark/>
          </w:tcPr>
          <w:p w14:paraId="54239748" w14:textId="77777777"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2015</w:t>
            </w:r>
          </w:p>
        </w:tc>
        <w:tc>
          <w:tcPr>
            <w:tcW w:w="3828" w:type="dxa"/>
            <w:gridSpan w:val="2"/>
            <w:vAlign w:val="center"/>
            <w:hideMark/>
          </w:tcPr>
          <w:p w14:paraId="746F75ED" w14:textId="77777777"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2016</w:t>
            </w:r>
          </w:p>
        </w:tc>
      </w:tr>
      <w:tr w:rsidR="00AA5591" w:rsidRPr="00AA5591" w14:paraId="028A3053" w14:textId="77777777" w:rsidTr="004D377A">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2E1A7965" w14:textId="7D73C806" w:rsidR="00AA5591" w:rsidRPr="00AA5591" w:rsidRDefault="00AA5591" w:rsidP="00AA5591">
            <w:pPr>
              <w:spacing w:after="0"/>
              <w:ind w:firstLine="0"/>
              <w:jc w:val="center"/>
              <w:rPr>
                <w:color w:val="auto"/>
                <w:szCs w:val="22"/>
                <w:lang w:eastAsia="lv-LV"/>
              </w:rPr>
            </w:pPr>
          </w:p>
        </w:tc>
        <w:tc>
          <w:tcPr>
            <w:tcW w:w="1001" w:type="dxa"/>
            <w:vAlign w:val="center"/>
            <w:hideMark/>
          </w:tcPr>
          <w:p w14:paraId="1F1713FF" w14:textId="5C0E22BF"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 xml:space="preserve">% </w:t>
            </w:r>
            <w:r w:rsidR="00D27E4E">
              <w:rPr>
                <w:color w:val="auto"/>
                <w:szCs w:val="22"/>
                <w:lang w:eastAsia="lv-LV"/>
              </w:rPr>
              <w:t xml:space="preserve">no </w:t>
            </w:r>
            <w:r w:rsidRPr="00AA5591">
              <w:rPr>
                <w:color w:val="auto"/>
                <w:szCs w:val="22"/>
                <w:lang w:eastAsia="lv-LV"/>
              </w:rPr>
              <w:t>IKP</w:t>
            </w:r>
          </w:p>
        </w:tc>
        <w:tc>
          <w:tcPr>
            <w:tcW w:w="2940" w:type="dxa"/>
            <w:vAlign w:val="center"/>
            <w:hideMark/>
          </w:tcPr>
          <w:p w14:paraId="5366E57E" w14:textId="266A6475"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vispārējās valdības izdevumi</w:t>
            </w:r>
            <w:r w:rsidR="00D27E4E">
              <w:rPr>
                <w:color w:val="auto"/>
                <w:szCs w:val="22"/>
                <w:lang w:eastAsia="lv-LV"/>
              </w:rPr>
              <w:t>, %</w:t>
            </w:r>
          </w:p>
        </w:tc>
        <w:tc>
          <w:tcPr>
            <w:tcW w:w="938" w:type="dxa"/>
            <w:vAlign w:val="center"/>
            <w:hideMark/>
          </w:tcPr>
          <w:p w14:paraId="2D7EF408" w14:textId="42694879"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 xml:space="preserve">% </w:t>
            </w:r>
            <w:r w:rsidR="00D27E4E">
              <w:rPr>
                <w:color w:val="auto"/>
                <w:szCs w:val="22"/>
                <w:lang w:eastAsia="lv-LV"/>
              </w:rPr>
              <w:t xml:space="preserve">no </w:t>
            </w:r>
            <w:r w:rsidRPr="00AA5591">
              <w:rPr>
                <w:color w:val="auto"/>
                <w:szCs w:val="22"/>
                <w:lang w:eastAsia="lv-LV"/>
              </w:rPr>
              <w:t>IKP</w:t>
            </w:r>
          </w:p>
        </w:tc>
        <w:tc>
          <w:tcPr>
            <w:tcW w:w="2890" w:type="dxa"/>
            <w:vAlign w:val="center"/>
            <w:hideMark/>
          </w:tcPr>
          <w:p w14:paraId="7A64A7E7" w14:textId="45EA23B9"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vispārējās valdības izdevumi</w:t>
            </w:r>
            <w:r w:rsidR="00D27E4E">
              <w:rPr>
                <w:color w:val="auto"/>
                <w:szCs w:val="22"/>
                <w:lang w:eastAsia="lv-LV"/>
              </w:rPr>
              <w:t>, %</w:t>
            </w:r>
          </w:p>
        </w:tc>
      </w:tr>
      <w:tr w:rsidR="00AA5591" w:rsidRPr="00AA5591" w14:paraId="3D006A58" w14:textId="77777777" w:rsidTr="004D377A">
        <w:trPr>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0A6C86BE"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Izglītība</w:t>
            </w:r>
          </w:p>
        </w:tc>
        <w:tc>
          <w:tcPr>
            <w:tcW w:w="1001" w:type="dxa"/>
            <w:vAlign w:val="center"/>
            <w:hideMark/>
          </w:tcPr>
          <w:p w14:paraId="60E24515"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5,6</w:t>
            </w:r>
          </w:p>
        </w:tc>
        <w:tc>
          <w:tcPr>
            <w:tcW w:w="2940" w:type="dxa"/>
            <w:vAlign w:val="center"/>
            <w:hideMark/>
          </w:tcPr>
          <w:p w14:paraId="63811F2E"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15,7</w:t>
            </w:r>
          </w:p>
        </w:tc>
        <w:tc>
          <w:tcPr>
            <w:tcW w:w="938" w:type="dxa"/>
            <w:vAlign w:val="center"/>
            <w:hideMark/>
          </w:tcPr>
          <w:p w14:paraId="6B962357"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5,4</w:t>
            </w:r>
          </w:p>
        </w:tc>
        <w:tc>
          <w:tcPr>
            <w:tcW w:w="2890" w:type="dxa"/>
            <w:vAlign w:val="center"/>
            <w:hideMark/>
          </w:tcPr>
          <w:p w14:paraId="79D6B591"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15,5</w:t>
            </w:r>
          </w:p>
        </w:tc>
      </w:tr>
      <w:tr w:rsidR="00AA5591" w:rsidRPr="00AA5591" w14:paraId="360249CB" w14:textId="77777777" w:rsidTr="004D377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53FC96BF"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Veselība</w:t>
            </w:r>
          </w:p>
        </w:tc>
        <w:tc>
          <w:tcPr>
            <w:tcW w:w="1001" w:type="dxa"/>
            <w:vAlign w:val="center"/>
            <w:hideMark/>
          </w:tcPr>
          <w:p w14:paraId="78EF896F"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3,6</w:t>
            </w:r>
          </w:p>
        </w:tc>
        <w:tc>
          <w:tcPr>
            <w:tcW w:w="2940" w:type="dxa"/>
            <w:vAlign w:val="center"/>
            <w:hideMark/>
          </w:tcPr>
          <w:p w14:paraId="18786C40"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9,9</w:t>
            </w:r>
          </w:p>
        </w:tc>
        <w:tc>
          <w:tcPr>
            <w:tcW w:w="938" w:type="dxa"/>
            <w:vAlign w:val="center"/>
            <w:hideMark/>
          </w:tcPr>
          <w:p w14:paraId="5EDD8FB7"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3,4</w:t>
            </w:r>
          </w:p>
        </w:tc>
        <w:tc>
          <w:tcPr>
            <w:tcW w:w="2890" w:type="dxa"/>
            <w:vAlign w:val="center"/>
            <w:hideMark/>
          </w:tcPr>
          <w:p w14:paraId="74DF4FB8"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9,8</w:t>
            </w:r>
          </w:p>
        </w:tc>
      </w:tr>
      <w:tr w:rsidR="00AA5591" w:rsidRPr="00AA5591" w14:paraId="152E76E8" w14:textId="77777777" w:rsidTr="004D377A">
        <w:trPr>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10D5C5A5"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Nodarbinātība</w:t>
            </w:r>
          </w:p>
        </w:tc>
        <w:tc>
          <w:tcPr>
            <w:tcW w:w="1001" w:type="dxa"/>
            <w:vAlign w:val="center"/>
            <w:hideMark/>
          </w:tcPr>
          <w:p w14:paraId="0A040DDE"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0,1</w:t>
            </w:r>
          </w:p>
        </w:tc>
        <w:tc>
          <w:tcPr>
            <w:tcW w:w="2940" w:type="dxa"/>
            <w:vAlign w:val="center"/>
            <w:hideMark/>
          </w:tcPr>
          <w:p w14:paraId="5894B339"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0,4</w:t>
            </w:r>
          </w:p>
        </w:tc>
        <w:tc>
          <w:tcPr>
            <w:tcW w:w="938" w:type="dxa"/>
            <w:vAlign w:val="center"/>
            <w:hideMark/>
          </w:tcPr>
          <w:p w14:paraId="5BAC66AD"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0,2</w:t>
            </w:r>
          </w:p>
        </w:tc>
        <w:tc>
          <w:tcPr>
            <w:tcW w:w="2890" w:type="dxa"/>
            <w:vAlign w:val="center"/>
            <w:hideMark/>
          </w:tcPr>
          <w:p w14:paraId="7FEBD3EF"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sidRPr="00AA5591">
              <w:rPr>
                <w:color w:val="auto"/>
                <w:szCs w:val="22"/>
                <w:lang w:eastAsia="lv-LV"/>
              </w:rPr>
              <w:t>0,4</w:t>
            </w:r>
          </w:p>
        </w:tc>
      </w:tr>
    </w:tbl>
    <w:p w14:paraId="58B9918E" w14:textId="77777777" w:rsidR="00150E39" w:rsidRDefault="00150E39" w:rsidP="00150E39">
      <w:pPr>
        <w:pStyle w:val="Heading1"/>
        <w:tabs>
          <w:tab w:val="left" w:pos="1276"/>
        </w:tabs>
        <w:spacing w:before="0" w:after="240"/>
        <w:ind w:firstLine="0"/>
        <w:jc w:val="left"/>
        <w:rPr>
          <w:rFonts w:ascii="Times New Roman" w:hAnsi="Times New Roman"/>
          <w:color w:val="18185F"/>
          <w:sz w:val="24"/>
        </w:rPr>
      </w:pPr>
    </w:p>
    <w:p w14:paraId="74265D22" w14:textId="035FD7C0" w:rsidR="00AA5591" w:rsidRPr="00AA5591" w:rsidRDefault="00AA5591" w:rsidP="00150E39">
      <w:pPr>
        <w:pStyle w:val="Heading1"/>
        <w:tabs>
          <w:tab w:val="left" w:pos="1276"/>
        </w:tabs>
        <w:spacing w:before="0" w:after="240"/>
        <w:ind w:firstLine="0"/>
        <w:jc w:val="left"/>
        <w:rPr>
          <w:rFonts w:ascii="Times New Roman" w:hAnsi="Times New Roman"/>
          <w:color w:val="18185F"/>
          <w:sz w:val="24"/>
        </w:rPr>
      </w:pPr>
      <w:bookmarkStart w:id="16" w:name="_Toc431197092"/>
      <w:r w:rsidRPr="00AA5591">
        <w:rPr>
          <w:rFonts w:ascii="Times New Roman" w:hAnsi="Times New Roman"/>
          <w:color w:val="18185F"/>
          <w:sz w:val="24"/>
        </w:rPr>
        <w:t>4.c.ii) Vispārējās valdības izdevumi funkciju sadalījumā</w:t>
      </w:r>
      <w:bookmarkEnd w:id="16"/>
    </w:p>
    <w:tbl>
      <w:tblPr>
        <w:tblStyle w:val="GridTable6Colorful-Accent11"/>
        <w:tblW w:w="7933" w:type="dxa"/>
        <w:jc w:val="center"/>
        <w:tblLayout w:type="fixed"/>
        <w:tblLook w:val="04A0" w:firstRow="1" w:lastRow="0" w:firstColumn="1" w:lastColumn="0" w:noHBand="0" w:noVBand="1"/>
      </w:tblPr>
      <w:tblGrid>
        <w:gridCol w:w="4253"/>
        <w:gridCol w:w="1149"/>
        <w:gridCol w:w="1256"/>
        <w:gridCol w:w="1275"/>
      </w:tblGrid>
      <w:tr w:rsidR="00AA5591" w:rsidRPr="00AA5591" w14:paraId="6DF93E2C" w14:textId="77777777" w:rsidTr="00D27E4E">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3FCEBC7E" w14:textId="25BD594E" w:rsidR="00AA5591" w:rsidRPr="00AA5591" w:rsidRDefault="00AA5591" w:rsidP="00AA5591">
            <w:pPr>
              <w:spacing w:after="0"/>
              <w:ind w:firstLine="0"/>
              <w:jc w:val="center"/>
              <w:rPr>
                <w:color w:val="auto"/>
                <w:szCs w:val="24"/>
                <w:lang w:eastAsia="lv-LV"/>
              </w:rPr>
            </w:pPr>
          </w:p>
        </w:tc>
        <w:tc>
          <w:tcPr>
            <w:tcW w:w="1149" w:type="dxa"/>
            <w:vAlign w:val="center"/>
            <w:hideMark/>
          </w:tcPr>
          <w:p w14:paraId="26352A1E" w14:textId="5D6618A2"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A5591">
              <w:rPr>
                <w:color w:val="auto"/>
                <w:szCs w:val="24"/>
              </w:rPr>
              <w:t>COFOG kods</w:t>
            </w:r>
          </w:p>
        </w:tc>
        <w:tc>
          <w:tcPr>
            <w:tcW w:w="1256" w:type="dxa"/>
            <w:vAlign w:val="center"/>
            <w:hideMark/>
          </w:tcPr>
          <w:p w14:paraId="609D96B1" w14:textId="77777777"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A5591">
              <w:rPr>
                <w:bCs w:val="0"/>
                <w:color w:val="auto"/>
                <w:szCs w:val="24"/>
              </w:rPr>
              <w:t>2015</w:t>
            </w:r>
          </w:p>
        </w:tc>
        <w:tc>
          <w:tcPr>
            <w:tcW w:w="1275" w:type="dxa"/>
            <w:vAlign w:val="center"/>
            <w:hideMark/>
          </w:tcPr>
          <w:p w14:paraId="18AADD51" w14:textId="77777777"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sidRPr="00AA5591">
              <w:rPr>
                <w:bCs w:val="0"/>
                <w:color w:val="auto"/>
                <w:szCs w:val="24"/>
              </w:rPr>
              <w:t>2016</w:t>
            </w:r>
          </w:p>
        </w:tc>
      </w:tr>
      <w:tr w:rsidR="00AA5591" w:rsidRPr="00AA5591" w14:paraId="20A67699" w14:textId="77777777" w:rsidTr="00D27E4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0DD2FE58" w14:textId="2EE40077" w:rsidR="00AA5591" w:rsidRPr="00AA5591" w:rsidRDefault="00AA5591" w:rsidP="00AA5591">
            <w:pPr>
              <w:spacing w:after="0"/>
              <w:jc w:val="center"/>
              <w:rPr>
                <w:b w:val="0"/>
                <w:bCs w:val="0"/>
                <w:color w:val="auto"/>
                <w:szCs w:val="24"/>
              </w:rPr>
            </w:pPr>
          </w:p>
        </w:tc>
        <w:tc>
          <w:tcPr>
            <w:tcW w:w="1149" w:type="dxa"/>
            <w:vAlign w:val="center"/>
            <w:hideMark/>
          </w:tcPr>
          <w:p w14:paraId="70D0A4C5" w14:textId="7BF2A600" w:rsidR="00AA5591" w:rsidRPr="00AA5591" w:rsidRDefault="00AA5591" w:rsidP="00AA5591">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1256" w:type="dxa"/>
            <w:vAlign w:val="center"/>
            <w:hideMark/>
          </w:tcPr>
          <w:p w14:paraId="0F4E004C" w14:textId="23CD402D"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 xml:space="preserve">% </w:t>
            </w:r>
            <w:r w:rsidR="00D27E4E">
              <w:rPr>
                <w:color w:val="auto"/>
                <w:szCs w:val="24"/>
              </w:rPr>
              <w:t xml:space="preserve">no </w:t>
            </w:r>
            <w:r>
              <w:rPr>
                <w:color w:val="auto"/>
                <w:szCs w:val="24"/>
              </w:rPr>
              <w:t>IKP</w:t>
            </w:r>
          </w:p>
        </w:tc>
        <w:tc>
          <w:tcPr>
            <w:tcW w:w="1275" w:type="dxa"/>
            <w:vAlign w:val="center"/>
            <w:hideMark/>
          </w:tcPr>
          <w:p w14:paraId="3E6E1849" w14:textId="1423C502"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w:t>
            </w:r>
            <w:r w:rsidR="00D27E4E">
              <w:rPr>
                <w:color w:val="auto"/>
                <w:szCs w:val="24"/>
              </w:rPr>
              <w:t xml:space="preserve"> no </w:t>
            </w:r>
            <w:r w:rsidRPr="00AA5591">
              <w:rPr>
                <w:color w:val="auto"/>
                <w:szCs w:val="24"/>
              </w:rPr>
              <w:t xml:space="preserve"> </w:t>
            </w:r>
            <w:r>
              <w:rPr>
                <w:color w:val="auto"/>
                <w:szCs w:val="24"/>
              </w:rPr>
              <w:t>IKP</w:t>
            </w:r>
          </w:p>
        </w:tc>
      </w:tr>
      <w:tr w:rsidR="00AA5591" w:rsidRPr="00AA5591" w14:paraId="3412AAFB" w14:textId="77777777" w:rsidTr="001B0074">
        <w:trPr>
          <w:trHeight w:val="26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2D208966" w14:textId="77777777" w:rsidR="00AA5591" w:rsidRPr="00AA5591" w:rsidRDefault="00AA5591" w:rsidP="00AA5591">
            <w:pPr>
              <w:spacing w:after="0"/>
              <w:ind w:firstLine="0"/>
              <w:jc w:val="left"/>
              <w:rPr>
                <w:color w:val="auto"/>
                <w:szCs w:val="24"/>
              </w:rPr>
            </w:pPr>
            <w:r w:rsidRPr="00AA5591">
              <w:rPr>
                <w:color w:val="auto"/>
                <w:szCs w:val="24"/>
              </w:rPr>
              <w:t>1. Vispārējie sabiedriskie pakalpojumi</w:t>
            </w:r>
          </w:p>
        </w:tc>
        <w:tc>
          <w:tcPr>
            <w:tcW w:w="1149" w:type="dxa"/>
            <w:vAlign w:val="center"/>
            <w:hideMark/>
          </w:tcPr>
          <w:p w14:paraId="4B4C7790"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1</w:t>
            </w:r>
          </w:p>
        </w:tc>
        <w:tc>
          <w:tcPr>
            <w:tcW w:w="1256" w:type="dxa"/>
            <w:vAlign w:val="center"/>
            <w:hideMark/>
          </w:tcPr>
          <w:p w14:paraId="4F93AAE0"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4,7</w:t>
            </w:r>
          </w:p>
        </w:tc>
        <w:tc>
          <w:tcPr>
            <w:tcW w:w="1275" w:type="dxa"/>
            <w:vAlign w:val="center"/>
            <w:hideMark/>
          </w:tcPr>
          <w:p w14:paraId="6F0F2BDD"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4,5</w:t>
            </w:r>
          </w:p>
        </w:tc>
      </w:tr>
      <w:tr w:rsidR="00AA5591" w:rsidRPr="00AA5591" w14:paraId="36CF1D31" w14:textId="77777777" w:rsidTr="001B0074">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B363606" w14:textId="77777777" w:rsidR="00AA5591" w:rsidRPr="00AA5591" w:rsidRDefault="00AA5591" w:rsidP="00AA5591">
            <w:pPr>
              <w:spacing w:after="0"/>
              <w:ind w:firstLine="0"/>
              <w:jc w:val="left"/>
              <w:rPr>
                <w:color w:val="auto"/>
                <w:szCs w:val="24"/>
              </w:rPr>
            </w:pPr>
            <w:r w:rsidRPr="00AA5591">
              <w:rPr>
                <w:color w:val="auto"/>
                <w:szCs w:val="24"/>
              </w:rPr>
              <w:t>2. Aizsardzība</w:t>
            </w:r>
          </w:p>
        </w:tc>
        <w:tc>
          <w:tcPr>
            <w:tcW w:w="1149" w:type="dxa"/>
            <w:vAlign w:val="center"/>
            <w:hideMark/>
          </w:tcPr>
          <w:p w14:paraId="59FA34F5"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2</w:t>
            </w:r>
          </w:p>
        </w:tc>
        <w:tc>
          <w:tcPr>
            <w:tcW w:w="1256" w:type="dxa"/>
            <w:vAlign w:val="center"/>
            <w:hideMark/>
          </w:tcPr>
          <w:p w14:paraId="6ECE80AE"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1,0</w:t>
            </w:r>
          </w:p>
        </w:tc>
        <w:tc>
          <w:tcPr>
            <w:tcW w:w="1275" w:type="dxa"/>
            <w:vAlign w:val="center"/>
            <w:hideMark/>
          </w:tcPr>
          <w:p w14:paraId="032B7FB6"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1,4</w:t>
            </w:r>
          </w:p>
        </w:tc>
      </w:tr>
      <w:tr w:rsidR="00AA5591" w:rsidRPr="00AA5591" w14:paraId="13C89A9C" w14:textId="77777777" w:rsidTr="001B0074">
        <w:trPr>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29FC3DC" w14:textId="77777777" w:rsidR="00AA5591" w:rsidRPr="00AA5591" w:rsidRDefault="00AA5591" w:rsidP="00AA5591">
            <w:pPr>
              <w:spacing w:after="0"/>
              <w:ind w:firstLine="0"/>
              <w:jc w:val="left"/>
              <w:rPr>
                <w:color w:val="auto"/>
                <w:szCs w:val="24"/>
              </w:rPr>
            </w:pPr>
            <w:r w:rsidRPr="00AA5591">
              <w:rPr>
                <w:color w:val="auto"/>
                <w:szCs w:val="24"/>
              </w:rPr>
              <w:t>3. Sabiedriskā kārtība un drošība</w:t>
            </w:r>
          </w:p>
        </w:tc>
        <w:tc>
          <w:tcPr>
            <w:tcW w:w="1149" w:type="dxa"/>
            <w:vAlign w:val="center"/>
            <w:hideMark/>
          </w:tcPr>
          <w:p w14:paraId="05AC847E"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w:t>
            </w:r>
          </w:p>
        </w:tc>
        <w:tc>
          <w:tcPr>
            <w:tcW w:w="1256" w:type="dxa"/>
            <w:vAlign w:val="center"/>
            <w:hideMark/>
          </w:tcPr>
          <w:p w14:paraId="4663862D"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1,9</w:t>
            </w:r>
          </w:p>
        </w:tc>
        <w:tc>
          <w:tcPr>
            <w:tcW w:w="1275" w:type="dxa"/>
            <w:vAlign w:val="center"/>
            <w:hideMark/>
          </w:tcPr>
          <w:p w14:paraId="731F5339"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1,8</w:t>
            </w:r>
          </w:p>
        </w:tc>
      </w:tr>
      <w:tr w:rsidR="00AA5591" w:rsidRPr="00AA5591" w14:paraId="3ED147F7" w14:textId="77777777" w:rsidTr="001B0074">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1E0118A" w14:textId="77777777" w:rsidR="00AA5591" w:rsidRPr="00AA5591" w:rsidRDefault="00AA5591" w:rsidP="00AA5591">
            <w:pPr>
              <w:spacing w:after="0"/>
              <w:ind w:firstLine="0"/>
              <w:jc w:val="left"/>
              <w:rPr>
                <w:color w:val="auto"/>
                <w:szCs w:val="24"/>
              </w:rPr>
            </w:pPr>
            <w:r w:rsidRPr="00AA5591">
              <w:rPr>
                <w:color w:val="auto"/>
                <w:szCs w:val="24"/>
              </w:rPr>
              <w:t>4. Ekonomiskā darbība</w:t>
            </w:r>
          </w:p>
        </w:tc>
        <w:tc>
          <w:tcPr>
            <w:tcW w:w="1149" w:type="dxa"/>
            <w:vAlign w:val="center"/>
            <w:hideMark/>
          </w:tcPr>
          <w:p w14:paraId="116C4E18"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4</w:t>
            </w:r>
          </w:p>
        </w:tc>
        <w:tc>
          <w:tcPr>
            <w:tcW w:w="1256" w:type="dxa"/>
            <w:vAlign w:val="center"/>
            <w:hideMark/>
          </w:tcPr>
          <w:p w14:paraId="02FCA92B"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4,7</w:t>
            </w:r>
          </w:p>
        </w:tc>
        <w:tc>
          <w:tcPr>
            <w:tcW w:w="1275" w:type="dxa"/>
            <w:vAlign w:val="center"/>
            <w:hideMark/>
          </w:tcPr>
          <w:p w14:paraId="31F27DCF"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4,5</w:t>
            </w:r>
          </w:p>
        </w:tc>
      </w:tr>
      <w:tr w:rsidR="00AA5591" w:rsidRPr="00AA5591" w14:paraId="18D6FD8D" w14:textId="77777777" w:rsidTr="001B0074">
        <w:trPr>
          <w:trHeight w:val="19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7DC2B06F" w14:textId="77777777" w:rsidR="00AA5591" w:rsidRPr="00AA5591" w:rsidRDefault="00AA5591" w:rsidP="00AA5591">
            <w:pPr>
              <w:spacing w:after="0"/>
              <w:ind w:firstLine="0"/>
              <w:jc w:val="left"/>
              <w:rPr>
                <w:color w:val="auto"/>
                <w:szCs w:val="24"/>
              </w:rPr>
            </w:pPr>
            <w:r w:rsidRPr="00AA5591">
              <w:rPr>
                <w:color w:val="auto"/>
                <w:szCs w:val="24"/>
              </w:rPr>
              <w:t>5. Vides aizsardzība</w:t>
            </w:r>
          </w:p>
        </w:tc>
        <w:tc>
          <w:tcPr>
            <w:tcW w:w="1149" w:type="dxa"/>
            <w:vAlign w:val="center"/>
            <w:hideMark/>
          </w:tcPr>
          <w:p w14:paraId="23EE201A"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5</w:t>
            </w:r>
          </w:p>
        </w:tc>
        <w:tc>
          <w:tcPr>
            <w:tcW w:w="1256" w:type="dxa"/>
            <w:vAlign w:val="center"/>
            <w:hideMark/>
          </w:tcPr>
          <w:p w14:paraId="01525B9E"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0,7</w:t>
            </w:r>
          </w:p>
        </w:tc>
        <w:tc>
          <w:tcPr>
            <w:tcW w:w="1275" w:type="dxa"/>
            <w:vAlign w:val="center"/>
            <w:hideMark/>
          </w:tcPr>
          <w:p w14:paraId="4F916B87"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0,6</w:t>
            </w:r>
          </w:p>
        </w:tc>
      </w:tr>
      <w:tr w:rsidR="00AA5591" w:rsidRPr="00AA5591" w14:paraId="3284FD94" w14:textId="77777777" w:rsidTr="001B0074">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AC9D18F" w14:textId="77777777" w:rsidR="00AA5591" w:rsidRPr="00AA5591" w:rsidRDefault="00AA5591" w:rsidP="00AA5591">
            <w:pPr>
              <w:spacing w:after="0"/>
              <w:ind w:firstLine="0"/>
              <w:jc w:val="left"/>
              <w:rPr>
                <w:color w:val="auto"/>
                <w:szCs w:val="24"/>
              </w:rPr>
            </w:pPr>
            <w:r w:rsidRPr="00AA5591">
              <w:rPr>
                <w:color w:val="auto"/>
                <w:szCs w:val="24"/>
              </w:rPr>
              <w:t>6. Mājoklis un komunālā saimniecība</w:t>
            </w:r>
          </w:p>
        </w:tc>
        <w:tc>
          <w:tcPr>
            <w:tcW w:w="1149" w:type="dxa"/>
            <w:vAlign w:val="center"/>
            <w:hideMark/>
          </w:tcPr>
          <w:p w14:paraId="6DB84271"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6</w:t>
            </w:r>
          </w:p>
        </w:tc>
        <w:tc>
          <w:tcPr>
            <w:tcW w:w="1256" w:type="dxa"/>
            <w:vAlign w:val="center"/>
            <w:hideMark/>
          </w:tcPr>
          <w:p w14:paraId="50D9CDFA"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1,2</w:t>
            </w:r>
          </w:p>
        </w:tc>
        <w:tc>
          <w:tcPr>
            <w:tcW w:w="1275" w:type="dxa"/>
            <w:vAlign w:val="center"/>
            <w:hideMark/>
          </w:tcPr>
          <w:p w14:paraId="4EBFE36F"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1,1</w:t>
            </w:r>
          </w:p>
        </w:tc>
      </w:tr>
      <w:tr w:rsidR="00AA5591" w:rsidRPr="00AA5591" w14:paraId="41773CD1" w14:textId="77777777" w:rsidTr="001B0074">
        <w:trPr>
          <w:trHeight w:val="259"/>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300F1F4" w14:textId="77777777" w:rsidR="00AA5591" w:rsidRPr="00AA5591" w:rsidRDefault="00AA5591" w:rsidP="00AA5591">
            <w:pPr>
              <w:spacing w:after="0"/>
              <w:ind w:firstLine="0"/>
              <w:jc w:val="left"/>
              <w:rPr>
                <w:color w:val="auto"/>
                <w:szCs w:val="24"/>
              </w:rPr>
            </w:pPr>
            <w:r w:rsidRPr="00AA5591">
              <w:rPr>
                <w:color w:val="auto"/>
                <w:szCs w:val="24"/>
              </w:rPr>
              <w:t>7. Veselība</w:t>
            </w:r>
          </w:p>
        </w:tc>
        <w:tc>
          <w:tcPr>
            <w:tcW w:w="1149" w:type="dxa"/>
            <w:vAlign w:val="center"/>
            <w:hideMark/>
          </w:tcPr>
          <w:p w14:paraId="5ECC579A"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7</w:t>
            </w:r>
          </w:p>
        </w:tc>
        <w:tc>
          <w:tcPr>
            <w:tcW w:w="1256" w:type="dxa"/>
            <w:vAlign w:val="center"/>
            <w:hideMark/>
          </w:tcPr>
          <w:p w14:paraId="6049AA47"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3,6</w:t>
            </w:r>
          </w:p>
        </w:tc>
        <w:tc>
          <w:tcPr>
            <w:tcW w:w="1275" w:type="dxa"/>
            <w:vAlign w:val="center"/>
            <w:hideMark/>
          </w:tcPr>
          <w:p w14:paraId="05163EE3"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3,4</w:t>
            </w:r>
          </w:p>
        </w:tc>
      </w:tr>
      <w:tr w:rsidR="00AA5591" w:rsidRPr="00AA5591" w14:paraId="76C9A289" w14:textId="77777777" w:rsidTr="001B0074">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664FA2A" w14:textId="77777777" w:rsidR="00AA5591" w:rsidRPr="00AA5591" w:rsidRDefault="00AA5591" w:rsidP="00AA5591">
            <w:pPr>
              <w:spacing w:after="0"/>
              <w:ind w:firstLine="0"/>
              <w:jc w:val="left"/>
              <w:rPr>
                <w:color w:val="auto"/>
                <w:szCs w:val="24"/>
              </w:rPr>
            </w:pPr>
            <w:r w:rsidRPr="00AA5591">
              <w:rPr>
                <w:color w:val="auto"/>
                <w:szCs w:val="24"/>
              </w:rPr>
              <w:t>8. Atpūta, kultūra un reliģija</w:t>
            </w:r>
          </w:p>
        </w:tc>
        <w:tc>
          <w:tcPr>
            <w:tcW w:w="1149" w:type="dxa"/>
            <w:vAlign w:val="center"/>
            <w:hideMark/>
          </w:tcPr>
          <w:p w14:paraId="6E100643"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8</w:t>
            </w:r>
          </w:p>
        </w:tc>
        <w:tc>
          <w:tcPr>
            <w:tcW w:w="1256" w:type="dxa"/>
            <w:vAlign w:val="center"/>
            <w:hideMark/>
          </w:tcPr>
          <w:p w14:paraId="77CD38EA"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1,5</w:t>
            </w:r>
          </w:p>
        </w:tc>
        <w:tc>
          <w:tcPr>
            <w:tcW w:w="1275" w:type="dxa"/>
            <w:vAlign w:val="center"/>
            <w:hideMark/>
          </w:tcPr>
          <w:p w14:paraId="170D5D86"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1,4</w:t>
            </w:r>
          </w:p>
        </w:tc>
      </w:tr>
      <w:tr w:rsidR="00AA5591" w:rsidRPr="00AA5591" w14:paraId="49D75B81" w14:textId="77777777" w:rsidTr="001B0074">
        <w:trPr>
          <w:trHeight w:val="25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06D5F33" w14:textId="77777777" w:rsidR="00AA5591" w:rsidRPr="00AA5591" w:rsidRDefault="00AA5591" w:rsidP="00AA5591">
            <w:pPr>
              <w:spacing w:after="0"/>
              <w:ind w:firstLine="0"/>
              <w:jc w:val="left"/>
              <w:rPr>
                <w:color w:val="auto"/>
                <w:szCs w:val="24"/>
              </w:rPr>
            </w:pPr>
            <w:r w:rsidRPr="00AA5591">
              <w:rPr>
                <w:color w:val="auto"/>
                <w:szCs w:val="24"/>
              </w:rPr>
              <w:t>9. Izglītība</w:t>
            </w:r>
          </w:p>
        </w:tc>
        <w:tc>
          <w:tcPr>
            <w:tcW w:w="1149" w:type="dxa"/>
            <w:vAlign w:val="center"/>
            <w:hideMark/>
          </w:tcPr>
          <w:p w14:paraId="22AAC02B"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9</w:t>
            </w:r>
          </w:p>
        </w:tc>
        <w:tc>
          <w:tcPr>
            <w:tcW w:w="1256" w:type="dxa"/>
            <w:vAlign w:val="center"/>
            <w:hideMark/>
          </w:tcPr>
          <w:p w14:paraId="0B9AE9E5"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5,6</w:t>
            </w:r>
          </w:p>
        </w:tc>
        <w:tc>
          <w:tcPr>
            <w:tcW w:w="1275" w:type="dxa"/>
            <w:vAlign w:val="center"/>
            <w:hideMark/>
          </w:tcPr>
          <w:p w14:paraId="510BB97A"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5,4</w:t>
            </w:r>
          </w:p>
        </w:tc>
      </w:tr>
      <w:tr w:rsidR="00AA5591" w:rsidRPr="00AA5591" w14:paraId="2FAC6436" w14:textId="77777777" w:rsidTr="001B0074">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65DE4A10" w14:textId="77777777" w:rsidR="00AA5591" w:rsidRPr="00AA5591" w:rsidRDefault="00AA5591" w:rsidP="00AA5591">
            <w:pPr>
              <w:spacing w:after="0"/>
              <w:ind w:firstLine="0"/>
              <w:jc w:val="left"/>
              <w:rPr>
                <w:color w:val="auto"/>
                <w:szCs w:val="24"/>
              </w:rPr>
            </w:pPr>
            <w:r w:rsidRPr="00AA5591">
              <w:rPr>
                <w:color w:val="auto"/>
                <w:szCs w:val="24"/>
              </w:rPr>
              <w:t>10. Sociālā aizsardzība</w:t>
            </w:r>
          </w:p>
        </w:tc>
        <w:tc>
          <w:tcPr>
            <w:tcW w:w="1149" w:type="dxa"/>
            <w:vAlign w:val="center"/>
            <w:hideMark/>
          </w:tcPr>
          <w:p w14:paraId="058F232A"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10</w:t>
            </w:r>
          </w:p>
        </w:tc>
        <w:tc>
          <w:tcPr>
            <w:tcW w:w="1256" w:type="dxa"/>
            <w:vAlign w:val="center"/>
            <w:hideMark/>
          </w:tcPr>
          <w:p w14:paraId="5F44C192"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11,4</w:t>
            </w:r>
          </w:p>
        </w:tc>
        <w:tc>
          <w:tcPr>
            <w:tcW w:w="1275" w:type="dxa"/>
            <w:vAlign w:val="center"/>
            <w:hideMark/>
          </w:tcPr>
          <w:p w14:paraId="6BC2EA88" w14:textId="77777777" w:rsidR="00AA5591" w:rsidRPr="00AA5591" w:rsidRDefault="00AA559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11,0</w:t>
            </w:r>
          </w:p>
        </w:tc>
      </w:tr>
      <w:tr w:rsidR="00AA5591" w:rsidRPr="00AA5591" w14:paraId="15AFC6A1" w14:textId="77777777" w:rsidTr="001B0074">
        <w:trPr>
          <w:trHeight w:val="207"/>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38D2863" w14:textId="77777777" w:rsidR="00AA5591" w:rsidRPr="00AA5591" w:rsidRDefault="00AA5591" w:rsidP="00AA5591">
            <w:pPr>
              <w:spacing w:after="0"/>
              <w:ind w:firstLine="0"/>
              <w:jc w:val="left"/>
              <w:rPr>
                <w:color w:val="auto"/>
                <w:szCs w:val="24"/>
              </w:rPr>
            </w:pPr>
            <w:r w:rsidRPr="00AA5591">
              <w:rPr>
                <w:color w:val="auto"/>
                <w:szCs w:val="24"/>
              </w:rPr>
              <w:t>11. Kopējie izdevumi</w:t>
            </w:r>
          </w:p>
        </w:tc>
        <w:tc>
          <w:tcPr>
            <w:tcW w:w="1149" w:type="dxa"/>
            <w:vAlign w:val="center"/>
            <w:hideMark/>
          </w:tcPr>
          <w:p w14:paraId="6499F928" w14:textId="256BFC22"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TE</w:t>
            </w:r>
          </w:p>
        </w:tc>
        <w:tc>
          <w:tcPr>
            <w:tcW w:w="1256" w:type="dxa"/>
            <w:vAlign w:val="center"/>
            <w:hideMark/>
          </w:tcPr>
          <w:p w14:paraId="01F87037"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36,2</w:t>
            </w:r>
          </w:p>
        </w:tc>
        <w:tc>
          <w:tcPr>
            <w:tcW w:w="1275" w:type="dxa"/>
            <w:vAlign w:val="center"/>
            <w:hideMark/>
          </w:tcPr>
          <w:p w14:paraId="32F5AB0C" w14:textId="77777777" w:rsidR="00AA5591" w:rsidRPr="00AA5591" w:rsidRDefault="00AA559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35,3</w:t>
            </w:r>
          </w:p>
        </w:tc>
      </w:tr>
    </w:tbl>
    <w:p w14:paraId="06D84D16" w14:textId="1363BBBF" w:rsidR="005C0B54" w:rsidRDefault="00AA5591">
      <w:pPr>
        <w:spacing w:after="0"/>
        <w:ind w:firstLine="0"/>
        <w:jc w:val="left"/>
        <w:rPr>
          <w:rFonts w:ascii="Cambria" w:hAnsi="Cambria"/>
          <w:bCs/>
          <w:color w:val="365F91"/>
          <w:sz w:val="20"/>
          <w:szCs w:val="28"/>
          <w:lang w:val="x-none" w:eastAsia="x-none"/>
        </w:rPr>
      </w:pPr>
      <w:r>
        <w:rPr>
          <w:b/>
        </w:rPr>
        <w:t xml:space="preserve"> </w:t>
      </w:r>
      <w:r w:rsidR="005C0B54">
        <w:rPr>
          <w:b/>
        </w:rPr>
        <w:br w:type="page"/>
      </w:r>
    </w:p>
    <w:p w14:paraId="08C4CD60" w14:textId="77777777" w:rsidR="004A10AB" w:rsidRPr="004A10AB" w:rsidRDefault="004A10AB" w:rsidP="004A10AB">
      <w:pPr>
        <w:spacing w:after="60" w:line="276" w:lineRule="auto"/>
        <w:ind w:firstLine="720"/>
        <w:rPr>
          <w:rFonts w:eastAsia="Calibri"/>
          <w:szCs w:val="24"/>
        </w:rPr>
      </w:pPr>
      <w:r w:rsidRPr="004A10AB">
        <w:rPr>
          <w:rFonts w:eastAsia="Calibri"/>
          <w:szCs w:val="24"/>
        </w:rPr>
        <w:t>2016.gada valsts budžeta projekts sagatavots ievērojot šādus pamatprincipus:</w:t>
      </w:r>
    </w:p>
    <w:p w14:paraId="01078324" w14:textId="3C0A5FA2" w:rsidR="004A10AB" w:rsidRPr="004A10AB" w:rsidRDefault="004A10AB" w:rsidP="004A10AB">
      <w:pPr>
        <w:pStyle w:val="ListParagraph"/>
        <w:numPr>
          <w:ilvl w:val="0"/>
          <w:numId w:val="10"/>
        </w:numPr>
        <w:spacing w:after="60"/>
        <w:jc w:val="both"/>
        <w:rPr>
          <w:rFonts w:ascii="Times New Roman" w:eastAsia="Calibri" w:hAnsi="Times New Roman"/>
          <w:sz w:val="24"/>
          <w:szCs w:val="24"/>
        </w:rPr>
      </w:pPr>
      <w:r w:rsidRPr="004A10AB">
        <w:rPr>
          <w:rFonts w:ascii="Times New Roman" w:eastAsia="Calibri" w:hAnsi="Times New Roman"/>
          <w:sz w:val="24"/>
          <w:szCs w:val="24"/>
          <w:u w:val="single"/>
          <w:lang w:val="lv-LV" w:eastAsia="en-US"/>
        </w:rPr>
        <w:t>Valsts ārējo un iekšēj</w:t>
      </w:r>
      <w:r w:rsidR="00B5081E">
        <w:rPr>
          <w:rFonts w:ascii="Times New Roman" w:eastAsia="Calibri" w:hAnsi="Times New Roman"/>
          <w:sz w:val="24"/>
          <w:szCs w:val="24"/>
          <w:u w:val="single"/>
          <w:lang w:val="lv-LV" w:eastAsia="en-US"/>
        </w:rPr>
        <w:t>o aizsardzības spēju uzlabošana.</w:t>
      </w:r>
      <w:r w:rsidRPr="004A10AB">
        <w:rPr>
          <w:rFonts w:ascii="Times New Roman" w:eastAsia="Calibri" w:hAnsi="Times New Roman"/>
          <w:sz w:val="24"/>
          <w:szCs w:val="24"/>
          <w:lang w:val="lv-LV" w:eastAsia="en-US"/>
        </w:rPr>
        <w:t xml:space="preserve"> </w:t>
      </w:r>
      <w:r w:rsidR="00B5081E">
        <w:rPr>
          <w:rFonts w:ascii="Times New Roman" w:eastAsia="Calibri" w:hAnsi="Times New Roman"/>
          <w:sz w:val="24"/>
          <w:szCs w:val="24"/>
          <w:lang w:val="lv-LV" w:eastAsia="en-US"/>
        </w:rPr>
        <w:t>Ņ</w:t>
      </w:r>
      <w:r w:rsidRPr="004A10AB">
        <w:rPr>
          <w:rFonts w:ascii="Times New Roman" w:eastAsia="Calibri" w:hAnsi="Times New Roman"/>
          <w:sz w:val="24"/>
          <w:szCs w:val="24"/>
          <w:lang w:val="lv-LV" w:eastAsia="en-US"/>
        </w:rPr>
        <w:t xml:space="preserve">emot vērā joprojām nestabilo drošības situāciju reģionā, valdība uzskata par absolūto nepieciešamību </w:t>
      </w:r>
      <w:r w:rsidR="00AB137F">
        <w:rPr>
          <w:rFonts w:ascii="Times New Roman" w:eastAsia="Calibri" w:hAnsi="Times New Roman"/>
          <w:sz w:val="24"/>
          <w:szCs w:val="24"/>
          <w:lang w:val="lv-LV" w:eastAsia="en-US"/>
        </w:rPr>
        <w:t>paaugstināt</w:t>
      </w:r>
      <w:r w:rsidRPr="004A10AB">
        <w:rPr>
          <w:rFonts w:ascii="Times New Roman" w:eastAsia="Calibri" w:hAnsi="Times New Roman"/>
          <w:sz w:val="24"/>
          <w:szCs w:val="24"/>
          <w:lang w:val="lv-LV" w:eastAsia="en-US"/>
        </w:rPr>
        <w:t xml:space="preserve"> valsts aizsardzības kapacitāti, straujāk kāpinot finansējumu aizsardzības nozarei. Svarīgi ir atzīmēt, ka papildus izdevumu pieaugums tika nodrošinās pieejamās fiskālās telpas ietvaros, nodrošinot fiskālo nosacījumu ievērošanu. </w:t>
      </w:r>
    </w:p>
    <w:p w14:paraId="183EB673" w14:textId="6352E749" w:rsidR="004A10AB" w:rsidRPr="002E5780" w:rsidRDefault="004A10AB" w:rsidP="004A10AB">
      <w:pPr>
        <w:pStyle w:val="ListParagraph"/>
        <w:numPr>
          <w:ilvl w:val="0"/>
          <w:numId w:val="10"/>
        </w:numPr>
        <w:spacing w:after="60"/>
        <w:jc w:val="both"/>
        <w:rPr>
          <w:rFonts w:ascii="Times New Roman" w:eastAsia="Calibri" w:hAnsi="Times New Roman"/>
          <w:sz w:val="24"/>
          <w:szCs w:val="24"/>
          <w:lang w:val="lv-LV" w:eastAsia="en-US"/>
        </w:rPr>
      </w:pPr>
      <w:r w:rsidRPr="004A10AB">
        <w:rPr>
          <w:rFonts w:ascii="Times New Roman" w:eastAsia="Calibri" w:hAnsi="Times New Roman"/>
          <w:sz w:val="24"/>
          <w:szCs w:val="24"/>
          <w:u w:val="single"/>
          <w:lang w:val="lv-LV" w:eastAsia="en-US"/>
        </w:rPr>
        <w:t xml:space="preserve">Limitēts valdības atbalsts citām prioritārajām nozarēm. </w:t>
      </w:r>
      <w:r w:rsidRPr="004A10AB">
        <w:rPr>
          <w:rFonts w:ascii="Times New Roman" w:eastAsia="Calibri" w:hAnsi="Times New Roman"/>
          <w:sz w:val="24"/>
          <w:szCs w:val="24"/>
          <w:lang w:val="lv-LV" w:eastAsia="en-US"/>
        </w:rPr>
        <w:t>Šogad budžeta izstrāde sākās ar nepieciešamību novērst negatīvu fiskālo telpu. Valdības pieņemtie lēmumi</w:t>
      </w:r>
      <w:r w:rsidR="00AB137F">
        <w:rPr>
          <w:rFonts w:ascii="Times New Roman" w:eastAsia="Calibri" w:hAnsi="Times New Roman"/>
          <w:sz w:val="24"/>
          <w:szCs w:val="24"/>
          <w:lang w:val="lv-LV" w:eastAsia="en-US"/>
        </w:rPr>
        <w:t>,</w:t>
      </w:r>
      <w:r w:rsidRPr="004A10AB">
        <w:rPr>
          <w:rFonts w:ascii="Times New Roman" w:eastAsia="Calibri" w:hAnsi="Times New Roman"/>
          <w:sz w:val="24"/>
          <w:szCs w:val="24"/>
          <w:lang w:val="lv-LV" w:eastAsia="en-US"/>
        </w:rPr>
        <w:t xml:space="preserve"> palielinot ieņēmumus un samazinot izdevumus, tādā veidā likvidējot negatīvo fiskālo telpu un rodot finansējumu aizsardzībai un iekšējai drošībai</w:t>
      </w:r>
      <w:r w:rsidR="00AB137F">
        <w:rPr>
          <w:rFonts w:ascii="Times New Roman" w:eastAsia="Calibri" w:hAnsi="Times New Roman"/>
          <w:sz w:val="24"/>
          <w:szCs w:val="24"/>
          <w:lang w:val="lv-LV" w:eastAsia="en-US"/>
        </w:rPr>
        <w:t>,</w:t>
      </w:r>
      <w:r w:rsidRPr="004A10AB">
        <w:rPr>
          <w:rFonts w:ascii="Times New Roman" w:eastAsia="Calibri" w:hAnsi="Times New Roman"/>
          <w:sz w:val="24"/>
          <w:szCs w:val="24"/>
          <w:lang w:val="lv-LV" w:eastAsia="en-US"/>
        </w:rPr>
        <w:t xml:space="preserve"> deva iespēju piešķirt papildu finansējumu citām nozarēm tikai ļoti limitētā ap</w:t>
      </w:r>
      <w:r w:rsidR="00AB137F">
        <w:rPr>
          <w:rFonts w:ascii="Times New Roman" w:eastAsia="Calibri" w:hAnsi="Times New Roman"/>
          <w:sz w:val="24"/>
          <w:szCs w:val="24"/>
          <w:lang w:val="lv-LV" w:eastAsia="en-US"/>
        </w:rPr>
        <w:t xml:space="preserve">jomā – </w:t>
      </w:r>
      <w:r w:rsidRPr="004A10AB">
        <w:rPr>
          <w:rFonts w:ascii="Times New Roman" w:eastAsia="Calibri" w:hAnsi="Times New Roman"/>
          <w:sz w:val="24"/>
          <w:szCs w:val="24"/>
          <w:lang w:val="lv-LV" w:eastAsia="en-US"/>
        </w:rPr>
        <w:t xml:space="preserve">tāpēc bez aizsardzības un iekšējās drošības šajā </w:t>
      </w:r>
      <w:r w:rsidR="001D45F3">
        <w:rPr>
          <w:rFonts w:ascii="Times New Roman" w:eastAsia="Calibri" w:hAnsi="Times New Roman"/>
          <w:sz w:val="24"/>
          <w:szCs w:val="24"/>
          <w:lang w:val="lv-LV" w:eastAsia="en-US"/>
        </w:rPr>
        <w:t>vidēja termiņa budžeta ietvara likuma projektā</w:t>
      </w:r>
      <w:r w:rsidRPr="004A10AB">
        <w:rPr>
          <w:rFonts w:ascii="Times New Roman" w:eastAsia="Calibri" w:hAnsi="Times New Roman"/>
          <w:sz w:val="24"/>
          <w:szCs w:val="24"/>
          <w:lang w:val="lv-LV" w:eastAsia="en-US"/>
        </w:rPr>
        <w:t xml:space="preserve"> tika </w:t>
      </w:r>
      <w:r w:rsidRPr="002E5780">
        <w:rPr>
          <w:rFonts w:ascii="Times New Roman" w:eastAsia="Calibri" w:hAnsi="Times New Roman"/>
          <w:sz w:val="24"/>
          <w:szCs w:val="24"/>
          <w:lang w:val="lv-LV" w:eastAsia="en-US"/>
        </w:rPr>
        <w:t xml:space="preserve">noteiktas tikai divas papildu prioritātes – veselība un izglītība.   </w:t>
      </w:r>
    </w:p>
    <w:p w14:paraId="4DCF1FC6" w14:textId="097758B2" w:rsidR="002E5780" w:rsidRPr="0020255E" w:rsidRDefault="004A10AB" w:rsidP="0020255E">
      <w:pPr>
        <w:pStyle w:val="ListParagraph"/>
        <w:numPr>
          <w:ilvl w:val="0"/>
          <w:numId w:val="10"/>
        </w:numPr>
        <w:spacing w:after="60"/>
        <w:jc w:val="both"/>
        <w:rPr>
          <w:rFonts w:ascii="Times New Roman" w:eastAsia="Calibri" w:hAnsi="Times New Roman"/>
          <w:sz w:val="24"/>
          <w:szCs w:val="24"/>
        </w:rPr>
      </w:pPr>
      <w:r w:rsidRPr="002E5780">
        <w:rPr>
          <w:rFonts w:ascii="Times New Roman" w:eastAsia="Calibri" w:hAnsi="Times New Roman"/>
          <w:sz w:val="24"/>
          <w:szCs w:val="24"/>
          <w:u w:val="single"/>
          <w:lang w:val="lv-LV" w:eastAsia="en-US"/>
        </w:rPr>
        <w:t>Nodokļu iekasējamības palielināšana, virzoties uz nodokļu ieņēmumu apjomu pret iekšzemes kopproduktu 1/3 apmērā.</w:t>
      </w:r>
      <w:r w:rsidRPr="002E5780">
        <w:rPr>
          <w:rFonts w:ascii="Times New Roman" w:eastAsia="Calibri" w:hAnsi="Times New Roman"/>
          <w:sz w:val="24"/>
          <w:szCs w:val="24"/>
          <w:lang w:val="lv-LV" w:eastAsia="en-US"/>
        </w:rPr>
        <w:t xml:space="preserve"> </w:t>
      </w:r>
      <w:r w:rsidR="0020255E" w:rsidRPr="0020255E">
        <w:rPr>
          <w:rFonts w:ascii="Times New Roman" w:eastAsia="Calibri" w:hAnsi="Times New Roman"/>
          <w:sz w:val="24"/>
          <w:szCs w:val="24"/>
          <w:lang w:val="lv-LV" w:eastAsia="en-US"/>
        </w:rPr>
        <w:t xml:space="preserve">Latvija tradicionāli ir valsts ar relatīvi zemu nodokļu slogu, kas ir arī viens no zemākajiem rādītājiem ES, tomēr aktuālie valdības lēmumi, kas paredz pārskatīt atsevišķus nodokļu politikas aspektus nodrošina, ka turpmākajos gados nodokļu ieņēmumu attiecība pret IKP stabilizēsies un vidējā termiņā būs ar pieaugošu tendenci. </w:t>
      </w:r>
    </w:p>
    <w:p w14:paraId="7A54D85A" w14:textId="6B4DD7C0" w:rsidR="00B65C08" w:rsidRPr="002E5780" w:rsidRDefault="004A10AB" w:rsidP="002E5780">
      <w:pPr>
        <w:pStyle w:val="ListParagraph"/>
        <w:numPr>
          <w:ilvl w:val="0"/>
          <w:numId w:val="10"/>
        </w:numPr>
        <w:spacing w:after="60"/>
        <w:jc w:val="both"/>
        <w:rPr>
          <w:rFonts w:ascii="Times New Roman" w:eastAsia="Calibri" w:hAnsi="Times New Roman"/>
          <w:sz w:val="24"/>
          <w:szCs w:val="24"/>
        </w:rPr>
      </w:pPr>
      <w:r w:rsidRPr="002E5780">
        <w:rPr>
          <w:rFonts w:ascii="Times New Roman" w:eastAsia="Calibri" w:hAnsi="Times New Roman"/>
          <w:sz w:val="24"/>
          <w:szCs w:val="24"/>
          <w:u w:val="single"/>
          <w:lang w:val="lv-LV" w:eastAsia="en-US"/>
        </w:rPr>
        <w:t>Iedzīvotāju ienākumu nevienlīdzības mazināšana</w:t>
      </w:r>
      <w:r w:rsidRPr="002E5780">
        <w:rPr>
          <w:rFonts w:ascii="Times New Roman" w:eastAsia="Calibri" w:hAnsi="Times New Roman"/>
          <w:sz w:val="24"/>
          <w:szCs w:val="24"/>
          <w:lang w:val="lv-LV" w:eastAsia="en-US"/>
        </w:rPr>
        <w:t xml:space="preserve">. Sociālās un ienākumu nevienlīdzības mazināšanai no 2016.gada ir paredzēts palielināt minimālo algu no 360 uz 370 </w:t>
      </w:r>
      <w:r w:rsidRPr="007D2E71">
        <w:rPr>
          <w:rFonts w:ascii="Times New Roman" w:eastAsia="Calibri" w:hAnsi="Times New Roman"/>
          <w:i/>
          <w:sz w:val="24"/>
          <w:szCs w:val="24"/>
          <w:lang w:val="lv-LV" w:eastAsia="en-US"/>
        </w:rPr>
        <w:t>euro</w:t>
      </w:r>
      <w:r w:rsidRPr="002E5780">
        <w:rPr>
          <w:rFonts w:ascii="Times New Roman" w:eastAsia="Calibri" w:hAnsi="Times New Roman"/>
          <w:sz w:val="24"/>
          <w:szCs w:val="24"/>
          <w:lang w:val="lv-LV" w:eastAsia="en-US"/>
        </w:rPr>
        <w:t xml:space="preserve">, palielināt neapliekamo minimumu no 75 uz 85 </w:t>
      </w:r>
      <w:r w:rsidRPr="007D2E71">
        <w:rPr>
          <w:rFonts w:ascii="Times New Roman" w:eastAsia="Calibri" w:hAnsi="Times New Roman"/>
          <w:i/>
          <w:sz w:val="24"/>
          <w:szCs w:val="24"/>
          <w:lang w:val="lv-LV" w:eastAsia="en-US"/>
        </w:rPr>
        <w:t>euro</w:t>
      </w:r>
      <w:r w:rsidRPr="002E5780">
        <w:rPr>
          <w:rFonts w:ascii="Times New Roman" w:eastAsia="Calibri" w:hAnsi="Times New Roman"/>
          <w:sz w:val="24"/>
          <w:szCs w:val="24"/>
          <w:lang w:val="lv-LV" w:eastAsia="en-US"/>
        </w:rPr>
        <w:t>, kā arī uzsākt diferencētā neapliekamā minimuma ieviešanas procesu. Pašreizējā valdības politika paredz arī turpināt sniegt atbalstu iedzīvotājiem obligātās iepirkuma komponentes kompensēšanai elektroenerģijas gala tarifā, attiecīgi nodrošinot gan horizontālu atbalstu, gan arī papildus atbalstot aizsargātās iedzīvotāju grupas.</w:t>
      </w:r>
      <w:r w:rsidRPr="002E5780">
        <w:rPr>
          <w:rFonts w:ascii="Times New Roman" w:eastAsia="Calibri" w:hAnsi="Times New Roman"/>
          <w:sz w:val="23"/>
          <w:szCs w:val="23"/>
          <w:lang w:val="lv-LV" w:eastAsia="en-US"/>
        </w:rPr>
        <w:t xml:space="preserve">  </w:t>
      </w:r>
      <w:r w:rsidR="00F2548B" w:rsidRPr="00976103">
        <w:br w:type="page"/>
      </w:r>
    </w:p>
    <w:p w14:paraId="23FCFC8B" w14:textId="77777777" w:rsidR="00B65C08" w:rsidRDefault="00B65C08" w:rsidP="00B65C08">
      <w:pPr>
        <w:spacing w:after="60"/>
        <w:ind w:firstLine="0"/>
        <w:rPr>
          <w:rFonts w:eastAsia="Calibri"/>
          <w:sz w:val="23"/>
          <w:szCs w:val="23"/>
        </w:rPr>
        <w:sectPr w:rsidR="00B65C08" w:rsidSect="002E3D3D">
          <w:headerReference w:type="default" r:id="rId52"/>
          <w:pgSz w:w="11906" w:h="16838"/>
          <w:pgMar w:top="1418" w:right="1134" w:bottom="1418" w:left="1701" w:header="567" w:footer="737" w:gutter="0"/>
          <w:pgNumType w:start="3"/>
          <w:cols w:space="708"/>
          <w:docGrid w:linePitch="360"/>
        </w:sectPr>
      </w:pPr>
    </w:p>
    <w:p w14:paraId="3B71201C" w14:textId="324552DD" w:rsidR="00514698" w:rsidRPr="00685A33" w:rsidRDefault="00D243AB" w:rsidP="00B65C08">
      <w:pPr>
        <w:pStyle w:val="Heading1"/>
        <w:tabs>
          <w:tab w:val="left" w:pos="1276"/>
        </w:tabs>
        <w:spacing w:before="0" w:after="240"/>
        <w:ind w:left="1276" w:hanging="1276"/>
        <w:jc w:val="left"/>
        <w:rPr>
          <w:rFonts w:ascii="Times New Roman" w:hAnsi="Times New Roman"/>
          <w:color w:val="18185F"/>
          <w:sz w:val="24"/>
        </w:rPr>
      </w:pPr>
      <w:bookmarkStart w:id="17" w:name="_Toc431197093"/>
      <w:r w:rsidRPr="00685A33">
        <w:rPr>
          <w:rFonts w:ascii="Times New Roman" w:hAnsi="Times New Roman"/>
          <w:color w:val="18185F"/>
          <w:sz w:val="24"/>
        </w:rPr>
        <w:t>Tabula 5</w:t>
      </w:r>
      <w:r w:rsidRPr="00685A33">
        <w:rPr>
          <w:rFonts w:ascii="Times New Roman" w:hAnsi="Times New Roman"/>
          <w:color w:val="18185F"/>
          <w:sz w:val="24"/>
          <w:lang w:val="lv-LV"/>
        </w:rPr>
        <w:t>:</w:t>
      </w:r>
      <w:r w:rsidR="00514698" w:rsidRPr="00685A33">
        <w:rPr>
          <w:rFonts w:ascii="Times New Roman" w:hAnsi="Times New Roman"/>
          <w:color w:val="18185F"/>
          <w:sz w:val="24"/>
        </w:rPr>
        <w:t xml:space="preserve">  Diskrecionāro pasākumu apraksts, kas iekļauti budžeta projektā</w:t>
      </w:r>
      <w:bookmarkEnd w:id="17"/>
    </w:p>
    <w:p w14:paraId="74F84A76" w14:textId="02CBD174" w:rsidR="008F7818" w:rsidRPr="00685A33" w:rsidRDefault="00B65C08" w:rsidP="00685A33">
      <w:pPr>
        <w:pStyle w:val="Heading1"/>
        <w:tabs>
          <w:tab w:val="left" w:pos="1276"/>
        </w:tabs>
        <w:spacing w:before="0" w:after="240"/>
        <w:ind w:left="1276" w:hanging="1276"/>
        <w:jc w:val="left"/>
        <w:rPr>
          <w:rFonts w:ascii="Times New Roman" w:hAnsi="Times New Roman"/>
          <w:color w:val="18185F"/>
          <w:sz w:val="24"/>
          <w:lang w:val="lv-LV"/>
        </w:rPr>
      </w:pPr>
      <w:bookmarkStart w:id="18" w:name="_Toc430608615"/>
      <w:bookmarkStart w:id="19" w:name="_Toc431197094"/>
      <w:r w:rsidRPr="00685A33">
        <w:rPr>
          <w:rFonts w:ascii="Times New Roman" w:hAnsi="Times New Roman"/>
          <w:color w:val="18185F"/>
          <w:sz w:val="24"/>
        </w:rPr>
        <w:t>5.a</w:t>
      </w:r>
      <w:r w:rsidR="00514698" w:rsidRPr="00685A33">
        <w:rPr>
          <w:rFonts w:ascii="Times New Roman" w:hAnsi="Times New Roman"/>
          <w:color w:val="18185F"/>
          <w:sz w:val="24"/>
          <w:lang w:val="lv-LV"/>
        </w:rPr>
        <w:t>.i)</w:t>
      </w:r>
      <w:r w:rsidRPr="00685A33">
        <w:rPr>
          <w:rFonts w:ascii="Times New Roman" w:hAnsi="Times New Roman"/>
          <w:color w:val="18185F"/>
          <w:sz w:val="24"/>
        </w:rPr>
        <w:t xml:space="preserve"> </w:t>
      </w:r>
      <w:r w:rsidR="009815BB" w:rsidRPr="00685A33">
        <w:rPr>
          <w:rFonts w:ascii="Times New Roman" w:hAnsi="Times New Roman"/>
          <w:color w:val="18185F"/>
          <w:sz w:val="24"/>
        </w:rPr>
        <w:t xml:space="preserve">Diskrecionārie </w:t>
      </w:r>
      <w:r w:rsidR="00514698" w:rsidRPr="00685A33">
        <w:rPr>
          <w:rFonts w:ascii="Times New Roman" w:hAnsi="Times New Roman"/>
          <w:color w:val="18185F"/>
          <w:sz w:val="24"/>
          <w:lang w:val="lv-LV"/>
        </w:rPr>
        <w:t xml:space="preserve">ieņēmumu </w:t>
      </w:r>
      <w:r w:rsidR="009815BB" w:rsidRPr="00685A33">
        <w:rPr>
          <w:rFonts w:ascii="Times New Roman" w:hAnsi="Times New Roman"/>
          <w:color w:val="18185F"/>
          <w:sz w:val="24"/>
        </w:rPr>
        <w:t xml:space="preserve">pasākumi </w:t>
      </w:r>
      <w:r w:rsidR="00E34DDA" w:rsidRPr="00685A33">
        <w:rPr>
          <w:rFonts w:ascii="Times New Roman" w:hAnsi="Times New Roman"/>
          <w:color w:val="18185F"/>
          <w:sz w:val="24"/>
        </w:rPr>
        <w:t>visp</w:t>
      </w:r>
      <w:r w:rsidR="00E34DDA" w:rsidRPr="00685A33">
        <w:rPr>
          <w:rFonts w:ascii="Times New Roman" w:hAnsi="Times New Roman"/>
          <w:color w:val="18185F"/>
          <w:sz w:val="24"/>
          <w:lang w:val="lv-LV"/>
        </w:rPr>
        <w:t>ārējās valdības budžetā</w:t>
      </w:r>
      <w:bookmarkEnd w:id="18"/>
      <w:r w:rsidR="008F1D6E">
        <w:rPr>
          <w:rStyle w:val="FootnoteReference"/>
          <w:color w:val="18185F"/>
          <w:lang w:val="lv-LV"/>
        </w:rPr>
        <w:footnoteReference w:id="4"/>
      </w:r>
      <w:bookmarkEnd w:id="19"/>
    </w:p>
    <w:tbl>
      <w:tblPr>
        <w:tblStyle w:val="GridTable6Colorful-Accent11"/>
        <w:tblW w:w="15173" w:type="dxa"/>
        <w:tblInd w:w="-147" w:type="dxa"/>
        <w:tblLook w:val="04A0" w:firstRow="1" w:lastRow="0" w:firstColumn="1" w:lastColumn="0" w:noHBand="0" w:noVBand="1"/>
      </w:tblPr>
      <w:tblGrid>
        <w:gridCol w:w="3124"/>
        <w:gridCol w:w="4253"/>
        <w:gridCol w:w="1275"/>
        <w:gridCol w:w="851"/>
        <w:gridCol w:w="1134"/>
        <w:gridCol w:w="1984"/>
        <w:gridCol w:w="851"/>
        <w:gridCol w:w="850"/>
        <w:gridCol w:w="851"/>
      </w:tblGrid>
      <w:tr w:rsidR="00220066" w:rsidRPr="00220066" w14:paraId="2E36EF06" w14:textId="77777777" w:rsidTr="00312CC8">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45A9DCD8" w14:textId="77777777" w:rsidR="000E7810" w:rsidRPr="00220066" w:rsidRDefault="000E7810" w:rsidP="00220066">
            <w:pPr>
              <w:spacing w:after="0"/>
              <w:ind w:firstLine="0"/>
              <w:jc w:val="center"/>
              <w:rPr>
                <w:color w:val="auto"/>
                <w:sz w:val="20"/>
                <w:lang w:eastAsia="lv-LV"/>
              </w:rPr>
            </w:pPr>
            <w:r w:rsidRPr="00220066">
              <w:rPr>
                <w:color w:val="auto"/>
                <w:sz w:val="20"/>
                <w:lang w:eastAsia="lv-LV"/>
              </w:rPr>
              <w:t>Pasākumu saraksts</w:t>
            </w:r>
          </w:p>
        </w:tc>
        <w:tc>
          <w:tcPr>
            <w:tcW w:w="4253" w:type="dxa"/>
            <w:vMerge w:val="restart"/>
            <w:vAlign w:val="center"/>
            <w:hideMark/>
          </w:tcPr>
          <w:p w14:paraId="208A1DB7" w14:textId="2FF2CCA7" w:rsidR="000E7810" w:rsidRPr="00220066" w:rsidRDefault="00220066"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Detalizēts apraksts</w:t>
            </w:r>
          </w:p>
        </w:tc>
        <w:tc>
          <w:tcPr>
            <w:tcW w:w="1275" w:type="dxa"/>
            <w:vMerge w:val="restart"/>
            <w:vAlign w:val="center"/>
            <w:hideMark/>
          </w:tcPr>
          <w:p w14:paraId="6DA2C7C0"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Nodokļu veids</w:t>
            </w:r>
          </w:p>
        </w:tc>
        <w:tc>
          <w:tcPr>
            <w:tcW w:w="851" w:type="dxa"/>
            <w:vMerge w:val="restart"/>
            <w:vAlign w:val="center"/>
            <w:hideMark/>
          </w:tcPr>
          <w:p w14:paraId="18D5FB87" w14:textId="3A80198E" w:rsidR="000E7810" w:rsidRPr="00220066" w:rsidRDefault="00220066"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EKS</w:t>
            </w:r>
            <w:r w:rsidR="000E7810" w:rsidRPr="00220066">
              <w:rPr>
                <w:color w:val="auto"/>
                <w:sz w:val="20"/>
                <w:lang w:eastAsia="lv-LV"/>
              </w:rPr>
              <w:t xml:space="preserve"> kods</w:t>
            </w:r>
          </w:p>
        </w:tc>
        <w:tc>
          <w:tcPr>
            <w:tcW w:w="1134" w:type="dxa"/>
            <w:vMerge w:val="restart"/>
            <w:vAlign w:val="center"/>
            <w:hideMark/>
          </w:tcPr>
          <w:p w14:paraId="641F175F"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Uzskaites princips</w:t>
            </w:r>
          </w:p>
        </w:tc>
        <w:tc>
          <w:tcPr>
            <w:tcW w:w="1984" w:type="dxa"/>
            <w:vMerge w:val="restart"/>
            <w:vAlign w:val="center"/>
            <w:hideMark/>
          </w:tcPr>
          <w:p w14:paraId="17D09399"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Pieņemšanas statuss</w:t>
            </w:r>
          </w:p>
        </w:tc>
        <w:tc>
          <w:tcPr>
            <w:tcW w:w="2552" w:type="dxa"/>
            <w:gridSpan w:val="3"/>
            <w:noWrap/>
            <w:vAlign w:val="center"/>
            <w:hideMark/>
          </w:tcPr>
          <w:p w14:paraId="1C060693"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Ietekme uz budžetu</w:t>
            </w:r>
          </w:p>
        </w:tc>
      </w:tr>
      <w:tr w:rsidR="00220066" w:rsidRPr="00220066" w14:paraId="4E1FC99B" w14:textId="77777777" w:rsidTr="00312CC8">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124" w:type="dxa"/>
            <w:vMerge/>
            <w:hideMark/>
          </w:tcPr>
          <w:p w14:paraId="0C7C86CF" w14:textId="77777777" w:rsidR="000E7810" w:rsidRPr="00220066" w:rsidRDefault="000E7810" w:rsidP="000E7810">
            <w:pPr>
              <w:spacing w:after="0"/>
              <w:ind w:firstLine="0"/>
              <w:jc w:val="left"/>
              <w:rPr>
                <w:color w:val="auto"/>
                <w:sz w:val="20"/>
                <w:lang w:eastAsia="lv-LV"/>
              </w:rPr>
            </w:pPr>
          </w:p>
        </w:tc>
        <w:tc>
          <w:tcPr>
            <w:tcW w:w="4253" w:type="dxa"/>
            <w:vMerge/>
            <w:hideMark/>
          </w:tcPr>
          <w:p w14:paraId="204C6D92" w14:textId="77777777" w:rsidR="000E7810" w:rsidRPr="00220066" w:rsidRDefault="000E7810" w:rsidP="000E7810">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275" w:type="dxa"/>
            <w:vMerge/>
            <w:vAlign w:val="center"/>
            <w:hideMark/>
          </w:tcPr>
          <w:p w14:paraId="2F14409F"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51" w:type="dxa"/>
            <w:vMerge/>
            <w:vAlign w:val="center"/>
            <w:hideMark/>
          </w:tcPr>
          <w:p w14:paraId="36FFF1A6"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34" w:type="dxa"/>
            <w:vMerge/>
            <w:vAlign w:val="center"/>
            <w:hideMark/>
          </w:tcPr>
          <w:p w14:paraId="13E637A3"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984" w:type="dxa"/>
            <w:vMerge/>
            <w:vAlign w:val="center"/>
            <w:hideMark/>
          </w:tcPr>
          <w:p w14:paraId="01F122E3"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51" w:type="dxa"/>
            <w:noWrap/>
            <w:vAlign w:val="center"/>
            <w:hideMark/>
          </w:tcPr>
          <w:p w14:paraId="19063887" w14:textId="516653D9" w:rsidR="000E7810" w:rsidRPr="00220066" w:rsidRDefault="00220066"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2016</w:t>
            </w:r>
          </w:p>
        </w:tc>
        <w:tc>
          <w:tcPr>
            <w:tcW w:w="850" w:type="dxa"/>
            <w:noWrap/>
            <w:vAlign w:val="center"/>
            <w:hideMark/>
          </w:tcPr>
          <w:p w14:paraId="1EB35CED" w14:textId="1AB4EC52" w:rsidR="000E7810" w:rsidRPr="00220066" w:rsidRDefault="00220066"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2017</w:t>
            </w:r>
          </w:p>
        </w:tc>
        <w:tc>
          <w:tcPr>
            <w:tcW w:w="851" w:type="dxa"/>
            <w:noWrap/>
            <w:vAlign w:val="center"/>
            <w:hideMark/>
          </w:tcPr>
          <w:p w14:paraId="6200A751" w14:textId="79E8952F" w:rsidR="000E7810" w:rsidRPr="00220066" w:rsidRDefault="00220066"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2018</w:t>
            </w:r>
          </w:p>
        </w:tc>
      </w:tr>
      <w:tr w:rsidR="00220066" w:rsidRPr="00220066" w14:paraId="7BDFCDE9" w14:textId="77777777" w:rsidTr="00312CC8">
        <w:trPr>
          <w:trHeight w:val="274"/>
        </w:trPr>
        <w:tc>
          <w:tcPr>
            <w:cnfStyle w:val="001000000000" w:firstRow="0" w:lastRow="0" w:firstColumn="1" w:lastColumn="0" w:oddVBand="0" w:evenVBand="0" w:oddHBand="0" w:evenHBand="0" w:firstRowFirstColumn="0" w:firstRowLastColumn="0" w:lastRowFirstColumn="0" w:lastRowLastColumn="0"/>
            <w:tcW w:w="3124" w:type="dxa"/>
            <w:vMerge/>
            <w:hideMark/>
          </w:tcPr>
          <w:p w14:paraId="348630D3" w14:textId="77777777" w:rsidR="00220066" w:rsidRPr="00220066" w:rsidRDefault="00220066" w:rsidP="000E7810">
            <w:pPr>
              <w:spacing w:after="0"/>
              <w:ind w:firstLine="0"/>
              <w:jc w:val="left"/>
              <w:rPr>
                <w:color w:val="auto"/>
                <w:sz w:val="20"/>
                <w:lang w:eastAsia="lv-LV"/>
              </w:rPr>
            </w:pPr>
          </w:p>
        </w:tc>
        <w:tc>
          <w:tcPr>
            <w:tcW w:w="4253" w:type="dxa"/>
            <w:vMerge/>
            <w:hideMark/>
          </w:tcPr>
          <w:p w14:paraId="1B0BEF9D" w14:textId="77777777" w:rsidR="00220066" w:rsidRPr="00220066" w:rsidRDefault="00220066" w:rsidP="000E7810">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275" w:type="dxa"/>
            <w:vMerge/>
            <w:vAlign w:val="center"/>
            <w:hideMark/>
          </w:tcPr>
          <w:p w14:paraId="33F40F29"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851" w:type="dxa"/>
            <w:vMerge/>
            <w:vAlign w:val="center"/>
            <w:hideMark/>
          </w:tcPr>
          <w:p w14:paraId="34F6696B"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34" w:type="dxa"/>
            <w:vMerge/>
            <w:vAlign w:val="center"/>
            <w:hideMark/>
          </w:tcPr>
          <w:p w14:paraId="6C36F952"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984" w:type="dxa"/>
            <w:vMerge/>
            <w:vAlign w:val="center"/>
            <w:hideMark/>
          </w:tcPr>
          <w:p w14:paraId="1407BB9F"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552" w:type="dxa"/>
            <w:gridSpan w:val="3"/>
            <w:noWrap/>
            <w:vAlign w:val="center"/>
            <w:hideMark/>
          </w:tcPr>
          <w:p w14:paraId="3AB63A1A" w14:textId="30420C93"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 no IKP</w:t>
            </w:r>
          </w:p>
        </w:tc>
      </w:tr>
      <w:tr w:rsidR="00D640F7" w:rsidRPr="00220066" w14:paraId="6A1DFDEE" w14:textId="77777777" w:rsidTr="00312CC8">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53EB5503"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Transportlīdzekļa ekspluatācijas nodokļa maksāšanas kārtības izmaiņu pārcelšana uz 2017. gadu</w:t>
            </w:r>
          </w:p>
        </w:tc>
        <w:tc>
          <w:tcPr>
            <w:tcW w:w="4253" w:type="dxa"/>
            <w:vAlign w:val="center"/>
            <w:hideMark/>
          </w:tcPr>
          <w:p w14:paraId="06292730"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Transportlīdzekļa ekspluatācijas nodokļa maksāšanas kārtības izmaiņu pārcelšana uz 2017. gadu</w:t>
            </w:r>
          </w:p>
        </w:tc>
        <w:tc>
          <w:tcPr>
            <w:tcW w:w="1275" w:type="dxa"/>
            <w:vAlign w:val="center"/>
            <w:hideMark/>
          </w:tcPr>
          <w:p w14:paraId="73D120C5"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TEN</w:t>
            </w:r>
          </w:p>
        </w:tc>
        <w:tc>
          <w:tcPr>
            <w:tcW w:w="851" w:type="dxa"/>
            <w:vAlign w:val="center"/>
            <w:hideMark/>
          </w:tcPr>
          <w:p w14:paraId="38E31895"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D.29, D.5</w:t>
            </w:r>
          </w:p>
        </w:tc>
        <w:tc>
          <w:tcPr>
            <w:tcW w:w="1134" w:type="dxa"/>
            <w:vAlign w:val="center"/>
            <w:hideMark/>
          </w:tcPr>
          <w:p w14:paraId="7B32DF12" w14:textId="7FB2AF93"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69A4B8A9" w14:textId="03C140F5"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25284427" w14:textId="02F8B90B"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0,13</w:t>
            </w:r>
          </w:p>
        </w:tc>
        <w:tc>
          <w:tcPr>
            <w:tcW w:w="850" w:type="dxa"/>
            <w:vAlign w:val="center"/>
            <w:hideMark/>
          </w:tcPr>
          <w:p w14:paraId="14CB506E" w14:textId="0FB6CF1F"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-0,25</w:t>
            </w:r>
          </w:p>
        </w:tc>
        <w:tc>
          <w:tcPr>
            <w:tcW w:w="851" w:type="dxa"/>
            <w:vAlign w:val="center"/>
            <w:hideMark/>
          </w:tcPr>
          <w:p w14:paraId="56D951A5" w14:textId="45233DD4"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0,12</w:t>
            </w:r>
          </w:p>
        </w:tc>
      </w:tr>
      <w:tr w:rsidR="00D640F7" w:rsidRPr="00220066" w14:paraId="1AB776CD" w14:textId="77777777" w:rsidTr="00312CC8">
        <w:trPr>
          <w:trHeight w:val="413"/>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1BA38F3F"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Solidaritātes nodokļa ieviešana</w:t>
            </w:r>
          </w:p>
        </w:tc>
        <w:tc>
          <w:tcPr>
            <w:tcW w:w="4253" w:type="dxa"/>
            <w:vMerge w:val="restart"/>
            <w:vAlign w:val="center"/>
            <w:hideMark/>
          </w:tcPr>
          <w:p w14:paraId="6CBB1A0F"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Solidaritātes nodokļa piemērošana summai, kas pārsniedz valsts sociālās apdrošināšanas obligāto iemaksu noteikto apmēru</w:t>
            </w:r>
          </w:p>
        </w:tc>
        <w:tc>
          <w:tcPr>
            <w:tcW w:w="1275" w:type="dxa"/>
            <w:vAlign w:val="center"/>
            <w:hideMark/>
          </w:tcPr>
          <w:p w14:paraId="60E397CD"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Solidaritātes nodoklis</w:t>
            </w:r>
          </w:p>
        </w:tc>
        <w:tc>
          <w:tcPr>
            <w:tcW w:w="851" w:type="dxa"/>
            <w:vAlign w:val="center"/>
            <w:hideMark/>
          </w:tcPr>
          <w:p w14:paraId="1643721C"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347D5F75" w14:textId="6A183609"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48C3E9B0" w14:textId="2EEFB7B2"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3FFA215" w14:textId="68997917"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0,17</w:t>
            </w:r>
          </w:p>
        </w:tc>
        <w:tc>
          <w:tcPr>
            <w:tcW w:w="850" w:type="dxa"/>
            <w:vAlign w:val="center"/>
            <w:hideMark/>
          </w:tcPr>
          <w:p w14:paraId="70F9BEF1" w14:textId="55C61E76"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381F100C" w14:textId="7CD7FF46"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7E172E7E" w14:textId="77777777" w:rsidTr="00312CC8">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0B55532B"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6364510A"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5" w:type="dxa"/>
            <w:vAlign w:val="center"/>
            <w:hideMark/>
          </w:tcPr>
          <w:p w14:paraId="1A85E439"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1D910E4A"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60DDED78" w14:textId="049A2F18"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3CEC0476" w14:textId="320AF68C"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5C30B761" w14:textId="16F3A997"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53F7F6CE" w14:textId="53668E95"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6AC40C42" w14:textId="2E5A89E9"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3682A8C8" w14:textId="77777777" w:rsidTr="00312CC8">
        <w:trPr>
          <w:trHeight w:val="834"/>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5A5F94E7"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Akcīzes nodokļa paaugstināšana naftas produktiem</w:t>
            </w:r>
          </w:p>
        </w:tc>
        <w:tc>
          <w:tcPr>
            <w:tcW w:w="4253" w:type="dxa"/>
            <w:vMerge w:val="restart"/>
            <w:vAlign w:val="center"/>
            <w:hideMark/>
          </w:tcPr>
          <w:p w14:paraId="1FE048F2"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 xml:space="preserve">Akcīzes nodokļa paaugstināšana  benzīnam no 411,21 </w:t>
            </w:r>
            <w:r w:rsidRPr="00220066">
              <w:rPr>
                <w:i/>
                <w:color w:val="auto"/>
                <w:sz w:val="20"/>
                <w:lang w:eastAsia="lv-LV"/>
              </w:rPr>
              <w:t>euro</w:t>
            </w:r>
            <w:r w:rsidRPr="00220066">
              <w:rPr>
                <w:color w:val="auto"/>
                <w:sz w:val="20"/>
                <w:lang w:eastAsia="lv-LV"/>
              </w:rPr>
              <w:t xml:space="preserve"> līdz 436,0 </w:t>
            </w:r>
            <w:r w:rsidRPr="00220066">
              <w:rPr>
                <w:i/>
                <w:color w:val="auto"/>
                <w:sz w:val="20"/>
                <w:lang w:eastAsia="lv-LV"/>
              </w:rPr>
              <w:t>euro</w:t>
            </w:r>
            <w:r w:rsidRPr="00220066">
              <w:rPr>
                <w:color w:val="auto"/>
                <w:sz w:val="20"/>
                <w:lang w:eastAsia="lv-LV"/>
              </w:rPr>
              <w:t xml:space="preserve"> par 1000 litriem, dīzeļdegvielai (gāzeļļai), petrolejai un degvieleļļai, kuras kolorimetriskais indekss ir mazāks par 2,0 un kinemātiskā viskozitāte 50oC ir mazāka par 25 mm2/s, no 332,95 </w:t>
            </w:r>
            <w:r w:rsidRPr="00220066">
              <w:rPr>
                <w:i/>
                <w:color w:val="auto"/>
                <w:sz w:val="20"/>
                <w:lang w:eastAsia="lv-LV"/>
              </w:rPr>
              <w:t>euro</w:t>
            </w:r>
            <w:r w:rsidRPr="00220066">
              <w:rPr>
                <w:color w:val="auto"/>
                <w:sz w:val="20"/>
                <w:lang w:eastAsia="lv-LV"/>
              </w:rPr>
              <w:t xml:space="preserve"> līdz 341,0 </w:t>
            </w:r>
            <w:r w:rsidRPr="00220066">
              <w:rPr>
                <w:i/>
                <w:color w:val="auto"/>
                <w:sz w:val="20"/>
                <w:lang w:eastAsia="lv-LV"/>
              </w:rPr>
              <w:t>euro</w:t>
            </w:r>
            <w:r w:rsidRPr="00220066">
              <w:rPr>
                <w:color w:val="auto"/>
                <w:sz w:val="20"/>
                <w:lang w:eastAsia="lv-LV"/>
              </w:rPr>
              <w:t xml:space="preserve"> par 1000 litriem, sašķidrinātajām naftas gāzēm no 161,0 </w:t>
            </w:r>
            <w:r w:rsidRPr="00220066">
              <w:rPr>
                <w:i/>
                <w:color w:val="auto"/>
                <w:sz w:val="20"/>
                <w:lang w:eastAsia="lv-LV"/>
              </w:rPr>
              <w:t>euro</w:t>
            </w:r>
            <w:r w:rsidRPr="00220066">
              <w:rPr>
                <w:color w:val="auto"/>
                <w:sz w:val="20"/>
                <w:lang w:eastAsia="lv-LV"/>
              </w:rPr>
              <w:t xml:space="preserve"> līdz 206,0 </w:t>
            </w:r>
            <w:r w:rsidRPr="00220066">
              <w:rPr>
                <w:i/>
                <w:color w:val="auto"/>
                <w:sz w:val="20"/>
                <w:lang w:eastAsia="lv-LV"/>
              </w:rPr>
              <w:t>euro</w:t>
            </w:r>
            <w:r w:rsidRPr="00220066">
              <w:rPr>
                <w:color w:val="auto"/>
                <w:sz w:val="20"/>
                <w:lang w:eastAsia="lv-LV"/>
              </w:rPr>
              <w:t xml:space="preserve"> par 1000 kg.  </w:t>
            </w:r>
          </w:p>
        </w:tc>
        <w:tc>
          <w:tcPr>
            <w:tcW w:w="1275" w:type="dxa"/>
            <w:vAlign w:val="center"/>
            <w:hideMark/>
          </w:tcPr>
          <w:p w14:paraId="7A5B3C62"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Akcīzes nodoklis</w:t>
            </w:r>
          </w:p>
        </w:tc>
        <w:tc>
          <w:tcPr>
            <w:tcW w:w="851" w:type="dxa"/>
            <w:vAlign w:val="center"/>
            <w:hideMark/>
          </w:tcPr>
          <w:p w14:paraId="19287EF4"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419B1A27" w14:textId="5DC1F611"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764716E4" w14:textId="66DDFD50"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E308C07" w14:textId="36397B04"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850" w:type="dxa"/>
            <w:vAlign w:val="center"/>
            <w:hideMark/>
          </w:tcPr>
          <w:p w14:paraId="6778B2A5" w14:textId="0C4C12A7"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C6A566F" w14:textId="04EED5AE"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2EDD5264" w14:textId="77777777" w:rsidTr="00312CC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4D91CCEF"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6D6FC337"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5" w:type="dxa"/>
            <w:vAlign w:val="center"/>
            <w:hideMark/>
          </w:tcPr>
          <w:p w14:paraId="73A0FF60"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PVN</w:t>
            </w:r>
          </w:p>
        </w:tc>
        <w:tc>
          <w:tcPr>
            <w:tcW w:w="851" w:type="dxa"/>
            <w:vAlign w:val="center"/>
            <w:hideMark/>
          </w:tcPr>
          <w:p w14:paraId="02720362"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6AF883AA" w14:textId="16915283"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5AE01263" w14:textId="0EC8AA30"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7F11A96" w14:textId="3567EFA5"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17959C00" w14:textId="7EDE028E"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618E659E" w14:textId="58E5AB68"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3876D2F8" w14:textId="77777777" w:rsidTr="00312CC8">
        <w:trPr>
          <w:trHeight w:val="124"/>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7BAE80B2"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Akcīzes nodokļa paaugstināšana alkoholiskajiem dzērieniem un alum</w:t>
            </w:r>
          </w:p>
        </w:tc>
        <w:tc>
          <w:tcPr>
            <w:tcW w:w="4253" w:type="dxa"/>
            <w:vMerge w:val="restart"/>
            <w:vAlign w:val="center"/>
            <w:hideMark/>
          </w:tcPr>
          <w:p w14:paraId="708C199B"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Akcīzes nodokļa paaugstināšana alkoholiskajiem dzērieniem un alum ar 01.04.2016., 01.04.2017. un 01.04.2018.</w:t>
            </w:r>
          </w:p>
        </w:tc>
        <w:tc>
          <w:tcPr>
            <w:tcW w:w="1275" w:type="dxa"/>
            <w:vAlign w:val="center"/>
            <w:hideMark/>
          </w:tcPr>
          <w:p w14:paraId="49BF53B5"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Akcīzes nodoklis</w:t>
            </w:r>
          </w:p>
        </w:tc>
        <w:tc>
          <w:tcPr>
            <w:tcW w:w="851" w:type="dxa"/>
            <w:vAlign w:val="center"/>
            <w:hideMark/>
          </w:tcPr>
          <w:p w14:paraId="4BFB1F18"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7BE4BB79" w14:textId="71A82580"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10F91668" w14:textId="7C5CB029"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2661F17D" w14:textId="043E3486"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167A0435" w14:textId="633C314D"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851" w:type="dxa"/>
            <w:vAlign w:val="center"/>
            <w:hideMark/>
          </w:tcPr>
          <w:p w14:paraId="620016C8" w14:textId="218D2D02"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r>
      <w:tr w:rsidR="00D640F7" w:rsidRPr="00220066" w14:paraId="5A56506F" w14:textId="77777777" w:rsidTr="00D640F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4188458B"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23E0A9FC"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5" w:type="dxa"/>
            <w:vAlign w:val="center"/>
            <w:hideMark/>
          </w:tcPr>
          <w:p w14:paraId="7CE5DCC5"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PVN</w:t>
            </w:r>
          </w:p>
        </w:tc>
        <w:tc>
          <w:tcPr>
            <w:tcW w:w="851" w:type="dxa"/>
            <w:vAlign w:val="center"/>
            <w:hideMark/>
          </w:tcPr>
          <w:p w14:paraId="19536290"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2EF8DE7E" w14:textId="372DD7B5"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1C7C59BF" w14:textId="28AF8F0F"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06F7E661" w14:textId="37481FD4"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0,00</w:t>
            </w:r>
          </w:p>
        </w:tc>
        <w:tc>
          <w:tcPr>
            <w:tcW w:w="850" w:type="dxa"/>
            <w:vAlign w:val="center"/>
            <w:hideMark/>
          </w:tcPr>
          <w:p w14:paraId="6F4DD520" w14:textId="5D6F2D5D"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7F62E2E" w14:textId="73F9661C"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5B259303" w14:textId="77777777" w:rsidTr="00312CC8">
        <w:trPr>
          <w:trHeight w:val="974"/>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3C58953B" w14:textId="65B4A098" w:rsidR="00D640F7" w:rsidRPr="00220066" w:rsidRDefault="00D640F7" w:rsidP="00D640F7">
            <w:pPr>
              <w:spacing w:after="0"/>
              <w:ind w:firstLine="0"/>
              <w:rPr>
                <w:b w:val="0"/>
                <w:color w:val="auto"/>
                <w:sz w:val="20"/>
                <w:lang w:eastAsia="lv-LV"/>
              </w:rPr>
            </w:pPr>
            <w:r w:rsidRPr="00220066">
              <w:rPr>
                <w:b w:val="0"/>
                <w:color w:val="auto"/>
                <w:sz w:val="20"/>
                <w:lang w:eastAsia="lv-LV"/>
              </w:rPr>
              <w:t xml:space="preserve">PVN dzīvojamo telpu apsaimniekošanai (atbilstoši </w:t>
            </w:r>
            <w:r>
              <w:rPr>
                <w:b w:val="0"/>
                <w:color w:val="auto"/>
                <w:sz w:val="20"/>
                <w:lang w:eastAsia="lv-LV"/>
              </w:rPr>
              <w:t>EK</w:t>
            </w:r>
            <w:r w:rsidRPr="00220066">
              <w:rPr>
                <w:b w:val="0"/>
                <w:color w:val="auto"/>
                <w:sz w:val="20"/>
                <w:lang w:eastAsia="lv-LV"/>
              </w:rPr>
              <w:t xml:space="preserve"> pārkāpumu procedūrai) ar 01.07.2016</w:t>
            </w:r>
          </w:p>
        </w:tc>
        <w:tc>
          <w:tcPr>
            <w:tcW w:w="4253" w:type="dxa"/>
            <w:vAlign w:val="center"/>
            <w:hideMark/>
          </w:tcPr>
          <w:p w14:paraId="2D61C948" w14:textId="54465492"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 xml:space="preserve">PVN dzīvojamo telpu apsaimniekošanai (atbilstoši </w:t>
            </w:r>
            <w:r>
              <w:rPr>
                <w:color w:val="auto"/>
                <w:sz w:val="20"/>
                <w:lang w:eastAsia="lv-LV"/>
              </w:rPr>
              <w:t>EK</w:t>
            </w:r>
            <w:r w:rsidRPr="00220066">
              <w:rPr>
                <w:color w:val="auto"/>
                <w:sz w:val="20"/>
                <w:lang w:eastAsia="lv-LV"/>
              </w:rPr>
              <w:t xml:space="preserve"> pārkāpumu procedūrai) ar 01.07.2016</w:t>
            </w:r>
          </w:p>
        </w:tc>
        <w:tc>
          <w:tcPr>
            <w:tcW w:w="1275" w:type="dxa"/>
            <w:vAlign w:val="center"/>
            <w:hideMark/>
          </w:tcPr>
          <w:p w14:paraId="1B73A8A0"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PVN</w:t>
            </w:r>
          </w:p>
        </w:tc>
        <w:tc>
          <w:tcPr>
            <w:tcW w:w="851" w:type="dxa"/>
            <w:vAlign w:val="center"/>
            <w:hideMark/>
          </w:tcPr>
          <w:p w14:paraId="3F18B0F5"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31496EA3" w14:textId="7C073500"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69262F91" w14:textId="6986C92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6C80F873" w14:textId="44FFAA8E"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850" w:type="dxa"/>
            <w:vAlign w:val="center"/>
            <w:hideMark/>
          </w:tcPr>
          <w:p w14:paraId="2AC83A95" w14:textId="2AE5D851"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851" w:type="dxa"/>
            <w:vAlign w:val="center"/>
            <w:hideMark/>
          </w:tcPr>
          <w:p w14:paraId="5E7C21B2" w14:textId="42F7B093"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7C37DFDF" w14:textId="77777777" w:rsidTr="00312CC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4B85C2C4"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Darba ņēmēja un darba devēja pārskata mēneša minimālā valsts sociālās apdrošināšanas obligāto iemaksu objekta noteikšana</w:t>
            </w:r>
          </w:p>
        </w:tc>
        <w:tc>
          <w:tcPr>
            <w:tcW w:w="4253" w:type="dxa"/>
            <w:vMerge w:val="restart"/>
            <w:vAlign w:val="center"/>
            <w:hideMark/>
          </w:tcPr>
          <w:p w14:paraId="658DA986"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 xml:space="preserve">Sākot ar 2017. gadu tiks noteikts darba ņēmēja un darba devēja pārskata mēneša minimālais valsts sociālās apdrošināšanas obligāto iemaksu objekts </w:t>
            </w:r>
          </w:p>
        </w:tc>
        <w:tc>
          <w:tcPr>
            <w:tcW w:w="1275" w:type="dxa"/>
            <w:vAlign w:val="center"/>
            <w:hideMark/>
          </w:tcPr>
          <w:p w14:paraId="06AD6F19"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SOC</w:t>
            </w:r>
          </w:p>
        </w:tc>
        <w:tc>
          <w:tcPr>
            <w:tcW w:w="851" w:type="dxa"/>
            <w:vAlign w:val="center"/>
            <w:hideMark/>
          </w:tcPr>
          <w:p w14:paraId="468BB765"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D.61</w:t>
            </w:r>
          </w:p>
        </w:tc>
        <w:tc>
          <w:tcPr>
            <w:tcW w:w="1134" w:type="dxa"/>
            <w:vAlign w:val="center"/>
            <w:hideMark/>
          </w:tcPr>
          <w:p w14:paraId="7907890F" w14:textId="185B5EE3"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31220FD1" w14:textId="0DBB7F89"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4897913" w14:textId="47D05EFD"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58F6BD05" w14:textId="2D855BF3"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0,21</w:t>
            </w:r>
          </w:p>
        </w:tc>
        <w:tc>
          <w:tcPr>
            <w:tcW w:w="851" w:type="dxa"/>
            <w:vAlign w:val="center"/>
            <w:hideMark/>
          </w:tcPr>
          <w:p w14:paraId="0CBE510C" w14:textId="63B3DEA9"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6C935ECC" w14:textId="77777777" w:rsidTr="00312CC8">
        <w:trPr>
          <w:trHeight w:val="315"/>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069455CB"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03ABEFE4"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5" w:type="dxa"/>
            <w:vAlign w:val="center"/>
            <w:hideMark/>
          </w:tcPr>
          <w:p w14:paraId="761EB892"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139BA277"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54B47896" w14:textId="2114511D"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2A82E5AA" w14:textId="5DCFC6EF"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3E55F38" w14:textId="6080916D"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61829340" w14:textId="5F7D1F67"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0,03</w:t>
            </w:r>
          </w:p>
        </w:tc>
        <w:tc>
          <w:tcPr>
            <w:tcW w:w="851" w:type="dxa"/>
            <w:vAlign w:val="center"/>
            <w:hideMark/>
          </w:tcPr>
          <w:p w14:paraId="6957E905" w14:textId="5C78C027"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4BB24998" w14:textId="77777777" w:rsidTr="00312CC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6CA8AD38"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1E0A39F4"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5" w:type="dxa"/>
            <w:vAlign w:val="center"/>
            <w:hideMark/>
          </w:tcPr>
          <w:p w14:paraId="095DFBD1"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UIN</w:t>
            </w:r>
          </w:p>
        </w:tc>
        <w:tc>
          <w:tcPr>
            <w:tcW w:w="851" w:type="dxa"/>
            <w:vAlign w:val="center"/>
            <w:hideMark/>
          </w:tcPr>
          <w:p w14:paraId="759240E9"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06D12F7F" w14:textId="603D1475"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2217D090" w14:textId="7CBC7F4A"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73611F1" w14:textId="2D9E6D96"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105B0779" w14:textId="21C68C7A"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0F3A53EC" w14:textId="3714D0EF"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4ED07FC7" w14:textId="77777777" w:rsidTr="00312CC8">
        <w:trPr>
          <w:trHeight w:val="315"/>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11BE234A"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PVN kultūras pakalpojumiem</w:t>
            </w:r>
          </w:p>
        </w:tc>
        <w:tc>
          <w:tcPr>
            <w:tcW w:w="4253" w:type="dxa"/>
            <w:vAlign w:val="center"/>
            <w:hideMark/>
          </w:tcPr>
          <w:p w14:paraId="465C83E8"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PVN kultūras pakalpojumiem</w:t>
            </w:r>
          </w:p>
        </w:tc>
        <w:tc>
          <w:tcPr>
            <w:tcW w:w="1275" w:type="dxa"/>
            <w:vAlign w:val="center"/>
            <w:hideMark/>
          </w:tcPr>
          <w:p w14:paraId="663D33B2"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PVN</w:t>
            </w:r>
          </w:p>
        </w:tc>
        <w:tc>
          <w:tcPr>
            <w:tcW w:w="851" w:type="dxa"/>
            <w:vAlign w:val="center"/>
            <w:hideMark/>
          </w:tcPr>
          <w:p w14:paraId="54F51A64"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5A02494A" w14:textId="0EC3C8FA"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24C2895B" w14:textId="5E680D7B"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0D872557" w14:textId="4F4992CD"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14B0446A" w14:textId="20E81101"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493D46C3" w14:textId="026A5843"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11DFB2F0" w14:textId="77777777" w:rsidTr="00312CC8">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2FC2E670"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 xml:space="preserve">IIN atvieglojumu atcelšana par pilngadīgām un darbspējīgām personām (saglabājot atvieglojumu bērniem līdz 24 gadiem un sociāli jūtīgām grupām) </w:t>
            </w:r>
          </w:p>
        </w:tc>
        <w:tc>
          <w:tcPr>
            <w:tcW w:w="4253" w:type="dxa"/>
            <w:vAlign w:val="center"/>
            <w:hideMark/>
          </w:tcPr>
          <w:p w14:paraId="630F14CD"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 xml:space="preserve">IIN atvieglojumu atcelšana par pilngadīgām un darbspējīgām personām (saglabājot atvieglojumu bērniem līdz 24 gadiem un sociāli jūtīgām grupām) </w:t>
            </w:r>
          </w:p>
        </w:tc>
        <w:tc>
          <w:tcPr>
            <w:tcW w:w="1275" w:type="dxa"/>
            <w:vAlign w:val="center"/>
            <w:hideMark/>
          </w:tcPr>
          <w:p w14:paraId="549DEC90"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49894653"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325BBB37" w14:textId="482CE7F2"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0429F763" w14:textId="4383E949"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000E3EF" w14:textId="7312049E"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0,10</w:t>
            </w:r>
          </w:p>
        </w:tc>
        <w:tc>
          <w:tcPr>
            <w:tcW w:w="850" w:type="dxa"/>
            <w:vAlign w:val="center"/>
            <w:hideMark/>
          </w:tcPr>
          <w:p w14:paraId="0D351022" w14:textId="3096BA5D"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47B8A6B1" w14:textId="612DB908"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51C780C9" w14:textId="77777777" w:rsidTr="00312CC8">
        <w:trPr>
          <w:trHeight w:val="571"/>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4DE06479"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 xml:space="preserve">Mēneša neapliekamā minimuma palielināšana par 10 </w:t>
            </w:r>
            <w:r w:rsidRPr="00220066">
              <w:rPr>
                <w:b w:val="0"/>
                <w:i/>
                <w:color w:val="auto"/>
                <w:sz w:val="20"/>
                <w:lang w:eastAsia="lv-LV"/>
              </w:rPr>
              <w:t>euro</w:t>
            </w:r>
          </w:p>
        </w:tc>
        <w:tc>
          <w:tcPr>
            <w:tcW w:w="4253" w:type="dxa"/>
            <w:vAlign w:val="center"/>
            <w:hideMark/>
          </w:tcPr>
          <w:p w14:paraId="347B5425"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 xml:space="preserve">Mēneša neapliekamā minimuma palielināšana par 10 </w:t>
            </w:r>
            <w:r w:rsidRPr="00220066">
              <w:rPr>
                <w:i/>
                <w:color w:val="auto"/>
                <w:sz w:val="20"/>
                <w:lang w:eastAsia="lv-LV"/>
              </w:rPr>
              <w:t>euro</w:t>
            </w:r>
            <w:r w:rsidRPr="00220066">
              <w:rPr>
                <w:color w:val="auto"/>
                <w:sz w:val="20"/>
                <w:lang w:eastAsia="lv-LV"/>
              </w:rPr>
              <w:t xml:space="preserve"> (no 75 </w:t>
            </w:r>
            <w:r w:rsidRPr="00220066">
              <w:rPr>
                <w:i/>
                <w:color w:val="auto"/>
                <w:sz w:val="20"/>
                <w:lang w:eastAsia="lv-LV"/>
              </w:rPr>
              <w:t>euro</w:t>
            </w:r>
            <w:r w:rsidRPr="00220066">
              <w:rPr>
                <w:color w:val="auto"/>
                <w:sz w:val="20"/>
                <w:lang w:eastAsia="lv-LV"/>
              </w:rPr>
              <w:t xml:space="preserve"> līdz 85 </w:t>
            </w:r>
            <w:r w:rsidRPr="00220066">
              <w:rPr>
                <w:i/>
                <w:color w:val="auto"/>
                <w:sz w:val="20"/>
                <w:lang w:eastAsia="lv-LV"/>
              </w:rPr>
              <w:t>euro</w:t>
            </w:r>
            <w:r w:rsidRPr="00220066">
              <w:rPr>
                <w:color w:val="auto"/>
                <w:sz w:val="20"/>
                <w:lang w:eastAsia="lv-LV"/>
              </w:rPr>
              <w:t>)</w:t>
            </w:r>
          </w:p>
        </w:tc>
        <w:tc>
          <w:tcPr>
            <w:tcW w:w="1275" w:type="dxa"/>
            <w:vAlign w:val="center"/>
            <w:hideMark/>
          </w:tcPr>
          <w:p w14:paraId="7A57CF47"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15B7CDB5"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475B566B" w14:textId="722CB97F"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160F3385" w14:textId="35EA9E43"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4FDBB20C" w14:textId="090D5BD7"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-0,07</w:t>
            </w:r>
          </w:p>
        </w:tc>
        <w:tc>
          <w:tcPr>
            <w:tcW w:w="850" w:type="dxa"/>
            <w:vAlign w:val="center"/>
            <w:hideMark/>
          </w:tcPr>
          <w:p w14:paraId="3A4A66E7" w14:textId="222928C0"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535A7F03" w14:textId="32205740"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0,00</w:t>
            </w:r>
          </w:p>
        </w:tc>
      </w:tr>
      <w:tr w:rsidR="00D640F7" w:rsidRPr="00220066" w14:paraId="212932B4" w14:textId="77777777" w:rsidTr="00312C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6DA49208"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 xml:space="preserve">Minimālās mēneša darba algas palielināšana no 360 uz 370 </w:t>
            </w:r>
            <w:r w:rsidRPr="00220066">
              <w:rPr>
                <w:b w:val="0"/>
                <w:i/>
                <w:color w:val="auto"/>
                <w:sz w:val="20"/>
                <w:lang w:eastAsia="lv-LV"/>
              </w:rPr>
              <w:t>euro</w:t>
            </w:r>
          </w:p>
        </w:tc>
        <w:tc>
          <w:tcPr>
            <w:tcW w:w="4253" w:type="dxa"/>
            <w:vMerge w:val="restart"/>
            <w:vAlign w:val="center"/>
            <w:hideMark/>
          </w:tcPr>
          <w:p w14:paraId="5D833624"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 xml:space="preserve">Minimālās mēneša darba algas palielināšana no 360 uz 370 </w:t>
            </w:r>
            <w:r w:rsidRPr="00220066">
              <w:rPr>
                <w:i/>
                <w:color w:val="auto"/>
                <w:sz w:val="20"/>
                <w:lang w:eastAsia="lv-LV"/>
              </w:rPr>
              <w:t>euro</w:t>
            </w:r>
          </w:p>
        </w:tc>
        <w:tc>
          <w:tcPr>
            <w:tcW w:w="1275" w:type="dxa"/>
            <w:vAlign w:val="center"/>
            <w:hideMark/>
          </w:tcPr>
          <w:p w14:paraId="0DC0D906"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3A527BC5"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0962FE13" w14:textId="6662D293"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35B9D9A6" w14:textId="42BD1F0D"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4107832A" w14:textId="01A31C13"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583FB1AE" w14:textId="2F4AF05B"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E904EBC" w14:textId="6B23E575"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010540A5" w14:textId="77777777" w:rsidTr="00312CC8">
        <w:trPr>
          <w:trHeight w:val="258"/>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448AE3E7"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1F55FDD2"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5" w:type="dxa"/>
            <w:vAlign w:val="center"/>
            <w:hideMark/>
          </w:tcPr>
          <w:p w14:paraId="40F72027"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SOC</w:t>
            </w:r>
          </w:p>
        </w:tc>
        <w:tc>
          <w:tcPr>
            <w:tcW w:w="851" w:type="dxa"/>
            <w:vAlign w:val="center"/>
            <w:hideMark/>
          </w:tcPr>
          <w:p w14:paraId="63996137"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D.61</w:t>
            </w:r>
          </w:p>
        </w:tc>
        <w:tc>
          <w:tcPr>
            <w:tcW w:w="1134" w:type="dxa"/>
            <w:vAlign w:val="center"/>
            <w:hideMark/>
          </w:tcPr>
          <w:p w14:paraId="0E336E26" w14:textId="307459E3"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6615623F" w14:textId="49C8F1DF"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52F966DD" w14:textId="549731D2"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44EC09CC" w14:textId="62AAD9DC"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2E40A4F6" w14:textId="74CF479B"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62CEF06A" w14:textId="77777777" w:rsidTr="00312CC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418DB429"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744567E7"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5" w:type="dxa"/>
            <w:vAlign w:val="center"/>
            <w:hideMark/>
          </w:tcPr>
          <w:p w14:paraId="25AFFA83"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PVN</w:t>
            </w:r>
          </w:p>
        </w:tc>
        <w:tc>
          <w:tcPr>
            <w:tcW w:w="851" w:type="dxa"/>
            <w:vAlign w:val="center"/>
            <w:hideMark/>
          </w:tcPr>
          <w:p w14:paraId="6B2A3526"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4D45F089" w14:textId="46A69A14"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0F2989D2" w14:textId="713F246F"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8525E90" w14:textId="27008940"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2B0274AF" w14:textId="4D41C991"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8432429" w14:textId="0D297A45"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41EE08DA" w14:textId="77777777" w:rsidTr="00312CC8">
        <w:trPr>
          <w:trHeight w:val="461"/>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37EA0333"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Diferencētā neapliekamā minimuma ieviešana</w:t>
            </w:r>
          </w:p>
        </w:tc>
        <w:tc>
          <w:tcPr>
            <w:tcW w:w="4253" w:type="dxa"/>
            <w:vAlign w:val="center"/>
            <w:hideMark/>
          </w:tcPr>
          <w:p w14:paraId="27899C90"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Diferencētā neapliekamā minimuma ieviešana</w:t>
            </w:r>
          </w:p>
        </w:tc>
        <w:tc>
          <w:tcPr>
            <w:tcW w:w="1275" w:type="dxa"/>
            <w:vAlign w:val="center"/>
            <w:hideMark/>
          </w:tcPr>
          <w:p w14:paraId="6547FC67"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15AAEF2F"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59A6A9E7" w14:textId="2986911A"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69D0D5DD" w14:textId="3C15CD73"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03248BB" w14:textId="7D975B30"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541D3122" w14:textId="49AB8F03"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851" w:type="dxa"/>
            <w:vAlign w:val="center"/>
            <w:hideMark/>
          </w:tcPr>
          <w:p w14:paraId="7EF2C149" w14:textId="5B8790AC"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r>
      <w:tr w:rsidR="00D640F7" w:rsidRPr="00220066" w14:paraId="6B29E644" w14:textId="77777777" w:rsidTr="00312CC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63D66C6F"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Informācijas apmaiņas procesa uzlabošana starp finanšu iestādēm un Valsts ieņēmumu dienestu</w:t>
            </w:r>
          </w:p>
        </w:tc>
        <w:tc>
          <w:tcPr>
            <w:tcW w:w="4253" w:type="dxa"/>
            <w:vMerge w:val="restart"/>
            <w:vAlign w:val="center"/>
            <w:hideMark/>
          </w:tcPr>
          <w:p w14:paraId="340AC4FA"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Informācijas apmaiņas procesa uzlabošana starp finanšu iestādēm un Valsts ieņēmumu dienestu</w:t>
            </w:r>
          </w:p>
        </w:tc>
        <w:tc>
          <w:tcPr>
            <w:tcW w:w="1275" w:type="dxa"/>
            <w:vAlign w:val="center"/>
            <w:hideMark/>
          </w:tcPr>
          <w:p w14:paraId="1C337ED1"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7E94E326"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30DB3718" w14:textId="0C8FE87A"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64DD6B28" w14:textId="246AB7CA"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636B10E7" w14:textId="2CB8C881"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1D745DA3" w14:textId="1B5F4A71"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4390963" w14:textId="1795C6D6"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31D40298" w14:textId="77777777" w:rsidTr="00312CC8">
        <w:trPr>
          <w:trHeight w:val="315"/>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4173AD99"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0DD799D5"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5" w:type="dxa"/>
            <w:vAlign w:val="center"/>
            <w:hideMark/>
          </w:tcPr>
          <w:p w14:paraId="23352C4A"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PVN</w:t>
            </w:r>
          </w:p>
        </w:tc>
        <w:tc>
          <w:tcPr>
            <w:tcW w:w="851" w:type="dxa"/>
            <w:vAlign w:val="center"/>
            <w:hideMark/>
          </w:tcPr>
          <w:p w14:paraId="49F0D74B"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37802BDE" w14:textId="41964EFC"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4B1FB266" w14:textId="45E5E06E"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BBE3908" w14:textId="79E5D18A"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0B9ECA24" w14:textId="6CFE8BB0"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65BD7F92" w14:textId="708E4653"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4E301F06" w14:textId="77777777" w:rsidTr="00312CC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2D74530B"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62A28DF5"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5" w:type="dxa"/>
            <w:vAlign w:val="center"/>
            <w:hideMark/>
          </w:tcPr>
          <w:p w14:paraId="112CDC5A"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UIN</w:t>
            </w:r>
          </w:p>
        </w:tc>
        <w:tc>
          <w:tcPr>
            <w:tcW w:w="851" w:type="dxa"/>
            <w:vAlign w:val="center"/>
            <w:hideMark/>
          </w:tcPr>
          <w:p w14:paraId="010E3534"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191BAA77" w14:textId="2847C009"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55674EE7" w14:textId="04C7883F"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AA6B2C6" w14:textId="43ABFDA6"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08251E50" w14:textId="05C9BD73"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308A860" w14:textId="5BC2ED2B"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7E14AEC1" w14:textId="77777777" w:rsidTr="00312CC8">
        <w:trPr>
          <w:trHeight w:val="581"/>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27231334"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Kases aparātu, hibrīda kases aparātu, kases sistēmu, specializēto ierīču un iekārtu tehnisko prasību pilnveidošana</w:t>
            </w:r>
          </w:p>
        </w:tc>
        <w:tc>
          <w:tcPr>
            <w:tcW w:w="4253" w:type="dxa"/>
            <w:vMerge w:val="restart"/>
            <w:vAlign w:val="center"/>
            <w:hideMark/>
          </w:tcPr>
          <w:p w14:paraId="07A48C8F"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Kases aparātu, hibrīda kases aparātu, kases sistēmu, specializēto ierīču un iekārtu tehnisko prasību pilnveidošana</w:t>
            </w:r>
          </w:p>
        </w:tc>
        <w:tc>
          <w:tcPr>
            <w:tcW w:w="1275" w:type="dxa"/>
            <w:vAlign w:val="center"/>
            <w:hideMark/>
          </w:tcPr>
          <w:p w14:paraId="4EB0F52F"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PVN</w:t>
            </w:r>
          </w:p>
        </w:tc>
        <w:tc>
          <w:tcPr>
            <w:tcW w:w="851" w:type="dxa"/>
            <w:vAlign w:val="center"/>
            <w:hideMark/>
          </w:tcPr>
          <w:p w14:paraId="75BADE7E"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1CF6807C" w14:textId="5F523F59"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37ABE080" w14:textId="447872FB"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4F07171A" w14:textId="724F2764"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5E0E242C" w14:textId="66673B63"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0,07</w:t>
            </w:r>
          </w:p>
        </w:tc>
        <w:tc>
          <w:tcPr>
            <w:tcW w:w="851" w:type="dxa"/>
            <w:vAlign w:val="center"/>
            <w:hideMark/>
          </w:tcPr>
          <w:p w14:paraId="5F8EA31E" w14:textId="18B7987A"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73AA8F4F" w14:textId="77777777" w:rsidTr="00312CC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24" w:type="dxa"/>
            <w:vMerge/>
            <w:vAlign w:val="center"/>
            <w:hideMark/>
          </w:tcPr>
          <w:p w14:paraId="7A8121CA" w14:textId="77777777" w:rsidR="00D640F7" w:rsidRPr="00220066" w:rsidRDefault="00D640F7" w:rsidP="00D640F7">
            <w:pPr>
              <w:spacing w:after="0"/>
              <w:ind w:firstLine="0"/>
              <w:rPr>
                <w:b w:val="0"/>
                <w:color w:val="auto"/>
                <w:sz w:val="20"/>
                <w:lang w:eastAsia="lv-LV"/>
              </w:rPr>
            </w:pPr>
          </w:p>
        </w:tc>
        <w:tc>
          <w:tcPr>
            <w:tcW w:w="4253" w:type="dxa"/>
            <w:vMerge/>
            <w:vAlign w:val="center"/>
            <w:hideMark/>
          </w:tcPr>
          <w:p w14:paraId="46FA3001"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5" w:type="dxa"/>
            <w:vAlign w:val="center"/>
            <w:hideMark/>
          </w:tcPr>
          <w:p w14:paraId="07106651"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UIN</w:t>
            </w:r>
          </w:p>
        </w:tc>
        <w:tc>
          <w:tcPr>
            <w:tcW w:w="851" w:type="dxa"/>
            <w:vAlign w:val="center"/>
            <w:hideMark/>
          </w:tcPr>
          <w:p w14:paraId="1B31DDA3"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63107022" w14:textId="6B42A8D2"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08AAB1DB" w14:textId="3871E1B6"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BE928EF" w14:textId="62DE3296"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3AD443D3" w14:textId="336BCF86"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7C3AB7D0" w14:textId="6DF25DE7"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43A1FBD4" w14:textId="77777777" w:rsidTr="00312CC8">
        <w:trPr>
          <w:trHeight w:val="1257"/>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7148C780"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 xml:space="preserve">Azartspēļu  nodokļu likmju paaugstināšana </w:t>
            </w:r>
          </w:p>
        </w:tc>
        <w:tc>
          <w:tcPr>
            <w:tcW w:w="4253" w:type="dxa"/>
            <w:vAlign w:val="center"/>
            <w:hideMark/>
          </w:tcPr>
          <w:p w14:paraId="101A78CE"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Azartspēļu nodokļa likmes palielināšana sākot ar 2016.gada 1.janvāri - katram azartspēļu automātam par katru spēles vietu no 3 141,70 </w:t>
            </w:r>
            <w:r w:rsidRPr="00220066">
              <w:rPr>
                <w:i/>
                <w:iCs/>
                <w:color w:val="auto"/>
                <w:sz w:val="20"/>
                <w:lang w:eastAsia="lv-LV"/>
              </w:rPr>
              <w:t>euro</w:t>
            </w:r>
            <w:r w:rsidRPr="00220066">
              <w:rPr>
                <w:color w:val="auto"/>
                <w:sz w:val="20"/>
                <w:lang w:eastAsia="lv-LV"/>
              </w:rPr>
              <w:t xml:space="preserve"> līdz 3 300 </w:t>
            </w:r>
            <w:r w:rsidRPr="00220066">
              <w:rPr>
                <w:i/>
                <w:iCs/>
                <w:color w:val="auto"/>
                <w:sz w:val="20"/>
                <w:lang w:eastAsia="lv-LV"/>
              </w:rPr>
              <w:t xml:space="preserve">euro </w:t>
            </w:r>
            <w:r w:rsidRPr="00220066">
              <w:rPr>
                <w:color w:val="auto"/>
                <w:sz w:val="20"/>
                <w:lang w:eastAsia="lv-LV"/>
              </w:rPr>
              <w:t>un katram ruletes, kāršu vai kauliņu spēles galdam no 17 279,36 </w:t>
            </w:r>
            <w:r w:rsidRPr="00220066">
              <w:rPr>
                <w:i/>
                <w:iCs/>
                <w:color w:val="auto"/>
                <w:sz w:val="20"/>
                <w:lang w:eastAsia="lv-LV"/>
              </w:rPr>
              <w:t>euro</w:t>
            </w:r>
            <w:r w:rsidRPr="00220066">
              <w:rPr>
                <w:color w:val="auto"/>
                <w:sz w:val="20"/>
                <w:lang w:eastAsia="lv-LV"/>
              </w:rPr>
              <w:t xml:space="preserve"> līdz 18 000 </w:t>
            </w:r>
            <w:r w:rsidRPr="00220066">
              <w:rPr>
                <w:i/>
                <w:iCs/>
                <w:color w:val="auto"/>
                <w:sz w:val="20"/>
                <w:lang w:eastAsia="lv-LV"/>
              </w:rPr>
              <w:t xml:space="preserve">euro. </w:t>
            </w:r>
          </w:p>
        </w:tc>
        <w:tc>
          <w:tcPr>
            <w:tcW w:w="1275" w:type="dxa"/>
            <w:vAlign w:val="center"/>
            <w:hideMark/>
          </w:tcPr>
          <w:p w14:paraId="629941B0"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Izložu un azartspēļu nodoklis</w:t>
            </w:r>
          </w:p>
        </w:tc>
        <w:tc>
          <w:tcPr>
            <w:tcW w:w="851" w:type="dxa"/>
            <w:vAlign w:val="center"/>
            <w:hideMark/>
          </w:tcPr>
          <w:p w14:paraId="2C79E863"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D.29</w:t>
            </w:r>
          </w:p>
        </w:tc>
        <w:tc>
          <w:tcPr>
            <w:tcW w:w="1134" w:type="dxa"/>
            <w:vAlign w:val="center"/>
            <w:hideMark/>
          </w:tcPr>
          <w:p w14:paraId="5BD4E392" w14:textId="58EB39BA"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112B4E6E" w14:textId="3169AEBA"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C035A3F" w14:textId="301F54F2"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27AA160E" w14:textId="1CEF5B74"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431CD19B" w14:textId="2104BDD8"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05031B65" w14:textId="77777777" w:rsidTr="00312CC8">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3846C9A9"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Lauku zemes speciālās vērtības pieauguma ierobežošana</w:t>
            </w:r>
          </w:p>
        </w:tc>
        <w:tc>
          <w:tcPr>
            <w:tcW w:w="4253" w:type="dxa"/>
            <w:vAlign w:val="center"/>
            <w:hideMark/>
          </w:tcPr>
          <w:p w14:paraId="0EB3237A"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No 2016. līdz 2020.gadam tiks noteikts, ka speciālās vērtības nekustamā īpašuma nodokļa vajadzībām pieaugums lauku zemēm nepārsniegs 20 procentus no iepriekšējā gadā zemes vienībai aprēķinātās speciālās vērtības nekustamā īpašuma nodokļa vajadzībām</w:t>
            </w:r>
          </w:p>
        </w:tc>
        <w:tc>
          <w:tcPr>
            <w:tcW w:w="1275" w:type="dxa"/>
            <w:vAlign w:val="center"/>
            <w:hideMark/>
          </w:tcPr>
          <w:p w14:paraId="0964B2F3"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NĪN</w:t>
            </w:r>
          </w:p>
        </w:tc>
        <w:tc>
          <w:tcPr>
            <w:tcW w:w="851" w:type="dxa"/>
            <w:vAlign w:val="center"/>
            <w:hideMark/>
          </w:tcPr>
          <w:p w14:paraId="7731CD85"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D.29</w:t>
            </w:r>
          </w:p>
        </w:tc>
        <w:tc>
          <w:tcPr>
            <w:tcW w:w="1134" w:type="dxa"/>
            <w:vAlign w:val="center"/>
            <w:hideMark/>
          </w:tcPr>
          <w:p w14:paraId="4CA65ED4" w14:textId="07056E18"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2590BA11" w14:textId="28125DB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55600EAE" w14:textId="5AA76966"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611FFD5B" w14:textId="3FB22E8B"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2347653A" w14:textId="1F2BAFFA"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662FF0DD" w14:textId="77777777" w:rsidTr="00312CC8">
        <w:trPr>
          <w:trHeight w:val="854"/>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633EA371"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Finanšu stabilitātes nodevas bāzes pieaugums (Noguldījumu garantiju likums)</w:t>
            </w:r>
          </w:p>
        </w:tc>
        <w:tc>
          <w:tcPr>
            <w:tcW w:w="4253" w:type="dxa"/>
            <w:vAlign w:val="center"/>
            <w:hideMark/>
          </w:tcPr>
          <w:p w14:paraId="75111744"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Finanšu stabilitātes nodevas bāzes pieaugums (Noguldījumu garantiju likums)</w:t>
            </w:r>
          </w:p>
        </w:tc>
        <w:tc>
          <w:tcPr>
            <w:tcW w:w="1275" w:type="dxa"/>
            <w:vAlign w:val="center"/>
            <w:hideMark/>
          </w:tcPr>
          <w:p w14:paraId="2BB67727"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Finanšu stabilitātes nodeva</w:t>
            </w:r>
          </w:p>
        </w:tc>
        <w:tc>
          <w:tcPr>
            <w:tcW w:w="851" w:type="dxa"/>
            <w:vAlign w:val="center"/>
            <w:hideMark/>
          </w:tcPr>
          <w:p w14:paraId="1205D8EE"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D.2</w:t>
            </w:r>
          </w:p>
        </w:tc>
        <w:tc>
          <w:tcPr>
            <w:tcW w:w="1134" w:type="dxa"/>
            <w:vAlign w:val="center"/>
            <w:hideMark/>
          </w:tcPr>
          <w:p w14:paraId="055FDA10" w14:textId="726B0DB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493D42BF" w14:textId="57CE7584"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533CCEE" w14:textId="3F24C575"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1F49A40C" w14:textId="585659C8"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6727352D" w14:textId="3DA1A984"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761CA735" w14:textId="77777777" w:rsidTr="00312CC8">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58382F3E"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Minimālās dividendēs izmaksājamās peļņas daļas palielināšana 2016.gadā no 70% līdz 90 %, 2017.gadā no 27% līdz 75% un 2018.gadā no 27% līdz 70%</w:t>
            </w:r>
          </w:p>
        </w:tc>
        <w:tc>
          <w:tcPr>
            <w:tcW w:w="4253" w:type="dxa"/>
            <w:vAlign w:val="center"/>
            <w:hideMark/>
          </w:tcPr>
          <w:p w14:paraId="7E793902"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Minimālās dividendēs izmaksājamās peļņas daļas palielināšana 2016.gadā no 70% līdz 90 %, 2017.gadā no 27% līdz 75% un 2018.gadā no 27% līdz 70%</w:t>
            </w:r>
          </w:p>
        </w:tc>
        <w:tc>
          <w:tcPr>
            <w:tcW w:w="1275" w:type="dxa"/>
            <w:vAlign w:val="center"/>
            <w:hideMark/>
          </w:tcPr>
          <w:p w14:paraId="0B8CF99E"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Maksājumi par valsts kapitāla izmantošanu</w:t>
            </w:r>
          </w:p>
        </w:tc>
        <w:tc>
          <w:tcPr>
            <w:tcW w:w="851" w:type="dxa"/>
            <w:vAlign w:val="center"/>
            <w:hideMark/>
          </w:tcPr>
          <w:p w14:paraId="3A50C77D"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D.4</w:t>
            </w:r>
          </w:p>
        </w:tc>
        <w:tc>
          <w:tcPr>
            <w:tcW w:w="1134" w:type="dxa"/>
            <w:vAlign w:val="center"/>
            <w:hideMark/>
          </w:tcPr>
          <w:p w14:paraId="4801DCE1" w14:textId="05FB3093"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0A836EBF" w14:textId="78DEFAF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28D0476B" w14:textId="2C07E841"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0,10</w:t>
            </w:r>
          </w:p>
        </w:tc>
        <w:tc>
          <w:tcPr>
            <w:tcW w:w="850" w:type="dxa"/>
            <w:vAlign w:val="center"/>
            <w:hideMark/>
          </w:tcPr>
          <w:p w14:paraId="5950AD69" w14:textId="59C50901"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0,22</w:t>
            </w:r>
          </w:p>
        </w:tc>
        <w:tc>
          <w:tcPr>
            <w:tcW w:w="851" w:type="dxa"/>
            <w:vAlign w:val="center"/>
            <w:hideMark/>
          </w:tcPr>
          <w:p w14:paraId="0719714F" w14:textId="238A20D1"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0,18</w:t>
            </w:r>
          </w:p>
        </w:tc>
      </w:tr>
      <w:tr w:rsidR="00D640F7" w:rsidRPr="00220066" w14:paraId="6B9D25BC" w14:textId="77777777" w:rsidTr="00312CC8">
        <w:trPr>
          <w:trHeight w:val="704"/>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44478F58"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Iedzīvotāju ienākuma nodokļa likmes saglabāšana 2015. gada līmenī</w:t>
            </w:r>
          </w:p>
        </w:tc>
        <w:tc>
          <w:tcPr>
            <w:tcW w:w="4253" w:type="dxa"/>
            <w:vAlign w:val="center"/>
            <w:hideMark/>
          </w:tcPr>
          <w:p w14:paraId="0852FCD0"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Iedzīvotāju ienākuma nodokļa likmes saglabāšana 2015. gada līmenī 23% apmērā</w:t>
            </w:r>
          </w:p>
        </w:tc>
        <w:tc>
          <w:tcPr>
            <w:tcW w:w="1275" w:type="dxa"/>
            <w:vAlign w:val="center"/>
            <w:hideMark/>
          </w:tcPr>
          <w:p w14:paraId="72B962DE"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IIN</w:t>
            </w:r>
          </w:p>
        </w:tc>
        <w:tc>
          <w:tcPr>
            <w:tcW w:w="851" w:type="dxa"/>
            <w:vAlign w:val="center"/>
            <w:hideMark/>
          </w:tcPr>
          <w:p w14:paraId="4D12DE67" w14:textId="77777777"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D.5</w:t>
            </w:r>
          </w:p>
        </w:tc>
        <w:tc>
          <w:tcPr>
            <w:tcW w:w="1134" w:type="dxa"/>
            <w:vAlign w:val="center"/>
            <w:hideMark/>
          </w:tcPr>
          <w:p w14:paraId="67EAE3B7" w14:textId="109587FF"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392EDC91" w14:textId="70BD6E3F"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9E3A2C2" w14:textId="4B4EB86E"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0,23</w:t>
            </w:r>
          </w:p>
        </w:tc>
        <w:tc>
          <w:tcPr>
            <w:tcW w:w="850" w:type="dxa"/>
            <w:vAlign w:val="center"/>
            <w:hideMark/>
          </w:tcPr>
          <w:p w14:paraId="6CE7AD83" w14:textId="068894AE"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0EF86DE8" w14:textId="44F3A631"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5A7A0A70" w14:textId="77777777" w:rsidTr="00312CC8">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06BD8FF1"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Mikrouzņēmuma nodokļa likmju izmaiņu atcelšana</w:t>
            </w:r>
          </w:p>
        </w:tc>
        <w:tc>
          <w:tcPr>
            <w:tcW w:w="4253" w:type="dxa"/>
            <w:vAlign w:val="center"/>
            <w:hideMark/>
          </w:tcPr>
          <w:p w14:paraId="3147C0BB" w14:textId="77777777" w:rsidR="00D640F7" w:rsidRPr="00220066"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 xml:space="preserve">Mikrouzņēmuma nodokļa ļikmju izmaiņu atcelšana (iepriekš paredzēts likmes pieaugums 2016. gadā no 11% uz 13%, 2017. gadā no 13% līdz 15%, uzņēmumiem, kuru apgrozījums ir no 7000 līdz 100 000 </w:t>
            </w:r>
            <w:r w:rsidRPr="00220066">
              <w:rPr>
                <w:i/>
                <w:color w:val="auto"/>
                <w:sz w:val="20"/>
                <w:lang w:eastAsia="lv-LV"/>
              </w:rPr>
              <w:t>euro</w:t>
            </w:r>
            <w:r w:rsidRPr="00220066">
              <w:rPr>
                <w:color w:val="auto"/>
                <w:sz w:val="20"/>
                <w:lang w:eastAsia="lv-LV"/>
              </w:rPr>
              <w:t>)</w:t>
            </w:r>
          </w:p>
        </w:tc>
        <w:tc>
          <w:tcPr>
            <w:tcW w:w="1275" w:type="dxa"/>
            <w:vAlign w:val="center"/>
            <w:hideMark/>
          </w:tcPr>
          <w:p w14:paraId="28B997E8"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SOC</w:t>
            </w:r>
          </w:p>
        </w:tc>
        <w:tc>
          <w:tcPr>
            <w:tcW w:w="851" w:type="dxa"/>
            <w:vAlign w:val="center"/>
            <w:hideMark/>
          </w:tcPr>
          <w:p w14:paraId="73056E2E" w14:textId="77777777"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220066">
              <w:rPr>
                <w:color w:val="auto"/>
                <w:sz w:val="20"/>
                <w:lang w:eastAsia="lv-LV"/>
              </w:rPr>
              <w:t>D.61</w:t>
            </w:r>
          </w:p>
        </w:tc>
        <w:tc>
          <w:tcPr>
            <w:tcW w:w="1134" w:type="dxa"/>
            <w:vAlign w:val="center"/>
            <w:hideMark/>
          </w:tcPr>
          <w:p w14:paraId="3260BED1" w14:textId="2CCE9D2F"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4485252D" w14:textId="35BE283F" w:rsidR="00D640F7" w:rsidRPr="00220066"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461FB25D" w14:textId="54999458"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850" w:type="dxa"/>
            <w:vAlign w:val="center"/>
            <w:hideMark/>
          </w:tcPr>
          <w:p w14:paraId="490A75B9" w14:textId="1B8BDA56"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851" w:type="dxa"/>
            <w:vAlign w:val="center"/>
            <w:hideMark/>
          </w:tcPr>
          <w:p w14:paraId="31530F2D" w14:textId="5037C144" w:rsidR="00D640F7" w:rsidRPr="00220066"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220066" w14:paraId="4D7997B3" w14:textId="77777777" w:rsidTr="00312CC8">
        <w:trPr>
          <w:trHeight w:val="315"/>
        </w:trPr>
        <w:tc>
          <w:tcPr>
            <w:cnfStyle w:val="001000000000" w:firstRow="0" w:lastRow="0" w:firstColumn="1" w:lastColumn="0" w:oddVBand="0" w:evenVBand="0" w:oddHBand="0" w:evenHBand="0" w:firstRowFirstColumn="0" w:firstRowLastColumn="0" w:lastRowFirstColumn="0" w:lastRowLastColumn="0"/>
            <w:tcW w:w="3124" w:type="dxa"/>
            <w:vAlign w:val="center"/>
            <w:hideMark/>
          </w:tcPr>
          <w:p w14:paraId="16EF4368" w14:textId="77777777" w:rsidR="00D640F7" w:rsidRPr="00220066" w:rsidRDefault="00D640F7" w:rsidP="00D640F7">
            <w:pPr>
              <w:spacing w:after="0"/>
              <w:ind w:firstLine="0"/>
              <w:rPr>
                <w:b w:val="0"/>
                <w:color w:val="auto"/>
                <w:sz w:val="20"/>
                <w:lang w:eastAsia="lv-LV"/>
              </w:rPr>
            </w:pPr>
            <w:r w:rsidRPr="00220066">
              <w:rPr>
                <w:b w:val="0"/>
                <w:color w:val="auto"/>
                <w:sz w:val="20"/>
                <w:lang w:eastAsia="lv-LV"/>
              </w:rPr>
              <w:t>Pārējie pasākumi kopā</w:t>
            </w:r>
          </w:p>
        </w:tc>
        <w:tc>
          <w:tcPr>
            <w:tcW w:w="4253" w:type="dxa"/>
            <w:vAlign w:val="center"/>
            <w:hideMark/>
          </w:tcPr>
          <w:p w14:paraId="73F9A2A7" w14:textId="77777777" w:rsidR="00D640F7" w:rsidRPr="00220066"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 </w:t>
            </w:r>
          </w:p>
        </w:tc>
        <w:tc>
          <w:tcPr>
            <w:tcW w:w="1275" w:type="dxa"/>
            <w:vAlign w:val="center"/>
            <w:hideMark/>
          </w:tcPr>
          <w:p w14:paraId="4AE1D182" w14:textId="320F6D32"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851" w:type="dxa"/>
            <w:vAlign w:val="center"/>
            <w:hideMark/>
          </w:tcPr>
          <w:p w14:paraId="542F5758" w14:textId="14DCD309"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34" w:type="dxa"/>
            <w:vAlign w:val="center"/>
            <w:hideMark/>
          </w:tcPr>
          <w:p w14:paraId="3736B31F" w14:textId="3FEE20FB"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4882722B" w14:textId="2EB41F83" w:rsidR="00D640F7" w:rsidRPr="00220066"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0BA0D42D" w14:textId="0D659DA4"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33F877C6" w14:textId="49C5267E"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5E17ADF6" w14:textId="0353C4C2" w:rsidR="00D640F7" w:rsidRPr="00220066"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220066" w:rsidRPr="00220066" w14:paraId="70544C94" w14:textId="77777777" w:rsidTr="00312CC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21" w:type="dxa"/>
            <w:gridSpan w:val="6"/>
            <w:noWrap/>
            <w:vAlign w:val="center"/>
            <w:hideMark/>
          </w:tcPr>
          <w:p w14:paraId="3D841CD0" w14:textId="1BED5764" w:rsidR="00220066" w:rsidRPr="00220066" w:rsidRDefault="00220066" w:rsidP="00220066">
            <w:pPr>
              <w:spacing w:after="0"/>
              <w:ind w:firstLine="0"/>
              <w:jc w:val="right"/>
              <w:rPr>
                <w:color w:val="auto"/>
                <w:sz w:val="20"/>
                <w:lang w:eastAsia="lv-LV"/>
              </w:rPr>
            </w:pPr>
            <w:r>
              <w:rPr>
                <w:color w:val="auto"/>
                <w:sz w:val="20"/>
                <w:lang w:eastAsia="lv-LV"/>
              </w:rPr>
              <w:t>Kopā</w:t>
            </w:r>
          </w:p>
        </w:tc>
        <w:tc>
          <w:tcPr>
            <w:tcW w:w="851" w:type="dxa"/>
            <w:vAlign w:val="center"/>
            <w:hideMark/>
          </w:tcPr>
          <w:p w14:paraId="62E93DAA" w14:textId="2BEC253C" w:rsidR="00220066" w:rsidRPr="00220066" w:rsidRDefault="00220066" w:rsidP="00220066">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0,80</w:t>
            </w:r>
          </w:p>
        </w:tc>
        <w:tc>
          <w:tcPr>
            <w:tcW w:w="850" w:type="dxa"/>
            <w:vAlign w:val="center"/>
            <w:hideMark/>
          </w:tcPr>
          <w:p w14:paraId="28EF9E77" w14:textId="009C02D0" w:rsidR="00220066" w:rsidRPr="00220066" w:rsidRDefault="00220066" w:rsidP="00220066">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0,34</w:t>
            </w:r>
          </w:p>
        </w:tc>
        <w:tc>
          <w:tcPr>
            <w:tcW w:w="851" w:type="dxa"/>
            <w:vAlign w:val="center"/>
            <w:hideMark/>
          </w:tcPr>
          <w:p w14:paraId="0B9F10CD" w14:textId="5B37ACC8" w:rsidR="00220066" w:rsidRPr="00220066" w:rsidRDefault="00220066" w:rsidP="00220066">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0,34</w:t>
            </w:r>
          </w:p>
        </w:tc>
      </w:tr>
    </w:tbl>
    <w:p w14:paraId="4470FC63" w14:textId="77777777" w:rsidR="00A70C15" w:rsidRPr="00A70C15" w:rsidRDefault="00A70C15" w:rsidP="00A70C15">
      <w:pPr>
        <w:rPr>
          <w:lang w:val="x-none" w:eastAsia="x-none"/>
        </w:rPr>
      </w:pPr>
    </w:p>
    <w:p w14:paraId="07BC4C21" w14:textId="77777777" w:rsidR="00167EB2" w:rsidRDefault="00167EB2">
      <w:pPr>
        <w:spacing w:after="0"/>
        <w:ind w:firstLine="0"/>
        <w:jc w:val="left"/>
        <w:rPr>
          <w:b/>
          <w:bCs/>
          <w:color w:val="18185F"/>
          <w:szCs w:val="28"/>
          <w:lang w:eastAsia="x-none"/>
        </w:rPr>
      </w:pPr>
      <w:bookmarkStart w:id="20" w:name="_Toc430608616"/>
      <w:r>
        <w:rPr>
          <w:color w:val="18185F"/>
        </w:rPr>
        <w:br w:type="page"/>
      </w:r>
    </w:p>
    <w:p w14:paraId="2C19F5A2" w14:textId="734A62C6" w:rsidR="00514698" w:rsidRPr="00CA695A" w:rsidRDefault="00514698" w:rsidP="00514698">
      <w:pPr>
        <w:pStyle w:val="Heading1"/>
        <w:tabs>
          <w:tab w:val="left" w:pos="1276"/>
        </w:tabs>
        <w:spacing w:before="0" w:after="240"/>
        <w:ind w:left="1276" w:hanging="1276"/>
        <w:jc w:val="left"/>
        <w:rPr>
          <w:rFonts w:ascii="Times New Roman" w:hAnsi="Times New Roman"/>
          <w:color w:val="18185F"/>
          <w:sz w:val="24"/>
          <w:lang w:val="lv-LV"/>
        </w:rPr>
      </w:pPr>
      <w:bookmarkStart w:id="21" w:name="_Toc431197095"/>
      <w:r w:rsidRPr="00685A33">
        <w:rPr>
          <w:rFonts w:ascii="Times New Roman" w:hAnsi="Times New Roman"/>
          <w:color w:val="18185F"/>
          <w:sz w:val="24"/>
          <w:lang w:val="lv-LV"/>
        </w:rPr>
        <w:t xml:space="preserve">5.a.ii) </w:t>
      </w:r>
      <w:r w:rsidRPr="00685A33">
        <w:rPr>
          <w:rFonts w:ascii="Times New Roman" w:hAnsi="Times New Roman"/>
          <w:color w:val="18185F"/>
          <w:sz w:val="24"/>
        </w:rPr>
        <w:t xml:space="preserve">Diskrecionārie </w:t>
      </w:r>
      <w:r w:rsidRPr="00685A33">
        <w:rPr>
          <w:rFonts w:ascii="Times New Roman" w:hAnsi="Times New Roman"/>
          <w:color w:val="18185F"/>
          <w:sz w:val="24"/>
          <w:lang w:val="lv-LV"/>
        </w:rPr>
        <w:t xml:space="preserve">izdevumu </w:t>
      </w:r>
      <w:r w:rsidRPr="00685A33">
        <w:rPr>
          <w:rFonts w:ascii="Times New Roman" w:hAnsi="Times New Roman"/>
          <w:color w:val="18185F"/>
          <w:sz w:val="24"/>
        </w:rPr>
        <w:t xml:space="preserve">pasākumi </w:t>
      </w:r>
      <w:r w:rsidR="00CA695A" w:rsidRPr="00685A33">
        <w:rPr>
          <w:rFonts w:ascii="Times New Roman" w:hAnsi="Times New Roman"/>
          <w:color w:val="18185F"/>
          <w:sz w:val="24"/>
          <w:lang w:val="lv-LV"/>
        </w:rPr>
        <w:t>vispārējās valdības budžetā</w:t>
      </w:r>
      <w:bookmarkEnd w:id="20"/>
      <w:bookmarkEnd w:id="21"/>
    </w:p>
    <w:tbl>
      <w:tblPr>
        <w:tblStyle w:val="GridTable6Colorful-Accent11"/>
        <w:tblW w:w="15320" w:type="dxa"/>
        <w:tblLook w:val="04A0" w:firstRow="1" w:lastRow="0" w:firstColumn="1" w:lastColumn="0" w:noHBand="0" w:noVBand="1"/>
      </w:tblPr>
      <w:tblGrid>
        <w:gridCol w:w="6600"/>
        <w:gridCol w:w="1300"/>
        <w:gridCol w:w="1183"/>
        <w:gridCol w:w="1559"/>
        <w:gridCol w:w="1843"/>
        <w:gridCol w:w="992"/>
        <w:gridCol w:w="992"/>
        <w:gridCol w:w="851"/>
      </w:tblGrid>
      <w:tr w:rsidR="00EE09CC" w:rsidRPr="00EE09CC" w14:paraId="6DF5F658" w14:textId="77777777" w:rsidTr="00D640F7">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6600" w:type="dxa"/>
            <w:vMerge w:val="restart"/>
            <w:vAlign w:val="center"/>
            <w:hideMark/>
          </w:tcPr>
          <w:p w14:paraId="3E3D7D99" w14:textId="06CCDA6A" w:rsidR="00EE09CC" w:rsidRPr="00EE09CC" w:rsidRDefault="00EE09CC" w:rsidP="00EE09CC">
            <w:pPr>
              <w:spacing w:after="0"/>
              <w:ind w:firstLine="0"/>
              <w:jc w:val="center"/>
              <w:rPr>
                <w:color w:val="auto"/>
                <w:sz w:val="20"/>
                <w:lang w:eastAsia="lv-LV"/>
              </w:rPr>
            </w:pPr>
            <w:r w:rsidRPr="00EE09CC">
              <w:rPr>
                <w:color w:val="auto"/>
                <w:sz w:val="20"/>
                <w:lang w:eastAsia="lv-LV"/>
              </w:rPr>
              <w:t>Pasākumu saraksts</w:t>
            </w:r>
          </w:p>
        </w:tc>
        <w:tc>
          <w:tcPr>
            <w:tcW w:w="1300" w:type="dxa"/>
            <w:vMerge w:val="restart"/>
            <w:vAlign w:val="center"/>
            <w:hideMark/>
          </w:tcPr>
          <w:p w14:paraId="580828ED" w14:textId="6A7C373D"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Detalizēts apraksts</w:t>
            </w:r>
          </w:p>
        </w:tc>
        <w:tc>
          <w:tcPr>
            <w:tcW w:w="1183" w:type="dxa"/>
            <w:vMerge w:val="restart"/>
            <w:vAlign w:val="center"/>
            <w:hideMark/>
          </w:tcPr>
          <w:p w14:paraId="4C16FDD7" w14:textId="30250E60"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EKS kods</w:t>
            </w:r>
          </w:p>
        </w:tc>
        <w:tc>
          <w:tcPr>
            <w:tcW w:w="1559" w:type="dxa"/>
            <w:vMerge w:val="restart"/>
            <w:vAlign w:val="center"/>
            <w:hideMark/>
          </w:tcPr>
          <w:p w14:paraId="2914F09B" w14:textId="2E583927"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Uzskaites princips</w:t>
            </w:r>
          </w:p>
        </w:tc>
        <w:tc>
          <w:tcPr>
            <w:tcW w:w="1843" w:type="dxa"/>
            <w:vMerge w:val="restart"/>
            <w:vAlign w:val="center"/>
            <w:hideMark/>
          </w:tcPr>
          <w:p w14:paraId="235F396F" w14:textId="421C5ABA"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Pieņemšanas statuss</w:t>
            </w:r>
          </w:p>
        </w:tc>
        <w:tc>
          <w:tcPr>
            <w:tcW w:w="2835" w:type="dxa"/>
            <w:gridSpan w:val="3"/>
            <w:noWrap/>
            <w:vAlign w:val="center"/>
            <w:hideMark/>
          </w:tcPr>
          <w:p w14:paraId="172B29F9" w14:textId="0345D379"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Ietekme uz budžetu</w:t>
            </w:r>
          </w:p>
        </w:tc>
      </w:tr>
      <w:tr w:rsidR="00EE09CC" w:rsidRPr="00EE09CC" w14:paraId="08B6CA2B" w14:textId="77777777" w:rsidTr="00D640F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600" w:type="dxa"/>
            <w:vMerge/>
            <w:vAlign w:val="center"/>
            <w:hideMark/>
          </w:tcPr>
          <w:p w14:paraId="0FF8735A" w14:textId="77777777" w:rsidR="00EE09CC" w:rsidRPr="00EE09CC" w:rsidRDefault="00EE09CC" w:rsidP="00EE09CC">
            <w:pPr>
              <w:spacing w:after="0"/>
              <w:ind w:firstLine="0"/>
              <w:jc w:val="center"/>
              <w:rPr>
                <w:color w:val="auto"/>
                <w:sz w:val="20"/>
                <w:lang w:eastAsia="lv-LV"/>
              </w:rPr>
            </w:pPr>
          </w:p>
        </w:tc>
        <w:tc>
          <w:tcPr>
            <w:tcW w:w="1300" w:type="dxa"/>
            <w:vMerge/>
            <w:vAlign w:val="center"/>
            <w:hideMark/>
          </w:tcPr>
          <w:p w14:paraId="496DEE08"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83" w:type="dxa"/>
            <w:vMerge/>
            <w:vAlign w:val="center"/>
            <w:hideMark/>
          </w:tcPr>
          <w:p w14:paraId="19517470"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559" w:type="dxa"/>
            <w:vMerge/>
            <w:vAlign w:val="center"/>
            <w:hideMark/>
          </w:tcPr>
          <w:p w14:paraId="64ECA3C2"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843" w:type="dxa"/>
            <w:vMerge/>
            <w:vAlign w:val="center"/>
            <w:hideMark/>
          </w:tcPr>
          <w:p w14:paraId="655336B8"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992" w:type="dxa"/>
            <w:noWrap/>
            <w:vAlign w:val="center"/>
            <w:hideMark/>
          </w:tcPr>
          <w:p w14:paraId="025C58B4" w14:textId="1426C466"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EE09CC">
              <w:rPr>
                <w:b/>
                <w:bCs/>
                <w:color w:val="auto"/>
                <w:sz w:val="20"/>
                <w:lang w:eastAsia="lv-LV"/>
              </w:rPr>
              <w:t>2016</w:t>
            </w:r>
          </w:p>
        </w:tc>
        <w:tc>
          <w:tcPr>
            <w:tcW w:w="992" w:type="dxa"/>
            <w:noWrap/>
            <w:vAlign w:val="center"/>
            <w:hideMark/>
          </w:tcPr>
          <w:p w14:paraId="2BC39F66" w14:textId="0F6CF036"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EE09CC">
              <w:rPr>
                <w:b/>
                <w:bCs/>
                <w:color w:val="auto"/>
                <w:sz w:val="20"/>
                <w:lang w:eastAsia="lv-LV"/>
              </w:rPr>
              <w:t>2017</w:t>
            </w:r>
          </w:p>
        </w:tc>
        <w:tc>
          <w:tcPr>
            <w:tcW w:w="851" w:type="dxa"/>
            <w:noWrap/>
            <w:vAlign w:val="center"/>
            <w:hideMark/>
          </w:tcPr>
          <w:p w14:paraId="0AC6D3C4" w14:textId="6147F732"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EE09CC">
              <w:rPr>
                <w:b/>
                <w:bCs/>
                <w:color w:val="auto"/>
                <w:sz w:val="20"/>
                <w:lang w:eastAsia="lv-LV"/>
              </w:rPr>
              <w:t>2018</w:t>
            </w:r>
          </w:p>
        </w:tc>
      </w:tr>
      <w:tr w:rsidR="00D640F7" w:rsidRPr="00EE09CC" w14:paraId="2375954D" w14:textId="77777777" w:rsidTr="00D640F7">
        <w:trPr>
          <w:trHeight w:val="225"/>
        </w:trPr>
        <w:tc>
          <w:tcPr>
            <w:cnfStyle w:val="001000000000" w:firstRow="0" w:lastRow="0" w:firstColumn="1" w:lastColumn="0" w:oddVBand="0" w:evenVBand="0" w:oddHBand="0" w:evenHBand="0" w:firstRowFirstColumn="0" w:firstRowLastColumn="0" w:lastRowFirstColumn="0" w:lastRowLastColumn="0"/>
            <w:tcW w:w="6600" w:type="dxa"/>
            <w:vMerge/>
            <w:vAlign w:val="center"/>
            <w:hideMark/>
          </w:tcPr>
          <w:p w14:paraId="67767D6E" w14:textId="77777777" w:rsidR="00D640F7" w:rsidRPr="00EE09CC" w:rsidRDefault="00D640F7" w:rsidP="00EE09CC">
            <w:pPr>
              <w:spacing w:after="0"/>
              <w:ind w:firstLine="0"/>
              <w:jc w:val="center"/>
              <w:rPr>
                <w:color w:val="auto"/>
                <w:sz w:val="20"/>
                <w:lang w:eastAsia="lv-LV"/>
              </w:rPr>
            </w:pPr>
          </w:p>
        </w:tc>
        <w:tc>
          <w:tcPr>
            <w:tcW w:w="1300" w:type="dxa"/>
            <w:vMerge/>
            <w:vAlign w:val="center"/>
            <w:hideMark/>
          </w:tcPr>
          <w:p w14:paraId="47B6CC70"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83" w:type="dxa"/>
            <w:vMerge/>
            <w:vAlign w:val="center"/>
            <w:hideMark/>
          </w:tcPr>
          <w:p w14:paraId="4ACDB89B"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559" w:type="dxa"/>
            <w:vMerge/>
            <w:vAlign w:val="center"/>
            <w:hideMark/>
          </w:tcPr>
          <w:p w14:paraId="512FFCEE"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843" w:type="dxa"/>
            <w:vMerge/>
            <w:vAlign w:val="center"/>
            <w:hideMark/>
          </w:tcPr>
          <w:p w14:paraId="39072282"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835" w:type="dxa"/>
            <w:gridSpan w:val="3"/>
            <w:vAlign w:val="center"/>
            <w:hideMark/>
          </w:tcPr>
          <w:p w14:paraId="33461A8E" w14:textId="34A60843"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 no IKP</w:t>
            </w:r>
          </w:p>
        </w:tc>
      </w:tr>
      <w:tr w:rsidR="00D640F7" w:rsidRPr="00EE09CC" w14:paraId="325A65A2" w14:textId="77777777" w:rsidTr="00D640F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70ED6B09"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 xml:space="preserve">Minimālās mēneša darba algas paaugstināšana līdz 370 </w:t>
            </w:r>
            <w:r w:rsidRPr="00EE09CC">
              <w:rPr>
                <w:b w:val="0"/>
                <w:i/>
                <w:iCs/>
                <w:color w:val="auto"/>
                <w:sz w:val="20"/>
                <w:lang w:eastAsia="lv-LV"/>
              </w:rPr>
              <w:t>euro</w:t>
            </w:r>
            <w:r w:rsidRPr="00EE09CC">
              <w:rPr>
                <w:b w:val="0"/>
                <w:color w:val="auto"/>
                <w:sz w:val="20"/>
                <w:lang w:eastAsia="lv-LV"/>
              </w:rPr>
              <w:t xml:space="preserve"> ar 2016.gada 1.janvāri</w:t>
            </w:r>
          </w:p>
        </w:tc>
        <w:tc>
          <w:tcPr>
            <w:tcW w:w="1300" w:type="dxa"/>
            <w:noWrap/>
            <w:hideMark/>
          </w:tcPr>
          <w:p w14:paraId="5F301DB9"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53F119F2" w14:textId="408078CB"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w:t>
            </w:r>
          </w:p>
        </w:tc>
        <w:tc>
          <w:tcPr>
            <w:tcW w:w="1559" w:type="dxa"/>
            <w:vAlign w:val="center"/>
            <w:hideMark/>
          </w:tcPr>
          <w:p w14:paraId="637D4DA7"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5918D95B"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55246ABC"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711F8117"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60A8448B"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7633DD1B" w14:textId="77777777" w:rsidTr="00D640F7">
        <w:trPr>
          <w:trHeight w:val="50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50F9C939"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Citi pasākumi (pārdales, t.sk. ES fondu īstenošanai), ieņēmumu no maksas pakalpojumiem un citu pašu ieņēmumu palielinājums u.c.)</w:t>
            </w:r>
          </w:p>
        </w:tc>
        <w:tc>
          <w:tcPr>
            <w:tcW w:w="1300" w:type="dxa"/>
            <w:noWrap/>
            <w:hideMark/>
          </w:tcPr>
          <w:p w14:paraId="19A97397"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14C42034" w14:textId="1BA6C7DC"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59" w:type="dxa"/>
            <w:vAlign w:val="center"/>
            <w:hideMark/>
          </w:tcPr>
          <w:p w14:paraId="43143525"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947A681"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25BB8B7D" w14:textId="2119D725"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A5AF0">
              <w:rPr>
                <w:color w:val="auto"/>
                <w:sz w:val="20"/>
                <w:lang w:eastAsia="lv-LV"/>
              </w:rPr>
              <w:t>0,09</w:t>
            </w:r>
          </w:p>
        </w:tc>
        <w:tc>
          <w:tcPr>
            <w:tcW w:w="992" w:type="dxa"/>
            <w:noWrap/>
            <w:vAlign w:val="center"/>
            <w:hideMark/>
          </w:tcPr>
          <w:p w14:paraId="26E2F77B" w14:textId="20B2F66A"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A5AF0">
              <w:rPr>
                <w:color w:val="auto"/>
                <w:sz w:val="20"/>
                <w:lang w:eastAsia="lv-LV"/>
              </w:rPr>
              <w:t>0,40</w:t>
            </w:r>
          </w:p>
        </w:tc>
        <w:tc>
          <w:tcPr>
            <w:tcW w:w="851" w:type="dxa"/>
            <w:noWrap/>
            <w:vAlign w:val="center"/>
            <w:hideMark/>
          </w:tcPr>
          <w:p w14:paraId="6C3CDE95" w14:textId="0C93F10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A5AF0">
              <w:rPr>
                <w:color w:val="auto"/>
                <w:sz w:val="20"/>
                <w:lang w:eastAsia="lv-LV"/>
              </w:rPr>
              <w:t>0,12</w:t>
            </w:r>
          </w:p>
        </w:tc>
      </w:tr>
      <w:tr w:rsidR="00D640F7" w:rsidRPr="00EE09CC" w14:paraId="77E13346" w14:textId="77777777" w:rsidTr="00D640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3EB65310"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MK pieņemtie lēmumi (t.sk., izdevumu samazinājums 3% apmērā)</w:t>
            </w:r>
          </w:p>
        </w:tc>
        <w:tc>
          <w:tcPr>
            <w:tcW w:w="1300" w:type="dxa"/>
            <w:noWrap/>
            <w:hideMark/>
          </w:tcPr>
          <w:p w14:paraId="739D6932"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78D9A1F1" w14:textId="684DFAAB"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59" w:type="dxa"/>
            <w:vAlign w:val="center"/>
            <w:hideMark/>
          </w:tcPr>
          <w:p w14:paraId="50268147"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03A5BD4"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1E7053C1" w14:textId="6242833F"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A5AF0">
              <w:rPr>
                <w:color w:val="auto"/>
                <w:sz w:val="20"/>
                <w:lang w:eastAsia="lv-LV"/>
              </w:rPr>
              <w:t>-0,16</w:t>
            </w:r>
          </w:p>
        </w:tc>
        <w:tc>
          <w:tcPr>
            <w:tcW w:w="992" w:type="dxa"/>
            <w:noWrap/>
            <w:vAlign w:val="center"/>
            <w:hideMark/>
          </w:tcPr>
          <w:p w14:paraId="5649C4A4" w14:textId="3F05300E"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A5AF0">
              <w:rPr>
                <w:color w:val="auto"/>
                <w:sz w:val="20"/>
                <w:lang w:eastAsia="lv-LV"/>
              </w:rPr>
              <w:t>0,51</w:t>
            </w:r>
          </w:p>
        </w:tc>
        <w:tc>
          <w:tcPr>
            <w:tcW w:w="851" w:type="dxa"/>
            <w:noWrap/>
            <w:vAlign w:val="center"/>
            <w:hideMark/>
          </w:tcPr>
          <w:p w14:paraId="6709A3E3" w14:textId="44219165"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A5AF0">
              <w:rPr>
                <w:color w:val="auto"/>
                <w:sz w:val="20"/>
                <w:lang w:eastAsia="lv-LV"/>
              </w:rPr>
              <w:t>0,10</w:t>
            </w:r>
          </w:p>
        </w:tc>
      </w:tr>
      <w:tr w:rsidR="00D640F7" w:rsidRPr="00EE09CC" w14:paraId="3C69797C"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1578EF48"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Nacionālo bruņoto spēku kaujas spēju celšana</w:t>
            </w:r>
          </w:p>
        </w:tc>
        <w:tc>
          <w:tcPr>
            <w:tcW w:w="1300" w:type="dxa"/>
            <w:noWrap/>
            <w:hideMark/>
          </w:tcPr>
          <w:p w14:paraId="5B805188"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64C4A6F8" w14:textId="2BBBE4BB"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 D.1</w:t>
            </w:r>
          </w:p>
        </w:tc>
        <w:tc>
          <w:tcPr>
            <w:tcW w:w="1559" w:type="dxa"/>
            <w:vAlign w:val="center"/>
            <w:hideMark/>
          </w:tcPr>
          <w:p w14:paraId="67466CC1"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13C72133"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1E0189EC"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0,20</w:t>
            </w:r>
          </w:p>
        </w:tc>
        <w:tc>
          <w:tcPr>
            <w:tcW w:w="992" w:type="dxa"/>
            <w:noWrap/>
            <w:vAlign w:val="center"/>
            <w:hideMark/>
          </w:tcPr>
          <w:p w14:paraId="3C14E3C6"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0,15</w:t>
            </w:r>
          </w:p>
        </w:tc>
        <w:tc>
          <w:tcPr>
            <w:tcW w:w="851" w:type="dxa"/>
            <w:noWrap/>
            <w:vAlign w:val="center"/>
            <w:hideMark/>
          </w:tcPr>
          <w:p w14:paraId="0872EFE2"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0,16</w:t>
            </w:r>
          </w:p>
        </w:tc>
      </w:tr>
      <w:tr w:rsidR="00D640F7" w:rsidRPr="00EE09CC" w14:paraId="13457843" w14:textId="77777777" w:rsidTr="00D640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35664F5B"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Jaunsardzes kustības attīstība</w:t>
            </w:r>
          </w:p>
        </w:tc>
        <w:tc>
          <w:tcPr>
            <w:tcW w:w="1300" w:type="dxa"/>
            <w:noWrap/>
            <w:hideMark/>
          </w:tcPr>
          <w:p w14:paraId="30FF3093"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48F73B10" w14:textId="2FAD7601"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P.2, D.1</w:t>
            </w:r>
          </w:p>
        </w:tc>
        <w:tc>
          <w:tcPr>
            <w:tcW w:w="1559" w:type="dxa"/>
            <w:vAlign w:val="center"/>
            <w:hideMark/>
          </w:tcPr>
          <w:p w14:paraId="4FA1AF7A"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8D5ACEC"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49E25719"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0B342996"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851" w:type="dxa"/>
            <w:noWrap/>
            <w:vAlign w:val="center"/>
            <w:hideMark/>
          </w:tcPr>
          <w:p w14:paraId="6B2C0840"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74834142" w14:textId="77777777" w:rsidTr="00D640F7">
        <w:trPr>
          <w:trHeight w:val="510"/>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6B23634D"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Atlīdzības nodrošināšana Iekšlietu ministrijas sistēmas iestāžu amatpersonām ar speciālajām dienesta pakāpēm</w:t>
            </w:r>
          </w:p>
        </w:tc>
        <w:tc>
          <w:tcPr>
            <w:tcW w:w="1300" w:type="dxa"/>
            <w:noWrap/>
            <w:hideMark/>
          </w:tcPr>
          <w:p w14:paraId="47A56D52"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305FAF71" w14:textId="663FC102"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D.1</w:t>
            </w:r>
          </w:p>
        </w:tc>
        <w:tc>
          <w:tcPr>
            <w:tcW w:w="1559" w:type="dxa"/>
            <w:vAlign w:val="center"/>
            <w:hideMark/>
          </w:tcPr>
          <w:p w14:paraId="61DA54EB"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FF8B788"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44A3D286"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0,10</w:t>
            </w:r>
          </w:p>
        </w:tc>
        <w:tc>
          <w:tcPr>
            <w:tcW w:w="992" w:type="dxa"/>
            <w:noWrap/>
            <w:vAlign w:val="center"/>
            <w:hideMark/>
          </w:tcPr>
          <w:p w14:paraId="5BD028C8"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5BB97325"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34139B8B" w14:textId="77777777" w:rsidTr="00D640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6A6B739D"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Iekšlietu ministrijas padotībā esošo iestāžu nodrošināšana ar funkciju izpildei nepieciešamajiem šaujamieročiem</w:t>
            </w:r>
          </w:p>
        </w:tc>
        <w:tc>
          <w:tcPr>
            <w:tcW w:w="1300" w:type="dxa"/>
            <w:noWrap/>
            <w:hideMark/>
          </w:tcPr>
          <w:p w14:paraId="373F4AF1"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122AD187" w14:textId="3F1DF50D"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0FB4D095"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26B2A1DF"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1AB33569"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6814B2CB"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7D1BF1AE"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43755CF3" w14:textId="77777777" w:rsidTr="00D640F7">
        <w:trPr>
          <w:trHeight w:val="510"/>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6F42FCBC"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Latvijas Republikas valsts robežas iekārtošana, uzturēšana un zemes īpašuma tiesību sakārtošana</w:t>
            </w:r>
          </w:p>
        </w:tc>
        <w:tc>
          <w:tcPr>
            <w:tcW w:w="1300" w:type="dxa"/>
            <w:noWrap/>
            <w:hideMark/>
          </w:tcPr>
          <w:p w14:paraId="77E69EF2"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656CA46B" w14:textId="167EFE0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C6E85">
              <w:rPr>
                <w:color w:val="auto"/>
                <w:sz w:val="20"/>
                <w:lang w:eastAsia="lv-LV"/>
              </w:rPr>
              <w:t>P.2</w:t>
            </w:r>
          </w:p>
        </w:tc>
        <w:tc>
          <w:tcPr>
            <w:tcW w:w="1559" w:type="dxa"/>
            <w:vAlign w:val="center"/>
            <w:hideMark/>
          </w:tcPr>
          <w:p w14:paraId="13EC9C7A"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73BB49B"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568F5521"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53C1A63C"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47131E11"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7BFB8F85" w14:textId="77777777" w:rsidTr="00D640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087BA9E7"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Valsts drošības stiprināšanas pasākumi</w:t>
            </w:r>
          </w:p>
        </w:tc>
        <w:tc>
          <w:tcPr>
            <w:tcW w:w="1300" w:type="dxa"/>
            <w:noWrap/>
            <w:hideMark/>
          </w:tcPr>
          <w:p w14:paraId="0B31AB4F"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0B85A582" w14:textId="657A4E7D"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C6E85">
              <w:rPr>
                <w:color w:val="auto"/>
                <w:sz w:val="20"/>
                <w:lang w:eastAsia="lv-LV"/>
              </w:rPr>
              <w:t>P.2</w:t>
            </w:r>
          </w:p>
        </w:tc>
        <w:tc>
          <w:tcPr>
            <w:tcW w:w="1559" w:type="dxa"/>
            <w:vAlign w:val="center"/>
            <w:hideMark/>
          </w:tcPr>
          <w:p w14:paraId="212B1B5C"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DC55591"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3E59D140"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16BD5626"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789EB7BC"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6BAD3D01"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7CBDD4A1"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Kompensācijas reģionālajām pasta piegādēm</w:t>
            </w:r>
          </w:p>
        </w:tc>
        <w:tc>
          <w:tcPr>
            <w:tcW w:w="1300" w:type="dxa"/>
            <w:noWrap/>
            <w:hideMark/>
          </w:tcPr>
          <w:p w14:paraId="1993134F"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3A588A0D" w14:textId="52DFEA2D"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D.3</w:t>
            </w:r>
          </w:p>
        </w:tc>
        <w:tc>
          <w:tcPr>
            <w:tcW w:w="1559" w:type="dxa"/>
            <w:vAlign w:val="center"/>
            <w:hideMark/>
          </w:tcPr>
          <w:p w14:paraId="71B4F215"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45B7F5E8"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00D4F67F"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05012920"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189372F1"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0EFC30AC" w14:textId="77777777" w:rsidTr="00D640F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700A4BCC"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Dotācija zaudējumu segšanai sabiedriskā transporta pakalpojumu sniedzējiem</w:t>
            </w:r>
          </w:p>
        </w:tc>
        <w:tc>
          <w:tcPr>
            <w:tcW w:w="1300" w:type="dxa"/>
            <w:noWrap/>
            <w:hideMark/>
          </w:tcPr>
          <w:p w14:paraId="560ACDDD"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778881C1" w14:textId="52F0E27C"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D.3</w:t>
            </w:r>
          </w:p>
        </w:tc>
        <w:tc>
          <w:tcPr>
            <w:tcW w:w="1559" w:type="dxa"/>
            <w:vAlign w:val="center"/>
            <w:hideMark/>
          </w:tcPr>
          <w:p w14:paraId="4AE6CD96"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1369D2BB"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062E34DD"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35AEB6A9"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0AA249F7"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37067417" w14:textId="77777777" w:rsidTr="00D640F7">
        <w:trPr>
          <w:trHeight w:val="564"/>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7BE3E2D7"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Tehnisko palīglīdzekļu klāsta pilnveidošana un modernizēšana, kā arī rindu pēc tehniskajiem palīglīdzekļiem samazināšana</w:t>
            </w:r>
          </w:p>
        </w:tc>
        <w:tc>
          <w:tcPr>
            <w:tcW w:w="1300" w:type="dxa"/>
            <w:noWrap/>
            <w:hideMark/>
          </w:tcPr>
          <w:p w14:paraId="70824053"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4FEA917C" w14:textId="36EB9B7A"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74DC1A16"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3AE1A83E"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0A980B1A"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05EE948E"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2CC5B03A"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06C756F5" w14:textId="77777777" w:rsidTr="00D640F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0DA07A17"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Papildu atlīdzības nodrošināšana Ieslodzījumu vietu pārvaldes amatpersonām ar speciālajām dienesta pakāpēm</w:t>
            </w:r>
          </w:p>
        </w:tc>
        <w:tc>
          <w:tcPr>
            <w:tcW w:w="1300" w:type="dxa"/>
            <w:noWrap/>
            <w:hideMark/>
          </w:tcPr>
          <w:p w14:paraId="60786EC3"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073E27B4" w14:textId="4B04F61E"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w:t>
            </w:r>
          </w:p>
        </w:tc>
        <w:tc>
          <w:tcPr>
            <w:tcW w:w="1559" w:type="dxa"/>
            <w:vAlign w:val="center"/>
            <w:hideMark/>
          </w:tcPr>
          <w:p w14:paraId="7685D757"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7A3123B"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38146340"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01305177"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35B1F316"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1B9335A8" w14:textId="77777777" w:rsidTr="00D640F7">
        <w:trPr>
          <w:trHeight w:val="297"/>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285FAA48"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Salaspils kodolreaktora likvidācijas pasākumu kopuma izpildes nodrošināšanai</w:t>
            </w:r>
          </w:p>
        </w:tc>
        <w:tc>
          <w:tcPr>
            <w:tcW w:w="1300" w:type="dxa"/>
            <w:noWrap/>
            <w:hideMark/>
          </w:tcPr>
          <w:p w14:paraId="79144540"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19B191D4" w14:textId="1CFB0E7E"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4C3422F2"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72D68D9"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2F60022C"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992" w:type="dxa"/>
            <w:noWrap/>
            <w:vAlign w:val="center"/>
            <w:hideMark/>
          </w:tcPr>
          <w:p w14:paraId="11400FA7"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851" w:type="dxa"/>
            <w:noWrap/>
            <w:vAlign w:val="center"/>
            <w:hideMark/>
          </w:tcPr>
          <w:p w14:paraId="61A53FF3"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27BED5B9" w14:textId="77777777" w:rsidTr="00D640F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797E227A"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Kompensējamo medikamentu apmaksas C-hepatīta un HIV/AIDS pacientiem nodrošināšana</w:t>
            </w:r>
          </w:p>
        </w:tc>
        <w:tc>
          <w:tcPr>
            <w:tcW w:w="1300" w:type="dxa"/>
            <w:noWrap/>
            <w:hideMark/>
          </w:tcPr>
          <w:p w14:paraId="76FDA837"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7C2B3698" w14:textId="32A0023C"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D.3</w:t>
            </w:r>
          </w:p>
        </w:tc>
        <w:tc>
          <w:tcPr>
            <w:tcW w:w="1559" w:type="dxa"/>
            <w:vAlign w:val="center"/>
            <w:hideMark/>
          </w:tcPr>
          <w:p w14:paraId="20DA65B9"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57D3176"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72C4FD49"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0,02</w:t>
            </w:r>
          </w:p>
        </w:tc>
        <w:tc>
          <w:tcPr>
            <w:tcW w:w="992" w:type="dxa"/>
            <w:noWrap/>
            <w:vAlign w:val="center"/>
            <w:hideMark/>
          </w:tcPr>
          <w:p w14:paraId="0A35E0C5"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4FFC93CC"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740EDA31" w14:textId="77777777" w:rsidTr="00D640F7">
        <w:trPr>
          <w:trHeight w:val="323"/>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5F19E12A"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Valsts galvoto aizdevumu slimnīcām atmaksas nodrošināšana</w:t>
            </w:r>
          </w:p>
        </w:tc>
        <w:tc>
          <w:tcPr>
            <w:tcW w:w="1300" w:type="dxa"/>
            <w:noWrap/>
            <w:hideMark/>
          </w:tcPr>
          <w:p w14:paraId="7EDFE29E"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6E05C9D9" w14:textId="0ADB5CC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D.99</w:t>
            </w:r>
          </w:p>
        </w:tc>
        <w:tc>
          <w:tcPr>
            <w:tcW w:w="1559" w:type="dxa"/>
            <w:vAlign w:val="center"/>
            <w:hideMark/>
          </w:tcPr>
          <w:p w14:paraId="6F1D6CCF"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56E43F74"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30263F3B"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0,03</w:t>
            </w:r>
          </w:p>
        </w:tc>
        <w:tc>
          <w:tcPr>
            <w:tcW w:w="992" w:type="dxa"/>
            <w:noWrap/>
            <w:vAlign w:val="center"/>
            <w:hideMark/>
          </w:tcPr>
          <w:p w14:paraId="46549565"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35F4312A"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41FCBA07" w14:textId="77777777" w:rsidTr="00D27E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78D58401"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Pārējie pasākumi kopā</w:t>
            </w:r>
          </w:p>
        </w:tc>
        <w:tc>
          <w:tcPr>
            <w:tcW w:w="1300" w:type="dxa"/>
            <w:noWrap/>
            <w:hideMark/>
          </w:tcPr>
          <w:p w14:paraId="32362475"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hideMark/>
          </w:tcPr>
          <w:p w14:paraId="62216D5A"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559" w:type="dxa"/>
            <w:vAlign w:val="center"/>
            <w:hideMark/>
          </w:tcPr>
          <w:p w14:paraId="376CEF29"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691FCD16"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211FC7B4"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0,03</w:t>
            </w:r>
          </w:p>
        </w:tc>
        <w:tc>
          <w:tcPr>
            <w:tcW w:w="992" w:type="dxa"/>
            <w:noWrap/>
            <w:vAlign w:val="center"/>
            <w:hideMark/>
          </w:tcPr>
          <w:p w14:paraId="5B3D044E"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4EDAFBDA"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r>
      <w:tr w:rsidR="00D640F7" w:rsidRPr="00EE09CC" w14:paraId="4F9825DA" w14:textId="77777777" w:rsidTr="00D27E4E">
        <w:trPr>
          <w:trHeight w:val="315"/>
        </w:trPr>
        <w:tc>
          <w:tcPr>
            <w:cnfStyle w:val="001000000000" w:firstRow="0" w:lastRow="0" w:firstColumn="1" w:lastColumn="0" w:oddVBand="0" w:evenVBand="0" w:oddHBand="0" w:evenHBand="0" w:firstRowFirstColumn="0" w:firstRowLastColumn="0" w:lastRowFirstColumn="0" w:lastRowLastColumn="0"/>
            <w:tcW w:w="12485" w:type="dxa"/>
            <w:gridSpan w:val="5"/>
            <w:noWrap/>
            <w:vAlign w:val="center"/>
            <w:hideMark/>
          </w:tcPr>
          <w:p w14:paraId="17798499" w14:textId="77777777" w:rsidR="00D640F7" w:rsidRPr="00EE09CC" w:rsidRDefault="00D640F7" w:rsidP="00D640F7">
            <w:pPr>
              <w:spacing w:after="0"/>
              <w:ind w:firstLine="0"/>
              <w:jc w:val="right"/>
              <w:rPr>
                <w:color w:val="auto"/>
                <w:sz w:val="20"/>
                <w:lang w:eastAsia="lv-LV"/>
              </w:rPr>
            </w:pPr>
            <w:r w:rsidRPr="00EE09CC">
              <w:rPr>
                <w:color w:val="auto"/>
                <w:sz w:val="20"/>
                <w:lang w:eastAsia="lv-LV"/>
              </w:rPr>
              <w:t>Kopā</w:t>
            </w:r>
          </w:p>
        </w:tc>
        <w:tc>
          <w:tcPr>
            <w:tcW w:w="992" w:type="dxa"/>
            <w:noWrap/>
            <w:vAlign w:val="center"/>
            <w:hideMark/>
          </w:tcPr>
          <w:p w14:paraId="2BE0A432" w14:textId="4CCF00DD" w:rsidR="00D640F7" w:rsidRPr="004A5AF0"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b/>
                <w:color w:val="auto"/>
                <w:sz w:val="20"/>
                <w:lang w:eastAsia="lv-LV"/>
              </w:rPr>
            </w:pPr>
            <w:r w:rsidRPr="004A5AF0">
              <w:rPr>
                <w:b/>
                <w:color w:val="auto"/>
                <w:sz w:val="20"/>
                <w:lang w:eastAsia="lv-LV"/>
              </w:rPr>
              <w:t>0,39</w:t>
            </w:r>
          </w:p>
        </w:tc>
        <w:tc>
          <w:tcPr>
            <w:tcW w:w="992" w:type="dxa"/>
            <w:noWrap/>
            <w:vAlign w:val="center"/>
            <w:hideMark/>
          </w:tcPr>
          <w:p w14:paraId="6407D7FF" w14:textId="71F5D472" w:rsidR="00D640F7" w:rsidRPr="004A5AF0"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b/>
                <w:color w:val="auto"/>
                <w:sz w:val="20"/>
                <w:lang w:eastAsia="lv-LV"/>
              </w:rPr>
            </w:pPr>
            <w:r w:rsidRPr="004A5AF0">
              <w:rPr>
                <w:b/>
                <w:color w:val="auto"/>
                <w:sz w:val="20"/>
                <w:lang w:eastAsia="lv-LV"/>
              </w:rPr>
              <w:t>1,09</w:t>
            </w:r>
          </w:p>
        </w:tc>
        <w:tc>
          <w:tcPr>
            <w:tcW w:w="851" w:type="dxa"/>
            <w:noWrap/>
            <w:vAlign w:val="center"/>
            <w:hideMark/>
          </w:tcPr>
          <w:p w14:paraId="1BF63691" w14:textId="0E02A7CE" w:rsidR="00D640F7" w:rsidRPr="004A5AF0"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b/>
                <w:color w:val="auto"/>
                <w:sz w:val="20"/>
                <w:lang w:eastAsia="lv-LV"/>
              </w:rPr>
            </w:pPr>
            <w:r w:rsidRPr="004A5AF0">
              <w:rPr>
                <w:b/>
                <w:color w:val="auto"/>
                <w:sz w:val="20"/>
                <w:lang w:eastAsia="lv-LV"/>
              </w:rPr>
              <w:t>0,38</w:t>
            </w:r>
          </w:p>
        </w:tc>
      </w:tr>
    </w:tbl>
    <w:p w14:paraId="06591FCD" w14:textId="1178F850" w:rsidR="00237652" w:rsidRPr="00CA695A" w:rsidRDefault="00D243AB" w:rsidP="002A44D1">
      <w:pPr>
        <w:pStyle w:val="Heading1"/>
        <w:tabs>
          <w:tab w:val="left" w:pos="1276"/>
        </w:tabs>
        <w:spacing w:before="0" w:after="240"/>
        <w:ind w:left="1276" w:hanging="1276"/>
        <w:jc w:val="left"/>
        <w:rPr>
          <w:rFonts w:ascii="Times New Roman" w:hAnsi="Times New Roman"/>
          <w:color w:val="18185F"/>
          <w:sz w:val="24"/>
          <w:lang w:val="lv-LV"/>
        </w:rPr>
      </w:pPr>
      <w:bookmarkStart w:id="22" w:name="_Toc431197096"/>
      <w:r w:rsidRPr="00DC2914">
        <w:rPr>
          <w:rFonts w:ascii="Times New Roman" w:hAnsi="Times New Roman"/>
          <w:color w:val="18185F"/>
          <w:sz w:val="24"/>
        </w:rPr>
        <w:t>5.b</w:t>
      </w:r>
      <w:r w:rsidR="00C3203D">
        <w:rPr>
          <w:rFonts w:ascii="Times New Roman" w:hAnsi="Times New Roman"/>
          <w:color w:val="18185F"/>
          <w:sz w:val="24"/>
          <w:lang w:val="lv-LV"/>
        </w:rPr>
        <w:t>.i)</w:t>
      </w:r>
      <w:r w:rsidRPr="00DC2914">
        <w:rPr>
          <w:rFonts w:ascii="Times New Roman" w:hAnsi="Times New Roman"/>
          <w:color w:val="18185F"/>
          <w:sz w:val="24"/>
        </w:rPr>
        <w:t>:</w:t>
      </w:r>
      <w:r w:rsidR="00237652" w:rsidRPr="00DC2914">
        <w:rPr>
          <w:rFonts w:ascii="Times New Roman" w:hAnsi="Times New Roman"/>
          <w:color w:val="18185F"/>
          <w:sz w:val="24"/>
        </w:rPr>
        <w:t xml:space="preserve">  Diskrecionārie</w:t>
      </w:r>
      <w:r w:rsidR="00CA695A" w:rsidRPr="00DC2914">
        <w:rPr>
          <w:rFonts w:ascii="Times New Roman" w:hAnsi="Times New Roman"/>
          <w:color w:val="18185F"/>
          <w:sz w:val="24"/>
          <w:lang w:val="lv-LV"/>
        </w:rPr>
        <w:t xml:space="preserve"> ieņēmumu</w:t>
      </w:r>
      <w:r w:rsidR="00237652" w:rsidRPr="00DC2914">
        <w:rPr>
          <w:rFonts w:ascii="Times New Roman" w:hAnsi="Times New Roman"/>
          <w:color w:val="18185F"/>
          <w:sz w:val="24"/>
        </w:rPr>
        <w:t xml:space="preserve"> pasākumi </w:t>
      </w:r>
      <w:r w:rsidR="00CA695A" w:rsidRPr="00DC2914">
        <w:rPr>
          <w:rFonts w:ascii="Times New Roman" w:hAnsi="Times New Roman"/>
          <w:color w:val="18185F"/>
          <w:sz w:val="24"/>
          <w:lang w:val="lv-LV"/>
        </w:rPr>
        <w:t>centrālās valdības budžetā</w:t>
      </w:r>
      <w:bookmarkEnd w:id="22"/>
    </w:p>
    <w:tbl>
      <w:tblPr>
        <w:tblStyle w:val="GridTable6Colorful-Accent11"/>
        <w:tblW w:w="15163" w:type="dxa"/>
        <w:tblLook w:val="04A0" w:firstRow="1" w:lastRow="0" w:firstColumn="1" w:lastColumn="0" w:noHBand="0" w:noVBand="1"/>
      </w:tblPr>
      <w:tblGrid>
        <w:gridCol w:w="2972"/>
        <w:gridCol w:w="4492"/>
        <w:gridCol w:w="1227"/>
        <w:gridCol w:w="899"/>
        <w:gridCol w:w="1105"/>
        <w:gridCol w:w="1916"/>
        <w:gridCol w:w="851"/>
        <w:gridCol w:w="850"/>
        <w:gridCol w:w="851"/>
      </w:tblGrid>
      <w:tr w:rsidR="004126AC" w:rsidRPr="004126AC" w14:paraId="60B81765" w14:textId="77777777" w:rsidTr="000E781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3690AC7D" w14:textId="77777777" w:rsidR="004126AC" w:rsidRPr="004126AC" w:rsidRDefault="004126AC" w:rsidP="004126AC">
            <w:pPr>
              <w:spacing w:after="0"/>
              <w:ind w:firstLine="0"/>
              <w:jc w:val="center"/>
              <w:rPr>
                <w:color w:val="auto"/>
                <w:sz w:val="20"/>
                <w:lang w:eastAsia="lv-LV"/>
              </w:rPr>
            </w:pPr>
            <w:r w:rsidRPr="004126AC">
              <w:rPr>
                <w:color w:val="auto"/>
                <w:sz w:val="20"/>
                <w:lang w:eastAsia="lv-LV"/>
              </w:rPr>
              <w:t>Pasākumu saraksts</w:t>
            </w:r>
          </w:p>
        </w:tc>
        <w:tc>
          <w:tcPr>
            <w:tcW w:w="4536" w:type="dxa"/>
            <w:vMerge w:val="restart"/>
            <w:vAlign w:val="center"/>
            <w:hideMark/>
          </w:tcPr>
          <w:p w14:paraId="6736113F" w14:textId="2B55131D" w:rsidR="004126AC" w:rsidRPr="004126AC"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4126AC">
              <w:rPr>
                <w:bCs w:val="0"/>
                <w:color w:val="auto"/>
                <w:sz w:val="20"/>
                <w:lang w:eastAsia="lv-LV"/>
              </w:rPr>
              <w:t>Detalizēts apraksts</w:t>
            </w:r>
          </w:p>
        </w:tc>
        <w:tc>
          <w:tcPr>
            <w:tcW w:w="1227" w:type="dxa"/>
            <w:vMerge w:val="restart"/>
            <w:vAlign w:val="center"/>
            <w:hideMark/>
          </w:tcPr>
          <w:p w14:paraId="204095ED" w14:textId="77777777" w:rsidR="004126AC" w:rsidRPr="004126AC"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Nodokļu veids</w:t>
            </w:r>
          </w:p>
        </w:tc>
        <w:tc>
          <w:tcPr>
            <w:tcW w:w="899" w:type="dxa"/>
            <w:vMerge w:val="restart"/>
            <w:vAlign w:val="center"/>
            <w:hideMark/>
          </w:tcPr>
          <w:p w14:paraId="68C4581F" w14:textId="7ED01299" w:rsidR="004126AC" w:rsidRPr="004126AC"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E</w:t>
            </w:r>
            <w:r>
              <w:rPr>
                <w:color w:val="auto"/>
                <w:sz w:val="20"/>
                <w:lang w:eastAsia="lv-LV"/>
              </w:rPr>
              <w:t>KS</w:t>
            </w:r>
            <w:r w:rsidRPr="004126AC">
              <w:rPr>
                <w:color w:val="auto"/>
                <w:sz w:val="20"/>
                <w:lang w:eastAsia="lv-LV"/>
              </w:rPr>
              <w:t xml:space="preserve"> kods</w:t>
            </w:r>
          </w:p>
        </w:tc>
        <w:tc>
          <w:tcPr>
            <w:tcW w:w="1061" w:type="dxa"/>
            <w:vMerge w:val="restart"/>
            <w:vAlign w:val="center"/>
            <w:hideMark/>
          </w:tcPr>
          <w:p w14:paraId="4F7591D9" w14:textId="77777777" w:rsidR="004126AC" w:rsidRPr="004126AC"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Uzskaites princips</w:t>
            </w:r>
          </w:p>
        </w:tc>
        <w:tc>
          <w:tcPr>
            <w:tcW w:w="1916" w:type="dxa"/>
            <w:vMerge w:val="restart"/>
            <w:vAlign w:val="center"/>
            <w:hideMark/>
          </w:tcPr>
          <w:p w14:paraId="6C6923F2" w14:textId="77777777" w:rsidR="004126AC" w:rsidRPr="004126AC"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Pieņemšanas statuss</w:t>
            </w:r>
          </w:p>
        </w:tc>
        <w:tc>
          <w:tcPr>
            <w:tcW w:w="2552" w:type="dxa"/>
            <w:gridSpan w:val="3"/>
            <w:noWrap/>
            <w:vAlign w:val="center"/>
            <w:hideMark/>
          </w:tcPr>
          <w:p w14:paraId="245EB7A6" w14:textId="77777777" w:rsidR="004126AC" w:rsidRPr="004126AC"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Ietekme uz budžetu</w:t>
            </w:r>
          </w:p>
        </w:tc>
      </w:tr>
      <w:tr w:rsidR="004126AC" w:rsidRPr="004126AC" w14:paraId="3AD6A808" w14:textId="77777777" w:rsidTr="00D640F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11667175" w14:textId="77777777" w:rsidR="004126AC" w:rsidRPr="004126AC" w:rsidRDefault="004126AC" w:rsidP="004126AC">
            <w:pPr>
              <w:spacing w:after="0"/>
              <w:ind w:firstLine="0"/>
              <w:jc w:val="center"/>
              <w:rPr>
                <w:color w:val="auto"/>
                <w:sz w:val="20"/>
                <w:lang w:eastAsia="lv-LV"/>
              </w:rPr>
            </w:pPr>
          </w:p>
        </w:tc>
        <w:tc>
          <w:tcPr>
            <w:tcW w:w="4536" w:type="dxa"/>
            <w:vMerge/>
            <w:vAlign w:val="center"/>
            <w:hideMark/>
          </w:tcPr>
          <w:p w14:paraId="221B6155" w14:textId="77777777"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227" w:type="dxa"/>
            <w:vMerge/>
            <w:vAlign w:val="center"/>
            <w:hideMark/>
          </w:tcPr>
          <w:p w14:paraId="0F71CCD4" w14:textId="77777777"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99" w:type="dxa"/>
            <w:vMerge/>
            <w:vAlign w:val="center"/>
            <w:hideMark/>
          </w:tcPr>
          <w:p w14:paraId="1BCB976B" w14:textId="77777777"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061" w:type="dxa"/>
            <w:vMerge/>
            <w:vAlign w:val="center"/>
            <w:hideMark/>
          </w:tcPr>
          <w:p w14:paraId="6C7C9266" w14:textId="77777777"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916" w:type="dxa"/>
            <w:vMerge/>
            <w:vAlign w:val="center"/>
            <w:hideMark/>
          </w:tcPr>
          <w:p w14:paraId="02094B8B" w14:textId="77777777"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51" w:type="dxa"/>
            <w:noWrap/>
            <w:vAlign w:val="center"/>
            <w:hideMark/>
          </w:tcPr>
          <w:p w14:paraId="0D193E03" w14:textId="3A040352"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4126AC">
              <w:rPr>
                <w:b/>
                <w:bCs/>
                <w:color w:val="auto"/>
                <w:sz w:val="20"/>
                <w:lang w:eastAsia="lv-LV"/>
              </w:rPr>
              <w:t>2016</w:t>
            </w:r>
          </w:p>
        </w:tc>
        <w:tc>
          <w:tcPr>
            <w:tcW w:w="850" w:type="dxa"/>
            <w:noWrap/>
            <w:vAlign w:val="center"/>
            <w:hideMark/>
          </w:tcPr>
          <w:p w14:paraId="1C6CA6E0" w14:textId="6BF90523"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4126AC">
              <w:rPr>
                <w:b/>
                <w:bCs/>
                <w:color w:val="auto"/>
                <w:sz w:val="20"/>
                <w:lang w:eastAsia="lv-LV"/>
              </w:rPr>
              <w:t>2017</w:t>
            </w:r>
          </w:p>
        </w:tc>
        <w:tc>
          <w:tcPr>
            <w:tcW w:w="851" w:type="dxa"/>
            <w:noWrap/>
            <w:vAlign w:val="center"/>
            <w:hideMark/>
          </w:tcPr>
          <w:p w14:paraId="0F4A922E" w14:textId="7CAB4530" w:rsidR="004126AC" w:rsidRPr="004126AC"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4126AC">
              <w:rPr>
                <w:b/>
                <w:bCs/>
                <w:color w:val="auto"/>
                <w:sz w:val="20"/>
                <w:lang w:eastAsia="lv-LV"/>
              </w:rPr>
              <w:t>2018</w:t>
            </w:r>
          </w:p>
        </w:tc>
      </w:tr>
      <w:tr w:rsidR="004126AC" w:rsidRPr="004126AC" w14:paraId="19055008" w14:textId="77777777" w:rsidTr="000E7810">
        <w:trPr>
          <w:trHeight w:val="315"/>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57F91305" w14:textId="77777777" w:rsidR="004126AC" w:rsidRPr="004126AC" w:rsidRDefault="004126AC" w:rsidP="004126AC">
            <w:pPr>
              <w:spacing w:after="0"/>
              <w:ind w:firstLine="0"/>
              <w:jc w:val="center"/>
              <w:rPr>
                <w:color w:val="auto"/>
                <w:sz w:val="20"/>
                <w:lang w:eastAsia="lv-LV"/>
              </w:rPr>
            </w:pPr>
          </w:p>
        </w:tc>
        <w:tc>
          <w:tcPr>
            <w:tcW w:w="4536" w:type="dxa"/>
            <w:vMerge/>
            <w:vAlign w:val="center"/>
            <w:hideMark/>
          </w:tcPr>
          <w:p w14:paraId="095B9809"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227" w:type="dxa"/>
            <w:vMerge/>
            <w:vAlign w:val="center"/>
            <w:hideMark/>
          </w:tcPr>
          <w:p w14:paraId="19E4565B"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899" w:type="dxa"/>
            <w:vMerge/>
            <w:vAlign w:val="center"/>
            <w:hideMark/>
          </w:tcPr>
          <w:p w14:paraId="67D1A6AA"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061" w:type="dxa"/>
            <w:vMerge/>
            <w:vAlign w:val="center"/>
            <w:hideMark/>
          </w:tcPr>
          <w:p w14:paraId="70F3BE24"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916" w:type="dxa"/>
            <w:vMerge/>
            <w:vAlign w:val="center"/>
            <w:hideMark/>
          </w:tcPr>
          <w:p w14:paraId="51D26AFB"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552" w:type="dxa"/>
            <w:gridSpan w:val="3"/>
            <w:noWrap/>
            <w:vAlign w:val="center"/>
            <w:hideMark/>
          </w:tcPr>
          <w:p w14:paraId="3BE9F268" w14:textId="0BBFA718"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4126AC">
              <w:rPr>
                <w:b/>
                <w:bCs/>
                <w:color w:val="auto"/>
                <w:sz w:val="20"/>
                <w:lang w:eastAsia="lv-LV"/>
              </w:rPr>
              <w:t>% no IKP</w:t>
            </w:r>
          </w:p>
        </w:tc>
      </w:tr>
      <w:tr w:rsidR="00D640F7" w:rsidRPr="004126AC" w14:paraId="4CF8020D" w14:textId="77777777" w:rsidTr="00D640F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7BDC0AFC"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Transportlīdzekļa ekspluatācijas nodokļa maksāšanas kārtības izmaiņu pārcelšana uz 2017. gadu</w:t>
            </w:r>
          </w:p>
        </w:tc>
        <w:tc>
          <w:tcPr>
            <w:tcW w:w="4536" w:type="dxa"/>
            <w:vAlign w:val="center"/>
            <w:hideMark/>
          </w:tcPr>
          <w:p w14:paraId="439E5BB5"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Transportlīdzekļa ekspluatācijas nodokļa maksāšanas kārtības izmaiņu pārcelšana uz 2017. gadu</w:t>
            </w:r>
          </w:p>
        </w:tc>
        <w:tc>
          <w:tcPr>
            <w:tcW w:w="1227" w:type="dxa"/>
            <w:vAlign w:val="center"/>
            <w:hideMark/>
          </w:tcPr>
          <w:p w14:paraId="2D3119D4"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TEN</w:t>
            </w:r>
          </w:p>
        </w:tc>
        <w:tc>
          <w:tcPr>
            <w:tcW w:w="899" w:type="dxa"/>
            <w:vAlign w:val="center"/>
            <w:hideMark/>
          </w:tcPr>
          <w:p w14:paraId="4FB8A325"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D.29, D.5</w:t>
            </w:r>
          </w:p>
        </w:tc>
        <w:tc>
          <w:tcPr>
            <w:tcW w:w="1061" w:type="dxa"/>
            <w:vAlign w:val="center"/>
            <w:hideMark/>
          </w:tcPr>
          <w:p w14:paraId="7957A711" w14:textId="1DA38C14"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32B13535" w14:textId="57C87564"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4C1D665" w14:textId="71720233"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4B4AC698" w14:textId="39EA8C8D"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-0,13</w:t>
            </w:r>
          </w:p>
        </w:tc>
        <w:tc>
          <w:tcPr>
            <w:tcW w:w="851" w:type="dxa"/>
            <w:vAlign w:val="center"/>
            <w:hideMark/>
          </w:tcPr>
          <w:p w14:paraId="0EB19043" w14:textId="181373A7"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0,12</w:t>
            </w:r>
          </w:p>
        </w:tc>
      </w:tr>
      <w:tr w:rsidR="00D640F7" w:rsidRPr="004126AC" w14:paraId="6A660C19" w14:textId="77777777" w:rsidTr="00D640F7">
        <w:trPr>
          <w:trHeight w:val="396"/>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617390E6"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Solidaritātes nodokļa ieviešana</w:t>
            </w:r>
          </w:p>
        </w:tc>
        <w:tc>
          <w:tcPr>
            <w:tcW w:w="4536" w:type="dxa"/>
            <w:vMerge w:val="restart"/>
            <w:vAlign w:val="center"/>
            <w:hideMark/>
          </w:tcPr>
          <w:p w14:paraId="298AC224"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Solidaritātes nodokļa piemērošana summai, kas pārsniedz valsts sociālās apdrošināšanas obligāto iemaksu noteikto apmēru</w:t>
            </w:r>
          </w:p>
        </w:tc>
        <w:tc>
          <w:tcPr>
            <w:tcW w:w="1227" w:type="dxa"/>
            <w:vAlign w:val="center"/>
            <w:hideMark/>
          </w:tcPr>
          <w:p w14:paraId="4B4698D9"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Solidaritātes nodoklis</w:t>
            </w:r>
          </w:p>
        </w:tc>
        <w:tc>
          <w:tcPr>
            <w:tcW w:w="899" w:type="dxa"/>
            <w:vAlign w:val="center"/>
            <w:hideMark/>
          </w:tcPr>
          <w:p w14:paraId="6E629864"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577D332E" w14:textId="3C305F25"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7921597A" w14:textId="52F2F32E"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0EAC154B" w14:textId="214FFCF6"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0,17</w:t>
            </w:r>
          </w:p>
        </w:tc>
        <w:tc>
          <w:tcPr>
            <w:tcW w:w="850" w:type="dxa"/>
            <w:vAlign w:val="center"/>
            <w:hideMark/>
          </w:tcPr>
          <w:p w14:paraId="7AB999F6" w14:textId="126CC4DD"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3D5469A7" w14:textId="4BAEF051"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286E9967" w14:textId="77777777" w:rsidTr="00D640F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67EB1284"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40324053"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27" w:type="dxa"/>
            <w:vAlign w:val="center"/>
            <w:hideMark/>
          </w:tcPr>
          <w:p w14:paraId="62DA78FB"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IIN</w:t>
            </w:r>
          </w:p>
        </w:tc>
        <w:tc>
          <w:tcPr>
            <w:tcW w:w="899" w:type="dxa"/>
            <w:vAlign w:val="center"/>
            <w:hideMark/>
          </w:tcPr>
          <w:p w14:paraId="7260244D"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6D5D861F" w14:textId="032737C0"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37EF3FAF" w14:textId="3DC165FB"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4DB7896F" w14:textId="4CE45422"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15204A62" w14:textId="37A6C949"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2D24A07" w14:textId="43286FB8"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45F33464" w14:textId="77777777" w:rsidTr="00D640F7">
        <w:trPr>
          <w:trHeight w:val="1080"/>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35FFDA5D"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Akcīzes nodokļa paaugstināšana naftas produktiem</w:t>
            </w:r>
          </w:p>
        </w:tc>
        <w:tc>
          <w:tcPr>
            <w:tcW w:w="4536" w:type="dxa"/>
            <w:vMerge w:val="restart"/>
            <w:vAlign w:val="center"/>
            <w:hideMark/>
          </w:tcPr>
          <w:p w14:paraId="3368E260"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xml:space="preserve">Akcīzes nodokļa paaugstināšana  benzīnam no 411,21 </w:t>
            </w:r>
            <w:r w:rsidRPr="000E7810">
              <w:rPr>
                <w:i/>
                <w:color w:val="auto"/>
                <w:sz w:val="20"/>
                <w:lang w:eastAsia="lv-LV"/>
              </w:rPr>
              <w:t>euro</w:t>
            </w:r>
            <w:r w:rsidRPr="004126AC">
              <w:rPr>
                <w:color w:val="auto"/>
                <w:sz w:val="20"/>
                <w:lang w:eastAsia="lv-LV"/>
              </w:rPr>
              <w:t xml:space="preserve"> līdz 436,0 </w:t>
            </w:r>
            <w:r w:rsidRPr="000E7810">
              <w:rPr>
                <w:i/>
                <w:color w:val="auto"/>
                <w:sz w:val="20"/>
                <w:lang w:eastAsia="lv-LV"/>
              </w:rPr>
              <w:t>euro</w:t>
            </w:r>
            <w:r w:rsidRPr="004126AC">
              <w:rPr>
                <w:color w:val="auto"/>
                <w:sz w:val="20"/>
                <w:lang w:eastAsia="lv-LV"/>
              </w:rPr>
              <w:t xml:space="preserve"> par 1000 litriem, dīzeļdegvielai (gāzeļļai), petrolejai un degvieleļļai, kuras kolorimetriskais indekss ir mazāks par 2,0 un kinemātiskā viskozitāte 50oC ir mazāka par 25 mm2/s, no 332,95 </w:t>
            </w:r>
            <w:r w:rsidRPr="000E7810">
              <w:rPr>
                <w:i/>
                <w:color w:val="auto"/>
                <w:sz w:val="20"/>
                <w:lang w:eastAsia="lv-LV"/>
              </w:rPr>
              <w:t>euro</w:t>
            </w:r>
            <w:r w:rsidRPr="004126AC">
              <w:rPr>
                <w:color w:val="auto"/>
                <w:sz w:val="20"/>
                <w:lang w:eastAsia="lv-LV"/>
              </w:rPr>
              <w:t xml:space="preserve"> līdz 341,0 </w:t>
            </w:r>
            <w:r w:rsidRPr="000E7810">
              <w:rPr>
                <w:i/>
                <w:color w:val="auto"/>
                <w:sz w:val="20"/>
                <w:lang w:eastAsia="lv-LV"/>
              </w:rPr>
              <w:t>euro</w:t>
            </w:r>
            <w:r w:rsidRPr="004126AC">
              <w:rPr>
                <w:color w:val="auto"/>
                <w:sz w:val="20"/>
                <w:lang w:eastAsia="lv-LV"/>
              </w:rPr>
              <w:t xml:space="preserve"> par 1000 litriem, sašķidrinātajām naftas gāzēm no 161,0 </w:t>
            </w:r>
            <w:r w:rsidRPr="000E7810">
              <w:rPr>
                <w:i/>
                <w:color w:val="auto"/>
                <w:sz w:val="20"/>
                <w:lang w:eastAsia="lv-LV"/>
              </w:rPr>
              <w:t>euro</w:t>
            </w:r>
            <w:r w:rsidRPr="004126AC">
              <w:rPr>
                <w:color w:val="auto"/>
                <w:sz w:val="20"/>
                <w:lang w:eastAsia="lv-LV"/>
              </w:rPr>
              <w:t xml:space="preserve"> līdz 206,0 </w:t>
            </w:r>
            <w:r w:rsidRPr="000E7810">
              <w:rPr>
                <w:i/>
                <w:color w:val="auto"/>
                <w:sz w:val="20"/>
                <w:lang w:eastAsia="lv-LV"/>
              </w:rPr>
              <w:t>euro</w:t>
            </w:r>
            <w:r w:rsidRPr="004126AC">
              <w:rPr>
                <w:color w:val="auto"/>
                <w:sz w:val="20"/>
                <w:lang w:eastAsia="lv-LV"/>
              </w:rPr>
              <w:t xml:space="preserve"> par 1000 kg.  </w:t>
            </w:r>
          </w:p>
        </w:tc>
        <w:tc>
          <w:tcPr>
            <w:tcW w:w="1227" w:type="dxa"/>
            <w:vAlign w:val="center"/>
            <w:hideMark/>
          </w:tcPr>
          <w:p w14:paraId="59C14661"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Akcīzes nodoklis</w:t>
            </w:r>
          </w:p>
        </w:tc>
        <w:tc>
          <w:tcPr>
            <w:tcW w:w="899" w:type="dxa"/>
            <w:vAlign w:val="center"/>
            <w:hideMark/>
          </w:tcPr>
          <w:p w14:paraId="66B5D858"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69399164" w14:textId="14CFC5C9"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608B98F8" w14:textId="6FBD11B9"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7908E73" w14:textId="5E17B3AD"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850" w:type="dxa"/>
            <w:vAlign w:val="center"/>
            <w:hideMark/>
          </w:tcPr>
          <w:p w14:paraId="1FB5822F" w14:textId="294394F8"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1500597" w14:textId="1AFC3D38"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0DDDDDF5" w14:textId="77777777" w:rsidTr="00D640F7">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1E2DC58F"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5D00C1A2"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27" w:type="dxa"/>
            <w:vAlign w:val="center"/>
            <w:hideMark/>
          </w:tcPr>
          <w:p w14:paraId="01115705"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PVN</w:t>
            </w:r>
          </w:p>
        </w:tc>
        <w:tc>
          <w:tcPr>
            <w:tcW w:w="899" w:type="dxa"/>
            <w:vAlign w:val="center"/>
            <w:hideMark/>
          </w:tcPr>
          <w:p w14:paraId="11441543"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7BF078E3" w14:textId="0D8C185F"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535AA818" w14:textId="14FDB269"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5461DECE" w14:textId="02EF4074"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49AD772D" w14:textId="197220CB"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EC1DA3B" w14:textId="00FB8CB0"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1A167BB9" w14:textId="77777777" w:rsidTr="00D640F7">
        <w:trPr>
          <w:trHeight w:val="561"/>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1398AF49"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Akcīzes nodokļa paaugstināšana alkoholiskajiem dzērieniem un alum</w:t>
            </w:r>
          </w:p>
        </w:tc>
        <w:tc>
          <w:tcPr>
            <w:tcW w:w="4536" w:type="dxa"/>
            <w:vMerge w:val="restart"/>
            <w:vAlign w:val="center"/>
            <w:hideMark/>
          </w:tcPr>
          <w:p w14:paraId="63894E99"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Akcīzes nodokļa paaugstināšana alkoholiskajiem dzērieniem un alum ar 01.04.2016., 01.04.2017. un 01.04.2018.</w:t>
            </w:r>
          </w:p>
        </w:tc>
        <w:tc>
          <w:tcPr>
            <w:tcW w:w="1227" w:type="dxa"/>
            <w:vAlign w:val="center"/>
            <w:hideMark/>
          </w:tcPr>
          <w:p w14:paraId="25991D93"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Akcīzes nodoklis</w:t>
            </w:r>
          </w:p>
        </w:tc>
        <w:tc>
          <w:tcPr>
            <w:tcW w:w="899" w:type="dxa"/>
            <w:vAlign w:val="center"/>
            <w:hideMark/>
          </w:tcPr>
          <w:p w14:paraId="7E1049A5"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51E63674" w14:textId="6A5DB26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07C3CF32" w14:textId="64CB7153"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2407862" w14:textId="344B4F33"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4E56FC5A" w14:textId="15671851"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851" w:type="dxa"/>
            <w:vAlign w:val="center"/>
            <w:hideMark/>
          </w:tcPr>
          <w:p w14:paraId="7A1BDDBC" w14:textId="74FF2CF5"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r>
      <w:tr w:rsidR="00D640F7" w:rsidRPr="004126AC" w14:paraId="13C95185" w14:textId="77777777" w:rsidTr="00D640F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6B951696"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5190630A"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27" w:type="dxa"/>
            <w:vAlign w:val="center"/>
            <w:hideMark/>
          </w:tcPr>
          <w:p w14:paraId="2B345BDD"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PVN</w:t>
            </w:r>
          </w:p>
        </w:tc>
        <w:tc>
          <w:tcPr>
            <w:tcW w:w="899" w:type="dxa"/>
            <w:vAlign w:val="center"/>
            <w:hideMark/>
          </w:tcPr>
          <w:p w14:paraId="12B4EFF9"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4266F042" w14:textId="2B32B755"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021BF4CA" w14:textId="3CBE3405"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4806289" w14:textId="71C7A28D"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3C50E6F7" w14:textId="1CFDDF24"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06B974FA" w14:textId="34F668D5"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0D48CAEF" w14:textId="77777777" w:rsidTr="00D640F7">
        <w:trPr>
          <w:trHeight w:val="97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2D4925B9" w14:textId="43DA1D8B" w:rsidR="00D640F7" w:rsidRPr="004126AC" w:rsidRDefault="00D640F7" w:rsidP="00D640F7">
            <w:pPr>
              <w:spacing w:after="0"/>
              <w:ind w:firstLine="0"/>
              <w:rPr>
                <w:b w:val="0"/>
                <w:color w:val="auto"/>
                <w:sz w:val="20"/>
                <w:lang w:eastAsia="lv-LV"/>
              </w:rPr>
            </w:pPr>
            <w:r w:rsidRPr="004126AC">
              <w:rPr>
                <w:b w:val="0"/>
                <w:color w:val="auto"/>
                <w:sz w:val="20"/>
                <w:lang w:eastAsia="lv-LV"/>
              </w:rPr>
              <w:t xml:space="preserve">PVN dzīvojamo telpu apsaimniekošanai (atbilstoši </w:t>
            </w:r>
            <w:r>
              <w:rPr>
                <w:b w:val="0"/>
                <w:color w:val="auto"/>
                <w:sz w:val="20"/>
                <w:lang w:eastAsia="lv-LV"/>
              </w:rPr>
              <w:t>EK</w:t>
            </w:r>
            <w:r w:rsidRPr="004126AC">
              <w:rPr>
                <w:b w:val="0"/>
                <w:color w:val="auto"/>
                <w:sz w:val="20"/>
                <w:lang w:eastAsia="lv-LV"/>
              </w:rPr>
              <w:t xml:space="preserve"> pārkāpumu procedūrai) ar 01.07.2016</w:t>
            </w:r>
          </w:p>
        </w:tc>
        <w:tc>
          <w:tcPr>
            <w:tcW w:w="4536" w:type="dxa"/>
            <w:vAlign w:val="center"/>
            <w:hideMark/>
          </w:tcPr>
          <w:p w14:paraId="6A38EBD8" w14:textId="1DDC3E5F"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xml:space="preserve">PVN dzīvojamo telpu apsaimniekošanai (atbilstoši </w:t>
            </w:r>
            <w:r>
              <w:rPr>
                <w:color w:val="auto"/>
                <w:sz w:val="20"/>
                <w:lang w:eastAsia="lv-LV"/>
              </w:rPr>
              <w:t>EK</w:t>
            </w:r>
            <w:r w:rsidRPr="004126AC">
              <w:rPr>
                <w:color w:val="auto"/>
                <w:sz w:val="20"/>
                <w:lang w:eastAsia="lv-LV"/>
              </w:rPr>
              <w:t xml:space="preserve"> pārkāpumu procedūrai) ar 01.07.2016</w:t>
            </w:r>
          </w:p>
        </w:tc>
        <w:tc>
          <w:tcPr>
            <w:tcW w:w="1227" w:type="dxa"/>
            <w:vAlign w:val="center"/>
            <w:hideMark/>
          </w:tcPr>
          <w:p w14:paraId="24BC9BCE"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PVN</w:t>
            </w:r>
          </w:p>
        </w:tc>
        <w:tc>
          <w:tcPr>
            <w:tcW w:w="899" w:type="dxa"/>
            <w:vAlign w:val="center"/>
            <w:hideMark/>
          </w:tcPr>
          <w:p w14:paraId="72B1FB9C"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310E7E58" w14:textId="21407893"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1411B463" w14:textId="10365FA0"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6962586E" w14:textId="372CD6A6"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850" w:type="dxa"/>
            <w:vAlign w:val="center"/>
            <w:hideMark/>
          </w:tcPr>
          <w:p w14:paraId="7CE756A3" w14:textId="23B8219A"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851" w:type="dxa"/>
            <w:vAlign w:val="center"/>
            <w:hideMark/>
          </w:tcPr>
          <w:p w14:paraId="51F3B3E2" w14:textId="66FEB692"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597221D5" w14:textId="77777777" w:rsidTr="00D640F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3C9DE088"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Darba ņēmēja un darba devēja pārskata mēneša minimālā valsts sociālās apdrošināšanas obligāto iemaksu objekta noteikšana</w:t>
            </w:r>
          </w:p>
        </w:tc>
        <w:tc>
          <w:tcPr>
            <w:tcW w:w="4536" w:type="dxa"/>
            <w:vMerge w:val="restart"/>
            <w:vAlign w:val="center"/>
            <w:hideMark/>
          </w:tcPr>
          <w:p w14:paraId="0FBB939B"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 xml:space="preserve">Sākot ar 2017. gadu tiks noteikts darba ņēmēja un darba devēja pārskata mēneša minimālais valsts sociālās apdrošināšanas obligāto iemaksu objekts </w:t>
            </w:r>
          </w:p>
        </w:tc>
        <w:tc>
          <w:tcPr>
            <w:tcW w:w="1227" w:type="dxa"/>
            <w:vAlign w:val="center"/>
            <w:hideMark/>
          </w:tcPr>
          <w:p w14:paraId="2A1A5EC0"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SOC</w:t>
            </w:r>
          </w:p>
        </w:tc>
        <w:tc>
          <w:tcPr>
            <w:tcW w:w="899" w:type="dxa"/>
            <w:vAlign w:val="center"/>
            <w:hideMark/>
          </w:tcPr>
          <w:p w14:paraId="50B1C37E"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D.61</w:t>
            </w:r>
          </w:p>
        </w:tc>
        <w:tc>
          <w:tcPr>
            <w:tcW w:w="1061" w:type="dxa"/>
            <w:vAlign w:val="center"/>
            <w:hideMark/>
          </w:tcPr>
          <w:p w14:paraId="4EA58726" w14:textId="5D16B6F5"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3F3E967F" w14:textId="7B64907C"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577D746B" w14:textId="53F97371"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02E7FFD2" w14:textId="48AC15E5"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0,21</w:t>
            </w:r>
          </w:p>
        </w:tc>
        <w:tc>
          <w:tcPr>
            <w:tcW w:w="851" w:type="dxa"/>
            <w:vAlign w:val="center"/>
            <w:hideMark/>
          </w:tcPr>
          <w:p w14:paraId="194DD1B1" w14:textId="3F923334"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04F281BF"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0A88D182"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3DDA15A2"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27" w:type="dxa"/>
            <w:vAlign w:val="center"/>
            <w:hideMark/>
          </w:tcPr>
          <w:p w14:paraId="727CC489"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IIN</w:t>
            </w:r>
          </w:p>
        </w:tc>
        <w:tc>
          <w:tcPr>
            <w:tcW w:w="899" w:type="dxa"/>
            <w:vAlign w:val="center"/>
            <w:hideMark/>
          </w:tcPr>
          <w:p w14:paraId="378CB00F"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2B4B05B1" w14:textId="7ECC8E9A"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782633C2" w14:textId="05354504"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296E2859" w14:textId="714DC235"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020EA4C5" w14:textId="273386E5"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1" w:type="dxa"/>
            <w:vAlign w:val="center"/>
            <w:hideMark/>
          </w:tcPr>
          <w:p w14:paraId="06D3C328" w14:textId="456B0B4C"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08AA4FAD" w14:textId="77777777" w:rsidTr="00D640F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666826EF"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44AA965D"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27" w:type="dxa"/>
            <w:vAlign w:val="center"/>
            <w:hideMark/>
          </w:tcPr>
          <w:p w14:paraId="5F57442D"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UIN</w:t>
            </w:r>
          </w:p>
        </w:tc>
        <w:tc>
          <w:tcPr>
            <w:tcW w:w="899" w:type="dxa"/>
            <w:vAlign w:val="center"/>
            <w:hideMark/>
          </w:tcPr>
          <w:p w14:paraId="31DF5CBF"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60F5E287" w14:textId="545B6ACC"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54003866" w14:textId="51010BCF"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DF07FC3" w14:textId="4775ACD9"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0E625B12" w14:textId="068B436F"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6E4C857F" w14:textId="42902B81"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47A2A1AA"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08BF611D"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PVN kultūras pakalpojumiem</w:t>
            </w:r>
          </w:p>
        </w:tc>
        <w:tc>
          <w:tcPr>
            <w:tcW w:w="4536" w:type="dxa"/>
            <w:vAlign w:val="center"/>
            <w:hideMark/>
          </w:tcPr>
          <w:p w14:paraId="30FD5108"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PVN kultūras pakalpojumiem</w:t>
            </w:r>
          </w:p>
        </w:tc>
        <w:tc>
          <w:tcPr>
            <w:tcW w:w="1227" w:type="dxa"/>
            <w:vAlign w:val="center"/>
            <w:hideMark/>
          </w:tcPr>
          <w:p w14:paraId="011A5BEE"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PVN</w:t>
            </w:r>
          </w:p>
        </w:tc>
        <w:tc>
          <w:tcPr>
            <w:tcW w:w="899" w:type="dxa"/>
            <w:vAlign w:val="center"/>
            <w:hideMark/>
          </w:tcPr>
          <w:p w14:paraId="6B455987"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5E88865B" w14:textId="3B7F6DD6"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36972F3F" w14:textId="63CF210F"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6380EDDA" w14:textId="03CE4D61"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6431A9DF" w14:textId="3C305184"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604EBC82" w14:textId="2C0CC362"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1F7FCFE5" w14:textId="77777777" w:rsidTr="00D640F7">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4520D9D0"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 xml:space="preserve">IIN atvieglojumu atcelšana par pilngadīgām un darbspējīgām personām (saglabājot atvieglojumu bērniem līdz 24 gadiem un sociāli jūtīgām grupām) </w:t>
            </w:r>
          </w:p>
        </w:tc>
        <w:tc>
          <w:tcPr>
            <w:tcW w:w="4536" w:type="dxa"/>
            <w:vAlign w:val="center"/>
            <w:hideMark/>
          </w:tcPr>
          <w:p w14:paraId="1850DF59"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 xml:space="preserve">IIN atvieglojumu atcelšana par pilngadīgām un darbspējīgām personām (saglabājot atvieglojumu bērniem līdz 24 gadiem un sociāli jūtīgām grupām) </w:t>
            </w:r>
          </w:p>
        </w:tc>
        <w:tc>
          <w:tcPr>
            <w:tcW w:w="1227" w:type="dxa"/>
            <w:vAlign w:val="center"/>
            <w:hideMark/>
          </w:tcPr>
          <w:p w14:paraId="71952A8D"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IIN</w:t>
            </w:r>
          </w:p>
        </w:tc>
        <w:tc>
          <w:tcPr>
            <w:tcW w:w="899" w:type="dxa"/>
            <w:vAlign w:val="center"/>
            <w:hideMark/>
          </w:tcPr>
          <w:p w14:paraId="028E5F88"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2AF3A512" w14:textId="4351F480"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60107403" w14:textId="5E683A3C"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D9449A9" w14:textId="0787F6B6"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850" w:type="dxa"/>
            <w:vAlign w:val="center"/>
            <w:hideMark/>
          </w:tcPr>
          <w:p w14:paraId="5CDA96E2" w14:textId="3D6D2ED7"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48DB48AC" w14:textId="509649C7"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6826AFA3" w14:textId="77777777" w:rsidTr="00D640F7">
        <w:trPr>
          <w:trHeight w:val="63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05573CC4"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 xml:space="preserve">Mēneša neapliekamā minimuma palielināšana par 10 </w:t>
            </w:r>
            <w:r w:rsidRPr="000E7810">
              <w:rPr>
                <w:b w:val="0"/>
                <w:i/>
                <w:color w:val="auto"/>
                <w:sz w:val="20"/>
                <w:lang w:eastAsia="lv-LV"/>
              </w:rPr>
              <w:t>euro</w:t>
            </w:r>
          </w:p>
        </w:tc>
        <w:tc>
          <w:tcPr>
            <w:tcW w:w="4536" w:type="dxa"/>
            <w:vAlign w:val="center"/>
            <w:hideMark/>
          </w:tcPr>
          <w:p w14:paraId="7EC2E3FF"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xml:space="preserve">Mēneša neapliekamā minimuma palielināšana par 10 </w:t>
            </w:r>
            <w:r w:rsidRPr="000E7810">
              <w:rPr>
                <w:i/>
                <w:color w:val="auto"/>
                <w:sz w:val="20"/>
                <w:lang w:eastAsia="lv-LV"/>
              </w:rPr>
              <w:t>euro</w:t>
            </w:r>
            <w:r w:rsidRPr="004126AC">
              <w:rPr>
                <w:color w:val="auto"/>
                <w:sz w:val="20"/>
                <w:lang w:eastAsia="lv-LV"/>
              </w:rPr>
              <w:t xml:space="preserve"> (no 75 </w:t>
            </w:r>
            <w:r w:rsidRPr="000E7810">
              <w:rPr>
                <w:i/>
                <w:color w:val="auto"/>
                <w:sz w:val="20"/>
                <w:lang w:eastAsia="lv-LV"/>
              </w:rPr>
              <w:t>euro</w:t>
            </w:r>
            <w:r w:rsidRPr="004126AC">
              <w:rPr>
                <w:color w:val="auto"/>
                <w:sz w:val="20"/>
                <w:lang w:eastAsia="lv-LV"/>
              </w:rPr>
              <w:t xml:space="preserve"> līdz 85 </w:t>
            </w:r>
            <w:r w:rsidRPr="000E7810">
              <w:rPr>
                <w:i/>
                <w:color w:val="auto"/>
                <w:sz w:val="20"/>
                <w:lang w:eastAsia="lv-LV"/>
              </w:rPr>
              <w:t>euro</w:t>
            </w:r>
            <w:r w:rsidRPr="004126AC">
              <w:rPr>
                <w:color w:val="auto"/>
                <w:sz w:val="20"/>
                <w:lang w:eastAsia="lv-LV"/>
              </w:rPr>
              <w:t>)</w:t>
            </w:r>
          </w:p>
        </w:tc>
        <w:tc>
          <w:tcPr>
            <w:tcW w:w="1227" w:type="dxa"/>
            <w:vAlign w:val="center"/>
            <w:hideMark/>
          </w:tcPr>
          <w:p w14:paraId="15B1A1B4"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IIN</w:t>
            </w:r>
          </w:p>
        </w:tc>
        <w:tc>
          <w:tcPr>
            <w:tcW w:w="899" w:type="dxa"/>
            <w:vAlign w:val="center"/>
            <w:hideMark/>
          </w:tcPr>
          <w:p w14:paraId="5A9537CD"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298AA344" w14:textId="1D0512D4"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46A641D7" w14:textId="0FD823C9"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1635C34" w14:textId="7FD678D5"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4BD4FB86" w14:textId="60675E80"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44C22C34" w14:textId="5B0E2AAE"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0E118554" w14:textId="77777777" w:rsidTr="00D640F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2F2CFDDF"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 xml:space="preserve">Minimālās mēneša darba algas palielināšana no 360 uz 370 </w:t>
            </w:r>
            <w:r w:rsidRPr="000E7810">
              <w:rPr>
                <w:b w:val="0"/>
                <w:i/>
                <w:color w:val="auto"/>
                <w:sz w:val="20"/>
                <w:lang w:eastAsia="lv-LV"/>
              </w:rPr>
              <w:t>euro</w:t>
            </w:r>
          </w:p>
        </w:tc>
        <w:tc>
          <w:tcPr>
            <w:tcW w:w="4536" w:type="dxa"/>
            <w:vMerge w:val="restart"/>
            <w:vAlign w:val="center"/>
            <w:hideMark/>
          </w:tcPr>
          <w:p w14:paraId="6C141EF0"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 xml:space="preserve">Minimālās mēneša darba algas palielināšana no 360 uz 370 </w:t>
            </w:r>
            <w:r w:rsidRPr="000E7810">
              <w:rPr>
                <w:i/>
                <w:color w:val="auto"/>
                <w:sz w:val="20"/>
                <w:lang w:eastAsia="lv-LV"/>
              </w:rPr>
              <w:t>euro</w:t>
            </w:r>
          </w:p>
        </w:tc>
        <w:tc>
          <w:tcPr>
            <w:tcW w:w="1227" w:type="dxa"/>
            <w:vAlign w:val="center"/>
            <w:hideMark/>
          </w:tcPr>
          <w:p w14:paraId="5AF3CF9A"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IIN</w:t>
            </w:r>
          </w:p>
        </w:tc>
        <w:tc>
          <w:tcPr>
            <w:tcW w:w="899" w:type="dxa"/>
            <w:vAlign w:val="center"/>
            <w:hideMark/>
          </w:tcPr>
          <w:p w14:paraId="56702EDF"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28C2F861" w14:textId="089BD61D"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5ABF7322" w14:textId="37486498"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7F50D93" w14:textId="0B72F584"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4F1688C9" w14:textId="6E6963FA"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2E8A6355" w14:textId="537B899A"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0786E2DE" w14:textId="77777777" w:rsidTr="00D640F7">
        <w:trPr>
          <w:trHeight w:val="167"/>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5134AC00"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6CB75696"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27" w:type="dxa"/>
            <w:vAlign w:val="center"/>
            <w:hideMark/>
          </w:tcPr>
          <w:p w14:paraId="5081A97C"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SOC</w:t>
            </w:r>
          </w:p>
        </w:tc>
        <w:tc>
          <w:tcPr>
            <w:tcW w:w="899" w:type="dxa"/>
            <w:vAlign w:val="center"/>
            <w:hideMark/>
          </w:tcPr>
          <w:p w14:paraId="194FD097"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D.61</w:t>
            </w:r>
          </w:p>
        </w:tc>
        <w:tc>
          <w:tcPr>
            <w:tcW w:w="1061" w:type="dxa"/>
            <w:vAlign w:val="center"/>
            <w:hideMark/>
          </w:tcPr>
          <w:p w14:paraId="260202D4" w14:textId="7270BA79"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36334DEB" w14:textId="78A5BDF5"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21945247" w14:textId="44727037"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522522C4" w14:textId="5F7021F3"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75B3A326" w14:textId="774997AB"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58192AD8" w14:textId="77777777" w:rsidTr="00D640F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5CBA0E14"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68BAEE47"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27" w:type="dxa"/>
            <w:vAlign w:val="center"/>
            <w:hideMark/>
          </w:tcPr>
          <w:p w14:paraId="665411E7"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PVN</w:t>
            </w:r>
          </w:p>
        </w:tc>
        <w:tc>
          <w:tcPr>
            <w:tcW w:w="899" w:type="dxa"/>
            <w:vAlign w:val="center"/>
            <w:hideMark/>
          </w:tcPr>
          <w:p w14:paraId="423FAB47"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1F9A8CE6" w14:textId="6D0348EB"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071C1FB0" w14:textId="6D2B4632"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47E2B177" w14:textId="575DF0C4"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5EBF0CA1" w14:textId="43CC1A23"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625453A1" w14:textId="727A86F3"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12A3B85D"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588D74C3"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Informācijas apmaiņas procesa uzlabošana starp finanšu iestādēm un Valsts ieņēmumu dienestu</w:t>
            </w:r>
          </w:p>
        </w:tc>
        <w:tc>
          <w:tcPr>
            <w:tcW w:w="4536" w:type="dxa"/>
            <w:vMerge w:val="restart"/>
            <w:vAlign w:val="center"/>
            <w:hideMark/>
          </w:tcPr>
          <w:p w14:paraId="45C543F1"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Informācijas apmaiņas procesa uzlabošana starp finanšu iestādēm un Valsts ieņēmumu dienestu</w:t>
            </w:r>
          </w:p>
        </w:tc>
        <w:tc>
          <w:tcPr>
            <w:tcW w:w="1227" w:type="dxa"/>
            <w:vAlign w:val="center"/>
            <w:hideMark/>
          </w:tcPr>
          <w:p w14:paraId="3BCC4BFE"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IIN</w:t>
            </w:r>
          </w:p>
        </w:tc>
        <w:tc>
          <w:tcPr>
            <w:tcW w:w="899" w:type="dxa"/>
            <w:vAlign w:val="center"/>
            <w:hideMark/>
          </w:tcPr>
          <w:p w14:paraId="278C2824"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46ECB0E3" w14:textId="5F0B020B"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014ADD12" w14:textId="58BF0A82"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09D3F693" w14:textId="23A5105C"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23A71642" w14:textId="2EFB5E8F"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5C0DA5EF" w14:textId="262B18B9"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3B0DBCC7" w14:textId="77777777" w:rsidTr="00D640F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2DE488E6"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3364B37A"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27" w:type="dxa"/>
            <w:vAlign w:val="center"/>
            <w:hideMark/>
          </w:tcPr>
          <w:p w14:paraId="39461395"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PVN</w:t>
            </w:r>
          </w:p>
        </w:tc>
        <w:tc>
          <w:tcPr>
            <w:tcW w:w="899" w:type="dxa"/>
            <w:vAlign w:val="center"/>
            <w:hideMark/>
          </w:tcPr>
          <w:p w14:paraId="506A00D0"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0DAE028F" w14:textId="557AAC21"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67A4D701" w14:textId="22E8D7E0"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5C1330C4" w14:textId="5E602BE0"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0,01</w:t>
            </w:r>
          </w:p>
        </w:tc>
        <w:tc>
          <w:tcPr>
            <w:tcW w:w="850" w:type="dxa"/>
            <w:vAlign w:val="center"/>
            <w:hideMark/>
          </w:tcPr>
          <w:p w14:paraId="6742AAEA" w14:textId="0E5F42C8"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0,</w:t>
            </w:r>
            <w:r>
              <w:rPr>
                <w:color w:val="auto"/>
                <w:sz w:val="20"/>
                <w:lang w:eastAsia="lv-LV"/>
              </w:rPr>
              <w:t>00</w:t>
            </w:r>
          </w:p>
        </w:tc>
        <w:tc>
          <w:tcPr>
            <w:tcW w:w="851" w:type="dxa"/>
            <w:vAlign w:val="center"/>
            <w:hideMark/>
          </w:tcPr>
          <w:p w14:paraId="03A3B970" w14:textId="2D456DFE"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79D031E2" w14:textId="77777777" w:rsidTr="00D640F7">
        <w:trPr>
          <w:trHeight w:val="239"/>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190FF5E3"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1458C5E8"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27" w:type="dxa"/>
            <w:vAlign w:val="center"/>
            <w:hideMark/>
          </w:tcPr>
          <w:p w14:paraId="2CAD10DA"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UIN</w:t>
            </w:r>
          </w:p>
        </w:tc>
        <w:tc>
          <w:tcPr>
            <w:tcW w:w="899" w:type="dxa"/>
            <w:vAlign w:val="center"/>
            <w:hideMark/>
          </w:tcPr>
          <w:p w14:paraId="066C3E2F"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019A5364" w14:textId="15D3500C"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187DCD4A" w14:textId="5996B64E"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331AD006" w14:textId="2BBABC09"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26AB353C" w14:textId="3EF36BB3"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1125FFBA" w14:textId="5D7EF38B"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6968384E" w14:textId="77777777" w:rsidTr="00D640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4316B335"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Kases aparātu, hibrīda kases aparātu, kases sistēmu, specializēto ierīču un iekārtu tehnisko prasību pilnveidošana</w:t>
            </w:r>
          </w:p>
        </w:tc>
        <w:tc>
          <w:tcPr>
            <w:tcW w:w="4536" w:type="dxa"/>
            <w:vMerge w:val="restart"/>
            <w:vAlign w:val="center"/>
            <w:hideMark/>
          </w:tcPr>
          <w:p w14:paraId="58E5E37A"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Kases aparātu, hibrīda kases aparātu, kases sistēmu, specializēto ierīču un iekārtu tehnisko prasību pilnveidošana</w:t>
            </w:r>
          </w:p>
        </w:tc>
        <w:tc>
          <w:tcPr>
            <w:tcW w:w="1227" w:type="dxa"/>
            <w:vAlign w:val="center"/>
            <w:hideMark/>
          </w:tcPr>
          <w:p w14:paraId="06549664"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PVN</w:t>
            </w:r>
          </w:p>
        </w:tc>
        <w:tc>
          <w:tcPr>
            <w:tcW w:w="899" w:type="dxa"/>
            <w:vAlign w:val="center"/>
            <w:hideMark/>
          </w:tcPr>
          <w:p w14:paraId="761A3059"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65BDC51C" w14:textId="6AC37C3B"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3C3FA9E6" w14:textId="186FF49C"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AD4879B" w14:textId="7F6EFB46"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4663467C" w14:textId="54AAD068"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0,07</w:t>
            </w:r>
          </w:p>
        </w:tc>
        <w:tc>
          <w:tcPr>
            <w:tcW w:w="851" w:type="dxa"/>
            <w:vAlign w:val="center"/>
            <w:hideMark/>
          </w:tcPr>
          <w:p w14:paraId="6993E294" w14:textId="6679E7B0"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2FB256E6"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5E4501CB" w14:textId="77777777" w:rsidR="00D640F7" w:rsidRPr="004126AC" w:rsidRDefault="00D640F7" w:rsidP="00D640F7">
            <w:pPr>
              <w:spacing w:after="0"/>
              <w:ind w:firstLine="0"/>
              <w:rPr>
                <w:b w:val="0"/>
                <w:color w:val="auto"/>
                <w:sz w:val="20"/>
                <w:lang w:eastAsia="lv-LV"/>
              </w:rPr>
            </w:pPr>
          </w:p>
        </w:tc>
        <w:tc>
          <w:tcPr>
            <w:tcW w:w="4536" w:type="dxa"/>
            <w:vMerge/>
            <w:vAlign w:val="center"/>
            <w:hideMark/>
          </w:tcPr>
          <w:p w14:paraId="1862B372"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27" w:type="dxa"/>
            <w:vAlign w:val="center"/>
            <w:hideMark/>
          </w:tcPr>
          <w:p w14:paraId="1D8AE911"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UIN</w:t>
            </w:r>
          </w:p>
        </w:tc>
        <w:tc>
          <w:tcPr>
            <w:tcW w:w="899" w:type="dxa"/>
            <w:vAlign w:val="center"/>
            <w:hideMark/>
          </w:tcPr>
          <w:p w14:paraId="751C040B"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4ED41627" w14:textId="590121A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3962AF42" w14:textId="20058E2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747199D" w14:textId="31741730"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0" w:type="dxa"/>
            <w:vAlign w:val="center"/>
            <w:hideMark/>
          </w:tcPr>
          <w:p w14:paraId="1DAE64A5" w14:textId="72164EA3"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4657C1CB" w14:textId="1A1EAC96"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74FEFD02" w14:textId="77777777" w:rsidTr="00D640F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67BC7A56"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Finanšu stabilitātes nodevas bāzes pieaugums (Noguldījumu garantiju likums)</w:t>
            </w:r>
          </w:p>
        </w:tc>
        <w:tc>
          <w:tcPr>
            <w:tcW w:w="4536" w:type="dxa"/>
            <w:vAlign w:val="center"/>
            <w:hideMark/>
          </w:tcPr>
          <w:p w14:paraId="44AE2BB4"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Finanšu stabilitātes nodevas bāzes pieaugums (Noguldījumu garantiju likums)</w:t>
            </w:r>
          </w:p>
        </w:tc>
        <w:tc>
          <w:tcPr>
            <w:tcW w:w="1227" w:type="dxa"/>
            <w:vAlign w:val="center"/>
            <w:hideMark/>
          </w:tcPr>
          <w:p w14:paraId="68CF78E5"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Finanšu stabilitātes nodeva</w:t>
            </w:r>
          </w:p>
        </w:tc>
        <w:tc>
          <w:tcPr>
            <w:tcW w:w="899" w:type="dxa"/>
            <w:vAlign w:val="center"/>
            <w:hideMark/>
          </w:tcPr>
          <w:p w14:paraId="7A5DE798"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D.2</w:t>
            </w:r>
          </w:p>
        </w:tc>
        <w:tc>
          <w:tcPr>
            <w:tcW w:w="1061" w:type="dxa"/>
            <w:vAlign w:val="center"/>
            <w:hideMark/>
          </w:tcPr>
          <w:p w14:paraId="7F8A9C77" w14:textId="71C68354"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03A170F4" w14:textId="41AFE288"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10A1F80E" w14:textId="1937509A"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30B5DE58" w14:textId="43D1680C"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4C1FA4B8" w14:textId="2DD1BD13"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D640F7" w:rsidRPr="004126AC" w14:paraId="54B887CA" w14:textId="77777777" w:rsidTr="00D640F7">
        <w:trPr>
          <w:trHeight w:val="1402"/>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753D3195"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Minimālās dividendēs izmaksājamās peļņas daļas palielināšana 2016.gadā no 70% līdz 90 %, 2017.gadā no 27% līdz 75% un 2018.gadā no 27% līdz 70%</w:t>
            </w:r>
          </w:p>
        </w:tc>
        <w:tc>
          <w:tcPr>
            <w:tcW w:w="4536" w:type="dxa"/>
            <w:vAlign w:val="center"/>
            <w:hideMark/>
          </w:tcPr>
          <w:p w14:paraId="47A404B5" w14:textId="77777777" w:rsidR="00D640F7" w:rsidRPr="004126AC"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Minimālās dividendēs izmaksājamās peļņas daļas palielināšana 2016.gadā no 70% līdz 90 %, 2017.gadā no 27% līdz 75% un 2018.gadā no 27% līdz 70%</w:t>
            </w:r>
          </w:p>
        </w:tc>
        <w:tc>
          <w:tcPr>
            <w:tcW w:w="1227" w:type="dxa"/>
            <w:vAlign w:val="center"/>
            <w:hideMark/>
          </w:tcPr>
          <w:p w14:paraId="7A557D06"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Maksājumi par valsts kapitāla izmantošanu</w:t>
            </w:r>
          </w:p>
        </w:tc>
        <w:tc>
          <w:tcPr>
            <w:tcW w:w="899" w:type="dxa"/>
            <w:vAlign w:val="center"/>
            <w:hideMark/>
          </w:tcPr>
          <w:p w14:paraId="3CAA5740" w14:textId="77777777"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D.4</w:t>
            </w:r>
          </w:p>
        </w:tc>
        <w:tc>
          <w:tcPr>
            <w:tcW w:w="1061" w:type="dxa"/>
            <w:vAlign w:val="center"/>
            <w:hideMark/>
          </w:tcPr>
          <w:p w14:paraId="6DE206B1" w14:textId="60379E6B"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1327A958" w14:textId="13378268" w:rsidR="00D640F7" w:rsidRPr="004126A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7E6DAFD6" w14:textId="1BE45C39"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0,10</w:t>
            </w:r>
          </w:p>
        </w:tc>
        <w:tc>
          <w:tcPr>
            <w:tcW w:w="850" w:type="dxa"/>
            <w:vAlign w:val="center"/>
            <w:hideMark/>
          </w:tcPr>
          <w:p w14:paraId="50FF992E" w14:textId="0E823D97"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0,22</w:t>
            </w:r>
          </w:p>
        </w:tc>
        <w:tc>
          <w:tcPr>
            <w:tcW w:w="851" w:type="dxa"/>
            <w:vAlign w:val="center"/>
            <w:hideMark/>
          </w:tcPr>
          <w:p w14:paraId="78A45E09" w14:textId="15B3C569" w:rsidR="00D640F7" w:rsidRPr="004126A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0,18</w:t>
            </w:r>
          </w:p>
        </w:tc>
      </w:tr>
      <w:tr w:rsidR="00D640F7" w:rsidRPr="004126AC" w14:paraId="22B53BA7" w14:textId="77777777" w:rsidTr="00D640F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463E286C" w14:textId="77777777" w:rsidR="00D640F7" w:rsidRPr="004126AC" w:rsidRDefault="00D640F7" w:rsidP="00D640F7">
            <w:pPr>
              <w:spacing w:after="0"/>
              <w:ind w:firstLine="0"/>
              <w:rPr>
                <w:b w:val="0"/>
                <w:color w:val="auto"/>
                <w:sz w:val="20"/>
                <w:lang w:eastAsia="lv-LV"/>
              </w:rPr>
            </w:pPr>
            <w:r w:rsidRPr="004126AC">
              <w:rPr>
                <w:b w:val="0"/>
                <w:color w:val="auto"/>
                <w:sz w:val="20"/>
                <w:lang w:eastAsia="lv-LV"/>
              </w:rPr>
              <w:t>Iedzīvotāju ienākuma nodokļa likmes saglabāšana 2015. gada līmenī</w:t>
            </w:r>
          </w:p>
        </w:tc>
        <w:tc>
          <w:tcPr>
            <w:tcW w:w="4536" w:type="dxa"/>
            <w:vAlign w:val="center"/>
            <w:hideMark/>
          </w:tcPr>
          <w:p w14:paraId="59A1A17B" w14:textId="77777777" w:rsidR="00D640F7" w:rsidRPr="004126AC"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Iedzīvotāju ienākuma nodokļa likmes saglabāšana 2015. gada līmenī 23% apmērā</w:t>
            </w:r>
          </w:p>
        </w:tc>
        <w:tc>
          <w:tcPr>
            <w:tcW w:w="1227" w:type="dxa"/>
            <w:vAlign w:val="center"/>
            <w:hideMark/>
          </w:tcPr>
          <w:p w14:paraId="28BCDB41"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IIN</w:t>
            </w:r>
          </w:p>
        </w:tc>
        <w:tc>
          <w:tcPr>
            <w:tcW w:w="899" w:type="dxa"/>
            <w:vAlign w:val="center"/>
            <w:hideMark/>
          </w:tcPr>
          <w:p w14:paraId="703411D8" w14:textId="77777777"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126AC">
              <w:rPr>
                <w:color w:val="auto"/>
                <w:sz w:val="20"/>
                <w:lang w:eastAsia="lv-LV"/>
              </w:rPr>
              <w:t>D.5</w:t>
            </w:r>
          </w:p>
        </w:tc>
        <w:tc>
          <w:tcPr>
            <w:tcW w:w="1061" w:type="dxa"/>
            <w:vAlign w:val="center"/>
            <w:hideMark/>
          </w:tcPr>
          <w:p w14:paraId="189D8561" w14:textId="3FC4AEC6"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16" w:type="dxa"/>
            <w:vAlign w:val="center"/>
            <w:hideMark/>
          </w:tcPr>
          <w:p w14:paraId="6E12A218" w14:textId="21660A1B" w:rsidR="00D640F7" w:rsidRPr="004126A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hideMark/>
          </w:tcPr>
          <w:p w14:paraId="5E30EF11" w14:textId="3F147242"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0,05</w:t>
            </w:r>
          </w:p>
        </w:tc>
        <w:tc>
          <w:tcPr>
            <w:tcW w:w="850" w:type="dxa"/>
            <w:vAlign w:val="center"/>
            <w:hideMark/>
          </w:tcPr>
          <w:p w14:paraId="16504A67" w14:textId="42D4A182"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vAlign w:val="center"/>
            <w:hideMark/>
          </w:tcPr>
          <w:p w14:paraId="21430220" w14:textId="6C3E91C6" w:rsidR="00D640F7" w:rsidRPr="004126A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4126AC" w:rsidRPr="004126AC" w14:paraId="7BBA6BAB" w14:textId="77777777" w:rsidTr="000E7810">
        <w:trPr>
          <w:trHeight w:val="315"/>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1DBE27B9" w14:textId="77777777" w:rsidR="004126AC" w:rsidRPr="004126AC" w:rsidRDefault="004126AC" w:rsidP="000E7810">
            <w:pPr>
              <w:spacing w:after="0"/>
              <w:ind w:firstLine="0"/>
              <w:rPr>
                <w:b w:val="0"/>
                <w:color w:val="auto"/>
                <w:sz w:val="20"/>
                <w:lang w:eastAsia="lv-LV"/>
              </w:rPr>
            </w:pPr>
            <w:r w:rsidRPr="004126AC">
              <w:rPr>
                <w:b w:val="0"/>
                <w:color w:val="auto"/>
                <w:sz w:val="20"/>
                <w:lang w:eastAsia="lv-LV"/>
              </w:rPr>
              <w:t>Pārējie pasākumi kopā</w:t>
            </w:r>
          </w:p>
        </w:tc>
        <w:tc>
          <w:tcPr>
            <w:tcW w:w="4536" w:type="dxa"/>
            <w:vAlign w:val="center"/>
            <w:hideMark/>
          </w:tcPr>
          <w:p w14:paraId="2306A493" w14:textId="77777777" w:rsidR="004126AC" w:rsidRPr="004126AC" w:rsidRDefault="004126AC" w:rsidP="000E7810">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w:t>
            </w:r>
          </w:p>
        </w:tc>
        <w:tc>
          <w:tcPr>
            <w:tcW w:w="1227" w:type="dxa"/>
            <w:hideMark/>
          </w:tcPr>
          <w:p w14:paraId="50E45000"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w:t>
            </w:r>
          </w:p>
        </w:tc>
        <w:tc>
          <w:tcPr>
            <w:tcW w:w="899" w:type="dxa"/>
            <w:hideMark/>
          </w:tcPr>
          <w:p w14:paraId="61DDFD78"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w:t>
            </w:r>
          </w:p>
        </w:tc>
        <w:tc>
          <w:tcPr>
            <w:tcW w:w="1061" w:type="dxa"/>
            <w:hideMark/>
          </w:tcPr>
          <w:p w14:paraId="1C51CCE5"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w:t>
            </w:r>
          </w:p>
        </w:tc>
        <w:tc>
          <w:tcPr>
            <w:tcW w:w="1916" w:type="dxa"/>
            <w:hideMark/>
          </w:tcPr>
          <w:p w14:paraId="092E410A" w14:textId="77777777" w:rsidR="004126AC" w:rsidRPr="004126AC"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 </w:t>
            </w:r>
          </w:p>
        </w:tc>
        <w:tc>
          <w:tcPr>
            <w:tcW w:w="851" w:type="dxa"/>
            <w:vAlign w:val="center"/>
            <w:hideMark/>
          </w:tcPr>
          <w:p w14:paraId="0F51CE8A" w14:textId="7FE80C44" w:rsidR="004126AC" w:rsidRPr="004126AC" w:rsidRDefault="000E7810" w:rsidP="000E7810">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850" w:type="dxa"/>
            <w:vAlign w:val="center"/>
            <w:hideMark/>
          </w:tcPr>
          <w:p w14:paraId="506D36B5" w14:textId="7244DC07" w:rsidR="004126AC" w:rsidRPr="004126AC" w:rsidRDefault="004126AC" w:rsidP="000E7810">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126AC">
              <w:rPr>
                <w:color w:val="auto"/>
                <w:sz w:val="20"/>
                <w:lang w:eastAsia="lv-LV"/>
              </w:rPr>
              <w:t>0,01</w:t>
            </w:r>
          </w:p>
        </w:tc>
        <w:tc>
          <w:tcPr>
            <w:tcW w:w="851" w:type="dxa"/>
            <w:vAlign w:val="center"/>
            <w:hideMark/>
          </w:tcPr>
          <w:p w14:paraId="08D8AEE6" w14:textId="2A53159A" w:rsidR="004126AC" w:rsidRPr="004126AC" w:rsidRDefault="000E7810" w:rsidP="000E7810">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r>
      <w:tr w:rsidR="004126AC" w:rsidRPr="004126AC" w14:paraId="07900B73" w14:textId="77777777" w:rsidTr="000E78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11" w:type="dxa"/>
            <w:gridSpan w:val="6"/>
            <w:noWrap/>
            <w:vAlign w:val="center"/>
            <w:hideMark/>
          </w:tcPr>
          <w:p w14:paraId="3E8797F6" w14:textId="2D3AE533" w:rsidR="004126AC" w:rsidRPr="004126AC" w:rsidRDefault="004126AC" w:rsidP="004126AC">
            <w:pPr>
              <w:spacing w:after="0"/>
              <w:ind w:firstLine="0"/>
              <w:jc w:val="right"/>
              <w:rPr>
                <w:color w:val="auto"/>
                <w:sz w:val="20"/>
                <w:lang w:eastAsia="lv-LV"/>
              </w:rPr>
            </w:pPr>
            <w:r>
              <w:rPr>
                <w:b w:val="0"/>
                <w:color w:val="auto"/>
                <w:sz w:val="20"/>
                <w:lang w:eastAsia="lv-LV"/>
              </w:rPr>
              <w:t>Kopā</w:t>
            </w:r>
          </w:p>
        </w:tc>
        <w:tc>
          <w:tcPr>
            <w:tcW w:w="851" w:type="dxa"/>
            <w:vAlign w:val="center"/>
            <w:hideMark/>
          </w:tcPr>
          <w:p w14:paraId="4D464B21" w14:textId="1619EE69" w:rsidR="004126AC" w:rsidRPr="004126AC" w:rsidRDefault="000E7810" w:rsidP="000E7810">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0,50</w:t>
            </w:r>
          </w:p>
        </w:tc>
        <w:tc>
          <w:tcPr>
            <w:tcW w:w="850" w:type="dxa"/>
            <w:vAlign w:val="center"/>
            <w:hideMark/>
          </w:tcPr>
          <w:p w14:paraId="1CBD1DF0" w14:textId="37380CC1" w:rsidR="004126AC" w:rsidRPr="004126AC" w:rsidRDefault="000E7810" w:rsidP="000E7810">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0,44</w:t>
            </w:r>
          </w:p>
        </w:tc>
        <w:tc>
          <w:tcPr>
            <w:tcW w:w="851" w:type="dxa"/>
            <w:vAlign w:val="center"/>
            <w:hideMark/>
          </w:tcPr>
          <w:p w14:paraId="1E3237B6" w14:textId="08566FE1" w:rsidR="004126AC" w:rsidRPr="004126AC" w:rsidRDefault="000E7810" w:rsidP="000E7810">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0,33</w:t>
            </w:r>
          </w:p>
        </w:tc>
      </w:tr>
    </w:tbl>
    <w:p w14:paraId="69A45715" w14:textId="77777777" w:rsidR="002A44D1" w:rsidRDefault="002A44D1" w:rsidP="002A44D1">
      <w:pPr>
        <w:rPr>
          <w:lang w:val="x-none" w:eastAsia="x-none"/>
        </w:rPr>
      </w:pPr>
    </w:p>
    <w:p w14:paraId="5FDEE9E4" w14:textId="77777777" w:rsidR="00C3203D" w:rsidRDefault="00C3203D">
      <w:pPr>
        <w:spacing w:after="0"/>
        <w:ind w:firstLine="0"/>
        <w:jc w:val="left"/>
        <w:rPr>
          <w:lang w:val="x-none" w:eastAsia="x-none"/>
        </w:rPr>
      </w:pPr>
    </w:p>
    <w:p w14:paraId="05BFB01D" w14:textId="77777777" w:rsidR="00C3203D" w:rsidRDefault="00C3203D">
      <w:pPr>
        <w:spacing w:after="0"/>
        <w:ind w:firstLine="0"/>
        <w:jc w:val="left"/>
        <w:rPr>
          <w:lang w:val="x-none" w:eastAsia="x-none"/>
        </w:rPr>
      </w:pPr>
    </w:p>
    <w:p w14:paraId="3512E6B4" w14:textId="26B93445" w:rsidR="00C3203D" w:rsidRPr="00C3203D" w:rsidRDefault="00C3203D" w:rsidP="00C3203D">
      <w:pPr>
        <w:pStyle w:val="Heading1"/>
        <w:tabs>
          <w:tab w:val="left" w:pos="1276"/>
        </w:tabs>
        <w:spacing w:before="0" w:after="240"/>
        <w:ind w:left="1276" w:hanging="1276"/>
        <w:jc w:val="left"/>
        <w:rPr>
          <w:rFonts w:ascii="Times New Roman" w:hAnsi="Times New Roman"/>
          <w:color w:val="18185F"/>
          <w:sz w:val="24"/>
          <w:lang w:val="lv-LV"/>
        </w:rPr>
      </w:pPr>
      <w:bookmarkStart w:id="23" w:name="_Toc431197097"/>
      <w:r w:rsidRPr="00DC2914">
        <w:rPr>
          <w:rFonts w:ascii="Times New Roman" w:hAnsi="Times New Roman"/>
          <w:color w:val="18185F"/>
          <w:sz w:val="24"/>
        </w:rPr>
        <w:t>5.b</w:t>
      </w:r>
      <w:r>
        <w:rPr>
          <w:rFonts w:ascii="Times New Roman" w:hAnsi="Times New Roman"/>
          <w:color w:val="18185F"/>
          <w:sz w:val="24"/>
          <w:lang w:val="lv-LV"/>
        </w:rPr>
        <w:t>.ii)</w:t>
      </w:r>
      <w:r w:rsidRPr="00DC2914">
        <w:rPr>
          <w:rFonts w:ascii="Times New Roman" w:hAnsi="Times New Roman"/>
          <w:color w:val="18185F"/>
          <w:sz w:val="24"/>
        </w:rPr>
        <w:t>:  Diskrecionārie</w:t>
      </w:r>
      <w:r w:rsidRPr="00DC2914">
        <w:rPr>
          <w:rFonts w:ascii="Times New Roman" w:hAnsi="Times New Roman"/>
          <w:color w:val="18185F"/>
          <w:sz w:val="24"/>
          <w:lang w:val="lv-LV"/>
        </w:rPr>
        <w:t xml:space="preserve"> </w:t>
      </w:r>
      <w:r>
        <w:rPr>
          <w:rFonts w:ascii="Times New Roman" w:hAnsi="Times New Roman"/>
          <w:color w:val="18185F"/>
          <w:sz w:val="24"/>
          <w:lang w:val="lv-LV"/>
        </w:rPr>
        <w:t>izdevumi</w:t>
      </w:r>
      <w:r w:rsidRPr="00DC2914">
        <w:rPr>
          <w:rFonts w:ascii="Times New Roman" w:hAnsi="Times New Roman"/>
          <w:color w:val="18185F"/>
          <w:sz w:val="24"/>
        </w:rPr>
        <w:t xml:space="preserve"> pasākumi </w:t>
      </w:r>
      <w:r w:rsidRPr="00DC2914">
        <w:rPr>
          <w:rFonts w:ascii="Times New Roman" w:hAnsi="Times New Roman"/>
          <w:color w:val="18185F"/>
          <w:sz w:val="24"/>
          <w:lang w:val="lv-LV"/>
        </w:rPr>
        <w:t>centrālās valdības budžetā</w:t>
      </w:r>
      <w:bookmarkEnd w:id="23"/>
    </w:p>
    <w:tbl>
      <w:tblPr>
        <w:tblStyle w:val="GridTable6Colorful-Accent11"/>
        <w:tblW w:w="15320" w:type="dxa"/>
        <w:tblLook w:val="04A0" w:firstRow="1" w:lastRow="0" w:firstColumn="1" w:lastColumn="0" w:noHBand="0" w:noVBand="1"/>
      </w:tblPr>
      <w:tblGrid>
        <w:gridCol w:w="6600"/>
        <w:gridCol w:w="1300"/>
        <w:gridCol w:w="1183"/>
        <w:gridCol w:w="1559"/>
        <w:gridCol w:w="1843"/>
        <w:gridCol w:w="992"/>
        <w:gridCol w:w="992"/>
        <w:gridCol w:w="851"/>
      </w:tblGrid>
      <w:tr w:rsidR="00C3203D" w:rsidRPr="00EE09CC" w14:paraId="1585BC8B" w14:textId="77777777" w:rsidTr="007369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0" w:type="dxa"/>
            <w:vMerge w:val="restart"/>
            <w:vAlign w:val="center"/>
            <w:hideMark/>
          </w:tcPr>
          <w:p w14:paraId="1A9E3DF5" w14:textId="77777777" w:rsidR="00C3203D" w:rsidRPr="00EE09CC" w:rsidRDefault="00C3203D" w:rsidP="007369A9">
            <w:pPr>
              <w:spacing w:after="0"/>
              <w:ind w:firstLine="0"/>
              <w:jc w:val="center"/>
              <w:rPr>
                <w:color w:val="auto"/>
                <w:sz w:val="20"/>
                <w:lang w:eastAsia="lv-LV"/>
              </w:rPr>
            </w:pPr>
            <w:r w:rsidRPr="00EE09CC">
              <w:rPr>
                <w:color w:val="auto"/>
                <w:sz w:val="20"/>
                <w:lang w:eastAsia="lv-LV"/>
              </w:rPr>
              <w:t>Pasākumu saraksts</w:t>
            </w:r>
          </w:p>
        </w:tc>
        <w:tc>
          <w:tcPr>
            <w:tcW w:w="1300" w:type="dxa"/>
            <w:vMerge w:val="restart"/>
            <w:vAlign w:val="center"/>
            <w:hideMark/>
          </w:tcPr>
          <w:p w14:paraId="43BBAEFA" w14:textId="77777777" w:rsidR="00C3203D" w:rsidRPr="00EE09CC" w:rsidRDefault="00C3203D" w:rsidP="007369A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Detalizēts apraksts</w:t>
            </w:r>
          </w:p>
        </w:tc>
        <w:tc>
          <w:tcPr>
            <w:tcW w:w="1183" w:type="dxa"/>
            <w:vMerge w:val="restart"/>
            <w:vAlign w:val="center"/>
            <w:hideMark/>
          </w:tcPr>
          <w:p w14:paraId="123497E5" w14:textId="77777777" w:rsidR="00C3203D" w:rsidRPr="00EE09CC" w:rsidRDefault="00C3203D" w:rsidP="007369A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EKS kods</w:t>
            </w:r>
          </w:p>
        </w:tc>
        <w:tc>
          <w:tcPr>
            <w:tcW w:w="1559" w:type="dxa"/>
            <w:vMerge w:val="restart"/>
            <w:vAlign w:val="center"/>
            <w:hideMark/>
          </w:tcPr>
          <w:p w14:paraId="06B3F553" w14:textId="77777777" w:rsidR="00C3203D" w:rsidRPr="00EE09CC" w:rsidRDefault="00C3203D" w:rsidP="007369A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Uzskaites princips</w:t>
            </w:r>
          </w:p>
        </w:tc>
        <w:tc>
          <w:tcPr>
            <w:tcW w:w="1843" w:type="dxa"/>
            <w:vMerge w:val="restart"/>
            <w:vAlign w:val="center"/>
            <w:hideMark/>
          </w:tcPr>
          <w:p w14:paraId="40D72F6B" w14:textId="77777777" w:rsidR="00C3203D" w:rsidRPr="00EE09CC" w:rsidRDefault="00C3203D" w:rsidP="007369A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Pieņemšanas statuss</w:t>
            </w:r>
          </w:p>
        </w:tc>
        <w:tc>
          <w:tcPr>
            <w:tcW w:w="2835" w:type="dxa"/>
            <w:gridSpan w:val="3"/>
            <w:noWrap/>
            <w:vAlign w:val="center"/>
            <w:hideMark/>
          </w:tcPr>
          <w:p w14:paraId="1A42F38A" w14:textId="77777777" w:rsidR="00C3203D" w:rsidRPr="00EE09CC" w:rsidRDefault="00C3203D" w:rsidP="007369A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Ietekme uz budžetu</w:t>
            </w:r>
          </w:p>
        </w:tc>
      </w:tr>
      <w:tr w:rsidR="00C3203D" w:rsidRPr="00EE09CC" w14:paraId="3E94BF4F" w14:textId="77777777" w:rsidTr="00D640F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600" w:type="dxa"/>
            <w:vMerge/>
            <w:vAlign w:val="center"/>
            <w:hideMark/>
          </w:tcPr>
          <w:p w14:paraId="469ED7F1" w14:textId="77777777" w:rsidR="00C3203D" w:rsidRPr="00EE09CC" w:rsidRDefault="00C3203D" w:rsidP="007369A9">
            <w:pPr>
              <w:spacing w:after="0"/>
              <w:ind w:firstLine="0"/>
              <w:jc w:val="center"/>
              <w:rPr>
                <w:color w:val="auto"/>
                <w:sz w:val="20"/>
                <w:lang w:eastAsia="lv-LV"/>
              </w:rPr>
            </w:pPr>
          </w:p>
        </w:tc>
        <w:tc>
          <w:tcPr>
            <w:tcW w:w="1300" w:type="dxa"/>
            <w:vMerge/>
            <w:vAlign w:val="center"/>
            <w:hideMark/>
          </w:tcPr>
          <w:p w14:paraId="56CF2246"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83" w:type="dxa"/>
            <w:vMerge/>
            <w:vAlign w:val="center"/>
            <w:hideMark/>
          </w:tcPr>
          <w:p w14:paraId="6362BC95"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559" w:type="dxa"/>
            <w:vMerge/>
            <w:vAlign w:val="center"/>
            <w:hideMark/>
          </w:tcPr>
          <w:p w14:paraId="5DE98235"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843" w:type="dxa"/>
            <w:vMerge/>
            <w:vAlign w:val="center"/>
            <w:hideMark/>
          </w:tcPr>
          <w:p w14:paraId="6235228A"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992" w:type="dxa"/>
            <w:noWrap/>
            <w:vAlign w:val="center"/>
            <w:hideMark/>
          </w:tcPr>
          <w:p w14:paraId="2B7AE891"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EE09CC">
              <w:rPr>
                <w:b/>
                <w:bCs/>
                <w:color w:val="auto"/>
                <w:sz w:val="20"/>
                <w:lang w:eastAsia="lv-LV"/>
              </w:rPr>
              <w:t>2016</w:t>
            </w:r>
          </w:p>
        </w:tc>
        <w:tc>
          <w:tcPr>
            <w:tcW w:w="992" w:type="dxa"/>
            <w:noWrap/>
            <w:vAlign w:val="center"/>
            <w:hideMark/>
          </w:tcPr>
          <w:p w14:paraId="2538D3C0"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EE09CC">
              <w:rPr>
                <w:b/>
                <w:bCs/>
                <w:color w:val="auto"/>
                <w:sz w:val="20"/>
                <w:lang w:eastAsia="lv-LV"/>
              </w:rPr>
              <w:t>2017</w:t>
            </w:r>
          </w:p>
        </w:tc>
        <w:tc>
          <w:tcPr>
            <w:tcW w:w="851" w:type="dxa"/>
            <w:noWrap/>
            <w:vAlign w:val="center"/>
            <w:hideMark/>
          </w:tcPr>
          <w:p w14:paraId="102034C2"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EE09CC">
              <w:rPr>
                <w:b/>
                <w:bCs/>
                <w:color w:val="auto"/>
                <w:sz w:val="20"/>
                <w:lang w:eastAsia="lv-LV"/>
              </w:rPr>
              <w:t>2018</w:t>
            </w:r>
          </w:p>
        </w:tc>
      </w:tr>
      <w:tr w:rsidR="00D640F7" w:rsidRPr="00EE09CC" w14:paraId="640B9DE3" w14:textId="77777777" w:rsidTr="00D640F7">
        <w:trPr>
          <w:trHeight w:val="308"/>
        </w:trPr>
        <w:tc>
          <w:tcPr>
            <w:cnfStyle w:val="001000000000" w:firstRow="0" w:lastRow="0" w:firstColumn="1" w:lastColumn="0" w:oddVBand="0" w:evenVBand="0" w:oddHBand="0" w:evenHBand="0" w:firstRowFirstColumn="0" w:firstRowLastColumn="0" w:lastRowFirstColumn="0" w:lastRowLastColumn="0"/>
            <w:tcW w:w="6600" w:type="dxa"/>
            <w:vMerge/>
            <w:vAlign w:val="center"/>
            <w:hideMark/>
          </w:tcPr>
          <w:p w14:paraId="6B7C0274" w14:textId="77777777" w:rsidR="00D640F7" w:rsidRPr="00EE09CC" w:rsidRDefault="00D640F7" w:rsidP="007369A9">
            <w:pPr>
              <w:spacing w:after="0"/>
              <w:ind w:firstLine="0"/>
              <w:jc w:val="center"/>
              <w:rPr>
                <w:color w:val="auto"/>
                <w:sz w:val="20"/>
                <w:lang w:eastAsia="lv-LV"/>
              </w:rPr>
            </w:pPr>
          </w:p>
        </w:tc>
        <w:tc>
          <w:tcPr>
            <w:tcW w:w="1300" w:type="dxa"/>
            <w:vMerge/>
            <w:vAlign w:val="center"/>
            <w:hideMark/>
          </w:tcPr>
          <w:p w14:paraId="0F77044B" w14:textId="77777777" w:rsidR="00D640F7" w:rsidRPr="00EE09CC" w:rsidRDefault="00D640F7"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83" w:type="dxa"/>
            <w:vMerge/>
            <w:vAlign w:val="center"/>
            <w:hideMark/>
          </w:tcPr>
          <w:p w14:paraId="63EC774D" w14:textId="77777777" w:rsidR="00D640F7" w:rsidRPr="00EE09CC" w:rsidRDefault="00D640F7"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559" w:type="dxa"/>
            <w:vMerge/>
            <w:vAlign w:val="center"/>
            <w:hideMark/>
          </w:tcPr>
          <w:p w14:paraId="01A9BECF" w14:textId="77777777" w:rsidR="00D640F7" w:rsidRPr="00EE09CC" w:rsidRDefault="00D640F7"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843" w:type="dxa"/>
            <w:vMerge/>
            <w:vAlign w:val="center"/>
            <w:hideMark/>
          </w:tcPr>
          <w:p w14:paraId="6809CC03" w14:textId="77777777" w:rsidR="00D640F7" w:rsidRPr="00EE09CC" w:rsidRDefault="00D640F7"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835" w:type="dxa"/>
            <w:gridSpan w:val="3"/>
            <w:vAlign w:val="center"/>
            <w:hideMark/>
          </w:tcPr>
          <w:p w14:paraId="0CB3AD4A" w14:textId="2C2C8F80"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 no IKP</w:t>
            </w:r>
          </w:p>
        </w:tc>
      </w:tr>
      <w:tr w:rsidR="00C3203D" w:rsidRPr="00EE09CC" w14:paraId="3D1549C4" w14:textId="77777777" w:rsidTr="00D640F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2CB4FB89"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 xml:space="preserve">Minimālās mēneša darba algas paaugstināšana līdz 370 </w:t>
            </w:r>
            <w:r w:rsidRPr="00EE09CC">
              <w:rPr>
                <w:b w:val="0"/>
                <w:i/>
                <w:iCs/>
                <w:color w:val="auto"/>
                <w:sz w:val="20"/>
                <w:lang w:eastAsia="lv-LV"/>
              </w:rPr>
              <w:t>euro</w:t>
            </w:r>
            <w:r w:rsidRPr="00EE09CC">
              <w:rPr>
                <w:b w:val="0"/>
                <w:color w:val="auto"/>
                <w:sz w:val="20"/>
                <w:lang w:eastAsia="lv-LV"/>
              </w:rPr>
              <w:t xml:space="preserve"> ar 2016.gada 1.janvāri</w:t>
            </w:r>
          </w:p>
        </w:tc>
        <w:tc>
          <w:tcPr>
            <w:tcW w:w="1300" w:type="dxa"/>
            <w:noWrap/>
            <w:hideMark/>
          </w:tcPr>
          <w:p w14:paraId="36228A17"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66186D98" w14:textId="75E3F387" w:rsidR="00C3203D"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w:t>
            </w:r>
          </w:p>
        </w:tc>
        <w:tc>
          <w:tcPr>
            <w:tcW w:w="1559" w:type="dxa"/>
            <w:vAlign w:val="center"/>
            <w:hideMark/>
          </w:tcPr>
          <w:p w14:paraId="523146DF"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4778AD02"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7B91F0F4"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28D5A891"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27B09A1E"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39DB5785" w14:textId="77777777" w:rsidTr="00D640F7">
        <w:trPr>
          <w:trHeight w:val="50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74BBA803"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Citi pasākumi (pārdales, t.sk. ES fondu īstenošanai), ieņēmumu no maksas pakalpojumiem un citu pašu ieņēmumu palielinājums u.c.)</w:t>
            </w:r>
          </w:p>
        </w:tc>
        <w:tc>
          <w:tcPr>
            <w:tcW w:w="1300" w:type="dxa"/>
            <w:noWrap/>
            <w:hideMark/>
          </w:tcPr>
          <w:p w14:paraId="5E2963B0" w14:textId="77777777" w:rsidR="00C3203D" w:rsidRPr="00EE09CC" w:rsidRDefault="00C3203D" w:rsidP="007369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74E246A7" w14:textId="45028B03" w:rsidR="00C3203D" w:rsidRPr="00EE09CC" w:rsidRDefault="00C3203D"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59" w:type="dxa"/>
            <w:vAlign w:val="center"/>
            <w:hideMark/>
          </w:tcPr>
          <w:p w14:paraId="27BD6E34"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29398C58"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1FC9E270"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A5AF0">
              <w:rPr>
                <w:color w:val="auto"/>
                <w:sz w:val="20"/>
                <w:lang w:eastAsia="lv-LV"/>
              </w:rPr>
              <w:t>0,09</w:t>
            </w:r>
          </w:p>
        </w:tc>
        <w:tc>
          <w:tcPr>
            <w:tcW w:w="992" w:type="dxa"/>
            <w:noWrap/>
            <w:vAlign w:val="center"/>
            <w:hideMark/>
          </w:tcPr>
          <w:p w14:paraId="1F00ADB1"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A5AF0">
              <w:rPr>
                <w:color w:val="auto"/>
                <w:sz w:val="20"/>
                <w:lang w:eastAsia="lv-LV"/>
              </w:rPr>
              <w:t>0,40</w:t>
            </w:r>
          </w:p>
        </w:tc>
        <w:tc>
          <w:tcPr>
            <w:tcW w:w="851" w:type="dxa"/>
            <w:noWrap/>
            <w:vAlign w:val="center"/>
            <w:hideMark/>
          </w:tcPr>
          <w:p w14:paraId="78143251"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A5AF0">
              <w:rPr>
                <w:color w:val="auto"/>
                <w:sz w:val="20"/>
                <w:lang w:eastAsia="lv-LV"/>
              </w:rPr>
              <w:t>0,12</w:t>
            </w:r>
          </w:p>
        </w:tc>
      </w:tr>
      <w:tr w:rsidR="00C3203D" w:rsidRPr="00EE09CC" w14:paraId="7E34FC9E" w14:textId="77777777" w:rsidTr="00D640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2EB95A2A"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MK pieņemtie lēmumi (t.sk., izdevumu samazinājums 3% apmērā)</w:t>
            </w:r>
          </w:p>
        </w:tc>
        <w:tc>
          <w:tcPr>
            <w:tcW w:w="1300" w:type="dxa"/>
            <w:noWrap/>
            <w:hideMark/>
          </w:tcPr>
          <w:p w14:paraId="17C4D6BA"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756E4C66" w14:textId="0D9BCD6E" w:rsidR="00C3203D" w:rsidRPr="00EE09CC" w:rsidRDefault="00C3203D"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59" w:type="dxa"/>
            <w:vAlign w:val="center"/>
            <w:hideMark/>
          </w:tcPr>
          <w:p w14:paraId="2375D30D"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A2E6612"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610EC443"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A5AF0">
              <w:rPr>
                <w:color w:val="auto"/>
                <w:sz w:val="20"/>
                <w:lang w:eastAsia="lv-LV"/>
              </w:rPr>
              <w:t>-0,16</w:t>
            </w:r>
          </w:p>
        </w:tc>
        <w:tc>
          <w:tcPr>
            <w:tcW w:w="992" w:type="dxa"/>
            <w:noWrap/>
            <w:vAlign w:val="center"/>
            <w:hideMark/>
          </w:tcPr>
          <w:p w14:paraId="0E8C24C5"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A5AF0">
              <w:rPr>
                <w:color w:val="auto"/>
                <w:sz w:val="20"/>
                <w:lang w:eastAsia="lv-LV"/>
              </w:rPr>
              <w:t>0,51</w:t>
            </w:r>
          </w:p>
        </w:tc>
        <w:tc>
          <w:tcPr>
            <w:tcW w:w="851" w:type="dxa"/>
            <w:noWrap/>
            <w:vAlign w:val="center"/>
            <w:hideMark/>
          </w:tcPr>
          <w:p w14:paraId="316B58A8"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A5AF0">
              <w:rPr>
                <w:color w:val="auto"/>
                <w:sz w:val="20"/>
                <w:lang w:eastAsia="lv-LV"/>
              </w:rPr>
              <w:t>0,10</w:t>
            </w:r>
          </w:p>
        </w:tc>
      </w:tr>
      <w:tr w:rsidR="00C3203D" w:rsidRPr="00EE09CC" w14:paraId="41ACA331"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51CC4690"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Nacionālo bruņoto spēku kaujas spēju celšana</w:t>
            </w:r>
          </w:p>
        </w:tc>
        <w:tc>
          <w:tcPr>
            <w:tcW w:w="1300" w:type="dxa"/>
            <w:noWrap/>
            <w:hideMark/>
          </w:tcPr>
          <w:p w14:paraId="24BBE43F" w14:textId="77777777" w:rsidR="00C3203D" w:rsidRPr="00EE09CC" w:rsidRDefault="00C3203D" w:rsidP="007369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573007DF" w14:textId="2D24B88C" w:rsidR="00C3203D"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 D.1</w:t>
            </w:r>
          </w:p>
        </w:tc>
        <w:tc>
          <w:tcPr>
            <w:tcW w:w="1559" w:type="dxa"/>
            <w:vAlign w:val="center"/>
            <w:hideMark/>
          </w:tcPr>
          <w:p w14:paraId="68AADEAF"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E2DD642"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3F819764"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0,20</w:t>
            </w:r>
          </w:p>
        </w:tc>
        <w:tc>
          <w:tcPr>
            <w:tcW w:w="992" w:type="dxa"/>
            <w:noWrap/>
            <w:vAlign w:val="center"/>
            <w:hideMark/>
          </w:tcPr>
          <w:p w14:paraId="6999A314"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0,15</w:t>
            </w:r>
          </w:p>
        </w:tc>
        <w:tc>
          <w:tcPr>
            <w:tcW w:w="851" w:type="dxa"/>
            <w:noWrap/>
            <w:vAlign w:val="center"/>
            <w:hideMark/>
          </w:tcPr>
          <w:p w14:paraId="4612289B"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0,16</w:t>
            </w:r>
          </w:p>
        </w:tc>
      </w:tr>
      <w:tr w:rsidR="00C3203D" w:rsidRPr="00EE09CC" w14:paraId="2EF9F7A9" w14:textId="77777777" w:rsidTr="00D640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16FD6353"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Jaunsardzes kustības attīstība</w:t>
            </w:r>
          </w:p>
        </w:tc>
        <w:tc>
          <w:tcPr>
            <w:tcW w:w="1300" w:type="dxa"/>
            <w:noWrap/>
            <w:hideMark/>
          </w:tcPr>
          <w:p w14:paraId="11D8166F"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29E16B67" w14:textId="74C8A68D" w:rsidR="00C3203D"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P.2, D.1</w:t>
            </w:r>
          </w:p>
        </w:tc>
        <w:tc>
          <w:tcPr>
            <w:tcW w:w="1559" w:type="dxa"/>
            <w:vAlign w:val="center"/>
            <w:hideMark/>
          </w:tcPr>
          <w:p w14:paraId="47E22868"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4A34FD64"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6DE9B679"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3A0A354C"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851" w:type="dxa"/>
            <w:noWrap/>
            <w:vAlign w:val="center"/>
            <w:hideMark/>
          </w:tcPr>
          <w:p w14:paraId="34AB6978"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291FF770" w14:textId="77777777" w:rsidTr="00D640F7">
        <w:trPr>
          <w:trHeight w:val="510"/>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469EEAC8"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Atlīdzības nodrošināšana Iekšlietu ministrijas sistēmas iestāžu amatpersonām ar speciālajām dienesta pakāpēm</w:t>
            </w:r>
          </w:p>
        </w:tc>
        <w:tc>
          <w:tcPr>
            <w:tcW w:w="1300" w:type="dxa"/>
            <w:noWrap/>
            <w:hideMark/>
          </w:tcPr>
          <w:p w14:paraId="59A1D312" w14:textId="77777777" w:rsidR="00C3203D" w:rsidRPr="00EE09CC" w:rsidRDefault="00C3203D" w:rsidP="007369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302B4044" w14:textId="50AA6B4E" w:rsidR="00C3203D"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D.1</w:t>
            </w:r>
          </w:p>
        </w:tc>
        <w:tc>
          <w:tcPr>
            <w:tcW w:w="1559" w:type="dxa"/>
            <w:vAlign w:val="center"/>
            <w:hideMark/>
          </w:tcPr>
          <w:p w14:paraId="064D4BAB"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5E5CA63A"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2361E75F"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0,10</w:t>
            </w:r>
          </w:p>
        </w:tc>
        <w:tc>
          <w:tcPr>
            <w:tcW w:w="992" w:type="dxa"/>
            <w:noWrap/>
            <w:vAlign w:val="center"/>
            <w:hideMark/>
          </w:tcPr>
          <w:p w14:paraId="7DF5FB5A"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60B8B5B6"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18006928" w14:textId="77777777" w:rsidTr="00D640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4A6441E1"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Iekšlietu ministrijas padotībā esošo iestāžu nodrošināšana ar funkciju izpildei nepieciešamajiem šaujamieročiem</w:t>
            </w:r>
          </w:p>
        </w:tc>
        <w:tc>
          <w:tcPr>
            <w:tcW w:w="1300" w:type="dxa"/>
            <w:noWrap/>
            <w:hideMark/>
          </w:tcPr>
          <w:p w14:paraId="03402571"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4EE90537" w14:textId="34E36162" w:rsidR="00C3203D"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5C79EC6B"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4C6FA2C1"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71C3B6CD"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7C48DDDD"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1274702F"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04233073" w14:textId="77777777" w:rsidTr="00D640F7">
        <w:trPr>
          <w:trHeight w:val="510"/>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62CEF234"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Latvijas Republikas valsts robežas iekārtošana, uzturēšana un zemes īpašuma tiesību sakārtošana</w:t>
            </w:r>
          </w:p>
        </w:tc>
        <w:tc>
          <w:tcPr>
            <w:tcW w:w="1300" w:type="dxa"/>
            <w:noWrap/>
            <w:hideMark/>
          </w:tcPr>
          <w:p w14:paraId="382EAA74" w14:textId="77777777" w:rsidR="00D640F7" w:rsidRPr="00EE09CC" w:rsidRDefault="00D640F7" w:rsidP="00D640F7">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714DFDC1" w14:textId="121BC279"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C6E85">
              <w:rPr>
                <w:color w:val="auto"/>
                <w:sz w:val="20"/>
                <w:lang w:eastAsia="lv-LV"/>
              </w:rPr>
              <w:t>P.2</w:t>
            </w:r>
          </w:p>
        </w:tc>
        <w:tc>
          <w:tcPr>
            <w:tcW w:w="1559" w:type="dxa"/>
            <w:vAlign w:val="center"/>
            <w:hideMark/>
          </w:tcPr>
          <w:p w14:paraId="580CB83E"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B050859" w14:textId="77777777" w:rsidR="00D640F7"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0B1E38C5"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2174898D"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0ECDB19B" w14:textId="77777777" w:rsidR="00D640F7" w:rsidRPr="00EE09CC"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D640F7" w:rsidRPr="00EE09CC" w14:paraId="38ECAD07" w14:textId="77777777" w:rsidTr="00D640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5506548A" w14:textId="77777777" w:rsidR="00D640F7" w:rsidRPr="00EE09CC" w:rsidRDefault="00D640F7" w:rsidP="00D640F7">
            <w:pPr>
              <w:spacing w:after="0"/>
              <w:ind w:firstLine="0"/>
              <w:rPr>
                <w:b w:val="0"/>
                <w:color w:val="auto"/>
                <w:sz w:val="20"/>
                <w:lang w:eastAsia="lv-LV"/>
              </w:rPr>
            </w:pPr>
            <w:r w:rsidRPr="00EE09CC">
              <w:rPr>
                <w:b w:val="0"/>
                <w:color w:val="auto"/>
                <w:sz w:val="20"/>
                <w:lang w:eastAsia="lv-LV"/>
              </w:rPr>
              <w:t>Valsts drošības stiprināšanas pasākumi</w:t>
            </w:r>
          </w:p>
        </w:tc>
        <w:tc>
          <w:tcPr>
            <w:tcW w:w="1300" w:type="dxa"/>
            <w:noWrap/>
            <w:hideMark/>
          </w:tcPr>
          <w:p w14:paraId="6EE604C7" w14:textId="77777777" w:rsidR="00D640F7" w:rsidRPr="00EE09CC" w:rsidRDefault="00D640F7" w:rsidP="00D640F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09522D8C" w14:textId="4E005594"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C6E85">
              <w:rPr>
                <w:color w:val="auto"/>
                <w:sz w:val="20"/>
                <w:lang w:eastAsia="lv-LV"/>
              </w:rPr>
              <w:t>P.2</w:t>
            </w:r>
          </w:p>
        </w:tc>
        <w:tc>
          <w:tcPr>
            <w:tcW w:w="1559" w:type="dxa"/>
            <w:vAlign w:val="center"/>
            <w:hideMark/>
          </w:tcPr>
          <w:p w14:paraId="30AA1306"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7A8ABBE" w14:textId="77777777"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6CD15457"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359D6FEA"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73DB2378" w14:textId="77777777" w:rsidR="00D640F7" w:rsidRPr="00EE09CC"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55EB99F1"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6AB6B7E3"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Kompensācijas reģionālajām pasta piegādēm</w:t>
            </w:r>
          </w:p>
        </w:tc>
        <w:tc>
          <w:tcPr>
            <w:tcW w:w="1300" w:type="dxa"/>
            <w:noWrap/>
            <w:hideMark/>
          </w:tcPr>
          <w:p w14:paraId="7EB97134" w14:textId="77777777" w:rsidR="00C3203D" w:rsidRPr="00EE09CC" w:rsidRDefault="00C3203D" w:rsidP="007369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2B38CDC1" w14:textId="7DDFDC63" w:rsidR="00C3203D"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D.3</w:t>
            </w:r>
          </w:p>
        </w:tc>
        <w:tc>
          <w:tcPr>
            <w:tcW w:w="1559" w:type="dxa"/>
            <w:vAlign w:val="center"/>
            <w:hideMark/>
          </w:tcPr>
          <w:p w14:paraId="3D3A3450"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CF5BAAC"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7A0761F9"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084699A7"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17814974"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0C86738D" w14:textId="77777777" w:rsidTr="00D640F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4A7D923C"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Dotācija zaudējumu segšanai sabiedriskā transporta pakalpojumu sniedzējiem</w:t>
            </w:r>
          </w:p>
        </w:tc>
        <w:tc>
          <w:tcPr>
            <w:tcW w:w="1300" w:type="dxa"/>
            <w:noWrap/>
            <w:hideMark/>
          </w:tcPr>
          <w:p w14:paraId="4E5FDFE9"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4F1DDEDC" w14:textId="1016C910" w:rsidR="00C3203D"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D.3</w:t>
            </w:r>
          </w:p>
        </w:tc>
        <w:tc>
          <w:tcPr>
            <w:tcW w:w="1559" w:type="dxa"/>
            <w:vAlign w:val="center"/>
            <w:hideMark/>
          </w:tcPr>
          <w:p w14:paraId="47FB895E"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17D1C71F"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65D0C048"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146D8A10"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49563D9C"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2E5DC8F4" w14:textId="77777777" w:rsidTr="00D640F7">
        <w:trPr>
          <w:trHeight w:val="564"/>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1D0B8E97"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Tehnisko palīglīdzekļu klāsta pilnveidošana un modernizēšana, kā arī rindu pēc tehniskajiem palīglīdzekļiem samazināšana</w:t>
            </w:r>
          </w:p>
        </w:tc>
        <w:tc>
          <w:tcPr>
            <w:tcW w:w="1300" w:type="dxa"/>
            <w:noWrap/>
            <w:hideMark/>
          </w:tcPr>
          <w:p w14:paraId="5F69EA54" w14:textId="77777777" w:rsidR="00C3203D" w:rsidRPr="00EE09CC" w:rsidRDefault="00C3203D" w:rsidP="007369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7D4F908C" w14:textId="552C3178" w:rsidR="00C3203D"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70694A9C"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12603757"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1037B10B"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438F9B75"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774BB4A3"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45D2A7CC" w14:textId="77777777" w:rsidTr="00D640F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5EF2F64E"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Papildu atlīdzības nodrošināšana Ieslodzījumu vietu pārvaldes amatpersonām ar speciālajām dienesta pakāpēm</w:t>
            </w:r>
          </w:p>
        </w:tc>
        <w:tc>
          <w:tcPr>
            <w:tcW w:w="1300" w:type="dxa"/>
            <w:noWrap/>
            <w:hideMark/>
          </w:tcPr>
          <w:p w14:paraId="29DFFAFC"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10AC5790" w14:textId="1B72AD73" w:rsidR="00C3203D"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w:t>
            </w:r>
          </w:p>
        </w:tc>
        <w:tc>
          <w:tcPr>
            <w:tcW w:w="1559" w:type="dxa"/>
            <w:vAlign w:val="center"/>
            <w:hideMark/>
          </w:tcPr>
          <w:p w14:paraId="3EA7E3C3"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49D98F60"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3A5E200E"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c>
          <w:tcPr>
            <w:tcW w:w="992" w:type="dxa"/>
            <w:noWrap/>
            <w:vAlign w:val="center"/>
            <w:hideMark/>
          </w:tcPr>
          <w:p w14:paraId="48008C2E"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580EAB68"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487429F1" w14:textId="77777777" w:rsidTr="00D640F7">
        <w:trPr>
          <w:trHeight w:val="297"/>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3D7C0FFB"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Salaspils kodolreaktora likvidācijas pasākumu kopuma izpildes nodrošināšanai</w:t>
            </w:r>
          </w:p>
        </w:tc>
        <w:tc>
          <w:tcPr>
            <w:tcW w:w="1300" w:type="dxa"/>
            <w:noWrap/>
            <w:hideMark/>
          </w:tcPr>
          <w:p w14:paraId="5B7DE5FA" w14:textId="77777777" w:rsidR="00C3203D" w:rsidRPr="00EE09CC" w:rsidRDefault="00C3203D" w:rsidP="007369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07EC80D7" w14:textId="1974DAFD" w:rsidR="00C3203D"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1717637E"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75092C4"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691B59AB"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992" w:type="dxa"/>
            <w:noWrap/>
            <w:vAlign w:val="center"/>
            <w:hideMark/>
          </w:tcPr>
          <w:p w14:paraId="594BE7AF"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0,01</w:t>
            </w:r>
          </w:p>
        </w:tc>
        <w:tc>
          <w:tcPr>
            <w:tcW w:w="851" w:type="dxa"/>
            <w:noWrap/>
            <w:vAlign w:val="center"/>
            <w:hideMark/>
          </w:tcPr>
          <w:p w14:paraId="50041A5C"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6B85F19A" w14:textId="77777777" w:rsidTr="00D640F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2B79D952"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Kompensējamo medikamentu apmaksas C-hepatīta un HIV/AIDS pacientiem nodrošināšana</w:t>
            </w:r>
          </w:p>
        </w:tc>
        <w:tc>
          <w:tcPr>
            <w:tcW w:w="1300" w:type="dxa"/>
            <w:noWrap/>
            <w:hideMark/>
          </w:tcPr>
          <w:p w14:paraId="7C92DF4D"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298D75E0" w14:textId="3301D6F4" w:rsidR="00C3203D"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D.3</w:t>
            </w:r>
          </w:p>
        </w:tc>
        <w:tc>
          <w:tcPr>
            <w:tcW w:w="1559" w:type="dxa"/>
            <w:vAlign w:val="center"/>
            <w:hideMark/>
          </w:tcPr>
          <w:p w14:paraId="32EFD13E"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353AFA36"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329DB66B"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0,02</w:t>
            </w:r>
          </w:p>
        </w:tc>
        <w:tc>
          <w:tcPr>
            <w:tcW w:w="992" w:type="dxa"/>
            <w:noWrap/>
            <w:vAlign w:val="center"/>
            <w:hideMark/>
          </w:tcPr>
          <w:p w14:paraId="676C07AD"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366F6BC3"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2360323D" w14:textId="77777777" w:rsidTr="00D640F7">
        <w:trPr>
          <w:trHeight w:val="323"/>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0C929204"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Valsts galvoto aizdevumu slimnīcām atmaksas nodrošināšana</w:t>
            </w:r>
          </w:p>
        </w:tc>
        <w:tc>
          <w:tcPr>
            <w:tcW w:w="1300" w:type="dxa"/>
            <w:noWrap/>
            <w:hideMark/>
          </w:tcPr>
          <w:p w14:paraId="6DF85AAC" w14:textId="77777777" w:rsidR="00C3203D" w:rsidRPr="00EE09CC" w:rsidRDefault="00C3203D" w:rsidP="007369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hideMark/>
          </w:tcPr>
          <w:p w14:paraId="6BBB73AA" w14:textId="68A02D93" w:rsidR="00C3203D" w:rsidRPr="00EE09CC"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D.99</w:t>
            </w:r>
          </w:p>
        </w:tc>
        <w:tc>
          <w:tcPr>
            <w:tcW w:w="1559" w:type="dxa"/>
            <w:vAlign w:val="center"/>
            <w:hideMark/>
          </w:tcPr>
          <w:p w14:paraId="11513247"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3028876" w14:textId="77777777" w:rsidR="00C3203D" w:rsidRPr="00EE09CC" w:rsidRDefault="00C3203D" w:rsidP="007369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4339F953"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0,03</w:t>
            </w:r>
          </w:p>
        </w:tc>
        <w:tc>
          <w:tcPr>
            <w:tcW w:w="992" w:type="dxa"/>
            <w:noWrap/>
            <w:vAlign w:val="center"/>
            <w:hideMark/>
          </w:tcPr>
          <w:p w14:paraId="221EB2B5"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0EBA7D28" w14:textId="77777777" w:rsidR="00C3203D" w:rsidRPr="00EE09CC"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0,00</w:t>
            </w:r>
          </w:p>
        </w:tc>
      </w:tr>
      <w:tr w:rsidR="00C3203D" w:rsidRPr="00EE09CC" w14:paraId="53752766" w14:textId="77777777" w:rsidTr="00D27E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0" w:type="dxa"/>
            <w:vAlign w:val="center"/>
            <w:hideMark/>
          </w:tcPr>
          <w:p w14:paraId="3C74054F" w14:textId="77777777" w:rsidR="00C3203D" w:rsidRPr="00EE09CC" w:rsidRDefault="00C3203D" w:rsidP="007369A9">
            <w:pPr>
              <w:spacing w:after="0"/>
              <w:ind w:firstLine="0"/>
              <w:rPr>
                <w:b w:val="0"/>
                <w:color w:val="auto"/>
                <w:sz w:val="20"/>
                <w:lang w:eastAsia="lv-LV"/>
              </w:rPr>
            </w:pPr>
            <w:r w:rsidRPr="00EE09CC">
              <w:rPr>
                <w:b w:val="0"/>
                <w:color w:val="auto"/>
                <w:sz w:val="20"/>
                <w:lang w:eastAsia="lv-LV"/>
              </w:rPr>
              <w:t>Pārējie pasākumi kopā</w:t>
            </w:r>
          </w:p>
        </w:tc>
        <w:tc>
          <w:tcPr>
            <w:tcW w:w="1300" w:type="dxa"/>
            <w:noWrap/>
            <w:hideMark/>
          </w:tcPr>
          <w:p w14:paraId="49FC758D"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hideMark/>
          </w:tcPr>
          <w:p w14:paraId="7536717E" w14:textId="77777777" w:rsidR="00C3203D" w:rsidRPr="00EE09CC" w:rsidRDefault="00C3203D" w:rsidP="007369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559" w:type="dxa"/>
            <w:vAlign w:val="center"/>
            <w:hideMark/>
          </w:tcPr>
          <w:p w14:paraId="44ACF5B8"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3A5B72EE" w14:textId="77777777" w:rsidR="00C3203D" w:rsidRPr="00EE09CC" w:rsidRDefault="00C3203D" w:rsidP="007369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hideMark/>
          </w:tcPr>
          <w:p w14:paraId="6154DB31"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0,03</w:t>
            </w:r>
          </w:p>
        </w:tc>
        <w:tc>
          <w:tcPr>
            <w:tcW w:w="992" w:type="dxa"/>
            <w:noWrap/>
            <w:vAlign w:val="center"/>
            <w:hideMark/>
          </w:tcPr>
          <w:p w14:paraId="0F69D2A0"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0,00</w:t>
            </w:r>
          </w:p>
        </w:tc>
        <w:tc>
          <w:tcPr>
            <w:tcW w:w="851" w:type="dxa"/>
            <w:noWrap/>
            <w:vAlign w:val="center"/>
            <w:hideMark/>
          </w:tcPr>
          <w:p w14:paraId="69C20636" w14:textId="77777777" w:rsidR="00C3203D" w:rsidRPr="00EE09CC" w:rsidRDefault="00C3203D" w:rsidP="00D27E4E">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-0,01</w:t>
            </w:r>
          </w:p>
        </w:tc>
      </w:tr>
      <w:tr w:rsidR="00C3203D" w:rsidRPr="00EE09CC" w14:paraId="34C1B468" w14:textId="77777777" w:rsidTr="00D27E4E">
        <w:trPr>
          <w:trHeight w:val="315"/>
        </w:trPr>
        <w:tc>
          <w:tcPr>
            <w:cnfStyle w:val="001000000000" w:firstRow="0" w:lastRow="0" w:firstColumn="1" w:lastColumn="0" w:oddVBand="0" w:evenVBand="0" w:oddHBand="0" w:evenHBand="0" w:firstRowFirstColumn="0" w:firstRowLastColumn="0" w:lastRowFirstColumn="0" w:lastRowLastColumn="0"/>
            <w:tcW w:w="12485" w:type="dxa"/>
            <w:gridSpan w:val="5"/>
            <w:noWrap/>
            <w:vAlign w:val="center"/>
            <w:hideMark/>
          </w:tcPr>
          <w:p w14:paraId="50754F77" w14:textId="77777777" w:rsidR="00C3203D" w:rsidRPr="00EE09CC" w:rsidRDefault="00C3203D" w:rsidP="007369A9">
            <w:pPr>
              <w:spacing w:after="0"/>
              <w:ind w:firstLine="0"/>
              <w:jc w:val="right"/>
              <w:rPr>
                <w:color w:val="auto"/>
                <w:sz w:val="20"/>
                <w:lang w:eastAsia="lv-LV"/>
              </w:rPr>
            </w:pPr>
            <w:r w:rsidRPr="00EE09CC">
              <w:rPr>
                <w:color w:val="auto"/>
                <w:sz w:val="20"/>
                <w:lang w:eastAsia="lv-LV"/>
              </w:rPr>
              <w:t>Kopā</w:t>
            </w:r>
          </w:p>
        </w:tc>
        <w:tc>
          <w:tcPr>
            <w:tcW w:w="992" w:type="dxa"/>
            <w:noWrap/>
            <w:vAlign w:val="center"/>
            <w:hideMark/>
          </w:tcPr>
          <w:p w14:paraId="3F767926" w14:textId="77777777" w:rsidR="00C3203D" w:rsidRPr="004A5AF0"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b/>
                <w:color w:val="auto"/>
                <w:sz w:val="20"/>
                <w:lang w:eastAsia="lv-LV"/>
              </w:rPr>
            </w:pPr>
            <w:r w:rsidRPr="004A5AF0">
              <w:rPr>
                <w:b/>
                <w:color w:val="auto"/>
                <w:sz w:val="20"/>
                <w:lang w:eastAsia="lv-LV"/>
              </w:rPr>
              <w:t>0,39</w:t>
            </w:r>
          </w:p>
        </w:tc>
        <w:tc>
          <w:tcPr>
            <w:tcW w:w="992" w:type="dxa"/>
            <w:noWrap/>
            <w:vAlign w:val="center"/>
            <w:hideMark/>
          </w:tcPr>
          <w:p w14:paraId="3F127661" w14:textId="77777777" w:rsidR="00C3203D" w:rsidRPr="004A5AF0"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b/>
                <w:color w:val="auto"/>
                <w:sz w:val="20"/>
                <w:lang w:eastAsia="lv-LV"/>
              </w:rPr>
            </w:pPr>
            <w:r w:rsidRPr="004A5AF0">
              <w:rPr>
                <w:b/>
                <w:color w:val="auto"/>
                <w:sz w:val="20"/>
                <w:lang w:eastAsia="lv-LV"/>
              </w:rPr>
              <w:t>1,09</w:t>
            </w:r>
          </w:p>
        </w:tc>
        <w:tc>
          <w:tcPr>
            <w:tcW w:w="851" w:type="dxa"/>
            <w:noWrap/>
            <w:vAlign w:val="center"/>
            <w:hideMark/>
          </w:tcPr>
          <w:p w14:paraId="42543D55" w14:textId="77777777" w:rsidR="00C3203D" w:rsidRPr="004A5AF0" w:rsidRDefault="00C3203D" w:rsidP="00D27E4E">
            <w:pPr>
              <w:spacing w:after="0"/>
              <w:ind w:firstLine="0"/>
              <w:jc w:val="right"/>
              <w:cnfStyle w:val="000000000000" w:firstRow="0" w:lastRow="0" w:firstColumn="0" w:lastColumn="0" w:oddVBand="0" w:evenVBand="0" w:oddHBand="0" w:evenHBand="0" w:firstRowFirstColumn="0" w:firstRowLastColumn="0" w:lastRowFirstColumn="0" w:lastRowLastColumn="0"/>
              <w:rPr>
                <w:b/>
                <w:color w:val="auto"/>
                <w:sz w:val="20"/>
                <w:lang w:eastAsia="lv-LV"/>
              </w:rPr>
            </w:pPr>
            <w:r w:rsidRPr="004A5AF0">
              <w:rPr>
                <w:b/>
                <w:color w:val="auto"/>
                <w:sz w:val="20"/>
                <w:lang w:eastAsia="lv-LV"/>
              </w:rPr>
              <w:t>0,38</w:t>
            </w:r>
          </w:p>
        </w:tc>
      </w:tr>
    </w:tbl>
    <w:p w14:paraId="4F97A3C2" w14:textId="5007FC38" w:rsidR="00314FA1" w:rsidRPr="00314FA1" w:rsidRDefault="002A44D1" w:rsidP="00314FA1">
      <w:pPr>
        <w:pStyle w:val="Heading1"/>
        <w:tabs>
          <w:tab w:val="left" w:pos="1276"/>
        </w:tabs>
        <w:spacing w:before="0" w:after="240"/>
        <w:ind w:left="1276" w:hanging="1276"/>
        <w:jc w:val="left"/>
        <w:rPr>
          <w:rFonts w:ascii="Times New Roman" w:hAnsi="Times New Roman"/>
          <w:color w:val="18185F"/>
          <w:sz w:val="24"/>
          <w:lang w:val="lv-LV"/>
        </w:rPr>
      </w:pPr>
      <w:bookmarkStart w:id="24" w:name="_Toc431197098"/>
      <w:r w:rsidRPr="00DC2914">
        <w:rPr>
          <w:rFonts w:ascii="Times New Roman" w:hAnsi="Times New Roman"/>
          <w:color w:val="18185F"/>
          <w:sz w:val="24"/>
        </w:rPr>
        <w:t>Tabula 5.c.  Diskrecionārie</w:t>
      </w:r>
      <w:r w:rsidR="00CA695A" w:rsidRPr="00DC2914">
        <w:rPr>
          <w:rFonts w:ascii="Times New Roman" w:hAnsi="Times New Roman"/>
          <w:color w:val="18185F"/>
          <w:sz w:val="24"/>
          <w:lang w:val="lv-LV"/>
        </w:rPr>
        <w:t xml:space="preserve"> ieņēmumu</w:t>
      </w:r>
      <w:r w:rsidRPr="00DC2914">
        <w:rPr>
          <w:rFonts w:ascii="Times New Roman" w:hAnsi="Times New Roman"/>
          <w:color w:val="18185F"/>
          <w:sz w:val="24"/>
        </w:rPr>
        <w:t xml:space="preserve"> pasākumi </w:t>
      </w:r>
      <w:r w:rsidR="006E49DC" w:rsidRPr="00DC2914">
        <w:rPr>
          <w:rFonts w:ascii="Times New Roman" w:hAnsi="Times New Roman"/>
          <w:color w:val="18185F"/>
          <w:sz w:val="24"/>
          <w:lang w:val="lv-LV"/>
        </w:rPr>
        <w:t>vietēj</w:t>
      </w:r>
      <w:r w:rsidR="00CA695A" w:rsidRPr="00DC2914">
        <w:rPr>
          <w:rFonts w:ascii="Times New Roman" w:hAnsi="Times New Roman"/>
          <w:color w:val="18185F"/>
          <w:sz w:val="24"/>
          <w:lang w:val="lv-LV"/>
        </w:rPr>
        <w:t>ās</w:t>
      </w:r>
      <w:r w:rsidR="006E49DC" w:rsidRPr="00DC2914">
        <w:rPr>
          <w:rFonts w:ascii="Times New Roman" w:hAnsi="Times New Roman"/>
          <w:color w:val="18185F"/>
          <w:sz w:val="24"/>
          <w:lang w:val="lv-LV"/>
        </w:rPr>
        <w:t xml:space="preserve"> vald</w:t>
      </w:r>
      <w:r w:rsidR="00CA695A" w:rsidRPr="00DC2914">
        <w:rPr>
          <w:rFonts w:ascii="Times New Roman" w:hAnsi="Times New Roman"/>
          <w:color w:val="18185F"/>
          <w:sz w:val="24"/>
          <w:lang w:val="lv-LV"/>
        </w:rPr>
        <w:t>ības budžetā</w:t>
      </w:r>
      <w:bookmarkEnd w:id="24"/>
    </w:p>
    <w:tbl>
      <w:tblPr>
        <w:tblStyle w:val="GridTable6Colorful-Accent1"/>
        <w:tblW w:w="15593" w:type="dxa"/>
        <w:tblInd w:w="-147" w:type="dxa"/>
        <w:tblLook w:val="04A0" w:firstRow="1" w:lastRow="0" w:firstColumn="1" w:lastColumn="0" w:noHBand="0" w:noVBand="1"/>
      </w:tblPr>
      <w:tblGrid>
        <w:gridCol w:w="3119"/>
        <w:gridCol w:w="4959"/>
        <w:gridCol w:w="1283"/>
        <w:gridCol w:w="1178"/>
        <w:gridCol w:w="1105"/>
        <w:gridCol w:w="1843"/>
        <w:gridCol w:w="689"/>
        <w:gridCol w:w="708"/>
        <w:gridCol w:w="709"/>
      </w:tblGrid>
      <w:tr w:rsidR="004126AC" w:rsidRPr="009D60E9" w14:paraId="11480E5B" w14:textId="77777777" w:rsidTr="00D640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hideMark/>
          </w:tcPr>
          <w:p w14:paraId="01978F81" w14:textId="77777777" w:rsidR="004126AC" w:rsidRPr="009D60E9" w:rsidRDefault="004126AC" w:rsidP="004126AC">
            <w:pPr>
              <w:spacing w:after="0"/>
              <w:ind w:firstLine="0"/>
              <w:jc w:val="center"/>
              <w:rPr>
                <w:rFonts w:cs="Times New Roman"/>
                <w:color w:val="auto"/>
                <w:sz w:val="20"/>
                <w:szCs w:val="20"/>
                <w:lang w:eastAsia="lv-LV"/>
              </w:rPr>
            </w:pPr>
            <w:r w:rsidRPr="009D60E9">
              <w:rPr>
                <w:rFonts w:cs="Times New Roman"/>
                <w:color w:val="auto"/>
                <w:sz w:val="20"/>
                <w:szCs w:val="20"/>
                <w:lang w:eastAsia="lv-LV"/>
              </w:rPr>
              <w:t>Pasākumu saraksts</w:t>
            </w:r>
          </w:p>
        </w:tc>
        <w:tc>
          <w:tcPr>
            <w:tcW w:w="4959" w:type="dxa"/>
            <w:vMerge w:val="restart"/>
            <w:vAlign w:val="center"/>
            <w:hideMark/>
          </w:tcPr>
          <w:p w14:paraId="2E68FF9D" w14:textId="2FAFD6B3"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Detalizēts apraksts</w:t>
            </w:r>
          </w:p>
        </w:tc>
        <w:tc>
          <w:tcPr>
            <w:tcW w:w="1283" w:type="dxa"/>
            <w:vMerge w:val="restart"/>
            <w:vAlign w:val="center"/>
            <w:hideMark/>
          </w:tcPr>
          <w:p w14:paraId="0D22E2E9" w14:textId="77777777"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Nodokļu veids</w:t>
            </w:r>
          </w:p>
        </w:tc>
        <w:tc>
          <w:tcPr>
            <w:tcW w:w="1178" w:type="dxa"/>
            <w:vMerge w:val="restart"/>
            <w:vAlign w:val="center"/>
            <w:hideMark/>
          </w:tcPr>
          <w:p w14:paraId="0E67BE74" w14:textId="6AA9C439"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EKS</w:t>
            </w:r>
            <w:r w:rsidRPr="009D60E9">
              <w:rPr>
                <w:rFonts w:cs="Times New Roman"/>
                <w:color w:val="auto"/>
                <w:sz w:val="20"/>
                <w:szCs w:val="20"/>
                <w:lang w:eastAsia="lv-LV"/>
              </w:rPr>
              <w:t xml:space="preserve"> kods</w:t>
            </w:r>
          </w:p>
        </w:tc>
        <w:tc>
          <w:tcPr>
            <w:tcW w:w="1105" w:type="dxa"/>
            <w:vMerge w:val="restart"/>
            <w:vAlign w:val="center"/>
            <w:hideMark/>
          </w:tcPr>
          <w:p w14:paraId="3D023402" w14:textId="77777777" w:rsidR="004126AC" w:rsidRPr="009D60E9" w:rsidRDefault="004126AC" w:rsidP="00D640F7">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Uzskaites princips</w:t>
            </w:r>
          </w:p>
        </w:tc>
        <w:tc>
          <w:tcPr>
            <w:tcW w:w="1843" w:type="dxa"/>
            <w:vMerge w:val="restart"/>
            <w:vAlign w:val="center"/>
            <w:hideMark/>
          </w:tcPr>
          <w:p w14:paraId="1891F3FA" w14:textId="77777777"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Pieņemšanas statuss</w:t>
            </w:r>
          </w:p>
        </w:tc>
        <w:tc>
          <w:tcPr>
            <w:tcW w:w="2106" w:type="dxa"/>
            <w:gridSpan w:val="3"/>
            <w:noWrap/>
            <w:vAlign w:val="center"/>
            <w:hideMark/>
          </w:tcPr>
          <w:p w14:paraId="498BBFC0" w14:textId="77777777" w:rsidR="004126AC" w:rsidRPr="009D60E9" w:rsidRDefault="004126AC" w:rsidP="00D640F7">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Ietekme uz budžetu</w:t>
            </w:r>
          </w:p>
        </w:tc>
      </w:tr>
      <w:tr w:rsidR="004126AC" w:rsidRPr="009D60E9" w14:paraId="467629E6" w14:textId="77777777" w:rsidTr="00D640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Merge/>
            <w:vAlign w:val="center"/>
            <w:hideMark/>
          </w:tcPr>
          <w:p w14:paraId="145B783A" w14:textId="77777777" w:rsidR="004126AC" w:rsidRPr="009D60E9" w:rsidRDefault="004126AC" w:rsidP="004126AC">
            <w:pPr>
              <w:spacing w:after="0"/>
              <w:jc w:val="center"/>
              <w:rPr>
                <w:rFonts w:cs="Times New Roman"/>
                <w:color w:val="auto"/>
                <w:sz w:val="20"/>
                <w:szCs w:val="20"/>
                <w:lang w:eastAsia="lv-LV"/>
              </w:rPr>
            </w:pPr>
          </w:p>
        </w:tc>
        <w:tc>
          <w:tcPr>
            <w:tcW w:w="4959" w:type="dxa"/>
            <w:vMerge/>
            <w:vAlign w:val="center"/>
            <w:hideMark/>
          </w:tcPr>
          <w:p w14:paraId="14200145" w14:textId="77777777" w:rsidR="004126AC" w:rsidRPr="009D60E9" w:rsidRDefault="004126AC" w:rsidP="004126AC">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283" w:type="dxa"/>
            <w:vMerge/>
            <w:vAlign w:val="center"/>
            <w:hideMark/>
          </w:tcPr>
          <w:p w14:paraId="2ADD7063" w14:textId="77777777" w:rsidR="004126AC" w:rsidRPr="009D60E9" w:rsidRDefault="004126AC" w:rsidP="004126AC">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178" w:type="dxa"/>
            <w:vMerge/>
            <w:vAlign w:val="center"/>
            <w:hideMark/>
          </w:tcPr>
          <w:p w14:paraId="0C2D41E9" w14:textId="77777777" w:rsidR="004126AC" w:rsidRPr="009D60E9" w:rsidRDefault="004126AC" w:rsidP="004126AC">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105" w:type="dxa"/>
            <w:vMerge/>
            <w:vAlign w:val="center"/>
            <w:hideMark/>
          </w:tcPr>
          <w:p w14:paraId="3F46471C" w14:textId="77777777" w:rsidR="004126AC" w:rsidRPr="009D60E9" w:rsidRDefault="004126AC" w:rsidP="00D640F7">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843" w:type="dxa"/>
            <w:vMerge/>
            <w:vAlign w:val="center"/>
            <w:hideMark/>
          </w:tcPr>
          <w:p w14:paraId="0622D13F" w14:textId="77777777" w:rsidR="004126AC" w:rsidRPr="009D60E9" w:rsidRDefault="004126AC" w:rsidP="004126AC">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689" w:type="dxa"/>
            <w:noWrap/>
            <w:vAlign w:val="center"/>
            <w:hideMark/>
          </w:tcPr>
          <w:p w14:paraId="0A5AA70D" w14:textId="661A4ED2" w:rsidR="004126AC" w:rsidRPr="009D60E9"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2016</w:t>
            </w:r>
          </w:p>
        </w:tc>
        <w:tc>
          <w:tcPr>
            <w:tcW w:w="708" w:type="dxa"/>
            <w:noWrap/>
            <w:vAlign w:val="center"/>
            <w:hideMark/>
          </w:tcPr>
          <w:p w14:paraId="52C7513C" w14:textId="5A889E23" w:rsidR="004126AC" w:rsidRPr="009D60E9"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2017</w:t>
            </w:r>
          </w:p>
        </w:tc>
        <w:tc>
          <w:tcPr>
            <w:tcW w:w="709" w:type="dxa"/>
            <w:noWrap/>
            <w:vAlign w:val="center"/>
            <w:hideMark/>
          </w:tcPr>
          <w:p w14:paraId="43845322" w14:textId="7531939E" w:rsidR="004126AC" w:rsidRPr="009D60E9" w:rsidRDefault="004126AC" w:rsidP="004126AC">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2018</w:t>
            </w:r>
          </w:p>
        </w:tc>
      </w:tr>
      <w:tr w:rsidR="00D640F7" w:rsidRPr="009D60E9" w14:paraId="0D6D049E"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3119" w:type="dxa"/>
            <w:vMerge/>
            <w:vAlign w:val="center"/>
            <w:hideMark/>
          </w:tcPr>
          <w:p w14:paraId="3E3241A2" w14:textId="77777777" w:rsidR="00D640F7" w:rsidRPr="009D60E9" w:rsidRDefault="00D640F7" w:rsidP="004126AC">
            <w:pPr>
              <w:spacing w:after="0"/>
              <w:jc w:val="center"/>
              <w:rPr>
                <w:rFonts w:cs="Times New Roman"/>
                <w:color w:val="auto"/>
                <w:sz w:val="20"/>
                <w:szCs w:val="20"/>
                <w:lang w:eastAsia="lv-LV"/>
              </w:rPr>
            </w:pPr>
          </w:p>
        </w:tc>
        <w:tc>
          <w:tcPr>
            <w:tcW w:w="4959" w:type="dxa"/>
            <w:vMerge/>
            <w:vAlign w:val="center"/>
            <w:hideMark/>
          </w:tcPr>
          <w:p w14:paraId="290CBEF7"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283" w:type="dxa"/>
            <w:vMerge/>
            <w:vAlign w:val="center"/>
            <w:hideMark/>
          </w:tcPr>
          <w:p w14:paraId="6906DEC6"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178" w:type="dxa"/>
            <w:vMerge/>
            <w:vAlign w:val="center"/>
            <w:hideMark/>
          </w:tcPr>
          <w:p w14:paraId="479D31FD"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105" w:type="dxa"/>
            <w:vMerge/>
            <w:vAlign w:val="center"/>
            <w:hideMark/>
          </w:tcPr>
          <w:p w14:paraId="74938B80" w14:textId="77777777" w:rsidR="00D640F7" w:rsidRPr="009D60E9" w:rsidRDefault="00D640F7" w:rsidP="00D640F7">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843" w:type="dxa"/>
            <w:vMerge/>
            <w:vAlign w:val="center"/>
            <w:hideMark/>
          </w:tcPr>
          <w:p w14:paraId="5B5BB079"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2106" w:type="dxa"/>
            <w:gridSpan w:val="3"/>
            <w:noWrap/>
            <w:vAlign w:val="center"/>
            <w:hideMark/>
          </w:tcPr>
          <w:p w14:paraId="7FEBA02E" w14:textId="1FC06FD6" w:rsidR="00D640F7" w:rsidRPr="009D60E9" w:rsidRDefault="00D640F7"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 no IKP</w:t>
            </w:r>
          </w:p>
        </w:tc>
      </w:tr>
      <w:tr w:rsidR="00D640F7" w:rsidRPr="009D60E9" w14:paraId="055AD38A" w14:textId="77777777" w:rsidTr="00D640F7">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2A56D746"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Solidaritātes nodokļa ieviešana</w:t>
            </w:r>
          </w:p>
        </w:tc>
        <w:tc>
          <w:tcPr>
            <w:tcW w:w="4959" w:type="dxa"/>
            <w:vAlign w:val="center"/>
            <w:hideMark/>
          </w:tcPr>
          <w:p w14:paraId="608D62E8" w14:textId="77777777" w:rsidR="00D640F7" w:rsidRPr="009D60E9"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Solidaritātes nodokļa piemērošana summai, kas pārsniedz valsts sociālās apdrošināšanas obligāto iemaksu noteikto apmēru</w:t>
            </w:r>
          </w:p>
        </w:tc>
        <w:tc>
          <w:tcPr>
            <w:tcW w:w="1283" w:type="dxa"/>
            <w:vAlign w:val="center"/>
            <w:hideMark/>
          </w:tcPr>
          <w:p w14:paraId="2B184D40"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IIN</w:t>
            </w:r>
          </w:p>
        </w:tc>
        <w:tc>
          <w:tcPr>
            <w:tcW w:w="1178" w:type="dxa"/>
            <w:vAlign w:val="center"/>
            <w:hideMark/>
          </w:tcPr>
          <w:p w14:paraId="5E586A76"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D.5</w:t>
            </w:r>
          </w:p>
        </w:tc>
        <w:tc>
          <w:tcPr>
            <w:tcW w:w="1105" w:type="dxa"/>
            <w:vAlign w:val="center"/>
            <w:hideMark/>
          </w:tcPr>
          <w:p w14:paraId="00F92563" w14:textId="07297944"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711BE562" w14:textId="41718AA1"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017DEACA" w14:textId="0E69AE1B"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-0,01</w:t>
            </w:r>
          </w:p>
        </w:tc>
        <w:tc>
          <w:tcPr>
            <w:tcW w:w="708" w:type="dxa"/>
            <w:vAlign w:val="center"/>
            <w:hideMark/>
          </w:tcPr>
          <w:p w14:paraId="56A4F251" w14:textId="17668721"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9" w:type="dxa"/>
            <w:vAlign w:val="center"/>
            <w:hideMark/>
          </w:tcPr>
          <w:p w14:paraId="10F0EA57" w14:textId="5D160A06"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53C9A31E" w14:textId="77777777" w:rsidTr="00D640F7">
        <w:trPr>
          <w:trHeight w:val="963"/>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08721700"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Darba ņēmēja un darba devēja pārskata mēneša minimālā valsts sociālās apdrošināšanas obligāto iemaksu objekta noteikšana</w:t>
            </w:r>
          </w:p>
        </w:tc>
        <w:tc>
          <w:tcPr>
            <w:tcW w:w="4959" w:type="dxa"/>
            <w:vAlign w:val="center"/>
            <w:hideMark/>
          </w:tcPr>
          <w:p w14:paraId="1BE90184" w14:textId="77777777" w:rsidR="00D640F7" w:rsidRPr="009D60E9"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 xml:space="preserve">Sākot ar 2017. gadu tiks noteikts darba ņēmēja un darba devēja pārskata mēneša minimālais valsts sociālās apdrošināšanas obligāto iemaksu objekts </w:t>
            </w:r>
          </w:p>
        </w:tc>
        <w:tc>
          <w:tcPr>
            <w:tcW w:w="1283" w:type="dxa"/>
            <w:vAlign w:val="center"/>
            <w:hideMark/>
          </w:tcPr>
          <w:p w14:paraId="54EBE65D"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IIN</w:t>
            </w:r>
          </w:p>
        </w:tc>
        <w:tc>
          <w:tcPr>
            <w:tcW w:w="1178" w:type="dxa"/>
            <w:vAlign w:val="center"/>
            <w:hideMark/>
          </w:tcPr>
          <w:p w14:paraId="78F16D93"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D.5</w:t>
            </w:r>
          </w:p>
        </w:tc>
        <w:tc>
          <w:tcPr>
            <w:tcW w:w="1105" w:type="dxa"/>
            <w:vAlign w:val="center"/>
            <w:hideMark/>
          </w:tcPr>
          <w:p w14:paraId="6105A0E7" w14:textId="5B4740B8"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2FFAAB8A" w14:textId="1FB713AC"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203A77EC" w14:textId="4F555C49"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8" w:type="dxa"/>
            <w:vAlign w:val="center"/>
            <w:hideMark/>
          </w:tcPr>
          <w:p w14:paraId="7E175B7E" w14:textId="6C6767B5"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0,02</w:t>
            </w:r>
          </w:p>
        </w:tc>
        <w:tc>
          <w:tcPr>
            <w:tcW w:w="709" w:type="dxa"/>
            <w:vAlign w:val="center"/>
            <w:hideMark/>
          </w:tcPr>
          <w:p w14:paraId="611DEAE8" w14:textId="3594C47C"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599E7685" w14:textId="77777777" w:rsidTr="00D640F7">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798391C2"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 xml:space="preserve">IIN atvieglojumu atcelšana par pilngadīgām un darbspējīgām personām (saglabājot atvieglojumu bērniem līdz 24 gadiem un sociāli jūtīgām grupām) </w:t>
            </w:r>
          </w:p>
        </w:tc>
        <w:tc>
          <w:tcPr>
            <w:tcW w:w="4959" w:type="dxa"/>
            <w:vAlign w:val="center"/>
            <w:hideMark/>
          </w:tcPr>
          <w:p w14:paraId="477BB3D7" w14:textId="77777777" w:rsidR="00D640F7" w:rsidRPr="009D60E9"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 xml:space="preserve">IIN atvieglojumu atcelšana par pilngadīgām un darbspējīgām personām (saglabājot atvieglojumu bērniem līdz 24 gadiem un sociāli jūtīgām grupām) </w:t>
            </w:r>
          </w:p>
        </w:tc>
        <w:tc>
          <w:tcPr>
            <w:tcW w:w="1283" w:type="dxa"/>
            <w:vAlign w:val="center"/>
            <w:hideMark/>
          </w:tcPr>
          <w:p w14:paraId="6FAF1C63"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IIN</w:t>
            </w:r>
          </w:p>
        </w:tc>
        <w:tc>
          <w:tcPr>
            <w:tcW w:w="1178" w:type="dxa"/>
            <w:vAlign w:val="center"/>
            <w:hideMark/>
          </w:tcPr>
          <w:p w14:paraId="2BE107A3"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D.5</w:t>
            </w:r>
          </w:p>
        </w:tc>
        <w:tc>
          <w:tcPr>
            <w:tcW w:w="1105" w:type="dxa"/>
            <w:vAlign w:val="center"/>
            <w:hideMark/>
          </w:tcPr>
          <w:p w14:paraId="72EED3D9" w14:textId="0228B80C"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4F4231A7" w14:textId="6E1CAA0D"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203272C4" w14:textId="42784FC0"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0,08</w:t>
            </w:r>
          </w:p>
        </w:tc>
        <w:tc>
          <w:tcPr>
            <w:tcW w:w="708" w:type="dxa"/>
            <w:vAlign w:val="center"/>
            <w:hideMark/>
          </w:tcPr>
          <w:p w14:paraId="4A699A20" w14:textId="18B9B2A5"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9" w:type="dxa"/>
            <w:vAlign w:val="center"/>
            <w:hideMark/>
          </w:tcPr>
          <w:p w14:paraId="504A9E0F" w14:textId="58283DE0"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5023D810" w14:textId="77777777" w:rsidTr="00D640F7">
        <w:trPr>
          <w:trHeight w:val="541"/>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2F35BAB0"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 xml:space="preserve">Mēneša neapliekamā minimuma palielināšana par 10 </w:t>
            </w:r>
            <w:r w:rsidRPr="009D60E9">
              <w:rPr>
                <w:rFonts w:cs="Times New Roman"/>
                <w:b w:val="0"/>
                <w:i/>
                <w:color w:val="auto"/>
                <w:sz w:val="20"/>
                <w:szCs w:val="20"/>
                <w:lang w:eastAsia="lv-LV"/>
              </w:rPr>
              <w:t>euro</w:t>
            </w:r>
          </w:p>
        </w:tc>
        <w:tc>
          <w:tcPr>
            <w:tcW w:w="4959" w:type="dxa"/>
            <w:vAlign w:val="center"/>
            <w:hideMark/>
          </w:tcPr>
          <w:p w14:paraId="3B47BAC5" w14:textId="77777777" w:rsidR="00D640F7" w:rsidRPr="009D60E9"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 xml:space="preserve">Mēneša neapliekamā minimuma palielināšana par 10 </w:t>
            </w:r>
            <w:r w:rsidRPr="009D60E9">
              <w:rPr>
                <w:rFonts w:cs="Times New Roman"/>
                <w:i/>
                <w:color w:val="auto"/>
                <w:sz w:val="20"/>
                <w:szCs w:val="20"/>
                <w:lang w:eastAsia="lv-LV"/>
              </w:rPr>
              <w:t>euro</w:t>
            </w:r>
            <w:r w:rsidRPr="009D60E9">
              <w:rPr>
                <w:rFonts w:cs="Times New Roman"/>
                <w:color w:val="auto"/>
                <w:sz w:val="20"/>
                <w:szCs w:val="20"/>
                <w:lang w:eastAsia="lv-LV"/>
              </w:rPr>
              <w:t xml:space="preserve"> (no 75 </w:t>
            </w:r>
            <w:r w:rsidRPr="009D60E9">
              <w:rPr>
                <w:rFonts w:cs="Times New Roman"/>
                <w:i/>
                <w:color w:val="auto"/>
                <w:sz w:val="20"/>
                <w:szCs w:val="20"/>
                <w:lang w:eastAsia="lv-LV"/>
              </w:rPr>
              <w:t>euro</w:t>
            </w:r>
            <w:r w:rsidRPr="009D60E9">
              <w:rPr>
                <w:rFonts w:cs="Times New Roman"/>
                <w:color w:val="auto"/>
                <w:sz w:val="20"/>
                <w:szCs w:val="20"/>
                <w:lang w:eastAsia="lv-LV"/>
              </w:rPr>
              <w:t xml:space="preserve"> līdz 85 </w:t>
            </w:r>
            <w:r w:rsidRPr="009D60E9">
              <w:rPr>
                <w:rFonts w:cs="Times New Roman"/>
                <w:i/>
                <w:color w:val="auto"/>
                <w:sz w:val="20"/>
                <w:szCs w:val="20"/>
                <w:lang w:eastAsia="lv-LV"/>
              </w:rPr>
              <w:t>euro</w:t>
            </w:r>
            <w:r w:rsidRPr="009D60E9">
              <w:rPr>
                <w:rFonts w:cs="Times New Roman"/>
                <w:color w:val="auto"/>
                <w:sz w:val="20"/>
                <w:szCs w:val="20"/>
                <w:lang w:eastAsia="lv-LV"/>
              </w:rPr>
              <w:t>)</w:t>
            </w:r>
          </w:p>
        </w:tc>
        <w:tc>
          <w:tcPr>
            <w:tcW w:w="1283" w:type="dxa"/>
            <w:vAlign w:val="center"/>
            <w:hideMark/>
          </w:tcPr>
          <w:p w14:paraId="49D4E052"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IIN</w:t>
            </w:r>
          </w:p>
        </w:tc>
        <w:tc>
          <w:tcPr>
            <w:tcW w:w="1178" w:type="dxa"/>
            <w:vAlign w:val="center"/>
            <w:hideMark/>
          </w:tcPr>
          <w:p w14:paraId="06AE91F1"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D.5</w:t>
            </w:r>
          </w:p>
        </w:tc>
        <w:tc>
          <w:tcPr>
            <w:tcW w:w="1105" w:type="dxa"/>
            <w:vAlign w:val="center"/>
            <w:hideMark/>
          </w:tcPr>
          <w:p w14:paraId="72219075" w14:textId="1ED6AD08"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0CAFC467" w14:textId="1754EA79"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124FF830" w14:textId="505A9DCC"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-0,05</w:t>
            </w:r>
          </w:p>
        </w:tc>
        <w:tc>
          <w:tcPr>
            <w:tcW w:w="708" w:type="dxa"/>
            <w:vAlign w:val="center"/>
            <w:hideMark/>
          </w:tcPr>
          <w:p w14:paraId="20F11079" w14:textId="0AF30AF2"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9" w:type="dxa"/>
            <w:vAlign w:val="center"/>
            <w:hideMark/>
          </w:tcPr>
          <w:p w14:paraId="5B11ACED" w14:textId="3E73BB1D"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6C3B3362" w14:textId="77777777" w:rsidTr="00D640F7">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0A24C119"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 xml:space="preserve">Minimālās mēneša darba algas palielināšana no 360 uz 370 </w:t>
            </w:r>
            <w:r w:rsidRPr="009D60E9">
              <w:rPr>
                <w:rFonts w:cs="Times New Roman"/>
                <w:b w:val="0"/>
                <w:i/>
                <w:color w:val="auto"/>
                <w:sz w:val="20"/>
                <w:szCs w:val="20"/>
                <w:lang w:eastAsia="lv-LV"/>
              </w:rPr>
              <w:t>euro</w:t>
            </w:r>
          </w:p>
        </w:tc>
        <w:tc>
          <w:tcPr>
            <w:tcW w:w="4959" w:type="dxa"/>
            <w:vAlign w:val="center"/>
            <w:hideMark/>
          </w:tcPr>
          <w:p w14:paraId="3F10830C" w14:textId="77777777" w:rsidR="00D640F7" w:rsidRPr="009D60E9"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 xml:space="preserve">Minimālās mēneša darba algas palielināšana no 360 uz 370 </w:t>
            </w:r>
            <w:r w:rsidRPr="009D60E9">
              <w:rPr>
                <w:rFonts w:cs="Times New Roman"/>
                <w:i/>
                <w:color w:val="auto"/>
                <w:sz w:val="20"/>
                <w:szCs w:val="20"/>
                <w:lang w:eastAsia="lv-LV"/>
              </w:rPr>
              <w:t>euro</w:t>
            </w:r>
          </w:p>
        </w:tc>
        <w:tc>
          <w:tcPr>
            <w:tcW w:w="1283" w:type="dxa"/>
            <w:vAlign w:val="center"/>
            <w:hideMark/>
          </w:tcPr>
          <w:p w14:paraId="77802837"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IIN</w:t>
            </w:r>
          </w:p>
        </w:tc>
        <w:tc>
          <w:tcPr>
            <w:tcW w:w="1178" w:type="dxa"/>
            <w:vAlign w:val="center"/>
            <w:hideMark/>
          </w:tcPr>
          <w:p w14:paraId="0A93C36A"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D.5</w:t>
            </w:r>
          </w:p>
        </w:tc>
        <w:tc>
          <w:tcPr>
            <w:tcW w:w="1105" w:type="dxa"/>
            <w:vAlign w:val="center"/>
            <w:hideMark/>
          </w:tcPr>
          <w:p w14:paraId="61BC6FAE" w14:textId="4AC0342A"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15154C91" w14:textId="249589E2"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6720F5B7" w14:textId="797476EB"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0,01</w:t>
            </w:r>
          </w:p>
        </w:tc>
        <w:tc>
          <w:tcPr>
            <w:tcW w:w="708" w:type="dxa"/>
            <w:vAlign w:val="center"/>
            <w:hideMark/>
          </w:tcPr>
          <w:p w14:paraId="767F52EE" w14:textId="059337D3"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9" w:type="dxa"/>
            <w:vAlign w:val="center"/>
            <w:hideMark/>
          </w:tcPr>
          <w:p w14:paraId="0D9D726B" w14:textId="28E48D03"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434EEFBB" w14:textId="77777777" w:rsidTr="00D640F7">
        <w:trPr>
          <w:trHeight w:val="415"/>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362F1F81"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Diferencētā neapliekamā minimuma ieviešana</w:t>
            </w:r>
          </w:p>
        </w:tc>
        <w:tc>
          <w:tcPr>
            <w:tcW w:w="4959" w:type="dxa"/>
            <w:vAlign w:val="center"/>
            <w:hideMark/>
          </w:tcPr>
          <w:p w14:paraId="48D856BA" w14:textId="77777777" w:rsidR="00D640F7" w:rsidRPr="009D60E9"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Diferencētā neapliekamā minimuma ieviešana</w:t>
            </w:r>
          </w:p>
        </w:tc>
        <w:tc>
          <w:tcPr>
            <w:tcW w:w="1283" w:type="dxa"/>
            <w:vAlign w:val="center"/>
            <w:hideMark/>
          </w:tcPr>
          <w:p w14:paraId="2E84069F"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IIN</w:t>
            </w:r>
          </w:p>
        </w:tc>
        <w:tc>
          <w:tcPr>
            <w:tcW w:w="1178" w:type="dxa"/>
            <w:vAlign w:val="center"/>
            <w:hideMark/>
          </w:tcPr>
          <w:p w14:paraId="19FECE91"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D.5</w:t>
            </w:r>
          </w:p>
        </w:tc>
        <w:tc>
          <w:tcPr>
            <w:tcW w:w="1105" w:type="dxa"/>
            <w:vAlign w:val="center"/>
            <w:hideMark/>
          </w:tcPr>
          <w:p w14:paraId="5F474B1E" w14:textId="2BF813F2"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4D19B1D0" w14:textId="3C0A12F6"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3EBCE0EE" w14:textId="72CD4DA6"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8" w:type="dxa"/>
            <w:vAlign w:val="center"/>
            <w:hideMark/>
          </w:tcPr>
          <w:p w14:paraId="6F0DDF47" w14:textId="3BD48883"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0,02</w:t>
            </w:r>
          </w:p>
        </w:tc>
        <w:tc>
          <w:tcPr>
            <w:tcW w:w="709" w:type="dxa"/>
            <w:vAlign w:val="center"/>
            <w:hideMark/>
          </w:tcPr>
          <w:p w14:paraId="023B9850" w14:textId="237E189C"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0,02</w:t>
            </w:r>
          </w:p>
        </w:tc>
      </w:tr>
      <w:tr w:rsidR="00D640F7" w:rsidRPr="009D60E9" w14:paraId="2E029B2E" w14:textId="77777777" w:rsidTr="00D640F7">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47FE1D1C"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Lauku zemes speciālās vērtības pieauguma ierobežošana</w:t>
            </w:r>
          </w:p>
        </w:tc>
        <w:tc>
          <w:tcPr>
            <w:tcW w:w="4959" w:type="dxa"/>
            <w:vAlign w:val="center"/>
            <w:hideMark/>
          </w:tcPr>
          <w:p w14:paraId="7AAF91C9" w14:textId="77777777" w:rsidR="00D640F7" w:rsidRPr="009D60E9"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No 2016. līdz 2020.gadam tiks noteikts, ka speciālās vērtības nekustamā īpašuma nodokļa vajadzībām pieaugums lauku zemēm nepārsniegs 20 procentus no iepriekšējā gadā zemes vienībai aprēķinātās speciālās vērtības nekustamā īpašuma nodokļa vajadzībām</w:t>
            </w:r>
          </w:p>
        </w:tc>
        <w:tc>
          <w:tcPr>
            <w:tcW w:w="1283" w:type="dxa"/>
            <w:vAlign w:val="center"/>
            <w:hideMark/>
          </w:tcPr>
          <w:p w14:paraId="3C78CB53"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NĪN</w:t>
            </w:r>
          </w:p>
        </w:tc>
        <w:tc>
          <w:tcPr>
            <w:tcW w:w="1178" w:type="dxa"/>
            <w:vAlign w:val="center"/>
            <w:hideMark/>
          </w:tcPr>
          <w:p w14:paraId="011CFA03"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D.29</w:t>
            </w:r>
          </w:p>
        </w:tc>
        <w:tc>
          <w:tcPr>
            <w:tcW w:w="1105" w:type="dxa"/>
            <w:vAlign w:val="center"/>
            <w:hideMark/>
          </w:tcPr>
          <w:p w14:paraId="4FAFE3CF" w14:textId="1C2653EE"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29C3682C" w14:textId="0047AA52"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2AACD423" w14:textId="51A06564"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-0,01</w:t>
            </w:r>
          </w:p>
        </w:tc>
        <w:tc>
          <w:tcPr>
            <w:tcW w:w="708" w:type="dxa"/>
            <w:vAlign w:val="center"/>
            <w:hideMark/>
          </w:tcPr>
          <w:p w14:paraId="43531942" w14:textId="7479B703"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9" w:type="dxa"/>
            <w:vAlign w:val="center"/>
            <w:hideMark/>
          </w:tcPr>
          <w:p w14:paraId="65FCCAF2" w14:textId="44B8DC03"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5693E208" w14:textId="77777777" w:rsidTr="00D640F7">
        <w:trPr>
          <w:trHeight w:val="689"/>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3507F174" w14:textId="77777777" w:rsidR="00D640F7" w:rsidRPr="009D60E9" w:rsidRDefault="00D640F7" w:rsidP="00D640F7">
            <w:pPr>
              <w:spacing w:after="0"/>
              <w:ind w:firstLine="0"/>
              <w:rPr>
                <w:rFonts w:cs="Times New Roman"/>
                <w:b w:val="0"/>
                <w:color w:val="auto"/>
                <w:sz w:val="20"/>
                <w:szCs w:val="20"/>
                <w:lang w:eastAsia="lv-LV"/>
              </w:rPr>
            </w:pPr>
            <w:r w:rsidRPr="009D60E9">
              <w:rPr>
                <w:rFonts w:cs="Times New Roman"/>
                <w:b w:val="0"/>
                <w:color w:val="auto"/>
                <w:sz w:val="20"/>
                <w:szCs w:val="20"/>
                <w:lang w:eastAsia="lv-LV"/>
              </w:rPr>
              <w:t>Iedzīvotāju ienākuma nodokļa likmes saglabāšana 2015. gada līmenī</w:t>
            </w:r>
          </w:p>
        </w:tc>
        <w:tc>
          <w:tcPr>
            <w:tcW w:w="4959" w:type="dxa"/>
            <w:vAlign w:val="center"/>
            <w:hideMark/>
          </w:tcPr>
          <w:p w14:paraId="0CC6BC65" w14:textId="77777777" w:rsidR="00D640F7" w:rsidRPr="009D60E9"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Iedzīvotāju ienākuma nodokļa likmes saglabāšana 2015. gada līmenī 23% apmērā</w:t>
            </w:r>
          </w:p>
        </w:tc>
        <w:tc>
          <w:tcPr>
            <w:tcW w:w="1283" w:type="dxa"/>
            <w:vAlign w:val="center"/>
            <w:hideMark/>
          </w:tcPr>
          <w:p w14:paraId="3F362C95"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IIN</w:t>
            </w:r>
          </w:p>
        </w:tc>
        <w:tc>
          <w:tcPr>
            <w:tcW w:w="1178" w:type="dxa"/>
            <w:vAlign w:val="center"/>
            <w:hideMark/>
          </w:tcPr>
          <w:p w14:paraId="1C592B52" w14:textId="77777777"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D.5</w:t>
            </w:r>
          </w:p>
        </w:tc>
        <w:tc>
          <w:tcPr>
            <w:tcW w:w="1105" w:type="dxa"/>
            <w:vAlign w:val="center"/>
            <w:hideMark/>
          </w:tcPr>
          <w:p w14:paraId="23DF9E71" w14:textId="7DEE65D6"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54CE0AA0" w14:textId="21932D74"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hideMark/>
          </w:tcPr>
          <w:p w14:paraId="2C7AA3FE" w14:textId="7D8D00BB"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0,19</w:t>
            </w:r>
          </w:p>
        </w:tc>
        <w:tc>
          <w:tcPr>
            <w:tcW w:w="708" w:type="dxa"/>
            <w:vAlign w:val="center"/>
            <w:hideMark/>
          </w:tcPr>
          <w:p w14:paraId="77F2041D" w14:textId="25620158"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0,00</w:t>
            </w:r>
          </w:p>
        </w:tc>
        <w:tc>
          <w:tcPr>
            <w:tcW w:w="709" w:type="dxa"/>
            <w:vAlign w:val="center"/>
            <w:hideMark/>
          </w:tcPr>
          <w:p w14:paraId="1A94B942" w14:textId="434834A6" w:rsidR="00D640F7" w:rsidRPr="009D60E9" w:rsidRDefault="00D640F7"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6F97A3ED" w14:textId="77777777" w:rsidTr="00D640F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2F2AD6A" w14:textId="71C3CA36" w:rsidR="00D640F7" w:rsidRPr="009D60E9" w:rsidRDefault="00D640F7" w:rsidP="00D640F7">
            <w:pPr>
              <w:spacing w:after="0"/>
              <w:ind w:firstLine="0"/>
              <w:rPr>
                <w:b w:val="0"/>
                <w:sz w:val="20"/>
                <w:lang w:eastAsia="lv-LV"/>
              </w:rPr>
            </w:pPr>
            <w:r w:rsidRPr="004126AC">
              <w:rPr>
                <w:rFonts w:cs="Times New Roman"/>
                <w:b w:val="0"/>
                <w:color w:val="auto"/>
                <w:sz w:val="20"/>
                <w:szCs w:val="20"/>
                <w:lang w:eastAsia="lv-LV"/>
              </w:rPr>
              <w:t>Pārējie pasākumi kopā</w:t>
            </w:r>
          </w:p>
        </w:tc>
        <w:tc>
          <w:tcPr>
            <w:tcW w:w="4959" w:type="dxa"/>
            <w:vAlign w:val="center"/>
          </w:tcPr>
          <w:p w14:paraId="22F382EB" w14:textId="77777777" w:rsidR="00D640F7" w:rsidRPr="009D60E9" w:rsidRDefault="00D640F7" w:rsidP="00D640F7">
            <w:pPr>
              <w:spacing w:after="0"/>
              <w:ind w:firstLine="0"/>
              <w:cnfStyle w:val="000000100000" w:firstRow="0" w:lastRow="0" w:firstColumn="0" w:lastColumn="0" w:oddVBand="0" w:evenVBand="0" w:oddHBand="1" w:evenHBand="0" w:firstRowFirstColumn="0" w:firstRowLastColumn="0" w:lastRowFirstColumn="0" w:lastRowLastColumn="0"/>
              <w:rPr>
                <w:sz w:val="20"/>
                <w:lang w:eastAsia="lv-LV"/>
              </w:rPr>
            </w:pPr>
          </w:p>
        </w:tc>
        <w:tc>
          <w:tcPr>
            <w:tcW w:w="1283" w:type="dxa"/>
            <w:vAlign w:val="center"/>
          </w:tcPr>
          <w:p w14:paraId="72F228D1"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178" w:type="dxa"/>
            <w:vAlign w:val="center"/>
          </w:tcPr>
          <w:p w14:paraId="4F14C3A6" w14:textId="77777777"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105" w:type="dxa"/>
            <w:vAlign w:val="center"/>
          </w:tcPr>
          <w:p w14:paraId="6AA29C88" w14:textId="66111874"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D55E8">
              <w:rPr>
                <w:rFonts w:cs="Times New Roman"/>
                <w:color w:val="auto"/>
                <w:sz w:val="20"/>
                <w:szCs w:val="20"/>
                <w:lang w:eastAsia="lv-LV"/>
              </w:rPr>
              <w:t>Uzkrājuma</w:t>
            </w:r>
          </w:p>
        </w:tc>
        <w:tc>
          <w:tcPr>
            <w:tcW w:w="1843" w:type="dxa"/>
            <w:vAlign w:val="center"/>
          </w:tcPr>
          <w:p w14:paraId="7B5BF674" w14:textId="1574624C" w:rsidR="00D640F7" w:rsidRPr="00EE09CC"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689" w:type="dxa"/>
            <w:vAlign w:val="center"/>
          </w:tcPr>
          <w:p w14:paraId="120AB34F" w14:textId="66EBF336" w:rsidR="00D640F7"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Pr>
                <w:rFonts w:cs="Times New Roman"/>
                <w:color w:val="auto"/>
                <w:sz w:val="20"/>
                <w:szCs w:val="20"/>
                <w:lang w:eastAsia="lv-LV"/>
              </w:rPr>
              <w:t>0,00</w:t>
            </w:r>
          </w:p>
        </w:tc>
        <w:tc>
          <w:tcPr>
            <w:tcW w:w="708" w:type="dxa"/>
            <w:vAlign w:val="center"/>
          </w:tcPr>
          <w:p w14:paraId="3F8D9838" w14:textId="04DE4F2A" w:rsidR="00D640F7" w:rsidRPr="009D60E9"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Pr>
                <w:rFonts w:cs="Times New Roman"/>
                <w:color w:val="auto"/>
                <w:sz w:val="20"/>
                <w:szCs w:val="20"/>
                <w:lang w:eastAsia="lv-LV"/>
              </w:rPr>
              <w:t>0,00</w:t>
            </w:r>
          </w:p>
        </w:tc>
        <w:tc>
          <w:tcPr>
            <w:tcW w:w="709" w:type="dxa"/>
            <w:vAlign w:val="center"/>
          </w:tcPr>
          <w:p w14:paraId="361570DD" w14:textId="5F8FAAFD" w:rsidR="00D640F7" w:rsidRDefault="00D640F7"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Pr>
                <w:rFonts w:cs="Times New Roman"/>
                <w:color w:val="auto"/>
                <w:sz w:val="20"/>
                <w:szCs w:val="20"/>
                <w:lang w:eastAsia="lv-LV"/>
              </w:rPr>
              <w:t>0,00</w:t>
            </w:r>
          </w:p>
        </w:tc>
      </w:tr>
      <w:tr w:rsidR="004126AC" w:rsidRPr="009D60E9" w14:paraId="114D3113" w14:textId="77777777" w:rsidTr="00D640F7">
        <w:trPr>
          <w:trHeight w:val="127"/>
        </w:trPr>
        <w:tc>
          <w:tcPr>
            <w:cnfStyle w:val="001000000000" w:firstRow="0" w:lastRow="0" w:firstColumn="1" w:lastColumn="0" w:oddVBand="0" w:evenVBand="0" w:oddHBand="0" w:evenHBand="0" w:firstRowFirstColumn="0" w:firstRowLastColumn="0" w:lastRowFirstColumn="0" w:lastRowLastColumn="0"/>
            <w:tcW w:w="13487" w:type="dxa"/>
            <w:gridSpan w:val="6"/>
            <w:noWrap/>
            <w:vAlign w:val="center"/>
            <w:hideMark/>
          </w:tcPr>
          <w:p w14:paraId="146D687E" w14:textId="209A0C86" w:rsidR="004126AC" w:rsidRPr="009D60E9" w:rsidRDefault="004126AC" w:rsidP="00D640F7">
            <w:pPr>
              <w:spacing w:after="0"/>
              <w:jc w:val="right"/>
              <w:rPr>
                <w:rFonts w:cs="Times New Roman"/>
                <w:color w:val="auto"/>
                <w:sz w:val="20"/>
                <w:szCs w:val="20"/>
                <w:lang w:eastAsia="lv-LV"/>
              </w:rPr>
            </w:pPr>
            <w:r>
              <w:rPr>
                <w:rFonts w:cs="Times New Roman"/>
                <w:color w:val="auto"/>
                <w:sz w:val="20"/>
                <w:szCs w:val="20"/>
                <w:lang w:eastAsia="lv-LV"/>
              </w:rPr>
              <w:t>Kopā</w:t>
            </w:r>
          </w:p>
        </w:tc>
        <w:tc>
          <w:tcPr>
            <w:tcW w:w="689" w:type="dxa"/>
            <w:vAlign w:val="center"/>
            <w:hideMark/>
          </w:tcPr>
          <w:p w14:paraId="53924E83" w14:textId="2D56BD7B" w:rsidR="004126AC" w:rsidRPr="009D60E9" w:rsidRDefault="004126AC" w:rsidP="004126AC">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0,20</w:t>
            </w:r>
          </w:p>
        </w:tc>
        <w:tc>
          <w:tcPr>
            <w:tcW w:w="708" w:type="dxa"/>
            <w:vAlign w:val="center"/>
            <w:hideMark/>
          </w:tcPr>
          <w:p w14:paraId="2EDAD39A" w14:textId="5DB8E3AD" w:rsidR="004126AC" w:rsidRPr="009D60E9" w:rsidRDefault="004126AC" w:rsidP="004126AC">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sidRPr="009D60E9">
              <w:rPr>
                <w:rFonts w:cs="Times New Roman"/>
                <w:b/>
                <w:bCs/>
                <w:color w:val="auto"/>
                <w:sz w:val="20"/>
                <w:szCs w:val="20"/>
                <w:lang w:eastAsia="lv-LV"/>
              </w:rPr>
              <w:t>0,04</w:t>
            </w:r>
          </w:p>
        </w:tc>
        <w:tc>
          <w:tcPr>
            <w:tcW w:w="709" w:type="dxa"/>
            <w:vAlign w:val="center"/>
            <w:hideMark/>
          </w:tcPr>
          <w:p w14:paraId="1BF496E3" w14:textId="0001BCE9" w:rsidR="004126AC" w:rsidRPr="009D60E9" w:rsidRDefault="004126AC" w:rsidP="004126AC">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0,02</w:t>
            </w:r>
          </w:p>
        </w:tc>
      </w:tr>
    </w:tbl>
    <w:p w14:paraId="0772354D" w14:textId="77777777" w:rsidR="00314FA1" w:rsidRPr="00314FA1" w:rsidRDefault="00314FA1" w:rsidP="00314FA1">
      <w:pPr>
        <w:rPr>
          <w:lang w:eastAsia="x-none"/>
        </w:rPr>
        <w:sectPr w:rsidR="00314FA1" w:rsidRPr="00314FA1" w:rsidSect="00BA3AA7">
          <w:pgSz w:w="16838" w:h="11906" w:orient="landscape"/>
          <w:pgMar w:top="1701" w:right="1418" w:bottom="1134" w:left="709" w:header="1077" w:footer="624" w:gutter="0"/>
          <w:cols w:space="708"/>
          <w:docGrid w:linePitch="360"/>
        </w:sectPr>
      </w:pPr>
    </w:p>
    <w:p w14:paraId="413EB0DB" w14:textId="77777777" w:rsidR="00375924" w:rsidRPr="001D5709" w:rsidRDefault="00375924" w:rsidP="0001052E">
      <w:pPr>
        <w:pStyle w:val="Heading1"/>
        <w:tabs>
          <w:tab w:val="left" w:pos="1276"/>
        </w:tabs>
        <w:spacing w:before="0" w:after="240"/>
        <w:ind w:left="1276" w:hanging="1276"/>
        <w:jc w:val="left"/>
        <w:rPr>
          <w:rFonts w:ascii="Times New Roman" w:hAnsi="Times New Roman"/>
          <w:color w:val="18185F"/>
          <w:sz w:val="24"/>
        </w:rPr>
      </w:pPr>
      <w:bookmarkStart w:id="25" w:name="_Toc431197099"/>
      <w:r w:rsidRPr="001D5709">
        <w:rPr>
          <w:rFonts w:ascii="Times New Roman" w:hAnsi="Times New Roman"/>
          <w:color w:val="18185F"/>
          <w:sz w:val="24"/>
        </w:rPr>
        <w:t>Tabula 6.a: Valstu specifiskās rekomendācijas</w:t>
      </w:r>
      <w:bookmarkEnd w:id="25"/>
    </w:p>
    <w:tbl>
      <w:tblPr>
        <w:tblStyle w:val="GridTable6Colorful-Accent11"/>
        <w:tblW w:w="15446" w:type="dxa"/>
        <w:tblLook w:val="04A0" w:firstRow="1" w:lastRow="0" w:firstColumn="1" w:lastColumn="0" w:noHBand="0" w:noVBand="1"/>
      </w:tblPr>
      <w:tblGrid>
        <w:gridCol w:w="562"/>
        <w:gridCol w:w="2694"/>
        <w:gridCol w:w="12190"/>
      </w:tblGrid>
      <w:tr w:rsidR="00D251AD" w:rsidRPr="00EA6D80" w14:paraId="019EDB79" w14:textId="77777777" w:rsidTr="00D64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D139807" w14:textId="3E702830" w:rsidR="00D251AD" w:rsidRPr="00EA6D80" w:rsidRDefault="00D251AD" w:rsidP="00D27E4E">
            <w:pPr>
              <w:spacing w:after="0"/>
              <w:ind w:left="-5" w:firstLine="0"/>
              <w:jc w:val="center"/>
              <w:rPr>
                <w:b w:val="0"/>
                <w:color w:val="auto"/>
                <w:sz w:val="22"/>
                <w:szCs w:val="22"/>
              </w:rPr>
            </w:pPr>
            <w:r w:rsidRPr="00EA6D80">
              <w:rPr>
                <w:color w:val="auto"/>
                <w:sz w:val="22"/>
                <w:szCs w:val="22"/>
              </w:rPr>
              <w:t>Nr.</w:t>
            </w:r>
          </w:p>
        </w:tc>
        <w:tc>
          <w:tcPr>
            <w:tcW w:w="2694" w:type="dxa"/>
            <w:vAlign w:val="center"/>
          </w:tcPr>
          <w:p w14:paraId="13BC0F8D" w14:textId="77777777" w:rsidR="00D251AD" w:rsidRPr="00EA6D80" w:rsidRDefault="00D251A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EA6D80">
              <w:rPr>
                <w:color w:val="auto"/>
                <w:sz w:val="22"/>
                <w:szCs w:val="22"/>
              </w:rPr>
              <w:t>Pasākumi</w:t>
            </w:r>
          </w:p>
        </w:tc>
        <w:tc>
          <w:tcPr>
            <w:tcW w:w="12190" w:type="dxa"/>
            <w:vAlign w:val="center"/>
          </w:tcPr>
          <w:p w14:paraId="30AD40E2" w14:textId="77777777" w:rsidR="00D251AD" w:rsidRPr="00EA6D80" w:rsidRDefault="00D251AD" w:rsidP="00D27E4E">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EA6D80">
              <w:rPr>
                <w:color w:val="auto"/>
                <w:sz w:val="22"/>
                <w:szCs w:val="22"/>
              </w:rPr>
              <w:t>Apraksts</w:t>
            </w:r>
          </w:p>
        </w:tc>
      </w:tr>
      <w:tr w:rsidR="00D251AD" w:rsidRPr="00EA6D80" w14:paraId="0E172D01"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6565B5E" w14:textId="77777777" w:rsidR="00D251AD" w:rsidRPr="00EA6D80" w:rsidRDefault="00D251AD" w:rsidP="00945E73">
            <w:pPr>
              <w:ind w:firstLine="0"/>
              <w:jc w:val="center"/>
              <w:rPr>
                <w:color w:val="auto"/>
                <w:sz w:val="22"/>
                <w:szCs w:val="22"/>
              </w:rPr>
            </w:pPr>
            <w:r w:rsidRPr="00EA6D80">
              <w:rPr>
                <w:color w:val="auto"/>
                <w:sz w:val="22"/>
                <w:szCs w:val="22"/>
              </w:rPr>
              <w:t>1</w:t>
            </w:r>
          </w:p>
        </w:tc>
        <w:tc>
          <w:tcPr>
            <w:tcW w:w="2694" w:type="dxa"/>
          </w:tcPr>
          <w:p w14:paraId="79FBF7A4" w14:textId="27FBCBBF" w:rsidR="00D251AD" w:rsidRPr="00EA6D80" w:rsidRDefault="006652F3" w:rsidP="00945E73">
            <w:pPr>
              <w:ind w:firstLine="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Nodrošināt, ka novirze no vidē</w:t>
            </w:r>
            <w:r w:rsidR="003A63D1" w:rsidRPr="00EA6D80">
              <w:rPr>
                <w:color w:val="auto"/>
                <w:sz w:val="22"/>
                <w:szCs w:val="22"/>
              </w:rPr>
              <w:t>ja termiņa mērķa 2015. un 2016.</w:t>
            </w:r>
            <w:r w:rsidRPr="00EA6D80">
              <w:rPr>
                <w:color w:val="auto"/>
                <w:sz w:val="22"/>
                <w:szCs w:val="22"/>
              </w:rPr>
              <w:t>gadā atspoguļo vienīgi pielaidi, kas saistīta ar sistēmisko pensiju reformu.</w:t>
            </w:r>
          </w:p>
        </w:tc>
        <w:tc>
          <w:tcPr>
            <w:tcW w:w="12190" w:type="dxa"/>
          </w:tcPr>
          <w:p w14:paraId="12805F8C" w14:textId="7B128BFC" w:rsidR="006E082F" w:rsidRPr="007005BE" w:rsidRDefault="00C10497" w:rsidP="007005BE">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005BE">
              <w:rPr>
                <w:color w:val="000000" w:themeColor="text1"/>
                <w:sz w:val="22"/>
                <w:szCs w:val="22"/>
              </w:rPr>
              <w:t>2015.gada vispārējās valdības budžeta deficīts tiek p</w:t>
            </w:r>
            <w:r w:rsidR="006E082F" w:rsidRPr="007005BE">
              <w:rPr>
                <w:color w:val="000000" w:themeColor="text1"/>
                <w:sz w:val="22"/>
                <w:szCs w:val="22"/>
              </w:rPr>
              <w:t>rognozēts 1,4% no IKP, kas par 0,4</w:t>
            </w:r>
            <w:r w:rsidRPr="007005BE">
              <w:rPr>
                <w:color w:val="000000" w:themeColor="text1"/>
                <w:sz w:val="22"/>
                <w:szCs w:val="22"/>
              </w:rPr>
              <w:t>% pārsniedz likumā „Par vidēja termi</w:t>
            </w:r>
            <w:r w:rsidR="00AF6A14" w:rsidRPr="007005BE">
              <w:rPr>
                <w:color w:val="000000" w:themeColor="text1"/>
                <w:sz w:val="22"/>
                <w:szCs w:val="22"/>
              </w:rPr>
              <w:t>ņa budž</w:t>
            </w:r>
            <w:r w:rsidRPr="007005BE">
              <w:rPr>
                <w:color w:val="000000" w:themeColor="text1"/>
                <w:sz w:val="22"/>
                <w:szCs w:val="22"/>
              </w:rPr>
              <w:t>eta</w:t>
            </w:r>
            <w:r w:rsidR="00AF6A14" w:rsidRPr="007005BE">
              <w:rPr>
                <w:color w:val="000000" w:themeColor="text1"/>
                <w:sz w:val="22"/>
                <w:szCs w:val="22"/>
              </w:rPr>
              <w:t xml:space="preserve"> ietvaru 2015., 2016. un 2017.gadam</w:t>
            </w:r>
            <w:r w:rsidRPr="007005BE">
              <w:rPr>
                <w:color w:val="000000" w:themeColor="text1"/>
                <w:sz w:val="22"/>
                <w:szCs w:val="22"/>
              </w:rPr>
              <w:t>”</w:t>
            </w:r>
            <w:r w:rsidR="00AF6A14" w:rsidRPr="007005BE">
              <w:rPr>
                <w:color w:val="000000" w:themeColor="text1"/>
                <w:sz w:val="22"/>
                <w:szCs w:val="22"/>
              </w:rPr>
              <w:t xml:space="preserve"> prognozēto vērtību.</w:t>
            </w:r>
            <w:r w:rsidR="006E082F" w:rsidRPr="007005BE">
              <w:rPr>
                <w:color w:val="000000" w:themeColor="text1"/>
                <w:sz w:val="22"/>
                <w:szCs w:val="22"/>
              </w:rPr>
              <w:t xml:space="preserve"> Augstāku deficītu pamatā nosaka būtiski zemāki nodokļu ieņēmumi lēnākas prognozētās ekonomikas izaugsmes dēļ, kā arī augstāki prognozētie izdevumi sociālajiem pabal</w:t>
            </w:r>
            <w:r w:rsidR="00DA4DFA" w:rsidRPr="007005BE">
              <w:rPr>
                <w:color w:val="000000" w:themeColor="text1"/>
                <w:sz w:val="22"/>
                <w:szCs w:val="22"/>
              </w:rPr>
              <w:t>stiem valsts speciālajā budžetā un augstāki</w:t>
            </w:r>
            <w:r w:rsidR="006E082F" w:rsidRPr="007005BE">
              <w:rPr>
                <w:color w:val="000000" w:themeColor="text1"/>
                <w:sz w:val="22"/>
                <w:szCs w:val="22"/>
              </w:rPr>
              <w:t xml:space="preserve"> pašvaldību</w:t>
            </w:r>
            <w:r w:rsidR="00DA4DFA" w:rsidRPr="007005BE">
              <w:rPr>
                <w:color w:val="000000" w:themeColor="text1"/>
                <w:sz w:val="22"/>
                <w:szCs w:val="22"/>
              </w:rPr>
              <w:t xml:space="preserve"> budžeta</w:t>
            </w:r>
            <w:r w:rsidR="006E082F" w:rsidRPr="007005BE">
              <w:rPr>
                <w:color w:val="000000" w:themeColor="text1"/>
                <w:sz w:val="22"/>
                <w:szCs w:val="22"/>
              </w:rPr>
              <w:t xml:space="preserve"> izdevumi atlīdzībai un kapitālieguldījumiem.</w:t>
            </w:r>
          </w:p>
          <w:p w14:paraId="4AAFB82A" w14:textId="6D8A3E67" w:rsidR="007423A3" w:rsidRPr="007005BE" w:rsidRDefault="007423A3" w:rsidP="007005BE">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005BE">
              <w:rPr>
                <w:color w:val="000000" w:themeColor="text1"/>
                <w:sz w:val="22"/>
                <w:szCs w:val="22"/>
              </w:rPr>
              <w:t>2015.gada vispārējās valdības budžeta strukturālais deficīts tiek prognozēts 1,4% no IKP, kas par 0,4% pārsniedz likumā „Par vidēja termiņa budžeta ietvaru 2015., 2016. un 2017.gadam” prognozēto vērtību. 0,1%  izmaiņas veido bilances cikliskās</w:t>
            </w:r>
            <w:r w:rsidR="00411B17" w:rsidRPr="007005BE">
              <w:rPr>
                <w:color w:val="000000" w:themeColor="text1"/>
                <w:sz w:val="22"/>
                <w:szCs w:val="22"/>
              </w:rPr>
              <w:t xml:space="preserve"> komponentes</w:t>
            </w:r>
            <w:r w:rsidRPr="007005BE">
              <w:rPr>
                <w:color w:val="000000" w:themeColor="text1"/>
                <w:sz w:val="22"/>
                <w:szCs w:val="22"/>
              </w:rPr>
              <w:t xml:space="preserve"> samazināšanās no 0,0% no IKP likumā „Par vidēja termiņa budžeta ietvaru 2015., 2016. un 2017.gadam” uz -0,1% no IKP</w:t>
            </w:r>
            <w:r w:rsidR="00411B17" w:rsidRPr="007005BE">
              <w:rPr>
                <w:color w:val="000000" w:themeColor="text1"/>
                <w:sz w:val="22"/>
                <w:szCs w:val="22"/>
              </w:rPr>
              <w:t>.</w:t>
            </w:r>
            <w:r w:rsidRPr="007005BE">
              <w:rPr>
                <w:color w:val="000000" w:themeColor="text1"/>
                <w:sz w:val="22"/>
                <w:szCs w:val="22"/>
              </w:rPr>
              <w:t xml:space="preserve">  </w:t>
            </w:r>
          </w:p>
          <w:p w14:paraId="42B753D0" w14:textId="4047DC21" w:rsidR="0020255E" w:rsidRPr="00EA6D80" w:rsidRDefault="00C0386A" w:rsidP="007005BE">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7005BE">
              <w:rPr>
                <w:color w:val="000000" w:themeColor="text1"/>
                <w:sz w:val="22"/>
                <w:szCs w:val="22"/>
              </w:rPr>
              <w:t>Pieļaujamais strukturālā deficīta mērķis 2016.gadā tiek noteikts izmantojot vairāku pakāpju pieeju</w:t>
            </w:r>
            <w:r w:rsidR="00C10497" w:rsidRPr="007005BE">
              <w:rPr>
                <w:color w:val="000000" w:themeColor="text1"/>
                <w:sz w:val="22"/>
                <w:szCs w:val="22"/>
              </w:rPr>
              <w:t>, kas detalizēti ir aprakstīta Stabilitātes programmā</w:t>
            </w:r>
            <w:r w:rsidRPr="007005BE">
              <w:rPr>
                <w:color w:val="000000" w:themeColor="text1"/>
                <w:sz w:val="22"/>
                <w:szCs w:val="22"/>
              </w:rPr>
              <w:t xml:space="preserve">. </w:t>
            </w:r>
            <w:r w:rsidR="0020255E" w:rsidRPr="007005BE">
              <w:rPr>
                <w:color w:val="000000" w:themeColor="text1"/>
                <w:sz w:val="22"/>
                <w:szCs w:val="22"/>
              </w:rPr>
              <w:t xml:space="preserve">Attiecībā uz </w:t>
            </w:r>
            <w:r w:rsidRPr="007005BE">
              <w:rPr>
                <w:color w:val="000000" w:themeColor="text1"/>
                <w:sz w:val="22"/>
                <w:szCs w:val="22"/>
              </w:rPr>
              <w:t>MTO</w:t>
            </w:r>
            <w:r w:rsidR="0020255E" w:rsidRPr="007005BE">
              <w:rPr>
                <w:color w:val="000000" w:themeColor="text1"/>
                <w:sz w:val="22"/>
                <w:szCs w:val="22"/>
              </w:rPr>
              <w:t xml:space="preserve"> tiek saglabāta Stabilitātes programmā noteiktā pieeja nosakot divus atšķirīgus M</w:t>
            </w:r>
            <w:r w:rsidRPr="007005BE">
              <w:rPr>
                <w:color w:val="000000" w:themeColor="text1"/>
                <w:sz w:val="22"/>
                <w:szCs w:val="22"/>
              </w:rPr>
              <w:t>TO</w:t>
            </w:r>
            <w:r w:rsidR="0020255E" w:rsidRPr="007005BE">
              <w:rPr>
                <w:color w:val="000000" w:themeColor="text1"/>
                <w:sz w:val="22"/>
                <w:szCs w:val="22"/>
              </w:rPr>
              <w:t>, nacionālo M</w:t>
            </w:r>
            <w:r w:rsidRPr="007005BE">
              <w:rPr>
                <w:color w:val="000000" w:themeColor="text1"/>
                <w:sz w:val="22"/>
                <w:szCs w:val="22"/>
              </w:rPr>
              <w:t>TO</w:t>
            </w:r>
            <w:r w:rsidR="0020255E" w:rsidRPr="007005BE">
              <w:rPr>
                <w:color w:val="000000" w:themeColor="text1"/>
                <w:sz w:val="22"/>
                <w:szCs w:val="22"/>
              </w:rPr>
              <w:t>, kas saglabājas -0,5% no IKP un M</w:t>
            </w:r>
            <w:r w:rsidRPr="007005BE">
              <w:rPr>
                <w:color w:val="000000" w:themeColor="text1"/>
                <w:sz w:val="22"/>
                <w:szCs w:val="22"/>
              </w:rPr>
              <w:t>TO</w:t>
            </w:r>
            <w:r w:rsidR="00936D59" w:rsidRPr="007005BE">
              <w:rPr>
                <w:color w:val="000000" w:themeColor="text1"/>
                <w:sz w:val="22"/>
                <w:szCs w:val="22"/>
              </w:rPr>
              <w:t xml:space="preserve"> SIP izpratnē</w:t>
            </w:r>
            <w:r w:rsidR="0020255E" w:rsidRPr="007005BE">
              <w:rPr>
                <w:color w:val="000000" w:themeColor="text1"/>
                <w:sz w:val="22"/>
                <w:szCs w:val="22"/>
              </w:rPr>
              <w:t>, kas tiek noteikts -1,0% no IKP līmenī.</w:t>
            </w:r>
            <w:r w:rsidRPr="007005BE">
              <w:rPr>
                <w:color w:val="000000" w:themeColor="text1"/>
                <w:sz w:val="22"/>
                <w:szCs w:val="22"/>
              </w:rPr>
              <w:t xml:space="preserve"> Mērķis šādai pieejai bija izveidot drošības spilvenu, kas nodrošinātu, ka noteiktie strukturālās bilances mērķi ir saskaņā ne tikai ar nacionālo pieeju, bet arī, lai pārrēķinot izlaižu starpību pēc EK standartizētās metodoloģijas, tiktu nodrošināta atbilstība SIP nosacījumiem. </w:t>
            </w:r>
            <w:r w:rsidR="0020255E" w:rsidRPr="007005BE">
              <w:rPr>
                <w:color w:val="000000" w:themeColor="text1"/>
                <w:sz w:val="22"/>
                <w:szCs w:val="22"/>
              </w:rPr>
              <w:t>Vispirms par atskaites punktu tiek ņemts M</w:t>
            </w:r>
            <w:r w:rsidRPr="007005BE">
              <w:rPr>
                <w:color w:val="000000" w:themeColor="text1"/>
                <w:sz w:val="22"/>
                <w:szCs w:val="22"/>
              </w:rPr>
              <w:t>TO</w:t>
            </w:r>
            <w:r w:rsidR="0020255E" w:rsidRPr="007005BE">
              <w:rPr>
                <w:color w:val="000000" w:themeColor="text1"/>
                <w:sz w:val="22"/>
                <w:szCs w:val="22"/>
              </w:rPr>
              <w:t xml:space="preserve"> (tiek veidoti divi scenāriji – viens ar nacionālo </w:t>
            </w:r>
            <w:r w:rsidRPr="007005BE">
              <w:rPr>
                <w:color w:val="000000" w:themeColor="text1"/>
                <w:sz w:val="22"/>
                <w:szCs w:val="22"/>
              </w:rPr>
              <w:t>MTO un otrs ar</w:t>
            </w:r>
            <w:r w:rsidR="0020255E" w:rsidRPr="007005BE">
              <w:rPr>
                <w:color w:val="000000" w:themeColor="text1"/>
                <w:sz w:val="22"/>
                <w:szCs w:val="22"/>
              </w:rPr>
              <w:t xml:space="preserve"> </w:t>
            </w:r>
            <w:r w:rsidRPr="007005BE">
              <w:rPr>
                <w:color w:val="000000" w:themeColor="text1"/>
                <w:sz w:val="22"/>
                <w:szCs w:val="22"/>
              </w:rPr>
              <w:t xml:space="preserve">MTO </w:t>
            </w:r>
            <w:r w:rsidR="0020255E" w:rsidRPr="007005BE">
              <w:rPr>
                <w:color w:val="000000" w:themeColor="text1"/>
                <w:sz w:val="22"/>
                <w:szCs w:val="22"/>
              </w:rPr>
              <w:t>SIP izpratnē), kam tiek piemērotas atkāpes, kas izriet no iemaksu palielināšanās 2. pensiju līmenī</w:t>
            </w:r>
            <w:r w:rsidR="00B15D93" w:rsidRPr="007005BE">
              <w:rPr>
                <w:color w:val="000000" w:themeColor="text1"/>
                <w:sz w:val="22"/>
                <w:szCs w:val="22"/>
              </w:rPr>
              <w:t>, atbilstoši Eiropas Parlamenta un Padomes Regulai (ES) Nr. 1175/2011</w:t>
            </w:r>
            <w:r w:rsidR="0020255E" w:rsidRPr="007005BE">
              <w:rPr>
                <w:color w:val="000000" w:themeColor="text1"/>
                <w:sz w:val="22"/>
                <w:szCs w:val="22"/>
              </w:rPr>
              <w:t xml:space="preserve">. </w:t>
            </w:r>
            <w:r w:rsidRPr="007005BE">
              <w:rPr>
                <w:color w:val="000000" w:themeColor="text1"/>
                <w:sz w:val="22"/>
                <w:szCs w:val="22"/>
              </w:rPr>
              <w:t>Veicot aprēķinus tika konstatēts, ka 2016.gadā stingrākus nosacījums nosaka SIP</w:t>
            </w:r>
            <w:r w:rsidR="00B15D93" w:rsidRPr="007005BE">
              <w:rPr>
                <w:color w:val="000000" w:themeColor="text1"/>
                <w:sz w:val="22"/>
                <w:szCs w:val="22"/>
              </w:rPr>
              <w:t xml:space="preserve"> un atbilstoši šai pieejai strukturālās bilances mērķis 2016.gadā tika noteikts -0,9% no IKP.</w:t>
            </w:r>
          </w:p>
        </w:tc>
      </w:tr>
      <w:tr w:rsidR="00D251AD" w:rsidRPr="00EA6D80" w14:paraId="17D94678" w14:textId="77777777" w:rsidTr="00D640F7">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58FB205F" w14:textId="0411E4A2" w:rsidR="00D251AD" w:rsidRPr="00EA6D80" w:rsidRDefault="00D251AD" w:rsidP="00945E73">
            <w:pPr>
              <w:ind w:firstLine="0"/>
              <w:jc w:val="center"/>
              <w:rPr>
                <w:color w:val="auto"/>
                <w:sz w:val="22"/>
                <w:szCs w:val="22"/>
              </w:rPr>
            </w:pPr>
            <w:r w:rsidRPr="00EA6D80">
              <w:rPr>
                <w:color w:val="auto"/>
                <w:sz w:val="22"/>
                <w:szCs w:val="22"/>
              </w:rPr>
              <w:t>2</w:t>
            </w:r>
          </w:p>
        </w:tc>
        <w:tc>
          <w:tcPr>
            <w:tcW w:w="2694" w:type="dxa"/>
          </w:tcPr>
          <w:p w14:paraId="3515C56A" w14:textId="4B5F5672" w:rsidR="00D251AD" w:rsidRPr="00EA6D80" w:rsidRDefault="006652F3" w:rsidP="006652F3">
            <w:pPr>
              <w:ind w:firstLine="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Uzlabot profesionālo izglītību un apmācību, paātrināt izglītības programmu reformu un palielināt mācekļa darba piedāvājumu</w:t>
            </w:r>
            <w:r w:rsidRPr="00EA6D80">
              <w:rPr>
                <w:sz w:val="22"/>
                <w:szCs w:val="22"/>
              </w:rPr>
              <w:t xml:space="preserve">. </w:t>
            </w:r>
          </w:p>
        </w:tc>
        <w:tc>
          <w:tcPr>
            <w:tcW w:w="12190" w:type="dxa"/>
          </w:tcPr>
          <w:p w14:paraId="5B2B8C42" w14:textId="2E9708FF" w:rsidR="00660CDE" w:rsidRPr="00EA6D80" w:rsidRDefault="00660CDE" w:rsidP="00FC7FA7">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A6D80">
              <w:rPr>
                <w:color w:val="auto"/>
                <w:sz w:val="22"/>
                <w:szCs w:val="22"/>
              </w:rPr>
              <w:t>Izglītības</w:t>
            </w:r>
            <w:r w:rsidRPr="00EA6D80">
              <w:rPr>
                <w:color w:val="000000" w:themeColor="text1"/>
                <w:sz w:val="22"/>
                <w:szCs w:val="22"/>
              </w:rPr>
              <w:t xml:space="preserve"> un zinātnes ministrija (turpmāk – </w:t>
            </w:r>
            <w:r w:rsidR="00B423FC" w:rsidRPr="00EA6D80">
              <w:rPr>
                <w:color w:val="000000" w:themeColor="text1"/>
                <w:sz w:val="22"/>
                <w:szCs w:val="22"/>
              </w:rPr>
              <w:t>IZM) izstrādāja un Saeima 2015.gada 23.</w:t>
            </w:r>
            <w:r w:rsidRPr="00EA6D80">
              <w:rPr>
                <w:color w:val="000000" w:themeColor="text1"/>
                <w:sz w:val="22"/>
                <w:szCs w:val="22"/>
              </w:rPr>
              <w:t>aprīlī pieņēma likumu „Grozījumi Profesionālās izglītības likumā” (turpmāk – PIL gro</w:t>
            </w:r>
            <w:r w:rsidR="00B423FC" w:rsidRPr="00EA6D80">
              <w:rPr>
                <w:color w:val="000000" w:themeColor="text1"/>
                <w:sz w:val="22"/>
                <w:szCs w:val="22"/>
              </w:rPr>
              <w:t>zījumi), kas stājās spēkā 2015.gada 15.</w:t>
            </w:r>
            <w:r w:rsidRPr="00EA6D80">
              <w:rPr>
                <w:color w:val="000000" w:themeColor="text1"/>
                <w:sz w:val="22"/>
                <w:szCs w:val="22"/>
              </w:rPr>
              <w:t>maijā. PIL grozījumi ietvert regulējumu par profesionālās kvalifikācijas līmeņu atbilstību Latvijas kvalifikāciju ietvarstruktūras (turpmāk – LKI) līmeņiem, par profesionālās izglītības iestāžu konventa izveidošanu un konventa kompetenci un nosaka nozares ekspertu padomes izveidošanu un kompetenci.</w:t>
            </w:r>
            <w:r w:rsidRPr="00EA6D80">
              <w:rPr>
                <w:color w:val="auto"/>
                <w:sz w:val="22"/>
                <w:szCs w:val="22"/>
              </w:rPr>
              <w:t xml:space="preserve"> </w:t>
            </w:r>
          </w:p>
          <w:p w14:paraId="30B09851" w14:textId="7E27A682" w:rsidR="00660CDE" w:rsidRPr="00EA6D80" w:rsidRDefault="00660CDE" w:rsidP="00FC7FA7">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201</w:t>
            </w:r>
            <w:r w:rsidR="00B423FC" w:rsidRPr="00EA6D80">
              <w:rPr>
                <w:color w:val="auto"/>
                <w:sz w:val="22"/>
                <w:szCs w:val="22"/>
              </w:rPr>
              <w:t>5.gada 18.</w:t>
            </w:r>
            <w:r w:rsidRPr="00EA6D80">
              <w:rPr>
                <w:color w:val="auto"/>
                <w:sz w:val="22"/>
                <w:szCs w:val="22"/>
              </w:rPr>
              <w:t xml:space="preserve">jūnijā Saeima pieņēma likumu „Grozījumi Izglītības </w:t>
            </w:r>
            <w:r w:rsidR="00B423FC" w:rsidRPr="00EA6D80">
              <w:rPr>
                <w:color w:val="auto"/>
                <w:sz w:val="22"/>
                <w:szCs w:val="22"/>
              </w:rPr>
              <w:t>likumā”, kas stājās spēkā 2015.gada 16.</w:t>
            </w:r>
            <w:r w:rsidRPr="00EA6D80">
              <w:rPr>
                <w:color w:val="auto"/>
                <w:sz w:val="22"/>
                <w:szCs w:val="22"/>
              </w:rPr>
              <w:t xml:space="preserve">jūlijā (turpmāk – IL grozījumi). Grozījumi IL definē </w:t>
            </w:r>
            <w:r w:rsidR="00B423FC" w:rsidRPr="00EA6D80">
              <w:rPr>
                <w:color w:val="auto"/>
                <w:sz w:val="22"/>
                <w:szCs w:val="22"/>
              </w:rPr>
              <w:t>LKI</w:t>
            </w:r>
            <w:r w:rsidRPr="00EA6D80">
              <w:rPr>
                <w:color w:val="auto"/>
                <w:sz w:val="22"/>
                <w:szCs w:val="22"/>
              </w:rPr>
              <w:t xml:space="preserve"> un tās līmeņus, nosakot, ka LKI līmeni ir piesaistīti Eiropas kvalifikāciju ietvarstruktūrai, kā arī uzsverot mācību rezultātus un to pēctecību.</w:t>
            </w:r>
          </w:p>
          <w:p w14:paraId="01D03B30" w14:textId="398C2568" w:rsidR="00660CDE" w:rsidRPr="00EA6D80" w:rsidRDefault="00660CDE" w:rsidP="00FC7FA7">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L</w:t>
            </w:r>
            <w:r w:rsidR="00B423FC" w:rsidRPr="00EA6D80">
              <w:rPr>
                <w:color w:val="auto"/>
                <w:sz w:val="22"/>
                <w:szCs w:val="22"/>
              </w:rPr>
              <w:t>īdz 2015.gada 30.</w:t>
            </w:r>
            <w:r w:rsidRPr="00EA6D80">
              <w:rPr>
                <w:color w:val="auto"/>
                <w:sz w:val="22"/>
                <w:szCs w:val="22"/>
              </w:rPr>
              <w:t xml:space="preserve">novembrim plānots izstrādāt un </w:t>
            </w:r>
            <w:r w:rsidR="00B423FC" w:rsidRPr="00EA6D80">
              <w:rPr>
                <w:color w:val="auto"/>
                <w:sz w:val="22"/>
                <w:szCs w:val="22"/>
              </w:rPr>
              <w:t>MK</w:t>
            </w:r>
            <w:r w:rsidRPr="00EA6D80">
              <w:rPr>
                <w:color w:val="auto"/>
                <w:sz w:val="22"/>
                <w:szCs w:val="22"/>
              </w:rPr>
              <w:t xml:space="preserve"> apstiprināt kārtību, kādā tiek izveidotas un darbojas nozaru ekspertu padomes (turpmāk – NEP), kā arī noteikt darba vidē balstītu mācību organizēšanas un īstenošanas kārtību.</w:t>
            </w:r>
          </w:p>
          <w:p w14:paraId="2C7B5929" w14:textId="78368312" w:rsidR="00660CDE" w:rsidRPr="00EA6D80" w:rsidRDefault="00660CDE" w:rsidP="00FC7FA7">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Sava noslēgumā stadijā ir profesionālās izglītības iestāž</w:t>
            </w:r>
            <w:r w:rsidR="00B423FC" w:rsidRPr="00EA6D80">
              <w:rPr>
                <w:color w:val="auto"/>
                <w:sz w:val="22"/>
                <w:szCs w:val="22"/>
              </w:rPr>
              <w:t>u tīkla sakārtošana. Kopš 2010.</w:t>
            </w:r>
            <w:r w:rsidRPr="00EA6D80">
              <w:rPr>
                <w:color w:val="auto"/>
                <w:sz w:val="22"/>
                <w:szCs w:val="22"/>
              </w:rPr>
              <w:t xml:space="preserve">gada </w:t>
            </w:r>
            <w:r w:rsidR="00B423FC" w:rsidRPr="00EA6D80">
              <w:rPr>
                <w:color w:val="auto"/>
                <w:sz w:val="22"/>
                <w:szCs w:val="22"/>
              </w:rPr>
              <w:t>IZM</w:t>
            </w:r>
            <w:r w:rsidRPr="00EA6D80">
              <w:rPr>
                <w:color w:val="auto"/>
                <w:sz w:val="22"/>
                <w:szCs w:val="22"/>
              </w:rPr>
              <w:t xml:space="preserve"> padotībā esošo profesionālās izglītības iestāžu skaits ir samazinājies indikatīvi par 42,9%. Ar 2015.gada 1.septembri ir likvidētas 9 profesionālās izglītības iestādes</w:t>
            </w:r>
            <w:r w:rsidR="00FF61CD">
              <w:rPr>
                <w:color w:val="auto"/>
                <w:sz w:val="22"/>
                <w:szCs w:val="22"/>
              </w:rPr>
              <w:t>, tās attiecīgi konsolidējot cit</w:t>
            </w:r>
            <w:r w:rsidR="00D952AB">
              <w:rPr>
                <w:color w:val="auto"/>
                <w:sz w:val="22"/>
                <w:szCs w:val="22"/>
              </w:rPr>
              <w:t>u</w:t>
            </w:r>
            <w:r w:rsidR="00FF61CD">
              <w:rPr>
                <w:color w:val="auto"/>
                <w:sz w:val="22"/>
                <w:szCs w:val="22"/>
              </w:rPr>
              <w:t xml:space="preserve"> izglītības iest</w:t>
            </w:r>
            <w:r w:rsidR="00D952AB">
              <w:rPr>
                <w:color w:val="auto"/>
                <w:sz w:val="22"/>
                <w:szCs w:val="22"/>
              </w:rPr>
              <w:t>āžu sastāvā.</w:t>
            </w:r>
            <w:r w:rsidRPr="00EA6D80">
              <w:rPr>
                <w:color w:val="auto"/>
                <w:sz w:val="22"/>
                <w:szCs w:val="22"/>
              </w:rPr>
              <w:t xml:space="preserve"> </w:t>
            </w:r>
          </w:p>
          <w:p w14:paraId="131840A2" w14:textId="27466E8A" w:rsidR="00660CDE" w:rsidRPr="00EA6D80" w:rsidRDefault="00660CDE" w:rsidP="00FC7FA7">
            <w:pPr>
              <w:spacing w:after="0"/>
              <w:cnfStyle w:val="000000000000" w:firstRow="0" w:lastRow="0" w:firstColumn="0" w:lastColumn="0" w:oddVBand="0" w:evenVBand="0" w:oddHBand="0" w:evenHBand="0" w:firstRowFirstColumn="0" w:firstRowLastColumn="0" w:lastRowFirstColumn="0" w:lastRowLastColumn="0"/>
              <w:rPr>
                <w:bCs/>
                <w:color w:val="auto"/>
                <w:sz w:val="22"/>
                <w:szCs w:val="22"/>
              </w:rPr>
            </w:pPr>
            <w:r w:rsidRPr="00EA6D80">
              <w:rPr>
                <w:color w:val="auto"/>
                <w:sz w:val="22"/>
                <w:szCs w:val="22"/>
              </w:rPr>
              <w:t xml:space="preserve">Vienlaikus turpinās ieguldījumi profesionālās izglītības iestāžu infrastruktūras tālākai modernizācijai ES fondu 2014. – 2020. gada plānošanas perioda darbības programmas “Izaugsme un nodarbinātība” ietvaros. Līdz šim valdība izskatījusi informatīvo ziņojumu – sākotnējo novērtējumu par  </w:t>
            </w:r>
            <w:r w:rsidR="00C3203D">
              <w:rPr>
                <w:color w:val="auto"/>
                <w:sz w:val="22"/>
                <w:szCs w:val="22"/>
              </w:rPr>
              <w:t xml:space="preserve">specifiskā atbalsta mērķa (turpmāk – </w:t>
            </w:r>
            <w:r w:rsidRPr="00EA6D80">
              <w:rPr>
                <w:bCs/>
                <w:color w:val="auto"/>
                <w:sz w:val="22"/>
                <w:szCs w:val="22"/>
              </w:rPr>
              <w:t>SAM</w:t>
            </w:r>
            <w:r w:rsidR="00C3203D">
              <w:rPr>
                <w:bCs/>
                <w:color w:val="auto"/>
                <w:sz w:val="22"/>
                <w:szCs w:val="22"/>
              </w:rPr>
              <w:t>)</w:t>
            </w:r>
            <w:r w:rsidRPr="00EA6D80">
              <w:rPr>
                <w:bCs/>
                <w:color w:val="auto"/>
                <w:sz w:val="22"/>
                <w:szCs w:val="22"/>
              </w:rPr>
              <w:t xml:space="preserve"> 8.1.3.</w:t>
            </w:r>
            <w:r w:rsidRPr="00EA6D80">
              <w:rPr>
                <w:color w:val="auto"/>
                <w:sz w:val="22"/>
                <w:szCs w:val="22"/>
              </w:rPr>
              <w:t xml:space="preserve"> „</w:t>
            </w:r>
            <w:r w:rsidRPr="00EA6D80">
              <w:rPr>
                <w:bCs/>
                <w:color w:val="auto"/>
                <w:sz w:val="22"/>
                <w:szCs w:val="22"/>
              </w:rPr>
              <w:t xml:space="preserve">Palielināt modernizēto profesionālās izglītības iestāžu skaitu” īstenošanu. Notiek paplašinātā sākotnējā ietekmes novērtējuma, projektu vērtēšanas kritēriju, to piemērošanas metodikas un MK noteikumu projektu saskaņošana. </w:t>
            </w:r>
          </w:p>
          <w:p w14:paraId="24743CF4" w14:textId="0AC7C0A9" w:rsidR="00660CDE" w:rsidRPr="00EA6D80" w:rsidRDefault="00660CDE" w:rsidP="00FC7FA7">
            <w:pPr>
              <w:spacing w:after="0"/>
              <w:cnfStyle w:val="000000000000" w:firstRow="0" w:lastRow="0" w:firstColumn="0" w:lastColumn="0" w:oddVBand="0" w:evenVBand="0" w:oddHBand="0" w:evenHBand="0" w:firstRowFirstColumn="0" w:firstRowLastColumn="0" w:lastRowFirstColumn="0" w:lastRowLastColumn="0"/>
              <w:rPr>
                <w:bCs/>
                <w:color w:val="auto"/>
                <w:sz w:val="22"/>
                <w:szCs w:val="22"/>
              </w:rPr>
            </w:pPr>
            <w:r w:rsidRPr="00EA6D80">
              <w:rPr>
                <w:bCs/>
                <w:color w:val="auto"/>
                <w:sz w:val="22"/>
                <w:szCs w:val="22"/>
              </w:rPr>
              <w:t>Ir uzsākts darbs pie SAM  8.5.1. “Palielināt kvalificētu profesionālās izglītības iestāžu audzēkņu skaitu pēc to dalības darba vidē balstītās mācībās vai mācību praksē uzņēmumā” dokumentu izstrādes, projektus plā</w:t>
            </w:r>
            <w:r w:rsidR="00FC7FA7" w:rsidRPr="00EA6D80">
              <w:rPr>
                <w:bCs/>
                <w:color w:val="auto"/>
                <w:sz w:val="22"/>
                <w:szCs w:val="22"/>
              </w:rPr>
              <w:t>nots uzsākt īstenot 2016./2017.</w:t>
            </w:r>
            <w:r w:rsidRPr="00EA6D80">
              <w:rPr>
                <w:bCs/>
                <w:color w:val="auto"/>
                <w:sz w:val="22"/>
                <w:szCs w:val="22"/>
              </w:rPr>
              <w:t xml:space="preserve">mācību gadā. </w:t>
            </w:r>
          </w:p>
          <w:p w14:paraId="1A5315AA" w14:textId="77777777" w:rsidR="00660CDE" w:rsidRPr="00EA6D80" w:rsidRDefault="00660CDE" w:rsidP="00FC7FA7">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A6D80">
              <w:rPr>
                <w:color w:val="000000" w:themeColor="text1"/>
                <w:sz w:val="22"/>
                <w:szCs w:val="22"/>
              </w:rPr>
              <w:t xml:space="preserve">Uzsākts darbs pie </w:t>
            </w:r>
            <w:r w:rsidRPr="00EA6D80">
              <w:rPr>
                <w:color w:val="000000"/>
                <w:sz w:val="22"/>
                <w:szCs w:val="22"/>
              </w:rPr>
              <w:t>Metodiskajiem ieteikumiem profesionālās izglītības un vispārējās izglītības iestāžu pavērtēšanai</w:t>
            </w:r>
            <w:r w:rsidRPr="00EA6D80">
              <w:rPr>
                <w:color w:val="000000" w:themeColor="text1"/>
                <w:sz w:val="22"/>
                <w:szCs w:val="22"/>
              </w:rPr>
              <w:t>. Metodiskos ieteikumos paredzēts iestrādāt arī Eiropas kvalitātes nodrošināšanas ietvarstruktūras profesionālajā izglītībā un profesionālajā tālākizglītībā (EQAVET) rādītājus, kas būs līdzīgi visām Eiropas valstīm. Starp indikatoriem ir profesionālo izglītību ieguvušo skaits salīdzinājumā ar uzņemtajiem, riska grupu iekļaušanās profesionālajā izglītībā u.c.</w:t>
            </w:r>
          </w:p>
          <w:p w14:paraId="4FF57D6B" w14:textId="527D49B9" w:rsidR="00BB700D" w:rsidRPr="00EA6D80" w:rsidRDefault="00660CDE" w:rsidP="009513E4">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000000" w:themeColor="text1"/>
                <w:sz w:val="22"/>
                <w:szCs w:val="22"/>
              </w:rPr>
              <w:t>Savukārt</w:t>
            </w:r>
            <w:r w:rsidRPr="00EA6D80">
              <w:rPr>
                <w:bCs/>
                <w:color w:val="auto"/>
                <w:sz w:val="22"/>
                <w:szCs w:val="22"/>
              </w:rPr>
              <w:t xml:space="preserve">  SAM 8.5.2. „Nodrošināt profesionālās izglītības atbilstību Eiropas kvalifikācijas ietvarstruktūrai” sākotnējais novērtējums un projektu iesniegumu vērtēšanas kritēriji ir apstiprināti ES fondu uzraudzība</w:t>
            </w:r>
            <w:r w:rsidR="00FC7FA7" w:rsidRPr="00EA6D80">
              <w:rPr>
                <w:bCs/>
                <w:color w:val="auto"/>
                <w:sz w:val="22"/>
                <w:szCs w:val="22"/>
              </w:rPr>
              <w:t>s apakškomitejas sanāksmē 2015.gada 28.</w:t>
            </w:r>
            <w:r w:rsidRPr="00EA6D80">
              <w:rPr>
                <w:bCs/>
                <w:color w:val="auto"/>
                <w:sz w:val="22"/>
                <w:szCs w:val="22"/>
              </w:rPr>
              <w:t>maijā</w:t>
            </w:r>
            <w:r w:rsidR="009513E4">
              <w:rPr>
                <w:bCs/>
                <w:color w:val="auto"/>
                <w:sz w:val="22"/>
                <w:szCs w:val="22"/>
              </w:rPr>
              <w:t>.</w:t>
            </w:r>
            <w:r w:rsidRPr="00EA6D80">
              <w:rPr>
                <w:bCs/>
                <w:color w:val="auto"/>
                <w:sz w:val="22"/>
                <w:szCs w:val="22"/>
              </w:rPr>
              <w:t xml:space="preserve"> </w:t>
            </w:r>
            <w:r w:rsidR="009513E4">
              <w:rPr>
                <w:bCs/>
                <w:color w:val="auto"/>
                <w:sz w:val="22"/>
                <w:szCs w:val="22"/>
              </w:rPr>
              <w:t>Š</w:t>
            </w:r>
            <w:r w:rsidRPr="00EA6D80">
              <w:rPr>
                <w:bCs/>
                <w:color w:val="auto"/>
                <w:sz w:val="22"/>
                <w:szCs w:val="22"/>
              </w:rPr>
              <w:t>obrīd rit MK noteikumu projekta saskaņošana,</w:t>
            </w:r>
            <w:r w:rsidR="009513E4">
              <w:rPr>
                <w:bCs/>
                <w:color w:val="auto"/>
                <w:sz w:val="22"/>
                <w:szCs w:val="22"/>
              </w:rPr>
              <w:t xml:space="preserve"> savukārt</w:t>
            </w:r>
            <w:r w:rsidRPr="00EA6D80">
              <w:rPr>
                <w:bCs/>
                <w:color w:val="auto"/>
                <w:sz w:val="22"/>
                <w:szCs w:val="22"/>
              </w:rPr>
              <w:t xml:space="preserve"> projektu īstenošanas uzsākšana  plānota 2016.gadā.</w:t>
            </w:r>
          </w:p>
        </w:tc>
      </w:tr>
      <w:tr w:rsidR="00D251AD" w:rsidRPr="00EA6D80" w14:paraId="64DE690B"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05711FD9" w14:textId="77777777" w:rsidR="00D251AD" w:rsidRPr="00EA6D80" w:rsidRDefault="00D251AD" w:rsidP="00945E73">
            <w:pPr>
              <w:jc w:val="center"/>
              <w:rPr>
                <w:color w:val="auto"/>
                <w:sz w:val="22"/>
                <w:szCs w:val="22"/>
              </w:rPr>
            </w:pPr>
          </w:p>
        </w:tc>
        <w:tc>
          <w:tcPr>
            <w:tcW w:w="2694" w:type="dxa"/>
          </w:tcPr>
          <w:p w14:paraId="5FDF686D" w14:textId="0C501623" w:rsidR="00D251AD" w:rsidRPr="00EA6D80" w:rsidRDefault="006652F3" w:rsidP="00945E73">
            <w:pPr>
              <w:ind w:firstLine="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Nodrošināt, ka jaunais augstākās izglītības sistēmas finansēšanas modelis stimulē kvalitāti.</w:t>
            </w:r>
          </w:p>
        </w:tc>
        <w:tc>
          <w:tcPr>
            <w:tcW w:w="12190" w:type="dxa"/>
          </w:tcPr>
          <w:p w14:paraId="57565D1E" w14:textId="01BAE190" w:rsidR="00660CDE" w:rsidRPr="00EA6D80" w:rsidRDefault="00FC7FA7" w:rsidP="00FC7FA7">
            <w:pPr>
              <w:tabs>
                <w:tab w:val="left" w:pos="5812"/>
              </w:tabs>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2015.gada 29.</w:t>
            </w:r>
            <w:r w:rsidR="00660CDE" w:rsidRPr="00EA6D80">
              <w:rPr>
                <w:color w:val="auto"/>
                <w:sz w:val="22"/>
                <w:szCs w:val="22"/>
              </w:rPr>
              <w:t>jūnijā tika apstiprināts konceptuālais ziņojums “Jauna augstākās izglītības finansēšanas modeļa ieviešana Latvijā” (</w:t>
            </w:r>
            <w:r w:rsidRPr="00EA6D80">
              <w:rPr>
                <w:color w:val="auto"/>
                <w:sz w:val="22"/>
                <w:szCs w:val="22"/>
              </w:rPr>
              <w:t>2015.gada 29.jūnija</w:t>
            </w:r>
            <w:r w:rsidR="00660CDE" w:rsidRPr="00EA6D80">
              <w:rPr>
                <w:color w:val="auto"/>
                <w:sz w:val="22"/>
                <w:szCs w:val="22"/>
              </w:rPr>
              <w:t xml:space="preserve"> MK rīkojums Nr. Nr.333), kas sniedz pārskatu par Pasaules Bankas īstenotā pētījuma gaitu un rezultātiem, izvirza priekšlikumus jauna augstākās izglītības finansēšanas modeļa ieviešanai un raksturo alternatīvos risinājumus atkarībā no pieejamā finansējuma un to paredzamo ietekmi uz Latvijas augstākās izglītības konkurētspēju un pieejamību. Vienlaikus MK tika atbalstīts </w:t>
            </w:r>
            <w:r w:rsidR="00777B3F">
              <w:rPr>
                <w:color w:val="auto"/>
                <w:sz w:val="22"/>
                <w:szCs w:val="22"/>
              </w:rPr>
              <w:t>IZM</w:t>
            </w:r>
            <w:r w:rsidR="00660CDE" w:rsidRPr="00EA6D80">
              <w:rPr>
                <w:color w:val="auto"/>
                <w:sz w:val="22"/>
                <w:szCs w:val="22"/>
              </w:rPr>
              <w:t xml:space="preserve"> priekšlikums par augstākās izglītības finansēšanas modeļa maiņu, kura apraksts ir sniegts konceptuālajā ziņojumā. Konceptuālais ziņojums kā Latvijas sociālekonomiskajai situācijai piemērotāko risinājumu izvirza trīs pīlāru finansēšanas modeli, kura galvenie elementi (pīlāri) ir 1) pamata finansējums (institucionālais finansējums studiju procesa un pētniecības nodrošināšanai); 2) snieguma finansējums (finansējums, kas tiek piešķirts par studiju un pētniecības rezultātu sasniegšanu) un </w:t>
            </w:r>
            <w:r w:rsidR="00512E97">
              <w:rPr>
                <w:color w:val="auto"/>
                <w:sz w:val="22"/>
                <w:szCs w:val="22"/>
              </w:rPr>
              <w:t xml:space="preserve">3) </w:t>
            </w:r>
            <w:r w:rsidR="00660CDE" w:rsidRPr="00EA6D80">
              <w:rPr>
                <w:color w:val="auto"/>
                <w:sz w:val="22"/>
                <w:szCs w:val="22"/>
              </w:rPr>
              <w:t xml:space="preserve">inovāciju finansējums (uz nākotnes attīstību vērsts finansējums, kas veicina iestāžu specializāciju un profilu attīstību). </w:t>
            </w:r>
          </w:p>
          <w:p w14:paraId="273F2CAE" w14:textId="61B88FC7" w:rsidR="00660CDE" w:rsidRPr="00EA6D80" w:rsidRDefault="00FC7FA7" w:rsidP="00FC7FA7">
            <w:pPr>
              <w:tabs>
                <w:tab w:val="left" w:pos="5812"/>
              </w:tabs>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2015.</w:t>
            </w:r>
            <w:r w:rsidR="00660CDE" w:rsidRPr="00EA6D80">
              <w:rPr>
                <w:color w:val="auto"/>
                <w:sz w:val="22"/>
                <w:szCs w:val="22"/>
              </w:rPr>
              <w:t xml:space="preserve">gadā </w:t>
            </w:r>
            <w:r w:rsidR="00777B3F">
              <w:rPr>
                <w:color w:val="auto"/>
                <w:sz w:val="22"/>
                <w:szCs w:val="22"/>
              </w:rPr>
              <w:t>IZM</w:t>
            </w:r>
            <w:r w:rsidR="00660CDE" w:rsidRPr="00EA6D80">
              <w:rPr>
                <w:color w:val="auto"/>
                <w:sz w:val="22"/>
                <w:szCs w:val="22"/>
              </w:rPr>
              <w:t xml:space="preserve"> pārskatīja augstskolu un koledžu finansēšanas no valsts budžeta kārtību; 2015. gada 28. jūlijā tika atbalstīts MK noteikumu projekts "Grozījumi Ministru kabineta 2006.gada 12.decembra noteikumos Nr.994 "Kārtība, kādā augstskolas un koledžas tiek finansētas no valsts budžeta līdzekļiem"", kas nosaka kritērijus sniegumā balstīta finansējuma piešķiršanas kārtībai, kas iezīmēja finansēšanas modeļa otrā pīlāra ieviešanas fāzi. 2015.gadā uzsākta trešā pīlāra finansējuma plānošana no ES struktūrfondu līdzekļiem darbības programmas “Izaugsme un nodarbinātība” specifiskā atbalsta mērķa aktivitāšu ietvaros. Vienlaikus tiek gatavoti papildu grozījumi MK noteikumos Nr.994, kas noteiks studiju vietas bāzes izmaksas un izglītības tematisko jomu studiju izmaksu koeficientus. </w:t>
            </w:r>
          </w:p>
          <w:p w14:paraId="17F67475" w14:textId="2B82174C" w:rsidR="00BB700D" w:rsidRPr="00EA6D80" w:rsidRDefault="00FC7FA7" w:rsidP="00FC7FA7">
            <w:pPr>
              <w:tabs>
                <w:tab w:val="left" w:pos="317"/>
                <w:tab w:val="left" w:pos="5812"/>
              </w:tabs>
              <w:autoSpaceDE w:val="0"/>
              <w:autoSpaceDN w:val="0"/>
              <w:adjustRightInd w:val="0"/>
              <w:spacing w:after="0"/>
              <w:ind w:left="34"/>
              <w:cnfStyle w:val="000000100000" w:firstRow="0" w:lastRow="0" w:firstColumn="0" w:lastColumn="0" w:oddVBand="0" w:evenVBand="0" w:oddHBand="1" w:evenHBand="0" w:firstRowFirstColumn="0" w:firstRowLastColumn="0" w:lastRowFirstColumn="0" w:lastRowLastColumn="0"/>
              <w:rPr>
                <w:color w:val="auto"/>
                <w:sz w:val="22"/>
                <w:szCs w:val="22"/>
                <w:highlight w:val="green"/>
              </w:rPr>
            </w:pPr>
            <w:r w:rsidRPr="00EA6D80">
              <w:rPr>
                <w:color w:val="auto"/>
                <w:sz w:val="22"/>
                <w:szCs w:val="22"/>
              </w:rPr>
              <w:t>MK 2015.</w:t>
            </w:r>
            <w:r w:rsidR="00660CDE" w:rsidRPr="00EA6D80">
              <w:rPr>
                <w:color w:val="auto"/>
                <w:sz w:val="22"/>
                <w:szCs w:val="22"/>
              </w:rPr>
              <w:t>gada 14.jūlijā tika apstiprināta jaunā studiju programmu licencēšanas un augstskolu, koledžu un studiju</w:t>
            </w:r>
            <w:r w:rsidRPr="00EA6D80">
              <w:rPr>
                <w:color w:val="auto"/>
                <w:sz w:val="22"/>
                <w:szCs w:val="22"/>
              </w:rPr>
              <w:t xml:space="preserve"> virzienu akreditācijas kārtība</w:t>
            </w:r>
            <w:r w:rsidR="00660CDE" w:rsidRPr="00EA6D80">
              <w:rPr>
                <w:color w:val="auto"/>
                <w:sz w:val="22"/>
                <w:szCs w:val="22"/>
              </w:rPr>
              <w:t>. Jaunā studiju programmu licencēšanas un augstskolu, koledžu un studiju virzienu akreditācijas kārtība veicinās studiju programmu kvalitātes uzlabošanu. Licencēšanu un akreditāciju turpmāk veiks neatkarīga organizācija – Akadēmiskās informācijas cen</w:t>
            </w:r>
            <w:r w:rsidRPr="00EA6D80">
              <w:rPr>
                <w:color w:val="auto"/>
                <w:sz w:val="22"/>
                <w:szCs w:val="22"/>
              </w:rPr>
              <w:t>trs (turpmāk – AIC), līdz 2018.</w:t>
            </w:r>
            <w:r w:rsidR="00660CDE" w:rsidRPr="00EA6D80">
              <w:rPr>
                <w:color w:val="auto"/>
                <w:sz w:val="22"/>
                <w:szCs w:val="22"/>
              </w:rPr>
              <w:t>gadam panākot AIC iekļaušanu Eiropas augstākās izglītības kvalitātes nodrošināšanas reģistrā (The European Quality Assurance Register for Higher Education – EQAR). 2015.gada 18.augustā pieņemti MK noteikumi Nr. 479 “ Darbības programmas "Izaugsme un nodarbinātība" 8.2.4. specifiskā atbalsta mērķa "Nodrošināt atbalstu EQAR aģentūrai izvirzīto prasību izpildei" īstenošanas noteikumi”, kas veicinās AIC kapacitātes attīstību.</w:t>
            </w:r>
          </w:p>
        </w:tc>
      </w:tr>
      <w:tr w:rsidR="00D251AD" w:rsidRPr="00EA6D80" w14:paraId="19647344" w14:textId="77777777" w:rsidTr="00D640F7">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4370C235" w14:textId="77777777" w:rsidR="00D251AD" w:rsidRPr="00EA6D80" w:rsidRDefault="00D251AD" w:rsidP="00945E73">
            <w:pPr>
              <w:jc w:val="center"/>
              <w:rPr>
                <w:color w:val="auto"/>
                <w:sz w:val="22"/>
                <w:szCs w:val="22"/>
              </w:rPr>
            </w:pPr>
          </w:p>
        </w:tc>
        <w:tc>
          <w:tcPr>
            <w:tcW w:w="2694" w:type="dxa"/>
          </w:tcPr>
          <w:p w14:paraId="57D744B8" w14:textId="6C89265D" w:rsidR="00D251AD" w:rsidRPr="00EA6D80" w:rsidRDefault="006652F3" w:rsidP="00945E73">
            <w:pPr>
              <w:ind w:firstLine="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Mērķtiecīgāk novirzīt finansējumu pētniecībai un stimulēt privātā sektora investīcijas inovācijā, pamatojoties uz pārdomātas specializācijas shēmu.</w:t>
            </w:r>
          </w:p>
        </w:tc>
        <w:tc>
          <w:tcPr>
            <w:tcW w:w="12190" w:type="dxa"/>
          </w:tcPr>
          <w:p w14:paraId="21705A20" w14:textId="08C2B0DB" w:rsidR="00660CDE" w:rsidRPr="00EA6D80" w:rsidRDefault="00660CDE" w:rsidP="00FC7FA7">
            <w:pPr>
              <w:tabs>
                <w:tab w:val="left" w:pos="317"/>
                <w:tab w:val="left" w:pos="5812"/>
              </w:tabs>
              <w:autoSpaceDE w:val="0"/>
              <w:autoSpaceDN w:val="0"/>
              <w:adjustRightInd w:val="0"/>
              <w:spacing w:after="0"/>
              <w:ind w:left="34"/>
              <w:cnfStyle w:val="000000000000" w:firstRow="0" w:lastRow="0" w:firstColumn="0" w:lastColumn="0" w:oddVBand="0" w:evenVBand="0" w:oddHBand="0" w:evenHBand="0" w:firstRowFirstColumn="0" w:firstRowLastColumn="0" w:lastRowFirstColumn="0" w:lastRowLastColumn="0"/>
              <w:rPr>
                <w:rFonts w:eastAsiaTheme="minorHAnsi"/>
                <w:color w:val="auto"/>
                <w:sz w:val="22"/>
                <w:szCs w:val="22"/>
              </w:rPr>
            </w:pPr>
            <w:r w:rsidRPr="00EA6D80">
              <w:rPr>
                <w:rFonts w:eastAsiaTheme="minorHAnsi"/>
                <w:color w:val="000000" w:themeColor="text1"/>
                <w:sz w:val="22"/>
                <w:szCs w:val="22"/>
              </w:rPr>
              <w:t>Tika turpinātas zinātnes strukturālo reformu īstenošana saskaņā ar MK 2014.</w:t>
            </w:r>
            <w:r w:rsidR="00FC7FA7" w:rsidRPr="00EA6D80">
              <w:rPr>
                <w:rFonts w:eastAsiaTheme="minorHAnsi"/>
                <w:color w:val="000000" w:themeColor="text1"/>
                <w:sz w:val="22"/>
                <w:szCs w:val="22"/>
              </w:rPr>
              <w:t>gada 19.</w:t>
            </w:r>
            <w:r w:rsidRPr="00EA6D80">
              <w:rPr>
                <w:rFonts w:eastAsiaTheme="minorHAnsi"/>
                <w:color w:val="000000" w:themeColor="text1"/>
                <w:sz w:val="22"/>
                <w:szCs w:val="22"/>
              </w:rPr>
              <w:t xml:space="preserve">augustā apstiprināto informatīvo ziņojumu “Par Latvijas zinātnes strukturālo reformu īstenošanu līdz 2015.gada 1.jūlijam”. Latvijas zinātnes strukturālās reformas līdz 2015.gada 1.jūlijam ietver četrus galvenos virzienus: 1) zinātnisko institūciju iniciētās reformas; 2) normatīvā regulējuma un pārvaldības uzlabošana zinātnes nozarē; 3) atbalsta pasākumi zinātnisko institūciju </w:t>
            </w:r>
            <w:r w:rsidRPr="00EA6D80">
              <w:rPr>
                <w:rFonts w:eastAsiaTheme="minorHAnsi"/>
                <w:color w:val="auto"/>
                <w:sz w:val="22"/>
                <w:szCs w:val="22"/>
              </w:rPr>
              <w:t>iniciētajām reformām un 4) zinātniskās darbības monitoringa sistēmas izveidošana.</w:t>
            </w:r>
            <w:r w:rsidRPr="00EA6D80">
              <w:rPr>
                <w:color w:val="auto"/>
                <w:sz w:val="22"/>
                <w:szCs w:val="22"/>
              </w:rPr>
              <w:t xml:space="preserve"> </w:t>
            </w:r>
          </w:p>
          <w:p w14:paraId="6E3E4D92" w14:textId="563D9EAC" w:rsidR="00660CDE" w:rsidRPr="00EA6D80" w:rsidRDefault="00660CDE" w:rsidP="00FC7FA7">
            <w:pPr>
              <w:tabs>
                <w:tab w:val="left" w:pos="5812"/>
              </w:tabs>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Iesniegts izskatīšanai MK 2015.</w:t>
            </w:r>
            <w:r w:rsidR="00FC7FA7" w:rsidRPr="00EA6D80">
              <w:rPr>
                <w:color w:val="auto"/>
                <w:sz w:val="22"/>
                <w:szCs w:val="22"/>
              </w:rPr>
              <w:t>gada 15.</w:t>
            </w:r>
            <w:r w:rsidRPr="00EA6D80">
              <w:rPr>
                <w:color w:val="auto"/>
                <w:sz w:val="22"/>
                <w:szCs w:val="22"/>
              </w:rPr>
              <w:t xml:space="preserve">septembra sēdē informatīvā ziņojuma „Viedās specializācijas stratēģijas monitoringa sistēma” projekts,  kas izstrādāts, lai nodrošinātu publisko ieguldījumu zinātnē, tehnoloģiju attīstībā un inovācijās ietekmes monitoringu un izpildītu nosacījumus investīciju programmu īstenošanas uzsākšanai  ieguldījumiem pētniecībā un attīstībā </w:t>
            </w:r>
            <w:r w:rsidR="007D2E71">
              <w:rPr>
                <w:color w:val="auto"/>
                <w:sz w:val="22"/>
                <w:szCs w:val="22"/>
              </w:rPr>
              <w:t>ES</w:t>
            </w:r>
            <w:r w:rsidRPr="00EA6D80">
              <w:rPr>
                <w:color w:val="auto"/>
                <w:sz w:val="22"/>
                <w:szCs w:val="22"/>
              </w:rPr>
              <w:t xml:space="preserve"> struktūrfondu 2014.-2020.gada plānošanas periodā.</w:t>
            </w:r>
          </w:p>
          <w:p w14:paraId="78741C09" w14:textId="0E9164E9" w:rsidR="00D251AD" w:rsidRPr="00EA6D80" w:rsidRDefault="00FC7FA7" w:rsidP="00FC7FA7">
            <w:pPr>
              <w:tabs>
                <w:tab w:val="left" w:pos="317"/>
                <w:tab w:val="left" w:pos="5812"/>
              </w:tabs>
              <w:autoSpaceDE w:val="0"/>
              <w:autoSpaceDN w:val="0"/>
              <w:adjustRightInd w:val="0"/>
              <w:spacing w:after="0"/>
              <w:ind w:left="34"/>
              <w:cnfStyle w:val="000000000000" w:firstRow="0" w:lastRow="0" w:firstColumn="0" w:lastColumn="0" w:oddVBand="0" w:evenVBand="0" w:oddHBand="0" w:evenHBand="0" w:firstRowFirstColumn="0" w:firstRowLastColumn="0" w:lastRowFirstColumn="0" w:lastRowLastColumn="0"/>
              <w:rPr>
                <w:color w:val="auto"/>
                <w:sz w:val="22"/>
                <w:szCs w:val="22"/>
                <w:highlight w:val="green"/>
              </w:rPr>
            </w:pPr>
            <w:r w:rsidRPr="00EA6D80">
              <w:rPr>
                <w:bCs/>
                <w:color w:val="auto"/>
                <w:sz w:val="22"/>
                <w:szCs w:val="22"/>
              </w:rPr>
              <w:t>Savukārt 2015.gada 16.</w:t>
            </w:r>
            <w:r w:rsidR="00660CDE" w:rsidRPr="00EA6D80">
              <w:rPr>
                <w:bCs/>
                <w:color w:val="auto"/>
                <w:sz w:val="22"/>
                <w:szCs w:val="22"/>
              </w:rPr>
              <w:t xml:space="preserve">aprīlī </w:t>
            </w:r>
            <w:r w:rsidR="00660CDE" w:rsidRPr="00EA6D80">
              <w:rPr>
                <w:color w:val="auto"/>
                <w:sz w:val="22"/>
                <w:szCs w:val="22"/>
              </w:rPr>
              <w:t>Valsts sekretāru sanāksmē</w:t>
            </w:r>
            <w:r w:rsidRPr="00EA6D80">
              <w:rPr>
                <w:color w:val="auto"/>
                <w:sz w:val="22"/>
                <w:szCs w:val="22"/>
              </w:rPr>
              <w:t xml:space="preserve"> (turpmāk – VSS)</w:t>
            </w:r>
            <w:r w:rsidR="00660CDE" w:rsidRPr="00EA6D80">
              <w:rPr>
                <w:color w:val="auto"/>
                <w:sz w:val="22"/>
                <w:szCs w:val="22"/>
              </w:rPr>
              <w:t xml:space="preserve"> tika izsludināts Informatīvais ziņojums par zinātniskās darbības teritoriālo kartējumu.</w:t>
            </w:r>
          </w:p>
        </w:tc>
      </w:tr>
      <w:tr w:rsidR="00D251AD" w:rsidRPr="00EA6D80" w14:paraId="51FE5304"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3DA6C40E" w14:textId="77777777" w:rsidR="00D251AD" w:rsidRPr="00EA6D80" w:rsidRDefault="00D251AD" w:rsidP="00945E73">
            <w:pPr>
              <w:ind w:firstLine="0"/>
              <w:jc w:val="center"/>
              <w:rPr>
                <w:color w:val="auto"/>
                <w:sz w:val="22"/>
                <w:szCs w:val="22"/>
              </w:rPr>
            </w:pPr>
            <w:r w:rsidRPr="00EA6D80">
              <w:rPr>
                <w:color w:val="auto"/>
                <w:sz w:val="22"/>
                <w:szCs w:val="22"/>
              </w:rPr>
              <w:t>3</w:t>
            </w:r>
          </w:p>
        </w:tc>
        <w:tc>
          <w:tcPr>
            <w:tcW w:w="2694" w:type="dxa"/>
          </w:tcPr>
          <w:p w14:paraId="41BC2A72" w14:textId="3B942C53" w:rsidR="00D251AD" w:rsidRPr="00EA6D80" w:rsidRDefault="006652F3" w:rsidP="006652F3">
            <w:pPr>
              <w:ind w:firstLine="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 xml:space="preserve">Veikt konkrētus pasākumus, lai reformētu sociālo palīdzību, nodrošinot pabalstu piemērotību, un veikt pasākumus nodarbinātības palielināšanai. </w:t>
            </w:r>
          </w:p>
        </w:tc>
        <w:tc>
          <w:tcPr>
            <w:tcW w:w="12190" w:type="dxa"/>
          </w:tcPr>
          <w:p w14:paraId="61B9DB3D" w14:textId="474F1CA9" w:rsidR="007746AE" w:rsidRPr="00EA6D80" w:rsidRDefault="00FC7FA7" w:rsidP="00FC7FA7">
            <w:pPr>
              <w:spacing w:after="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 xml:space="preserve">2015.gada 11.jūnijā </w:t>
            </w:r>
            <w:r w:rsidR="007746AE" w:rsidRPr="00EA6D80">
              <w:rPr>
                <w:rStyle w:val="Hyperlink"/>
                <w:bCs/>
                <w:color w:val="auto"/>
                <w:sz w:val="22"/>
                <w:szCs w:val="22"/>
                <w:u w:val="none"/>
              </w:rPr>
              <w:t xml:space="preserve">VSS izsludināti grozījumi likumā "Par sociālo drošību", kas reglamentē minimālā ienākuma līmeņa noteikšanu. Likumprojekts atrodas saskaņošanas procesā. </w:t>
            </w:r>
          </w:p>
          <w:p w14:paraId="321CA62D" w14:textId="62FB2405" w:rsidR="007746AE" w:rsidRPr="00EA6D80" w:rsidRDefault="007746AE" w:rsidP="00FC7FA7">
            <w:pPr>
              <w:spacing w:after="0"/>
              <w:cnfStyle w:val="000000100000" w:firstRow="0" w:lastRow="0" w:firstColumn="0" w:lastColumn="0" w:oddVBand="0" w:evenVBand="0" w:oddHBand="1" w:evenHBand="0" w:firstRowFirstColumn="0" w:firstRowLastColumn="0" w:lastRowFirstColumn="0" w:lastRowLastColumn="0"/>
              <w:rPr>
                <w:rStyle w:val="Hyperlink"/>
                <w:rFonts w:eastAsia="Calibri"/>
                <w:bCs/>
                <w:color w:val="auto"/>
                <w:sz w:val="22"/>
                <w:szCs w:val="22"/>
                <w:u w:val="none"/>
              </w:rPr>
            </w:pPr>
            <w:r w:rsidRPr="00EA6D80">
              <w:rPr>
                <w:rStyle w:val="Hyperlink"/>
                <w:rFonts w:eastAsia="Calibri"/>
                <w:bCs/>
                <w:color w:val="auto"/>
                <w:sz w:val="22"/>
                <w:szCs w:val="22"/>
                <w:u w:val="none"/>
              </w:rPr>
              <w:t>2015.</w:t>
            </w:r>
            <w:r w:rsidRPr="00EA6D80">
              <w:rPr>
                <w:rStyle w:val="Hyperlink"/>
                <w:bCs/>
                <w:color w:val="auto"/>
                <w:sz w:val="22"/>
                <w:szCs w:val="22"/>
                <w:u w:val="none"/>
              </w:rPr>
              <w:t>gadā</w:t>
            </w:r>
            <w:r w:rsidRPr="00EA6D80">
              <w:rPr>
                <w:rStyle w:val="Hyperlink"/>
                <w:rFonts w:eastAsia="Calibri"/>
                <w:bCs/>
                <w:color w:val="auto"/>
                <w:sz w:val="22"/>
                <w:szCs w:val="22"/>
                <w:u w:val="none"/>
              </w:rPr>
              <w:t xml:space="preserve"> tika turpināti un pilnveidoti dažādi aktīvās darba tirgus politikas pasākumi (turpmāk – ADTP). Ar grozījumiem </w:t>
            </w:r>
            <w:r w:rsidR="0048007F" w:rsidRPr="00EA6D80">
              <w:rPr>
                <w:rStyle w:val="Hyperlink"/>
                <w:rFonts w:eastAsia="Calibri"/>
                <w:bCs/>
                <w:color w:val="auto"/>
                <w:sz w:val="22"/>
                <w:szCs w:val="22"/>
                <w:u w:val="none"/>
              </w:rPr>
              <w:t>MK</w:t>
            </w:r>
            <w:r w:rsidRPr="00EA6D80">
              <w:rPr>
                <w:rStyle w:val="Hyperlink"/>
                <w:rFonts w:eastAsia="Calibri"/>
                <w:bCs/>
                <w:color w:val="auto"/>
                <w:sz w:val="22"/>
                <w:szCs w:val="22"/>
                <w:u w:val="none"/>
              </w:rPr>
              <w:t xml:space="preserve"> 2011.gada 25.janvāra noteikumos Nr.75 “Noteikumi par aktīvo nodarbinātības pasākumu un preventīvo bezdarba samazināšanas pasākumu organizēšanas un finansēšanas kārtību un pasākumu īstenotāju izvēles principiem” (stājās spēkā </w:t>
            </w:r>
            <w:r w:rsidR="00FC7FA7" w:rsidRPr="00EA6D80">
              <w:rPr>
                <w:rStyle w:val="Hyperlink"/>
                <w:rFonts w:eastAsia="Calibri"/>
                <w:bCs/>
                <w:color w:val="auto"/>
                <w:sz w:val="22"/>
                <w:szCs w:val="22"/>
                <w:u w:val="none"/>
              </w:rPr>
              <w:t>2015.gada 16.jūnijā</w:t>
            </w:r>
            <w:r w:rsidRPr="00EA6D80">
              <w:rPr>
                <w:rStyle w:val="Hyperlink"/>
                <w:rFonts w:eastAsia="Calibri"/>
                <w:bCs/>
                <w:color w:val="auto"/>
                <w:sz w:val="22"/>
                <w:szCs w:val="22"/>
                <w:u w:val="none"/>
              </w:rPr>
              <w:t>), tika pilnveidoti atsevišķu nodarbinātības pasākumu īstenošanas nosacījumi, t.sk.:</w:t>
            </w:r>
          </w:p>
          <w:p w14:paraId="101FDF39" w14:textId="77777777" w:rsidR="007746AE" w:rsidRPr="00EA6D80" w:rsidRDefault="007746AE" w:rsidP="00FC7FA7">
            <w:pPr>
              <w:autoSpaceDE w:val="0"/>
              <w:autoSpaceDN w:val="0"/>
              <w:adjustRightInd w:val="0"/>
              <w:spacing w:after="0"/>
              <w:ind w:left="720" w:hanging="36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w:t>
            </w:r>
            <w:r w:rsidRPr="00EA6D80">
              <w:rPr>
                <w:rStyle w:val="Hyperlink"/>
                <w:bCs/>
                <w:color w:val="auto"/>
                <w:sz w:val="22"/>
                <w:szCs w:val="22"/>
                <w:u w:val="none"/>
              </w:rPr>
              <w:tab/>
              <w:t>paredzot, ka atbalstu reģionālajai mobilitātei nokļūšanai darba vai apmācību vietā var saņemt arī bezdarbnieki, kuri iesaistās pasākumos „Pasākumi noteiktām personu grupām” (subsidētā nodarbinātība), Apmācība pie darba devēja un Profesionālajā apmācībā, pārkvalifikācijā, kvalifikācijas paaugstināšanā un neformālās izglītības programmās;</w:t>
            </w:r>
          </w:p>
          <w:p w14:paraId="31C33D23" w14:textId="77777777" w:rsidR="007746AE" w:rsidRPr="00EA6D80" w:rsidRDefault="007746AE" w:rsidP="00FC7FA7">
            <w:pPr>
              <w:autoSpaceDE w:val="0"/>
              <w:autoSpaceDN w:val="0"/>
              <w:adjustRightInd w:val="0"/>
              <w:spacing w:after="0"/>
              <w:ind w:left="720" w:hanging="36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w:t>
            </w:r>
            <w:r w:rsidRPr="00EA6D80">
              <w:rPr>
                <w:rStyle w:val="Hyperlink"/>
                <w:bCs/>
                <w:color w:val="auto"/>
                <w:sz w:val="22"/>
                <w:szCs w:val="22"/>
                <w:u w:val="none"/>
              </w:rPr>
              <w:tab/>
              <w:t>paredzot, ka, izvēloties izglītības iestādes bezdarbnieku un darba meklētāju apmācību īstenošanai, netiek paredzēta publiskā iepirkuma procedūra un izglītības iestādes izvēlas paši bezdarbnieki vai darba meklētāji, tādējādi veicinot apmācību pieejamību, vienlaikus nosakot fiksētas apmācību kuponu vērtības;</w:t>
            </w:r>
          </w:p>
          <w:p w14:paraId="2A0D40BB" w14:textId="2B0F1F78" w:rsidR="007746AE" w:rsidRPr="00EA6D80" w:rsidRDefault="00E864B1" w:rsidP="00FC7FA7">
            <w:pPr>
              <w:pStyle w:val="ListParagraph"/>
              <w:numPr>
                <w:ilvl w:val="0"/>
                <w:numId w:val="31"/>
              </w:numPr>
              <w:autoSpaceDE w:val="0"/>
              <w:autoSpaceDN w:val="0"/>
              <w:adjustRightInd w:val="0"/>
              <w:spacing w:after="0" w:line="240" w:lineRule="auto"/>
              <w:contextualSpacing w:val="0"/>
              <w:jc w:val="both"/>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bCs/>
                <w:color w:val="auto"/>
                <w:szCs w:val="22"/>
                <w:u w:val="none"/>
              </w:rPr>
            </w:pPr>
            <w:r>
              <w:rPr>
                <w:rStyle w:val="Hyperlink"/>
                <w:rFonts w:ascii="Times New Roman" w:hAnsi="Times New Roman"/>
                <w:bCs/>
                <w:color w:val="auto"/>
                <w:szCs w:val="22"/>
                <w:u w:val="none"/>
                <w:lang w:val="lv-LV"/>
              </w:rPr>
              <w:t>p</w:t>
            </w:r>
            <w:r w:rsidR="007746AE" w:rsidRPr="00EA6D80">
              <w:rPr>
                <w:rStyle w:val="Hyperlink"/>
                <w:rFonts w:ascii="Times New Roman" w:hAnsi="Times New Roman"/>
                <w:bCs/>
                <w:color w:val="auto"/>
                <w:szCs w:val="22"/>
                <w:u w:val="none"/>
              </w:rPr>
              <w:t>asākumos noteiktām personu grupā</w:t>
            </w:r>
            <w:r w:rsidR="00D27E4E">
              <w:rPr>
                <w:rStyle w:val="Hyperlink"/>
                <w:rFonts w:ascii="Times New Roman" w:hAnsi="Times New Roman"/>
                <w:bCs/>
                <w:color w:val="auto"/>
                <w:szCs w:val="22"/>
                <w:u w:val="none"/>
              </w:rPr>
              <w:t>m paredzot jaunu pakalpojumu - a</w:t>
            </w:r>
            <w:r w:rsidR="007746AE" w:rsidRPr="00EA6D80">
              <w:rPr>
                <w:rStyle w:val="Hyperlink"/>
                <w:rFonts w:ascii="Times New Roman" w:hAnsi="Times New Roman"/>
                <w:bCs/>
                <w:color w:val="auto"/>
                <w:szCs w:val="22"/>
                <w:u w:val="none"/>
              </w:rPr>
              <w:t>tbalsta persona darbā personai ar garīga rakstura traucējumiem, kas palīdz pasākuma ietvaros integrēties darbavietā (līdzdalība pārrunās ar darba devēju, atbalsta sniegšana darba vadītāja norādīto darba uzdevumu apguvē un izpildē, komunikācijas un saskarsmes veidošana ar darba devēju, darba vadītāju un darba kolēģiem, psiholoģiska un motivējoša atbalsta sniegšana) un ievērot darba kārtības noteikumus un darba pienākumus u.c.</w:t>
            </w:r>
          </w:p>
          <w:p w14:paraId="158E4E92" w14:textId="1369F1CF" w:rsidR="007746AE" w:rsidRPr="00EA6D80" w:rsidRDefault="00FC7FA7" w:rsidP="00FC7FA7">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2015.</w:t>
            </w:r>
            <w:r w:rsidR="007746AE" w:rsidRPr="00EA6D80">
              <w:rPr>
                <w:rStyle w:val="Hyperlink"/>
                <w:bCs/>
                <w:color w:val="auto"/>
                <w:sz w:val="22"/>
                <w:szCs w:val="22"/>
                <w:u w:val="none"/>
              </w:rPr>
              <w:t xml:space="preserve">gada septembrī projekta “Latvijas visaptverošas aktīvās novecošanās stratēģijas izstrāde iedzīvotāju darba mūža pagarināšanai un uzlabošanai" (turpmāk – projekts) ietvaros </w:t>
            </w:r>
            <w:r w:rsidR="00C3203D">
              <w:rPr>
                <w:rStyle w:val="Hyperlink"/>
                <w:bCs/>
                <w:color w:val="auto"/>
                <w:sz w:val="22"/>
                <w:szCs w:val="22"/>
                <w:u w:val="none"/>
              </w:rPr>
              <w:t>tika</w:t>
            </w:r>
            <w:r w:rsidR="007746AE" w:rsidRPr="00EA6D80">
              <w:rPr>
                <w:rStyle w:val="Hyperlink"/>
                <w:bCs/>
                <w:color w:val="auto"/>
                <w:sz w:val="22"/>
                <w:szCs w:val="22"/>
                <w:u w:val="none"/>
              </w:rPr>
              <w:t xml:space="preserve"> saņemts Pasaules Bankas veiktā pētījuma “Aktīvās novecošanās izaicinājumi ilgākam darba mūžam Latvijā” (“The Active Aging Challenge for Longer Working lives in Latvia”) gala nodevums.  Pētījumā ir sniegtas rekomendācijas aktīvās novecošanās situācijas uzlabošanai, kas tiks izmantotas visaptverošas aktīvās novecošanās stratēģijas un 2014.-2020.gada ES fondu plānošanas perioda darbības programmas “Izaugsme un nodarbinātība” specifiskā atbalsta mērķa 7.3.2. “Paildzināt gados vecāku nodarbināto darbspēju saglabāšanu un nodarbinātību” aktivitāšu izstrādē.</w:t>
            </w:r>
          </w:p>
          <w:p w14:paraId="0F690125" w14:textId="0F91CAE9" w:rsidR="007746AE" w:rsidRPr="00EA6D80" w:rsidRDefault="00FC7FA7" w:rsidP="00FC7FA7">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Projekta ietvaros 2015.</w:t>
            </w:r>
            <w:r w:rsidR="007746AE" w:rsidRPr="00EA6D80">
              <w:rPr>
                <w:rStyle w:val="Hyperlink"/>
                <w:bCs/>
                <w:color w:val="auto"/>
                <w:sz w:val="22"/>
                <w:szCs w:val="22"/>
                <w:u w:val="none"/>
              </w:rPr>
              <w:t>gada oktobrī tiks organizēta konference “Aktīvā novecošanās darba mūža pagarināšanai un uzlabošanai” ar mērķi analizēt aktīvās novecošanās situāciju un izaicinājumus Eiropā, vēršot uzmanību uz nodarbinātības aspektiem, kā arī iepazīties ar valstu pieredzi attiecībā uz pielāgošanos mainīgajiem darba tirgus apstākļiem un efektīvu esošā darbaspēka potenciālā izmantošanu un tehniskais seminārs par Pasaules Bankas veikto pētījumu par aktīvas novecošanās situāciju Latvijā ar mērķi padziļināti izskatīt pētījuma rezultātus.</w:t>
            </w:r>
          </w:p>
          <w:p w14:paraId="4A5DB491" w14:textId="7E36FAAF" w:rsidR="007746AE" w:rsidRPr="00EA6D80" w:rsidRDefault="007746AE" w:rsidP="00FC7FA7">
            <w:pPr>
              <w:spacing w:after="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2015.gada 27.augustā tik</w:t>
            </w:r>
            <w:r w:rsidR="00E864B1">
              <w:rPr>
                <w:rStyle w:val="Hyperlink"/>
                <w:bCs/>
                <w:color w:val="auto"/>
                <w:sz w:val="22"/>
                <w:szCs w:val="22"/>
                <w:u w:val="none"/>
              </w:rPr>
              <w:t>a</w:t>
            </w:r>
            <w:r w:rsidRPr="00EA6D80">
              <w:rPr>
                <w:rStyle w:val="Hyperlink"/>
                <w:bCs/>
                <w:color w:val="auto"/>
                <w:sz w:val="22"/>
                <w:szCs w:val="22"/>
                <w:u w:val="none"/>
              </w:rPr>
              <w:t xml:space="preserve"> organizēts seminārs, lai iepazītos ar pētījuma</w:t>
            </w:r>
            <w:r w:rsidR="00D27E4E">
              <w:rPr>
                <w:rStyle w:val="FootnoteReference"/>
                <w:bCs/>
                <w:color w:val="auto"/>
                <w:szCs w:val="22"/>
              </w:rPr>
              <w:footnoteReference w:id="5"/>
            </w:r>
            <w:r w:rsidRPr="00EA6D80">
              <w:rPr>
                <w:rStyle w:val="Hyperlink"/>
                <w:bCs/>
                <w:color w:val="auto"/>
                <w:sz w:val="22"/>
                <w:szCs w:val="22"/>
                <w:u w:val="none"/>
              </w:rPr>
              <w:t xml:space="preserve"> „Ieguldām jauniešos: Latvija” rezultātiem. Pētījuma ietvaros izstrādātas rekomendācijas jauniešiem paredzēto atbalsta mehānismu pilnveidei. OECD eksperti iesaka Latvijai pilnveidot un uzlabot informācijas apmaiņu skolu un pašvaldību starpā par riskam pakļautajiem jauniešiem, lai vēl vairāk samazinātu priekšlaicīgi skolu pametušo jauniešu skaitu. Tāpat eksperti rosina uzlabot saikni starp pabalstu saņemšanu un jauniešu līdzdalību programmās, izveidot kvalitatīvu darba vidē balstītu apmācību sistēmu, cieši sadarbojoties skolām un darba devējiem. Vienlaikus OECD iesaka stiprināt un uzlabot karjeras konsultāciju pieejamību skolās, lai motivētu skolēnus, kas vēlas pārtraukt mācības, iesaistīties profesionālās izglītības programmās.</w:t>
            </w:r>
          </w:p>
          <w:p w14:paraId="07E50D80" w14:textId="77777777" w:rsidR="007746AE" w:rsidRPr="00EA6D80" w:rsidRDefault="007746AE" w:rsidP="00FC7FA7">
            <w:pPr>
              <w:spacing w:after="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OECD eksperti augstu novērtējuši Latvijas interešu izglītības sistēmu un piedāvā to sasaistīt ar citiem sociāliem, veselības un nodarbinātības pakalpojumiem, tādējādi sasniedzot lielāku skaitu riskam pakļauto jauniešu. Tāpat OECD eksperti rosina palielināt Nodarbinātības valsts aģentūras un pašvaldību sociālo dienestu kapacitāti, jo īpaši konsultantiem, kas strādā ar sociālās atstumtības riskam pakļautajiem jauniešiem.</w:t>
            </w:r>
          </w:p>
          <w:p w14:paraId="79438D69" w14:textId="77777777" w:rsidR="007746AE" w:rsidRPr="00EA6D80" w:rsidRDefault="007746AE" w:rsidP="00FC7FA7">
            <w:pPr>
              <w:spacing w:after="0"/>
              <w:cnfStyle w:val="000000100000" w:firstRow="0" w:lastRow="0" w:firstColumn="0" w:lastColumn="0" w:oddVBand="0" w:evenVBand="0" w:oddHBand="1" w:evenHBand="0" w:firstRowFirstColumn="0" w:firstRowLastColumn="0" w:lastRowFirstColumn="0" w:lastRowLastColumn="0"/>
              <w:rPr>
                <w:rStyle w:val="Hyperlink"/>
                <w:bCs/>
                <w:color w:val="auto"/>
                <w:sz w:val="22"/>
                <w:szCs w:val="22"/>
                <w:u w:val="none"/>
              </w:rPr>
            </w:pPr>
            <w:r w:rsidRPr="00EA6D80">
              <w:rPr>
                <w:rStyle w:val="Hyperlink"/>
                <w:bCs/>
                <w:color w:val="auto"/>
                <w:sz w:val="22"/>
                <w:szCs w:val="22"/>
                <w:u w:val="none"/>
              </w:rPr>
              <w:t>OECD pētījuma sākotnējos rezultātus Latvija izmantos jaunas atbalsta programmas jauniešu, kuri nemācās un nestrādā, izstrādei Jaunatnes starptautisko programmu aģentūras īstenotajā projektā "Proti un dari". Tā īstenošana plānota sadarbībā ar pilsētas vai novada pašvaldībām.</w:t>
            </w:r>
          </w:p>
          <w:p w14:paraId="4240FB87" w14:textId="6DEA2CA6" w:rsidR="007043A5" w:rsidRPr="00D27E4E" w:rsidRDefault="007746AE" w:rsidP="00D27E4E">
            <w:pPr>
              <w:spacing w:after="0"/>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A6D80">
              <w:rPr>
                <w:rStyle w:val="Hyperlink"/>
                <w:bCs/>
                <w:color w:val="auto"/>
                <w:sz w:val="22"/>
                <w:szCs w:val="22"/>
                <w:u w:val="none"/>
              </w:rPr>
              <w:t>Vienlaikus priekšlikumus atbalsta sistēmas pilnveidei izskatīs Jauniešu garantijas programmas ieviešanas konsultatīvā padome, un lems par izmaiņām programmas pa</w:t>
            </w:r>
            <w:r w:rsidR="00D27E4E">
              <w:rPr>
                <w:rStyle w:val="Hyperlink"/>
                <w:bCs/>
                <w:color w:val="auto"/>
                <w:sz w:val="22"/>
                <w:szCs w:val="22"/>
                <w:u w:val="none"/>
              </w:rPr>
              <w:t>sākumu īstenošanas nosacījumos.</w:t>
            </w:r>
          </w:p>
        </w:tc>
      </w:tr>
      <w:tr w:rsidR="00D251AD" w:rsidRPr="00EA6D80" w14:paraId="430B60D0" w14:textId="77777777" w:rsidTr="00D640F7">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24C3ACA7" w14:textId="77777777" w:rsidR="00D251AD" w:rsidRPr="00EA6D80" w:rsidRDefault="00D251AD" w:rsidP="00945E73">
            <w:pPr>
              <w:jc w:val="center"/>
              <w:rPr>
                <w:color w:val="auto"/>
                <w:sz w:val="22"/>
                <w:szCs w:val="22"/>
              </w:rPr>
            </w:pPr>
          </w:p>
        </w:tc>
        <w:tc>
          <w:tcPr>
            <w:tcW w:w="2694" w:type="dxa"/>
          </w:tcPr>
          <w:p w14:paraId="01C3413D" w14:textId="5493F68F" w:rsidR="00D251AD" w:rsidRPr="00EA6D80" w:rsidRDefault="006652F3" w:rsidP="006652F3">
            <w:pPr>
              <w:ind w:firstLine="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Samazināt lielo nodokļu īpatsvaru cilvēkiem ar zemiem ienākumiem, novirzot nodokļu slogu uz avotiem, kam ir mazāka negatīvā ietekme uz izaugsmi. </w:t>
            </w:r>
          </w:p>
        </w:tc>
        <w:tc>
          <w:tcPr>
            <w:tcW w:w="12190" w:type="dxa"/>
          </w:tcPr>
          <w:p w14:paraId="58080A8C" w14:textId="77777777" w:rsidR="00D251AD" w:rsidRPr="003322DA" w:rsidRDefault="008F7818" w:rsidP="003322D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3322DA">
              <w:rPr>
                <w:color w:val="auto"/>
                <w:sz w:val="22"/>
                <w:szCs w:val="22"/>
              </w:rPr>
              <w:t xml:space="preserve">Turpinot mazināt iedzīvotāju ienākumu nevienlīdzību, valdība atbalstīja un no 2016.gada 1.janvāra plānots palielināt minimālo mēneša darba algu no 360 līdz 370 </w:t>
            </w:r>
            <w:r w:rsidRPr="003322DA">
              <w:rPr>
                <w:i/>
                <w:color w:val="auto"/>
                <w:sz w:val="22"/>
                <w:szCs w:val="22"/>
              </w:rPr>
              <w:t>euro</w:t>
            </w:r>
            <w:r w:rsidRPr="003322DA">
              <w:rPr>
                <w:color w:val="auto"/>
                <w:sz w:val="22"/>
                <w:szCs w:val="22"/>
              </w:rPr>
              <w:t xml:space="preserve">, tāpat no 75 uz 85 </w:t>
            </w:r>
            <w:r w:rsidRPr="003322DA">
              <w:rPr>
                <w:i/>
                <w:color w:val="auto"/>
                <w:sz w:val="22"/>
                <w:szCs w:val="22"/>
              </w:rPr>
              <w:t>euro</w:t>
            </w:r>
            <w:r w:rsidRPr="003322DA">
              <w:rPr>
                <w:color w:val="auto"/>
                <w:sz w:val="22"/>
                <w:szCs w:val="22"/>
              </w:rPr>
              <w:t xml:space="preserve"> palielināt ar iedzīvotāju ienākuma nodokli neapliekamo minimumu, tai pašā laikā, apstiprinot arī diferencētā neapliekamā minimuma ieviešanu no 2016.gada, kas būtiski mazinās slogu mazo algu saņēmējiem un palielinās to ienākumus. Plānots arī ieviest solidaritātes nodokli (darba algām, kas pārsniedz 4 050 </w:t>
            </w:r>
            <w:r w:rsidRPr="003322DA">
              <w:rPr>
                <w:i/>
                <w:color w:val="auto"/>
                <w:sz w:val="22"/>
                <w:szCs w:val="22"/>
              </w:rPr>
              <w:t>euro</w:t>
            </w:r>
            <w:r w:rsidRPr="003322DA">
              <w:rPr>
                <w:color w:val="auto"/>
                <w:sz w:val="22"/>
                <w:szCs w:val="22"/>
              </w:rPr>
              <w:t xml:space="preserve"> mēnesī), līdz ar to tiks novērsta nevienlīdzība, ka personas ar augstākiem darba ienākumiem maksā procentuāli mazāk nodokļu nekā personas ar zemākiem ienākumiem.</w:t>
            </w:r>
          </w:p>
          <w:p w14:paraId="47898802" w14:textId="123D3033" w:rsidR="003322DA" w:rsidRPr="003322DA" w:rsidRDefault="003322DA" w:rsidP="003322D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3322DA">
              <w:rPr>
                <w:color w:val="auto"/>
                <w:sz w:val="22"/>
                <w:szCs w:val="22"/>
              </w:rPr>
              <w:t>Ar 2016.gada 1.janvāri paredzēts paaugstināt akcīzes nodokļa likmi svinu nesaturošam benzīnam, dīzeļdegvielai, petrolejai, degvieleļļai, kuras kolorimetriskais indekss ir mazāks par 2,0 un kinemātiskā viskozitāte 50</w:t>
            </w:r>
            <w:r w:rsidRPr="003322DA">
              <w:rPr>
                <w:color w:val="auto"/>
                <w:sz w:val="22"/>
                <w:szCs w:val="22"/>
                <w:vertAlign w:val="superscript"/>
              </w:rPr>
              <w:t>o</w:t>
            </w:r>
            <w:r w:rsidRPr="003322DA">
              <w:rPr>
                <w:color w:val="auto"/>
                <w:sz w:val="22"/>
                <w:szCs w:val="22"/>
              </w:rPr>
              <w:t>C ir mazāka par 25 mm</w:t>
            </w:r>
            <w:r w:rsidRPr="003322DA">
              <w:rPr>
                <w:color w:val="auto"/>
                <w:sz w:val="22"/>
                <w:szCs w:val="22"/>
                <w:vertAlign w:val="superscript"/>
              </w:rPr>
              <w:t>2</w:t>
            </w:r>
            <w:r w:rsidRPr="003322DA">
              <w:rPr>
                <w:color w:val="auto"/>
                <w:sz w:val="22"/>
                <w:szCs w:val="22"/>
              </w:rPr>
              <w:t xml:space="preserve">/s, un sašķidrinātajām naftas gāzēm. </w:t>
            </w:r>
          </w:p>
          <w:p w14:paraId="023384D4" w14:textId="634DFFE3" w:rsidR="003322DA" w:rsidRPr="003322DA" w:rsidRDefault="003322DA" w:rsidP="003322D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3322DA">
              <w:rPr>
                <w:color w:val="auto"/>
                <w:sz w:val="22"/>
                <w:szCs w:val="22"/>
              </w:rPr>
              <w:t xml:space="preserve">Ar </w:t>
            </w:r>
            <w:r>
              <w:rPr>
                <w:color w:val="auto"/>
                <w:sz w:val="22"/>
                <w:szCs w:val="22"/>
              </w:rPr>
              <w:t>2016.gada 1.</w:t>
            </w:r>
            <w:r w:rsidRPr="003322DA">
              <w:rPr>
                <w:color w:val="auto"/>
                <w:sz w:val="22"/>
                <w:szCs w:val="22"/>
              </w:rPr>
              <w:t>janvāri paredzēts paaugstināt akcīzes nodokli smēķējamai tabakai un tabakas lapām, savukārt ar 2016.</w:t>
            </w:r>
            <w:r>
              <w:rPr>
                <w:color w:val="auto"/>
                <w:sz w:val="22"/>
                <w:szCs w:val="22"/>
              </w:rPr>
              <w:t>gada 1.</w:t>
            </w:r>
            <w:r w:rsidRPr="003322DA">
              <w:rPr>
                <w:color w:val="auto"/>
                <w:sz w:val="22"/>
                <w:szCs w:val="22"/>
              </w:rPr>
              <w:t xml:space="preserve">jūliju plānots ieviest jaunu akcīzes nodokļa objektu - elektroniskajās cigaretēs izmantojamos šķidrumus. </w:t>
            </w:r>
          </w:p>
          <w:p w14:paraId="25E7A756" w14:textId="054F3E3A" w:rsidR="003322DA" w:rsidRPr="00EA6D80" w:rsidRDefault="003322DA" w:rsidP="003322DA">
            <w:pPr>
              <w:spacing w:after="0"/>
              <w:cnfStyle w:val="000000000000" w:firstRow="0" w:lastRow="0" w:firstColumn="0" w:lastColumn="0" w:oddVBand="0" w:evenVBand="0" w:oddHBand="0" w:evenHBand="0" w:firstRowFirstColumn="0" w:firstRowLastColumn="0" w:lastRowFirstColumn="0" w:lastRowLastColumn="0"/>
              <w:rPr>
                <w:color w:val="000000"/>
                <w:sz w:val="22"/>
                <w:szCs w:val="22"/>
              </w:rPr>
            </w:pPr>
            <w:r w:rsidRPr="003322DA">
              <w:rPr>
                <w:color w:val="auto"/>
                <w:sz w:val="22"/>
                <w:szCs w:val="22"/>
              </w:rPr>
              <w:t xml:space="preserve">Saskaņā ar </w:t>
            </w:r>
            <w:r>
              <w:rPr>
                <w:color w:val="auto"/>
                <w:sz w:val="22"/>
                <w:szCs w:val="22"/>
              </w:rPr>
              <w:t>2015.gada 18</w:t>
            </w:r>
            <w:r w:rsidRPr="003322DA">
              <w:rPr>
                <w:color w:val="auto"/>
                <w:sz w:val="22"/>
                <w:szCs w:val="22"/>
              </w:rPr>
              <w:t xml:space="preserve"> jūnijā pieņemtajiem grozījumiem likumā</w:t>
            </w:r>
            <w:r>
              <w:rPr>
                <w:color w:val="auto"/>
                <w:sz w:val="22"/>
                <w:szCs w:val="22"/>
              </w:rPr>
              <w:t xml:space="preserve"> “Par akcīzes nodokli” ar 2015.gada 1.</w:t>
            </w:r>
            <w:r w:rsidRPr="003322DA">
              <w:rPr>
                <w:color w:val="auto"/>
                <w:sz w:val="22"/>
                <w:szCs w:val="22"/>
              </w:rPr>
              <w:t>augustu tika paaugstinātas akcīzes nodokļa likmes alkoholiskajiem dzērieniem un alum, un tās ir pl</w:t>
            </w:r>
            <w:r>
              <w:rPr>
                <w:color w:val="auto"/>
                <w:sz w:val="22"/>
                <w:szCs w:val="22"/>
              </w:rPr>
              <w:t>ānots paaugstināt arī ar 2016.gada 1.</w:t>
            </w:r>
            <w:r w:rsidRPr="003322DA">
              <w:rPr>
                <w:color w:val="auto"/>
                <w:sz w:val="22"/>
                <w:szCs w:val="22"/>
              </w:rPr>
              <w:t>aprīli.</w:t>
            </w:r>
          </w:p>
        </w:tc>
      </w:tr>
      <w:tr w:rsidR="00D251AD" w:rsidRPr="00EA6D80" w14:paraId="2F0D586D"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268DEBD9" w14:textId="77777777" w:rsidR="00D251AD" w:rsidRPr="00EA6D80" w:rsidRDefault="00D251AD" w:rsidP="00945E73">
            <w:pPr>
              <w:jc w:val="center"/>
              <w:rPr>
                <w:color w:val="auto"/>
                <w:sz w:val="22"/>
                <w:szCs w:val="22"/>
              </w:rPr>
            </w:pPr>
          </w:p>
        </w:tc>
        <w:tc>
          <w:tcPr>
            <w:tcW w:w="2694" w:type="dxa"/>
          </w:tcPr>
          <w:p w14:paraId="2D9DA6F8" w14:textId="3E753415" w:rsidR="00D251AD" w:rsidRPr="00EA6D80" w:rsidRDefault="006652F3" w:rsidP="00945E73">
            <w:pPr>
              <w:ind w:firstLine="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Rīkoties, lai uzlabotu veselības aprūpes sistēmas pieejamību, izmaksu lietderību un kvalitāti un slimnīcu finansēšanu sasaistītu ar sasniegumos balstītiem mehānismiem.</w:t>
            </w:r>
          </w:p>
        </w:tc>
        <w:tc>
          <w:tcPr>
            <w:tcW w:w="12190" w:type="dxa"/>
          </w:tcPr>
          <w:p w14:paraId="416DDEE9" w14:textId="1664C401" w:rsidR="007043A5" w:rsidRPr="00EA6D80" w:rsidRDefault="00A601AC" w:rsidP="00A601AC">
            <w:pPr>
              <w:spacing w:after="6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000000"/>
                <w:sz w:val="22"/>
                <w:szCs w:val="22"/>
              </w:rPr>
              <w:t>Veselības ministrija turpina darbu pie pasākumiem, kas minēti progresa ziņojumā par Latvijas Nacionālās ref</w:t>
            </w:r>
            <w:r w:rsidR="00B423FC" w:rsidRPr="00EA6D80">
              <w:rPr>
                <w:color w:val="000000"/>
                <w:sz w:val="22"/>
                <w:szCs w:val="22"/>
              </w:rPr>
              <w:t>ormu programmas „Eiropas 2020”</w:t>
            </w:r>
            <w:r w:rsidRPr="00EA6D80">
              <w:rPr>
                <w:color w:val="000000"/>
                <w:sz w:val="22"/>
                <w:szCs w:val="22"/>
              </w:rPr>
              <w:t xml:space="preserve"> stratēģijas īstenošanai.</w:t>
            </w:r>
          </w:p>
        </w:tc>
      </w:tr>
      <w:tr w:rsidR="00D251AD" w:rsidRPr="00EA6D80" w14:paraId="6E8A4921" w14:textId="77777777" w:rsidTr="00D640F7">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2E0627E3" w14:textId="77777777" w:rsidR="00D251AD" w:rsidRPr="00EA6D80" w:rsidRDefault="00D251AD" w:rsidP="00945E73">
            <w:pPr>
              <w:ind w:firstLine="0"/>
              <w:jc w:val="center"/>
              <w:rPr>
                <w:color w:val="auto"/>
                <w:sz w:val="22"/>
                <w:szCs w:val="22"/>
              </w:rPr>
            </w:pPr>
            <w:r w:rsidRPr="00EA6D80">
              <w:rPr>
                <w:color w:val="auto"/>
                <w:sz w:val="22"/>
                <w:szCs w:val="22"/>
              </w:rPr>
              <w:t>4</w:t>
            </w:r>
          </w:p>
        </w:tc>
        <w:tc>
          <w:tcPr>
            <w:tcW w:w="2694" w:type="dxa"/>
          </w:tcPr>
          <w:p w14:paraId="3D350495" w14:textId="463D1C67" w:rsidR="00D251AD" w:rsidRPr="00EA6D80" w:rsidRDefault="006652F3" w:rsidP="00945E73">
            <w:pPr>
              <w:ind w:firstLine="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Uzlabot tiesu iestāžu sistēmas efektivitāti, palielinot visu pušu (tostarp maksātnespējas administratoru) pārskatatbildību, nodrošinot piemērotus līdzekļus, lai apkarotu izvairīšanos no nodokļu maksāšanas, un stiprinot Tieslietu padomes nozīmi. </w:t>
            </w:r>
          </w:p>
        </w:tc>
        <w:tc>
          <w:tcPr>
            <w:tcW w:w="12190" w:type="dxa"/>
          </w:tcPr>
          <w:p w14:paraId="768698E3" w14:textId="0B493239" w:rsidR="001A2142" w:rsidRPr="00EA6D80" w:rsidRDefault="001A2142" w:rsidP="00FC7FA7">
            <w:pPr>
              <w:spacing w:after="0"/>
              <w:cnfStyle w:val="000000000000" w:firstRow="0" w:lastRow="0" w:firstColumn="0" w:lastColumn="0" w:oddVBand="0" w:evenVBand="0" w:oddHBand="0" w:evenHBand="0" w:firstRowFirstColumn="0" w:firstRowLastColumn="0" w:lastRowFirstColumn="0" w:lastRowLastColumn="0"/>
              <w:rPr>
                <w:color w:val="00B050"/>
                <w:sz w:val="22"/>
                <w:szCs w:val="22"/>
                <w:u w:val="single"/>
              </w:rPr>
            </w:pPr>
            <w:r w:rsidRPr="00EA6D80">
              <w:rPr>
                <w:color w:val="auto"/>
                <w:sz w:val="22"/>
                <w:szCs w:val="22"/>
              </w:rPr>
              <w:t>L</w:t>
            </w:r>
            <w:r w:rsidRPr="00EA6D80">
              <w:rPr>
                <w:color w:val="000000"/>
                <w:sz w:val="22"/>
                <w:szCs w:val="22"/>
              </w:rPr>
              <w:t xml:space="preserve">ai stiprinātu un paplašinātu Tieslietu padomes lomu, sagatavoti grozījumi likumā </w:t>
            </w:r>
            <w:r w:rsidR="00A17D75">
              <w:rPr>
                <w:color w:val="000000"/>
                <w:sz w:val="22"/>
                <w:szCs w:val="22"/>
              </w:rPr>
              <w:t>„</w:t>
            </w:r>
            <w:r w:rsidRPr="00EA6D80">
              <w:rPr>
                <w:color w:val="000000"/>
                <w:sz w:val="22"/>
                <w:szCs w:val="22"/>
              </w:rPr>
              <w:t>Par tiesu varu</w:t>
            </w:r>
            <w:r w:rsidR="00A17D75">
              <w:rPr>
                <w:color w:val="000000"/>
                <w:sz w:val="22"/>
                <w:szCs w:val="22"/>
              </w:rPr>
              <w:t>”</w:t>
            </w:r>
            <w:r w:rsidRPr="00EA6D80">
              <w:rPr>
                <w:i/>
                <w:color w:val="000000"/>
                <w:sz w:val="22"/>
                <w:szCs w:val="22"/>
              </w:rPr>
              <w:t xml:space="preserve"> </w:t>
            </w:r>
            <w:r w:rsidRPr="00EA6D80">
              <w:rPr>
                <w:color w:val="000000"/>
                <w:sz w:val="22"/>
                <w:szCs w:val="22"/>
              </w:rPr>
              <w:t>(2015.gada 25.augustā iesniegti Valsts kancelejā izskatīšanai MK sēdē), kas</w:t>
            </w:r>
            <w:r w:rsidRPr="00EA6D80">
              <w:rPr>
                <w:i/>
                <w:color w:val="000000"/>
                <w:sz w:val="22"/>
                <w:szCs w:val="22"/>
              </w:rPr>
              <w:t xml:space="preserve"> </w:t>
            </w:r>
            <w:r w:rsidRPr="00EA6D80">
              <w:rPr>
                <w:color w:val="000000"/>
                <w:sz w:val="22"/>
                <w:szCs w:val="22"/>
              </w:rPr>
              <w:t>paredz Tieslietu padomes kompetenci rajona (pilsētas) tiesas priekšsēdētāja un apgabaltiesas priekšsēdētāja iecelšanā un atbrīvošanā no amata; tiesneša pārcelšanā uz vakanto tiesneša amatu augstāka vai zemāka līmeņa tiesā; tiesneša amata kandidāta atlases, stažēšanās un kvalifikācijas eksāmena kārtošanas kārtības noteikšanā; tiesnešu un tiesas darbinieku apmācību programmu apstiprināšanā.</w:t>
            </w:r>
          </w:p>
          <w:p w14:paraId="4C30F870" w14:textId="1E51989B" w:rsidR="001A2142" w:rsidRPr="00EA6D80" w:rsidRDefault="001A2142" w:rsidP="00FC7FA7">
            <w:pPr>
              <w:spacing w:after="0"/>
              <w:cnfStyle w:val="000000000000" w:firstRow="0" w:lastRow="0" w:firstColumn="0" w:lastColumn="0" w:oddVBand="0" w:evenVBand="0" w:oddHBand="0" w:evenHBand="0" w:firstRowFirstColumn="0" w:firstRowLastColumn="0" w:lastRowFirstColumn="0" w:lastRowLastColumn="0"/>
              <w:rPr>
                <w:color w:val="FF0000"/>
                <w:sz w:val="22"/>
                <w:szCs w:val="22"/>
              </w:rPr>
            </w:pPr>
            <w:r w:rsidRPr="00EA6D80">
              <w:rPr>
                <w:color w:val="auto"/>
                <w:sz w:val="22"/>
                <w:szCs w:val="22"/>
              </w:rPr>
              <w:t>2015.gada 9.martā MK apstiprināts Rīcības plāns Tiesu varas un tiesībaizsardzības iestāžu darbinieku cilvēkresursu kapacitātes stiprināšanai un kompetenču attīstīšanai 2015.-2020. gadam (grozījumi rīcības plānā apstiprināti MK 2015.gada 18.augustā). Rīcības plāna uzdevumi veido pasākumu kopumu, kas tiks īstenoti Darbības programmas „Iz</w:t>
            </w:r>
            <w:r w:rsidR="00F6099D" w:rsidRPr="00EA6D80">
              <w:rPr>
                <w:color w:val="auto"/>
                <w:sz w:val="22"/>
                <w:szCs w:val="22"/>
              </w:rPr>
              <w:t>augsme un nodarbinātība” 3.4.1.</w:t>
            </w:r>
            <w:r w:rsidRPr="00EA6D80">
              <w:rPr>
                <w:color w:val="auto"/>
                <w:sz w:val="22"/>
                <w:szCs w:val="22"/>
              </w:rPr>
              <w:t xml:space="preserve">specifiskā atbalsta mērķa  - paaugstināt tiesu un tiesībsargājošo institūciju personāla kompetenci komercdarbības vides uzlabošanas sekmēšanai – sasniegšanai. 2015.gada 27.augustā Valsts sekretāru sanāksmē ir izsludināts MK noteikumu projekts „Darbības programmas „Izaugsme un </w:t>
            </w:r>
            <w:r w:rsidR="00F6099D" w:rsidRPr="00EA6D80">
              <w:rPr>
                <w:color w:val="auto"/>
                <w:sz w:val="22"/>
                <w:szCs w:val="22"/>
              </w:rPr>
              <w:t>nodarbinātība” 3.4.1.</w:t>
            </w:r>
            <w:r w:rsidRPr="00EA6D80">
              <w:rPr>
                <w:color w:val="auto"/>
                <w:sz w:val="22"/>
                <w:szCs w:val="22"/>
              </w:rPr>
              <w:t xml:space="preserve">specifiskā atbalsta mērķa „Paaugstināt tiesu un tiesībsargājošo institūciju personāla kompetenci komercdarbības vides uzlabošanas sekmēšanai” īstenošanas noteikumi”, paredzot, ka </w:t>
            </w:r>
            <w:r w:rsidR="00F6099D" w:rsidRPr="00EA6D80">
              <w:rPr>
                <w:color w:val="auto"/>
                <w:sz w:val="22"/>
                <w:szCs w:val="22"/>
              </w:rPr>
              <w:t>pasākumi tiks īstenoti no 2016.</w:t>
            </w:r>
            <w:r w:rsidRPr="00EA6D80">
              <w:rPr>
                <w:color w:val="auto"/>
                <w:sz w:val="22"/>
                <w:szCs w:val="22"/>
              </w:rPr>
              <w:t>gada 1.ceturkšņa līdz 2022.gada 4.ceturksnim no Eiropas Sociālā fonda</w:t>
            </w:r>
            <w:r w:rsidR="00FC7FA7" w:rsidRPr="00EA6D80">
              <w:rPr>
                <w:color w:val="auto"/>
                <w:sz w:val="22"/>
                <w:szCs w:val="22"/>
              </w:rPr>
              <w:t xml:space="preserve"> (turpmāk – ESF)</w:t>
            </w:r>
            <w:r w:rsidRPr="00EA6D80">
              <w:rPr>
                <w:color w:val="auto"/>
                <w:sz w:val="22"/>
                <w:szCs w:val="22"/>
              </w:rPr>
              <w:t xml:space="preserve"> līdzekļiem.</w:t>
            </w:r>
          </w:p>
          <w:p w14:paraId="5A849558" w14:textId="58317621" w:rsidR="001A2142" w:rsidRPr="00EA6D80" w:rsidRDefault="001A2142" w:rsidP="00FC7FA7">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bCs/>
                <w:color w:val="auto"/>
                <w:sz w:val="22"/>
                <w:szCs w:val="22"/>
              </w:rPr>
              <w:t xml:space="preserve">Turpinās maksātnespējas procesa administratoru profesijas reforma, kuras mērķis ir uzraudzības un izglītības sistēmas pilnveidošana. </w:t>
            </w:r>
            <w:r w:rsidRPr="00EA6D80">
              <w:rPr>
                <w:color w:val="auto"/>
                <w:sz w:val="22"/>
                <w:szCs w:val="22"/>
              </w:rPr>
              <w:t>Plānots, ka reformā paredzētie mehānismi nodrošinās administratoru darbības uzraudzības sistēmas pilnveidošanu, administratora atbildības līmeņa celšanos, administratora darbības caurspīdīgumu un profesijas prestiža celšanos.</w:t>
            </w:r>
            <w:r w:rsidRPr="00EA6D80">
              <w:rPr>
                <w:bCs/>
                <w:color w:val="auto"/>
                <w:sz w:val="22"/>
                <w:szCs w:val="22"/>
              </w:rPr>
              <w:t xml:space="preserve"> </w:t>
            </w:r>
            <w:r w:rsidRPr="00EA6D80">
              <w:rPr>
                <w:color w:val="auto"/>
                <w:sz w:val="22"/>
                <w:szCs w:val="22"/>
              </w:rPr>
              <w:t>Šobrīd reformas ietvaros tiek virzīti divi likumprojekti: 1) likumprojekts „Grozījumi Maksātnespējas likumā” (likumprojekts par administratoru profesijas reformu);</w:t>
            </w:r>
            <w:r w:rsidRPr="00EA6D80">
              <w:rPr>
                <w:bCs/>
                <w:color w:val="auto"/>
                <w:sz w:val="22"/>
                <w:szCs w:val="22"/>
              </w:rPr>
              <w:t xml:space="preserve"> </w:t>
            </w:r>
            <w:r w:rsidRPr="00EA6D80">
              <w:rPr>
                <w:color w:val="auto"/>
                <w:sz w:val="22"/>
                <w:szCs w:val="22"/>
              </w:rPr>
              <w:t>2) likumprojekts „Grozījumi likumā „Par interešu konflikta novēršanu valsts amatpersonu darbībā””, kuram TM ir iesniegusi priekšlikumus, lai paredzētu likumā ietverto ierobežojumu un aizliegumu attiecināmību uz maksātnespējas procesa administratoru – valsts amatpersonu. Iepriekš bija plānots, ka izmaiņas, kas paredz amatpersonas statusa noteikšanu maksātnespējas procesa administratoriem, stāsies spēkā 2015.gada 1.jūlijā, taču pēc ilgstošām diskusijām Saeimas atbildīgajā komisijā, izmaiņu spēkā stāšanās laiks atlikts līdz 2016.gada 1.janvārim.</w:t>
            </w:r>
          </w:p>
          <w:p w14:paraId="7AFD9D59" w14:textId="3E9E6B0D" w:rsidR="00D251AD" w:rsidRPr="00EA6D80" w:rsidRDefault="001A2142" w:rsidP="00C9746A">
            <w:pPr>
              <w:spacing w:after="0"/>
              <w:cnfStyle w:val="000000000000" w:firstRow="0" w:lastRow="0" w:firstColumn="0" w:lastColumn="0" w:oddVBand="0" w:evenVBand="0" w:oddHBand="0" w:evenHBand="0" w:firstRowFirstColumn="0" w:firstRowLastColumn="0" w:lastRowFirstColumn="0" w:lastRowLastColumn="0"/>
              <w:rPr>
                <w:color w:val="auto"/>
                <w:sz w:val="22"/>
                <w:szCs w:val="22"/>
                <w:u w:val="single"/>
              </w:rPr>
            </w:pPr>
            <w:r w:rsidRPr="00EA6D80">
              <w:rPr>
                <w:color w:val="auto"/>
                <w:sz w:val="22"/>
                <w:szCs w:val="22"/>
              </w:rPr>
              <w:t>Tiesu administrācija sadarbībā ar Tieslietu ministriju, Latvijas Zvērinātu tiesu izpildītāju padomi un Maksātnespējas administrāciju ir izstrādājusi Elektronisko izsoļu vietni https://izsoles.ta.gov.lv/, kurā no 2015.gada 1.jūlija ir pieejamas zvērinātu tiesu izpildītāju un no 2016.gada 1.janvāra būs arī maksātnespējas procesu administratoru elektroniskās izsoles. Pāreja uz elektroniskajām izsolēm nepieciešama, lai padarītu ērtāku un ekonomiskāku izsoles norisi un novērstu pašreiz sastopamās problēmas izsoļu norisē, kas negatīvi ietekmē gan pārdošanas procesa rezultātu, gan spriedumu izpildes un maksātnespējas procesa intereses kopumā. Elektroniskā vide turklāt palielinās izsoles dalībnieku skaitu un būtiski palīdzēs sasniegt izsoles rīkošanas mērķi – pārdot nekustamo īpašumu</w:t>
            </w:r>
            <w:r w:rsidR="00C9746A">
              <w:rPr>
                <w:color w:val="auto"/>
                <w:sz w:val="22"/>
                <w:szCs w:val="22"/>
              </w:rPr>
              <w:t xml:space="preserve"> </w:t>
            </w:r>
            <w:r w:rsidR="00C9746A" w:rsidRPr="00EA6D80">
              <w:rPr>
                <w:color w:val="auto"/>
                <w:sz w:val="22"/>
                <w:szCs w:val="22"/>
              </w:rPr>
              <w:t>par iespējami augstāko cenu</w:t>
            </w:r>
            <w:r w:rsidRPr="00EA6D80">
              <w:rPr>
                <w:color w:val="auto"/>
                <w:sz w:val="22"/>
                <w:szCs w:val="22"/>
              </w:rPr>
              <w:t xml:space="preserve"> un norēķināties ar kreditoriem.</w:t>
            </w:r>
          </w:p>
        </w:tc>
      </w:tr>
      <w:tr w:rsidR="00D251AD" w:rsidRPr="00EA6D80" w14:paraId="7D9EEDC0"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4A24631C" w14:textId="77777777" w:rsidR="00D251AD" w:rsidRPr="00EA6D80" w:rsidRDefault="00D251AD" w:rsidP="00945E73">
            <w:pPr>
              <w:jc w:val="center"/>
              <w:rPr>
                <w:color w:val="auto"/>
                <w:sz w:val="22"/>
                <w:szCs w:val="22"/>
              </w:rPr>
            </w:pPr>
          </w:p>
        </w:tc>
        <w:tc>
          <w:tcPr>
            <w:tcW w:w="2694" w:type="dxa"/>
          </w:tcPr>
          <w:p w14:paraId="70FB0734" w14:textId="2230D3E1" w:rsidR="00D251AD" w:rsidRPr="00EA6D80" w:rsidRDefault="006652F3" w:rsidP="00945E73">
            <w:pPr>
              <w:ind w:firstLine="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Uzlabot tiesību aktus valsts civildienesta jomā, lai stiprinātu pret interešu konfliktu vērsto kārtību un atalgojumu sasaistītu ar atbildību.</w:t>
            </w:r>
          </w:p>
        </w:tc>
        <w:tc>
          <w:tcPr>
            <w:tcW w:w="12190" w:type="dxa"/>
          </w:tcPr>
          <w:p w14:paraId="49C74B42" w14:textId="146B192A" w:rsidR="00D251AD" w:rsidRPr="00EA6D80" w:rsidRDefault="00F6520C" w:rsidP="00AE079E">
            <w:pPr>
              <w:spacing w:after="0"/>
              <w:cnfStyle w:val="000000100000" w:firstRow="0" w:lastRow="0" w:firstColumn="0" w:lastColumn="0" w:oddVBand="0" w:evenVBand="0" w:oddHBand="1" w:evenHBand="0" w:firstRowFirstColumn="0" w:firstRowLastColumn="0" w:lastRowFirstColumn="0" w:lastRowLastColumn="0"/>
              <w:rPr>
                <w:color w:val="auto"/>
                <w:sz w:val="22"/>
                <w:szCs w:val="22"/>
                <w:u w:val="single"/>
              </w:rPr>
            </w:pPr>
            <w:r w:rsidRPr="00EA6D80">
              <w:rPr>
                <w:color w:val="auto"/>
                <w:sz w:val="22"/>
                <w:szCs w:val="22"/>
              </w:rPr>
              <w:t xml:space="preserve">Valsts un pašvaldību institūciju amatpersonu un darbinieku atlīdzības likuma (turpmāk - atlīdzības likums) normas par atalgojuma noteikšanu jau šobrīd nodrošina, ka atalgojuma noteikšana ir saistīta ar atbildību. Atalgojuma noteikšanā viens no būtiskākajiem faktoriem ir amata saime un līmenis, kas tiek noteikti amatus klasificējot atbilstoši </w:t>
            </w:r>
            <w:r w:rsidR="0048007F" w:rsidRPr="00EA6D80">
              <w:rPr>
                <w:color w:val="auto"/>
                <w:sz w:val="22"/>
                <w:szCs w:val="22"/>
              </w:rPr>
              <w:t>MK</w:t>
            </w:r>
            <w:r w:rsidRPr="00EA6D80">
              <w:rPr>
                <w:color w:val="auto"/>
                <w:sz w:val="22"/>
                <w:szCs w:val="22"/>
              </w:rPr>
              <w:t xml:space="preserve"> 2010.gada 30.novembra noteikumiem Nr.1075 „Valsts un pašvaldību institūciju amatu katalogs”. Amatu klasifi</w:t>
            </w:r>
            <w:r w:rsidR="00AE079E">
              <w:rPr>
                <w:color w:val="auto"/>
                <w:sz w:val="22"/>
                <w:szCs w:val="22"/>
              </w:rPr>
              <w:t>kācijā</w:t>
            </w:r>
            <w:r w:rsidRPr="00EA6D80">
              <w:rPr>
                <w:color w:val="auto"/>
                <w:sz w:val="22"/>
                <w:szCs w:val="22"/>
              </w:rPr>
              <w:t xml:space="preserve"> tiek ņemti vērā tādi vērtēšanas rādītāji kā izglītības līmenis, profesionālās pieredzes līmenis, kas nepieciešams amata uzdevumu izpildei, darba un domāšanas sarežģītība, sadarbības veids un apjoms, </w:t>
            </w:r>
            <w:r w:rsidRPr="00EA6D80">
              <w:rPr>
                <w:color w:val="auto"/>
                <w:sz w:val="22"/>
                <w:szCs w:val="22"/>
                <w:u w:val="single"/>
              </w:rPr>
              <w:t xml:space="preserve">atbildība par darba norisi un resursu organizēšanu, kā arī atbildība par pieņemto lēmumu ietekmi uz institūcijas darbu, nozari, valsti vai starpvalstu līmeni. </w:t>
            </w:r>
          </w:p>
        </w:tc>
      </w:tr>
    </w:tbl>
    <w:p w14:paraId="3EC46510" w14:textId="77777777" w:rsidR="00D640F7" w:rsidRDefault="00D640F7" w:rsidP="0001052E">
      <w:pPr>
        <w:pStyle w:val="Heading1"/>
        <w:tabs>
          <w:tab w:val="left" w:pos="1276"/>
        </w:tabs>
        <w:spacing w:before="0" w:after="240"/>
        <w:ind w:left="1276" w:hanging="1276"/>
        <w:jc w:val="left"/>
        <w:rPr>
          <w:rFonts w:ascii="Times New Roman" w:hAnsi="Times New Roman"/>
          <w:color w:val="18185F"/>
          <w:sz w:val="24"/>
        </w:rPr>
      </w:pPr>
      <w:bookmarkStart w:id="26" w:name="_Toc431197100"/>
    </w:p>
    <w:p w14:paraId="2491BAFF" w14:textId="77777777" w:rsidR="0001052E" w:rsidRPr="001D5709" w:rsidRDefault="0001052E" w:rsidP="0001052E">
      <w:pPr>
        <w:pStyle w:val="Heading1"/>
        <w:tabs>
          <w:tab w:val="left" w:pos="1276"/>
        </w:tabs>
        <w:spacing w:before="0" w:after="240"/>
        <w:ind w:left="1276" w:hanging="1276"/>
        <w:jc w:val="left"/>
        <w:rPr>
          <w:rFonts w:ascii="Times New Roman" w:hAnsi="Times New Roman"/>
          <w:color w:val="18185F"/>
          <w:sz w:val="24"/>
        </w:rPr>
      </w:pPr>
      <w:r w:rsidRPr="001D5709">
        <w:rPr>
          <w:rFonts w:ascii="Times New Roman" w:hAnsi="Times New Roman"/>
          <w:color w:val="18185F"/>
          <w:sz w:val="24"/>
        </w:rPr>
        <w:t xml:space="preserve">Tabula 6.b: </w:t>
      </w:r>
      <w:r w:rsidRPr="00B16CD6">
        <w:rPr>
          <w:rFonts w:ascii="Times New Roman" w:hAnsi="Times New Roman"/>
          <w:color w:val="18185F"/>
          <w:sz w:val="24"/>
        </w:rPr>
        <w:t>ES Stratēģijas noteiktie mērķi attiecibā uz izaugsmi un darbu</w:t>
      </w:r>
      <w:bookmarkEnd w:id="26"/>
    </w:p>
    <w:tbl>
      <w:tblPr>
        <w:tblStyle w:val="GridTable6Colorful-Accent11"/>
        <w:tblW w:w="15446" w:type="dxa"/>
        <w:tblLayout w:type="fixed"/>
        <w:tblLook w:val="04A0" w:firstRow="1" w:lastRow="0" w:firstColumn="1" w:lastColumn="0" w:noHBand="0" w:noVBand="1"/>
      </w:tblPr>
      <w:tblGrid>
        <w:gridCol w:w="2122"/>
        <w:gridCol w:w="2835"/>
        <w:gridCol w:w="10489"/>
      </w:tblGrid>
      <w:tr w:rsidR="00D251AD" w:rsidRPr="00EA6D80" w14:paraId="27374744" w14:textId="77777777" w:rsidTr="00D640F7">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5BF7EBD" w14:textId="77777777" w:rsidR="00D251AD" w:rsidRPr="00EA6D80" w:rsidRDefault="00D251AD" w:rsidP="00945E73">
            <w:pPr>
              <w:spacing w:after="0"/>
              <w:ind w:firstLine="0"/>
              <w:jc w:val="center"/>
              <w:rPr>
                <w:b w:val="0"/>
                <w:color w:val="auto"/>
                <w:sz w:val="22"/>
                <w:szCs w:val="22"/>
              </w:rPr>
            </w:pPr>
            <w:r w:rsidRPr="00EA6D80">
              <w:rPr>
                <w:color w:val="auto"/>
                <w:sz w:val="22"/>
                <w:szCs w:val="22"/>
              </w:rPr>
              <w:t>Nacionālie 2020 mērķi</w:t>
            </w:r>
          </w:p>
        </w:tc>
        <w:tc>
          <w:tcPr>
            <w:tcW w:w="2835" w:type="dxa"/>
            <w:vAlign w:val="center"/>
          </w:tcPr>
          <w:p w14:paraId="1E6DD1AF" w14:textId="77777777" w:rsidR="00D251AD" w:rsidRPr="00EA6D80" w:rsidRDefault="00D251AD" w:rsidP="00945E73">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EA6D80">
              <w:rPr>
                <w:color w:val="auto"/>
                <w:sz w:val="22"/>
                <w:szCs w:val="22"/>
              </w:rPr>
              <w:t>Pasākumi</w:t>
            </w:r>
          </w:p>
        </w:tc>
        <w:tc>
          <w:tcPr>
            <w:tcW w:w="10489" w:type="dxa"/>
            <w:vAlign w:val="center"/>
          </w:tcPr>
          <w:p w14:paraId="7611E2D0" w14:textId="77777777" w:rsidR="00D251AD" w:rsidRPr="00EA6D80" w:rsidRDefault="00D251AD" w:rsidP="00945E73">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EA6D80">
              <w:rPr>
                <w:color w:val="auto"/>
                <w:sz w:val="22"/>
                <w:szCs w:val="22"/>
              </w:rPr>
              <w:t>Apraksts</w:t>
            </w:r>
          </w:p>
        </w:tc>
      </w:tr>
      <w:tr w:rsidR="00D251AD" w:rsidRPr="00EA6D80" w14:paraId="20DB74FB"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B5BF5E" w14:textId="77777777" w:rsidR="00D251AD" w:rsidRPr="00EA6D80" w:rsidRDefault="00D251AD" w:rsidP="00945E73">
            <w:pPr>
              <w:ind w:firstLine="0"/>
              <w:rPr>
                <w:b w:val="0"/>
                <w:color w:val="auto"/>
                <w:sz w:val="22"/>
                <w:szCs w:val="22"/>
              </w:rPr>
            </w:pPr>
            <w:r w:rsidRPr="00EA6D80">
              <w:rPr>
                <w:color w:val="auto"/>
                <w:sz w:val="22"/>
                <w:szCs w:val="22"/>
              </w:rPr>
              <w:t>Nacionālais 2020 nodarbinātības mērķis (73,0%)</w:t>
            </w:r>
          </w:p>
        </w:tc>
        <w:tc>
          <w:tcPr>
            <w:tcW w:w="2835" w:type="dxa"/>
          </w:tcPr>
          <w:p w14:paraId="6D7B2D72" w14:textId="77777777" w:rsidR="00D251AD" w:rsidRPr="00EA6D80"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Bezdarbnieku apmācību pasākumu pilnveidošana;</w:t>
            </w:r>
          </w:p>
          <w:p w14:paraId="298B6660" w14:textId="6D7F4B94" w:rsidR="00D251AD" w:rsidRPr="00EA6D80"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A</w:t>
            </w:r>
            <w:r w:rsidR="00611CBF" w:rsidRPr="00EA6D80">
              <w:rPr>
                <w:rFonts w:ascii="Times New Roman" w:hAnsi="Times New Roman"/>
                <w:color w:val="auto"/>
                <w:szCs w:val="22"/>
              </w:rPr>
              <w:t>tbalsta pasākum</w:t>
            </w:r>
            <w:r w:rsidR="00611CBF" w:rsidRPr="00EA6D80">
              <w:rPr>
                <w:rFonts w:ascii="Times New Roman" w:hAnsi="Times New Roman"/>
                <w:color w:val="auto"/>
                <w:szCs w:val="22"/>
                <w:lang w:val="lv-LV"/>
              </w:rPr>
              <w:t>u</w:t>
            </w:r>
            <w:r w:rsidRPr="00EA6D80">
              <w:rPr>
                <w:rFonts w:ascii="Times New Roman" w:hAnsi="Times New Roman"/>
                <w:color w:val="auto"/>
                <w:szCs w:val="22"/>
              </w:rPr>
              <w:t xml:space="preserve"> </w:t>
            </w:r>
            <w:r w:rsidR="00611CBF" w:rsidRPr="00EA6D80">
              <w:rPr>
                <w:rFonts w:ascii="Times New Roman" w:hAnsi="Times New Roman"/>
                <w:color w:val="auto"/>
                <w:szCs w:val="22"/>
              </w:rPr>
              <w:t xml:space="preserve">īstenošana </w:t>
            </w:r>
            <w:r w:rsidRPr="00EA6D80">
              <w:rPr>
                <w:rFonts w:ascii="Times New Roman" w:hAnsi="Times New Roman"/>
                <w:color w:val="auto"/>
                <w:szCs w:val="22"/>
              </w:rPr>
              <w:t>jauniešu bezdarba</w:t>
            </w:r>
            <w:r w:rsidR="00845A13" w:rsidRPr="00EA6D80">
              <w:rPr>
                <w:rFonts w:ascii="Times New Roman" w:hAnsi="Times New Roman"/>
                <w:color w:val="auto"/>
                <w:szCs w:val="22"/>
                <w:lang w:val="lv-LV"/>
              </w:rPr>
              <w:t xml:space="preserve"> mazināšanai</w:t>
            </w:r>
            <w:r w:rsidRPr="00EA6D80">
              <w:rPr>
                <w:rFonts w:ascii="Times New Roman" w:hAnsi="Times New Roman"/>
                <w:color w:val="auto"/>
                <w:szCs w:val="22"/>
              </w:rPr>
              <w:t>;</w:t>
            </w:r>
          </w:p>
          <w:p w14:paraId="63E3435F" w14:textId="77777777" w:rsidR="00D251AD" w:rsidRPr="00EA6D80"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Ilgstošo bezdarbnieku un sociālās palīdzības klientu efektīva atgriešana darba tirgū un atbalsts reģionālajai mobilitātei;</w:t>
            </w:r>
          </w:p>
          <w:p w14:paraId="209C6CD4" w14:textId="77777777" w:rsidR="00D251AD" w:rsidRPr="00EA6D80"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Nodarbinātības dienesta darba efektivizācija;</w:t>
            </w:r>
          </w:p>
          <w:p w14:paraId="2C07C846" w14:textId="77777777" w:rsidR="00D251AD" w:rsidRPr="00EA6D80"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Pašnodarbinātības un uzņēmējdarbības sekmēšana.</w:t>
            </w:r>
          </w:p>
        </w:tc>
        <w:tc>
          <w:tcPr>
            <w:tcW w:w="10489" w:type="dxa"/>
          </w:tcPr>
          <w:p w14:paraId="2AD9D1A5" w14:textId="3CA5B5D2" w:rsidR="007746AE" w:rsidRPr="00EA6D80" w:rsidRDefault="007746AE" w:rsidP="00EA6D80">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 xml:space="preserve">Būtiskākie pasākumi nodarbinātības jomā saistīti ar aktīvās darba tirgus politikas pasākumu īstenošanas nosacījumu pilnveidošanu. Pārskata periodā Saeimā 1.lasījumā </w:t>
            </w:r>
            <w:r w:rsidRPr="0025340E">
              <w:rPr>
                <w:color w:val="auto"/>
                <w:sz w:val="22"/>
                <w:szCs w:val="22"/>
              </w:rPr>
              <w:t>izskatīti</w:t>
            </w:r>
            <w:r w:rsidRPr="0025340E">
              <w:rPr>
                <w:rStyle w:val="Emphasis"/>
                <w:color w:val="auto"/>
                <w:sz w:val="22"/>
                <w:szCs w:val="22"/>
              </w:rPr>
              <w:t xml:space="preserve"> </w:t>
            </w:r>
            <w:r w:rsidR="0025340E" w:rsidRPr="0025340E">
              <w:rPr>
                <w:rStyle w:val="Emphasis"/>
                <w:i w:val="0"/>
                <w:color w:val="auto"/>
                <w:sz w:val="22"/>
                <w:szCs w:val="22"/>
              </w:rPr>
              <w:t>“</w:t>
            </w:r>
            <w:r w:rsidRPr="0025340E">
              <w:rPr>
                <w:rStyle w:val="Emphasis"/>
                <w:i w:val="0"/>
                <w:color w:val="auto"/>
                <w:sz w:val="22"/>
                <w:szCs w:val="22"/>
              </w:rPr>
              <w:t>Grozījumi Bezdarbnieku un darba meklētāju atbalsta likumā</w:t>
            </w:r>
            <w:r w:rsidR="0025340E" w:rsidRPr="0025340E">
              <w:rPr>
                <w:rStyle w:val="Emphasis"/>
                <w:i w:val="0"/>
                <w:color w:val="auto"/>
                <w:sz w:val="22"/>
                <w:szCs w:val="22"/>
              </w:rPr>
              <w:t>”</w:t>
            </w:r>
            <w:r w:rsidRPr="0025340E">
              <w:rPr>
                <w:rStyle w:val="Emphasis"/>
                <w:i w:val="0"/>
                <w:color w:val="auto"/>
                <w:sz w:val="22"/>
                <w:szCs w:val="22"/>
              </w:rPr>
              <w:t>. Tie paredz</w:t>
            </w:r>
            <w:r w:rsidRPr="0025340E">
              <w:rPr>
                <w:color w:val="auto"/>
                <w:sz w:val="22"/>
                <w:szCs w:val="22"/>
              </w:rPr>
              <w:t xml:space="preserve"> valsts un pašvaldību institūcijām pienākumu reģistrēt Nodarbinātības valsts aģentūras (NVA) vakanču portālā atklātus konkursus uz brīvaj</w:t>
            </w:r>
            <w:r w:rsidRPr="00EA6D80">
              <w:rPr>
                <w:color w:val="auto"/>
                <w:sz w:val="22"/>
                <w:szCs w:val="22"/>
              </w:rPr>
              <w:t>ām darbavietām, lai nodrošinātu efektīvāku valsts atbalstu bezdarba gadījumā un NVA datu bāzēs vienkopus būtu pieejama informācija par publiskajā sektorā pieejamajām brīvajām darbavietām. Tāpat minētie grozījumi paredz, ka reģionālās mobilitātes veicināšanas pasākumā turpmāk cilvēki varēs piedalīties neatkarīgi no tā, vai strādā pie darba devēja publiskajā vai privātajā sektorā. Šobrīd atbalstu reģionālajai mobilitātei var saņemt tikai komersantu nodarbinātie darbinieki.</w:t>
            </w:r>
          </w:p>
          <w:p w14:paraId="49E2E797" w14:textId="7302615F" w:rsidR="00611CBF" w:rsidRPr="00EA6D80" w:rsidRDefault="007746AE" w:rsidP="00EA6D80">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 xml:space="preserve">Ir apstiprināti </w:t>
            </w:r>
            <w:r w:rsidR="0048007F" w:rsidRPr="00EA6D80">
              <w:rPr>
                <w:color w:val="auto"/>
                <w:sz w:val="22"/>
                <w:szCs w:val="22"/>
              </w:rPr>
              <w:t>MK</w:t>
            </w:r>
            <w:r w:rsidRPr="00EA6D80">
              <w:rPr>
                <w:color w:val="auto"/>
                <w:sz w:val="22"/>
                <w:szCs w:val="22"/>
              </w:rPr>
              <w:t xml:space="preserve"> noteikumi </w:t>
            </w:r>
            <w:hyperlink r:id="rId53" w:history="1">
              <w:r w:rsidRPr="00EA6D80">
                <w:rPr>
                  <w:rStyle w:val="Hyperlink"/>
                  <w:bCs/>
                  <w:color w:val="auto"/>
                  <w:sz w:val="22"/>
                  <w:szCs w:val="22"/>
                  <w:u w:val="none"/>
                </w:rPr>
                <w:t xml:space="preserve"> ilgstošo bezdarbnieku iekļaušanai sabiedrībā</w:t>
              </w:r>
            </w:hyperlink>
            <w:r w:rsidRPr="00EA6D80">
              <w:rPr>
                <w:rStyle w:val="apple-converted-space"/>
                <w:bCs/>
                <w:color w:val="auto"/>
                <w:sz w:val="22"/>
                <w:szCs w:val="22"/>
              </w:rPr>
              <w:t> </w:t>
            </w:r>
            <w:r w:rsidRPr="00EA6D80">
              <w:rPr>
                <w:color w:val="auto"/>
                <w:sz w:val="22"/>
                <w:szCs w:val="22"/>
              </w:rPr>
              <w:t xml:space="preserve">un piemērotā </w:t>
            </w:r>
            <w:r w:rsidRPr="00EA6D80">
              <w:rPr>
                <w:rStyle w:val="Hyperlink"/>
                <w:bCs/>
                <w:color w:val="auto"/>
                <w:sz w:val="22"/>
                <w:szCs w:val="22"/>
                <w:u w:val="none"/>
              </w:rPr>
              <w:t>darbā vai apmācībā (</w:t>
            </w:r>
            <w:r w:rsidR="0048007F" w:rsidRPr="00EA6D80">
              <w:rPr>
                <w:rStyle w:val="Hyperlink"/>
                <w:bCs/>
                <w:color w:val="auto"/>
                <w:sz w:val="22"/>
                <w:szCs w:val="22"/>
                <w:u w:val="none"/>
              </w:rPr>
              <w:t>MK</w:t>
            </w:r>
            <w:r w:rsidRPr="00EA6D80">
              <w:rPr>
                <w:rStyle w:val="Hyperlink"/>
                <w:bCs/>
                <w:color w:val="auto"/>
                <w:sz w:val="22"/>
                <w:szCs w:val="22"/>
                <w:u w:val="none"/>
              </w:rPr>
              <w:t xml:space="preserve"> </w:t>
            </w:r>
            <w:r w:rsidR="0048007F" w:rsidRPr="00EA6D80">
              <w:rPr>
                <w:rStyle w:val="Hyperlink"/>
                <w:bCs/>
                <w:color w:val="auto"/>
                <w:sz w:val="22"/>
                <w:szCs w:val="22"/>
                <w:u w:val="none"/>
              </w:rPr>
              <w:t>2015.gada 11.augusta noteikumi </w:t>
            </w:r>
            <w:r w:rsidR="0048007F" w:rsidRPr="0025340E">
              <w:rPr>
                <w:rStyle w:val="Hyperlink"/>
                <w:bCs/>
                <w:color w:val="auto"/>
                <w:sz w:val="22"/>
                <w:szCs w:val="22"/>
                <w:u w:val="none"/>
              </w:rPr>
              <w:t>N</w:t>
            </w:r>
            <w:r w:rsidRPr="0025340E">
              <w:rPr>
                <w:rStyle w:val="Hyperlink"/>
                <w:bCs/>
                <w:color w:val="auto"/>
                <w:sz w:val="22"/>
                <w:szCs w:val="22"/>
                <w:u w:val="none"/>
              </w:rPr>
              <w:t xml:space="preserve">r. 468 </w:t>
            </w:r>
            <w:r w:rsidRPr="0025340E">
              <w:rPr>
                <w:rStyle w:val="Hyperlink"/>
                <w:bCs/>
                <w:iCs/>
                <w:color w:val="auto"/>
                <w:sz w:val="22"/>
                <w:szCs w:val="22"/>
                <w:u w:val="none"/>
              </w:rPr>
              <w:t>Darbības programmas „Izaugsme un nodarbinātība" 9.1.1. specifiskā atbalsta mērķa „Palielināt nelabvēlīgākā situācijā esošu bezdarbnieku iekļaušanos darba tirgū" pasākuma "Ilgstošo bezdarbnieku aktivizācijas pasākumi" īstenošana</w:t>
            </w:r>
            <w:r w:rsidRPr="0025340E">
              <w:rPr>
                <w:rStyle w:val="Hyperlink"/>
                <w:bCs/>
                <w:color w:val="auto"/>
                <w:sz w:val="22"/>
                <w:szCs w:val="22"/>
                <w:u w:val="none"/>
              </w:rPr>
              <w:t xml:space="preserve">.), laika </w:t>
            </w:r>
            <w:r w:rsidRPr="00EA6D80">
              <w:rPr>
                <w:rStyle w:val="Hyperlink"/>
                <w:bCs/>
                <w:color w:val="auto"/>
                <w:sz w:val="22"/>
                <w:szCs w:val="22"/>
                <w:u w:val="none"/>
              </w:rPr>
              <w:t xml:space="preserve">posmā no 2015.gada 3.ceturkšņa līdz 2021.gadam paredzot atbalsta sniegšanu 20 tūkst. ilgstošo bezdarbnieku un piesaistot pasākuma īstenošanai 40,04 milj. </w:t>
            </w:r>
            <w:r w:rsidR="00EA6D80">
              <w:rPr>
                <w:rStyle w:val="Hyperlink"/>
                <w:bCs/>
                <w:i/>
                <w:color w:val="auto"/>
                <w:sz w:val="22"/>
                <w:szCs w:val="22"/>
                <w:u w:val="none"/>
              </w:rPr>
              <w:t>euro</w:t>
            </w:r>
            <w:r w:rsidRPr="00EA6D80">
              <w:rPr>
                <w:rStyle w:val="Hyperlink"/>
                <w:bCs/>
                <w:color w:val="auto"/>
                <w:sz w:val="22"/>
                <w:szCs w:val="22"/>
                <w:u w:val="none"/>
              </w:rPr>
              <w:t xml:space="preserve">, tai skaitā ESF finansējums - 34,04 milj. </w:t>
            </w:r>
            <w:r w:rsidR="00EA6D80">
              <w:rPr>
                <w:rStyle w:val="Hyperlink"/>
                <w:bCs/>
                <w:i/>
                <w:color w:val="auto"/>
                <w:sz w:val="22"/>
                <w:szCs w:val="22"/>
                <w:u w:val="none"/>
              </w:rPr>
              <w:t>euro</w:t>
            </w:r>
            <w:r w:rsidRPr="00EA6D80">
              <w:rPr>
                <w:rStyle w:val="Hyperlink"/>
                <w:bCs/>
                <w:color w:val="auto"/>
                <w:sz w:val="22"/>
                <w:szCs w:val="22"/>
                <w:u w:val="none"/>
              </w:rPr>
              <w:t xml:space="preserve"> un valsts budžeta finansējums - 6 milj. </w:t>
            </w:r>
            <w:r w:rsidR="00EA6D80">
              <w:rPr>
                <w:rStyle w:val="Hyperlink"/>
                <w:bCs/>
                <w:i/>
                <w:color w:val="auto"/>
                <w:sz w:val="22"/>
                <w:szCs w:val="22"/>
                <w:u w:val="none"/>
              </w:rPr>
              <w:t>euro</w:t>
            </w:r>
            <w:r w:rsidRPr="00EA6D80">
              <w:rPr>
                <w:rStyle w:val="Hyperlink"/>
                <w:bCs/>
                <w:color w:val="auto"/>
                <w:sz w:val="22"/>
                <w:szCs w:val="22"/>
                <w:u w:val="none"/>
              </w:rPr>
              <w:t>.</w:t>
            </w:r>
          </w:p>
        </w:tc>
      </w:tr>
      <w:tr w:rsidR="00D251AD" w:rsidRPr="00EA6D80" w14:paraId="706F3FED" w14:textId="77777777" w:rsidTr="00D640F7">
        <w:tc>
          <w:tcPr>
            <w:cnfStyle w:val="001000000000" w:firstRow="0" w:lastRow="0" w:firstColumn="1" w:lastColumn="0" w:oddVBand="0" w:evenVBand="0" w:oddHBand="0" w:evenHBand="0" w:firstRowFirstColumn="0" w:firstRowLastColumn="0" w:lastRowFirstColumn="0" w:lastRowLastColumn="0"/>
            <w:tcW w:w="2122" w:type="dxa"/>
          </w:tcPr>
          <w:p w14:paraId="1E2394F5" w14:textId="3E6EEFF3" w:rsidR="00D251AD" w:rsidRPr="00EA6D80" w:rsidRDefault="009C7B4A" w:rsidP="00945E73">
            <w:pPr>
              <w:ind w:firstLine="0"/>
              <w:rPr>
                <w:b w:val="0"/>
                <w:color w:val="auto"/>
                <w:sz w:val="22"/>
                <w:szCs w:val="22"/>
              </w:rPr>
            </w:pPr>
            <w:r>
              <w:rPr>
                <w:color w:val="auto"/>
                <w:sz w:val="22"/>
                <w:szCs w:val="22"/>
              </w:rPr>
              <w:t>Nacionālais 2020 P&amp;A</w:t>
            </w:r>
            <w:r w:rsidR="00D251AD" w:rsidRPr="00EA6D80">
              <w:rPr>
                <w:color w:val="auto"/>
                <w:sz w:val="22"/>
                <w:szCs w:val="22"/>
              </w:rPr>
              <w:t xml:space="preserve"> mērķis</w:t>
            </w:r>
            <w:r w:rsidR="00D251AD" w:rsidRPr="00EA6D80">
              <w:rPr>
                <w:b w:val="0"/>
                <w:color w:val="auto"/>
                <w:sz w:val="22"/>
                <w:szCs w:val="22"/>
              </w:rPr>
              <w:t xml:space="preserve"> </w:t>
            </w:r>
            <w:r w:rsidR="00D251AD" w:rsidRPr="00EA6D80">
              <w:rPr>
                <w:color w:val="auto"/>
                <w:sz w:val="22"/>
                <w:szCs w:val="22"/>
              </w:rPr>
              <w:t>(1,5% no IKP)</w:t>
            </w:r>
          </w:p>
        </w:tc>
        <w:tc>
          <w:tcPr>
            <w:tcW w:w="2835" w:type="dxa"/>
          </w:tcPr>
          <w:p w14:paraId="56163153" w14:textId="77777777" w:rsidR="00D251AD" w:rsidRPr="00EA6D80" w:rsidRDefault="00D251AD" w:rsidP="00D251AD">
            <w:pPr>
              <w:pStyle w:val="ListParagraph"/>
              <w:numPr>
                <w:ilvl w:val="0"/>
                <w:numId w:val="1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Zinātniskās darbības potenciāla attīstība;</w:t>
            </w:r>
          </w:p>
          <w:p w14:paraId="2C6F3171" w14:textId="77777777" w:rsidR="00D251AD" w:rsidRPr="00EA6D80" w:rsidRDefault="00D251AD" w:rsidP="00D251AD">
            <w:pPr>
              <w:pStyle w:val="ListParagraph"/>
              <w:numPr>
                <w:ilvl w:val="0"/>
                <w:numId w:val="1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Uzņēmumu un zinātnieku ilgtermiņa sadarbības platformas izveide;</w:t>
            </w:r>
          </w:p>
          <w:p w14:paraId="40C8924B" w14:textId="77777777" w:rsidR="00D251AD" w:rsidRPr="00EA6D80" w:rsidRDefault="00D251AD" w:rsidP="00D251AD">
            <w:pPr>
              <w:pStyle w:val="ListParagraph"/>
              <w:numPr>
                <w:ilvl w:val="0"/>
                <w:numId w:val="1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Atbalsts inovatīvu komersantu attīstībai.</w:t>
            </w:r>
          </w:p>
        </w:tc>
        <w:tc>
          <w:tcPr>
            <w:tcW w:w="10489" w:type="dxa"/>
          </w:tcPr>
          <w:p w14:paraId="42B326AB" w14:textId="77777777" w:rsidR="00612992" w:rsidRPr="00EA6D80" w:rsidRDefault="00612992" w:rsidP="00EA6D80">
            <w:pPr>
              <w:spacing w:after="0"/>
              <w:cnfStyle w:val="000000000000" w:firstRow="0" w:lastRow="0" w:firstColumn="0" w:lastColumn="0" w:oddVBand="0" w:evenVBand="0" w:oddHBand="0" w:evenHBand="0" w:firstRowFirstColumn="0" w:firstRowLastColumn="0" w:lastRowFirstColumn="0" w:lastRowLastColumn="0"/>
              <w:rPr>
                <w:b/>
                <w:color w:val="auto"/>
                <w:sz w:val="22"/>
                <w:szCs w:val="22"/>
              </w:rPr>
            </w:pPr>
            <w:r w:rsidRPr="00EA6D80">
              <w:rPr>
                <w:b/>
                <w:color w:val="auto"/>
                <w:sz w:val="22"/>
                <w:szCs w:val="22"/>
              </w:rPr>
              <w:t>Uzņēmumu un zinātnieku ilgtermiņa sadarbības platformas izveide; Atbalsts inovatīvu komersantu attīstībai.</w:t>
            </w:r>
          </w:p>
          <w:p w14:paraId="6DDF3E11" w14:textId="53EE9665" w:rsidR="00612992" w:rsidRPr="00EA6D80" w:rsidRDefault="00EA6D80" w:rsidP="00EA6D8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Turpinās darbs pie ES </w:t>
            </w:r>
            <w:r w:rsidR="009C7B4A">
              <w:rPr>
                <w:color w:val="auto"/>
                <w:sz w:val="22"/>
                <w:szCs w:val="22"/>
              </w:rPr>
              <w:t>struktūrfondu plānošanas perioda 2014.-2020.</w:t>
            </w:r>
            <w:r w:rsidR="00612992" w:rsidRPr="00EA6D80">
              <w:rPr>
                <w:color w:val="auto"/>
                <w:sz w:val="22"/>
                <w:szCs w:val="22"/>
              </w:rPr>
              <w:t xml:space="preserve"> pasākumiem, kas paredz:</w:t>
            </w:r>
          </w:p>
          <w:p w14:paraId="285D0B1D" w14:textId="77777777" w:rsidR="00612992" w:rsidRPr="00EA6D80" w:rsidRDefault="00612992" w:rsidP="00EA6D80">
            <w:pPr>
              <w:pStyle w:val="ListParagraph"/>
              <w:numPr>
                <w:ilvl w:val="0"/>
                <w:numId w:val="30"/>
              </w:numPr>
              <w:autoSpaceDE w:val="0"/>
              <w:autoSpaceDN w:val="0"/>
              <w:adjustRightInd w:val="0"/>
              <w:spacing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Izveidot tehnoloģiju pārneses sistēmu, lai radītu vidi zinātnisko institūciju ienākumu palielināšanai no valsts finansētu pētījumu komercializēšanas, kā arī lai sekmētu zinātnisko institūciju pētījumu rezultātu pārvēršanu praktiskā uzņēmējdarbībā (pasākums “Atbalsts tehnoloģiju pārneses sistēmas pilnveidošanai”);</w:t>
            </w:r>
          </w:p>
          <w:p w14:paraId="1480119C" w14:textId="7221E143" w:rsidR="00612992" w:rsidRPr="00EA6D80" w:rsidRDefault="00612992" w:rsidP="00EA6D80">
            <w:pPr>
              <w:pStyle w:val="ListParagraph"/>
              <w:numPr>
                <w:ilvl w:val="0"/>
                <w:numId w:val="30"/>
              </w:numPr>
              <w:autoSpaceDE w:val="0"/>
              <w:autoSpaceDN w:val="0"/>
              <w:adjustRightInd w:val="0"/>
              <w:spacing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 xml:space="preserve">Atbalstīt uzņēmumu sadarbību ar pētniecības sektoru jaunu produktu un tehnoloģiju izstrādei un komercializēšanai (pasākumi “Atbalsts jaunu produktu un tehnoloģiju izstrādei kompetences centru ietvaros”, “Inovācijas vaučeri </w:t>
            </w:r>
            <w:r w:rsidR="009C7B4A">
              <w:rPr>
                <w:rFonts w:ascii="Times New Roman" w:hAnsi="Times New Roman"/>
                <w:color w:val="auto"/>
                <w:szCs w:val="22"/>
                <w:lang w:val="lv-LV"/>
              </w:rPr>
              <w:t>maziem un vidējiem komersantiem</w:t>
            </w:r>
            <w:r w:rsidRPr="00EA6D80">
              <w:rPr>
                <w:rFonts w:ascii="Times New Roman" w:hAnsi="Times New Roman"/>
                <w:color w:val="auto"/>
                <w:szCs w:val="22"/>
              </w:rPr>
              <w:t>”, “Atbalsts jaunu produktu ieviešanai ražošanā”);</w:t>
            </w:r>
          </w:p>
          <w:p w14:paraId="10303862" w14:textId="553218C3" w:rsidR="00612992" w:rsidRPr="00EA6D80" w:rsidRDefault="00612992" w:rsidP="00EA6D80">
            <w:pPr>
              <w:pStyle w:val="ListParagraph"/>
              <w:numPr>
                <w:ilvl w:val="0"/>
                <w:numId w:val="30"/>
              </w:numPr>
              <w:autoSpaceDE w:val="0"/>
              <w:autoSpaceDN w:val="0"/>
              <w:adjustRightInd w:val="0"/>
              <w:spacing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 xml:space="preserve">Atbalstīt nodarbināto personu apmācības, lai nodrošinātu uzņēmumus ar atbilstošu darbaspēku un pilnveidotu to prasmes (pasākums “Atbalsts </w:t>
            </w:r>
            <w:r w:rsidR="009C7B4A" w:rsidRPr="009C7B4A">
              <w:rPr>
                <w:rFonts w:ascii="Times New Roman" w:hAnsi="Times New Roman"/>
                <w:color w:val="auto"/>
                <w:szCs w:val="22"/>
              </w:rPr>
              <w:t>informācijas un komunikācijas tehnoloģijas</w:t>
            </w:r>
            <w:r w:rsidR="009C7B4A" w:rsidRPr="00EA6D80">
              <w:rPr>
                <w:rFonts w:ascii="Times New Roman" w:hAnsi="Times New Roman"/>
                <w:color w:val="auto"/>
                <w:szCs w:val="22"/>
              </w:rPr>
              <w:t xml:space="preserve"> </w:t>
            </w:r>
            <w:r w:rsidRPr="00EA6D80">
              <w:rPr>
                <w:rFonts w:ascii="Times New Roman" w:hAnsi="Times New Roman"/>
                <w:color w:val="auto"/>
                <w:szCs w:val="22"/>
              </w:rPr>
              <w:t>un netehnoloģiskām apmācībām, kā arī apmācībām, lai sekmētu investoru piesaisti”);</w:t>
            </w:r>
          </w:p>
          <w:p w14:paraId="24EFCF9C" w14:textId="77777777" w:rsidR="00612992" w:rsidRPr="00EA6D80" w:rsidRDefault="00612992" w:rsidP="00EA6D80">
            <w:pPr>
              <w:pStyle w:val="ListParagraph"/>
              <w:numPr>
                <w:ilvl w:val="0"/>
                <w:numId w:val="30"/>
              </w:numPr>
              <w:autoSpaceDE w:val="0"/>
              <w:autoSpaceDN w:val="0"/>
              <w:adjustRightInd w:val="0"/>
              <w:spacing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Motivēt un iedrošināt plašāku sabiedrību iesaistīties uzņēmējdarbības un inovācijas aktivitātēs (pasākums “Inovāciju motivācijas programma”).</w:t>
            </w:r>
          </w:p>
          <w:p w14:paraId="1EFC5C81" w14:textId="77777777" w:rsidR="00612992" w:rsidRPr="00EA6D80" w:rsidRDefault="00612992" w:rsidP="00EA6D8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Paredzams, ka šo aktivitāšu īstenošanas rezultātā tiktu piesaistīts publiskais (ES SF) finansējums 193,5 milj. </w:t>
            </w:r>
            <w:r w:rsidRPr="00EA6D80">
              <w:rPr>
                <w:i/>
                <w:color w:val="auto"/>
                <w:sz w:val="22"/>
                <w:szCs w:val="22"/>
              </w:rPr>
              <w:t>euro</w:t>
            </w:r>
            <w:r w:rsidRPr="00EA6D80">
              <w:rPr>
                <w:color w:val="auto"/>
                <w:sz w:val="22"/>
                <w:szCs w:val="22"/>
              </w:rPr>
              <w:t xml:space="preserve"> apmērā (no tā 163,8 milj. </w:t>
            </w:r>
            <w:r w:rsidRPr="00EA6D80">
              <w:rPr>
                <w:i/>
                <w:color w:val="auto"/>
                <w:sz w:val="22"/>
                <w:szCs w:val="22"/>
              </w:rPr>
              <w:t>euro</w:t>
            </w:r>
            <w:r w:rsidRPr="00EA6D80">
              <w:rPr>
                <w:color w:val="auto"/>
                <w:sz w:val="22"/>
                <w:szCs w:val="22"/>
              </w:rPr>
              <w:t xml:space="preserve"> tieši ar P&amp;A saistītām darbībām).</w:t>
            </w:r>
          </w:p>
          <w:p w14:paraId="7F87E479" w14:textId="40F82068" w:rsidR="006A43C8" w:rsidRPr="00EA6D80" w:rsidRDefault="00612992" w:rsidP="002534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Uzņēmumi Latvijā kopš 2014.gada 1.jūlija var izmantot uzņēmumu ienākuma nodokļa stimulu uzņēmumu P&amp;A izmaksām, kas var tikt norakstītas tajā gadā, kad tās radušās, piemērojot vērtību palielinošu koeficientu „3”. Attiecināmās izmaksas: (1.) uzņēmuma zinātniskā un zinātnes tehniskā personāla izmaksas, kas saistītas ar uzņēmuma veikto pētniecības un attīstības darbu; (2.) pētniecības pakalpojumu, kas saņemti no zinātniskajām institūcijām, izmaksas; (3.) sertifikācijas, testēšanas un kalibrēšanas pakalpojumu izmaksas, saņemot pakalpojumus no akreditētām sertifikācijas, testēšanas un kalibrēšanas institūcijām.</w:t>
            </w:r>
          </w:p>
          <w:p w14:paraId="2671721C" w14:textId="7F55B5C1" w:rsidR="006A43C8" w:rsidRPr="006A43C8" w:rsidRDefault="00660CDE" w:rsidP="006A43C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HAnsi"/>
                <w:color w:val="auto"/>
                <w:sz w:val="22"/>
                <w:szCs w:val="22"/>
              </w:rPr>
            </w:pPr>
            <w:r w:rsidRPr="006A43C8">
              <w:rPr>
                <w:rFonts w:eastAsiaTheme="minorHAnsi"/>
                <w:color w:val="auto"/>
                <w:sz w:val="22"/>
                <w:szCs w:val="22"/>
              </w:rPr>
              <w:t>Tiek atbalstīti zinātnisko institūciju pasākumi starptautiskā izvērtējumu rekomendāciju ieviešanai, zinātnisko institūciju pētniecības programmu attīstības stratēģiju izstrādei, institūciju apvienošanās juridiskās bāzes un plānu izstrādei, apvienošanās un reorganizācijas pasākumu ieviešanai, kā arī zinātnisko institūciju resursu vadības un rezultātu pārvaldības sistēmas attīstībai. Projektu īstenošana paredzēta līdz 2015.gada beigām. Konsolidācijas veicināšanai un resursu koncentrācijai no 2016.gada bāzes finansējumu nesaņems ar “1” un “2” novērtētās zinātniskās institūcijas, kas nepiedalās zinātnisko institūciju konsolidācijas procesos. Ņe</w:t>
            </w:r>
            <w:r w:rsidR="0025340E">
              <w:rPr>
                <w:rFonts w:eastAsiaTheme="minorHAnsi"/>
                <w:color w:val="auto"/>
                <w:sz w:val="22"/>
                <w:szCs w:val="22"/>
              </w:rPr>
              <w:t xml:space="preserve">mot vērā, ka nākošais zinātnes </w:t>
            </w:r>
            <w:r w:rsidRPr="006A43C8">
              <w:rPr>
                <w:rFonts w:eastAsiaTheme="minorHAnsi"/>
                <w:color w:val="auto"/>
                <w:sz w:val="22"/>
                <w:szCs w:val="22"/>
              </w:rPr>
              <w:t>n</w:t>
            </w:r>
            <w:r w:rsidR="0025340E">
              <w:rPr>
                <w:rFonts w:eastAsiaTheme="minorHAnsi"/>
                <w:color w:val="auto"/>
                <w:sz w:val="22"/>
                <w:szCs w:val="22"/>
              </w:rPr>
              <w:t>o</w:t>
            </w:r>
            <w:r w:rsidRPr="006A43C8">
              <w:rPr>
                <w:rFonts w:eastAsiaTheme="minorHAnsi"/>
                <w:color w:val="auto"/>
                <w:sz w:val="22"/>
                <w:szCs w:val="22"/>
              </w:rPr>
              <w:t>vertējums plānots 2017.gadā, zinātniskās institūcijas, kas novērtētas zemu, tiek mudinātas meklēt iespējas integrēties spēcīgākās institūcijās, tādējādi sekmējot resursu koncentrāciju un kritiskās masas veidošanos šajās institūcijās, vai arī vairs netiek finansētas.</w:t>
            </w:r>
          </w:p>
          <w:p w14:paraId="7D6B7078" w14:textId="05EA34AE" w:rsidR="00660CDE" w:rsidRPr="006A43C8" w:rsidRDefault="00660CDE" w:rsidP="006A43C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HAnsi"/>
                <w:color w:val="auto"/>
                <w:sz w:val="22"/>
                <w:szCs w:val="22"/>
              </w:rPr>
            </w:pPr>
            <w:r w:rsidRPr="006A43C8">
              <w:rPr>
                <w:rFonts w:eastAsiaTheme="minorHAnsi"/>
                <w:color w:val="auto"/>
                <w:sz w:val="22"/>
                <w:szCs w:val="22"/>
              </w:rPr>
              <w:t>2015.</w:t>
            </w:r>
            <w:r w:rsidR="006A43C8" w:rsidRPr="006A43C8">
              <w:rPr>
                <w:rFonts w:eastAsiaTheme="minorHAnsi"/>
                <w:color w:val="auto"/>
                <w:sz w:val="22"/>
                <w:szCs w:val="22"/>
              </w:rPr>
              <w:t>gadā ir noslēgusies 2007.-2013.</w:t>
            </w:r>
            <w:r w:rsidRPr="006A43C8">
              <w:rPr>
                <w:rFonts w:eastAsiaTheme="minorHAnsi"/>
                <w:color w:val="auto"/>
                <w:sz w:val="22"/>
                <w:szCs w:val="22"/>
              </w:rPr>
              <w:t xml:space="preserve">gadu periodā īstenotā ES struktūrfondu aktivitātes cilvēkresursu piesaistei zinātnē 2.kārta, kuras rezultātā tikai veikti 48 pētniecības projekti, piesaistot jaunus zinātniekus 125PLE izteiksmē. </w:t>
            </w:r>
          </w:p>
          <w:p w14:paraId="1DC6A248" w14:textId="77777777" w:rsidR="00660CDE" w:rsidRPr="0025340E" w:rsidRDefault="00660CDE" w:rsidP="006A43C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Tiek </w:t>
            </w:r>
            <w:r w:rsidRPr="006A43C8">
              <w:rPr>
                <w:rFonts w:eastAsiaTheme="minorHAnsi"/>
                <w:color w:val="auto"/>
                <w:sz w:val="22"/>
                <w:szCs w:val="22"/>
              </w:rPr>
              <w:t>turpināta</w:t>
            </w:r>
            <w:r w:rsidRPr="00EA6D80">
              <w:rPr>
                <w:color w:val="auto"/>
                <w:sz w:val="22"/>
                <w:szCs w:val="22"/>
              </w:rPr>
              <w:t xml:space="preserve"> atbalsta sniegšana deviņiem valsts nozīmes pētniecības centriem (turpmāk – VNPC) zinātnes un tehnoloģiju resursu koncentrācijai un attīstībai, kuros ERAF apakšaktivitātes “Zinātnes infrastruktūras attīstība” pirmās kārtas ietvaros tiek finansēta pētniecības infrastruktūras un laboratoriju modernizācija un jaunas aparatūras iegāde (2011.-2015.</w:t>
            </w:r>
            <w:r w:rsidRPr="0025340E">
              <w:rPr>
                <w:color w:val="auto"/>
                <w:sz w:val="22"/>
                <w:szCs w:val="22"/>
              </w:rPr>
              <w:t xml:space="preserve">gads), kopumā modernizējot 27 iesaistītās zinātniskās institūcijas. </w:t>
            </w:r>
          </w:p>
          <w:p w14:paraId="684C7334" w14:textId="351B1F0E" w:rsidR="00660CDE" w:rsidRPr="0025340E" w:rsidRDefault="006A43C8" w:rsidP="002534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25340E">
              <w:rPr>
                <w:color w:val="auto"/>
                <w:sz w:val="22"/>
                <w:szCs w:val="22"/>
              </w:rPr>
              <w:t>2015.</w:t>
            </w:r>
            <w:r w:rsidR="00660CDE" w:rsidRPr="0025340E">
              <w:rPr>
                <w:rFonts w:eastAsiaTheme="minorHAnsi"/>
                <w:color w:val="auto"/>
                <w:sz w:val="22"/>
                <w:szCs w:val="22"/>
              </w:rPr>
              <w:t>gada</w:t>
            </w:r>
            <w:r w:rsidR="00660CDE" w:rsidRPr="0025340E">
              <w:rPr>
                <w:color w:val="auto"/>
                <w:sz w:val="22"/>
                <w:szCs w:val="22"/>
              </w:rPr>
              <w:t xml:space="preserve"> augustā tika rīkots publisko diskusiju cikls par VPNC tālākās attīstības iespējām ar mērķi noskaidrot VNPC vadošo un veidojošo institūciju un uzņēmēju viedokli par VNPC tālāko attīstību. Diskusijas rezultāti tiks izmantoti ES fondu 2014.-2020.gadu plānošanas perioda finanšu instrumentu programmēšanai un attiecīgu </w:t>
            </w:r>
            <w:r w:rsidR="0048007F" w:rsidRPr="0025340E">
              <w:rPr>
                <w:color w:val="auto"/>
                <w:sz w:val="22"/>
                <w:szCs w:val="22"/>
              </w:rPr>
              <w:t>MK</w:t>
            </w:r>
            <w:r w:rsidR="00660CDE" w:rsidRPr="0025340E">
              <w:rPr>
                <w:color w:val="auto"/>
                <w:sz w:val="22"/>
                <w:szCs w:val="22"/>
              </w:rPr>
              <w:t xml:space="preserve"> tiesību aktu sagatavošanai.</w:t>
            </w:r>
          </w:p>
          <w:p w14:paraId="57EC83EE" w14:textId="3869D029" w:rsidR="00660CDE" w:rsidRPr="00EA6D80" w:rsidRDefault="00660CDE" w:rsidP="00EA6D8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HAnsi"/>
                <w:color w:val="auto"/>
                <w:sz w:val="22"/>
                <w:szCs w:val="22"/>
              </w:rPr>
            </w:pPr>
            <w:r w:rsidRPr="00EA6D80">
              <w:rPr>
                <w:rFonts w:eastAsiaTheme="minorHAnsi"/>
                <w:color w:val="auto"/>
                <w:sz w:val="22"/>
                <w:szCs w:val="22"/>
              </w:rPr>
              <w:t xml:space="preserve">2015./2016.akadēmiskajā gadā plānots uzsākt īstenot pēcdoktorantūras pētniecības programmu, kuras ietvaros tiks piešķirts finansējums jauno zinātņu doktoru pētījumiem un mobilitātei, tai skaitā pētījumiem uzņēmēju vajadzībām, piesaistot privātā sektora finansējumu. </w:t>
            </w:r>
            <w:r w:rsidRPr="00EA6D80">
              <w:rPr>
                <w:color w:val="auto"/>
                <w:sz w:val="22"/>
                <w:szCs w:val="22"/>
              </w:rPr>
              <w:t xml:space="preserve">Izstrādāts un tiek saskaņots </w:t>
            </w:r>
            <w:r w:rsidR="0048007F" w:rsidRPr="00EA6D80">
              <w:rPr>
                <w:color w:val="auto"/>
                <w:sz w:val="22"/>
                <w:szCs w:val="22"/>
              </w:rPr>
              <w:t>MK</w:t>
            </w:r>
            <w:r w:rsidRPr="00EA6D80">
              <w:rPr>
                <w:color w:val="auto"/>
                <w:sz w:val="22"/>
                <w:szCs w:val="22"/>
              </w:rPr>
              <w:t xml:space="preserve"> noteikumu projekts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projekta vērtēšanas kritēriji apstiprināti ES fondu uzraudzības komitejā  š.g. 30.aprīlī. </w:t>
            </w:r>
          </w:p>
          <w:p w14:paraId="278E2CD6" w14:textId="2F1B7B92" w:rsidR="00660CDE" w:rsidRPr="00EA6D80" w:rsidRDefault="00660CDE" w:rsidP="00EA6D80">
            <w:pPr>
              <w:spacing w:after="0"/>
              <w:cnfStyle w:val="000000000000" w:firstRow="0" w:lastRow="0" w:firstColumn="0" w:lastColumn="0" w:oddVBand="0" w:evenVBand="0" w:oddHBand="0" w:evenHBand="0" w:firstRowFirstColumn="0" w:firstRowLastColumn="0" w:lastRowFirstColumn="0" w:lastRowLastColumn="0"/>
              <w:rPr>
                <w:bCs/>
                <w:iCs/>
                <w:color w:val="auto"/>
                <w:sz w:val="22"/>
                <w:szCs w:val="22"/>
              </w:rPr>
            </w:pPr>
            <w:r w:rsidRPr="00EA6D80">
              <w:rPr>
                <w:color w:val="auto"/>
                <w:sz w:val="22"/>
                <w:szCs w:val="22"/>
              </w:rPr>
              <w:t>Sākotnējai novērtējums un vērtēšanas kritēriji apstiprināti arī šī mērķa 1.1.1.1. pasākumam “ Praktiskās pētniecības atbalsts”, kā arī ir izstrādāts MK noteikumu projekts (</w:t>
            </w:r>
            <w:r w:rsidRPr="00EA6D80">
              <w:rPr>
                <w:bCs/>
                <w:iCs/>
                <w:color w:val="auto"/>
                <w:sz w:val="22"/>
                <w:szCs w:val="22"/>
              </w:rPr>
              <w:t xml:space="preserve">izsludināts </w:t>
            </w:r>
            <w:r w:rsidR="006A43C8">
              <w:rPr>
                <w:bCs/>
                <w:iCs/>
                <w:color w:val="auto"/>
                <w:sz w:val="22"/>
                <w:szCs w:val="22"/>
              </w:rPr>
              <w:t>2015.gada 23.jūlija</w:t>
            </w:r>
            <w:r w:rsidRPr="00EA6D80">
              <w:rPr>
                <w:bCs/>
                <w:iCs/>
                <w:color w:val="auto"/>
                <w:sz w:val="22"/>
                <w:szCs w:val="22"/>
              </w:rPr>
              <w:t xml:space="preserve"> VSS),  šobrīd notiek noteikumu saskaņošanas process. </w:t>
            </w:r>
          </w:p>
          <w:p w14:paraId="5B97FA6E" w14:textId="145ACC63" w:rsidR="00660CDE" w:rsidRPr="00EA6D80" w:rsidRDefault="00660CDE" w:rsidP="006A43C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6A43C8">
              <w:rPr>
                <w:color w:val="auto"/>
                <w:sz w:val="22"/>
                <w:szCs w:val="22"/>
              </w:rPr>
              <w:t>Minētie</w:t>
            </w:r>
            <w:r w:rsidRPr="00EA6D80">
              <w:rPr>
                <w:bCs/>
                <w:iCs/>
                <w:color w:val="auto"/>
                <w:sz w:val="22"/>
                <w:szCs w:val="22"/>
              </w:rPr>
              <w:t xml:space="preserve"> pasākumi tiek vērsti tādu </w:t>
            </w:r>
            <w:r w:rsidRPr="00EA6D80">
              <w:rPr>
                <w:color w:val="auto"/>
                <w:sz w:val="22"/>
                <w:szCs w:val="22"/>
              </w:rPr>
              <w:t xml:space="preserve">pēcdoktorantūras pētījumu projektu, vai lietišķo pētījumu  īstenošanai zinātniskajās grupās augstskolās un zinātniskajās institūcijās (t.sk. tiem, kas īstenoti uzņēmumos un ārvalsts pētniecības centros), kas sekmē zināšanu pārnesi tautsaimniecībā atbilstoši RIS3 izvirzītajām stratēģiskajām </w:t>
            </w:r>
            <w:r w:rsidRPr="006A43C8">
              <w:rPr>
                <w:color w:val="auto"/>
                <w:sz w:val="22"/>
                <w:szCs w:val="22"/>
              </w:rPr>
              <w:t>prioritātēm.</w:t>
            </w:r>
          </w:p>
        </w:tc>
      </w:tr>
      <w:tr w:rsidR="00D251AD" w:rsidRPr="00EA6D80" w14:paraId="0AA4B291"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F44B80" w14:textId="77777777" w:rsidR="00D251AD" w:rsidRPr="00EA6D80" w:rsidRDefault="00D251AD" w:rsidP="00945E73">
            <w:pPr>
              <w:ind w:firstLine="0"/>
              <w:rPr>
                <w:b w:val="0"/>
                <w:color w:val="auto"/>
                <w:sz w:val="22"/>
                <w:szCs w:val="22"/>
              </w:rPr>
            </w:pPr>
            <w:r w:rsidRPr="00EA6D80">
              <w:rPr>
                <w:color w:val="auto"/>
                <w:sz w:val="22"/>
                <w:szCs w:val="22"/>
              </w:rPr>
              <w:t>Nacionālais SEG emisijas</w:t>
            </w:r>
            <w:r w:rsidRPr="00EA6D80">
              <w:rPr>
                <w:b w:val="0"/>
                <w:color w:val="auto"/>
                <w:sz w:val="22"/>
                <w:szCs w:val="22"/>
              </w:rPr>
              <w:t xml:space="preserve"> </w:t>
            </w:r>
            <w:r w:rsidRPr="00EA6D80">
              <w:rPr>
                <w:color w:val="auto"/>
                <w:sz w:val="22"/>
                <w:szCs w:val="22"/>
              </w:rPr>
              <w:t>ierobežošanas mērķis (12,2 Mt CO</w:t>
            </w:r>
            <w:r w:rsidRPr="00EA6D80">
              <w:rPr>
                <w:color w:val="auto"/>
                <w:sz w:val="22"/>
                <w:szCs w:val="22"/>
                <w:vertAlign w:val="subscript"/>
              </w:rPr>
              <w:t>2</w:t>
            </w:r>
            <w:r w:rsidRPr="00EA6D80">
              <w:rPr>
                <w:color w:val="auto"/>
                <w:sz w:val="22"/>
                <w:szCs w:val="22"/>
              </w:rPr>
              <w:t>)</w:t>
            </w:r>
          </w:p>
        </w:tc>
        <w:tc>
          <w:tcPr>
            <w:tcW w:w="2835" w:type="dxa"/>
          </w:tcPr>
          <w:p w14:paraId="150156A1" w14:textId="77777777" w:rsidR="00D251AD" w:rsidRPr="00EA6D80" w:rsidRDefault="00D251AD" w:rsidP="00D251AD">
            <w:pPr>
              <w:pStyle w:val="ListParagraph"/>
              <w:numPr>
                <w:ilvl w:val="0"/>
                <w:numId w:val="22"/>
              </w:numPr>
              <w:spacing w:after="0" w:line="240" w:lineRule="auto"/>
              <w:ind w:left="180" w:hanging="219"/>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Ne-ETS nozaru emisiju ierobežošana;</w:t>
            </w:r>
          </w:p>
          <w:p w14:paraId="6F650BF8" w14:textId="77777777" w:rsidR="00D251AD" w:rsidRPr="00EA6D80" w:rsidRDefault="00D251AD" w:rsidP="00D251AD">
            <w:pPr>
              <w:pStyle w:val="ListParagraph"/>
              <w:numPr>
                <w:ilvl w:val="0"/>
                <w:numId w:val="22"/>
              </w:numPr>
              <w:spacing w:after="0" w:line="240" w:lineRule="auto"/>
              <w:ind w:left="180" w:hanging="219"/>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Pētniecība, inovācijas, sabiedrības informēšana.</w:t>
            </w:r>
          </w:p>
        </w:tc>
        <w:tc>
          <w:tcPr>
            <w:tcW w:w="10489" w:type="dxa"/>
          </w:tcPr>
          <w:p w14:paraId="20A3F293" w14:textId="77777777" w:rsidR="00914EDA" w:rsidRPr="00EA6D80" w:rsidRDefault="00914EDA" w:rsidP="009C7B4A">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Lai nodrošinātu saskaņotu siltumnīcefekta gāzu emisijas samazināšanas politikas ieviešanu, šobrīd tiek strādāts pie „Klimata pārmaiņu mazināšanas plāna 2015.-2020.gadam”, kā arī „Stratēģijas virzībai uz oglekļa mazietilpīgu attīstību līdz 2050.gadam”. Lai veicinātu sabiedrības iesaisti plāna izstrādē un apstiprināšanas procesā 2015.gadā Eiropas Ekonomikas zonas finanšu instrumenta 2009.-2014. gada programmas “Nacionālā klimata politika” iepriekš noteiktā projekta „Nacionālās sistēmas pilnveidošana siltumnīcefekta gāzu inventarizācijai un ziņošanai par politikām, pasākumiem un prognozēm” ietvaros ir paredzēts organizēt 3 seminārus.</w:t>
            </w:r>
          </w:p>
          <w:p w14:paraId="4C9DA4E1" w14:textId="77777777" w:rsidR="00914EDA" w:rsidRPr="00EA6D80" w:rsidRDefault="00914EDA" w:rsidP="009C7B4A">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Latvijas Vides aizsardzības fonds ir uzsācis vairāku pētījumu projektu konkursu administrēšanu ar mērķi sekmēt klimata politikas ieviešanu un informēt sabiedrību par klimata politikas aktualitātēm.</w:t>
            </w:r>
          </w:p>
          <w:p w14:paraId="56CB1D69" w14:textId="77777777" w:rsidR="00914EDA" w:rsidRPr="00EA6D80" w:rsidRDefault="00914EDA" w:rsidP="009C7B4A">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Klimata pārmaiņu finanšu instrumenta (KPFI) ietvaros līdz 2015.gada 30.jūnijam ir noslēgusies projektu īstenošana visos konkursos, tajā skaitā ne-ETS sektorā (piem., elektromobiļu un uzlādes infrastruktūras ieviešana, atjaunojamo energoresursu tehnoloģiju uzstādīšana mājsaimniecībās).</w:t>
            </w:r>
          </w:p>
          <w:p w14:paraId="68BBE09C" w14:textId="49341E89" w:rsidR="00D251AD" w:rsidRPr="00EA6D80" w:rsidRDefault="00914EDA" w:rsidP="009C7B4A">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No š.g. 15. līdz 18.oktobrim norisināsies izstāde „Vide un enerģija”, lai izglītotu sabiedrību un izstādes dalībniekus par dažādiem starpdisciplināriem ar vidi un enerģiju saistītiem jautājumiem, par klimata pārmaiņām Latvijā, to samazināšanas iespējām un pielāgošanos klimata pārmaiņām Latvijā, tādējādi veicinot Latvijā siltumnīcefekta gāzu emisiju samazinošu pasākumu īstenošanu un pāreju uz oglekļa mazietilpīgu attīstību.</w:t>
            </w:r>
          </w:p>
        </w:tc>
      </w:tr>
      <w:tr w:rsidR="00D251AD" w:rsidRPr="00EA6D80" w14:paraId="39AA8F23" w14:textId="77777777" w:rsidTr="00D640F7">
        <w:tc>
          <w:tcPr>
            <w:cnfStyle w:val="001000000000" w:firstRow="0" w:lastRow="0" w:firstColumn="1" w:lastColumn="0" w:oddVBand="0" w:evenVBand="0" w:oddHBand="0" w:evenHBand="0" w:firstRowFirstColumn="0" w:firstRowLastColumn="0" w:lastRowFirstColumn="0" w:lastRowLastColumn="0"/>
            <w:tcW w:w="2122" w:type="dxa"/>
          </w:tcPr>
          <w:p w14:paraId="6B631BBF" w14:textId="77777777" w:rsidR="00D251AD" w:rsidRPr="00EA6D80" w:rsidRDefault="00D251AD" w:rsidP="00945E73">
            <w:pPr>
              <w:ind w:firstLine="0"/>
              <w:rPr>
                <w:b w:val="0"/>
                <w:color w:val="auto"/>
                <w:sz w:val="22"/>
                <w:szCs w:val="22"/>
              </w:rPr>
            </w:pPr>
            <w:r w:rsidRPr="00EA6D80">
              <w:rPr>
                <w:color w:val="auto"/>
                <w:sz w:val="22"/>
                <w:szCs w:val="22"/>
              </w:rPr>
              <w:t>Atjaunojamās enerģijas mērķis (40,0%)</w:t>
            </w:r>
          </w:p>
        </w:tc>
        <w:tc>
          <w:tcPr>
            <w:tcW w:w="2835" w:type="dxa"/>
          </w:tcPr>
          <w:p w14:paraId="542C5BA2" w14:textId="77777777" w:rsidR="00D251AD" w:rsidRPr="00EA6D80" w:rsidRDefault="00D251AD" w:rsidP="00D251AD">
            <w:pPr>
              <w:pStyle w:val="ListParagraph"/>
              <w:numPr>
                <w:ilvl w:val="0"/>
                <w:numId w:val="21"/>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Tiesiskās bāzes sakārtošana;</w:t>
            </w:r>
          </w:p>
          <w:p w14:paraId="44C42966" w14:textId="77777777" w:rsidR="00D251AD" w:rsidRPr="00EA6D80" w:rsidRDefault="00D251AD" w:rsidP="00D251AD">
            <w:pPr>
              <w:pStyle w:val="ListParagraph"/>
              <w:numPr>
                <w:ilvl w:val="0"/>
                <w:numId w:val="21"/>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Finanšu resursu pieejamības nodrošināšana atjaunojamās enerģijas ražošanai;</w:t>
            </w:r>
          </w:p>
          <w:p w14:paraId="3474F5D6" w14:textId="77777777" w:rsidR="00D251AD" w:rsidRPr="00EA6D80" w:rsidRDefault="00D251AD" w:rsidP="00D251AD">
            <w:pPr>
              <w:pStyle w:val="ListParagraph"/>
              <w:numPr>
                <w:ilvl w:val="0"/>
                <w:numId w:val="21"/>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Biodegvielas izmantošanas veicināšana transporta sektorā.</w:t>
            </w:r>
          </w:p>
        </w:tc>
        <w:tc>
          <w:tcPr>
            <w:tcW w:w="10489" w:type="dxa"/>
          </w:tcPr>
          <w:p w14:paraId="2A4B0311" w14:textId="77777777" w:rsidR="00612992" w:rsidRPr="00EA6D80" w:rsidRDefault="00612992" w:rsidP="00612992">
            <w:pPr>
              <w:tabs>
                <w:tab w:val="left" w:pos="5173"/>
              </w:tabs>
              <w:spacing w:after="0"/>
              <w:cnfStyle w:val="000000000000" w:firstRow="0" w:lastRow="0" w:firstColumn="0" w:lastColumn="0" w:oddVBand="0" w:evenVBand="0" w:oddHBand="0" w:evenHBand="0" w:firstRowFirstColumn="0" w:firstRowLastColumn="0" w:lastRowFirstColumn="0" w:lastRowLastColumn="0"/>
              <w:rPr>
                <w:b/>
                <w:color w:val="auto"/>
                <w:sz w:val="22"/>
                <w:szCs w:val="22"/>
              </w:rPr>
            </w:pPr>
            <w:r w:rsidRPr="00EA6D80">
              <w:rPr>
                <w:b/>
                <w:color w:val="auto"/>
                <w:sz w:val="22"/>
                <w:szCs w:val="22"/>
              </w:rPr>
              <w:t xml:space="preserve">Tiesiskās bāzes sakārtošana </w:t>
            </w:r>
          </w:p>
          <w:p w14:paraId="1AC17C1E" w14:textId="77777777" w:rsidR="00612992" w:rsidRPr="00EA6D80" w:rsidRDefault="00612992" w:rsidP="00612992">
            <w:pPr>
              <w:tabs>
                <w:tab w:val="left" w:pos="5173"/>
              </w:tabs>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2015.gadā tika turpināts darbs pie esošā atbalsta mehānisma elektroenerģijas ražošanai no AER un koģenerācijā efektivitātes izvērtēšanas un sagatavoti priekšlikumi turpmākajiem risinājumiem. </w:t>
            </w:r>
          </w:p>
          <w:p w14:paraId="0BC355AE" w14:textId="0B183416" w:rsidR="00612992" w:rsidRPr="00EA6D80" w:rsidRDefault="00612992" w:rsidP="00612992">
            <w:pPr>
              <w:tabs>
                <w:tab w:val="left" w:pos="5173"/>
              </w:tabs>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2015.gada 14.jūlijā ir pieņemti </w:t>
            </w:r>
            <w:r w:rsidR="0048007F" w:rsidRPr="00EA6D80">
              <w:rPr>
                <w:color w:val="auto"/>
                <w:sz w:val="22"/>
                <w:szCs w:val="22"/>
              </w:rPr>
              <w:t>MK</w:t>
            </w:r>
            <w:r w:rsidRPr="00EA6D80">
              <w:rPr>
                <w:color w:val="auto"/>
                <w:sz w:val="22"/>
                <w:szCs w:val="22"/>
              </w:rPr>
              <w:t xml:space="preserve"> noteikumi Nr.395 “Kārtība, kādā energoietilpīgi apstrādes rūpniecības uzņēmumi iegūst tiesības uz samazinātu līdzdalību obligātā iepirkuma komponentes maksājumam”, kas paredz energoietilpīgiem komersantiem iespēju pretendēt uz samazinātu obligātā iepirkuma komponentes līdzdalības maksājumu. Šis atbalsta mehānisms ir iesniegts saskaņošanai </w:t>
            </w:r>
            <w:r w:rsidR="007D2E71">
              <w:rPr>
                <w:color w:val="auto"/>
                <w:sz w:val="22"/>
                <w:szCs w:val="22"/>
              </w:rPr>
              <w:t>EK</w:t>
            </w:r>
            <w:r w:rsidRPr="00EA6D80">
              <w:rPr>
                <w:color w:val="auto"/>
                <w:sz w:val="22"/>
                <w:szCs w:val="22"/>
              </w:rPr>
              <w:t>.</w:t>
            </w:r>
          </w:p>
          <w:p w14:paraId="5FBAB253" w14:textId="5DBB4692" w:rsidR="00612992" w:rsidRPr="00EA6D80" w:rsidRDefault="00612992" w:rsidP="00612992">
            <w:pPr>
              <w:tabs>
                <w:tab w:val="left" w:pos="5173"/>
              </w:tabs>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Ņemot vērā, ka MK noteiktais moratorijs (noteikts MK </w:t>
            </w:r>
            <w:r w:rsidR="009C7B4A">
              <w:rPr>
                <w:color w:val="auto"/>
                <w:sz w:val="22"/>
                <w:szCs w:val="22"/>
              </w:rPr>
              <w:t>2009.gada 10.martā</w:t>
            </w:r>
            <w:r w:rsidRPr="00EA6D80">
              <w:rPr>
                <w:color w:val="auto"/>
                <w:sz w:val="22"/>
                <w:szCs w:val="22"/>
              </w:rPr>
              <w:t xml:space="preserve"> noteikumos Nr.221 „Noteikumi par elektroenerģijas ražošanu un cenu noteikšanu, ražojot elektroenerģiju koģenerācijā” un MK </w:t>
            </w:r>
            <w:r w:rsidR="0025340E">
              <w:rPr>
                <w:color w:val="auto"/>
                <w:sz w:val="22"/>
                <w:szCs w:val="22"/>
              </w:rPr>
              <w:t>2010.gada 16.marta</w:t>
            </w:r>
            <w:r w:rsidRPr="00EA6D80">
              <w:rPr>
                <w:color w:val="auto"/>
                <w:sz w:val="22"/>
                <w:szCs w:val="22"/>
              </w:rPr>
              <w:t xml:space="preserve"> noteikumos Nr.262 „Noteikumi par elektroenerģijas ražošanu, izmantojot atjaunojamos energoresursus, un cenu noteikšanas kārtību”) attiecībā uz tiesībām kvalificēties atbalsta saņemšanai pārdot elektroenerģiju obligātā iepirkuma ietvaros vai saņemt garantētu maksu par elektrostacijā uzstādīto jaudu, ir spēkā līdz 2016.gada 1.janvārim, ir pieņemts lēmums pagarināt moratoriju.</w:t>
            </w:r>
          </w:p>
          <w:p w14:paraId="08A3B38B" w14:textId="0CD570EF" w:rsidR="00E02E98" w:rsidRPr="004D377A" w:rsidRDefault="00612992" w:rsidP="004D377A">
            <w:pPr>
              <w:tabs>
                <w:tab w:val="left" w:pos="5173"/>
              </w:tabs>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Ir sagatavots izvērtējums par Subsidētā elektroenerģijas nodokļa (SEN) likuma faktisko darbību 2014.gadā un 2015.gada pirmajos 7 mēnešos un veiktas turpmākās SEN prognozes, kas iekļautas konceptuālajā ziņojumā “Kompleksi pasākumi elektroenerģijas tirgus attīstībai”. Šis ziņojums izskatīts 2015.gada 31.augusta </w:t>
            </w:r>
            <w:r w:rsidR="0048007F" w:rsidRPr="00EA6D80">
              <w:rPr>
                <w:color w:val="auto"/>
                <w:sz w:val="22"/>
                <w:szCs w:val="22"/>
              </w:rPr>
              <w:t>MK</w:t>
            </w:r>
            <w:r w:rsidRPr="00EA6D80">
              <w:rPr>
                <w:color w:val="auto"/>
                <w:sz w:val="22"/>
                <w:szCs w:val="22"/>
              </w:rPr>
              <w:t xml:space="preserve"> sēdē un </w:t>
            </w:r>
            <w:r w:rsidR="0048007F" w:rsidRPr="00EA6D80">
              <w:rPr>
                <w:color w:val="auto"/>
                <w:sz w:val="22"/>
                <w:szCs w:val="22"/>
              </w:rPr>
              <w:t>MK</w:t>
            </w:r>
            <w:r w:rsidRPr="00EA6D80">
              <w:rPr>
                <w:color w:val="auto"/>
                <w:sz w:val="22"/>
                <w:szCs w:val="22"/>
              </w:rPr>
              <w:t xml:space="preserve"> ir apņēmies turpmākos 3 gadus nepieļaut obligātā iepirkuma komponentes pieaugumu un saglabāt to pašreizējā līmenī 26,79 EUR/MWh. Šāds risinājums panākts kompensējot obligātā iepirkumu komponentes pieaugumu no valsts budžeta līdzekļiem, paredzot ieņēmumus budžetā no SEN, PVN un valsts kapitāls</w:t>
            </w:r>
            <w:r w:rsidR="004D377A">
              <w:rPr>
                <w:color w:val="auto"/>
                <w:sz w:val="22"/>
                <w:szCs w:val="22"/>
              </w:rPr>
              <w:t>abiedrības “Latvenergo” peļņas.</w:t>
            </w:r>
          </w:p>
          <w:p w14:paraId="048DE28A" w14:textId="77777777" w:rsidR="00612992" w:rsidRPr="00EA6D80" w:rsidRDefault="00612992" w:rsidP="004D377A">
            <w:pPr>
              <w:spacing w:before="40" w:after="0"/>
              <w:cnfStyle w:val="000000000000" w:firstRow="0" w:lastRow="0" w:firstColumn="0" w:lastColumn="0" w:oddVBand="0" w:evenVBand="0" w:oddHBand="0" w:evenHBand="0" w:firstRowFirstColumn="0" w:firstRowLastColumn="0" w:lastRowFirstColumn="0" w:lastRowLastColumn="0"/>
              <w:rPr>
                <w:b/>
                <w:color w:val="auto"/>
                <w:sz w:val="22"/>
                <w:szCs w:val="22"/>
              </w:rPr>
            </w:pPr>
            <w:r w:rsidRPr="00EA6D80">
              <w:rPr>
                <w:b/>
                <w:color w:val="auto"/>
                <w:sz w:val="22"/>
                <w:szCs w:val="22"/>
              </w:rPr>
              <w:t>Finanšu resursu pieejamības nodrošināšana atjaunojamās enerģijas ražošanai</w:t>
            </w:r>
          </w:p>
          <w:p w14:paraId="52387ED4" w14:textId="77777777" w:rsidR="00612992" w:rsidRPr="00EA6D80" w:rsidRDefault="00612992" w:rsidP="00612992">
            <w:pPr>
              <w:tabs>
                <w:tab w:val="left" w:pos="5173"/>
              </w:tabs>
              <w:spacing w:after="0"/>
              <w:cnfStyle w:val="000000000000" w:firstRow="0" w:lastRow="0" w:firstColumn="0" w:lastColumn="0" w:oddVBand="0" w:evenVBand="0" w:oddHBand="0" w:evenHBand="0" w:firstRowFirstColumn="0" w:firstRowLastColumn="0" w:lastRowFirstColumn="0" w:lastRowLastColumn="0"/>
              <w:rPr>
                <w:bCs/>
                <w:color w:val="auto"/>
                <w:sz w:val="22"/>
                <w:szCs w:val="22"/>
              </w:rPr>
            </w:pPr>
            <w:r w:rsidRPr="00EA6D80">
              <w:rPr>
                <w:bCs/>
                <w:color w:val="auto"/>
                <w:sz w:val="22"/>
                <w:szCs w:val="22"/>
              </w:rPr>
              <w:t xml:space="preserve">Ar katru gadu pieaug ražotājiem, kas pārdod elektroenerģiju obligātā iepirkuma ietvaros vai saņem garantēto maksu par uzstādīto elektrisko jaudu, izmaksātais kopējais atbalsta apjoms. Ražotājiem, kas elektroenerģiju ražo no atjaunojamiem energoresursiem un to pārdod obligātā iepirkuma ietvaros, atbalsta apjoms virs tirgus cenas 2015.gada 1.pusgadā bija 65% no 2014.gadā izmaksātā atbalsta apjoma virs tirgus cenas, pārsniedzot 2014.gada 1.pusgadā izmaksāto atbalsta apjomu par 22%. </w:t>
            </w:r>
          </w:p>
          <w:p w14:paraId="735A344C" w14:textId="77777777" w:rsidR="004D377A" w:rsidRPr="00EA6D80" w:rsidRDefault="004D377A" w:rsidP="0025340E">
            <w:pPr>
              <w:tabs>
                <w:tab w:val="left" w:pos="5173"/>
              </w:tabs>
              <w:spacing w:after="0"/>
              <w:ind w:firstLine="0"/>
              <w:cnfStyle w:val="000000000000" w:firstRow="0" w:lastRow="0" w:firstColumn="0" w:lastColumn="0" w:oddVBand="0" w:evenVBand="0" w:oddHBand="0" w:evenHBand="0" w:firstRowFirstColumn="0" w:firstRowLastColumn="0" w:lastRowFirstColumn="0" w:lastRowLastColumn="0"/>
              <w:rPr>
                <w:bCs/>
                <w:i/>
                <w:color w:val="auto"/>
                <w:sz w:val="22"/>
                <w:szCs w:val="22"/>
              </w:rPr>
            </w:pPr>
          </w:p>
          <w:p w14:paraId="5C667BC8" w14:textId="77777777" w:rsidR="00612992" w:rsidRPr="00EA6D80" w:rsidRDefault="00612992" w:rsidP="00612992">
            <w:pPr>
              <w:tabs>
                <w:tab w:val="left" w:pos="5173"/>
              </w:tabs>
              <w:spacing w:after="0"/>
              <w:cnfStyle w:val="000000000000" w:firstRow="0" w:lastRow="0" w:firstColumn="0" w:lastColumn="0" w:oddVBand="0" w:evenVBand="0" w:oddHBand="0" w:evenHBand="0" w:firstRowFirstColumn="0" w:firstRowLastColumn="0" w:lastRowFirstColumn="0" w:lastRowLastColumn="0"/>
              <w:rPr>
                <w:bCs/>
                <w:i/>
                <w:color w:val="auto"/>
                <w:sz w:val="22"/>
                <w:szCs w:val="22"/>
              </w:rPr>
            </w:pPr>
            <w:r w:rsidRPr="00EA6D80">
              <w:rPr>
                <w:bCs/>
                <w:i/>
                <w:color w:val="auto"/>
                <w:sz w:val="22"/>
                <w:szCs w:val="22"/>
              </w:rPr>
              <w:t>Atbalsts elektroenerģijas ražošanai no atjaunojamajiem energoresursiem 2015.gada 1.pusgadā</w:t>
            </w:r>
          </w:p>
          <w:tbl>
            <w:tblPr>
              <w:tblStyle w:val="GridTable6Colorful-Accent11"/>
              <w:tblW w:w="9445" w:type="dxa"/>
              <w:jc w:val="center"/>
              <w:tblLayout w:type="fixed"/>
              <w:tblLook w:val="04A0" w:firstRow="1" w:lastRow="0" w:firstColumn="1" w:lastColumn="0" w:noHBand="0" w:noVBand="1"/>
            </w:tblPr>
            <w:tblGrid>
              <w:gridCol w:w="3917"/>
              <w:gridCol w:w="1984"/>
              <w:gridCol w:w="1843"/>
              <w:gridCol w:w="1701"/>
            </w:tblGrid>
            <w:tr w:rsidR="00612992" w:rsidRPr="009C7B4A" w14:paraId="4C4E2132" w14:textId="77777777" w:rsidTr="009C7B4A">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3917" w:type="dxa"/>
                </w:tcPr>
                <w:p w14:paraId="62A78FA8" w14:textId="77777777" w:rsidR="00612992" w:rsidRPr="009C7B4A" w:rsidRDefault="00612992" w:rsidP="00612992">
                  <w:pPr>
                    <w:tabs>
                      <w:tab w:val="left" w:pos="5173"/>
                    </w:tabs>
                    <w:spacing w:after="0"/>
                    <w:rPr>
                      <w:color w:val="000000"/>
                      <w:sz w:val="20"/>
                      <w:szCs w:val="22"/>
                    </w:rPr>
                  </w:pPr>
                </w:p>
              </w:tc>
              <w:tc>
                <w:tcPr>
                  <w:tcW w:w="1984" w:type="dxa"/>
                  <w:vAlign w:val="center"/>
                </w:tcPr>
                <w:p w14:paraId="513EFE5E" w14:textId="77777777" w:rsidR="00612992" w:rsidRPr="009C7B4A" w:rsidRDefault="00612992" w:rsidP="009C7B4A">
                  <w:pPr>
                    <w:tabs>
                      <w:tab w:val="left" w:pos="5173"/>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9C7B4A">
                    <w:rPr>
                      <w:color w:val="000000"/>
                      <w:sz w:val="20"/>
                      <w:szCs w:val="22"/>
                    </w:rPr>
                    <w:t>Iepirktais elektroenerģijas apjoms, GWh</w:t>
                  </w:r>
                </w:p>
              </w:tc>
              <w:tc>
                <w:tcPr>
                  <w:tcW w:w="1843" w:type="dxa"/>
                  <w:vAlign w:val="center"/>
                </w:tcPr>
                <w:p w14:paraId="78B129EC" w14:textId="78E7D4D9" w:rsidR="00612992" w:rsidRPr="009C7B4A" w:rsidRDefault="00612992" w:rsidP="00C6293F">
                  <w:pPr>
                    <w:tabs>
                      <w:tab w:val="left" w:pos="5173"/>
                    </w:tabs>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2"/>
                    </w:rPr>
                  </w:pPr>
                  <w:r w:rsidRPr="009C7B4A">
                    <w:rPr>
                      <w:bCs w:val="0"/>
                      <w:color w:val="000000"/>
                      <w:sz w:val="20"/>
                      <w:szCs w:val="22"/>
                    </w:rPr>
                    <w:t>Ražotājiem izmaksātais atbalsts</w:t>
                  </w:r>
                  <w:r w:rsidRPr="009C7B4A">
                    <w:rPr>
                      <w:color w:val="000000"/>
                      <w:sz w:val="20"/>
                      <w:szCs w:val="22"/>
                    </w:rPr>
                    <w:t>, milj.</w:t>
                  </w:r>
                  <w:r w:rsidR="00C6293F">
                    <w:rPr>
                      <w:i/>
                      <w:color w:val="000000"/>
                      <w:sz w:val="20"/>
                      <w:szCs w:val="22"/>
                    </w:rPr>
                    <w:t>euro</w:t>
                  </w:r>
                </w:p>
              </w:tc>
              <w:tc>
                <w:tcPr>
                  <w:tcW w:w="1701" w:type="dxa"/>
                  <w:vAlign w:val="center"/>
                </w:tcPr>
                <w:p w14:paraId="3FA23167" w14:textId="7A5298E1" w:rsidR="00612992" w:rsidRPr="009C7B4A" w:rsidRDefault="00612992" w:rsidP="00C6293F">
                  <w:pPr>
                    <w:tabs>
                      <w:tab w:val="left" w:pos="5173"/>
                    </w:tabs>
                    <w:spacing w:after="0"/>
                    <w:jc w:val="center"/>
                    <w:cnfStyle w:val="100000000000" w:firstRow="1" w:lastRow="0" w:firstColumn="0" w:lastColumn="0" w:oddVBand="0" w:evenVBand="0" w:oddHBand="0" w:evenHBand="0" w:firstRowFirstColumn="0" w:firstRowLastColumn="0" w:lastRowFirstColumn="0" w:lastRowLastColumn="0"/>
                    <w:rPr>
                      <w:bCs w:val="0"/>
                      <w:color w:val="000000"/>
                      <w:sz w:val="20"/>
                      <w:szCs w:val="22"/>
                    </w:rPr>
                  </w:pPr>
                  <w:r w:rsidRPr="009C7B4A">
                    <w:rPr>
                      <w:bCs w:val="0"/>
                      <w:color w:val="000000"/>
                      <w:sz w:val="20"/>
                      <w:szCs w:val="22"/>
                    </w:rPr>
                    <w:t>Atbalsta apjoms virs tirgus cenas, milj.</w:t>
                  </w:r>
                  <w:r w:rsidR="00C6293F">
                    <w:rPr>
                      <w:bCs w:val="0"/>
                      <w:i/>
                      <w:color w:val="000000"/>
                      <w:sz w:val="20"/>
                      <w:szCs w:val="22"/>
                    </w:rPr>
                    <w:t>euro</w:t>
                  </w:r>
                </w:p>
              </w:tc>
            </w:tr>
            <w:tr w:rsidR="00612992" w:rsidRPr="009C7B4A" w14:paraId="75739A56" w14:textId="77777777" w:rsidTr="009C7B4A">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3917" w:type="dxa"/>
                  <w:hideMark/>
                </w:tcPr>
                <w:p w14:paraId="6C5C60C4" w14:textId="77777777" w:rsidR="00612992" w:rsidRPr="009C7B4A" w:rsidRDefault="00612992" w:rsidP="009C7B4A">
                  <w:pPr>
                    <w:tabs>
                      <w:tab w:val="left" w:pos="5173"/>
                    </w:tabs>
                    <w:spacing w:after="0"/>
                    <w:ind w:firstLine="0"/>
                    <w:rPr>
                      <w:b w:val="0"/>
                      <w:color w:val="000000"/>
                      <w:sz w:val="20"/>
                      <w:szCs w:val="22"/>
                    </w:rPr>
                  </w:pPr>
                  <w:r w:rsidRPr="009C7B4A">
                    <w:rPr>
                      <w:b w:val="0"/>
                      <w:color w:val="000000"/>
                      <w:sz w:val="20"/>
                      <w:szCs w:val="22"/>
                    </w:rPr>
                    <w:t>Elektroenerģijas obligātais iepirkums no AER</w:t>
                  </w:r>
                </w:p>
              </w:tc>
              <w:tc>
                <w:tcPr>
                  <w:tcW w:w="1984" w:type="dxa"/>
                  <w:vAlign w:val="center"/>
                </w:tcPr>
                <w:p w14:paraId="2EF924BB"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9C7B4A">
                    <w:rPr>
                      <w:color w:val="000000"/>
                      <w:sz w:val="20"/>
                      <w:szCs w:val="22"/>
                    </w:rPr>
                    <w:t>417,6</w:t>
                  </w:r>
                </w:p>
              </w:tc>
              <w:tc>
                <w:tcPr>
                  <w:tcW w:w="1843" w:type="dxa"/>
                  <w:vAlign w:val="center"/>
                </w:tcPr>
                <w:p w14:paraId="2702F892"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color w:val="000000"/>
                      <w:sz w:val="20"/>
                      <w:szCs w:val="22"/>
                    </w:rPr>
                  </w:pPr>
                  <w:r w:rsidRPr="009C7B4A">
                    <w:rPr>
                      <w:bCs/>
                      <w:color w:val="000000"/>
                      <w:sz w:val="20"/>
                      <w:szCs w:val="22"/>
                    </w:rPr>
                    <w:t>69,50</w:t>
                  </w:r>
                </w:p>
              </w:tc>
              <w:tc>
                <w:tcPr>
                  <w:tcW w:w="1701" w:type="dxa"/>
                  <w:vAlign w:val="center"/>
                </w:tcPr>
                <w:p w14:paraId="3806BC53"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color w:val="000000"/>
                      <w:sz w:val="20"/>
                      <w:szCs w:val="22"/>
                    </w:rPr>
                  </w:pPr>
                  <w:r w:rsidRPr="009C7B4A">
                    <w:rPr>
                      <w:bCs/>
                      <w:color w:val="000000"/>
                      <w:sz w:val="20"/>
                      <w:szCs w:val="22"/>
                    </w:rPr>
                    <w:t>53,96</w:t>
                  </w:r>
                </w:p>
              </w:tc>
            </w:tr>
            <w:tr w:rsidR="00612992" w:rsidRPr="009C7B4A" w14:paraId="4199EB9E" w14:textId="77777777" w:rsidTr="009C7B4A">
              <w:trPr>
                <w:trHeight w:val="113"/>
                <w:jc w:val="center"/>
              </w:trPr>
              <w:tc>
                <w:tcPr>
                  <w:cnfStyle w:val="001000000000" w:firstRow="0" w:lastRow="0" w:firstColumn="1" w:lastColumn="0" w:oddVBand="0" w:evenVBand="0" w:oddHBand="0" w:evenHBand="0" w:firstRowFirstColumn="0" w:firstRowLastColumn="0" w:lastRowFirstColumn="0" w:lastRowLastColumn="0"/>
                  <w:tcW w:w="3917" w:type="dxa"/>
                  <w:hideMark/>
                </w:tcPr>
                <w:p w14:paraId="6EF4BB71" w14:textId="77777777" w:rsidR="00612992" w:rsidRPr="009C7B4A" w:rsidRDefault="00612992" w:rsidP="00612992">
                  <w:pPr>
                    <w:tabs>
                      <w:tab w:val="left" w:pos="5173"/>
                    </w:tabs>
                    <w:spacing w:after="0"/>
                    <w:rPr>
                      <w:b w:val="0"/>
                      <w:color w:val="000000"/>
                      <w:sz w:val="20"/>
                      <w:szCs w:val="22"/>
                    </w:rPr>
                  </w:pPr>
                  <w:r w:rsidRPr="009C7B4A">
                    <w:rPr>
                      <w:b w:val="0"/>
                      <w:i/>
                      <w:iCs/>
                      <w:color w:val="000000"/>
                      <w:sz w:val="20"/>
                      <w:szCs w:val="22"/>
                    </w:rPr>
                    <w:t>Biogāzes elektrostacijas</w:t>
                  </w:r>
                </w:p>
              </w:tc>
              <w:tc>
                <w:tcPr>
                  <w:tcW w:w="1984" w:type="dxa"/>
                  <w:vAlign w:val="center"/>
                </w:tcPr>
                <w:p w14:paraId="3DC7D4F6"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i/>
                      <w:color w:val="000000"/>
                      <w:sz w:val="20"/>
                      <w:szCs w:val="22"/>
                    </w:rPr>
                  </w:pPr>
                  <w:r w:rsidRPr="009C7B4A">
                    <w:rPr>
                      <w:bCs/>
                      <w:i/>
                      <w:color w:val="000000"/>
                      <w:sz w:val="20"/>
                      <w:szCs w:val="22"/>
                    </w:rPr>
                    <w:t>186,3</w:t>
                  </w:r>
                </w:p>
              </w:tc>
              <w:tc>
                <w:tcPr>
                  <w:tcW w:w="1843" w:type="dxa"/>
                  <w:vAlign w:val="center"/>
                </w:tcPr>
                <w:p w14:paraId="3641C566"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i/>
                      <w:color w:val="000000"/>
                      <w:sz w:val="20"/>
                      <w:szCs w:val="22"/>
                    </w:rPr>
                  </w:pPr>
                  <w:r w:rsidRPr="009C7B4A">
                    <w:rPr>
                      <w:bCs/>
                      <w:i/>
                      <w:color w:val="000000"/>
                      <w:sz w:val="20"/>
                      <w:szCs w:val="22"/>
                    </w:rPr>
                    <w:t>33,91</w:t>
                  </w:r>
                </w:p>
              </w:tc>
              <w:tc>
                <w:tcPr>
                  <w:tcW w:w="1701" w:type="dxa"/>
                  <w:vAlign w:val="center"/>
                </w:tcPr>
                <w:p w14:paraId="143EA057"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i/>
                      <w:color w:val="000000"/>
                      <w:sz w:val="20"/>
                      <w:szCs w:val="22"/>
                    </w:rPr>
                  </w:pPr>
                  <w:r w:rsidRPr="009C7B4A">
                    <w:rPr>
                      <w:bCs/>
                      <w:i/>
                      <w:color w:val="000000"/>
                      <w:sz w:val="20"/>
                      <w:szCs w:val="22"/>
                    </w:rPr>
                    <w:t>26,89</w:t>
                  </w:r>
                </w:p>
              </w:tc>
            </w:tr>
            <w:tr w:rsidR="00612992" w:rsidRPr="009C7B4A" w14:paraId="0DEDC14D" w14:textId="77777777" w:rsidTr="009C7B4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3917" w:type="dxa"/>
                  <w:hideMark/>
                </w:tcPr>
                <w:p w14:paraId="48F0E736" w14:textId="77777777" w:rsidR="00612992" w:rsidRPr="009C7B4A" w:rsidRDefault="00612992" w:rsidP="00612992">
                  <w:pPr>
                    <w:tabs>
                      <w:tab w:val="left" w:pos="5173"/>
                    </w:tabs>
                    <w:spacing w:after="0"/>
                    <w:rPr>
                      <w:b w:val="0"/>
                      <w:color w:val="000000"/>
                      <w:sz w:val="20"/>
                      <w:szCs w:val="22"/>
                    </w:rPr>
                  </w:pPr>
                  <w:r w:rsidRPr="009C7B4A">
                    <w:rPr>
                      <w:b w:val="0"/>
                      <w:i/>
                      <w:iCs/>
                      <w:color w:val="000000"/>
                      <w:sz w:val="20"/>
                      <w:szCs w:val="22"/>
                    </w:rPr>
                    <w:t>Biomasas elektrostacijas</w:t>
                  </w:r>
                </w:p>
              </w:tc>
              <w:tc>
                <w:tcPr>
                  <w:tcW w:w="1984" w:type="dxa"/>
                  <w:vAlign w:val="center"/>
                </w:tcPr>
                <w:p w14:paraId="5CE2E226"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i/>
                      <w:color w:val="000000"/>
                      <w:sz w:val="20"/>
                      <w:szCs w:val="22"/>
                    </w:rPr>
                  </w:pPr>
                  <w:r w:rsidRPr="009C7B4A">
                    <w:rPr>
                      <w:bCs/>
                      <w:i/>
                      <w:color w:val="000000"/>
                      <w:sz w:val="20"/>
                      <w:szCs w:val="22"/>
                    </w:rPr>
                    <w:t>131,10</w:t>
                  </w:r>
                </w:p>
              </w:tc>
              <w:tc>
                <w:tcPr>
                  <w:tcW w:w="1843" w:type="dxa"/>
                  <w:vAlign w:val="center"/>
                </w:tcPr>
                <w:p w14:paraId="070ABC5A"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i/>
                      <w:color w:val="000000"/>
                      <w:sz w:val="20"/>
                      <w:szCs w:val="22"/>
                    </w:rPr>
                  </w:pPr>
                  <w:r w:rsidRPr="009C7B4A">
                    <w:rPr>
                      <w:bCs/>
                      <w:i/>
                      <w:color w:val="000000"/>
                      <w:sz w:val="20"/>
                      <w:szCs w:val="22"/>
                    </w:rPr>
                    <w:t>20,99</w:t>
                  </w:r>
                </w:p>
              </w:tc>
              <w:tc>
                <w:tcPr>
                  <w:tcW w:w="1701" w:type="dxa"/>
                  <w:vAlign w:val="center"/>
                </w:tcPr>
                <w:p w14:paraId="41E8756D"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i/>
                      <w:color w:val="000000"/>
                      <w:sz w:val="20"/>
                      <w:szCs w:val="22"/>
                    </w:rPr>
                  </w:pPr>
                  <w:r w:rsidRPr="009C7B4A">
                    <w:rPr>
                      <w:bCs/>
                      <w:i/>
                      <w:color w:val="000000"/>
                      <w:sz w:val="20"/>
                      <w:szCs w:val="22"/>
                    </w:rPr>
                    <w:t>16,10</w:t>
                  </w:r>
                </w:p>
              </w:tc>
            </w:tr>
            <w:tr w:rsidR="00612992" w:rsidRPr="009C7B4A" w14:paraId="2A883CCF" w14:textId="77777777" w:rsidTr="009C7B4A">
              <w:trPr>
                <w:trHeight w:val="113"/>
                <w:jc w:val="center"/>
              </w:trPr>
              <w:tc>
                <w:tcPr>
                  <w:cnfStyle w:val="001000000000" w:firstRow="0" w:lastRow="0" w:firstColumn="1" w:lastColumn="0" w:oddVBand="0" w:evenVBand="0" w:oddHBand="0" w:evenHBand="0" w:firstRowFirstColumn="0" w:firstRowLastColumn="0" w:lastRowFirstColumn="0" w:lastRowLastColumn="0"/>
                  <w:tcW w:w="3917" w:type="dxa"/>
                  <w:hideMark/>
                </w:tcPr>
                <w:p w14:paraId="751D4D42" w14:textId="77777777" w:rsidR="00612992" w:rsidRPr="009C7B4A" w:rsidRDefault="00612992" w:rsidP="00612992">
                  <w:pPr>
                    <w:tabs>
                      <w:tab w:val="left" w:pos="5173"/>
                    </w:tabs>
                    <w:spacing w:after="0"/>
                    <w:rPr>
                      <w:b w:val="0"/>
                      <w:color w:val="000000"/>
                      <w:sz w:val="20"/>
                      <w:szCs w:val="22"/>
                    </w:rPr>
                  </w:pPr>
                  <w:r w:rsidRPr="009C7B4A">
                    <w:rPr>
                      <w:b w:val="0"/>
                      <w:i/>
                      <w:iCs/>
                      <w:color w:val="000000"/>
                      <w:sz w:val="20"/>
                      <w:szCs w:val="22"/>
                    </w:rPr>
                    <w:t>Vēja elektrostacijas</w:t>
                  </w:r>
                </w:p>
              </w:tc>
              <w:tc>
                <w:tcPr>
                  <w:tcW w:w="1984" w:type="dxa"/>
                  <w:vAlign w:val="center"/>
                </w:tcPr>
                <w:p w14:paraId="0029D637"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i/>
                      <w:color w:val="000000"/>
                      <w:sz w:val="20"/>
                      <w:szCs w:val="22"/>
                    </w:rPr>
                  </w:pPr>
                  <w:r w:rsidRPr="009C7B4A">
                    <w:rPr>
                      <w:bCs/>
                      <w:i/>
                      <w:color w:val="000000"/>
                      <w:sz w:val="20"/>
                      <w:szCs w:val="22"/>
                    </w:rPr>
                    <w:t>48,4</w:t>
                  </w:r>
                </w:p>
              </w:tc>
              <w:tc>
                <w:tcPr>
                  <w:tcW w:w="1843" w:type="dxa"/>
                  <w:vAlign w:val="center"/>
                </w:tcPr>
                <w:p w14:paraId="600BAB8F"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i/>
                      <w:color w:val="000000"/>
                      <w:sz w:val="20"/>
                      <w:szCs w:val="22"/>
                    </w:rPr>
                  </w:pPr>
                  <w:r w:rsidRPr="009C7B4A">
                    <w:rPr>
                      <w:bCs/>
                      <w:i/>
                      <w:color w:val="000000"/>
                      <w:sz w:val="20"/>
                      <w:szCs w:val="22"/>
                    </w:rPr>
                    <w:t>5,27</w:t>
                  </w:r>
                </w:p>
              </w:tc>
              <w:tc>
                <w:tcPr>
                  <w:tcW w:w="1701" w:type="dxa"/>
                  <w:vAlign w:val="center"/>
                </w:tcPr>
                <w:p w14:paraId="3AC173E7"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i/>
                      <w:color w:val="000000"/>
                      <w:sz w:val="20"/>
                      <w:szCs w:val="22"/>
                    </w:rPr>
                  </w:pPr>
                  <w:r w:rsidRPr="009C7B4A">
                    <w:rPr>
                      <w:bCs/>
                      <w:i/>
                      <w:color w:val="000000"/>
                      <w:sz w:val="20"/>
                      <w:szCs w:val="22"/>
                    </w:rPr>
                    <w:t>3,55</w:t>
                  </w:r>
                </w:p>
              </w:tc>
            </w:tr>
            <w:tr w:rsidR="00612992" w:rsidRPr="009C7B4A" w14:paraId="5B0DBB0A" w14:textId="77777777" w:rsidTr="009C7B4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3917" w:type="dxa"/>
                  <w:hideMark/>
                </w:tcPr>
                <w:p w14:paraId="4791AD83" w14:textId="77777777" w:rsidR="00612992" w:rsidRPr="009C7B4A" w:rsidRDefault="00612992" w:rsidP="00612992">
                  <w:pPr>
                    <w:tabs>
                      <w:tab w:val="left" w:pos="5173"/>
                    </w:tabs>
                    <w:spacing w:after="0"/>
                    <w:rPr>
                      <w:b w:val="0"/>
                      <w:color w:val="000000"/>
                      <w:sz w:val="20"/>
                      <w:szCs w:val="22"/>
                    </w:rPr>
                  </w:pPr>
                  <w:r w:rsidRPr="009C7B4A">
                    <w:rPr>
                      <w:b w:val="0"/>
                      <w:i/>
                      <w:iCs/>
                      <w:color w:val="000000"/>
                      <w:sz w:val="20"/>
                      <w:szCs w:val="22"/>
                    </w:rPr>
                    <w:t>Hidroelektrostacijas (līdz 5 MW)</w:t>
                  </w:r>
                </w:p>
              </w:tc>
              <w:tc>
                <w:tcPr>
                  <w:tcW w:w="1984" w:type="dxa"/>
                  <w:vAlign w:val="center"/>
                </w:tcPr>
                <w:p w14:paraId="3ABA4C0A"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i/>
                      <w:color w:val="000000"/>
                      <w:sz w:val="20"/>
                      <w:szCs w:val="22"/>
                    </w:rPr>
                  </w:pPr>
                  <w:r w:rsidRPr="009C7B4A">
                    <w:rPr>
                      <w:bCs/>
                      <w:i/>
                      <w:color w:val="000000"/>
                      <w:sz w:val="20"/>
                      <w:szCs w:val="22"/>
                    </w:rPr>
                    <w:t>51,7</w:t>
                  </w:r>
                </w:p>
              </w:tc>
              <w:tc>
                <w:tcPr>
                  <w:tcW w:w="1843" w:type="dxa"/>
                  <w:vAlign w:val="center"/>
                </w:tcPr>
                <w:p w14:paraId="1803E01F"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i/>
                      <w:color w:val="000000"/>
                      <w:sz w:val="20"/>
                      <w:szCs w:val="22"/>
                    </w:rPr>
                  </w:pPr>
                  <w:r w:rsidRPr="009C7B4A">
                    <w:rPr>
                      <w:bCs/>
                      <w:i/>
                      <w:color w:val="000000"/>
                      <w:sz w:val="20"/>
                      <w:szCs w:val="22"/>
                    </w:rPr>
                    <w:t>9,32</w:t>
                  </w:r>
                </w:p>
              </w:tc>
              <w:tc>
                <w:tcPr>
                  <w:tcW w:w="1701" w:type="dxa"/>
                  <w:vAlign w:val="center"/>
                </w:tcPr>
                <w:p w14:paraId="67B9B97C"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Cs/>
                      <w:i/>
                      <w:color w:val="000000"/>
                      <w:sz w:val="20"/>
                      <w:szCs w:val="22"/>
                    </w:rPr>
                  </w:pPr>
                  <w:r w:rsidRPr="009C7B4A">
                    <w:rPr>
                      <w:bCs/>
                      <w:i/>
                      <w:color w:val="000000"/>
                      <w:sz w:val="20"/>
                      <w:szCs w:val="22"/>
                    </w:rPr>
                    <w:t>7,42</w:t>
                  </w:r>
                </w:p>
              </w:tc>
            </w:tr>
            <w:tr w:rsidR="00612992" w:rsidRPr="009C7B4A" w14:paraId="18102440" w14:textId="77777777" w:rsidTr="009C7B4A">
              <w:trPr>
                <w:trHeight w:val="113"/>
                <w:jc w:val="center"/>
              </w:trPr>
              <w:tc>
                <w:tcPr>
                  <w:cnfStyle w:val="001000000000" w:firstRow="0" w:lastRow="0" w:firstColumn="1" w:lastColumn="0" w:oddVBand="0" w:evenVBand="0" w:oddHBand="0" w:evenHBand="0" w:firstRowFirstColumn="0" w:firstRowLastColumn="0" w:lastRowFirstColumn="0" w:lastRowLastColumn="0"/>
                  <w:tcW w:w="3917" w:type="dxa"/>
                </w:tcPr>
                <w:p w14:paraId="38CD452D" w14:textId="77777777" w:rsidR="00612992" w:rsidRPr="009C7B4A" w:rsidRDefault="00612992" w:rsidP="009C7B4A">
                  <w:pPr>
                    <w:tabs>
                      <w:tab w:val="left" w:pos="5173"/>
                    </w:tabs>
                    <w:spacing w:after="0"/>
                    <w:ind w:firstLine="0"/>
                    <w:rPr>
                      <w:b w:val="0"/>
                      <w:iCs/>
                      <w:color w:val="000000"/>
                      <w:sz w:val="20"/>
                      <w:szCs w:val="22"/>
                    </w:rPr>
                  </w:pPr>
                  <w:r w:rsidRPr="009C7B4A">
                    <w:rPr>
                      <w:b w:val="0"/>
                      <w:iCs/>
                      <w:color w:val="000000"/>
                      <w:sz w:val="20"/>
                      <w:szCs w:val="22"/>
                    </w:rPr>
                    <w:t>Garantētā maksa par uzstādīto AER jaudu</w:t>
                  </w:r>
                </w:p>
              </w:tc>
              <w:tc>
                <w:tcPr>
                  <w:tcW w:w="1984" w:type="dxa"/>
                  <w:vAlign w:val="center"/>
                </w:tcPr>
                <w:p w14:paraId="35E3A152"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color w:val="000000"/>
                      <w:sz w:val="20"/>
                      <w:szCs w:val="22"/>
                    </w:rPr>
                  </w:pPr>
                  <w:r w:rsidRPr="009C7B4A">
                    <w:rPr>
                      <w:bCs/>
                      <w:color w:val="000000"/>
                      <w:sz w:val="20"/>
                      <w:szCs w:val="22"/>
                    </w:rPr>
                    <w:t>n/a</w:t>
                  </w:r>
                </w:p>
              </w:tc>
              <w:tc>
                <w:tcPr>
                  <w:tcW w:w="1843" w:type="dxa"/>
                  <w:vAlign w:val="center"/>
                </w:tcPr>
                <w:p w14:paraId="78B095AF"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color w:val="000000"/>
                      <w:sz w:val="20"/>
                      <w:szCs w:val="22"/>
                    </w:rPr>
                  </w:pPr>
                  <w:r w:rsidRPr="009C7B4A">
                    <w:rPr>
                      <w:bCs/>
                      <w:color w:val="000000"/>
                      <w:sz w:val="20"/>
                      <w:szCs w:val="22"/>
                    </w:rPr>
                    <w:t>2,58</w:t>
                  </w:r>
                </w:p>
              </w:tc>
              <w:tc>
                <w:tcPr>
                  <w:tcW w:w="1701" w:type="dxa"/>
                  <w:vAlign w:val="center"/>
                </w:tcPr>
                <w:p w14:paraId="296B650B" w14:textId="77777777" w:rsidR="00612992" w:rsidRPr="009C7B4A" w:rsidRDefault="00612992" w:rsidP="009C7B4A">
                  <w:pPr>
                    <w:tabs>
                      <w:tab w:val="left" w:pos="5173"/>
                    </w:tabs>
                    <w:spacing w:after="0"/>
                    <w:jc w:val="right"/>
                    <w:cnfStyle w:val="000000000000" w:firstRow="0" w:lastRow="0" w:firstColumn="0" w:lastColumn="0" w:oddVBand="0" w:evenVBand="0" w:oddHBand="0" w:evenHBand="0" w:firstRowFirstColumn="0" w:firstRowLastColumn="0" w:lastRowFirstColumn="0" w:lastRowLastColumn="0"/>
                    <w:rPr>
                      <w:bCs/>
                      <w:color w:val="000000"/>
                      <w:sz w:val="20"/>
                      <w:szCs w:val="22"/>
                    </w:rPr>
                  </w:pPr>
                  <w:r w:rsidRPr="009C7B4A">
                    <w:rPr>
                      <w:bCs/>
                      <w:color w:val="000000"/>
                      <w:sz w:val="20"/>
                      <w:szCs w:val="22"/>
                    </w:rPr>
                    <w:t>2,58</w:t>
                  </w:r>
                </w:p>
              </w:tc>
            </w:tr>
            <w:tr w:rsidR="00612992" w:rsidRPr="009C7B4A" w14:paraId="0C8E6AD8" w14:textId="77777777" w:rsidTr="009C7B4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3917" w:type="dxa"/>
                </w:tcPr>
                <w:p w14:paraId="3E4B6924" w14:textId="77777777" w:rsidR="00612992" w:rsidRPr="009C7B4A" w:rsidRDefault="00612992" w:rsidP="00612992">
                  <w:pPr>
                    <w:tabs>
                      <w:tab w:val="left" w:pos="5173"/>
                    </w:tabs>
                    <w:spacing w:after="0"/>
                    <w:rPr>
                      <w:b w:val="0"/>
                      <w:iCs/>
                      <w:color w:val="000000"/>
                      <w:sz w:val="20"/>
                      <w:szCs w:val="22"/>
                    </w:rPr>
                  </w:pPr>
                  <w:r w:rsidRPr="009C7B4A">
                    <w:rPr>
                      <w:b w:val="0"/>
                      <w:iCs/>
                      <w:color w:val="000000"/>
                      <w:sz w:val="20"/>
                      <w:szCs w:val="22"/>
                    </w:rPr>
                    <w:t>Kopā</w:t>
                  </w:r>
                </w:p>
              </w:tc>
              <w:tc>
                <w:tcPr>
                  <w:tcW w:w="1984" w:type="dxa"/>
                  <w:vAlign w:val="center"/>
                </w:tcPr>
                <w:p w14:paraId="6E0D6543"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
                      <w:bCs/>
                      <w:color w:val="000000"/>
                      <w:sz w:val="20"/>
                      <w:szCs w:val="22"/>
                    </w:rPr>
                  </w:pPr>
                  <w:r w:rsidRPr="009C7B4A">
                    <w:rPr>
                      <w:b/>
                      <w:bCs/>
                      <w:color w:val="000000"/>
                      <w:sz w:val="20"/>
                      <w:szCs w:val="22"/>
                    </w:rPr>
                    <w:t>417,6</w:t>
                  </w:r>
                </w:p>
              </w:tc>
              <w:tc>
                <w:tcPr>
                  <w:tcW w:w="1843" w:type="dxa"/>
                  <w:vAlign w:val="center"/>
                </w:tcPr>
                <w:p w14:paraId="12F2BDB8"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
                      <w:bCs/>
                      <w:color w:val="000000"/>
                      <w:sz w:val="20"/>
                      <w:szCs w:val="22"/>
                    </w:rPr>
                  </w:pPr>
                  <w:r w:rsidRPr="009C7B4A">
                    <w:rPr>
                      <w:b/>
                      <w:bCs/>
                      <w:color w:val="000000"/>
                      <w:sz w:val="20"/>
                      <w:szCs w:val="22"/>
                    </w:rPr>
                    <w:t>72,08</w:t>
                  </w:r>
                </w:p>
              </w:tc>
              <w:tc>
                <w:tcPr>
                  <w:tcW w:w="1701" w:type="dxa"/>
                  <w:vAlign w:val="center"/>
                </w:tcPr>
                <w:p w14:paraId="0564F16C" w14:textId="77777777" w:rsidR="00612992" w:rsidRPr="009C7B4A" w:rsidRDefault="00612992" w:rsidP="009C7B4A">
                  <w:pPr>
                    <w:tabs>
                      <w:tab w:val="left" w:pos="5173"/>
                    </w:tabs>
                    <w:spacing w:after="0"/>
                    <w:jc w:val="right"/>
                    <w:cnfStyle w:val="000000100000" w:firstRow="0" w:lastRow="0" w:firstColumn="0" w:lastColumn="0" w:oddVBand="0" w:evenVBand="0" w:oddHBand="1" w:evenHBand="0" w:firstRowFirstColumn="0" w:firstRowLastColumn="0" w:lastRowFirstColumn="0" w:lastRowLastColumn="0"/>
                    <w:rPr>
                      <w:b/>
                      <w:bCs/>
                      <w:color w:val="000000"/>
                      <w:sz w:val="20"/>
                      <w:szCs w:val="22"/>
                    </w:rPr>
                  </w:pPr>
                  <w:r w:rsidRPr="009C7B4A">
                    <w:rPr>
                      <w:b/>
                      <w:bCs/>
                      <w:color w:val="000000"/>
                      <w:sz w:val="20"/>
                      <w:szCs w:val="22"/>
                    </w:rPr>
                    <w:t>56,54</w:t>
                  </w:r>
                </w:p>
              </w:tc>
            </w:tr>
          </w:tbl>
          <w:p w14:paraId="4EA59332" w14:textId="77777777" w:rsidR="00612992" w:rsidRPr="00EA6D80" w:rsidRDefault="00612992" w:rsidP="004D377A">
            <w:pPr>
              <w:spacing w:before="40" w:after="0"/>
              <w:cnfStyle w:val="000000000000" w:firstRow="0" w:lastRow="0" w:firstColumn="0" w:lastColumn="0" w:oddVBand="0" w:evenVBand="0" w:oddHBand="0" w:evenHBand="0" w:firstRowFirstColumn="0" w:firstRowLastColumn="0" w:lastRowFirstColumn="0" w:lastRowLastColumn="0"/>
              <w:rPr>
                <w:b/>
                <w:color w:val="auto"/>
                <w:sz w:val="22"/>
                <w:szCs w:val="22"/>
              </w:rPr>
            </w:pPr>
            <w:r w:rsidRPr="00EA6D80">
              <w:rPr>
                <w:b/>
                <w:color w:val="auto"/>
                <w:sz w:val="22"/>
                <w:szCs w:val="22"/>
              </w:rPr>
              <w:t>Biodegvielas izmantošanas veicināšana transporta sektorā</w:t>
            </w:r>
          </w:p>
          <w:p w14:paraId="20DD3CFA" w14:textId="2978E977" w:rsidR="00612992" w:rsidRPr="004D377A" w:rsidRDefault="00612992" w:rsidP="004D377A">
            <w:pPr>
              <w:pStyle w:val="CommentText"/>
              <w:tabs>
                <w:tab w:val="left" w:pos="5173"/>
              </w:tabs>
              <w:spacing w:after="0"/>
              <w:cnfStyle w:val="000000000000" w:firstRow="0" w:lastRow="0" w:firstColumn="0" w:lastColumn="0" w:oddVBand="0" w:evenVBand="0" w:oddHBand="0" w:evenHBand="0" w:firstRowFirstColumn="0" w:firstRowLastColumn="0" w:lastRowFirstColumn="0" w:lastRowLastColumn="0"/>
              <w:rPr>
                <w:bCs/>
                <w:color w:val="auto"/>
                <w:sz w:val="22"/>
                <w:szCs w:val="22"/>
              </w:rPr>
            </w:pPr>
            <w:r w:rsidRPr="00EA6D80">
              <w:rPr>
                <w:bCs/>
                <w:color w:val="auto"/>
                <w:sz w:val="22"/>
                <w:szCs w:val="22"/>
              </w:rPr>
              <w:t>2015.gadā saglabāts biodegvielu 5% obligātais piejaukums un turpināts piemērot samazinātas akcīzes nodokļa likmes biodegvielām un biodegvielu un fosilo degvielu maisījumiem (B100, E85), lai veicinātu biode</w:t>
            </w:r>
            <w:r w:rsidR="004D377A">
              <w:rPr>
                <w:bCs/>
                <w:color w:val="auto"/>
                <w:sz w:val="22"/>
                <w:szCs w:val="22"/>
              </w:rPr>
              <w:t>gvielu pieejamību patērētājiem.</w:t>
            </w:r>
          </w:p>
          <w:p w14:paraId="62790D4C" w14:textId="77777777" w:rsidR="00612992" w:rsidRPr="00EA6D80" w:rsidRDefault="00612992" w:rsidP="004D377A">
            <w:pPr>
              <w:spacing w:before="40" w:after="0"/>
              <w:cnfStyle w:val="000000000000" w:firstRow="0" w:lastRow="0" w:firstColumn="0" w:lastColumn="0" w:oddVBand="0" w:evenVBand="0" w:oddHBand="0" w:evenHBand="0" w:firstRowFirstColumn="0" w:firstRowLastColumn="0" w:lastRowFirstColumn="0" w:lastRowLastColumn="0"/>
              <w:rPr>
                <w:b/>
                <w:color w:val="auto"/>
                <w:sz w:val="22"/>
                <w:szCs w:val="22"/>
              </w:rPr>
            </w:pPr>
            <w:r w:rsidRPr="00EA6D80">
              <w:rPr>
                <w:b/>
                <w:color w:val="auto"/>
                <w:sz w:val="22"/>
                <w:szCs w:val="22"/>
              </w:rPr>
              <w:t>2016.gadā plānots</w:t>
            </w:r>
          </w:p>
          <w:p w14:paraId="57A3957C" w14:textId="343F8CCC" w:rsidR="00D251AD" w:rsidRPr="00EA6D80" w:rsidRDefault="00612992" w:rsidP="009C7B4A">
            <w:pPr>
              <w:pStyle w:val="CommentText"/>
              <w:tabs>
                <w:tab w:val="left" w:pos="5173"/>
              </w:tabs>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bCs/>
                <w:color w:val="auto"/>
                <w:sz w:val="22"/>
                <w:szCs w:val="22"/>
              </w:rPr>
              <w:t>Pilnveidot</w:t>
            </w:r>
            <w:r w:rsidRPr="00EA6D80">
              <w:rPr>
                <w:color w:val="auto"/>
                <w:sz w:val="22"/>
                <w:szCs w:val="22"/>
              </w:rPr>
              <w:t xml:space="preserve"> esošo valsts atbalsta mehānismu, kas tiek īstenots obligātā elektroenerģijas iepirkuma un garantētās maksas par elektrostacijā uzstādīto jaudu veidā, ņemot vērā EK lēmumu par Latvijas valsts atbalsta mehānisma atbilstību </w:t>
            </w:r>
            <w:r w:rsidR="009C7B4A">
              <w:rPr>
                <w:color w:val="auto"/>
                <w:sz w:val="22"/>
                <w:szCs w:val="22"/>
                <w:lang w:val="lv-LV"/>
              </w:rPr>
              <w:t>ES</w:t>
            </w:r>
            <w:r w:rsidRPr="00EA6D80">
              <w:rPr>
                <w:color w:val="auto"/>
                <w:sz w:val="22"/>
                <w:szCs w:val="22"/>
              </w:rPr>
              <w:t xml:space="preserve"> iekšējā tirgus nosacījumiem, veicot nepieciešamās izmaiņas normatīvajā regulējumā.</w:t>
            </w:r>
          </w:p>
        </w:tc>
      </w:tr>
      <w:tr w:rsidR="00D251AD" w:rsidRPr="00EA6D80" w14:paraId="594061C3"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F420A6E" w14:textId="77777777" w:rsidR="00D251AD" w:rsidRPr="00EA6D80" w:rsidRDefault="00D251AD" w:rsidP="00945E73">
            <w:pPr>
              <w:ind w:firstLine="0"/>
              <w:rPr>
                <w:b w:val="0"/>
                <w:color w:val="auto"/>
                <w:sz w:val="22"/>
                <w:szCs w:val="22"/>
              </w:rPr>
            </w:pPr>
            <w:r w:rsidRPr="00EA6D80">
              <w:rPr>
                <w:color w:val="auto"/>
                <w:sz w:val="22"/>
                <w:szCs w:val="22"/>
              </w:rPr>
              <w:t>Nacionālais energoefektivitātes mērķis (0,670 Mtoe)</w:t>
            </w:r>
          </w:p>
        </w:tc>
        <w:tc>
          <w:tcPr>
            <w:tcW w:w="2835" w:type="dxa"/>
          </w:tcPr>
          <w:p w14:paraId="0396FA34" w14:textId="77777777" w:rsidR="00D251AD" w:rsidRPr="00EA6D80"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Mājokļu siltināšana;</w:t>
            </w:r>
          </w:p>
          <w:p w14:paraId="52094101" w14:textId="77777777" w:rsidR="00D251AD" w:rsidRPr="00EA6D80"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Energoefektivitātes paaugstināšana sabiedriskās un ražošanas ēkās;</w:t>
            </w:r>
          </w:p>
          <w:p w14:paraId="480FB255" w14:textId="77777777" w:rsidR="00D251AD" w:rsidRPr="00EA6D80"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Efektīvas apgaismojuma infrastruktūras ieviešana pašvaldību publiskajās teritorijās;</w:t>
            </w:r>
          </w:p>
          <w:p w14:paraId="1D394118" w14:textId="77777777" w:rsidR="00D251AD" w:rsidRPr="00EA6D80"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Energoefektivitātes paaugstināšana siltumenerģijas ražošanā.</w:t>
            </w:r>
          </w:p>
        </w:tc>
        <w:tc>
          <w:tcPr>
            <w:tcW w:w="10489" w:type="dxa"/>
          </w:tcPr>
          <w:p w14:paraId="0F0945E9" w14:textId="77777777" w:rsidR="00914EDA" w:rsidRPr="00EA6D80" w:rsidRDefault="00914EDA" w:rsidP="005B225A">
            <w:pPr>
              <w:pStyle w:val="CommentText"/>
              <w:tabs>
                <w:tab w:val="left" w:pos="5173"/>
              </w:tabs>
              <w:spacing w:after="0"/>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A6D80">
              <w:rPr>
                <w:bCs/>
                <w:color w:val="auto"/>
                <w:sz w:val="22"/>
                <w:szCs w:val="22"/>
              </w:rPr>
              <w:t xml:space="preserve">KPFI ietvaros līdz 2015.gada 30.jūnijam ir pabeigti 2614 projekti ar kopējo piešķirto KPFI finansējumu 196 milj. </w:t>
            </w:r>
            <w:r w:rsidRPr="005B225A">
              <w:rPr>
                <w:bCs/>
                <w:i/>
                <w:color w:val="auto"/>
                <w:sz w:val="22"/>
                <w:szCs w:val="22"/>
              </w:rPr>
              <w:t>euro</w:t>
            </w:r>
            <w:r w:rsidRPr="00EA6D80">
              <w:rPr>
                <w:bCs/>
                <w:color w:val="auto"/>
                <w:sz w:val="22"/>
                <w:szCs w:val="22"/>
              </w:rPr>
              <w:t xml:space="preserve"> apmērā, tajā skaitā 2015.gadā pabeigti 306 projekti, kuriem ir izmaksāts finansējums 31 milj. </w:t>
            </w:r>
            <w:r w:rsidRPr="005B225A">
              <w:rPr>
                <w:bCs/>
                <w:i/>
                <w:color w:val="auto"/>
                <w:sz w:val="22"/>
                <w:szCs w:val="22"/>
              </w:rPr>
              <w:t>euro</w:t>
            </w:r>
            <w:r w:rsidRPr="00EA6D80">
              <w:rPr>
                <w:bCs/>
                <w:color w:val="auto"/>
                <w:sz w:val="22"/>
                <w:szCs w:val="22"/>
              </w:rPr>
              <w:t xml:space="preserve"> apmērā.</w:t>
            </w:r>
          </w:p>
          <w:p w14:paraId="4B3B42C9" w14:textId="748F30E4" w:rsidR="007369A9" w:rsidRPr="002F0C44" w:rsidRDefault="00914EDA" w:rsidP="0025340E">
            <w:pPr>
              <w:pStyle w:val="CommentText"/>
              <w:tabs>
                <w:tab w:val="left" w:pos="5173"/>
              </w:tabs>
              <w:spacing w:after="0"/>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A6D80">
              <w:rPr>
                <w:bCs/>
                <w:color w:val="auto"/>
                <w:sz w:val="22"/>
                <w:szCs w:val="22"/>
              </w:rPr>
              <w:t>Uzsākta un 2016.gadā turpināsies Emisijas kvotu izsolīšanas instrumenta (EKII) izstrāde un darbības ieviešana, piemēram, tiek izstrādāts projektu konkurss, kura ietvaros tiks sniegts finansiāls atbalsts energoefektivitātes pasākumu īstenošanai valsts no</w:t>
            </w:r>
            <w:r w:rsidR="002F0C44">
              <w:rPr>
                <w:bCs/>
                <w:color w:val="auto"/>
                <w:sz w:val="22"/>
                <w:szCs w:val="22"/>
              </w:rPr>
              <w:t>zīmes arhitektūras pieminekļos.</w:t>
            </w:r>
          </w:p>
          <w:p w14:paraId="38592131" w14:textId="77777777" w:rsidR="00612992" w:rsidRPr="00EA6D80" w:rsidRDefault="00612992" w:rsidP="002F0C44">
            <w:pPr>
              <w:spacing w:before="40" w:after="0"/>
              <w:cnfStyle w:val="000000100000" w:firstRow="0" w:lastRow="0" w:firstColumn="0" w:lastColumn="0" w:oddVBand="0" w:evenVBand="0" w:oddHBand="1" w:evenHBand="0" w:firstRowFirstColumn="0" w:firstRowLastColumn="0" w:lastRowFirstColumn="0" w:lastRowLastColumn="0"/>
              <w:rPr>
                <w:b/>
                <w:color w:val="auto"/>
                <w:sz w:val="22"/>
                <w:szCs w:val="22"/>
              </w:rPr>
            </w:pPr>
            <w:r w:rsidRPr="00EA6D80">
              <w:rPr>
                <w:b/>
                <w:color w:val="auto"/>
                <w:sz w:val="22"/>
                <w:szCs w:val="22"/>
              </w:rPr>
              <w:t>Virzība uz nacionālo energoefektivitātes mērķi</w:t>
            </w:r>
          </w:p>
          <w:p w14:paraId="1B6AF81D" w14:textId="13443590" w:rsidR="002F0C44" w:rsidRPr="0025340E" w:rsidRDefault="00612992" w:rsidP="0025340E">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Latvija izpilda savu paziņoto primārās enerģijas ietaupījuma mērķa sasniegšanas trajektoriju līdz 2020.gadam. Ir panākts bruto iekšzemes enerģijas patēriņa samazinājums no 4,47 Mtoe 2008.gadā līdz 4,31 Mtoe 2013.gadā. Enerģijas patēriņa samazinājumā par 0,16 Mtoe būtiska nozīme ir energoefektivitātes pasākumu īstenošanai. Galvenie politikas virzieni un pasākumi, ko Latvija līdz šim ir ieviesusi energoefektivitātes paaugstināšanai, ir mājokļu siltināšana, energoefektivitātes paaugstināšana sabiedriskās un ražošanas ēkās, efektīvas apgaismojuma infrastruktūras ieviešana pašvaldību publiskajās teritorijās un centralizētās siltumapgādes sistēmu efektivitātes paaugstināšana. Ražojumu energopatēriņa samazinājums, kas panākts, izpildot ES noteiktās obligātās prasības attiecībā uz energomarķējumu arī dod ieguldījumu primārās e</w:t>
            </w:r>
            <w:r w:rsidR="0025340E">
              <w:rPr>
                <w:color w:val="auto"/>
                <w:sz w:val="22"/>
                <w:szCs w:val="22"/>
              </w:rPr>
              <w:t>nerģijas patēriņa samazināšanā.</w:t>
            </w:r>
          </w:p>
          <w:p w14:paraId="1B5E1826" w14:textId="77777777" w:rsidR="00612992" w:rsidRPr="00EA6D80" w:rsidRDefault="00612992" w:rsidP="002F0C44">
            <w:pPr>
              <w:spacing w:before="40" w:after="0"/>
              <w:cnfStyle w:val="000000100000" w:firstRow="0" w:lastRow="0" w:firstColumn="0" w:lastColumn="0" w:oddVBand="0" w:evenVBand="0" w:oddHBand="1" w:evenHBand="0" w:firstRowFirstColumn="0" w:firstRowLastColumn="0" w:lastRowFirstColumn="0" w:lastRowLastColumn="0"/>
              <w:rPr>
                <w:b/>
                <w:color w:val="auto"/>
                <w:sz w:val="22"/>
                <w:szCs w:val="22"/>
              </w:rPr>
            </w:pPr>
            <w:r w:rsidRPr="00EA6D80">
              <w:rPr>
                <w:b/>
                <w:color w:val="auto"/>
                <w:sz w:val="22"/>
                <w:szCs w:val="22"/>
              </w:rPr>
              <w:t>Energoefektivitātes paaugstināšana mājokļos un rūpnieciskajā ražošanā</w:t>
            </w:r>
          </w:p>
          <w:p w14:paraId="03D12D05" w14:textId="07CF62AF" w:rsidR="00612992" w:rsidRPr="00EA6D80" w:rsidRDefault="00612992" w:rsidP="009C7B4A">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A6D80">
              <w:rPr>
                <w:color w:val="000000" w:themeColor="text1"/>
                <w:sz w:val="22"/>
                <w:szCs w:val="22"/>
              </w:rPr>
              <w:t>Ekonomikas ministrija ir sagatavojusi priekšlikumus darbības programmas “Izaugsme un nodarbinātība” 4.2.1.1. pasākuma “Veicināt energoefektivitātes paaugstināšanu dzīvojamās ēkās” īstenošanai (</w:t>
            </w:r>
            <w:r w:rsidR="0048007F" w:rsidRPr="00EA6D80">
              <w:rPr>
                <w:color w:val="000000" w:themeColor="text1"/>
                <w:sz w:val="22"/>
                <w:szCs w:val="22"/>
              </w:rPr>
              <w:t>MK</w:t>
            </w:r>
            <w:r w:rsidRPr="00EA6D80">
              <w:rPr>
                <w:color w:val="000000" w:themeColor="text1"/>
                <w:sz w:val="22"/>
                <w:szCs w:val="22"/>
              </w:rPr>
              <w:t xml:space="preserve"> noteikumu projekts “Darbības programmas „Izaugsme un nodarbinātība” 4.2.1.</w:t>
            </w:r>
            <w:r w:rsidR="0025340E">
              <w:rPr>
                <w:color w:val="000000" w:themeColor="text1"/>
                <w:sz w:val="22"/>
                <w:szCs w:val="22"/>
              </w:rPr>
              <w:t xml:space="preserve"> SAM</w:t>
            </w:r>
            <w:r w:rsidRPr="00EA6D80">
              <w:rPr>
                <w:color w:val="000000" w:themeColor="text1"/>
                <w:sz w:val="22"/>
                <w:szCs w:val="22"/>
              </w:rPr>
              <w:t xml:space="preserve"> „Veicināt energoefektivitātes paaugstināšanu valsts un dzīvojamās ēkās”  4.2.1.1.</w:t>
            </w:r>
            <w:r w:rsidR="0025340E">
              <w:rPr>
                <w:color w:val="000000" w:themeColor="text1"/>
                <w:sz w:val="22"/>
                <w:szCs w:val="22"/>
              </w:rPr>
              <w:t xml:space="preserve"> SAM</w:t>
            </w:r>
            <w:r w:rsidRPr="00EA6D80">
              <w:rPr>
                <w:color w:val="000000" w:themeColor="text1"/>
                <w:sz w:val="22"/>
                <w:szCs w:val="22"/>
              </w:rPr>
              <w:t xml:space="preserve"> pasākuma „Veicināt energoefektivitātes paaugstināšanu dzīvojamās ēkās” īstenošanas noteikumi” izsludināts Valsts sekretāru sanāksmē 2015.gada 12.martā). Šobrīd norit nosacījumu saskaņošanas process ar Latvijas institūcijām un </w:t>
            </w:r>
            <w:r w:rsidR="007D2E71">
              <w:rPr>
                <w:color w:val="000000" w:themeColor="text1"/>
                <w:sz w:val="22"/>
                <w:szCs w:val="22"/>
              </w:rPr>
              <w:t>EK</w:t>
            </w:r>
            <w:r w:rsidRPr="00EA6D80">
              <w:rPr>
                <w:color w:val="000000" w:themeColor="text1"/>
                <w:sz w:val="22"/>
                <w:szCs w:val="22"/>
              </w:rPr>
              <w:t>. Programmu plānots uzsākt 2015.gada nogalē.</w:t>
            </w:r>
          </w:p>
          <w:p w14:paraId="7F14D895" w14:textId="6036FE1D" w:rsidR="00612992" w:rsidRPr="002F0C44" w:rsidRDefault="00612992" w:rsidP="002F0C44">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A6D80">
              <w:rPr>
                <w:color w:val="000000" w:themeColor="text1"/>
                <w:sz w:val="22"/>
                <w:szCs w:val="22"/>
              </w:rPr>
              <w:t>Darbības programmas “Izaugsme un nodarbinātība” 4.1.1.</w:t>
            </w:r>
            <w:r w:rsidR="0025340E">
              <w:rPr>
                <w:color w:val="000000" w:themeColor="text1"/>
                <w:sz w:val="22"/>
                <w:szCs w:val="22"/>
              </w:rPr>
              <w:t xml:space="preserve"> SAM</w:t>
            </w:r>
            <w:r w:rsidRPr="00EA6D80">
              <w:rPr>
                <w:color w:val="000000" w:themeColor="text1"/>
                <w:sz w:val="22"/>
                <w:szCs w:val="22"/>
              </w:rPr>
              <w:t xml:space="preserve"> “Veicināt efektīvu energoresursu izmantošanu, enerģijas patēriņa samazināšanu un pāreju uz AER apstrādes rūpniecības nozarē” ietvaros šobrīd tiek veikts finanšu pieejamības ex-ante izvērtējums. Pēc tā izstrādes 2016.gadā tiks izstrādāts piedāvājums projektu atlases kritērijiem un programmas ieviešanas nosacījumiem. Programmu plānot</w:t>
            </w:r>
            <w:r w:rsidR="002F0C44">
              <w:rPr>
                <w:color w:val="000000" w:themeColor="text1"/>
                <w:sz w:val="22"/>
                <w:szCs w:val="22"/>
              </w:rPr>
              <w:t>s uzsākt 2016.gada 3.ceturksnī.</w:t>
            </w:r>
          </w:p>
          <w:p w14:paraId="5DC5DA1E" w14:textId="77777777" w:rsidR="00612992" w:rsidRPr="00EA6D80" w:rsidRDefault="00612992" w:rsidP="002F0C44">
            <w:pPr>
              <w:spacing w:before="40" w:after="0"/>
              <w:cnfStyle w:val="000000100000" w:firstRow="0" w:lastRow="0" w:firstColumn="0" w:lastColumn="0" w:oddVBand="0" w:evenVBand="0" w:oddHBand="1" w:evenHBand="0" w:firstRowFirstColumn="0" w:firstRowLastColumn="0" w:lastRowFirstColumn="0" w:lastRowLastColumn="0"/>
              <w:rPr>
                <w:b/>
                <w:color w:val="auto"/>
                <w:sz w:val="22"/>
                <w:szCs w:val="22"/>
              </w:rPr>
            </w:pPr>
            <w:r w:rsidRPr="00EA6D80">
              <w:rPr>
                <w:b/>
                <w:color w:val="auto"/>
                <w:sz w:val="22"/>
                <w:szCs w:val="22"/>
              </w:rPr>
              <w:t>Energoefektivitātes paaugstināšana sabiedriskajās ēkās</w:t>
            </w:r>
          </w:p>
          <w:p w14:paraId="58BEB1A4" w14:textId="7A38CA4A" w:rsidR="00616050" w:rsidRPr="00B21E59" w:rsidRDefault="00612992" w:rsidP="00B21E59">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Darbības programmas “Izaugsme un nodarbinātība” 4.2.1.1. pasākuma “Veicināt energoefektivitātes paaugstināšanu valsts ēkās” ietvaros šobrīd tiek veikts programmas sākotnējais izvērtējums, kā arī izstrādāti projektu atlases kritēriji un programmas ieviešanas nosacījumi. Programmu plān</w:t>
            </w:r>
            <w:r w:rsidR="002F0C44">
              <w:rPr>
                <w:color w:val="auto"/>
                <w:sz w:val="22"/>
                <w:szCs w:val="22"/>
              </w:rPr>
              <w:t>ots uzsākt 2016.gada 1.pusgadā.</w:t>
            </w:r>
          </w:p>
          <w:p w14:paraId="65DBB075" w14:textId="77777777" w:rsidR="00612992" w:rsidRPr="00EA6D80" w:rsidRDefault="00612992" w:rsidP="002F0C44">
            <w:pPr>
              <w:spacing w:before="40" w:after="0"/>
              <w:cnfStyle w:val="000000100000" w:firstRow="0" w:lastRow="0" w:firstColumn="0" w:lastColumn="0" w:oddVBand="0" w:evenVBand="0" w:oddHBand="1" w:evenHBand="0" w:firstRowFirstColumn="0" w:firstRowLastColumn="0" w:lastRowFirstColumn="0" w:lastRowLastColumn="0"/>
              <w:rPr>
                <w:b/>
                <w:color w:val="auto"/>
                <w:sz w:val="22"/>
                <w:szCs w:val="22"/>
              </w:rPr>
            </w:pPr>
            <w:r w:rsidRPr="00EA6D80">
              <w:rPr>
                <w:b/>
                <w:color w:val="auto"/>
                <w:sz w:val="22"/>
                <w:szCs w:val="22"/>
              </w:rPr>
              <w:t>Energoefektivitātes paaugstināšana siltumenerģijas ražošanā</w:t>
            </w:r>
          </w:p>
          <w:p w14:paraId="2B00D036" w14:textId="68607D95" w:rsidR="00D251AD" w:rsidRPr="00EA6D80" w:rsidRDefault="00612992" w:rsidP="00616050">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Darbības programmas “Izaugsme un nodarbinātība” 4.3.1.</w:t>
            </w:r>
            <w:r w:rsidR="00616050">
              <w:rPr>
                <w:color w:val="auto"/>
                <w:sz w:val="22"/>
                <w:szCs w:val="22"/>
              </w:rPr>
              <w:t xml:space="preserve"> SAM</w:t>
            </w:r>
            <w:r w:rsidRPr="00EA6D80">
              <w:rPr>
                <w:color w:val="auto"/>
                <w:sz w:val="22"/>
                <w:szCs w:val="22"/>
              </w:rPr>
              <w:t xml:space="preserve"> “Veicināt energoefektivitāti un vietējo AER izmantošanu centralizētajā siltumapgādē” septembrī/oktobrī tiks uzsākts programmas sākotnējais izvērtējums. Pēc tā izstrādes 2016.gadā tiks izstrādāts piedāvājums projektu atlases kritērijiem un programmas ieviešanas nosacījumiem. Programmu plānots uzsākt 2016.gada 3.ceturksnī.</w:t>
            </w:r>
          </w:p>
        </w:tc>
      </w:tr>
      <w:tr w:rsidR="00D251AD" w:rsidRPr="00EA6D80" w14:paraId="6ACE3B55" w14:textId="77777777" w:rsidTr="00D640F7">
        <w:tc>
          <w:tcPr>
            <w:cnfStyle w:val="001000000000" w:firstRow="0" w:lastRow="0" w:firstColumn="1" w:lastColumn="0" w:oddVBand="0" w:evenVBand="0" w:oddHBand="0" w:evenHBand="0" w:firstRowFirstColumn="0" w:firstRowLastColumn="0" w:lastRowFirstColumn="0" w:lastRowLastColumn="0"/>
            <w:tcW w:w="2122" w:type="dxa"/>
          </w:tcPr>
          <w:p w14:paraId="15F34DE2" w14:textId="77777777" w:rsidR="00D251AD" w:rsidRPr="00EA6D80" w:rsidRDefault="00D251AD" w:rsidP="00945E73">
            <w:pPr>
              <w:ind w:firstLine="0"/>
              <w:rPr>
                <w:b w:val="0"/>
                <w:color w:val="auto"/>
                <w:sz w:val="22"/>
                <w:szCs w:val="22"/>
              </w:rPr>
            </w:pPr>
            <w:r w:rsidRPr="00EA6D80">
              <w:rPr>
                <w:color w:val="auto"/>
                <w:sz w:val="22"/>
                <w:szCs w:val="22"/>
              </w:rPr>
              <w:t>Nacionālais mērķis attiecībā uz jauniešiem, kuri priekšlaicīgi pārtraukuši mācības (13,4% (10,0%))</w:t>
            </w:r>
          </w:p>
        </w:tc>
        <w:tc>
          <w:tcPr>
            <w:tcW w:w="2835" w:type="dxa"/>
          </w:tcPr>
          <w:p w14:paraId="31FF9AFD" w14:textId="77777777" w:rsidR="00D251AD" w:rsidRPr="00EA6D80" w:rsidRDefault="00D251AD" w:rsidP="00D251AD">
            <w:pPr>
              <w:pStyle w:val="ListParagraph"/>
              <w:numPr>
                <w:ilvl w:val="0"/>
                <w:numId w:val="1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Pamata un vidējās izglītības pieejamības nodrošināšana;</w:t>
            </w:r>
          </w:p>
          <w:p w14:paraId="35E9A51E" w14:textId="77777777" w:rsidR="00D251AD" w:rsidRPr="00EA6D80" w:rsidRDefault="00D251AD" w:rsidP="00D251AD">
            <w:pPr>
              <w:pStyle w:val="ListParagraph"/>
              <w:numPr>
                <w:ilvl w:val="0"/>
                <w:numId w:val="1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Modernu mācību metožu ieviešana.</w:t>
            </w:r>
          </w:p>
        </w:tc>
        <w:tc>
          <w:tcPr>
            <w:tcW w:w="10489" w:type="dxa"/>
          </w:tcPr>
          <w:p w14:paraId="745A59FE" w14:textId="077CCD78" w:rsidR="00660CDE" w:rsidRPr="00EA6D80" w:rsidRDefault="00660CDE" w:rsidP="005B225A">
            <w:pPr>
              <w:spacing w:after="0"/>
              <w:cnfStyle w:val="000000000000" w:firstRow="0" w:lastRow="0" w:firstColumn="0" w:lastColumn="0" w:oddVBand="0" w:evenVBand="0" w:oddHBand="0" w:evenHBand="0" w:firstRowFirstColumn="0" w:firstRowLastColumn="0" w:lastRowFirstColumn="0" w:lastRowLastColumn="0"/>
              <w:rPr>
                <w:color w:val="000000"/>
                <w:sz w:val="22"/>
                <w:szCs w:val="22"/>
              </w:rPr>
            </w:pPr>
            <w:r w:rsidRPr="00EA6D80">
              <w:rPr>
                <w:color w:val="000000"/>
                <w:sz w:val="22"/>
                <w:szCs w:val="22"/>
              </w:rPr>
              <w:t xml:space="preserve">Ir </w:t>
            </w:r>
            <w:r w:rsidRPr="005B225A">
              <w:rPr>
                <w:color w:val="auto"/>
                <w:sz w:val="22"/>
                <w:szCs w:val="22"/>
              </w:rPr>
              <w:t>veikta</w:t>
            </w:r>
            <w:r w:rsidRPr="00EA6D80">
              <w:rPr>
                <w:color w:val="000000"/>
                <w:sz w:val="22"/>
                <w:szCs w:val="22"/>
              </w:rPr>
              <w:t xml:space="preserve"> izpēte par kavējumiem profesionālajā izglītībā, apzinot situāciju un sniedzot ieteikumus kavējumu novēršanai, kā arī jauniešu atbalstam.</w:t>
            </w:r>
          </w:p>
          <w:p w14:paraId="493B5F55" w14:textId="550B3865" w:rsidR="00660CDE" w:rsidRPr="00EA6D80" w:rsidRDefault="00660CD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Ir uzsākta pētījuma „Politikas alternatīvu veidošana priekšlaicīgas mācību pārtraukšanas problēmas risināšanai” īstenošana. Pētīj</w:t>
            </w:r>
            <w:r w:rsidR="005B225A">
              <w:rPr>
                <w:color w:val="auto"/>
                <w:sz w:val="22"/>
                <w:szCs w:val="22"/>
              </w:rPr>
              <w:t>uma rezultāti, (paredzami 2015.</w:t>
            </w:r>
            <w:r w:rsidRPr="00EA6D80">
              <w:rPr>
                <w:color w:val="auto"/>
                <w:sz w:val="22"/>
                <w:szCs w:val="22"/>
              </w:rPr>
              <w:t>gada oktobra sākumā), tiks izmantoti 8.3.4. SAM „Samazināt priekšlaicīgu mācību pārtraukšanu, īstenojot preventīvus un intervences pasākumus” normatīvā regulējuma sagatavošanā, lai 2016.gadā varētu uzsākt preventīvu un kompensējošu pasākumu īstenošanu izglītības pieejamībai un agrīnas skolu pamešanas mazināšanai.</w:t>
            </w:r>
          </w:p>
          <w:p w14:paraId="05C515AD" w14:textId="77777777" w:rsidR="00660CDE" w:rsidRPr="00EA6D80" w:rsidRDefault="00660CD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Tiek turpināta 1-gadīgo un 1,5-gadīgo profesionālās izglītības programmu īstenošana jauniešiem vecumā no 17-29 gadiem, kuri nemācās un nav nodarbināti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projektā. </w:t>
            </w:r>
          </w:p>
          <w:p w14:paraId="74DD407F" w14:textId="0D124099" w:rsidR="00660CDE" w:rsidRPr="00EA6D80" w:rsidRDefault="005B225A"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2015.</w:t>
            </w:r>
            <w:r w:rsidR="00660CDE" w:rsidRPr="00EA6D80">
              <w:rPr>
                <w:color w:val="auto"/>
                <w:sz w:val="22"/>
                <w:szCs w:val="22"/>
              </w:rPr>
              <w:t xml:space="preserve">gada 4.jūnijā </w:t>
            </w:r>
            <w:r>
              <w:rPr>
                <w:color w:val="auto"/>
                <w:sz w:val="22"/>
                <w:szCs w:val="22"/>
              </w:rPr>
              <w:t>VSS</w:t>
            </w:r>
            <w:r w:rsidR="00660CDE" w:rsidRPr="00EA6D80">
              <w:rPr>
                <w:color w:val="auto"/>
                <w:sz w:val="22"/>
                <w:szCs w:val="22"/>
              </w:rPr>
              <w:t xml:space="preserve"> tika izsludināts plāna projekts „Karjeras izglītības īstenošanas plāns valsts un pašvaldību vispārējās un profesionālās izglītības iestādēs 2015.-2020.gadam”. Plāna projektā ir identificēti izaicinājumi, iespējamie risinājumi un uzdevumi karjeras izglītības un karjeras attīstības atbalsta pakalpojumu īstenošanai. Paredzams, ka plāna proj</w:t>
            </w:r>
            <w:r>
              <w:rPr>
                <w:color w:val="auto"/>
                <w:sz w:val="22"/>
                <w:szCs w:val="22"/>
              </w:rPr>
              <w:t>ekts tiks apstiprināts MK 2015.</w:t>
            </w:r>
            <w:r w:rsidR="00660CDE" w:rsidRPr="00EA6D80">
              <w:rPr>
                <w:color w:val="auto"/>
                <w:sz w:val="22"/>
                <w:szCs w:val="22"/>
              </w:rPr>
              <w:t xml:space="preserve">gada oktobrī. Vienlaikus </w:t>
            </w:r>
            <w:r w:rsidR="00660CDE" w:rsidRPr="00EA6D80">
              <w:rPr>
                <w:color w:val="auto"/>
                <w:spacing w:val="-2"/>
                <w:sz w:val="22"/>
                <w:szCs w:val="22"/>
              </w:rPr>
              <w:t xml:space="preserve">uzsākta 8.3.5. SAM „Uzlabot pieeju karjeras atbalstam izglītojamajiem vispārējās un profesionālās izglītības iestādēs” normatīvo dokumentu izstrāde, paredzot MK noteikumu projekta izsludināšanu </w:t>
            </w:r>
            <w:r>
              <w:rPr>
                <w:color w:val="auto"/>
                <w:spacing w:val="-2"/>
                <w:sz w:val="22"/>
                <w:szCs w:val="22"/>
              </w:rPr>
              <w:t>valsts sekretāru sanāksmē 2015.</w:t>
            </w:r>
            <w:r w:rsidR="00660CDE" w:rsidRPr="00EA6D80">
              <w:rPr>
                <w:color w:val="auto"/>
                <w:spacing w:val="-2"/>
                <w:sz w:val="22"/>
                <w:szCs w:val="22"/>
              </w:rPr>
              <w:t xml:space="preserve">gada oktobra sākumā. </w:t>
            </w:r>
            <w:r w:rsidR="00660CDE" w:rsidRPr="00EA6D80">
              <w:rPr>
                <w:color w:val="auto"/>
                <w:sz w:val="22"/>
                <w:szCs w:val="22"/>
              </w:rPr>
              <w:t>Paredzams, ka projekta īstenošana tiks uzsākta 2016.gada otrajā ceturksnī.</w:t>
            </w:r>
          </w:p>
          <w:p w14:paraId="6700403F" w14:textId="7AA2848A" w:rsidR="00660CDE" w:rsidRPr="00EA6D80" w:rsidRDefault="005B225A"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2015.gada 2.</w:t>
            </w:r>
            <w:r w:rsidR="00660CDE" w:rsidRPr="00EA6D80">
              <w:rPr>
                <w:color w:val="auto"/>
                <w:sz w:val="22"/>
                <w:szCs w:val="22"/>
              </w:rPr>
              <w:t xml:space="preserve">jūlijā </w:t>
            </w:r>
            <w:r>
              <w:rPr>
                <w:color w:val="auto"/>
                <w:sz w:val="22"/>
                <w:szCs w:val="22"/>
              </w:rPr>
              <w:t>VSS</w:t>
            </w:r>
            <w:r w:rsidR="00660CDE" w:rsidRPr="00EA6D80">
              <w:rPr>
                <w:color w:val="auto"/>
                <w:sz w:val="22"/>
                <w:szCs w:val="22"/>
              </w:rPr>
              <w:t xml:space="preserve"> tika izsludināts plāna projekts "Pieaugušo izglītības pārvaldības modeļa ieviešanas plāns 2015. – 2020."</w:t>
            </w:r>
          </w:p>
          <w:p w14:paraId="0FAD9153" w14:textId="08BF86A8" w:rsidR="00660CDE" w:rsidRPr="00EA6D80" w:rsidRDefault="005B225A"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Līdz 2015.</w:t>
            </w:r>
            <w:r w:rsidR="00660CDE" w:rsidRPr="005B225A">
              <w:rPr>
                <w:bCs/>
                <w:color w:val="auto"/>
                <w:sz w:val="22"/>
                <w:szCs w:val="22"/>
              </w:rPr>
              <w:t>gada</w:t>
            </w:r>
            <w:r w:rsidR="00660CDE" w:rsidRPr="00EA6D80">
              <w:rPr>
                <w:color w:val="auto"/>
                <w:sz w:val="22"/>
                <w:szCs w:val="22"/>
              </w:rPr>
              <w:t xml:space="preserve"> beigām ES fonda 8.3.1. SAM „Attīstīt kompetenču pieejā balstītu vispārējās izglītības saturu” </w:t>
            </w:r>
            <w:r w:rsidR="00660CDE" w:rsidRPr="00EA6D80">
              <w:rPr>
                <w:bCs/>
                <w:color w:val="auto"/>
                <w:sz w:val="22"/>
                <w:szCs w:val="22"/>
              </w:rPr>
              <w:t>8.3.1.1.pasākuma „Kompetenču pieejā balstīta vispārējās izglītības satura aprobācija un ieviešana”</w:t>
            </w:r>
            <w:r w:rsidR="00660CDE" w:rsidRPr="00EA6D80">
              <w:rPr>
                <w:color w:val="auto"/>
                <w:sz w:val="22"/>
                <w:szCs w:val="22"/>
              </w:rPr>
              <w:t xml:space="preserve"> projekta ietvaros tiks uzsākta kompetenču pieejā balstīta vispārējās izglītības mācību satura izstrāde, kā arī aprobācija 80 izglītības iestādēs. </w:t>
            </w:r>
          </w:p>
          <w:p w14:paraId="10ACC7DD" w14:textId="6EF48CBB" w:rsidR="00660CDE" w:rsidRPr="00EA6D80" w:rsidRDefault="00660CD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bCs/>
                <w:color w:val="auto"/>
                <w:sz w:val="22"/>
                <w:szCs w:val="22"/>
              </w:rPr>
              <w:t>157 izglītības iestādēs sākot ar 2015.</w:t>
            </w:r>
            <w:r w:rsidR="005B225A">
              <w:rPr>
                <w:bCs/>
                <w:color w:val="auto"/>
                <w:sz w:val="22"/>
                <w:szCs w:val="22"/>
              </w:rPr>
              <w:t>gada 1.</w:t>
            </w:r>
            <w:r w:rsidRPr="00EA6D80">
              <w:rPr>
                <w:bCs/>
                <w:color w:val="auto"/>
                <w:sz w:val="22"/>
                <w:szCs w:val="22"/>
              </w:rPr>
              <w:t>septembri ir uzsākta datorikas mācību satura aprobācija p</w:t>
            </w:r>
            <w:r w:rsidRPr="00EA6D80">
              <w:rPr>
                <w:color w:val="auto"/>
                <w:sz w:val="22"/>
                <w:szCs w:val="22"/>
              </w:rPr>
              <w:t>ilotprojekta ietvaros. Sadarbībā ar Latvijas Informācijas un komunikācijas tehnoloģijas asociāciju izstrādātas piecas mācību programmu paraugi digitālo kompetenču apguvei, tādējādi piesakot vienu no prioritātēm mācību satura pilnveidē un izvirzot to kā pirmo soli pakāpeniskai kompetencēs balstītā izglītības satura ieviešanai.</w:t>
            </w:r>
          </w:p>
          <w:p w14:paraId="4F7C314A" w14:textId="36C7DF70" w:rsidR="00660CDE" w:rsidRPr="00EA6D80" w:rsidRDefault="00660CD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bCs/>
                <w:color w:val="auto"/>
                <w:sz w:val="22"/>
                <w:szCs w:val="22"/>
              </w:rPr>
              <w:t>2015./2016.</w:t>
            </w:r>
            <w:r w:rsidRPr="00EA6D80">
              <w:rPr>
                <w:color w:val="auto"/>
                <w:sz w:val="22"/>
                <w:szCs w:val="22"/>
              </w:rPr>
              <w:t xml:space="preserve">mācību gadā paredzēts organizēt centralizētā fizikas, ķīmijas un dabaszinību (pēc izvēles) eksāmena pilotprojekta norisi 12.klašu skolēniem. </w:t>
            </w:r>
          </w:p>
          <w:p w14:paraId="2B5D6F06" w14:textId="6B358E98" w:rsidR="00660CDE" w:rsidRPr="005B225A" w:rsidRDefault="00660CD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Turpinās darbs pie profesionālās izglītības programmas saturiskās pārstrukturizācijas ar mērķi izveidot elastīgas </w:t>
            </w:r>
            <w:r w:rsidRPr="00D27E4E">
              <w:rPr>
                <w:color w:val="auto"/>
                <w:sz w:val="22"/>
                <w:szCs w:val="22"/>
              </w:rPr>
              <w:t>profesionālās</w:t>
            </w:r>
            <w:r w:rsidRPr="00EA6D80">
              <w:rPr>
                <w:color w:val="auto"/>
                <w:sz w:val="22"/>
                <w:szCs w:val="22"/>
              </w:rPr>
              <w:t xml:space="preserve"> izglītības programmas, kas nodrošina iespēju ātri reaģēt uz darba spēka pieprasījumu īstermiņā un ilgtermiņā. </w:t>
            </w:r>
            <w:r w:rsidR="005B225A">
              <w:rPr>
                <w:color w:val="auto"/>
                <w:sz w:val="22"/>
                <w:szCs w:val="22"/>
              </w:rPr>
              <w:t>Līdz 2015.gada 30.</w:t>
            </w:r>
            <w:r w:rsidRPr="00EA6D80">
              <w:rPr>
                <w:color w:val="auto"/>
                <w:sz w:val="22"/>
                <w:szCs w:val="22"/>
              </w:rPr>
              <w:t xml:space="preserve">novembrim 1.2.1.1.1.aktivitātes ESF “Nozaru kvalifikācijas sistēmas izveide un profesionālās izglītības efektivitātes un kvalitātes paaugstināšana” projekta ietvaros tiks pabeigta 55 modulāro profesionālās izglītības programmu izstrāde, Nozaru kvalifikācijas struktūras izveide un pilnveide atbilstoši Eiropas kvalifikāciju ietvarstruktūras astoņiem līmeņiem, Profesionālās kvalifikācijas eksāmenu satura izstrāde un 80 profesiju standartu, t.sk., profesionālo kvalifikāciju pamatprasību izstrāde. Nozares izpētes rezultātā ir identificētas kompetences, kuras apgūstamas atsevišķos moduļos, lai novērstu jauniešu priekšlaicīgu atskaitīšanu no izglītības iestādes, un kompetences, kuras var apgūt cilvēki ar īpašām vajadzībām, tā nodrošinot sistēmisku pieeju profesionālajā izglītībā. </w:t>
            </w:r>
          </w:p>
          <w:p w14:paraId="3A78FAF8" w14:textId="456DA950" w:rsidR="00660CDE" w:rsidRPr="00EA6D80" w:rsidRDefault="00660CDE" w:rsidP="005B225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A6D80">
              <w:rPr>
                <w:color w:val="auto"/>
                <w:sz w:val="22"/>
                <w:szCs w:val="22"/>
              </w:rPr>
              <w:t>Sadarbībā</w:t>
            </w:r>
            <w:r w:rsidRPr="00EA6D80">
              <w:rPr>
                <w:color w:val="000000" w:themeColor="text1"/>
                <w:sz w:val="22"/>
                <w:szCs w:val="22"/>
              </w:rPr>
              <w:t xml:space="preserve"> ar NEP veikta ārpus formālās izglītības iegūtās kompetences novērtēšanas sistēmas aprobācija un popularizēšana, tostarp paverot iespēju jauniešiem, kuri izkrita no izglītības, nokārtojot eksāmenu, iegūt noteiktu profesionālo kvalifikāciju, kas palielina iespējas darba tirgū. Profesionālās kompetences novērtēšanas ceļā līdz 2015.gada jūlijam profesionālās kvalifikācijas apliecību ieguvušas 2290 personas. Profesionālās kompetences novērtēšanu iespējams veikt 130 dažādās profesionālajās kvalifikācijas. To nodrošina 42 profesionālās izglītības iestādes.</w:t>
            </w:r>
          </w:p>
          <w:p w14:paraId="6EB32CE5" w14:textId="6D3E645C" w:rsidR="00D251AD" w:rsidRPr="00EA6D80" w:rsidRDefault="005B225A"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highlight w:val="green"/>
              </w:rPr>
            </w:pPr>
            <w:r>
              <w:rPr>
                <w:color w:val="000000"/>
                <w:sz w:val="22"/>
                <w:szCs w:val="22"/>
              </w:rPr>
              <w:t>2015.</w:t>
            </w:r>
            <w:r w:rsidR="00660CDE" w:rsidRPr="00EA6D80">
              <w:rPr>
                <w:color w:val="000000"/>
                <w:sz w:val="22"/>
                <w:szCs w:val="22"/>
              </w:rPr>
              <w:t>gada jūnijā tika organizēts 6.Eiropas kvalitātes nodrošināšanas ietvarstruktūras profesionālajā izglītībā un profesionālajā tālākizglītībā (EQAVET) ikgadējais forums. Forumā piedalījās profesionālās izglītības un apmācības jomas eksperti no ES dalībvalstīm, lai izvērtētu paveikto 2013.–2015.gados, kā arī izvirzītu mērķus nākamajam darba posmam no 2016. līdz 2017.gadam, tostarp stiprinot sociālo partneru iesaisti profesionālajā izglītībā, prakšu organizēšanu un atbalstu jauniešiem profesionālās izglītības ieguvē.</w:t>
            </w:r>
          </w:p>
        </w:tc>
      </w:tr>
      <w:tr w:rsidR="00D251AD" w:rsidRPr="00EA6D80" w14:paraId="1E6D9C88" w14:textId="77777777" w:rsidTr="00D6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4C72CAF" w14:textId="77777777" w:rsidR="00D251AD" w:rsidRPr="00EA6D80" w:rsidRDefault="00D251AD" w:rsidP="00945E73">
            <w:pPr>
              <w:ind w:firstLine="0"/>
              <w:rPr>
                <w:b w:val="0"/>
                <w:color w:val="auto"/>
                <w:sz w:val="22"/>
                <w:szCs w:val="22"/>
              </w:rPr>
            </w:pPr>
            <w:r w:rsidRPr="00EA6D80">
              <w:rPr>
                <w:color w:val="auto"/>
                <w:sz w:val="22"/>
                <w:szCs w:val="22"/>
              </w:rPr>
              <w:t>Nacionālais augstākās izglītības mērķis (34-36%)</w:t>
            </w:r>
          </w:p>
        </w:tc>
        <w:tc>
          <w:tcPr>
            <w:tcW w:w="2835" w:type="dxa"/>
          </w:tcPr>
          <w:p w14:paraId="6809F257" w14:textId="77777777" w:rsidR="00D251AD" w:rsidRPr="00EA6D80" w:rsidRDefault="00D251AD" w:rsidP="00D251AD">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Augstākās izglītības modernizācija;</w:t>
            </w:r>
          </w:p>
          <w:p w14:paraId="60A2D95B" w14:textId="77777777" w:rsidR="00D251AD" w:rsidRPr="00EA6D80" w:rsidRDefault="00D251AD" w:rsidP="00D251AD">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Augstākās izglītības institūciju materiāli tehniskās bāzes modernizēšana un resursu izmantošanas efektivitātes paaugstināšana;</w:t>
            </w:r>
          </w:p>
          <w:p w14:paraId="62796B85" w14:textId="77777777" w:rsidR="00D251AD" w:rsidRPr="00EA6D80" w:rsidRDefault="00D251AD" w:rsidP="00D251AD">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Augstākās izglītības vienlīdzīgas pieejamības nodrošināšana;</w:t>
            </w:r>
          </w:p>
          <w:p w14:paraId="671EC9FF" w14:textId="77777777" w:rsidR="00D251AD" w:rsidRPr="00EA6D80" w:rsidRDefault="00D251AD" w:rsidP="00D251AD">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Studiju un zinātniskās darbības kvalitātes nodrošināšana;</w:t>
            </w:r>
          </w:p>
          <w:p w14:paraId="23381F12" w14:textId="77777777" w:rsidR="00D251AD" w:rsidRPr="00EA6D80" w:rsidRDefault="00D251AD" w:rsidP="00D251AD">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Ārvalstu studentu piesaistīšana.</w:t>
            </w:r>
          </w:p>
        </w:tc>
        <w:tc>
          <w:tcPr>
            <w:tcW w:w="10489" w:type="dxa"/>
          </w:tcPr>
          <w:p w14:paraId="094E7697" w14:textId="525E323E" w:rsidR="00660CDE" w:rsidRPr="00EA6D80" w:rsidRDefault="00660CDE" w:rsidP="005B225A">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 xml:space="preserve">Lai </w:t>
            </w:r>
            <w:r w:rsidRPr="005B225A">
              <w:rPr>
                <w:color w:val="000000"/>
                <w:sz w:val="22"/>
                <w:szCs w:val="22"/>
              </w:rPr>
              <w:t>nodrošinātu</w:t>
            </w:r>
            <w:r w:rsidRPr="00EA6D80">
              <w:rPr>
                <w:color w:val="auto"/>
                <w:sz w:val="22"/>
                <w:szCs w:val="22"/>
              </w:rPr>
              <w:t xml:space="preserve"> kvalificētu un darba tirgus prasībām atbilstošu jauno speciālistu sagatavošanu, kas tai skaitā savu profesionālo darbību varētu trupināt kādā no zinātniskajām institūcijām</w:t>
            </w:r>
            <w:r w:rsidR="00E26BE2">
              <w:rPr>
                <w:color w:val="auto"/>
                <w:sz w:val="22"/>
                <w:szCs w:val="22"/>
              </w:rPr>
              <w:t>, ES struktūrfondu 2007.-2013.</w:t>
            </w:r>
            <w:r w:rsidRPr="00EA6D80">
              <w:rPr>
                <w:color w:val="auto"/>
                <w:sz w:val="22"/>
                <w:szCs w:val="22"/>
              </w:rPr>
              <w:t xml:space="preserve"> plānošanas periodā 3.1.2.1.1.apakšaktivitātes "Augstākās izglītības iestāžu telpu un iekārtu modernizēšana studiju programmu kvalitātes uzlabošanai, tajā skaitā, nodrošinot izglītības programmu apgūšanas iespējas arī personām ar funkcionāliem traucējumiem" ietvaros atbalsts tiek sniegts to augstākās izglītības infrastruktūras modernizēšanai, kas īsteno attiecīgas izglītības programmas. 3.1.2.1.1.apakšaktivitātes ietvaros tika noslēgts 31 līgums par augstākās izglītības iestāžu modernizēšanu studiju procesa uzlabošanai. Šobrīd tiek īstenoti septiņi projekti Studiju nodrošināšanai nepieciešamās infrastruktūras modernizācija noslēgusies 13 augstskolu pabeigto projektu ietvaros un 11 koledžu īstenotajos projektos, nodots ekspluatācijā Latvijas Universitātes Akadēmiskā centrs Torņakalnā,  apvienojot vienā ēkā visas dabaszinātņu fakultātes un  septiņus dzīvības zinātnes pētniecības institūtus, kā arī aprīkots Rīgas Tehniskās universitātes laboratoriju mācību korpuss  vienotā teritoriālā kompleksā  Ķīpsalā.  </w:t>
            </w:r>
          </w:p>
          <w:p w14:paraId="222842E4" w14:textId="329DF750" w:rsidR="00660CDE" w:rsidRPr="00EA6D80" w:rsidRDefault="00660CDE" w:rsidP="00E26BE2">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 xml:space="preserve">ES fondu 2014.-2020. gada plānošanas perioda ietvaros 2015./2016. akadēmiskajā gadā tiks uzsākta Pēcdoktorantūras grantu 1.kārtas īstenošana (kopējais indikatīvais finansējums pēcdoktorantūras pētniecībai 64 milj. </w:t>
            </w:r>
            <w:r w:rsidR="00E26BE2">
              <w:rPr>
                <w:i/>
                <w:color w:val="auto"/>
                <w:sz w:val="22"/>
                <w:szCs w:val="22"/>
              </w:rPr>
              <w:t>euro</w:t>
            </w:r>
            <w:r w:rsidRPr="00EA6D80">
              <w:rPr>
                <w:color w:val="auto"/>
                <w:sz w:val="22"/>
                <w:szCs w:val="22"/>
              </w:rPr>
              <w:t xml:space="preserve">, t.sk. ERAF finansējums 54,4 milj. </w:t>
            </w:r>
            <w:r w:rsidR="00E26BE2">
              <w:rPr>
                <w:i/>
                <w:color w:val="auto"/>
                <w:sz w:val="22"/>
                <w:szCs w:val="22"/>
              </w:rPr>
              <w:t>euro</w:t>
            </w:r>
            <w:r w:rsidRPr="00EA6D80">
              <w:rPr>
                <w:color w:val="auto"/>
                <w:sz w:val="22"/>
                <w:szCs w:val="22"/>
              </w:rPr>
              <w:t>).</w:t>
            </w:r>
          </w:p>
          <w:p w14:paraId="7D9AFBF7" w14:textId="04AD7FDC" w:rsidR="00660CDE" w:rsidRPr="00EA6D80" w:rsidRDefault="00E014E0" w:rsidP="00E26BE2">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2015.</w:t>
            </w:r>
            <w:r w:rsidR="00660CDE" w:rsidRPr="00EA6D80">
              <w:rPr>
                <w:color w:val="auto"/>
                <w:sz w:val="22"/>
                <w:szCs w:val="22"/>
              </w:rPr>
              <w:t xml:space="preserve">gadā turpinās ES struktūrfondu aktivitātes “Cilvēkresursu piesaiste zinātnei” 2. kārta, kuras ietvaros tiek turpināta 48 projektu īstenošana, kas paredz atbalstu zinātnes jomai, veicinot jaunu darbavietu radīšanu jaunajiem un reemigrējošiem zinātniekiem, jaunu zinātnieku piesaisti pētījumiem ar finansējumu jauno zinātnieku grupu pētniecības darbu izmaksām. Kopējais attiecināmais finansējums aktivitātes īstenošanai. </w:t>
            </w:r>
          </w:p>
          <w:p w14:paraId="3DC13C73" w14:textId="50413D16" w:rsidR="00660CDE" w:rsidRPr="00EA6D80" w:rsidRDefault="00660CDE" w:rsidP="00E26BE2">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Ar E</w:t>
            </w:r>
            <w:r w:rsidR="00E014E0">
              <w:rPr>
                <w:color w:val="auto"/>
                <w:sz w:val="22"/>
                <w:szCs w:val="22"/>
              </w:rPr>
              <w:t>SF atbalstu no 2009. līdz 2015.</w:t>
            </w:r>
            <w:r w:rsidRPr="00EA6D80">
              <w:rPr>
                <w:color w:val="auto"/>
                <w:sz w:val="22"/>
                <w:szCs w:val="22"/>
              </w:rPr>
              <w:t>gada beigām stipendijas saņēmuši 2130 maģistranti un 1975 doktoranti, t.sk. 2014.</w:t>
            </w:r>
            <w:r w:rsidR="00E014E0">
              <w:rPr>
                <w:color w:val="auto"/>
                <w:sz w:val="22"/>
                <w:szCs w:val="22"/>
              </w:rPr>
              <w:t>gadā</w:t>
            </w:r>
            <w:r w:rsidRPr="00EA6D80">
              <w:rPr>
                <w:color w:val="auto"/>
                <w:sz w:val="22"/>
                <w:szCs w:val="22"/>
              </w:rPr>
              <w:t xml:space="preserve"> no jauna stipendijas ieguvuši 126 maģistranti un 35 doktoranti un 2015.gadā no jauna stipendijas ieguvuši 26 doktoranti un 100 maģistranti.</w:t>
            </w:r>
          </w:p>
          <w:p w14:paraId="55654561" w14:textId="5A3273FD" w:rsidR="00660CDE" w:rsidRPr="00EA6D80" w:rsidRDefault="00E26BE2" w:rsidP="00E26BE2">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 xml:space="preserve"> </w:t>
            </w:r>
            <w:r w:rsidR="00660CDE" w:rsidRPr="00EA6D80">
              <w:rPr>
                <w:color w:val="auto"/>
                <w:sz w:val="22"/>
                <w:szCs w:val="22"/>
              </w:rPr>
              <w:t>ES fondu 2014.-2020.gada plānošanas perioda ietvaros plānots sniegt atbalstu kopīgo doktorantūras studiju programmu un studiju programmu ES valodās izstrādei, aprobācijai un akreditācijai, tai skaitā akreditācijas izmaksu segšanai starptautiskās profesionālās organizācijās, kā arī izstrādāto un akreditēto studiju programmu starptautiskā publicitātei.</w:t>
            </w:r>
          </w:p>
          <w:p w14:paraId="29238FCD" w14:textId="77777777" w:rsidR="00660CDE" w:rsidRPr="00EA6D80" w:rsidRDefault="00660CDE" w:rsidP="00E26BE2">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ES fondu 2014.-2020.gada plānošanas perioda ietvaros plānots sniegt atbalstu augstākās izglītības institūciju attīstības stratēģiju ieviešanai, t.sk. attīstības stratēģiju izstrādei, pilnveidei un to ārējam novērtējumam; atbalsts studiju virzienu padomju darbam, tostarp veicot studiju programmu satura pārstrukturizāciju un aktualizāciju, studiju programmu konsolidāciju; atbalsts augstākās izglītības institūcijas iekšējās kvalitātes nodrošināšanas sistēmas efektivitātes paaugstināšanai atbilstoši standartiem un vadlīnijām kvalitātes nodrošināšanai Eiropas augstākās izglītības telpā, tostarp personāla atalgojuma un promocijas sistēmas ārējam novērtējumam un sistēmas pilnveidei; atbalsts e-risinājumu, t.sk. e-koplietošanas mehānismu un starpinstitūciju sadarbības risinājumu, attīstībai.</w:t>
            </w:r>
          </w:p>
          <w:p w14:paraId="54508516" w14:textId="1A948D54" w:rsidR="00660CDE" w:rsidRPr="00EA6D80" w:rsidRDefault="00660CDE" w:rsidP="00E014E0">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EA6D80">
              <w:rPr>
                <w:color w:val="auto"/>
                <w:sz w:val="22"/>
                <w:szCs w:val="22"/>
              </w:rPr>
              <w:t>2015.gadā ir piešķirtas 58 Latvijas valsts stipendijas ārzemniekiem studijām un pētniecībai L</w:t>
            </w:r>
            <w:r w:rsidR="00E014E0">
              <w:rPr>
                <w:color w:val="auto"/>
                <w:sz w:val="22"/>
                <w:szCs w:val="22"/>
              </w:rPr>
              <w:t>atvijas augstskolās 2015./2016.</w:t>
            </w:r>
            <w:r w:rsidRPr="00EA6D80">
              <w:rPr>
                <w:color w:val="auto"/>
                <w:sz w:val="22"/>
                <w:szCs w:val="22"/>
              </w:rPr>
              <w:t>akadēmiskajā gadā un 18 Latvijas valsts stipendijas ārzemniekiem dalībai vasaras skolās 2015.gada vasarā. Sākot ar 2016./2017.akadēmisko gadu piešķiramo stipendiju skaitu plānots pakāpeniski palielināt, lai nodrošinātu Izglītības attīst</w:t>
            </w:r>
            <w:r w:rsidR="00E014E0">
              <w:rPr>
                <w:color w:val="auto"/>
                <w:sz w:val="22"/>
                <w:szCs w:val="22"/>
              </w:rPr>
              <w:t>ības pamatnostādnēs 2014.–2020.</w:t>
            </w:r>
            <w:r w:rsidRPr="00EA6D80">
              <w:rPr>
                <w:color w:val="auto"/>
                <w:sz w:val="22"/>
                <w:szCs w:val="22"/>
              </w:rPr>
              <w:t>gadam noteikto rezultātu sasn</w:t>
            </w:r>
            <w:r w:rsidR="00E014E0">
              <w:rPr>
                <w:color w:val="auto"/>
                <w:sz w:val="22"/>
                <w:szCs w:val="22"/>
              </w:rPr>
              <w:t>iegšanu (150 stipendijas 2020.gadā</w:t>
            </w:r>
            <w:r w:rsidRPr="00EA6D80">
              <w:rPr>
                <w:color w:val="auto"/>
                <w:sz w:val="22"/>
                <w:szCs w:val="22"/>
              </w:rPr>
              <w:t xml:space="preserve">). </w:t>
            </w:r>
          </w:p>
          <w:p w14:paraId="68C310EF" w14:textId="724A5810" w:rsidR="00D251AD" w:rsidRPr="00EA6D80" w:rsidRDefault="00E014E0" w:rsidP="00E26BE2">
            <w:pPr>
              <w:spacing w:after="0"/>
              <w:cnfStyle w:val="000000100000" w:firstRow="0" w:lastRow="0" w:firstColumn="0" w:lastColumn="0" w:oddVBand="0" w:evenVBand="0" w:oddHBand="1" w:evenHBand="0" w:firstRowFirstColumn="0" w:firstRowLastColumn="0" w:lastRowFirstColumn="0" w:lastRowLastColumn="0"/>
              <w:rPr>
                <w:color w:val="auto"/>
                <w:sz w:val="22"/>
                <w:szCs w:val="22"/>
                <w:highlight w:val="green"/>
              </w:rPr>
            </w:pPr>
            <w:r>
              <w:rPr>
                <w:color w:val="auto"/>
                <w:sz w:val="22"/>
                <w:szCs w:val="22"/>
              </w:rPr>
              <w:t>Kopš 2015.</w:t>
            </w:r>
            <w:r w:rsidR="00660CDE" w:rsidRPr="00EA6D80">
              <w:rPr>
                <w:color w:val="auto"/>
                <w:sz w:val="22"/>
                <w:szCs w:val="22"/>
              </w:rPr>
              <w:t>gada ES Erasmus + programmas ietvaros ir pieejama jauna aktivitāte - Starptautiskā studentu un personāla mobilitāte, kas ļauj Eiropas augstākās izglītības iestādēm sadarboties ar iestādēm ārpus Eiropas un sniegt atbalstu arī ārvalstu augstskolu studentiem un personālam. Latvijas augstskolas aktīvi piedalās šajā pasākumā, veidojot partnerību ar dažādām institūcijām ārpus Eiropas un piesaistot vairāk ārvalstu studentus.</w:t>
            </w:r>
          </w:p>
        </w:tc>
      </w:tr>
      <w:tr w:rsidR="00D251AD" w:rsidRPr="00EA6D80" w14:paraId="1E6FB8DE" w14:textId="77777777" w:rsidTr="00D640F7">
        <w:tc>
          <w:tcPr>
            <w:cnfStyle w:val="001000000000" w:firstRow="0" w:lastRow="0" w:firstColumn="1" w:lastColumn="0" w:oddVBand="0" w:evenVBand="0" w:oddHBand="0" w:evenHBand="0" w:firstRowFirstColumn="0" w:firstRowLastColumn="0" w:lastRowFirstColumn="0" w:lastRowLastColumn="0"/>
            <w:tcW w:w="2122" w:type="dxa"/>
          </w:tcPr>
          <w:p w14:paraId="6E1AE2F9" w14:textId="77777777" w:rsidR="00D251AD" w:rsidRPr="00EA6D80" w:rsidRDefault="00D251AD" w:rsidP="00945E73">
            <w:pPr>
              <w:ind w:firstLine="0"/>
              <w:rPr>
                <w:b w:val="0"/>
                <w:color w:val="auto"/>
                <w:sz w:val="22"/>
                <w:szCs w:val="22"/>
              </w:rPr>
            </w:pPr>
            <w:r w:rsidRPr="00EA6D80">
              <w:rPr>
                <w:color w:val="auto"/>
                <w:sz w:val="22"/>
                <w:szCs w:val="22"/>
              </w:rPr>
              <w:t>Nacionālais nabadzības mērķis (21,0%)</w:t>
            </w:r>
          </w:p>
        </w:tc>
        <w:tc>
          <w:tcPr>
            <w:tcW w:w="2835" w:type="dxa"/>
          </w:tcPr>
          <w:p w14:paraId="188254EF" w14:textId="77777777" w:rsidR="00D251AD" w:rsidRPr="00EA6D80" w:rsidRDefault="00D251AD" w:rsidP="00D251AD">
            <w:pPr>
              <w:pStyle w:val="ListParagraph"/>
              <w:numPr>
                <w:ilvl w:val="0"/>
                <w:numId w:val="1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Ienākumu nevienlīdzības samazināšana;</w:t>
            </w:r>
          </w:p>
          <w:p w14:paraId="5B010CA5" w14:textId="77777777" w:rsidR="00D251AD" w:rsidRPr="00EA6D80" w:rsidRDefault="00D251AD" w:rsidP="00D251AD">
            <w:pPr>
              <w:pStyle w:val="ListParagraph"/>
              <w:numPr>
                <w:ilvl w:val="0"/>
                <w:numId w:val="1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Nabadzības un sociālās atstumtības riskam pakļauto personu līdzdalības darba tirgū veicināšana;</w:t>
            </w:r>
          </w:p>
          <w:p w14:paraId="524EFC25" w14:textId="77777777" w:rsidR="00D251AD" w:rsidRPr="00EA6D80" w:rsidRDefault="00D251AD" w:rsidP="00D251AD">
            <w:pPr>
              <w:pStyle w:val="ListParagraph"/>
              <w:numPr>
                <w:ilvl w:val="0"/>
                <w:numId w:val="1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2"/>
              </w:rPr>
            </w:pPr>
            <w:r w:rsidRPr="00EA6D80">
              <w:rPr>
                <w:rFonts w:ascii="Times New Roman" w:hAnsi="Times New Roman"/>
                <w:color w:val="auto"/>
                <w:szCs w:val="22"/>
              </w:rPr>
              <w:t>Diskriminācijas draudu un stereotipu mazināšana, kā arī pilsoniskās līdzdalības veicināšana.</w:t>
            </w:r>
          </w:p>
        </w:tc>
        <w:tc>
          <w:tcPr>
            <w:tcW w:w="10489" w:type="dxa"/>
          </w:tcPr>
          <w:p w14:paraId="555ACDD2" w14:textId="77777777" w:rsidR="007746AE" w:rsidRPr="00EA6D80" w:rsidRDefault="007746AE" w:rsidP="005B225A">
            <w:pPr>
              <w:shd w:val="clear" w:color="auto" w:fill="FFFFFF"/>
              <w:spacing w:after="0"/>
              <w:outlineLvl w:val="0"/>
              <w:cnfStyle w:val="000000000000" w:firstRow="0" w:lastRow="0" w:firstColumn="0" w:lastColumn="0" w:oddVBand="0" w:evenVBand="0" w:oddHBand="0" w:evenHBand="0" w:firstRowFirstColumn="0" w:firstRowLastColumn="0" w:lastRowFirstColumn="0" w:lastRowLastColumn="0"/>
              <w:rPr>
                <w:color w:val="auto"/>
                <w:sz w:val="22"/>
                <w:szCs w:val="22"/>
              </w:rPr>
            </w:pPr>
            <w:bookmarkStart w:id="27" w:name="_Toc430949701"/>
            <w:bookmarkStart w:id="28" w:name="_Toc430950504"/>
            <w:bookmarkStart w:id="29" w:name="_Toc431197101"/>
            <w:r w:rsidRPr="00EA6D80">
              <w:rPr>
                <w:color w:val="auto"/>
                <w:sz w:val="22"/>
                <w:szCs w:val="22"/>
              </w:rPr>
              <w:t>2016.gada valsts budžeta izstrādes laikā valdība pieņēmusi vairākus lēmumus, kas vērsti uz ienākumu nevienlīdzības mazināšanu un nodokļu progresivitāti:</w:t>
            </w:r>
            <w:bookmarkEnd w:id="27"/>
            <w:bookmarkEnd w:id="28"/>
            <w:bookmarkEnd w:id="29"/>
          </w:p>
          <w:p w14:paraId="1796D59F" w14:textId="6A9562FD" w:rsidR="007746AE" w:rsidRPr="00EA6D80" w:rsidRDefault="007746AE" w:rsidP="005B225A">
            <w:pPr>
              <w:shd w:val="clear" w:color="auto" w:fill="FFFFFF"/>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1) lai uzlabotu zemo algu saņēmēju finansiālo situāciju, no 2016.gada minimālā mēneša darba alga tiks palielināta no 360 </w:t>
            </w:r>
            <w:r w:rsidR="00E014E0">
              <w:rPr>
                <w:i/>
                <w:color w:val="auto"/>
                <w:sz w:val="22"/>
                <w:szCs w:val="22"/>
              </w:rPr>
              <w:t>euro</w:t>
            </w:r>
            <w:r w:rsidRPr="00EA6D80">
              <w:rPr>
                <w:color w:val="auto"/>
                <w:sz w:val="22"/>
                <w:szCs w:val="22"/>
              </w:rPr>
              <w:t xml:space="preserve"> līdz 370 </w:t>
            </w:r>
            <w:r w:rsidR="00E014E0">
              <w:rPr>
                <w:i/>
                <w:color w:val="auto"/>
                <w:sz w:val="22"/>
                <w:szCs w:val="22"/>
              </w:rPr>
              <w:t>euro</w:t>
            </w:r>
            <w:r w:rsidRPr="00EA6D80">
              <w:rPr>
                <w:color w:val="auto"/>
                <w:sz w:val="22"/>
                <w:szCs w:val="22"/>
              </w:rPr>
              <w:t>;</w:t>
            </w:r>
          </w:p>
          <w:p w14:paraId="108DF08F" w14:textId="1045C367" w:rsidR="007746AE" w:rsidRPr="00EA6D80" w:rsidRDefault="007746AE" w:rsidP="005B225A">
            <w:pPr>
              <w:shd w:val="clear" w:color="auto" w:fill="FFFFFF"/>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2) lai mazinātu nodokļu slogu mazo algu saņēmējiem un palielinātu to ienākumus, 2016.gadā par 10 </w:t>
            </w:r>
            <w:r w:rsidR="00E014E0">
              <w:rPr>
                <w:i/>
                <w:color w:val="auto"/>
                <w:sz w:val="22"/>
                <w:szCs w:val="22"/>
              </w:rPr>
              <w:t>euro</w:t>
            </w:r>
            <w:r w:rsidRPr="00EA6D80">
              <w:rPr>
                <w:color w:val="auto"/>
                <w:sz w:val="22"/>
                <w:szCs w:val="22"/>
              </w:rPr>
              <w:t xml:space="preserve"> tiks palielināts vispārējais neapliekamais minimums (no esošajiem 75 uz 85 </w:t>
            </w:r>
            <w:r w:rsidR="00E014E0">
              <w:rPr>
                <w:i/>
                <w:color w:val="auto"/>
                <w:sz w:val="22"/>
                <w:szCs w:val="22"/>
              </w:rPr>
              <w:t>euro</w:t>
            </w:r>
            <w:r w:rsidRPr="00EA6D80">
              <w:rPr>
                <w:color w:val="auto"/>
                <w:sz w:val="22"/>
                <w:szCs w:val="22"/>
              </w:rPr>
              <w:t xml:space="preserve">) un uzsākta diferencēta neapliekamā minimuma ieviešana, 2020.gadā sasniedzot 160 </w:t>
            </w:r>
            <w:r w:rsidR="00E014E0">
              <w:rPr>
                <w:i/>
                <w:color w:val="auto"/>
                <w:sz w:val="22"/>
                <w:szCs w:val="22"/>
              </w:rPr>
              <w:t>euro</w:t>
            </w:r>
            <w:r w:rsidRPr="00EA6D80">
              <w:rPr>
                <w:color w:val="auto"/>
                <w:sz w:val="22"/>
                <w:szCs w:val="22"/>
              </w:rPr>
              <w:t xml:space="preserve"> mēnesī zemo algu saņēmējiem;</w:t>
            </w:r>
          </w:p>
          <w:p w14:paraId="30524F7A" w14:textId="651CA447" w:rsidR="007746AE" w:rsidRPr="00EA6D80" w:rsidRDefault="007746AE" w:rsidP="005B225A">
            <w:pPr>
              <w:shd w:val="clear" w:color="auto" w:fill="FFFFFF"/>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3) tiks ieviests solidaritātes nodoklis, kas skars lielo algu saņēmējus ar darba algu mēnesī vidēji virs 4000 </w:t>
            </w:r>
            <w:r w:rsidR="00E014E0">
              <w:rPr>
                <w:i/>
                <w:color w:val="auto"/>
                <w:sz w:val="22"/>
                <w:szCs w:val="22"/>
              </w:rPr>
              <w:t>euro</w:t>
            </w:r>
            <w:r w:rsidRPr="00EA6D80">
              <w:rPr>
                <w:color w:val="auto"/>
                <w:sz w:val="22"/>
                <w:szCs w:val="22"/>
              </w:rPr>
              <w:t>, novirzot gūtos ieņēmumus valsts sociālo pabalstu izmaksai;</w:t>
            </w:r>
          </w:p>
          <w:p w14:paraId="60BFD7A1" w14:textId="6BB109FE" w:rsidR="007746AE" w:rsidRPr="00EA6D80" w:rsidRDefault="007746A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4) lai novērstu gan krīzes radītās sekas, gan mazinātu nabadzību, tiks pārskatītas krīzes laikā piešķirtās pensijas (no 2010.gada), proti, personām, kurām pensija piešķirta vai pārrēķināta laikā no 2010.gada 1.janvāra līdz 2015.gada 31.decembrim un pensijas kapitāla noteikšanā ņemti vērā apdrošināšanas iemaksu algas indeksi, kas mazāki par skaitli „1”, pensiju paredzēts pārrēķināt no tās piešķiršanas vai pārrēķina dienas. Piešķirtais finansējums 2016.gadā – 4 milj. </w:t>
            </w:r>
            <w:r w:rsidRPr="00E014E0">
              <w:rPr>
                <w:i/>
                <w:color w:val="auto"/>
                <w:sz w:val="22"/>
                <w:szCs w:val="22"/>
              </w:rPr>
              <w:t>euro</w:t>
            </w:r>
            <w:r w:rsidRPr="00EA6D80">
              <w:rPr>
                <w:color w:val="auto"/>
                <w:sz w:val="22"/>
                <w:szCs w:val="22"/>
              </w:rPr>
              <w:t xml:space="preserve">, 2017.gadam – 20,8 milj. </w:t>
            </w:r>
            <w:r w:rsidRPr="00E014E0">
              <w:rPr>
                <w:i/>
                <w:color w:val="auto"/>
                <w:sz w:val="22"/>
                <w:szCs w:val="22"/>
              </w:rPr>
              <w:t>euro</w:t>
            </w:r>
            <w:r w:rsidRPr="00EA6D80">
              <w:rPr>
                <w:color w:val="auto"/>
                <w:sz w:val="22"/>
                <w:szCs w:val="22"/>
              </w:rPr>
              <w:t xml:space="preserve"> un 201</w:t>
            </w:r>
            <w:r w:rsidR="00A8649B">
              <w:rPr>
                <w:color w:val="auto"/>
                <w:sz w:val="22"/>
                <w:szCs w:val="22"/>
              </w:rPr>
              <w:t>8</w:t>
            </w:r>
            <w:r w:rsidRPr="00EA6D80">
              <w:rPr>
                <w:color w:val="auto"/>
                <w:sz w:val="22"/>
                <w:szCs w:val="22"/>
              </w:rPr>
              <w:t xml:space="preserve">.gadam – 46,7 milj. </w:t>
            </w:r>
            <w:r w:rsidRPr="00E014E0">
              <w:rPr>
                <w:i/>
                <w:color w:val="auto"/>
                <w:sz w:val="22"/>
                <w:szCs w:val="22"/>
              </w:rPr>
              <w:t>euro</w:t>
            </w:r>
            <w:r w:rsidRPr="00EA6D80">
              <w:rPr>
                <w:color w:val="auto"/>
                <w:sz w:val="22"/>
                <w:szCs w:val="22"/>
              </w:rPr>
              <w:t xml:space="preserve">. </w:t>
            </w:r>
          </w:p>
          <w:p w14:paraId="3AC0334D" w14:textId="77777777" w:rsidR="007746AE" w:rsidRPr="00EA6D80" w:rsidRDefault="007746AE" w:rsidP="005B225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p>
          <w:p w14:paraId="7A7CD574" w14:textId="77777777" w:rsidR="007746AE" w:rsidRPr="00EA6D80" w:rsidRDefault="007746AE" w:rsidP="005B225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Lai veicinātu nabadzības un sociālās atstumtības riskam pakļauto personu iekļaušanos darba tirgū:</w:t>
            </w:r>
          </w:p>
          <w:p w14:paraId="2215C418" w14:textId="1F0A7F93" w:rsidR="007746AE" w:rsidRPr="00EA6D80" w:rsidRDefault="007746AE" w:rsidP="005B225A">
            <w:pPr>
              <w:shd w:val="clear" w:color="auto" w:fill="FFFFFF"/>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1) 2017.gadā piešķirti papildu līdzekļi 754,7 tūkst. </w:t>
            </w:r>
            <w:r w:rsidR="00E014E0">
              <w:rPr>
                <w:i/>
                <w:color w:val="auto"/>
                <w:sz w:val="22"/>
                <w:szCs w:val="22"/>
              </w:rPr>
              <w:t>euro</w:t>
            </w:r>
            <w:r w:rsidRPr="00EA6D80">
              <w:rPr>
                <w:color w:val="auto"/>
                <w:sz w:val="22"/>
                <w:szCs w:val="22"/>
              </w:rPr>
              <w:t xml:space="preserve"> apmērā īslaicīgās sociālās rehabilitācijas pakalpojuma saņēmēju rindu mazināšanai. Sociālās rehabilitācijas pakalpojumu ir tiesības saņemt tādām personu grupām, kuru iekļaušanās sabiedrībā ir apgrūtināta, t.sk., personām ar invaliditāti, personām prognozējamo invaliditāti un personām ar funkcionāliem traucējumiem. Pakalpojums ir vērsts uz to, lai personas iemācītos sadzīvot ar funkcionālajiem traucējumiem, atjaunotu vai iemācītos tās prasmes, kas dažādu apstākļu dēļ ir zudušas, ar mērķi personu atgriezt ne tikai aktīvā sabiedriskajā dzīvē, bet primāri darba tirgū, kas veicina personas ekonomisko patstāvību. Minēto līdzekļu ietvaros ik gadu plānots nodrošināt sociālās rehabilitācijas pakalpojumus 855 cilvēkiem ar funkcionāliem traucējumiem, kuri sociālās rehabilitācijas pakalpojumu pieprasījuši pirmreizēji, 114 cilvēkiem ar funkcionāliem traucējumiem, kuri tos pieprasījuši atkārtoti, un 171 politiski represētām personām un Černobiļas atomelektrostacijas avārijas seku likvidēšanas dalībniekiem un cietušajām personām;</w:t>
            </w:r>
          </w:p>
          <w:p w14:paraId="3810976C" w14:textId="77777777" w:rsidR="007746AE" w:rsidRPr="00EA6D80" w:rsidRDefault="007746A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 xml:space="preserve">2) 2016.gadā piešķirts papildu finansējums 1,6 milj. </w:t>
            </w:r>
            <w:r w:rsidRPr="00E014E0">
              <w:rPr>
                <w:i/>
                <w:color w:val="auto"/>
                <w:sz w:val="22"/>
                <w:szCs w:val="22"/>
              </w:rPr>
              <w:t>euro</w:t>
            </w:r>
            <w:r w:rsidRPr="00EA6D80">
              <w:rPr>
                <w:color w:val="auto"/>
                <w:sz w:val="22"/>
                <w:szCs w:val="22"/>
              </w:rPr>
              <w:t xml:space="preserve"> apmērā tehnisko palīglīdzekļu klāsta pilnveidošanai un modernizēšanai atbilstoši personu ar funkcionāliem traucējumiem (t.sk. redzes vai dzirdes traucējumiem vai anatomiskiem defektiem) vajadzībām, tādējādi veicinot mērķa grupas neatkarību un pilnvērtīgu iekļaušanos sabiedrībā;</w:t>
            </w:r>
          </w:p>
          <w:p w14:paraId="6F8DE7BE" w14:textId="0DE16EAC" w:rsidR="007746AE" w:rsidRPr="00EA6D80" w:rsidRDefault="007746AE" w:rsidP="005B225A">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EA6D80">
              <w:rPr>
                <w:color w:val="auto"/>
                <w:sz w:val="22"/>
                <w:szCs w:val="22"/>
              </w:rPr>
              <w:t>3) Apstiprināts normatīvais regulējums par ESF līdzfinansēta pasākuma nelabvēlīgākā situācijā esošu bezdarbnieku iekļaušanu darba tirgū īstenošanu (</w:t>
            </w:r>
            <w:r w:rsidR="0048007F" w:rsidRPr="00EA6D80">
              <w:rPr>
                <w:color w:val="auto"/>
                <w:sz w:val="22"/>
                <w:szCs w:val="22"/>
              </w:rPr>
              <w:t>MK</w:t>
            </w:r>
            <w:r w:rsidRPr="00EA6D80">
              <w:rPr>
                <w:color w:val="auto"/>
                <w:sz w:val="22"/>
                <w:szCs w:val="22"/>
              </w:rPr>
              <w:t xml:space="preserve"> 2015.gada 11.augusta noteikumi nr.467 Darbības programmas "Izaugsme un nodarbinātība" 9.1.1. </w:t>
            </w:r>
            <w:r w:rsidR="00616050">
              <w:rPr>
                <w:color w:val="auto"/>
                <w:sz w:val="22"/>
                <w:szCs w:val="22"/>
              </w:rPr>
              <w:t xml:space="preserve"> SAM</w:t>
            </w:r>
            <w:r w:rsidRPr="00EA6D80">
              <w:rPr>
                <w:color w:val="auto"/>
                <w:sz w:val="22"/>
                <w:szCs w:val="22"/>
              </w:rPr>
              <w:t xml:space="preserve"> "Palielināt nelabvēlīgākā situācijā esošu bezdarbnieku iekļaušanos darba tirgū" 9.1.1.3. pasākuma "Atbalsts sociālajai uzņēmējdarbībai" īstenošanas noteikumi”), kas paredz noteikt un pārbaudīt optimālus risinājumus sociālo uzņēmumu izveidei un attīstībai, tai skaitā darba integrācijas sociālo uzņēmumu atbalstam, lai palielinātu nodarbinātības iespējas nelabvēlīgākā situācijā esošiem bezdarbniekiem, personām ar invaliditāti un personām ar garīga rakstura traucējumiem. Pasākuma ietvaros plānotais kopējais attiecināmais finansējums ir 19 920 206 </w:t>
            </w:r>
            <w:r w:rsidRPr="00616050">
              <w:rPr>
                <w:i/>
                <w:color w:val="auto"/>
                <w:sz w:val="22"/>
                <w:szCs w:val="22"/>
              </w:rPr>
              <w:t>euro</w:t>
            </w:r>
            <w:r w:rsidRPr="00EA6D80">
              <w:rPr>
                <w:color w:val="auto"/>
                <w:sz w:val="22"/>
                <w:szCs w:val="22"/>
              </w:rPr>
              <w:t xml:space="preserve">, tai skaitā </w:t>
            </w:r>
            <w:r w:rsidR="00FC7FA7" w:rsidRPr="00EA6D80">
              <w:rPr>
                <w:color w:val="auto"/>
                <w:sz w:val="22"/>
                <w:szCs w:val="22"/>
              </w:rPr>
              <w:t>ESF</w:t>
            </w:r>
            <w:r w:rsidRPr="00EA6D80">
              <w:rPr>
                <w:color w:val="auto"/>
                <w:sz w:val="22"/>
                <w:szCs w:val="22"/>
              </w:rPr>
              <w:t xml:space="preserve"> finansējums – 16 932 175 </w:t>
            </w:r>
            <w:r w:rsidRPr="00616050">
              <w:rPr>
                <w:i/>
                <w:color w:val="auto"/>
                <w:sz w:val="22"/>
                <w:szCs w:val="22"/>
              </w:rPr>
              <w:t>euro</w:t>
            </w:r>
            <w:r w:rsidRPr="00EA6D80">
              <w:rPr>
                <w:color w:val="auto"/>
                <w:sz w:val="22"/>
                <w:szCs w:val="22"/>
              </w:rPr>
              <w:t> un valsts budžeta finansējums – 2 988 031 </w:t>
            </w:r>
            <w:r w:rsidRPr="00616050">
              <w:rPr>
                <w:i/>
                <w:color w:val="auto"/>
                <w:sz w:val="22"/>
                <w:szCs w:val="22"/>
              </w:rPr>
              <w:t>euro</w:t>
            </w:r>
            <w:r w:rsidRPr="00EA6D80">
              <w:rPr>
                <w:color w:val="auto"/>
                <w:sz w:val="22"/>
                <w:szCs w:val="22"/>
              </w:rPr>
              <w:t>;</w:t>
            </w:r>
          </w:p>
          <w:p w14:paraId="3B2BE7FD" w14:textId="68CC7D73" w:rsidR="00611CBF" w:rsidRPr="00EA6D80" w:rsidRDefault="007746AE" w:rsidP="00616050">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EA6D80">
              <w:rPr>
                <w:rFonts w:eastAsia="Calibri"/>
                <w:color w:val="auto"/>
                <w:sz w:val="22"/>
                <w:szCs w:val="22"/>
              </w:rPr>
              <w:t xml:space="preserve">4) </w:t>
            </w:r>
            <w:r w:rsidRPr="00EA6D80">
              <w:rPr>
                <w:color w:val="auto"/>
                <w:sz w:val="22"/>
                <w:szCs w:val="22"/>
              </w:rPr>
              <w:t>Apstiprināts</w:t>
            </w:r>
            <w:r w:rsidRPr="00EA6D80">
              <w:rPr>
                <w:rFonts w:eastAsia="Calibri"/>
                <w:color w:val="auto"/>
                <w:sz w:val="22"/>
                <w:szCs w:val="22"/>
              </w:rPr>
              <w:t xml:space="preserve"> normatīvais regulējums ESF līdzfinansēta pasākuma īstenošanai </w:t>
            </w:r>
            <w:hyperlink r:id="rId54" w:history="1">
              <w:r w:rsidRPr="00EA6D80">
                <w:rPr>
                  <w:rFonts w:eastAsia="Calibri"/>
                  <w:color w:val="auto"/>
                  <w:sz w:val="22"/>
                  <w:szCs w:val="22"/>
                </w:rPr>
                <w:t>diskriminācijas riskiem pakļauto cilvēku iekļaušanai sabiedrībā un darba tirgū</w:t>
              </w:r>
            </w:hyperlink>
            <w:r w:rsidRPr="00EA6D80">
              <w:rPr>
                <w:rFonts w:eastAsia="Calibri"/>
                <w:color w:val="auto"/>
                <w:sz w:val="22"/>
                <w:szCs w:val="22"/>
              </w:rPr>
              <w:t xml:space="preserve"> (</w:t>
            </w:r>
            <w:r w:rsidR="0048007F" w:rsidRPr="00EA6D80">
              <w:rPr>
                <w:rFonts w:eastAsia="Calibri"/>
                <w:color w:val="auto"/>
                <w:sz w:val="22"/>
                <w:szCs w:val="22"/>
              </w:rPr>
              <w:t>MK</w:t>
            </w:r>
            <w:r w:rsidR="00616050">
              <w:rPr>
                <w:rFonts w:eastAsia="Calibri"/>
                <w:color w:val="auto"/>
                <w:sz w:val="22"/>
                <w:szCs w:val="22"/>
              </w:rPr>
              <w:t xml:space="preserve"> 2015.gada 30.jūnija noteikumi N</w:t>
            </w:r>
            <w:r w:rsidRPr="00EA6D80">
              <w:rPr>
                <w:rFonts w:eastAsia="Calibri"/>
                <w:color w:val="auto"/>
                <w:sz w:val="22"/>
                <w:szCs w:val="22"/>
              </w:rPr>
              <w:t>r.352 Darbības programmas „Izaugsme un nodarbinātība" 9.1.4.</w:t>
            </w:r>
            <w:r w:rsidR="00616050">
              <w:rPr>
                <w:rFonts w:eastAsia="Calibri"/>
                <w:color w:val="auto"/>
                <w:sz w:val="22"/>
                <w:szCs w:val="22"/>
              </w:rPr>
              <w:t xml:space="preserve"> SAM</w:t>
            </w:r>
            <w:r w:rsidRPr="00EA6D80">
              <w:rPr>
                <w:rFonts w:eastAsia="Calibri"/>
                <w:color w:val="auto"/>
                <w:sz w:val="22"/>
                <w:szCs w:val="22"/>
              </w:rPr>
              <w:t xml:space="preserve"> „Palielināt diskriminācijas riskiem pakļauto iedzīvotāju integrāciju sabiedrībā un darba tirgū" pasākuma "Profesionālā rehabilitācija" īstenošana), laika periodā no  2015.gada 4.ceturkšņa līdz 2019.gadam īstenojot atbalsta pasākumus profesionālās rehabilitācijas jomā cilvēkiem ar smagu invaliditāti (I un II invaliditātes grupa) un cilvēkiem ar garīga rakstura traucējumiem. Kopējais finansējums ir 1,25 milj. </w:t>
            </w:r>
            <w:r w:rsidR="007D2E71">
              <w:rPr>
                <w:rFonts w:eastAsia="Calibri"/>
                <w:i/>
                <w:color w:val="auto"/>
                <w:sz w:val="22"/>
                <w:szCs w:val="22"/>
              </w:rPr>
              <w:t>euro</w:t>
            </w:r>
            <w:r w:rsidRPr="00EA6D80">
              <w:rPr>
                <w:rFonts w:eastAsia="Calibri"/>
                <w:color w:val="auto"/>
                <w:sz w:val="22"/>
                <w:szCs w:val="22"/>
              </w:rPr>
              <w:t xml:space="preserve">, tai skaitā ESF finansējums - 1,06 milj. </w:t>
            </w:r>
            <w:r w:rsidR="007D2E71">
              <w:rPr>
                <w:rFonts w:eastAsia="Calibri"/>
                <w:i/>
                <w:color w:val="auto"/>
                <w:sz w:val="22"/>
                <w:szCs w:val="22"/>
              </w:rPr>
              <w:t>euro</w:t>
            </w:r>
            <w:r w:rsidRPr="00EA6D80">
              <w:rPr>
                <w:rFonts w:eastAsia="Calibri"/>
                <w:color w:val="auto"/>
                <w:sz w:val="22"/>
                <w:szCs w:val="22"/>
              </w:rPr>
              <w:t xml:space="preserve"> un valsts budžeta finansējums - 187 tūkst. </w:t>
            </w:r>
            <w:r w:rsidR="007D2E71">
              <w:rPr>
                <w:rFonts w:eastAsia="Calibri"/>
                <w:i/>
                <w:color w:val="auto"/>
                <w:sz w:val="22"/>
                <w:szCs w:val="22"/>
              </w:rPr>
              <w:t>euro</w:t>
            </w:r>
            <w:r w:rsidRPr="00EA6D80">
              <w:rPr>
                <w:rFonts w:eastAsia="Calibri"/>
                <w:color w:val="auto"/>
                <w:sz w:val="22"/>
                <w:szCs w:val="22"/>
              </w:rPr>
              <w:t>.</w:t>
            </w:r>
          </w:p>
        </w:tc>
      </w:tr>
    </w:tbl>
    <w:p w14:paraId="3F13DBF7" w14:textId="77777777" w:rsidR="001F5AEA" w:rsidRPr="0001052E" w:rsidRDefault="001F5AEA" w:rsidP="0001052E">
      <w:pPr>
        <w:pStyle w:val="otrais"/>
        <w:spacing w:before="0" w:after="0"/>
        <w:rPr>
          <w:b w:val="0"/>
          <w:sz w:val="24"/>
        </w:rPr>
      </w:pPr>
    </w:p>
    <w:p w14:paraId="77EA58DC" w14:textId="77777777" w:rsidR="00D251AD" w:rsidRPr="004E4E5F" w:rsidRDefault="00D251AD" w:rsidP="004E4E5F">
      <w:pPr>
        <w:spacing w:after="0"/>
        <w:ind w:firstLine="0"/>
        <w:jc w:val="left"/>
        <w:sectPr w:rsidR="00D251AD" w:rsidRPr="004E4E5F" w:rsidSect="00BA3AA7">
          <w:pgSz w:w="16838" w:h="11906" w:orient="landscape"/>
          <w:pgMar w:top="1701" w:right="1418" w:bottom="1134" w:left="709" w:header="1077" w:footer="624" w:gutter="0"/>
          <w:cols w:space="708"/>
          <w:docGrid w:linePitch="360"/>
        </w:sectPr>
      </w:pPr>
    </w:p>
    <w:p w14:paraId="14E651E2" w14:textId="77777777" w:rsidR="00AA199F" w:rsidRDefault="00AA199F" w:rsidP="00C26D86">
      <w:pPr>
        <w:pStyle w:val="NoSpacing"/>
        <w:spacing w:line="276" w:lineRule="auto"/>
        <w:ind w:firstLine="720"/>
        <w:rPr>
          <w:rFonts w:eastAsia="Calibri"/>
          <w:szCs w:val="24"/>
        </w:rPr>
      </w:pPr>
    </w:p>
    <w:p w14:paraId="002EFDC2" w14:textId="04F111B3" w:rsidR="00E839CD" w:rsidRPr="00C26D86" w:rsidRDefault="00E839CD" w:rsidP="00C26D86">
      <w:pPr>
        <w:pStyle w:val="NoSpacing"/>
        <w:spacing w:line="276" w:lineRule="auto"/>
        <w:ind w:firstLine="720"/>
        <w:rPr>
          <w:rFonts w:eastAsia="Calibri"/>
          <w:szCs w:val="24"/>
        </w:rPr>
      </w:pPr>
      <w:r w:rsidRPr="00C26D86">
        <w:rPr>
          <w:rFonts w:eastAsia="Calibri"/>
          <w:szCs w:val="24"/>
        </w:rPr>
        <w:t>2015.gadā vispārējās valdības budžeta deficīts tiek prognozēts 1,4% no IKP, kas</w:t>
      </w:r>
      <w:r w:rsidR="00931F59">
        <w:rPr>
          <w:rFonts w:eastAsia="Calibri"/>
          <w:szCs w:val="24"/>
        </w:rPr>
        <w:t xml:space="preserve"> principā ir tajā pašā līmenī</w:t>
      </w:r>
      <w:r w:rsidRPr="00C26D86">
        <w:rPr>
          <w:rFonts w:eastAsia="Calibri"/>
          <w:szCs w:val="24"/>
        </w:rPr>
        <w:t xml:space="preserve">, salīdzinot ar Stabilitātes programmas sagatavošanas laikā, t.i., šā gada pavasarī prognozēto deficīta līmeni. </w:t>
      </w:r>
    </w:p>
    <w:p w14:paraId="6BA224DF" w14:textId="2525B217" w:rsidR="00FF2D8F" w:rsidRPr="00C247E0" w:rsidRDefault="00FF2D8F" w:rsidP="00A12AEB">
      <w:pPr>
        <w:pStyle w:val="NoSpacing"/>
        <w:spacing w:line="276" w:lineRule="auto"/>
        <w:ind w:firstLine="720"/>
        <w:rPr>
          <w:rFonts w:eastAsia="Calibri"/>
          <w:szCs w:val="24"/>
        </w:rPr>
      </w:pPr>
      <w:r w:rsidRPr="00C247E0">
        <w:rPr>
          <w:rFonts w:eastAsia="Calibri"/>
          <w:szCs w:val="24"/>
        </w:rPr>
        <w:t xml:space="preserve">Savukārt </w:t>
      </w:r>
      <w:r w:rsidR="00E839CD" w:rsidRPr="00C247E0">
        <w:rPr>
          <w:rFonts w:eastAsia="Calibri"/>
          <w:szCs w:val="24"/>
        </w:rPr>
        <w:t>2016.gadā vispārējās valdības budžeta deficīts</w:t>
      </w:r>
      <w:r w:rsidR="00C247E0" w:rsidRPr="00C247E0">
        <w:rPr>
          <w:rFonts w:eastAsia="Calibri"/>
          <w:szCs w:val="24"/>
        </w:rPr>
        <w:t xml:space="preserve"> pie </w:t>
      </w:r>
      <w:r w:rsidR="00C247E0" w:rsidRPr="007369A9">
        <w:rPr>
          <w:rFonts w:eastAsia="Calibri"/>
          <w:szCs w:val="24"/>
        </w:rPr>
        <w:t xml:space="preserve">nemainīgas </w:t>
      </w:r>
      <w:r w:rsidR="00A2303C" w:rsidRPr="007369A9">
        <w:rPr>
          <w:rFonts w:eastAsia="Calibri"/>
          <w:szCs w:val="24"/>
        </w:rPr>
        <w:t xml:space="preserve">politikas </w:t>
      </w:r>
      <w:r w:rsidR="00C247E0" w:rsidRPr="007369A9">
        <w:rPr>
          <w:rFonts w:eastAsia="Calibri"/>
          <w:szCs w:val="24"/>
        </w:rPr>
        <w:t>tiek prognozēts 1,3% no IKP, kas ir par 0,3% zemāks salīdzinot ar Stabilitātes programmu</w:t>
      </w:r>
      <w:r w:rsidR="00C247E0">
        <w:rPr>
          <w:rFonts w:eastAsia="Calibri"/>
          <w:szCs w:val="24"/>
        </w:rPr>
        <w:t>.</w:t>
      </w:r>
      <w:r w:rsidR="00100E93">
        <w:rPr>
          <w:rFonts w:eastAsia="Calibri"/>
          <w:szCs w:val="24"/>
        </w:rPr>
        <w:t xml:space="preserve"> </w:t>
      </w:r>
      <w:r w:rsidR="00100E93" w:rsidRPr="00100E93">
        <w:rPr>
          <w:rFonts w:eastAsia="Calibri"/>
          <w:szCs w:val="24"/>
        </w:rPr>
        <w:t>Izmaiņas galvenokārt noteica lielāki nekā iepriekš prognozēts nodokļu ieņēmumi</w:t>
      </w:r>
      <w:r w:rsidR="00100E93">
        <w:rPr>
          <w:rFonts w:eastAsia="Calibri"/>
          <w:szCs w:val="24"/>
        </w:rPr>
        <w:t xml:space="preserve">, </w:t>
      </w:r>
      <w:r w:rsidR="00100E93" w:rsidRPr="00100E93">
        <w:rPr>
          <w:rFonts w:eastAsia="Calibri"/>
          <w:szCs w:val="24"/>
        </w:rPr>
        <w:t>precizēts bāzes izdevumu apmērs valsts budžetā, aktualizētas prognozes saistībā ar ES fondu projektu īstenošanu, aktualizēti izdevumi pašvaldību budžetos, ņemot vērā jaunākus izpildes datus</w:t>
      </w:r>
      <w:r w:rsidR="0079736C">
        <w:rPr>
          <w:rFonts w:eastAsia="Calibri"/>
          <w:szCs w:val="24"/>
        </w:rPr>
        <w:t>. Nemainīgas politikas scenārijā</w:t>
      </w:r>
      <w:r w:rsidR="00100E93" w:rsidRPr="00100E93">
        <w:rPr>
          <w:rFonts w:eastAsia="Calibri"/>
          <w:szCs w:val="24"/>
        </w:rPr>
        <w:t xml:space="preserve"> arī nav iekļauti papildus izdevumi aizsardzībai, lai nodrošinātu straujāku</w:t>
      </w:r>
      <w:r w:rsidR="00931F59">
        <w:rPr>
          <w:rFonts w:eastAsia="Calibri"/>
          <w:szCs w:val="24"/>
        </w:rPr>
        <w:t xml:space="preserve"> aizsardzības nozares izdevumu</w:t>
      </w:r>
      <w:r w:rsidR="00100E93" w:rsidRPr="00100E93">
        <w:rPr>
          <w:rFonts w:eastAsia="Calibri"/>
          <w:szCs w:val="24"/>
        </w:rPr>
        <w:t xml:space="preserve"> pieaugumu līdz 2% no IKP 2018.g.</w:t>
      </w:r>
    </w:p>
    <w:p w14:paraId="46BC2D59" w14:textId="2F40C3EB" w:rsidR="00FF2D8F" w:rsidRDefault="00FF2D8F" w:rsidP="00F149CD">
      <w:pPr>
        <w:pStyle w:val="NoSpacing"/>
        <w:spacing w:line="276" w:lineRule="auto"/>
        <w:ind w:firstLine="720"/>
        <w:rPr>
          <w:color w:val="000000" w:themeColor="text1"/>
          <w:szCs w:val="24"/>
        </w:rPr>
      </w:pPr>
      <w:r>
        <w:rPr>
          <w:color w:val="000000" w:themeColor="text1"/>
          <w:szCs w:val="24"/>
        </w:rPr>
        <w:t>Ņemot vērā 2016.gada valsts budžet</w:t>
      </w:r>
      <w:r w:rsidR="000851D6">
        <w:rPr>
          <w:color w:val="000000" w:themeColor="text1"/>
          <w:szCs w:val="24"/>
        </w:rPr>
        <w:t>a izstrādē</w:t>
      </w:r>
      <w:r>
        <w:rPr>
          <w:color w:val="000000" w:themeColor="text1"/>
          <w:szCs w:val="24"/>
        </w:rPr>
        <w:t xml:space="preserve"> valdības atbalstītos lēmumus attiecībā uz ieņēmumus palielinošajiem un izdevumus samazinošajiem diskrecionārajiem pasākumiem,</w:t>
      </w:r>
      <w:r w:rsidR="00100E93">
        <w:rPr>
          <w:color w:val="000000" w:themeColor="text1"/>
          <w:szCs w:val="24"/>
        </w:rPr>
        <w:t xml:space="preserve"> kā arī vald</w:t>
      </w:r>
      <w:r w:rsidR="00F149CD">
        <w:rPr>
          <w:color w:val="000000" w:themeColor="text1"/>
          <w:szCs w:val="24"/>
        </w:rPr>
        <w:t xml:space="preserve">ības lēmumus par papildus finansējuma piešķiršanu </w:t>
      </w:r>
      <w:r w:rsidR="00F149CD" w:rsidRPr="00F149CD">
        <w:rPr>
          <w:color w:val="000000" w:themeColor="text1"/>
          <w:szCs w:val="24"/>
        </w:rPr>
        <w:t>aizsardzībai, iekšlietu s</w:t>
      </w:r>
      <w:r w:rsidR="00F149CD">
        <w:rPr>
          <w:color w:val="000000" w:themeColor="text1"/>
          <w:szCs w:val="24"/>
        </w:rPr>
        <w:t>truktūrām</w:t>
      </w:r>
      <w:r w:rsidR="00784598">
        <w:rPr>
          <w:color w:val="000000" w:themeColor="text1"/>
          <w:szCs w:val="24"/>
        </w:rPr>
        <w:t>, izglītībai</w:t>
      </w:r>
      <w:r w:rsidR="00F149CD">
        <w:rPr>
          <w:color w:val="000000" w:themeColor="text1"/>
          <w:szCs w:val="24"/>
        </w:rPr>
        <w:t xml:space="preserve"> un veselības nozarei</w:t>
      </w:r>
      <w:r w:rsidR="00784598">
        <w:rPr>
          <w:color w:val="000000" w:themeColor="text1"/>
          <w:szCs w:val="24"/>
        </w:rPr>
        <w:t>,</w:t>
      </w:r>
      <w:r w:rsidR="00F149CD">
        <w:rPr>
          <w:color w:val="000000" w:themeColor="text1"/>
          <w:szCs w:val="24"/>
        </w:rPr>
        <w:t xml:space="preserve"> </w:t>
      </w:r>
      <w:r>
        <w:rPr>
          <w:color w:val="000000" w:themeColor="text1"/>
          <w:szCs w:val="24"/>
        </w:rPr>
        <w:t>vispārējās valdības</w:t>
      </w:r>
      <w:r w:rsidR="00EE39FA">
        <w:rPr>
          <w:color w:val="000000" w:themeColor="text1"/>
          <w:szCs w:val="24"/>
        </w:rPr>
        <w:t xml:space="preserve"> budžeta</w:t>
      </w:r>
      <w:r>
        <w:rPr>
          <w:color w:val="000000" w:themeColor="text1"/>
          <w:szCs w:val="24"/>
        </w:rPr>
        <w:t xml:space="preserve"> deficīts tiek prognozēts 1,0% no IKP.</w:t>
      </w:r>
      <w:r w:rsidR="00EE39FA">
        <w:rPr>
          <w:color w:val="000000" w:themeColor="text1"/>
          <w:szCs w:val="24"/>
        </w:rPr>
        <w:t xml:space="preserve"> Ņemot vērā to, ka bilances cikliskā komponente 2016.gadā tiek prognozēta -0,1% no IKP, vispārējās valdības budžeta strukturālais deficīts tiek prognozēts 0,9% no IKP, kas atbilst strukturālās bilances mērķim.</w:t>
      </w:r>
      <w:r>
        <w:rPr>
          <w:color w:val="000000" w:themeColor="text1"/>
          <w:szCs w:val="24"/>
        </w:rPr>
        <w:t xml:space="preserve"> </w:t>
      </w:r>
    </w:p>
    <w:p w14:paraId="3EB718F2" w14:textId="77777777" w:rsidR="00C44962" w:rsidRPr="00C44962" w:rsidRDefault="00C44962" w:rsidP="00C44962">
      <w:pPr>
        <w:rPr>
          <w:highlight w:val="yellow"/>
          <w:lang w:val="x-none" w:eastAsia="x-none"/>
        </w:rPr>
      </w:pPr>
    </w:p>
    <w:p w14:paraId="76DDADDD" w14:textId="1F418E81" w:rsidR="00237652" w:rsidRPr="000D29EE" w:rsidRDefault="00237652" w:rsidP="00237652">
      <w:pPr>
        <w:pStyle w:val="Heading1"/>
        <w:tabs>
          <w:tab w:val="left" w:pos="1276"/>
        </w:tabs>
        <w:spacing w:before="0" w:after="240"/>
        <w:ind w:left="1276" w:hanging="1276"/>
        <w:jc w:val="left"/>
        <w:rPr>
          <w:rFonts w:ascii="Times New Roman" w:hAnsi="Times New Roman"/>
        </w:rPr>
      </w:pPr>
      <w:bookmarkStart w:id="30" w:name="_Toc431197102"/>
      <w:r w:rsidRPr="00323B3B">
        <w:rPr>
          <w:rFonts w:ascii="Times New Roman" w:hAnsi="Times New Roman"/>
          <w:color w:val="18185F"/>
          <w:sz w:val="24"/>
        </w:rPr>
        <w:t>Tabula 7: Salīdzinājums ar Stabilitātes programmu 201</w:t>
      </w:r>
      <w:r w:rsidR="004742C0" w:rsidRPr="00323B3B">
        <w:rPr>
          <w:rFonts w:ascii="Times New Roman" w:hAnsi="Times New Roman"/>
          <w:color w:val="18185F"/>
          <w:sz w:val="24"/>
          <w:lang w:val="lv-LV"/>
        </w:rPr>
        <w:t>5</w:t>
      </w:r>
      <w:r w:rsidR="000D29EE" w:rsidRPr="00323B3B">
        <w:rPr>
          <w:rFonts w:ascii="Times New Roman" w:hAnsi="Times New Roman"/>
          <w:color w:val="18185F"/>
          <w:sz w:val="24"/>
          <w:lang w:val="lv-LV"/>
        </w:rPr>
        <w:t>.</w:t>
      </w:r>
      <w:r w:rsidR="004742C0" w:rsidRPr="00323B3B">
        <w:rPr>
          <w:rFonts w:ascii="Times New Roman" w:hAnsi="Times New Roman"/>
          <w:color w:val="18185F"/>
          <w:sz w:val="24"/>
        </w:rPr>
        <w:t>-2018</w:t>
      </w:r>
      <w:r w:rsidR="000D29EE" w:rsidRPr="00323B3B">
        <w:rPr>
          <w:rFonts w:ascii="Times New Roman" w:hAnsi="Times New Roman"/>
          <w:color w:val="18185F"/>
          <w:sz w:val="24"/>
          <w:lang w:val="lv-LV"/>
        </w:rPr>
        <w:t>.gadam</w:t>
      </w:r>
      <w:bookmarkEnd w:id="30"/>
    </w:p>
    <w:tbl>
      <w:tblPr>
        <w:tblStyle w:val="GridTable6Colorful-Accent11"/>
        <w:tblW w:w="9383" w:type="dxa"/>
        <w:jc w:val="center"/>
        <w:tblLook w:val="04A0" w:firstRow="1" w:lastRow="0" w:firstColumn="1" w:lastColumn="0" w:noHBand="0" w:noVBand="1"/>
      </w:tblPr>
      <w:tblGrid>
        <w:gridCol w:w="5548"/>
        <w:gridCol w:w="960"/>
        <w:gridCol w:w="980"/>
        <w:gridCol w:w="960"/>
        <w:gridCol w:w="935"/>
      </w:tblGrid>
      <w:tr w:rsidR="00237652" w:rsidRPr="00976103" w14:paraId="0B41BFF0" w14:textId="77777777" w:rsidTr="00287764">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31640175" w14:textId="77777777" w:rsidR="00237652" w:rsidRPr="00976103" w:rsidRDefault="00237652" w:rsidP="002E4551">
            <w:pPr>
              <w:spacing w:after="0"/>
              <w:ind w:firstLine="0"/>
              <w:jc w:val="left"/>
              <w:rPr>
                <w:color w:val="000000"/>
                <w:szCs w:val="24"/>
                <w:lang w:eastAsia="lv-LV"/>
              </w:rPr>
            </w:pPr>
            <w:r w:rsidRPr="00976103">
              <w:rPr>
                <w:color w:val="000000"/>
                <w:szCs w:val="24"/>
                <w:lang w:eastAsia="lv-LV"/>
              </w:rPr>
              <w:t> </w:t>
            </w:r>
          </w:p>
        </w:tc>
        <w:tc>
          <w:tcPr>
            <w:tcW w:w="960" w:type="dxa"/>
            <w:vAlign w:val="center"/>
            <w:hideMark/>
          </w:tcPr>
          <w:p w14:paraId="6498ADF5" w14:textId="4A8811FA" w:rsidR="00237652" w:rsidRPr="00AA5420" w:rsidRDefault="0023765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w:t>
            </w:r>
            <w:r w:rsidRPr="00AA5420">
              <w:rPr>
                <w:color w:val="000000"/>
                <w:szCs w:val="24"/>
                <w:lang w:eastAsia="lv-LV"/>
              </w:rPr>
              <w:t xml:space="preserve"> </w:t>
            </w:r>
            <w:r w:rsidR="00E839CD">
              <w:rPr>
                <w:color w:val="000000"/>
                <w:szCs w:val="24"/>
                <w:lang w:eastAsia="lv-LV"/>
              </w:rPr>
              <w:t>k</w:t>
            </w:r>
            <w:r>
              <w:rPr>
                <w:color w:val="000000"/>
                <w:szCs w:val="24"/>
                <w:lang w:eastAsia="lv-LV"/>
              </w:rPr>
              <w:t>ods</w:t>
            </w:r>
          </w:p>
        </w:tc>
        <w:tc>
          <w:tcPr>
            <w:tcW w:w="980" w:type="dxa"/>
            <w:vAlign w:val="center"/>
            <w:hideMark/>
          </w:tcPr>
          <w:p w14:paraId="505682A5" w14:textId="7AA93A9F" w:rsidR="00237652" w:rsidRPr="00AA5420" w:rsidRDefault="00323B3B"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2014</w:t>
            </w:r>
          </w:p>
        </w:tc>
        <w:tc>
          <w:tcPr>
            <w:tcW w:w="960" w:type="dxa"/>
            <w:vAlign w:val="center"/>
            <w:hideMark/>
          </w:tcPr>
          <w:p w14:paraId="21DECA56" w14:textId="7019EE91" w:rsidR="00237652" w:rsidRPr="00AA5420" w:rsidRDefault="00323B3B"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2015</w:t>
            </w:r>
          </w:p>
        </w:tc>
        <w:tc>
          <w:tcPr>
            <w:tcW w:w="935" w:type="dxa"/>
            <w:vAlign w:val="center"/>
            <w:hideMark/>
          </w:tcPr>
          <w:p w14:paraId="7B050946" w14:textId="566EFC75" w:rsidR="00237652" w:rsidRPr="00AA5420" w:rsidRDefault="00323B3B"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r>
      <w:tr w:rsidR="00237652" w:rsidRPr="00976103" w14:paraId="3047299E" w14:textId="77777777" w:rsidTr="002E4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746D1740" w14:textId="77777777" w:rsidR="00237652" w:rsidRPr="00976103" w:rsidRDefault="00237652" w:rsidP="002E4551">
            <w:pPr>
              <w:spacing w:after="0"/>
              <w:ind w:firstLine="0"/>
              <w:jc w:val="center"/>
              <w:rPr>
                <w:color w:val="000000"/>
                <w:szCs w:val="24"/>
                <w:lang w:eastAsia="lv-LV"/>
              </w:rPr>
            </w:pPr>
          </w:p>
        </w:tc>
        <w:tc>
          <w:tcPr>
            <w:tcW w:w="960" w:type="dxa"/>
            <w:hideMark/>
          </w:tcPr>
          <w:p w14:paraId="1821F3E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875" w:type="dxa"/>
            <w:gridSpan w:val="3"/>
            <w:hideMark/>
          </w:tcPr>
          <w:p w14:paraId="6995BB8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w:t>
            </w:r>
            <w:r>
              <w:rPr>
                <w:color w:val="000000"/>
                <w:szCs w:val="24"/>
                <w:lang w:eastAsia="lv-LV"/>
              </w:rPr>
              <w:t xml:space="preserve"> no IKP</w:t>
            </w:r>
            <w:r w:rsidRPr="00976103">
              <w:rPr>
                <w:color w:val="000000"/>
                <w:szCs w:val="24"/>
                <w:lang w:eastAsia="lv-LV"/>
              </w:rPr>
              <w:t xml:space="preserve"> </w:t>
            </w:r>
            <w:r w:rsidRPr="00351A0C">
              <w:rPr>
                <w:color w:val="000000"/>
                <w:szCs w:val="24"/>
                <w:lang w:eastAsia="lv-LV"/>
              </w:rPr>
              <w:t xml:space="preserve"> </w:t>
            </w:r>
          </w:p>
        </w:tc>
      </w:tr>
      <w:tr w:rsidR="00237652" w:rsidRPr="00976103" w14:paraId="35BCBE52" w14:textId="77777777" w:rsidTr="00323B3B">
        <w:trPr>
          <w:trHeight w:val="36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5145F80"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w:t>
            </w:r>
          </w:p>
        </w:tc>
        <w:tc>
          <w:tcPr>
            <w:tcW w:w="960" w:type="dxa"/>
            <w:vAlign w:val="center"/>
            <w:hideMark/>
          </w:tcPr>
          <w:p w14:paraId="69A087D1"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875" w:type="dxa"/>
            <w:gridSpan w:val="3"/>
            <w:hideMark/>
          </w:tcPr>
          <w:p w14:paraId="4E87405B" w14:textId="77777777" w:rsidR="00237652" w:rsidRPr="00976103"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 </w:t>
            </w:r>
          </w:p>
        </w:tc>
      </w:tr>
      <w:tr w:rsidR="00237652" w:rsidRPr="00976103" w14:paraId="410B0788" w14:textId="77777777" w:rsidTr="00323B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4DE32C5"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7B4E8761" w14:textId="77777777" w:rsidR="00237652" w:rsidRPr="00976103" w:rsidRDefault="00237652" w:rsidP="002E4551">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980" w:type="dxa"/>
            <w:vAlign w:val="center"/>
          </w:tcPr>
          <w:p w14:paraId="0EAC8FF3" w14:textId="7AD7F229" w:rsidR="00237652" w:rsidRPr="00976103" w:rsidRDefault="00323B3B"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-1,4</w:t>
            </w:r>
          </w:p>
        </w:tc>
        <w:tc>
          <w:tcPr>
            <w:tcW w:w="960" w:type="dxa"/>
            <w:vAlign w:val="center"/>
          </w:tcPr>
          <w:p w14:paraId="0D1B0C8F" w14:textId="4972110B" w:rsidR="00237652" w:rsidRPr="00976103" w:rsidRDefault="00323B3B"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-1,5</w:t>
            </w:r>
          </w:p>
        </w:tc>
        <w:tc>
          <w:tcPr>
            <w:tcW w:w="935" w:type="dxa"/>
            <w:vAlign w:val="center"/>
          </w:tcPr>
          <w:p w14:paraId="61BD9507" w14:textId="3804C078" w:rsidR="00237652" w:rsidRPr="00976103" w:rsidRDefault="00323B3B"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-1,6</w:t>
            </w:r>
          </w:p>
        </w:tc>
      </w:tr>
      <w:tr w:rsidR="00237652" w:rsidRPr="00976103" w14:paraId="5FFCC0FE" w14:textId="77777777" w:rsidTr="00323B3B">
        <w:trPr>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F2CCC03"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549B8699" w14:textId="77777777" w:rsidR="00237652" w:rsidRPr="00976103" w:rsidRDefault="00237652" w:rsidP="002E4551">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980" w:type="dxa"/>
            <w:vAlign w:val="center"/>
          </w:tcPr>
          <w:p w14:paraId="6D8790EB" w14:textId="29587D88" w:rsidR="00237652" w:rsidRPr="00976103" w:rsidRDefault="00323B3B"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-1,4</w:t>
            </w:r>
          </w:p>
        </w:tc>
        <w:tc>
          <w:tcPr>
            <w:tcW w:w="960" w:type="dxa"/>
            <w:vAlign w:val="center"/>
          </w:tcPr>
          <w:p w14:paraId="04CF7273" w14:textId="42D49E40" w:rsidR="00237652" w:rsidRPr="000020C5" w:rsidRDefault="00323B3B"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-1,4</w:t>
            </w:r>
          </w:p>
        </w:tc>
        <w:tc>
          <w:tcPr>
            <w:tcW w:w="935" w:type="dxa"/>
            <w:vAlign w:val="center"/>
          </w:tcPr>
          <w:p w14:paraId="2566489F" w14:textId="71C7E0E7" w:rsidR="00237652" w:rsidRPr="000020C5" w:rsidRDefault="00323B3B"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r>
      <w:tr w:rsidR="00237652" w:rsidRPr="00976103" w14:paraId="7966F9F4" w14:textId="77777777" w:rsidTr="00323B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4CA2E"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74D34DB"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980" w:type="dxa"/>
            <w:vAlign w:val="center"/>
          </w:tcPr>
          <w:p w14:paraId="77F18FFE" w14:textId="1C0BEE17" w:rsidR="00237652" w:rsidRPr="00976103" w:rsidRDefault="00323B3B"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c>
          <w:tcPr>
            <w:tcW w:w="960" w:type="dxa"/>
            <w:vAlign w:val="center"/>
          </w:tcPr>
          <w:p w14:paraId="092E0CB2" w14:textId="10B998B0" w:rsidR="00237652" w:rsidRPr="000020C5" w:rsidRDefault="00323B3B"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0,02</w:t>
            </w:r>
          </w:p>
        </w:tc>
        <w:tc>
          <w:tcPr>
            <w:tcW w:w="935" w:type="dxa"/>
            <w:vAlign w:val="center"/>
          </w:tcPr>
          <w:p w14:paraId="46A9C13C" w14:textId="3B23517C" w:rsidR="00237652" w:rsidRPr="000020C5" w:rsidRDefault="00323B3B"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0,6</w:t>
            </w:r>
          </w:p>
        </w:tc>
      </w:tr>
      <w:tr w:rsidR="00237652" w:rsidRPr="00976103" w14:paraId="1C94A1CF" w14:textId="77777777" w:rsidTr="00323B3B">
        <w:trPr>
          <w:trHeight w:val="59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FF9B3"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 pie nemainīgas politikas</w:t>
            </w:r>
          </w:p>
        </w:tc>
        <w:tc>
          <w:tcPr>
            <w:tcW w:w="960" w:type="dxa"/>
            <w:vAlign w:val="center"/>
            <w:hideMark/>
          </w:tcPr>
          <w:p w14:paraId="746B562A"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875" w:type="dxa"/>
            <w:gridSpan w:val="3"/>
            <w:vAlign w:val="center"/>
          </w:tcPr>
          <w:p w14:paraId="54D57920" w14:textId="66AD5D6E" w:rsidR="00237652" w:rsidRPr="00976103"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000000"/>
                <w:szCs w:val="24"/>
                <w:lang w:eastAsia="lv-LV"/>
              </w:rPr>
            </w:pPr>
          </w:p>
        </w:tc>
      </w:tr>
      <w:tr w:rsidR="00237652" w:rsidRPr="00323B3B" w14:paraId="659B5D00" w14:textId="77777777" w:rsidTr="00323B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0D104C3B"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45493898" w14:textId="77777777" w:rsidR="00237652" w:rsidRPr="00323B3B"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980" w:type="dxa"/>
            <w:vAlign w:val="center"/>
          </w:tcPr>
          <w:p w14:paraId="250CEBCC" w14:textId="54F9C8B4" w:rsidR="00237652" w:rsidRPr="00323B3B" w:rsidRDefault="00323B3B"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-1,4</w:t>
            </w:r>
          </w:p>
        </w:tc>
        <w:tc>
          <w:tcPr>
            <w:tcW w:w="960" w:type="dxa"/>
            <w:vAlign w:val="center"/>
          </w:tcPr>
          <w:p w14:paraId="7BBEBD02" w14:textId="0D95863F" w:rsidR="00237652" w:rsidRPr="00323B3B" w:rsidRDefault="00323B3B"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-1,5</w:t>
            </w:r>
          </w:p>
        </w:tc>
        <w:tc>
          <w:tcPr>
            <w:tcW w:w="935" w:type="dxa"/>
            <w:vAlign w:val="center"/>
          </w:tcPr>
          <w:p w14:paraId="5F65F601" w14:textId="3C4BE518" w:rsidR="00237652" w:rsidRPr="00323B3B" w:rsidRDefault="00323B3B"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-1,6</w:t>
            </w:r>
          </w:p>
        </w:tc>
      </w:tr>
      <w:tr w:rsidR="00237652" w:rsidRPr="00323B3B" w14:paraId="04417902" w14:textId="77777777" w:rsidTr="00323B3B">
        <w:trPr>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144BC4A2"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39C34974" w14:textId="77777777" w:rsidR="00237652" w:rsidRPr="00323B3B"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23B3B">
              <w:rPr>
                <w:color w:val="000000"/>
                <w:szCs w:val="24"/>
                <w:lang w:eastAsia="lv-LV"/>
              </w:rPr>
              <w:t> </w:t>
            </w:r>
          </w:p>
        </w:tc>
        <w:tc>
          <w:tcPr>
            <w:tcW w:w="980" w:type="dxa"/>
            <w:vAlign w:val="center"/>
          </w:tcPr>
          <w:p w14:paraId="13E5AF60" w14:textId="46A0AB20" w:rsidR="00237652" w:rsidRPr="00323B3B" w:rsidRDefault="00323B3B" w:rsidP="000D29EE">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-1,4</w:t>
            </w:r>
          </w:p>
        </w:tc>
        <w:tc>
          <w:tcPr>
            <w:tcW w:w="960" w:type="dxa"/>
            <w:vAlign w:val="center"/>
          </w:tcPr>
          <w:p w14:paraId="6D85AD3F" w14:textId="1CD1C990" w:rsidR="00237652" w:rsidRPr="00323B3B" w:rsidRDefault="00323B3B"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-1,4</w:t>
            </w:r>
          </w:p>
        </w:tc>
        <w:tc>
          <w:tcPr>
            <w:tcW w:w="935" w:type="dxa"/>
            <w:vAlign w:val="center"/>
          </w:tcPr>
          <w:p w14:paraId="3C542CA5" w14:textId="372E521C" w:rsidR="00237652" w:rsidRPr="00323B3B" w:rsidRDefault="00323B3B" w:rsidP="000D29EE">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w:t>
            </w:r>
          </w:p>
        </w:tc>
      </w:tr>
      <w:tr w:rsidR="00237652" w:rsidRPr="00323B3B" w14:paraId="455063D2" w14:textId="77777777" w:rsidTr="00323B3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ECBE4A4"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F0F5A25" w14:textId="77777777" w:rsidR="00237652" w:rsidRPr="00323B3B"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980" w:type="dxa"/>
            <w:vAlign w:val="center"/>
          </w:tcPr>
          <w:p w14:paraId="1B020CDE" w14:textId="0710C9E0" w:rsidR="00237652" w:rsidRPr="00323B3B" w:rsidRDefault="00323B3B"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c>
          <w:tcPr>
            <w:tcW w:w="960" w:type="dxa"/>
            <w:vAlign w:val="center"/>
          </w:tcPr>
          <w:p w14:paraId="38B468CE" w14:textId="2A1D57B7" w:rsidR="00237652" w:rsidRPr="00323B3B" w:rsidRDefault="00323B3B"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0,02</w:t>
            </w:r>
          </w:p>
        </w:tc>
        <w:tc>
          <w:tcPr>
            <w:tcW w:w="935" w:type="dxa"/>
            <w:vAlign w:val="center"/>
          </w:tcPr>
          <w:p w14:paraId="7C257D99" w14:textId="42BAC9F1" w:rsidR="00237652" w:rsidRPr="00323B3B" w:rsidRDefault="00323B3B"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r>
    </w:tbl>
    <w:p w14:paraId="38125844" w14:textId="77777777" w:rsidR="00237652" w:rsidRPr="00323B3B" w:rsidRDefault="00237652" w:rsidP="00237652">
      <w:pPr>
        <w:ind w:firstLine="720"/>
        <w:rPr>
          <w:color w:val="000000" w:themeColor="text1"/>
          <w:szCs w:val="24"/>
        </w:rPr>
      </w:pPr>
    </w:p>
    <w:p w14:paraId="32D0EE8A" w14:textId="77777777" w:rsidR="00237652" w:rsidRPr="00323B3B" w:rsidRDefault="00237652" w:rsidP="00395639">
      <w:pPr>
        <w:spacing w:afterLines="60" w:after="144" w:line="276" w:lineRule="auto"/>
        <w:ind w:firstLine="720"/>
        <w:rPr>
          <w:color w:val="000000" w:themeColor="text1"/>
          <w:szCs w:val="24"/>
        </w:rPr>
      </w:pPr>
    </w:p>
    <w:p w14:paraId="145BE2B3" w14:textId="77777777" w:rsidR="00237652" w:rsidRPr="00323B3B" w:rsidRDefault="00237652" w:rsidP="00237652">
      <w:pPr>
        <w:spacing w:after="0"/>
        <w:ind w:firstLine="0"/>
        <w:jc w:val="left"/>
        <w:rPr>
          <w:color w:val="000000" w:themeColor="text1"/>
          <w:szCs w:val="24"/>
        </w:rPr>
        <w:sectPr w:rsidR="00237652" w:rsidRPr="00323B3B" w:rsidSect="00BA3AA7">
          <w:pgSz w:w="11906" w:h="16838"/>
          <w:pgMar w:top="1418" w:right="1134" w:bottom="709" w:left="1701" w:header="1077" w:footer="624" w:gutter="0"/>
          <w:cols w:space="708"/>
          <w:docGrid w:linePitch="360"/>
        </w:sectPr>
      </w:pPr>
      <w:r w:rsidRPr="00323B3B">
        <w:rPr>
          <w:color w:val="000000" w:themeColor="text1"/>
          <w:szCs w:val="24"/>
        </w:rPr>
        <w:br w:type="page"/>
      </w:r>
    </w:p>
    <w:p w14:paraId="2414BA35" w14:textId="77777777" w:rsidR="00B71106" w:rsidRPr="00B71106" w:rsidRDefault="00B71106" w:rsidP="00B71106">
      <w:pPr>
        <w:pStyle w:val="Heading1"/>
        <w:tabs>
          <w:tab w:val="left" w:pos="1276"/>
        </w:tabs>
        <w:spacing w:before="0" w:after="240"/>
        <w:ind w:firstLine="0"/>
        <w:jc w:val="center"/>
        <w:rPr>
          <w:rFonts w:ascii="Times New Roman" w:hAnsi="Times New Roman"/>
          <w:color w:val="18185E"/>
          <w:sz w:val="28"/>
        </w:rPr>
      </w:pPr>
      <w:bookmarkStart w:id="31" w:name="_Toc431197103"/>
      <w:r>
        <w:rPr>
          <w:rFonts w:ascii="Times New Roman" w:hAnsi="Times New Roman"/>
          <w:color w:val="18185E"/>
          <w:sz w:val="28"/>
          <w:lang w:val="lv-LV"/>
        </w:rPr>
        <w:t>Pielikums: Metodoloģiskie aspekti</w:t>
      </w:r>
      <w:bookmarkEnd w:id="31"/>
    </w:p>
    <w:p w14:paraId="164742BC" w14:textId="77777777" w:rsidR="009126BE" w:rsidRDefault="009126BE" w:rsidP="009126BE">
      <w:pPr>
        <w:ind w:firstLine="0"/>
      </w:pPr>
    </w:p>
    <w:p w14:paraId="2EA5767A" w14:textId="00156C8A" w:rsidR="005C0B54" w:rsidRDefault="005C0B54" w:rsidP="005C0B54">
      <w:pPr>
        <w:rPr>
          <w:sz w:val="22"/>
        </w:rPr>
      </w:pPr>
      <w:r>
        <w:t xml:space="preserve">Makroekonomiskās prognozes tiek veidotas vidēja termiņa makroekonomiskajā modelī, kas nodrošina makroekonomisko </w:t>
      </w:r>
      <w:r w:rsidR="00A94225">
        <w:t xml:space="preserve">likumsakarību </w:t>
      </w:r>
      <w:r>
        <w:t>ievērošanu prognozēs un par pamatu izmanto īstermiņa un vidēja termiņa ekonometrisko modeļu rezultātus, kā arī eksperta vērtējumus.</w:t>
      </w:r>
    </w:p>
    <w:p w14:paraId="1CBEE57D" w14:textId="77777777" w:rsidR="005C0B54" w:rsidRDefault="005C0B54" w:rsidP="005C0B54">
      <w:pPr>
        <w:spacing w:after="60" w:line="276" w:lineRule="auto"/>
        <w:ind w:firstLine="720"/>
      </w:pPr>
      <w:r>
        <w:t>Sagatavojot nodokļu ieņēmumu prognozes tiek izmantotas plaši pazīstamas prognozēšanas metodes un pieņēmumi, tomēr visvairāk tiek izmantots prognozēšanai speciāli izstrādāts rīks, t.i., modelis LATIM-F. Biežāk izmantotie nodokļu ieņēmumu prognozēšanas paņēmieni:</w:t>
      </w:r>
    </w:p>
    <w:p w14:paraId="6276A49B" w14:textId="77777777" w:rsidR="005C0B54" w:rsidRDefault="005C0B54" w:rsidP="005C0B54">
      <w:pPr>
        <w:tabs>
          <w:tab w:val="left" w:pos="1276"/>
        </w:tabs>
        <w:spacing w:after="60" w:line="276" w:lineRule="auto"/>
        <w:ind w:left="851" w:firstLine="0"/>
      </w:pPr>
      <w:r>
        <w:t>•           izmantojot detalizētu nodokļa ieņēmumu aprēķinu;</w:t>
      </w:r>
    </w:p>
    <w:p w14:paraId="7C95B0FC" w14:textId="77777777" w:rsidR="005C0B54" w:rsidRDefault="005C0B54" w:rsidP="005C0B54">
      <w:pPr>
        <w:spacing w:after="60" w:line="276" w:lineRule="auto"/>
        <w:ind w:left="851" w:firstLine="0"/>
      </w:pPr>
      <w:r>
        <w:t>•           prognozējot nodokļu ieņēmumu īpatsvaru IKP, %;</w:t>
      </w:r>
    </w:p>
    <w:p w14:paraId="15B3BC38" w14:textId="77777777" w:rsidR="005C0B54" w:rsidRDefault="005C0B54" w:rsidP="005C0B54">
      <w:pPr>
        <w:spacing w:after="60" w:line="276" w:lineRule="auto"/>
        <w:ind w:left="851" w:firstLine="0"/>
      </w:pPr>
      <w:r>
        <w:t>•           prognozējot nodokļa reālās apliekamās bāzes / modelētās bāzes attiecību;</w:t>
      </w:r>
    </w:p>
    <w:p w14:paraId="2B486FCF" w14:textId="77777777" w:rsidR="005C0B54" w:rsidRDefault="005C0B54" w:rsidP="005C0B54">
      <w:pPr>
        <w:spacing w:after="60" w:line="276" w:lineRule="auto"/>
        <w:ind w:left="851" w:firstLine="0"/>
      </w:pPr>
      <w:r>
        <w:t>•           izmantojot eksperta novērtējumu;</w:t>
      </w:r>
    </w:p>
    <w:p w14:paraId="14F62C46" w14:textId="77777777" w:rsidR="005C0B54" w:rsidRDefault="005C0B54" w:rsidP="005C0B54">
      <w:pPr>
        <w:spacing w:after="60" w:line="276" w:lineRule="auto"/>
        <w:ind w:left="851" w:firstLine="0"/>
      </w:pPr>
      <w:r>
        <w:t>•           izmantojot citus paņēmienus.</w:t>
      </w:r>
    </w:p>
    <w:p w14:paraId="430D2543" w14:textId="27C42123" w:rsidR="005C0B54" w:rsidRPr="00976103" w:rsidRDefault="005C0B54" w:rsidP="005C0B54">
      <w:pPr>
        <w:spacing w:after="60" w:line="276" w:lineRule="auto"/>
        <w:ind w:firstLine="720"/>
      </w:pPr>
      <w:r>
        <w:t xml:space="preserve">Lai aprēķinātu nodokļu ieņēmumu prognozes, </w:t>
      </w:r>
      <w:r w:rsidR="007D2E71">
        <w:t>FM</w:t>
      </w:r>
      <w:r>
        <w:t>, kā tika minēts iepriekš, izmanto nodokļu ieņēmumu prognožu modeli LATIM-F, kura galvenās sastāvdaļas ir makroekonomisko rādītāju datu bāze, faktisko nodokļu ieņēmumu datu bāze un likumdošanas izmaiņas (ieskaitot nodokļu likmes utt.). Tāpat analīzē tiek izmatota Valsts kases, Valsts ieņēmumu dienesta, Centrālās statistikas pārvaldes u.c. informācija.</w:t>
      </w:r>
    </w:p>
    <w:p w14:paraId="6A2353B3" w14:textId="77777777" w:rsidR="00A922FB" w:rsidRDefault="00A922FB" w:rsidP="00A922FB">
      <w:pPr>
        <w:spacing w:after="0"/>
        <w:ind w:firstLine="0"/>
      </w:pPr>
    </w:p>
    <w:p w14:paraId="6E8CD4C6" w14:textId="77777777" w:rsidR="00AF671B" w:rsidRDefault="00AF671B" w:rsidP="00A922FB">
      <w:pPr>
        <w:spacing w:after="0"/>
        <w:ind w:firstLine="0"/>
      </w:pPr>
    </w:p>
    <w:p w14:paraId="2BCBA891" w14:textId="77777777" w:rsidR="00AF671B" w:rsidRDefault="00AF671B" w:rsidP="00A922FB">
      <w:pPr>
        <w:spacing w:after="0"/>
        <w:ind w:firstLine="0"/>
      </w:pPr>
    </w:p>
    <w:p w14:paraId="3F0E873C" w14:textId="77777777" w:rsidR="00AF671B" w:rsidRDefault="00AF671B" w:rsidP="00A922FB">
      <w:pPr>
        <w:spacing w:after="0"/>
        <w:ind w:firstLine="0"/>
      </w:pPr>
    </w:p>
    <w:p w14:paraId="2B66EA5B" w14:textId="3F574B1A" w:rsidR="00AF671B" w:rsidRDefault="00FB505D" w:rsidP="00A922FB">
      <w:pPr>
        <w:spacing w:after="0"/>
        <w:ind w:firstLine="0"/>
      </w:pPr>
      <w:r>
        <w:t>Finanšu ministrs</w:t>
      </w:r>
      <w:r>
        <w:tab/>
      </w:r>
      <w:r>
        <w:tab/>
      </w:r>
      <w:r>
        <w:tab/>
      </w:r>
      <w:r>
        <w:tab/>
      </w:r>
      <w:r>
        <w:tab/>
      </w:r>
      <w:r>
        <w:tab/>
      </w:r>
      <w:r>
        <w:tab/>
      </w:r>
      <w:r>
        <w:tab/>
      </w:r>
      <w:r>
        <w:tab/>
        <w:t>J.Reirs</w:t>
      </w:r>
    </w:p>
    <w:p w14:paraId="4CB31008" w14:textId="77777777" w:rsidR="00FB505D" w:rsidRDefault="00FB505D" w:rsidP="00A922FB">
      <w:pPr>
        <w:spacing w:after="0"/>
        <w:ind w:firstLine="0"/>
      </w:pPr>
    </w:p>
    <w:p w14:paraId="0C7AECDC" w14:textId="77777777" w:rsidR="00FB505D" w:rsidRDefault="00FB505D" w:rsidP="00A922FB">
      <w:pPr>
        <w:spacing w:after="0"/>
        <w:ind w:firstLine="0"/>
      </w:pPr>
    </w:p>
    <w:p w14:paraId="62DD6140" w14:textId="77777777" w:rsidR="00FB505D" w:rsidRDefault="00FB505D" w:rsidP="00A922FB">
      <w:pPr>
        <w:spacing w:after="0"/>
        <w:ind w:firstLine="0"/>
      </w:pPr>
    </w:p>
    <w:p w14:paraId="12E90C26" w14:textId="77777777" w:rsidR="00FB505D" w:rsidRDefault="00FB505D" w:rsidP="00A922FB">
      <w:pPr>
        <w:spacing w:after="0"/>
        <w:ind w:firstLine="0"/>
        <w:rPr>
          <w:sz w:val="20"/>
        </w:rPr>
      </w:pPr>
    </w:p>
    <w:p w14:paraId="1183D045" w14:textId="77777777" w:rsidR="00FB505D" w:rsidRDefault="00FB505D" w:rsidP="00A922FB">
      <w:pPr>
        <w:spacing w:after="0"/>
        <w:ind w:firstLine="0"/>
        <w:rPr>
          <w:sz w:val="20"/>
        </w:rPr>
      </w:pPr>
    </w:p>
    <w:p w14:paraId="0B40B5C7" w14:textId="77777777" w:rsidR="00D640F7" w:rsidRDefault="00D640F7" w:rsidP="00A922FB">
      <w:pPr>
        <w:spacing w:after="0"/>
        <w:ind w:firstLine="0"/>
        <w:rPr>
          <w:sz w:val="20"/>
        </w:rPr>
      </w:pPr>
      <w:r>
        <w:rPr>
          <w:sz w:val="20"/>
        </w:rPr>
        <w:t>28.09.2015 12:16</w:t>
      </w:r>
    </w:p>
    <w:p w14:paraId="4CB84690" w14:textId="4C8A4306" w:rsidR="00FB505D" w:rsidRPr="00FB505D" w:rsidRDefault="00D27E4E" w:rsidP="00A922FB">
      <w:pPr>
        <w:spacing w:after="0"/>
        <w:ind w:firstLine="0"/>
        <w:rPr>
          <w:sz w:val="20"/>
        </w:rPr>
      </w:pPr>
      <w:bookmarkStart w:id="32" w:name="_GoBack"/>
      <w:bookmarkEnd w:id="32"/>
      <w:r w:rsidRPr="00D640F7">
        <w:rPr>
          <w:sz w:val="20"/>
        </w:rPr>
        <w:t>11</w:t>
      </w:r>
      <w:r w:rsidR="00D640F7">
        <w:rPr>
          <w:sz w:val="20"/>
        </w:rPr>
        <w:t>892</w:t>
      </w:r>
    </w:p>
    <w:p w14:paraId="5477E49E" w14:textId="7D21CC3B" w:rsidR="00FB505D" w:rsidRPr="00FB505D" w:rsidRDefault="00FB505D" w:rsidP="00A922FB">
      <w:pPr>
        <w:spacing w:after="0"/>
        <w:ind w:firstLine="0"/>
        <w:rPr>
          <w:sz w:val="20"/>
        </w:rPr>
      </w:pPr>
      <w:r w:rsidRPr="00FB505D">
        <w:rPr>
          <w:sz w:val="20"/>
        </w:rPr>
        <w:t>Gerda Rubīna</w:t>
      </w:r>
    </w:p>
    <w:p w14:paraId="14A4F18A" w14:textId="0600185B" w:rsidR="00FB505D" w:rsidRPr="00FB505D" w:rsidRDefault="00FB505D" w:rsidP="00A922FB">
      <w:pPr>
        <w:spacing w:after="0"/>
        <w:ind w:firstLine="0"/>
        <w:rPr>
          <w:sz w:val="20"/>
        </w:rPr>
      </w:pPr>
      <w:r w:rsidRPr="00FB505D">
        <w:rPr>
          <w:sz w:val="20"/>
        </w:rPr>
        <w:t xml:space="preserve">67083911, </w:t>
      </w:r>
      <w:hyperlink r:id="rId55" w:history="1">
        <w:r w:rsidRPr="00FB505D">
          <w:rPr>
            <w:rStyle w:val="Hyperlink"/>
            <w:sz w:val="20"/>
          </w:rPr>
          <w:t>Gerda.Rubina@fm.gov.lv</w:t>
        </w:r>
      </w:hyperlink>
    </w:p>
    <w:p w14:paraId="16D30996" w14:textId="77777777" w:rsidR="00FB505D" w:rsidRPr="00976103" w:rsidRDefault="00FB505D" w:rsidP="00A922FB">
      <w:pPr>
        <w:spacing w:after="0"/>
        <w:ind w:firstLine="0"/>
      </w:pPr>
    </w:p>
    <w:sectPr w:rsidR="00FB505D" w:rsidRPr="00976103" w:rsidSect="00BA3AA7">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C0D9" w14:textId="77777777" w:rsidR="000E7810" w:rsidRDefault="000E7810" w:rsidP="000F6956">
      <w:pPr>
        <w:spacing w:after="0"/>
      </w:pPr>
      <w:r>
        <w:separator/>
      </w:r>
    </w:p>
    <w:p w14:paraId="25AB2AD0" w14:textId="77777777" w:rsidR="000E7810" w:rsidRDefault="000E7810"/>
  </w:endnote>
  <w:endnote w:type="continuationSeparator" w:id="0">
    <w:p w14:paraId="45B7A035" w14:textId="77777777" w:rsidR="000E7810" w:rsidRDefault="000E7810" w:rsidP="000F6956">
      <w:pPr>
        <w:spacing w:after="0"/>
      </w:pPr>
      <w:r>
        <w:continuationSeparator/>
      </w:r>
    </w:p>
    <w:p w14:paraId="3089F5CF" w14:textId="77777777" w:rsidR="000E7810" w:rsidRDefault="000E7810"/>
  </w:endnote>
  <w:endnote w:type="continuationNotice" w:id="1">
    <w:p w14:paraId="3CEC0115" w14:textId="77777777" w:rsidR="000E7810" w:rsidRDefault="000E7810">
      <w:pPr>
        <w:spacing w:after="0"/>
      </w:pPr>
    </w:p>
    <w:p w14:paraId="44F26011" w14:textId="77777777" w:rsidR="000E7810" w:rsidRDefault="000E7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626F" w14:textId="7C209D30" w:rsidR="000E7810" w:rsidRPr="00914EDA" w:rsidRDefault="000E7810" w:rsidP="00E014E0">
    <w:pPr>
      <w:pStyle w:val="Footer"/>
      <w:ind w:firstLine="0"/>
      <w:rPr>
        <w:sz w:val="20"/>
        <w:lang w:val="lv-LV"/>
      </w:rPr>
    </w:pPr>
    <w:r>
      <w:rPr>
        <w:sz w:val="20"/>
        <w:lang w:val="lv-LV"/>
      </w:rPr>
      <w:t>FMInf_28</w:t>
    </w:r>
    <w:r w:rsidRPr="00914EDA">
      <w:rPr>
        <w:sz w:val="20"/>
        <w:lang w:val="lv-LV"/>
      </w:rPr>
      <w:t>092015_DBP; Latvijas V</w:t>
    </w:r>
    <w:r>
      <w:rPr>
        <w:sz w:val="20"/>
        <w:lang w:val="lv-LV"/>
      </w:rPr>
      <w:t>ispārējās valdības budžeta plāna projekts</w:t>
    </w:r>
    <w:r w:rsidRPr="00914EDA">
      <w:rPr>
        <w:sz w:val="20"/>
        <w:lang w:val="lv-LV"/>
      </w:rPr>
      <w:t xml:space="preserve"> 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1D48E" w14:textId="77777777" w:rsidR="000E7810" w:rsidRDefault="000E7810" w:rsidP="000F6956">
      <w:pPr>
        <w:spacing w:after="0"/>
      </w:pPr>
      <w:r>
        <w:separator/>
      </w:r>
    </w:p>
    <w:p w14:paraId="1D5422E1" w14:textId="77777777" w:rsidR="000E7810" w:rsidRDefault="000E7810"/>
  </w:footnote>
  <w:footnote w:type="continuationSeparator" w:id="0">
    <w:p w14:paraId="6480582C" w14:textId="77777777" w:rsidR="000E7810" w:rsidRDefault="000E7810" w:rsidP="000F6956">
      <w:pPr>
        <w:spacing w:after="0"/>
      </w:pPr>
      <w:r>
        <w:continuationSeparator/>
      </w:r>
    </w:p>
    <w:p w14:paraId="2AC377D6" w14:textId="77777777" w:rsidR="000E7810" w:rsidRDefault="000E7810"/>
  </w:footnote>
  <w:footnote w:type="continuationNotice" w:id="1">
    <w:p w14:paraId="4F3FC418" w14:textId="77777777" w:rsidR="000E7810" w:rsidRDefault="000E7810">
      <w:pPr>
        <w:spacing w:after="0"/>
      </w:pPr>
    </w:p>
    <w:p w14:paraId="5C52BAA3" w14:textId="77777777" w:rsidR="000E7810" w:rsidRDefault="000E7810"/>
  </w:footnote>
  <w:footnote w:id="2">
    <w:p w14:paraId="2554A49B" w14:textId="5FED40F2" w:rsidR="000E7810" w:rsidRPr="00D27E4E" w:rsidRDefault="000E7810" w:rsidP="00D27E4E">
      <w:pPr>
        <w:pStyle w:val="FootnoteText"/>
        <w:ind w:left="0" w:firstLine="0"/>
        <w:jc w:val="both"/>
      </w:pPr>
      <w:r w:rsidRPr="00D27E4E">
        <w:rPr>
          <w:rStyle w:val="FootnoteReference"/>
          <w:rFonts w:ascii="Times New Roman" w:hAnsi="Times New Roman"/>
        </w:rPr>
        <w:footnoteRef/>
      </w:r>
      <w:r w:rsidRPr="00D27E4E">
        <w:rPr>
          <w:lang w:val="lv-LV"/>
        </w:rPr>
        <w:t xml:space="preserve"> </w:t>
      </w:r>
      <w:r w:rsidRPr="00D27E4E">
        <w:t xml:space="preserve">Fiskālās disciplīnas padomes Potenciālā un nominālā iekšzemes kopprodukta novērtējuma darba grupas 2015. gada 9. jūlija sēdes protokols - </w:t>
      </w:r>
      <w:hyperlink r:id="rId1" w:history="1">
        <w:r w:rsidRPr="00D27E4E">
          <w:rPr>
            <w:rStyle w:val="Hyperlink"/>
          </w:rPr>
          <w:t>http://fdp.gov.lv/files/uploaded/FDP_1_01_486_20150710_IKPDG_protokols2_projekts.pdf</w:t>
        </w:r>
      </w:hyperlink>
    </w:p>
  </w:footnote>
  <w:footnote w:id="3">
    <w:p w14:paraId="5E73FACC" w14:textId="2F9599EE" w:rsidR="000E7810" w:rsidRPr="00D27E4E" w:rsidRDefault="000E7810" w:rsidP="00D27E4E">
      <w:pPr>
        <w:pStyle w:val="FootnoteText"/>
        <w:jc w:val="both"/>
        <w:rPr>
          <w:lang w:val="lv-LV"/>
        </w:rPr>
      </w:pPr>
      <w:r w:rsidRPr="00D27E4E">
        <w:rPr>
          <w:rStyle w:val="FootnoteReference"/>
          <w:rFonts w:ascii="Times New Roman" w:hAnsi="Times New Roman"/>
        </w:rPr>
        <w:footnoteRef/>
      </w:r>
      <w:r w:rsidRPr="00D27E4E">
        <w:t xml:space="preserve"> </w:t>
      </w:r>
      <w:r w:rsidRPr="00D27E4E">
        <w:rPr>
          <w:lang w:val="lv-LV"/>
        </w:rPr>
        <w:t>Eiropas Kontu sistēma</w:t>
      </w:r>
    </w:p>
  </w:footnote>
  <w:footnote w:id="4">
    <w:p w14:paraId="602F11D3" w14:textId="46B83A66" w:rsidR="000E7810" w:rsidRPr="00D27E4E" w:rsidRDefault="000E7810" w:rsidP="00D27E4E">
      <w:pPr>
        <w:pStyle w:val="FootnoteText"/>
        <w:ind w:left="142" w:hanging="142"/>
        <w:jc w:val="both"/>
        <w:rPr>
          <w:lang w:val="lv-LV"/>
        </w:rPr>
      </w:pPr>
      <w:r w:rsidRPr="00D27E4E">
        <w:rPr>
          <w:rStyle w:val="FootnoteReference"/>
          <w:rFonts w:ascii="Times New Roman" w:hAnsi="Times New Roman"/>
        </w:rPr>
        <w:footnoteRef/>
      </w:r>
      <w:r w:rsidRPr="00D27E4E">
        <w:t xml:space="preserve"> Valdības atbalstītie lēmumi (minimālās darba algas palielināšana un ar iedzīvotāju ienākuma nodokli neapliekamā minimuma palielināšana 2016.gadā par 10 </w:t>
      </w:r>
      <w:r w:rsidRPr="00D27E4E">
        <w:rPr>
          <w:i/>
          <w:lang w:val="lv-LV"/>
        </w:rPr>
        <w:t>euro</w:t>
      </w:r>
      <w:r w:rsidRPr="00D27E4E">
        <w:t xml:space="preserve"> mēnesī, kā arī diferencētā neapliekamā minimuma un solidaritātes nodokļa ieviešana no 2016.gada) mazinās strādājošo ienākumu nevienlīdzību, jo strādājošo ar zemākām algām nodokļu slogs samazināsies, savukārt strādājošo ar lielām algām nodokļu slogs pieaugs. Tā piemēram, pēc </w:t>
      </w:r>
      <w:r w:rsidRPr="00D27E4E">
        <w:rPr>
          <w:lang w:val="lv-LV"/>
        </w:rPr>
        <w:t>FM</w:t>
      </w:r>
      <w:r w:rsidRPr="00D27E4E">
        <w:t xml:space="preserve"> veiktajiem aprēķiniem, darbinieka (bez apgādībā esošām personām), kurš saņem 500 </w:t>
      </w:r>
      <w:r w:rsidRPr="00D27E4E">
        <w:rPr>
          <w:i/>
          <w:lang w:val="lv-LV"/>
        </w:rPr>
        <w:t>euro</w:t>
      </w:r>
      <w:r w:rsidRPr="00D27E4E">
        <w:t xml:space="preserve"> mēnesī, nodokļu slogs (IIN, darba ņēmēja un darba devēja VSAOI summas attiecība pret bruto algas un darba devēja VSAOI summu) samazināsies no 41,4% uz 2015.gadā uz 38.5% 2021.gadā. Savukārt strādājošā (bez apgādībā esošām personām), kurš saņem 5000 </w:t>
      </w:r>
      <w:r w:rsidRPr="00D27E4E">
        <w:rPr>
          <w:i/>
          <w:lang w:val="lv-LV"/>
        </w:rPr>
        <w:t>euro</w:t>
      </w:r>
      <w:r w:rsidRPr="00D27E4E">
        <w:t xml:space="preserve"> mēnesī, nodokļu slogs pieaugs no 40,6% 2015.gadā uz 44,2% 2021.gadā.</w:t>
      </w:r>
    </w:p>
  </w:footnote>
  <w:footnote w:id="5">
    <w:p w14:paraId="1E3BFF57" w14:textId="3A2FD9A8" w:rsidR="000E7810" w:rsidRPr="00D27E4E" w:rsidRDefault="000E7810" w:rsidP="00D27E4E">
      <w:pPr>
        <w:pStyle w:val="FootnoteText"/>
        <w:jc w:val="both"/>
        <w:rPr>
          <w:lang w:val="lv-LV"/>
        </w:rPr>
      </w:pPr>
      <w:r w:rsidRPr="00D27E4E">
        <w:rPr>
          <w:rStyle w:val="FootnoteReference"/>
          <w:rFonts w:ascii="Times New Roman" w:hAnsi="Times New Roman"/>
        </w:rPr>
        <w:footnoteRef/>
      </w:r>
      <w:r w:rsidRPr="00D27E4E">
        <w:t xml:space="preserve"> </w:t>
      </w:r>
      <w:r w:rsidRPr="00D27E4E">
        <w:rPr>
          <w:rStyle w:val="Hyperlink"/>
          <w:rFonts w:eastAsia="Calibri"/>
          <w:bCs/>
          <w:color w:val="auto"/>
          <w:u w:val="none"/>
        </w:rPr>
        <w:t xml:space="preserve">Ar </w:t>
      </w:r>
      <w:r w:rsidRPr="00D27E4E">
        <w:rPr>
          <w:rStyle w:val="Hyperlink"/>
          <w:bCs/>
          <w:color w:val="auto"/>
          <w:u w:val="none"/>
        </w:rPr>
        <w:t>pētījumu</w:t>
      </w:r>
      <w:r w:rsidRPr="00D27E4E">
        <w:rPr>
          <w:rStyle w:val="Hyperlink"/>
          <w:rFonts w:eastAsia="Calibri"/>
          <w:bCs/>
          <w:color w:val="auto"/>
          <w:u w:val="none"/>
        </w:rPr>
        <w:t xml:space="preserve"> angļu valodā iespējams iepazīties OECD interneta vietnē </w:t>
      </w:r>
      <w:hyperlink r:id="rId2" w:history="1">
        <w:r w:rsidRPr="00D27E4E">
          <w:rPr>
            <w:rStyle w:val="Hyperlink"/>
            <w:rFonts w:eastAsia="Calibri"/>
            <w:bCs/>
            <w:color w:val="auto"/>
            <w:u w:val="none"/>
          </w:rPr>
          <w:t>http://www.oecd.org/countries/latvia/investing-in-youth-latvia-9789264240407-en.htm</w:t>
        </w:r>
      </w:hyperlink>
      <w:r w:rsidRPr="00D27E4E">
        <w:rPr>
          <w:rStyle w:val="Hyperlink"/>
          <w:rFonts w:eastAsia="Calibri"/>
          <w:bCs/>
          <w:color w:val="auto"/>
          <w:u w:val="none"/>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FA15" w14:textId="77777777" w:rsidR="000E7810" w:rsidRDefault="000E7810">
    <w:pPr>
      <w:pStyle w:val="Header"/>
      <w:jc w:val="center"/>
    </w:pPr>
  </w:p>
  <w:p w14:paraId="0D00BC31" w14:textId="77777777" w:rsidR="000E7810" w:rsidRPr="00BB6B6E" w:rsidRDefault="000E7810" w:rsidP="00BB6B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62380"/>
      <w:docPartObj>
        <w:docPartGallery w:val="Page Numbers (Top of Page)"/>
        <w:docPartUnique/>
      </w:docPartObj>
    </w:sdtPr>
    <w:sdtEndPr>
      <w:rPr>
        <w:noProof/>
      </w:rPr>
    </w:sdtEndPr>
    <w:sdtContent>
      <w:p w14:paraId="138487F0" w14:textId="77777777" w:rsidR="000E7810" w:rsidRDefault="000E7810">
        <w:pPr>
          <w:pStyle w:val="Header"/>
          <w:jc w:val="center"/>
        </w:pPr>
        <w:r>
          <w:fldChar w:fldCharType="begin"/>
        </w:r>
        <w:r>
          <w:instrText xml:space="preserve"> PAGE   \* MERGEFORMAT </w:instrText>
        </w:r>
        <w:r>
          <w:fldChar w:fldCharType="separate"/>
        </w:r>
        <w:r w:rsidR="00D640F7">
          <w:rPr>
            <w:noProof/>
          </w:rPr>
          <w:t>0</w:t>
        </w:r>
        <w:r>
          <w:rPr>
            <w:noProof/>
          </w:rPr>
          <w:fldChar w:fldCharType="end"/>
        </w:r>
      </w:p>
    </w:sdtContent>
  </w:sdt>
  <w:p w14:paraId="5E5FB7D6" w14:textId="77777777" w:rsidR="000E7810" w:rsidRDefault="000E7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75732"/>
      <w:docPartObj>
        <w:docPartGallery w:val="Page Numbers (Top of Page)"/>
        <w:docPartUnique/>
      </w:docPartObj>
    </w:sdtPr>
    <w:sdtEndPr>
      <w:rPr>
        <w:noProof/>
      </w:rPr>
    </w:sdtEndPr>
    <w:sdtContent>
      <w:p w14:paraId="06BBADCE" w14:textId="63530CD5" w:rsidR="000E7810" w:rsidRPr="00BB6B6E" w:rsidRDefault="000E7810" w:rsidP="00312963">
        <w:pPr>
          <w:pStyle w:val="Header"/>
          <w:jc w:val="right"/>
        </w:pPr>
        <w:r>
          <w:fldChar w:fldCharType="begin"/>
        </w:r>
        <w:r>
          <w:instrText xml:space="preserve"> PAGE  \* Arabic  \* MERGEFORMAT </w:instrText>
        </w:r>
        <w:r>
          <w:fldChar w:fldCharType="separate"/>
        </w:r>
        <w:r w:rsidR="00D640F7">
          <w:rPr>
            <w:noProof/>
          </w:rPr>
          <w:t>39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B75"/>
    <w:multiLevelType w:val="hybridMultilevel"/>
    <w:tmpl w:val="1924E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B502768"/>
    <w:multiLevelType w:val="hybridMultilevel"/>
    <w:tmpl w:val="B2A87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0678D1"/>
    <w:multiLevelType w:val="hybridMultilevel"/>
    <w:tmpl w:val="6284E60A"/>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064DA6"/>
    <w:multiLevelType w:val="hybridMultilevel"/>
    <w:tmpl w:val="D87E0F38"/>
    <w:lvl w:ilvl="0" w:tplc="D534B64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A0DEA"/>
    <w:multiLevelType w:val="hybridMultilevel"/>
    <w:tmpl w:val="F57AD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926720"/>
    <w:multiLevelType w:val="hybridMultilevel"/>
    <w:tmpl w:val="28161F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FD6959"/>
    <w:multiLevelType w:val="hybridMultilevel"/>
    <w:tmpl w:val="94A865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2E90A5C"/>
    <w:multiLevelType w:val="hybridMultilevel"/>
    <w:tmpl w:val="30208E8A"/>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5A9796F"/>
    <w:multiLevelType w:val="hybridMultilevel"/>
    <w:tmpl w:val="C7DAAF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7545FF"/>
    <w:multiLevelType w:val="hybridMultilevel"/>
    <w:tmpl w:val="E3D29F5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F32228"/>
    <w:multiLevelType w:val="hybridMultilevel"/>
    <w:tmpl w:val="590469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4F790E"/>
    <w:multiLevelType w:val="hybridMultilevel"/>
    <w:tmpl w:val="0CCC44CC"/>
    <w:lvl w:ilvl="0" w:tplc="CF9E9204">
      <w:start w:val="1"/>
      <w:numFmt w:val="decimal"/>
      <w:lvlText w:val="(%1)"/>
      <w:lvlJc w:val="left"/>
      <w:pPr>
        <w:ind w:left="390" w:hanging="390"/>
      </w:pPr>
      <w:rPr>
        <w:rFonts w:ascii="Times New Roman" w:eastAsia="Calibri" w:hAnsi="Times New Roman" w:cs="Times New Roman"/>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55A6CC1"/>
    <w:multiLevelType w:val="hybridMultilevel"/>
    <w:tmpl w:val="DC9870E0"/>
    <w:lvl w:ilvl="0" w:tplc="91E2031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nsid w:val="386E1AF3"/>
    <w:multiLevelType w:val="hybridMultilevel"/>
    <w:tmpl w:val="24AE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53024"/>
    <w:multiLevelType w:val="hybridMultilevel"/>
    <w:tmpl w:val="788C02EA"/>
    <w:lvl w:ilvl="0" w:tplc="1FAC8BB0">
      <w:start w:val="1"/>
      <w:numFmt w:val="decimal"/>
      <w:lvlText w:val="%1."/>
      <w:lvlJc w:val="left"/>
      <w:pPr>
        <w:ind w:left="1287" w:hanging="360"/>
      </w:pPr>
      <w:rPr>
        <w:color w:val="auto"/>
        <w:sz w:val="28"/>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nsid w:val="45755BF8"/>
    <w:multiLevelType w:val="hybridMultilevel"/>
    <w:tmpl w:val="DEDC5F10"/>
    <w:lvl w:ilvl="0" w:tplc="5F8AB694">
      <w:start w:val="1"/>
      <w:numFmt w:val="decimal"/>
      <w:lvlText w:val="(%1)"/>
      <w:lvlJc w:val="left"/>
      <w:pPr>
        <w:ind w:left="366" w:hanging="360"/>
      </w:pPr>
      <w:rPr>
        <w:rFonts w:hint="default"/>
      </w:rPr>
    </w:lvl>
    <w:lvl w:ilvl="1" w:tplc="04260019" w:tentative="1">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18">
    <w:nsid w:val="4941765F"/>
    <w:multiLevelType w:val="hybridMultilevel"/>
    <w:tmpl w:val="BADE8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9B2BAC"/>
    <w:multiLevelType w:val="hybridMultilevel"/>
    <w:tmpl w:val="237003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4E320C75"/>
    <w:multiLevelType w:val="hybridMultilevel"/>
    <w:tmpl w:val="412E0A54"/>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502C7C76"/>
    <w:multiLevelType w:val="multilevel"/>
    <w:tmpl w:val="EDC2EEE4"/>
    <w:lvl w:ilvl="0">
      <w:start w:val="1"/>
      <w:numFmt w:val="bullet"/>
      <w:lvlText w:val=""/>
      <w:lvlJc w:val="left"/>
      <w:pPr>
        <w:ind w:left="360" w:hanging="360"/>
      </w:pPr>
      <w:rPr>
        <w:rFonts w:ascii="Symbol" w:hAnsi="Symbol"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4062C20"/>
    <w:multiLevelType w:val="hybridMultilevel"/>
    <w:tmpl w:val="251A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E128F"/>
    <w:multiLevelType w:val="hybridMultilevel"/>
    <w:tmpl w:val="F6AA8D26"/>
    <w:lvl w:ilvl="0" w:tplc="6890E786">
      <w:start w:val="1"/>
      <w:numFmt w:val="decimal"/>
      <w:lvlText w:val="%1."/>
      <w:lvlJc w:val="left"/>
      <w:pPr>
        <w:ind w:left="1665" w:hanging="360"/>
      </w:pPr>
      <w:rPr>
        <w:sz w:val="24"/>
        <w:szCs w:val="24"/>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24">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DA01B7"/>
    <w:multiLevelType w:val="hybridMultilevel"/>
    <w:tmpl w:val="DA42D630"/>
    <w:lvl w:ilvl="0" w:tplc="1C3EE47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E725BD"/>
    <w:multiLevelType w:val="multilevel"/>
    <w:tmpl w:val="9ACE3652"/>
    <w:lvl w:ilvl="0">
      <w:start w:val="1"/>
      <w:numFmt w:val="bullet"/>
      <w:lvlText w:val=""/>
      <w:lvlJc w:val="left"/>
      <w:pPr>
        <w:ind w:left="360" w:hanging="360"/>
      </w:pPr>
      <w:rPr>
        <w:rFonts w:ascii="Symbol" w:hAnsi="Symbo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9973317"/>
    <w:multiLevelType w:val="hybridMultilevel"/>
    <w:tmpl w:val="52A01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9E27BEE"/>
    <w:multiLevelType w:val="hybridMultilevel"/>
    <w:tmpl w:val="88D86C8E"/>
    <w:lvl w:ilvl="0" w:tplc="CCA689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5F882B89"/>
    <w:multiLevelType w:val="hybridMultilevel"/>
    <w:tmpl w:val="AA2252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628269E7"/>
    <w:multiLevelType w:val="hybridMultilevel"/>
    <w:tmpl w:val="03180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6DE3068"/>
    <w:multiLevelType w:val="hybridMultilevel"/>
    <w:tmpl w:val="A25E7B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713014A2"/>
    <w:multiLevelType w:val="hybridMultilevel"/>
    <w:tmpl w:val="9152705C"/>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0D131F"/>
    <w:multiLevelType w:val="multilevel"/>
    <w:tmpl w:val="D390C6D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5">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451364"/>
    <w:multiLevelType w:val="hybridMultilevel"/>
    <w:tmpl w:val="3606FE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6"/>
  </w:num>
  <w:num w:numId="5">
    <w:abstractNumId w:val="20"/>
  </w:num>
  <w:num w:numId="6">
    <w:abstractNumId w:val="5"/>
  </w:num>
  <w:num w:numId="7">
    <w:abstractNumId w:val="15"/>
  </w:num>
  <w:num w:numId="8">
    <w:abstractNumId w:val="25"/>
  </w:num>
  <w:num w:numId="9">
    <w:abstractNumId w:val="22"/>
  </w:num>
  <w:num w:numId="10">
    <w:abstractNumId w:val="23"/>
  </w:num>
  <w:num w:numId="11">
    <w:abstractNumId w:val="27"/>
  </w:num>
  <w:num w:numId="12">
    <w:abstractNumId w:val="6"/>
  </w:num>
  <w:num w:numId="13">
    <w:abstractNumId w:val="21"/>
  </w:num>
  <w:num w:numId="14">
    <w:abstractNumId w:val="26"/>
  </w:num>
  <w:num w:numId="15">
    <w:abstractNumId w:val="31"/>
  </w:num>
  <w:num w:numId="16">
    <w:abstractNumId w:val="34"/>
  </w:num>
  <w:num w:numId="17">
    <w:abstractNumId w:val="10"/>
  </w:num>
  <w:num w:numId="18">
    <w:abstractNumId w:val="3"/>
  </w:num>
  <w:num w:numId="19">
    <w:abstractNumId w:val="35"/>
  </w:num>
  <w:num w:numId="20">
    <w:abstractNumId w:val="12"/>
  </w:num>
  <w:num w:numId="21">
    <w:abstractNumId w:val="30"/>
  </w:num>
  <w:num w:numId="22">
    <w:abstractNumId w:val="24"/>
  </w:num>
  <w:num w:numId="23">
    <w:abstractNumId w:val="36"/>
  </w:num>
  <w:num w:numId="24">
    <w:abstractNumId w:val="32"/>
  </w:num>
  <w:num w:numId="25">
    <w:abstractNumId w:val="19"/>
  </w:num>
  <w:num w:numId="26">
    <w:abstractNumId w:val="11"/>
  </w:num>
  <w:num w:numId="27">
    <w:abstractNumId w:val="14"/>
  </w:num>
  <w:num w:numId="28">
    <w:abstractNumId w:val="9"/>
  </w:num>
  <w:num w:numId="29">
    <w:abstractNumId w:val="1"/>
  </w:num>
  <w:num w:numId="30">
    <w:abstractNumId w:val="8"/>
  </w:num>
  <w:num w:numId="31">
    <w:abstractNumId w:val="2"/>
  </w:num>
  <w:num w:numId="32">
    <w:abstractNumId w:val="29"/>
  </w:num>
  <w:num w:numId="33">
    <w:abstractNumId w:val="13"/>
  </w:num>
  <w:num w:numId="34">
    <w:abstractNumId w:val="17"/>
  </w:num>
  <w:num w:numId="35">
    <w:abstractNumId w:val="28"/>
  </w:num>
  <w:num w:numId="36">
    <w:abstractNumId w:val="18"/>
  </w:num>
  <w:num w:numId="3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defaultTabStop w:val="720"/>
  <w:characterSpacingControl w:val="doNotCompress"/>
  <w:hdrShapeDefaults>
    <o:shapedefaults v:ext="edit" spidmax="20481"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6"/>
    <w:rsid w:val="0000094C"/>
    <w:rsid w:val="00000D13"/>
    <w:rsid w:val="0000191C"/>
    <w:rsid w:val="000020C5"/>
    <w:rsid w:val="00002315"/>
    <w:rsid w:val="0000329C"/>
    <w:rsid w:val="00003474"/>
    <w:rsid w:val="00003E2F"/>
    <w:rsid w:val="00004A73"/>
    <w:rsid w:val="00004D93"/>
    <w:rsid w:val="000052FA"/>
    <w:rsid w:val="000061A5"/>
    <w:rsid w:val="00006A6D"/>
    <w:rsid w:val="00006DD2"/>
    <w:rsid w:val="0001052E"/>
    <w:rsid w:val="00011568"/>
    <w:rsid w:val="00012824"/>
    <w:rsid w:val="00012DE8"/>
    <w:rsid w:val="00014041"/>
    <w:rsid w:val="0001749E"/>
    <w:rsid w:val="00021FE1"/>
    <w:rsid w:val="000225CE"/>
    <w:rsid w:val="000233FD"/>
    <w:rsid w:val="00023C3E"/>
    <w:rsid w:val="00024F65"/>
    <w:rsid w:val="0002544F"/>
    <w:rsid w:val="00025D7F"/>
    <w:rsid w:val="00027681"/>
    <w:rsid w:val="000318B2"/>
    <w:rsid w:val="0003226C"/>
    <w:rsid w:val="00032491"/>
    <w:rsid w:val="00035496"/>
    <w:rsid w:val="000357A3"/>
    <w:rsid w:val="00037D77"/>
    <w:rsid w:val="00040F36"/>
    <w:rsid w:val="00042FC7"/>
    <w:rsid w:val="000437CE"/>
    <w:rsid w:val="00043B94"/>
    <w:rsid w:val="00043D23"/>
    <w:rsid w:val="0004418B"/>
    <w:rsid w:val="00044688"/>
    <w:rsid w:val="00045692"/>
    <w:rsid w:val="000461AC"/>
    <w:rsid w:val="000467C2"/>
    <w:rsid w:val="000521E5"/>
    <w:rsid w:val="00053007"/>
    <w:rsid w:val="0005315E"/>
    <w:rsid w:val="000548BF"/>
    <w:rsid w:val="000549B7"/>
    <w:rsid w:val="00054C89"/>
    <w:rsid w:val="00055140"/>
    <w:rsid w:val="00055479"/>
    <w:rsid w:val="00060D92"/>
    <w:rsid w:val="000634FF"/>
    <w:rsid w:val="00063DE4"/>
    <w:rsid w:val="000673A8"/>
    <w:rsid w:val="00067454"/>
    <w:rsid w:val="0006756D"/>
    <w:rsid w:val="000676ED"/>
    <w:rsid w:val="00067A5D"/>
    <w:rsid w:val="000705E3"/>
    <w:rsid w:val="00070BC1"/>
    <w:rsid w:val="00071EF8"/>
    <w:rsid w:val="00075C71"/>
    <w:rsid w:val="00076DE6"/>
    <w:rsid w:val="0007787A"/>
    <w:rsid w:val="00081B36"/>
    <w:rsid w:val="0008285F"/>
    <w:rsid w:val="000833EE"/>
    <w:rsid w:val="00083DC0"/>
    <w:rsid w:val="00084FF5"/>
    <w:rsid w:val="000851D6"/>
    <w:rsid w:val="00085372"/>
    <w:rsid w:val="000855EA"/>
    <w:rsid w:val="00085D9A"/>
    <w:rsid w:val="00085F95"/>
    <w:rsid w:val="00087808"/>
    <w:rsid w:val="00087ECA"/>
    <w:rsid w:val="000901B5"/>
    <w:rsid w:val="00092708"/>
    <w:rsid w:val="00092BBA"/>
    <w:rsid w:val="00096D57"/>
    <w:rsid w:val="00097545"/>
    <w:rsid w:val="00097E66"/>
    <w:rsid w:val="000A03E8"/>
    <w:rsid w:val="000A0699"/>
    <w:rsid w:val="000A1A54"/>
    <w:rsid w:val="000A5529"/>
    <w:rsid w:val="000A691D"/>
    <w:rsid w:val="000A6FF8"/>
    <w:rsid w:val="000A7E64"/>
    <w:rsid w:val="000A7E91"/>
    <w:rsid w:val="000B328C"/>
    <w:rsid w:val="000B7045"/>
    <w:rsid w:val="000C03FB"/>
    <w:rsid w:val="000C2A69"/>
    <w:rsid w:val="000C4964"/>
    <w:rsid w:val="000C515F"/>
    <w:rsid w:val="000C51ED"/>
    <w:rsid w:val="000D1AB0"/>
    <w:rsid w:val="000D29EE"/>
    <w:rsid w:val="000D2D1F"/>
    <w:rsid w:val="000D4427"/>
    <w:rsid w:val="000D6A66"/>
    <w:rsid w:val="000D6D12"/>
    <w:rsid w:val="000D6DBE"/>
    <w:rsid w:val="000D730A"/>
    <w:rsid w:val="000E07CF"/>
    <w:rsid w:val="000E13CE"/>
    <w:rsid w:val="000E281E"/>
    <w:rsid w:val="000E31A2"/>
    <w:rsid w:val="000E3954"/>
    <w:rsid w:val="000E3FD6"/>
    <w:rsid w:val="000E42F5"/>
    <w:rsid w:val="000E49D3"/>
    <w:rsid w:val="000E5433"/>
    <w:rsid w:val="000E754C"/>
    <w:rsid w:val="000E7810"/>
    <w:rsid w:val="000F02ED"/>
    <w:rsid w:val="000F04E2"/>
    <w:rsid w:val="000F1311"/>
    <w:rsid w:val="000F1429"/>
    <w:rsid w:val="000F240F"/>
    <w:rsid w:val="000F2A7B"/>
    <w:rsid w:val="000F2C16"/>
    <w:rsid w:val="000F5417"/>
    <w:rsid w:val="000F57F7"/>
    <w:rsid w:val="000F5BEE"/>
    <w:rsid w:val="000F5C3B"/>
    <w:rsid w:val="000F61BD"/>
    <w:rsid w:val="000F6956"/>
    <w:rsid w:val="000F69C9"/>
    <w:rsid w:val="00100E93"/>
    <w:rsid w:val="00102F37"/>
    <w:rsid w:val="001034C5"/>
    <w:rsid w:val="00103B5C"/>
    <w:rsid w:val="0010615E"/>
    <w:rsid w:val="00107299"/>
    <w:rsid w:val="0011050B"/>
    <w:rsid w:val="00111103"/>
    <w:rsid w:val="00111F8F"/>
    <w:rsid w:val="0011298C"/>
    <w:rsid w:val="00112D09"/>
    <w:rsid w:val="0011313F"/>
    <w:rsid w:val="00113E0D"/>
    <w:rsid w:val="00117618"/>
    <w:rsid w:val="00120262"/>
    <w:rsid w:val="0012103D"/>
    <w:rsid w:val="00121CC8"/>
    <w:rsid w:val="00123163"/>
    <w:rsid w:val="00126B21"/>
    <w:rsid w:val="00126B30"/>
    <w:rsid w:val="001273EB"/>
    <w:rsid w:val="001314F1"/>
    <w:rsid w:val="0013257F"/>
    <w:rsid w:val="001329C2"/>
    <w:rsid w:val="00133159"/>
    <w:rsid w:val="00133517"/>
    <w:rsid w:val="00133C11"/>
    <w:rsid w:val="00134081"/>
    <w:rsid w:val="0013431E"/>
    <w:rsid w:val="00134F45"/>
    <w:rsid w:val="001367D7"/>
    <w:rsid w:val="001372AB"/>
    <w:rsid w:val="00137860"/>
    <w:rsid w:val="001412EF"/>
    <w:rsid w:val="0014252C"/>
    <w:rsid w:val="001429E2"/>
    <w:rsid w:val="001431B2"/>
    <w:rsid w:val="00146EA3"/>
    <w:rsid w:val="001507D4"/>
    <w:rsid w:val="00150E39"/>
    <w:rsid w:val="00151D76"/>
    <w:rsid w:val="00151FC8"/>
    <w:rsid w:val="0015337F"/>
    <w:rsid w:val="00154514"/>
    <w:rsid w:val="00154DB0"/>
    <w:rsid w:val="00154E19"/>
    <w:rsid w:val="00157E57"/>
    <w:rsid w:val="00161A23"/>
    <w:rsid w:val="0016351E"/>
    <w:rsid w:val="00163B37"/>
    <w:rsid w:val="0016508C"/>
    <w:rsid w:val="00166699"/>
    <w:rsid w:val="00166AE2"/>
    <w:rsid w:val="00167449"/>
    <w:rsid w:val="00167825"/>
    <w:rsid w:val="00167EB2"/>
    <w:rsid w:val="00172D87"/>
    <w:rsid w:val="00173466"/>
    <w:rsid w:val="00174F89"/>
    <w:rsid w:val="0017780F"/>
    <w:rsid w:val="00185D29"/>
    <w:rsid w:val="00185EE1"/>
    <w:rsid w:val="001863D2"/>
    <w:rsid w:val="00186AF9"/>
    <w:rsid w:val="0018734F"/>
    <w:rsid w:val="001878FE"/>
    <w:rsid w:val="00187D66"/>
    <w:rsid w:val="00190C6F"/>
    <w:rsid w:val="00191889"/>
    <w:rsid w:val="00192F1E"/>
    <w:rsid w:val="0019363C"/>
    <w:rsid w:val="00193AA6"/>
    <w:rsid w:val="00193D91"/>
    <w:rsid w:val="00194EA1"/>
    <w:rsid w:val="00195423"/>
    <w:rsid w:val="0019579A"/>
    <w:rsid w:val="001A109E"/>
    <w:rsid w:val="001A11D2"/>
    <w:rsid w:val="001A18CC"/>
    <w:rsid w:val="001A2142"/>
    <w:rsid w:val="001A2704"/>
    <w:rsid w:val="001A4C59"/>
    <w:rsid w:val="001A537A"/>
    <w:rsid w:val="001A59C9"/>
    <w:rsid w:val="001A77E7"/>
    <w:rsid w:val="001B0074"/>
    <w:rsid w:val="001B130F"/>
    <w:rsid w:val="001B1A50"/>
    <w:rsid w:val="001B20A9"/>
    <w:rsid w:val="001B3555"/>
    <w:rsid w:val="001B41A6"/>
    <w:rsid w:val="001B47DC"/>
    <w:rsid w:val="001B50EF"/>
    <w:rsid w:val="001B5A43"/>
    <w:rsid w:val="001B6A4A"/>
    <w:rsid w:val="001C28CF"/>
    <w:rsid w:val="001C3383"/>
    <w:rsid w:val="001C3C00"/>
    <w:rsid w:val="001C4719"/>
    <w:rsid w:val="001C47DC"/>
    <w:rsid w:val="001C497F"/>
    <w:rsid w:val="001C7411"/>
    <w:rsid w:val="001D1970"/>
    <w:rsid w:val="001D1AD7"/>
    <w:rsid w:val="001D2E43"/>
    <w:rsid w:val="001D3936"/>
    <w:rsid w:val="001D4221"/>
    <w:rsid w:val="001D45F3"/>
    <w:rsid w:val="001D4739"/>
    <w:rsid w:val="001D56AF"/>
    <w:rsid w:val="001D5709"/>
    <w:rsid w:val="001D5CC2"/>
    <w:rsid w:val="001D635A"/>
    <w:rsid w:val="001D7D04"/>
    <w:rsid w:val="001E1359"/>
    <w:rsid w:val="001E1E2D"/>
    <w:rsid w:val="001E1F67"/>
    <w:rsid w:val="001E4A65"/>
    <w:rsid w:val="001E4C09"/>
    <w:rsid w:val="001E5EF4"/>
    <w:rsid w:val="001E62C1"/>
    <w:rsid w:val="001E6929"/>
    <w:rsid w:val="001E6AFE"/>
    <w:rsid w:val="001E6B86"/>
    <w:rsid w:val="001E77E3"/>
    <w:rsid w:val="001E7F5F"/>
    <w:rsid w:val="001F01C1"/>
    <w:rsid w:val="001F0444"/>
    <w:rsid w:val="001F04CA"/>
    <w:rsid w:val="001F1CC8"/>
    <w:rsid w:val="001F23F6"/>
    <w:rsid w:val="001F40C1"/>
    <w:rsid w:val="001F5AEA"/>
    <w:rsid w:val="001F6F6E"/>
    <w:rsid w:val="00201D70"/>
    <w:rsid w:val="00202216"/>
    <w:rsid w:val="0020255E"/>
    <w:rsid w:val="00202C63"/>
    <w:rsid w:val="00203D1A"/>
    <w:rsid w:val="002048B4"/>
    <w:rsid w:val="00205F98"/>
    <w:rsid w:val="0020691E"/>
    <w:rsid w:val="002123CA"/>
    <w:rsid w:val="002131F7"/>
    <w:rsid w:val="00213EB4"/>
    <w:rsid w:val="00215062"/>
    <w:rsid w:val="00220013"/>
    <w:rsid w:val="00220066"/>
    <w:rsid w:val="002202E5"/>
    <w:rsid w:val="00222B38"/>
    <w:rsid w:val="00223304"/>
    <w:rsid w:val="00224E7E"/>
    <w:rsid w:val="00225205"/>
    <w:rsid w:val="00225345"/>
    <w:rsid w:val="00225530"/>
    <w:rsid w:val="00225EF9"/>
    <w:rsid w:val="00225EFF"/>
    <w:rsid w:val="002275E8"/>
    <w:rsid w:val="00227C3B"/>
    <w:rsid w:val="00231542"/>
    <w:rsid w:val="00231CA7"/>
    <w:rsid w:val="00233A74"/>
    <w:rsid w:val="002340E1"/>
    <w:rsid w:val="0023518A"/>
    <w:rsid w:val="00236099"/>
    <w:rsid w:val="002362D9"/>
    <w:rsid w:val="0023718E"/>
    <w:rsid w:val="00237378"/>
    <w:rsid w:val="00237652"/>
    <w:rsid w:val="002405FE"/>
    <w:rsid w:val="00241A3D"/>
    <w:rsid w:val="002422CE"/>
    <w:rsid w:val="00242409"/>
    <w:rsid w:val="00245AD2"/>
    <w:rsid w:val="00247851"/>
    <w:rsid w:val="00247A00"/>
    <w:rsid w:val="002500C6"/>
    <w:rsid w:val="00250CDC"/>
    <w:rsid w:val="00251CD7"/>
    <w:rsid w:val="002522F2"/>
    <w:rsid w:val="00252717"/>
    <w:rsid w:val="00252A22"/>
    <w:rsid w:val="00252A61"/>
    <w:rsid w:val="00252D30"/>
    <w:rsid w:val="0025316E"/>
    <w:rsid w:val="0025340E"/>
    <w:rsid w:val="00253FAD"/>
    <w:rsid w:val="00255B0A"/>
    <w:rsid w:val="00255BA9"/>
    <w:rsid w:val="002622DC"/>
    <w:rsid w:val="002651B4"/>
    <w:rsid w:val="00265290"/>
    <w:rsid w:val="00266356"/>
    <w:rsid w:val="00267CD3"/>
    <w:rsid w:val="00272043"/>
    <w:rsid w:val="0027236C"/>
    <w:rsid w:val="00272FF4"/>
    <w:rsid w:val="002738FA"/>
    <w:rsid w:val="00274146"/>
    <w:rsid w:val="002807F8"/>
    <w:rsid w:val="002829DA"/>
    <w:rsid w:val="00283B8B"/>
    <w:rsid w:val="00287764"/>
    <w:rsid w:val="002926A6"/>
    <w:rsid w:val="0029395A"/>
    <w:rsid w:val="00293D4D"/>
    <w:rsid w:val="0029434D"/>
    <w:rsid w:val="0029439E"/>
    <w:rsid w:val="00294420"/>
    <w:rsid w:val="002960E3"/>
    <w:rsid w:val="00296E94"/>
    <w:rsid w:val="00296F8E"/>
    <w:rsid w:val="002A03FF"/>
    <w:rsid w:val="002A1F83"/>
    <w:rsid w:val="002A3F2F"/>
    <w:rsid w:val="002A406D"/>
    <w:rsid w:val="002A44D1"/>
    <w:rsid w:val="002A4DE0"/>
    <w:rsid w:val="002A63FE"/>
    <w:rsid w:val="002A7C9A"/>
    <w:rsid w:val="002B0FF8"/>
    <w:rsid w:val="002B225F"/>
    <w:rsid w:val="002B244F"/>
    <w:rsid w:val="002B2A2A"/>
    <w:rsid w:val="002B3045"/>
    <w:rsid w:val="002B3C12"/>
    <w:rsid w:val="002B402C"/>
    <w:rsid w:val="002B43EF"/>
    <w:rsid w:val="002C0396"/>
    <w:rsid w:val="002C0523"/>
    <w:rsid w:val="002C1175"/>
    <w:rsid w:val="002C118A"/>
    <w:rsid w:val="002C1C16"/>
    <w:rsid w:val="002C2179"/>
    <w:rsid w:val="002C25E4"/>
    <w:rsid w:val="002C4465"/>
    <w:rsid w:val="002C5A20"/>
    <w:rsid w:val="002C7BC1"/>
    <w:rsid w:val="002D0A34"/>
    <w:rsid w:val="002D1987"/>
    <w:rsid w:val="002D3003"/>
    <w:rsid w:val="002D356E"/>
    <w:rsid w:val="002D4C4A"/>
    <w:rsid w:val="002D54A5"/>
    <w:rsid w:val="002D5EB9"/>
    <w:rsid w:val="002D62B9"/>
    <w:rsid w:val="002D6C72"/>
    <w:rsid w:val="002D6F2B"/>
    <w:rsid w:val="002D72BF"/>
    <w:rsid w:val="002D7837"/>
    <w:rsid w:val="002E102C"/>
    <w:rsid w:val="002E1381"/>
    <w:rsid w:val="002E20C1"/>
    <w:rsid w:val="002E27DC"/>
    <w:rsid w:val="002E357B"/>
    <w:rsid w:val="002E370C"/>
    <w:rsid w:val="002E37C1"/>
    <w:rsid w:val="002E3D3D"/>
    <w:rsid w:val="002E4031"/>
    <w:rsid w:val="002E4551"/>
    <w:rsid w:val="002E5780"/>
    <w:rsid w:val="002E5CBB"/>
    <w:rsid w:val="002E704F"/>
    <w:rsid w:val="002F0C44"/>
    <w:rsid w:val="002F2067"/>
    <w:rsid w:val="002F29B6"/>
    <w:rsid w:val="002F36E1"/>
    <w:rsid w:val="002F3EC6"/>
    <w:rsid w:val="002F56D0"/>
    <w:rsid w:val="002F656C"/>
    <w:rsid w:val="002F77FD"/>
    <w:rsid w:val="003001ED"/>
    <w:rsid w:val="0030350B"/>
    <w:rsid w:val="00303C4C"/>
    <w:rsid w:val="00304205"/>
    <w:rsid w:val="00304735"/>
    <w:rsid w:val="00304D6D"/>
    <w:rsid w:val="0030767E"/>
    <w:rsid w:val="00310713"/>
    <w:rsid w:val="00310C03"/>
    <w:rsid w:val="00311BF6"/>
    <w:rsid w:val="00312963"/>
    <w:rsid w:val="00312CC8"/>
    <w:rsid w:val="003148B4"/>
    <w:rsid w:val="00314BED"/>
    <w:rsid w:val="00314FA1"/>
    <w:rsid w:val="003150E1"/>
    <w:rsid w:val="003156ED"/>
    <w:rsid w:val="00316611"/>
    <w:rsid w:val="00316FDE"/>
    <w:rsid w:val="00320B19"/>
    <w:rsid w:val="0032151C"/>
    <w:rsid w:val="0032204D"/>
    <w:rsid w:val="003229BD"/>
    <w:rsid w:val="00322A76"/>
    <w:rsid w:val="00323B3B"/>
    <w:rsid w:val="0032415C"/>
    <w:rsid w:val="00325A52"/>
    <w:rsid w:val="00327E5B"/>
    <w:rsid w:val="00331379"/>
    <w:rsid w:val="003322D4"/>
    <w:rsid w:val="003322DA"/>
    <w:rsid w:val="003324D5"/>
    <w:rsid w:val="00335209"/>
    <w:rsid w:val="00335AF5"/>
    <w:rsid w:val="00335F62"/>
    <w:rsid w:val="00336495"/>
    <w:rsid w:val="00337AD4"/>
    <w:rsid w:val="0034003C"/>
    <w:rsid w:val="0034064D"/>
    <w:rsid w:val="00340C17"/>
    <w:rsid w:val="00340E24"/>
    <w:rsid w:val="00341E48"/>
    <w:rsid w:val="00341ED5"/>
    <w:rsid w:val="00342941"/>
    <w:rsid w:val="00344968"/>
    <w:rsid w:val="00345E0D"/>
    <w:rsid w:val="00347F77"/>
    <w:rsid w:val="00350C95"/>
    <w:rsid w:val="0035118C"/>
    <w:rsid w:val="00353A2C"/>
    <w:rsid w:val="0035548E"/>
    <w:rsid w:val="00357357"/>
    <w:rsid w:val="0035776A"/>
    <w:rsid w:val="00360FF6"/>
    <w:rsid w:val="00361AA7"/>
    <w:rsid w:val="00362912"/>
    <w:rsid w:val="00366472"/>
    <w:rsid w:val="0037075E"/>
    <w:rsid w:val="003708F5"/>
    <w:rsid w:val="00372D8A"/>
    <w:rsid w:val="00372FDF"/>
    <w:rsid w:val="00375924"/>
    <w:rsid w:val="00376953"/>
    <w:rsid w:val="00377FB2"/>
    <w:rsid w:val="0038002F"/>
    <w:rsid w:val="003805AC"/>
    <w:rsid w:val="00381267"/>
    <w:rsid w:val="00383397"/>
    <w:rsid w:val="00383DBE"/>
    <w:rsid w:val="00384B13"/>
    <w:rsid w:val="00384FF6"/>
    <w:rsid w:val="00387E6A"/>
    <w:rsid w:val="00391811"/>
    <w:rsid w:val="00391B7D"/>
    <w:rsid w:val="003941BE"/>
    <w:rsid w:val="003942F8"/>
    <w:rsid w:val="00394924"/>
    <w:rsid w:val="00395614"/>
    <w:rsid w:val="00395639"/>
    <w:rsid w:val="00395DFF"/>
    <w:rsid w:val="00396AA6"/>
    <w:rsid w:val="0039733F"/>
    <w:rsid w:val="00397EDD"/>
    <w:rsid w:val="003A104F"/>
    <w:rsid w:val="003A1ACE"/>
    <w:rsid w:val="003A1F5B"/>
    <w:rsid w:val="003A2E39"/>
    <w:rsid w:val="003A374E"/>
    <w:rsid w:val="003A443A"/>
    <w:rsid w:val="003A4878"/>
    <w:rsid w:val="003A579F"/>
    <w:rsid w:val="003A5CE4"/>
    <w:rsid w:val="003A5DC4"/>
    <w:rsid w:val="003A63D1"/>
    <w:rsid w:val="003A6E78"/>
    <w:rsid w:val="003B097A"/>
    <w:rsid w:val="003B0A25"/>
    <w:rsid w:val="003B0CEE"/>
    <w:rsid w:val="003B2D50"/>
    <w:rsid w:val="003B3EB1"/>
    <w:rsid w:val="003B4B8C"/>
    <w:rsid w:val="003B5657"/>
    <w:rsid w:val="003B571A"/>
    <w:rsid w:val="003B5C07"/>
    <w:rsid w:val="003B738E"/>
    <w:rsid w:val="003B7650"/>
    <w:rsid w:val="003C07E4"/>
    <w:rsid w:val="003C0BB7"/>
    <w:rsid w:val="003C1B28"/>
    <w:rsid w:val="003C3233"/>
    <w:rsid w:val="003C398E"/>
    <w:rsid w:val="003C3CBF"/>
    <w:rsid w:val="003C425C"/>
    <w:rsid w:val="003C4749"/>
    <w:rsid w:val="003C560C"/>
    <w:rsid w:val="003C6FA6"/>
    <w:rsid w:val="003D06AA"/>
    <w:rsid w:val="003D07FA"/>
    <w:rsid w:val="003D351D"/>
    <w:rsid w:val="003D37AE"/>
    <w:rsid w:val="003D395E"/>
    <w:rsid w:val="003D3FE7"/>
    <w:rsid w:val="003D4464"/>
    <w:rsid w:val="003D4A06"/>
    <w:rsid w:val="003D4AF8"/>
    <w:rsid w:val="003D4CDB"/>
    <w:rsid w:val="003D5A3E"/>
    <w:rsid w:val="003D703E"/>
    <w:rsid w:val="003E011A"/>
    <w:rsid w:val="003E2290"/>
    <w:rsid w:val="003E2421"/>
    <w:rsid w:val="003E43B7"/>
    <w:rsid w:val="003E50FB"/>
    <w:rsid w:val="003E52AE"/>
    <w:rsid w:val="003E5B5A"/>
    <w:rsid w:val="003E5F61"/>
    <w:rsid w:val="003E6294"/>
    <w:rsid w:val="003F0BAB"/>
    <w:rsid w:val="003F1283"/>
    <w:rsid w:val="003F2358"/>
    <w:rsid w:val="003F2FAA"/>
    <w:rsid w:val="003F4D64"/>
    <w:rsid w:val="003F4DE5"/>
    <w:rsid w:val="003F58BD"/>
    <w:rsid w:val="003F5998"/>
    <w:rsid w:val="003F61A1"/>
    <w:rsid w:val="003F7493"/>
    <w:rsid w:val="003F7938"/>
    <w:rsid w:val="00400CF5"/>
    <w:rsid w:val="00400D5C"/>
    <w:rsid w:val="0040131F"/>
    <w:rsid w:val="004019EE"/>
    <w:rsid w:val="0040603C"/>
    <w:rsid w:val="004073E7"/>
    <w:rsid w:val="00407459"/>
    <w:rsid w:val="004103B1"/>
    <w:rsid w:val="00411849"/>
    <w:rsid w:val="00411B17"/>
    <w:rsid w:val="004126AC"/>
    <w:rsid w:val="004132A0"/>
    <w:rsid w:val="0041373B"/>
    <w:rsid w:val="004146B6"/>
    <w:rsid w:val="00414BFC"/>
    <w:rsid w:val="00414CC1"/>
    <w:rsid w:val="00415018"/>
    <w:rsid w:val="0041664E"/>
    <w:rsid w:val="00416CD6"/>
    <w:rsid w:val="00417399"/>
    <w:rsid w:val="004203C2"/>
    <w:rsid w:val="00421E54"/>
    <w:rsid w:val="0042200D"/>
    <w:rsid w:val="004221AB"/>
    <w:rsid w:val="00422474"/>
    <w:rsid w:val="00423131"/>
    <w:rsid w:val="004244A7"/>
    <w:rsid w:val="00426797"/>
    <w:rsid w:val="00431321"/>
    <w:rsid w:val="00433760"/>
    <w:rsid w:val="004347CA"/>
    <w:rsid w:val="004355B1"/>
    <w:rsid w:val="00435998"/>
    <w:rsid w:val="00435DD0"/>
    <w:rsid w:val="004367BC"/>
    <w:rsid w:val="00437B7B"/>
    <w:rsid w:val="00440077"/>
    <w:rsid w:val="004408D8"/>
    <w:rsid w:val="00440E4D"/>
    <w:rsid w:val="00441EBB"/>
    <w:rsid w:val="00441F7C"/>
    <w:rsid w:val="0044226E"/>
    <w:rsid w:val="00442BBD"/>
    <w:rsid w:val="00442C25"/>
    <w:rsid w:val="0044367F"/>
    <w:rsid w:val="004438CE"/>
    <w:rsid w:val="00443A2C"/>
    <w:rsid w:val="00444865"/>
    <w:rsid w:val="00444878"/>
    <w:rsid w:val="0044528E"/>
    <w:rsid w:val="004452FB"/>
    <w:rsid w:val="00445D0B"/>
    <w:rsid w:val="00446ACC"/>
    <w:rsid w:val="0045002A"/>
    <w:rsid w:val="00451419"/>
    <w:rsid w:val="0045177E"/>
    <w:rsid w:val="00452291"/>
    <w:rsid w:val="004522C7"/>
    <w:rsid w:val="00453F11"/>
    <w:rsid w:val="00454C7B"/>
    <w:rsid w:val="00455264"/>
    <w:rsid w:val="00455D18"/>
    <w:rsid w:val="00455D6C"/>
    <w:rsid w:val="00456278"/>
    <w:rsid w:val="0046152E"/>
    <w:rsid w:val="00461729"/>
    <w:rsid w:val="00461850"/>
    <w:rsid w:val="004643C3"/>
    <w:rsid w:val="00465E81"/>
    <w:rsid w:val="00467FEC"/>
    <w:rsid w:val="004703E4"/>
    <w:rsid w:val="004706D1"/>
    <w:rsid w:val="004728AA"/>
    <w:rsid w:val="00472D24"/>
    <w:rsid w:val="004742C0"/>
    <w:rsid w:val="00476255"/>
    <w:rsid w:val="00476CBC"/>
    <w:rsid w:val="0048007F"/>
    <w:rsid w:val="00480875"/>
    <w:rsid w:val="00480A1F"/>
    <w:rsid w:val="00481E4F"/>
    <w:rsid w:val="00482E85"/>
    <w:rsid w:val="004839C7"/>
    <w:rsid w:val="00485817"/>
    <w:rsid w:val="00485897"/>
    <w:rsid w:val="00486C9A"/>
    <w:rsid w:val="004919CB"/>
    <w:rsid w:val="004928AE"/>
    <w:rsid w:val="00492C6E"/>
    <w:rsid w:val="00493D3E"/>
    <w:rsid w:val="00494A60"/>
    <w:rsid w:val="00496285"/>
    <w:rsid w:val="00496FE3"/>
    <w:rsid w:val="004975DD"/>
    <w:rsid w:val="00497A78"/>
    <w:rsid w:val="004A04CA"/>
    <w:rsid w:val="004A1034"/>
    <w:rsid w:val="004A10AB"/>
    <w:rsid w:val="004A1312"/>
    <w:rsid w:val="004A2B1E"/>
    <w:rsid w:val="004A2F21"/>
    <w:rsid w:val="004A36FB"/>
    <w:rsid w:val="004A3F07"/>
    <w:rsid w:val="004A4A4E"/>
    <w:rsid w:val="004A4DD3"/>
    <w:rsid w:val="004A4E17"/>
    <w:rsid w:val="004A5AF0"/>
    <w:rsid w:val="004A6332"/>
    <w:rsid w:val="004A6F50"/>
    <w:rsid w:val="004A7065"/>
    <w:rsid w:val="004B05F4"/>
    <w:rsid w:val="004B0C3D"/>
    <w:rsid w:val="004B1CAD"/>
    <w:rsid w:val="004B4BD3"/>
    <w:rsid w:val="004B53F8"/>
    <w:rsid w:val="004B5CC1"/>
    <w:rsid w:val="004B74A0"/>
    <w:rsid w:val="004B7734"/>
    <w:rsid w:val="004B791B"/>
    <w:rsid w:val="004B7928"/>
    <w:rsid w:val="004B7D62"/>
    <w:rsid w:val="004B7F3A"/>
    <w:rsid w:val="004C23DA"/>
    <w:rsid w:val="004C2991"/>
    <w:rsid w:val="004C5245"/>
    <w:rsid w:val="004C662B"/>
    <w:rsid w:val="004C797A"/>
    <w:rsid w:val="004C7B0D"/>
    <w:rsid w:val="004D0E25"/>
    <w:rsid w:val="004D284F"/>
    <w:rsid w:val="004D377A"/>
    <w:rsid w:val="004D48FF"/>
    <w:rsid w:val="004D59A7"/>
    <w:rsid w:val="004D5F5B"/>
    <w:rsid w:val="004D6B57"/>
    <w:rsid w:val="004D7359"/>
    <w:rsid w:val="004E09E3"/>
    <w:rsid w:val="004E10E4"/>
    <w:rsid w:val="004E306D"/>
    <w:rsid w:val="004E357B"/>
    <w:rsid w:val="004E427D"/>
    <w:rsid w:val="004E4384"/>
    <w:rsid w:val="004E49F3"/>
    <w:rsid w:val="004E4E5F"/>
    <w:rsid w:val="004E4FFF"/>
    <w:rsid w:val="004E730D"/>
    <w:rsid w:val="004E7826"/>
    <w:rsid w:val="004F21FA"/>
    <w:rsid w:val="004F30BF"/>
    <w:rsid w:val="004F3D34"/>
    <w:rsid w:val="005005E6"/>
    <w:rsid w:val="005022A9"/>
    <w:rsid w:val="00503A43"/>
    <w:rsid w:val="00503D60"/>
    <w:rsid w:val="0050416B"/>
    <w:rsid w:val="00505EA0"/>
    <w:rsid w:val="00505F15"/>
    <w:rsid w:val="0050658A"/>
    <w:rsid w:val="00511E8A"/>
    <w:rsid w:val="00512E97"/>
    <w:rsid w:val="00512E99"/>
    <w:rsid w:val="005133CA"/>
    <w:rsid w:val="0051389D"/>
    <w:rsid w:val="00514688"/>
    <w:rsid w:val="00514698"/>
    <w:rsid w:val="0051562C"/>
    <w:rsid w:val="0051638B"/>
    <w:rsid w:val="00516DA0"/>
    <w:rsid w:val="00516F58"/>
    <w:rsid w:val="00517C82"/>
    <w:rsid w:val="00520A56"/>
    <w:rsid w:val="00521AD6"/>
    <w:rsid w:val="00522095"/>
    <w:rsid w:val="00522912"/>
    <w:rsid w:val="00522E49"/>
    <w:rsid w:val="005231AC"/>
    <w:rsid w:val="00524163"/>
    <w:rsid w:val="00525064"/>
    <w:rsid w:val="00527070"/>
    <w:rsid w:val="00527605"/>
    <w:rsid w:val="00527C18"/>
    <w:rsid w:val="005309B3"/>
    <w:rsid w:val="00530F34"/>
    <w:rsid w:val="005342B6"/>
    <w:rsid w:val="005345D4"/>
    <w:rsid w:val="00536393"/>
    <w:rsid w:val="00536442"/>
    <w:rsid w:val="0053737E"/>
    <w:rsid w:val="00537974"/>
    <w:rsid w:val="0054043E"/>
    <w:rsid w:val="00540E4B"/>
    <w:rsid w:val="00543A72"/>
    <w:rsid w:val="00545F0F"/>
    <w:rsid w:val="0054794A"/>
    <w:rsid w:val="00547D49"/>
    <w:rsid w:val="00547D6E"/>
    <w:rsid w:val="005525BC"/>
    <w:rsid w:val="005547D5"/>
    <w:rsid w:val="00555D34"/>
    <w:rsid w:val="00561037"/>
    <w:rsid w:val="00561179"/>
    <w:rsid w:val="00562B24"/>
    <w:rsid w:val="00563329"/>
    <w:rsid w:val="00563C1B"/>
    <w:rsid w:val="0056412B"/>
    <w:rsid w:val="005656B0"/>
    <w:rsid w:val="0056631B"/>
    <w:rsid w:val="00566DD6"/>
    <w:rsid w:val="00567155"/>
    <w:rsid w:val="0056719E"/>
    <w:rsid w:val="00567B2F"/>
    <w:rsid w:val="0057152C"/>
    <w:rsid w:val="00572330"/>
    <w:rsid w:val="005723C3"/>
    <w:rsid w:val="005752E1"/>
    <w:rsid w:val="005756D1"/>
    <w:rsid w:val="005777AD"/>
    <w:rsid w:val="005812C7"/>
    <w:rsid w:val="00582AB5"/>
    <w:rsid w:val="0058577F"/>
    <w:rsid w:val="00585C80"/>
    <w:rsid w:val="00586AC4"/>
    <w:rsid w:val="00586EFF"/>
    <w:rsid w:val="005873A8"/>
    <w:rsid w:val="005901D6"/>
    <w:rsid w:val="005904B9"/>
    <w:rsid w:val="00590C56"/>
    <w:rsid w:val="005933E2"/>
    <w:rsid w:val="005939B7"/>
    <w:rsid w:val="005A06FA"/>
    <w:rsid w:val="005A28AF"/>
    <w:rsid w:val="005A28E3"/>
    <w:rsid w:val="005A3511"/>
    <w:rsid w:val="005A3B98"/>
    <w:rsid w:val="005A3DFC"/>
    <w:rsid w:val="005A4670"/>
    <w:rsid w:val="005A4E5D"/>
    <w:rsid w:val="005A5201"/>
    <w:rsid w:val="005A5402"/>
    <w:rsid w:val="005A585C"/>
    <w:rsid w:val="005A73BB"/>
    <w:rsid w:val="005B0736"/>
    <w:rsid w:val="005B0839"/>
    <w:rsid w:val="005B0FA5"/>
    <w:rsid w:val="005B122B"/>
    <w:rsid w:val="005B1936"/>
    <w:rsid w:val="005B225A"/>
    <w:rsid w:val="005B41A0"/>
    <w:rsid w:val="005B59D0"/>
    <w:rsid w:val="005B721C"/>
    <w:rsid w:val="005C038C"/>
    <w:rsid w:val="005C0B54"/>
    <w:rsid w:val="005C3ECE"/>
    <w:rsid w:val="005C6BF4"/>
    <w:rsid w:val="005D147B"/>
    <w:rsid w:val="005D22CF"/>
    <w:rsid w:val="005D37B4"/>
    <w:rsid w:val="005D381E"/>
    <w:rsid w:val="005D3B4C"/>
    <w:rsid w:val="005D3DB3"/>
    <w:rsid w:val="005D4FB8"/>
    <w:rsid w:val="005D6CAC"/>
    <w:rsid w:val="005D77C5"/>
    <w:rsid w:val="005E067E"/>
    <w:rsid w:val="005E1DC7"/>
    <w:rsid w:val="005E208F"/>
    <w:rsid w:val="005E45EB"/>
    <w:rsid w:val="005E4DEE"/>
    <w:rsid w:val="005E6C45"/>
    <w:rsid w:val="005F00E5"/>
    <w:rsid w:val="005F0CAC"/>
    <w:rsid w:val="005F1F38"/>
    <w:rsid w:val="005F2D55"/>
    <w:rsid w:val="005F2F07"/>
    <w:rsid w:val="005F323B"/>
    <w:rsid w:val="005F3EF1"/>
    <w:rsid w:val="005F5245"/>
    <w:rsid w:val="005F52AA"/>
    <w:rsid w:val="005F533F"/>
    <w:rsid w:val="005F6867"/>
    <w:rsid w:val="005F68C8"/>
    <w:rsid w:val="005F6A39"/>
    <w:rsid w:val="005F72BD"/>
    <w:rsid w:val="005F7723"/>
    <w:rsid w:val="005F7BD4"/>
    <w:rsid w:val="0060230F"/>
    <w:rsid w:val="006034EF"/>
    <w:rsid w:val="0060396D"/>
    <w:rsid w:val="0060508C"/>
    <w:rsid w:val="00605C0C"/>
    <w:rsid w:val="00607515"/>
    <w:rsid w:val="00607A2A"/>
    <w:rsid w:val="00607C1B"/>
    <w:rsid w:val="00611349"/>
    <w:rsid w:val="0061181E"/>
    <w:rsid w:val="00611CBF"/>
    <w:rsid w:val="00612992"/>
    <w:rsid w:val="00612AB9"/>
    <w:rsid w:val="0061326C"/>
    <w:rsid w:val="0061353D"/>
    <w:rsid w:val="00613A06"/>
    <w:rsid w:val="00614215"/>
    <w:rsid w:val="0061488E"/>
    <w:rsid w:val="00616050"/>
    <w:rsid w:val="00625189"/>
    <w:rsid w:val="00626EF9"/>
    <w:rsid w:val="006274B8"/>
    <w:rsid w:val="00627EFB"/>
    <w:rsid w:val="006305BC"/>
    <w:rsid w:val="00631057"/>
    <w:rsid w:val="00632759"/>
    <w:rsid w:val="0063302C"/>
    <w:rsid w:val="006336DE"/>
    <w:rsid w:val="00633BDF"/>
    <w:rsid w:val="00633F49"/>
    <w:rsid w:val="00634888"/>
    <w:rsid w:val="006407DD"/>
    <w:rsid w:val="00640A54"/>
    <w:rsid w:val="006412DE"/>
    <w:rsid w:val="00642049"/>
    <w:rsid w:val="006463FE"/>
    <w:rsid w:val="0064793B"/>
    <w:rsid w:val="00650549"/>
    <w:rsid w:val="006524E5"/>
    <w:rsid w:val="00653C0D"/>
    <w:rsid w:val="00654239"/>
    <w:rsid w:val="006543CE"/>
    <w:rsid w:val="006546CA"/>
    <w:rsid w:val="00656706"/>
    <w:rsid w:val="00656D23"/>
    <w:rsid w:val="00656DA8"/>
    <w:rsid w:val="00657524"/>
    <w:rsid w:val="00660CDE"/>
    <w:rsid w:val="00660F2A"/>
    <w:rsid w:val="00661CCE"/>
    <w:rsid w:val="006629D8"/>
    <w:rsid w:val="00663425"/>
    <w:rsid w:val="0066394A"/>
    <w:rsid w:val="00663E9A"/>
    <w:rsid w:val="00663F66"/>
    <w:rsid w:val="006647B8"/>
    <w:rsid w:val="00664E6C"/>
    <w:rsid w:val="006652F3"/>
    <w:rsid w:val="0066765F"/>
    <w:rsid w:val="006677FA"/>
    <w:rsid w:val="0067207B"/>
    <w:rsid w:val="0067268A"/>
    <w:rsid w:val="006726FB"/>
    <w:rsid w:val="006742EB"/>
    <w:rsid w:val="00674AAE"/>
    <w:rsid w:val="00675C88"/>
    <w:rsid w:val="00676C5C"/>
    <w:rsid w:val="0067750A"/>
    <w:rsid w:val="00681608"/>
    <w:rsid w:val="00682334"/>
    <w:rsid w:val="006828B2"/>
    <w:rsid w:val="00683ED2"/>
    <w:rsid w:val="00684A97"/>
    <w:rsid w:val="00685A33"/>
    <w:rsid w:val="00685AC3"/>
    <w:rsid w:val="00685EE6"/>
    <w:rsid w:val="00686162"/>
    <w:rsid w:val="00687CE6"/>
    <w:rsid w:val="00691DFB"/>
    <w:rsid w:val="006927E5"/>
    <w:rsid w:val="006946D4"/>
    <w:rsid w:val="006962E5"/>
    <w:rsid w:val="00697B40"/>
    <w:rsid w:val="006A0CF6"/>
    <w:rsid w:val="006A12C3"/>
    <w:rsid w:val="006A332D"/>
    <w:rsid w:val="006A3BD9"/>
    <w:rsid w:val="006A4289"/>
    <w:rsid w:val="006A43C8"/>
    <w:rsid w:val="006A5442"/>
    <w:rsid w:val="006A57AD"/>
    <w:rsid w:val="006A59F6"/>
    <w:rsid w:val="006A7CAA"/>
    <w:rsid w:val="006B277F"/>
    <w:rsid w:val="006B2FB4"/>
    <w:rsid w:val="006B3258"/>
    <w:rsid w:val="006B50C9"/>
    <w:rsid w:val="006B5F7D"/>
    <w:rsid w:val="006B61F4"/>
    <w:rsid w:val="006C23A2"/>
    <w:rsid w:val="006C3B0C"/>
    <w:rsid w:val="006C5D67"/>
    <w:rsid w:val="006C6703"/>
    <w:rsid w:val="006D000E"/>
    <w:rsid w:val="006D1007"/>
    <w:rsid w:val="006D15C5"/>
    <w:rsid w:val="006D1EFA"/>
    <w:rsid w:val="006D6082"/>
    <w:rsid w:val="006D6C1C"/>
    <w:rsid w:val="006D76AC"/>
    <w:rsid w:val="006E038B"/>
    <w:rsid w:val="006E082F"/>
    <w:rsid w:val="006E1046"/>
    <w:rsid w:val="006E231D"/>
    <w:rsid w:val="006E2A97"/>
    <w:rsid w:val="006E2FA7"/>
    <w:rsid w:val="006E3F1D"/>
    <w:rsid w:val="006E4793"/>
    <w:rsid w:val="006E49DC"/>
    <w:rsid w:val="006E4FC5"/>
    <w:rsid w:val="006E543B"/>
    <w:rsid w:val="006E67C1"/>
    <w:rsid w:val="006E7094"/>
    <w:rsid w:val="006E7576"/>
    <w:rsid w:val="006F0333"/>
    <w:rsid w:val="006F0B98"/>
    <w:rsid w:val="006F125F"/>
    <w:rsid w:val="006F46A3"/>
    <w:rsid w:val="006F4BA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56F4"/>
    <w:rsid w:val="007058C2"/>
    <w:rsid w:val="00706595"/>
    <w:rsid w:val="00706D8C"/>
    <w:rsid w:val="00707106"/>
    <w:rsid w:val="0071166F"/>
    <w:rsid w:val="0071244D"/>
    <w:rsid w:val="00713D75"/>
    <w:rsid w:val="00714457"/>
    <w:rsid w:val="00714DFE"/>
    <w:rsid w:val="007155E8"/>
    <w:rsid w:val="00715B50"/>
    <w:rsid w:val="00716656"/>
    <w:rsid w:val="00716F6D"/>
    <w:rsid w:val="0071769F"/>
    <w:rsid w:val="0071776F"/>
    <w:rsid w:val="0072157F"/>
    <w:rsid w:val="00722D9C"/>
    <w:rsid w:val="00723451"/>
    <w:rsid w:val="00723494"/>
    <w:rsid w:val="0072579B"/>
    <w:rsid w:val="0072589F"/>
    <w:rsid w:val="007262D3"/>
    <w:rsid w:val="00726490"/>
    <w:rsid w:val="00726845"/>
    <w:rsid w:val="00726ADD"/>
    <w:rsid w:val="00731718"/>
    <w:rsid w:val="00733057"/>
    <w:rsid w:val="0073420E"/>
    <w:rsid w:val="00734486"/>
    <w:rsid w:val="00734E20"/>
    <w:rsid w:val="00736129"/>
    <w:rsid w:val="007369A9"/>
    <w:rsid w:val="00736FAB"/>
    <w:rsid w:val="007405E0"/>
    <w:rsid w:val="00740E24"/>
    <w:rsid w:val="0074103C"/>
    <w:rsid w:val="007423A3"/>
    <w:rsid w:val="00742A72"/>
    <w:rsid w:val="007444FA"/>
    <w:rsid w:val="00746628"/>
    <w:rsid w:val="007467C3"/>
    <w:rsid w:val="00746854"/>
    <w:rsid w:val="00746BF3"/>
    <w:rsid w:val="00746D29"/>
    <w:rsid w:val="00750035"/>
    <w:rsid w:val="0075015A"/>
    <w:rsid w:val="00750527"/>
    <w:rsid w:val="007538B0"/>
    <w:rsid w:val="007538E3"/>
    <w:rsid w:val="00755718"/>
    <w:rsid w:val="00756EDE"/>
    <w:rsid w:val="00756F4A"/>
    <w:rsid w:val="00757CF4"/>
    <w:rsid w:val="00761C0E"/>
    <w:rsid w:val="00762843"/>
    <w:rsid w:val="00762950"/>
    <w:rsid w:val="007633E9"/>
    <w:rsid w:val="007636E6"/>
    <w:rsid w:val="0076500C"/>
    <w:rsid w:val="00767D4B"/>
    <w:rsid w:val="007703DC"/>
    <w:rsid w:val="00771BA0"/>
    <w:rsid w:val="00771E77"/>
    <w:rsid w:val="00772159"/>
    <w:rsid w:val="00773A85"/>
    <w:rsid w:val="007746AE"/>
    <w:rsid w:val="00775DB3"/>
    <w:rsid w:val="007772AE"/>
    <w:rsid w:val="00777544"/>
    <w:rsid w:val="00777B3F"/>
    <w:rsid w:val="00781A56"/>
    <w:rsid w:val="007828F0"/>
    <w:rsid w:val="007836C3"/>
    <w:rsid w:val="0078456C"/>
    <w:rsid w:val="00784598"/>
    <w:rsid w:val="00785274"/>
    <w:rsid w:val="00787EB1"/>
    <w:rsid w:val="007900B4"/>
    <w:rsid w:val="00790245"/>
    <w:rsid w:val="00791342"/>
    <w:rsid w:val="007918F8"/>
    <w:rsid w:val="00791FF6"/>
    <w:rsid w:val="00793188"/>
    <w:rsid w:val="0079339C"/>
    <w:rsid w:val="007935DE"/>
    <w:rsid w:val="00793D9C"/>
    <w:rsid w:val="00794462"/>
    <w:rsid w:val="00795AAE"/>
    <w:rsid w:val="00796934"/>
    <w:rsid w:val="0079736C"/>
    <w:rsid w:val="007A15BC"/>
    <w:rsid w:val="007A23F7"/>
    <w:rsid w:val="007A2C50"/>
    <w:rsid w:val="007A4C93"/>
    <w:rsid w:val="007A5949"/>
    <w:rsid w:val="007A647F"/>
    <w:rsid w:val="007A7565"/>
    <w:rsid w:val="007B18BE"/>
    <w:rsid w:val="007B1CA7"/>
    <w:rsid w:val="007B3D92"/>
    <w:rsid w:val="007B5CA5"/>
    <w:rsid w:val="007B65DE"/>
    <w:rsid w:val="007B6715"/>
    <w:rsid w:val="007B781C"/>
    <w:rsid w:val="007C02DC"/>
    <w:rsid w:val="007C097B"/>
    <w:rsid w:val="007C0AD2"/>
    <w:rsid w:val="007C1B50"/>
    <w:rsid w:val="007C306E"/>
    <w:rsid w:val="007C39C3"/>
    <w:rsid w:val="007C4C76"/>
    <w:rsid w:val="007C5AAA"/>
    <w:rsid w:val="007D08AE"/>
    <w:rsid w:val="007D0CDA"/>
    <w:rsid w:val="007D2CA0"/>
    <w:rsid w:val="007D2E71"/>
    <w:rsid w:val="007D3A43"/>
    <w:rsid w:val="007D4AB7"/>
    <w:rsid w:val="007D55C3"/>
    <w:rsid w:val="007D72A1"/>
    <w:rsid w:val="007D7784"/>
    <w:rsid w:val="007E0A0D"/>
    <w:rsid w:val="007E0A14"/>
    <w:rsid w:val="007E2319"/>
    <w:rsid w:val="007E6B49"/>
    <w:rsid w:val="007E6F21"/>
    <w:rsid w:val="007E6FAF"/>
    <w:rsid w:val="007E7161"/>
    <w:rsid w:val="007E7F52"/>
    <w:rsid w:val="007F02D1"/>
    <w:rsid w:val="007F0410"/>
    <w:rsid w:val="007F1224"/>
    <w:rsid w:val="007F14CE"/>
    <w:rsid w:val="007F1AA1"/>
    <w:rsid w:val="007F24B8"/>
    <w:rsid w:val="007F2930"/>
    <w:rsid w:val="007F4E13"/>
    <w:rsid w:val="007F58BB"/>
    <w:rsid w:val="007F6C2D"/>
    <w:rsid w:val="00802962"/>
    <w:rsid w:val="00802B26"/>
    <w:rsid w:val="00804A67"/>
    <w:rsid w:val="00804E6F"/>
    <w:rsid w:val="00805511"/>
    <w:rsid w:val="0080554D"/>
    <w:rsid w:val="0080588C"/>
    <w:rsid w:val="00805AA7"/>
    <w:rsid w:val="00805E6B"/>
    <w:rsid w:val="00806431"/>
    <w:rsid w:val="00810A77"/>
    <w:rsid w:val="00811142"/>
    <w:rsid w:val="008118BE"/>
    <w:rsid w:val="008119DB"/>
    <w:rsid w:val="0081255B"/>
    <w:rsid w:val="00813106"/>
    <w:rsid w:val="008136C7"/>
    <w:rsid w:val="0081392F"/>
    <w:rsid w:val="00815200"/>
    <w:rsid w:val="008152A3"/>
    <w:rsid w:val="008154B9"/>
    <w:rsid w:val="008174F7"/>
    <w:rsid w:val="008206BE"/>
    <w:rsid w:val="00820DAC"/>
    <w:rsid w:val="00821D69"/>
    <w:rsid w:val="0082305C"/>
    <w:rsid w:val="00825D21"/>
    <w:rsid w:val="00825F5D"/>
    <w:rsid w:val="00826206"/>
    <w:rsid w:val="00826553"/>
    <w:rsid w:val="00831253"/>
    <w:rsid w:val="008329B8"/>
    <w:rsid w:val="00835840"/>
    <w:rsid w:val="00836C86"/>
    <w:rsid w:val="00840984"/>
    <w:rsid w:val="008430CE"/>
    <w:rsid w:val="00845A13"/>
    <w:rsid w:val="008467C8"/>
    <w:rsid w:val="008503E0"/>
    <w:rsid w:val="00850F59"/>
    <w:rsid w:val="008518DC"/>
    <w:rsid w:val="00851BFF"/>
    <w:rsid w:val="00853F43"/>
    <w:rsid w:val="00855A8F"/>
    <w:rsid w:val="008561F3"/>
    <w:rsid w:val="008570AF"/>
    <w:rsid w:val="00860760"/>
    <w:rsid w:val="0086085C"/>
    <w:rsid w:val="0086087E"/>
    <w:rsid w:val="00861E1F"/>
    <w:rsid w:val="00862D21"/>
    <w:rsid w:val="00862E91"/>
    <w:rsid w:val="00864520"/>
    <w:rsid w:val="00865197"/>
    <w:rsid w:val="00865FD2"/>
    <w:rsid w:val="008676B0"/>
    <w:rsid w:val="00867953"/>
    <w:rsid w:val="00867C8A"/>
    <w:rsid w:val="00867CF6"/>
    <w:rsid w:val="0087006B"/>
    <w:rsid w:val="00870CA0"/>
    <w:rsid w:val="00870D85"/>
    <w:rsid w:val="00871351"/>
    <w:rsid w:val="008721BC"/>
    <w:rsid w:val="00873033"/>
    <w:rsid w:val="00874AD7"/>
    <w:rsid w:val="00876C88"/>
    <w:rsid w:val="0087768C"/>
    <w:rsid w:val="00877BCB"/>
    <w:rsid w:val="0088146B"/>
    <w:rsid w:val="00881707"/>
    <w:rsid w:val="00881BC4"/>
    <w:rsid w:val="00883348"/>
    <w:rsid w:val="00885DDF"/>
    <w:rsid w:val="00890CDD"/>
    <w:rsid w:val="00891E71"/>
    <w:rsid w:val="00892667"/>
    <w:rsid w:val="00894877"/>
    <w:rsid w:val="00895C1A"/>
    <w:rsid w:val="008A2BD6"/>
    <w:rsid w:val="008A42B6"/>
    <w:rsid w:val="008A6828"/>
    <w:rsid w:val="008A6F3E"/>
    <w:rsid w:val="008A7114"/>
    <w:rsid w:val="008B0459"/>
    <w:rsid w:val="008B0B29"/>
    <w:rsid w:val="008B2070"/>
    <w:rsid w:val="008B2071"/>
    <w:rsid w:val="008B25C4"/>
    <w:rsid w:val="008B3132"/>
    <w:rsid w:val="008B3313"/>
    <w:rsid w:val="008B4591"/>
    <w:rsid w:val="008B4981"/>
    <w:rsid w:val="008B4A73"/>
    <w:rsid w:val="008B4FFF"/>
    <w:rsid w:val="008B5077"/>
    <w:rsid w:val="008B5538"/>
    <w:rsid w:val="008B7A6C"/>
    <w:rsid w:val="008C0134"/>
    <w:rsid w:val="008C08F2"/>
    <w:rsid w:val="008C1488"/>
    <w:rsid w:val="008C2AD4"/>
    <w:rsid w:val="008C2D0C"/>
    <w:rsid w:val="008C3A47"/>
    <w:rsid w:val="008C4DBF"/>
    <w:rsid w:val="008C6EF2"/>
    <w:rsid w:val="008C7917"/>
    <w:rsid w:val="008C7F19"/>
    <w:rsid w:val="008D0C3A"/>
    <w:rsid w:val="008D3540"/>
    <w:rsid w:val="008D3A67"/>
    <w:rsid w:val="008D4374"/>
    <w:rsid w:val="008D4E83"/>
    <w:rsid w:val="008D6457"/>
    <w:rsid w:val="008E1F30"/>
    <w:rsid w:val="008E211B"/>
    <w:rsid w:val="008E2E83"/>
    <w:rsid w:val="008E348B"/>
    <w:rsid w:val="008E5577"/>
    <w:rsid w:val="008E6578"/>
    <w:rsid w:val="008E65EC"/>
    <w:rsid w:val="008F088E"/>
    <w:rsid w:val="008F0FA6"/>
    <w:rsid w:val="008F144E"/>
    <w:rsid w:val="008F1D6E"/>
    <w:rsid w:val="008F2FBD"/>
    <w:rsid w:val="008F58D7"/>
    <w:rsid w:val="008F59B6"/>
    <w:rsid w:val="008F6419"/>
    <w:rsid w:val="008F7818"/>
    <w:rsid w:val="008F7956"/>
    <w:rsid w:val="009005DC"/>
    <w:rsid w:val="00900F58"/>
    <w:rsid w:val="00900FDC"/>
    <w:rsid w:val="00901F3F"/>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B8"/>
    <w:rsid w:val="00915D5E"/>
    <w:rsid w:val="00915ED9"/>
    <w:rsid w:val="00921889"/>
    <w:rsid w:val="00921908"/>
    <w:rsid w:val="009226E4"/>
    <w:rsid w:val="009249AC"/>
    <w:rsid w:val="00924FAF"/>
    <w:rsid w:val="00926426"/>
    <w:rsid w:val="00926BC9"/>
    <w:rsid w:val="009270AB"/>
    <w:rsid w:val="00930BE1"/>
    <w:rsid w:val="00930CE7"/>
    <w:rsid w:val="0093173A"/>
    <w:rsid w:val="00931961"/>
    <w:rsid w:val="00931AFE"/>
    <w:rsid w:val="00931CA3"/>
    <w:rsid w:val="00931F59"/>
    <w:rsid w:val="00932115"/>
    <w:rsid w:val="009339FD"/>
    <w:rsid w:val="00934965"/>
    <w:rsid w:val="009368B8"/>
    <w:rsid w:val="00936D59"/>
    <w:rsid w:val="00937AC6"/>
    <w:rsid w:val="00940229"/>
    <w:rsid w:val="00941DD2"/>
    <w:rsid w:val="009446B9"/>
    <w:rsid w:val="00945BAD"/>
    <w:rsid w:val="00945E73"/>
    <w:rsid w:val="00946391"/>
    <w:rsid w:val="0094663D"/>
    <w:rsid w:val="0094753B"/>
    <w:rsid w:val="00950861"/>
    <w:rsid w:val="009513E4"/>
    <w:rsid w:val="009519D0"/>
    <w:rsid w:val="00951B9C"/>
    <w:rsid w:val="00954E40"/>
    <w:rsid w:val="00955652"/>
    <w:rsid w:val="0095691A"/>
    <w:rsid w:val="00956ECC"/>
    <w:rsid w:val="009605E2"/>
    <w:rsid w:val="00960C3C"/>
    <w:rsid w:val="009617D3"/>
    <w:rsid w:val="0096190F"/>
    <w:rsid w:val="009621E6"/>
    <w:rsid w:val="009630F5"/>
    <w:rsid w:val="00963935"/>
    <w:rsid w:val="0096456A"/>
    <w:rsid w:val="00965D20"/>
    <w:rsid w:val="00967DAF"/>
    <w:rsid w:val="00970020"/>
    <w:rsid w:val="009717FA"/>
    <w:rsid w:val="00972D8E"/>
    <w:rsid w:val="0097509C"/>
    <w:rsid w:val="00975353"/>
    <w:rsid w:val="00976103"/>
    <w:rsid w:val="00976140"/>
    <w:rsid w:val="00976BDC"/>
    <w:rsid w:val="00980148"/>
    <w:rsid w:val="009815BB"/>
    <w:rsid w:val="00983DB9"/>
    <w:rsid w:val="00984AE5"/>
    <w:rsid w:val="009856BE"/>
    <w:rsid w:val="0098775C"/>
    <w:rsid w:val="00990217"/>
    <w:rsid w:val="0099095C"/>
    <w:rsid w:val="00990B85"/>
    <w:rsid w:val="00990E4C"/>
    <w:rsid w:val="00992F7D"/>
    <w:rsid w:val="00994F51"/>
    <w:rsid w:val="0099576B"/>
    <w:rsid w:val="009A0D21"/>
    <w:rsid w:val="009A14DF"/>
    <w:rsid w:val="009A5500"/>
    <w:rsid w:val="009A5E0F"/>
    <w:rsid w:val="009A6681"/>
    <w:rsid w:val="009B0788"/>
    <w:rsid w:val="009B2199"/>
    <w:rsid w:val="009B258E"/>
    <w:rsid w:val="009B47AB"/>
    <w:rsid w:val="009B64D1"/>
    <w:rsid w:val="009B6686"/>
    <w:rsid w:val="009B6CDF"/>
    <w:rsid w:val="009B79BA"/>
    <w:rsid w:val="009B7A33"/>
    <w:rsid w:val="009C0A42"/>
    <w:rsid w:val="009C1845"/>
    <w:rsid w:val="009C27C0"/>
    <w:rsid w:val="009C5FB5"/>
    <w:rsid w:val="009C610B"/>
    <w:rsid w:val="009C610D"/>
    <w:rsid w:val="009C7B4A"/>
    <w:rsid w:val="009D0EDE"/>
    <w:rsid w:val="009D198E"/>
    <w:rsid w:val="009D201B"/>
    <w:rsid w:val="009D4B21"/>
    <w:rsid w:val="009E23F8"/>
    <w:rsid w:val="009E2671"/>
    <w:rsid w:val="009E2A7E"/>
    <w:rsid w:val="009E4416"/>
    <w:rsid w:val="009E46BF"/>
    <w:rsid w:val="009E5C1A"/>
    <w:rsid w:val="009E5DBD"/>
    <w:rsid w:val="009E65F7"/>
    <w:rsid w:val="009E72EC"/>
    <w:rsid w:val="009F07ED"/>
    <w:rsid w:val="009F0C63"/>
    <w:rsid w:val="009F2CF9"/>
    <w:rsid w:val="009F370B"/>
    <w:rsid w:val="009F49AA"/>
    <w:rsid w:val="009F6FA1"/>
    <w:rsid w:val="00A013CB"/>
    <w:rsid w:val="00A01651"/>
    <w:rsid w:val="00A0175C"/>
    <w:rsid w:val="00A04CDD"/>
    <w:rsid w:val="00A04FB5"/>
    <w:rsid w:val="00A05B4D"/>
    <w:rsid w:val="00A05D85"/>
    <w:rsid w:val="00A06AAE"/>
    <w:rsid w:val="00A10A2A"/>
    <w:rsid w:val="00A11559"/>
    <w:rsid w:val="00A12AEB"/>
    <w:rsid w:val="00A13EF1"/>
    <w:rsid w:val="00A14B1D"/>
    <w:rsid w:val="00A14EFF"/>
    <w:rsid w:val="00A160A4"/>
    <w:rsid w:val="00A17296"/>
    <w:rsid w:val="00A17D75"/>
    <w:rsid w:val="00A17EC8"/>
    <w:rsid w:val="00A2034E"/>
    <w:rsid w:val="00A223AA"/>
    <w:rsid w:val="00A22CB2"/>
    <w:rsid w:val="00A2303C"/>
    <w:rsid w:val="00A24809"/>
    <w:rsid w:val="00A24A94"/>
    <w:rsid w:val="00A25539"/>
    <w:rsid w:val="00A26586"/>
    <w:rsid w:val="00A272B7"/>
    <w:rsid w:val="00A30405"/>
    <w:rsid w:val="00A30F99"/>
    <w:rsid w:val="00A31583"/>
    <w:rsid w:val="00A32D68"/>
    <w:rsid w:val="00A3303F"/>
    <w:rsid w:val="00A336EE"/>
    <w:rsid w:val="00A340F1"/>
    <w:rsid w:val="00A3460C"/>
    <w:rsid w:val="00A34AEB"/>
    <w:rsid w:val="00A4048C"/>
    <w:rsid w:val="00A4170F"/>
    <w:rsid w:val="00A41B12"/>
    <w:rsid w:val="00A427BF"/>
    <w:rsid w:val="00A43D43"/>
    <w:rsid w:val="00A45F60"/>
    <w:rsid w:val="00A460A6"/>
    <w:rsid w:val="00A466D6"/>
    <w:rsid w:val="00A46ACF"/>
    <w:rsid w:val="00A476CF"/>
    <w:rsid w:val="00A508D2"/>
    <w:rsid w:val="00A51D1B"/>
    <w:rsid w:val="00A52180"/>
    <w:rsid w:val="00A52537"/>
    <w:rsid w:val="00A52624"/>
    <w:rsid w:val="00A5484B"/>
    <w:rsid w:val="00A56A02"/>
    <w:rsid w:val="00A56F8E"/>
    <w:rsid w:val="00A579BF"/>
    <w:rsid w:val="00A601AC"/>
    <w:rsid w:val="00A609E1"/>
    <w:rsid w:val="00A60B6E"/>
    <w:rsid w:val="00A610F9"/>
    <w:rsid w:val="00A652BA"/>
    <w:rsid w:val="00A6537C"/>
    <w:rsid w:val="00A66D7D"/>
    <w:rsid w:val="00A7045E"/>
    <w:rsid w:val="00A70C15"/>
    <w:rsid w:val="00A70F97"/>
    <w:rsid w:val="00A71277"/>
    <w:rsid w:val="00A746E9"/>
    <w:rsid w:val="00A7556C"/>
    <w:rsid w:val="00A75A6F"/>
    <w:rsid w:val="00A774AE"/>
    <w:rsid w:val="00A80EC0"/>
    <w:rsid w:val="00A817C0"/>
    <w:rsid w:val="00A8204F"/>
    <w:rsid w:val="00A82596"/>
    <w:rsid w:val="00A829A3"/>
    <w:rsid w:val="00A82FAE"/>
    <w:rsid w:val="00A83777"/>
    <w:rsid w:val="00A83AEC"/>
    <w:rsid w:val="00A83FEC"/>
    <w:rsid w:val="00A84569"/>
    <w:rsid w:val="00A84DBE"/>
    <w:rsid w:val="00A85582"/>
    <w:rsid w:val="00A8649B"/>
    <w:rsid w:val="00A86DD8"/>
    <w:rsid w:val="00A9119C"/>
    <w:rsid w:val="00A922FB"/>
    <w:rsid w:val="00A93A7C"/>
    <w:rsid w:val="00A94225"/>
    <w:rsid w:val="00A95005"/>
    <w:rsid w:val="00AA03BA"/>
    <w:rsid w:val="00AA03E8"/>
    <w:rsid w:val="00AA06D5"/>
    <w:rsid w:val="00AA199F"/>
    <w:rsid w:val="00AA2082"/>
    <w:rsid w:val="00AA303F"/>
    <w:rsid w:val="00AA3795"/>
    <w:rsid w:val="00AA4672"/>
    <w:rsid w:val="00AA5420"/>
    <w:rsid w:val="00AA5591"/>
    <w:rsid w:val="00AA6363"/>
    <w:rsid w:val="00AA6960"/>
    <w:rsid w:val="00AA7885"/>
    <w:rsid w:val="00AA7A53"/>
    <w:rsid w:val="00AA7C05"/>
    <w:rsid w:val="00AA7CFB"/>
    <w:rsid w:val="00AA7F1B"/>
    <w:rsid w:val="00AB0752"/>
    <w:rsid w:val="00AB08D1"/>
    <w:rsid w:val="00AB0ACA"/>
    <w:rsid w:val="00AB137F"/>
    <w:rsid w:val="00AB1766"/>
    <w:rsid w:val="00AB20D0"/>
    <w:rsid w:val="00AB33D1"/>
    <w:rsid w:val="00AB3854"/>
    <w:rsid w:val="00AB447C"/>
    <w:rsid w:val="00AB524A"/>
    <w:rsid w:val="00AB5D6E"/>
    <w:rsid w:val="00AB6336"/>
    <w:rsid w:val="00AB7333"/>
    <w:rsid w:val="00AC104C"/>
    <w:rsid w:val="00AC1A6A"/>
    <w:rsid w:val="00AC5072"/>
    <w:rsid w:val="00AC5FBB"/>
    <w:rsid w:val="00AD336E"/>
    <w:rsid w:val="00AD4445"/>
    <w:rsid w:val="00AE079E"/>
    <w:rsid w:val="00AE0BC7"/>
    <w:rsid w:val="00AE2B08"/>
    <w:rsid w:val="00AE4202"/>
    <w:rsid w:val="00AE5D86"/>
    <w:rsid w:val="00AE62E3"/>
    <w:rsid w:val="00AE7331"/>
    <w:rsid w:val="00AE79A8"/>
    <w:rsid w:val="00AF1E4C"/>
    <w:rsid w:val="00AF25DC"/>
    <w:rsid w:val="00AF3795"/>
    <w:rsid w:val="00AF399D"/>
    <w:rsid w:val="00AF3EEF"/>
    <w:rsid w:val="00AF4111"/>
    <w:rsid w:val="00AF5CCD"/>
    <w:rsid w:val="00AF671B"/>
    <w:rsid w:val="00AF6A14"/>
    <w:rsid w:val="00B00335"/>
    <w:rsid w:val="00B0048A"/>
    <w:rsid w:val="00B00D59"/>
    <w:rsid w:val="00B0328D"/>
    <w:rsid w:val="00B03EEA"/>
    <w:rsid w:val="00B0436A"/>
    <w:rsid w:val="00B06B08"/>
    <w:rsid w:val="00B07724"/>
    <w:rsid w:val="00B10680"/>
    <w:rsid w:val="00B142BA"/>
    <w:rsid w:val="00B1534C"/>
    <w:rsid w:val="00B1559E"/>
    <w:rsid w:val="00B15D93"/>
    <w:rsid w:val="00B1645A"/>
    <w:rsid w:val="00B16CD6"/>
    <w:rsid w:val="00B20C50"/>
    <w:rsid w:val="00B21E59"/>
    <w:rsid w:val="00B22328"/>
    <w:rsid w:val="00B242F1"/>
    <w:rsid w:val="00B24674"/>
    <w:rsid w:val="00B2709E"/>
    <w:rsid w:val="00B27B60"/>
    <w:rsid w:val="00B27CB2"/>
    <w:rsid w:val="00B302B9"/>
    <w:rsid w:val="00B31AF3"/>
    <w:rsid w:val="00B3280C"/>
    <w:rsid w:val="00B32E99"/>
    <w:rsid w:val="00B34600"/>
    <w:rsid w:val="00B3486B"/>
    <w:rsid w:val="00B35038"/>
    <w:rsid w:val="00B3518F"/>
    <w:rsid w:val="00B369E6"/>
    <w:rsid w:val="00B375EA"/>
    <w:rsid w:val="00B40B13"/>
    <w:rsid w:val="00B41B03"/>
    <w:rsid w:val="00B423FC"/>
    <w:rsid w:val="00B42486"/>
    <w:rsid w:val="00B4266D"/>
    <w:rsid w:val="00B440F5"/>
    <w:rsid w:val="00B4460B"/>
    <w:rsid w:val="00B45263"/>
    <w:rsid w:val="00B4692F"/>
    <w:rsid w:val="00B47FC3"/>
    <w:rsid w:val="00B505CA"/>
    <w:rsid w:val="00B5081E"/>
    <w:rsid w:val="00B512DE"/>
    <w:rsid w:val="00B51348"/>
    <w:rsid w:val="00B519F4"/>
    <w:rsid w:val="00B52595"/>
    <w:rsid w:val="00B53431"/>
    <w:rsid w:val="00B54B48"/>
    <w:rsid w:val="00B54EAE"/>
    <w:rsid w:val="00B61CAE"/>
    <w:rsid w:val="00B63ACD"/>
    <w:rsid w:val="00B64633"/>
    <w:rsid w:val="00B64D6D"/>
    <w:rsid w:val="00B65C08"/>
    <w:rsid w:val="00B71106"/>
    <w:rsid w:val="00B73111"/>
    <w:rsid w:val="00B7550A"/>
    <w:rsid w:val="00B75885"/>
    <w:rsid w:val="00B77238"/>
    <w:rsid w:val="00B77823"/>
    <w:rsid w:val="00B83E5F"/>
    <w:rsid w:val="00B8483F"/>
    <w:rsid w:val="00B848E0"/>
    <w:rsid w:val="00B85602"/>
    <w:rsid w:val="00B86F46"/>
    <w:rsid w:val="00B87EFC"/>
    <w:rsid w:val="00B928D5"/>
    <w:rsid w:val="00B92934"/>
    <w:rsid w:val="00B94E39"/>
    <w:rsid w:val="00B960DD"/>
    <w:rsid w:val="00B974CA"/>
    <w:rsid w:val="00B97CD4"/>
    <w:rsid w:val="00B97D61"/>
    <w:rsid w:val="00BA0F46"/>
    <w:rsid w:val="00BA1002"/>
    <w:rsid w:val="00BA2841"/>
    <w:rsid w:val="00BA3176"/>
    <w:rsid w:val="00BA37A6"/>
    <w:rsid w:val="00BA3AA7"/>
    <w:rsid w:val="00BA413A"/>
    <w:rsid w:val="00BA4477"/>
    <w:rsid w:val="00BA5107"/>
    <w:rsid w:val="00BA5E30"/>
    <w:rsid w:val="00BA61F9"/>
    <w:rsid w:val="00BA7696"/>
    <w:rsid w:val="00BB08CC"/>
    <w:rsid w:val="00BB0C27"/>
    <w:rsid w:val="00BB0D91"/>
    <w:rsid w:val="00BB111B"/>
    <w:rsid w:val="00BB2708"/>
    <w:rsid w:val="00BB2B9B"/>
    <w:rsid w:val="00BB58C9"/>
    <w:rsid w:val="00BB6B6E"/>
    <w:rsid w:val="00BB700D"/>
    <w:rsid w:val="00BC012C"/>
    <w:rsid w:val="00BC1070"/>
    <w:rsid w:val="00BC1661"/>
    <w:rsid w:val="00BC1B00"/>
    <w:rsid w:val="00BC4A8A"/>
    <w:rsid w:val="00BC5790"/>
    <w:rsid w:val="00BC6143"/>
    <w:rsid w:val="00BC6C6F"/>
    <w:rsid w:val="00BC75CD"/>
    <w:rsid w:val="00BD0C67"/>
    <w:rsid w:val="00BD166C"/>
    <w:rsid w:val="00BD2783"/>
    <w:rsid w:val="00BD33D0"/>
    <w:rsid w:val="00BD4AFA"/>
    <w:rsid w:val="00BD6F38"/>
    <w:rsid w:val="00BD71A1"/>
    <w:rsid w:val="00BD74BB"/>
    <w:rsid w:val="00BE08C1"/>
    <w:rsid w:val="00BE0A51"/>
    <w:rsid w:val="00BE4866"/>
    <w:rsid w:val="00BE5D7D"/>
    <w:rsid w:val="00BE6035"/>
    <w:rsid w:val="00BE6ABA"/>
    <w:rsid w:val="00BE6EC3"/>
    <w:rsid w:val="00BE7E35"/>
    <w:rsid w:val="00BF0BB7"/>
    <w:rsid w:val="00BF0F4F"/>
    <w:rsid w:val="00BF442C"/>
    <w:rsid w:val="00BF5B35"/>
    <w:rsid w:val="00BF796B"/>
    <w:rsid w:val="00C01A6C"/>
    <w:rsid w:val="00C02635"/>
    <w:rsid w:val="00C035E8"/>
    <w:rsid w:val="00C0386A"/>
    <w:rsid w:val="00C04DE7"/>
    <w:rsid w:val="00C0630C"/>
    <w:rsid w:val="00C06862"/>
    <w:rsid w:val="00C06EA8"/>
    <w:rsid w:val="00C0704C"/>
    <w:rsid w:val="00C070E9"/>
    <w:rsid w:val="00C10497"/>
    <w:rsid w:val="00C10C13"/>
    <w:rsid w:val="00C11157"/>
    <w:rsid w:val="00C11B49"/>
    <w:rsid w:val="00C12290"/>
    <w:rsid w:val="00C1232D"/>
    <w:rsid w:val="00C1309C"/>
    <w:rsid w:val="00C14B27"/>
    <w:rsid w:val="00C15091"/>
    <w:rsid w:val="00C1532A"/>
    <w:rsid w:val="00C15C74"/>
    <w:rsid w:val="00C16132"/>
    <w:rsid w:val="00C16524"/>
    <w:rsid w:val="00C1672F"/>
    <w:rsid w:val="00C2021D"/>
    <w:rsid w:val="00C20249"/>
    <w:rsid w:val="00C20617"/>
    <w:rsid w:val="00C20DCD"/>
    <w:rsid w:val="00C21522"/>
    <w:rsid w:val="00C2226E"/>
    <w:rsid w:val="00C22685"/>
    <w:rsid w:val="00C247E0"/>
    <w:rsid w:val="00C26CC6"/>
    <w:rsid w:val="00C26D86"/>
    <w:rsid w:val="00C26FD7"/>
    <w:rsid w:val="00C271D5"/>
    <w:rsid w:val="00C30115"/>
    <w:rsid w:val="00C30BF3"/>
    <w:rsid w:val="00C3203D"/>
    <w:rsid w:val="00C320AD"/>
    <w:rsid w:val="00C32D1D"/>
    <w:rsid w:val="00C33BAD"/>
    <w:rsid w:val="00C34D48"/>
    <w:rsid w:val="00C34E2D"/>
    <w:rsid w:val="00C37928"/>
    <w:rsid w:val="00C40413"/>
    <w:rsid w:val="00C406C8"/>
    <w:rsid w:val="00C41205"/>
    <w:rsid w:val="00C41317"/>
    <w:rsid w:val="00C41372"/>
    <w:rsid w:val="00C41C14"/>
    <w:rsid w:val="00C44962"/>
    <w:rsid w:val="00C45907"/>
    <w:rsid w:val="00C47E32"/>
    <w:rsid w:val="00C516D5"/>
    <w:rsid w:val="00C52379"/>
    <w:rsid w:val="00C529CF"/>
    <w:rsid w:val="00C52F5F"/>
    <w:rsid w:val="00C53CDD"/>
    <w:rsid w:val="00C5432B"/>
    <w:rsid w:val="00C54ADC"/>
    <w:rsid w:val="00C562B3"/>
    <w:rsid w:val="00C5794C"/>
    <w:rsid w:val="00C62401"/>
    <w:rsid w:val="00C6247C"/>
    <w:rsid w:val="00C6272E"/>
    <w:rsid w:val="00C6293F"/>
    <w:rsid w:val="00C63635"/>
    <w:rsid w:val="00C64C0A"/>
    <w:rsid w:val="00C64E72"/>
    <w:rsid w:val="00C66E6F"/>
    <w:rsid w:val="00C66EEE"/>
    <w:rsid w:val="00C70940"/>
    <w:rsid w:val="00C72330"/>
    <w:rsid w:val="00C73D54"/>
    <w:rsid w:val="00C740F1"/>
    <w:rsid w:val="00C752F0"/>
    <w:rsid w:val="00C758C9"/>
    <w:rsid w:val="00C7620F"/>
    <w:rsid w:val="00C76829"/>
    <w:rsid w:val="00C775E3"/>
    <w:rsid w:val="00C81678"/>
    <w:rsid w:val="00C82D6F"/>
    <w:rsid w:val="00C84F40"/>
    <w:rsid w:val="00C90BBB"/>
    <w:rsid w:val="00C91547"/>
    <w:rsid w:val="00C91AD2"/>
    <w:rsid w:val="00C92C32"/>
    <w:rsid w:val="00C939AE"/>
    <w:rsid w:val="00C95FBC"/>
    <w:rsid w:val="00C96A47"/>
    <w:rsid w:val="00C96AAD"/>
    <w:rsid w:val="00C9746A"/>
    <w:rsid w:val="00CA04B5"/>
    <w:rsid w:val="00CA0663"/>
    <w:rsid w:val="00CA07E1"/>
    <w:rsid w:val="00CA1192"/>
    <w:rsid w:val="00CA1480"/>
    <w:rsid w:val="00CA17C6"/>
    <w:rsid w:val="00CA2552"/>
    <w:rsid w:val="00CA539B"/>
    <w:rsid w:val="00CA695A"/>
    <w:rsid w:val="00CA7FD8"/>
    <w:rsid w:val="00CB040F"/>
    <w:rsid w:val="00CB1845"/>
    <w:rsid w:val="00CB2E4C"/>
    <w:rsid w:val="00CB3FDB"/>
    <w:rsid w:val="00CB49CA"/>
    <w:rsid w:val="00CB5077"/>
    <w:rsid w:val="00CB5AC9"/>
    <w:rsid w:val="00CB5F52"/>
    <w:rsid w:val="00CB7694"/>
    <w:rsid w:val="00CB7B03"/>
    <w:rsid w:val="00CB7D73"/>
    <w:rsid w:val="00CC1A7F"/>
    <w:rsid w:val="00CC363A"/>
    <w:rsid w:val="00CC3F9B"/>
    <w:rsid w:val="00CC5508"/>
    <w:rsid w:val="00CC74C7"/>
    <w:rsid w:val="00CC74F0"/>
    <w:rsid w:val="00CC76D9"/>
    <w:rsid w:val="00CD2C2E"/>
    <w:rsid w:val="00CD301B"/>
    <w:rsid w:val="00CD4EA0"/>
    <w:rsid w:val="00CD6580"/>
    <w:rsid w:val="00CD68EC"/>
    <w:rsid w:val="00CD6E41"/>
    <w:rsid w:val="00CD7122"/>
    <w:rsid w:val="00CD7F9F"/>
    <w:rsid w:val="00CE0674"/>
    <w:rsid w:val="00CE19FF"/>
    <w:rsid w:val="00CE3BA2"/>
    <w:rsid w:val="00CE4990"/>
    <w:rsid w:val="00CE67E9"/>
    <w:rsid w:val="00CF0FBB"/>
    <w:rsid w:val="00CF147C"/>
    <w:rsid w:val="00CF3050"/>
    <w:rsid w:val="00CF3D7A"/>
    <w:rsid w:val="00CF47BB"/>
    <w:rsid w:val="00CF7798"/>
    <w:rsid w:val="00D01375"/>
    <w:rsid w:val="00D03B2F"/>
    <w:rsid w:val="00D05128"/>
    <w:rsid w:val="00D052F6"/>
    <w:rsid w:val="00D056AD"/>
    <w:rsid w:val="00D064B7"/>
    <w:rsid w:val="00D0670D"/>
    <w:rsid w:val="00D117D0"/>
    <w:rsid w:val="00D12341"/>
    <w:rsid w:val="00D1359D"/>
    <w:rsid w:val="00D157D0"/>
    <w:rsid w:val="00D17A16"/>
    <w:rsid w:val="00D2120C"/>
    <w:rsid w:val="00D212AE"/>
    <w:rsid w:val="00D2216C"/>
    <w:rsid w:val="00D22825"/>
    <w:rsid w:val="00D2307B"/>
    <w:rsid w:val="00D243AB"/>
    <w:rsid w:val="00D2441D"/>
    <w:rsid w:val="00D251AD"/>
    <w:rsid w:val="00D252A8"/>
    <w:rsid w:val="00D27E4E"/>
    <w:rsid w:val="00D27F7C"/>
    <w:rsid w:val="00D30A4A"/>
    <w:rsid w:val="00D32CD3"/>
    <w:rsid w:val="00D34C02"/>
    <w:rsid w:val="00D35753"/>
    <w:rsid w:val="00D3627A"/>
    <w:rsid w:val="00D36888"/>
    <w:rsid w:val="00D37D9B"/>
    <w:rsid w:val="00D4023B"/>
    <w:rsid w:val="00D40E12"/>
    <w:rsid w:val="00D4517C"/>
    <w:rsid w:val="00D4557C"/>
    <w:rsid w:val="00D4581D"/>
    <w:rsid w:val="00D4599E"/>
    <w:rsid w:val="00D46112"/>
    <w:rsid w:val="00D51114"/>
    <w:rsid w:val="00D51A9D"/>
    <w:rsid w:val="00D52C6A"/>
    <w:rsid w:val="00D53C4A"/>
    <w:rsid w:val="00D553F9"/>
    <w:rsid w:val="00D55669"/>
    <w:rsid w:val="00D55888"/>
    <w:rsid w:val="00D57E75"/>
    <w:rsid w:val="00D6049F"/>
    <w:rsid w:val="00D60D56"/>
    <w:rsid w:val="00D615DF"/>
    <w:rsid w:val="00D61CDB"/>
    <w:rsid w:val="00D62F0A"/>
    <w:rsid w:val="00D633B0"/>
    <w:rsid w:val="00D63519"/>
    <w:rsid w:val="00D63ED5"/>
    <w:rsid w:val="00D640F7"/>
    <w:rsid w:val="00D65320"/>
    <w:rsid w:val="00D65345"/>
    <w:rsid w:val="00D66164"/>
    <w:rsid w:val="00D676A3"/>
    <w:rsid w:val="00D701F0"/>
    <w:rsid w:val="00D72A55"/>
    <w:rsid w:val="00D73066"/>
    <w:rsid w:val="00D73A01"/>
    <w:rsid w:val="00D75D10"/>
    <w:rsid w:val="00D75F7F"/>
    <w:rsid w:val="00D76D84"/>
    <w:rsid w:val="00D771B9"/>
    <w:rsid w:val="00D77BA7"/>
    <w:rsid w:val="00D81FD3"/>
    <w:rsid w:val="00D8211E"/>
    <w:rsid w:val="00D82C46"/>
    <w:rsid w:val="00D838DD"/>
    <w:rsid w:val="00D83AC8"/>
    <w:rsid w:val="00D8478E"/>
    <w:rsid w:val="00D84D32"/>
    <w:rsid w:val="00D86378"/>
    <w:rsid w:val="00D866EF"/>
    <w:rsid w:val="00D9028A"/>
    <w:rsid w:val="00D914E3"/>
    <w:rsid w:val="00D92194"/>
    <w:rsid w:val="00D9246B"/>
    <w:rsid w:val="00D9247B"/>
    <w:rsid w:val="00D92F20"/>
    <w:rsid w:val="00D9397F"/>
    <w:rsid w:val="00D93B48"/>
    <w:rsid w:val="00D94DE6"/>
    <w:rsid w:val="00D94FB9"/>
    <w:rsid w:val="00D952AB"/>
    <w:rsid w:val="00DA0568"/>
    <w:rsid w:val="00DA1C08"/>
    <w:rsid w:val="00DA2011"/>
    <w:rsid w:val="00DA2735"/>
    <w:rsid w:val="00DA2936"/>
    <w:rsid w:val="00DA2CF2"/>
    <w:rsid w:val="00DA405B"/>
    <w:rsid w:val="00DA4BDE"/>
    <w:rsid w:val="00DA4DFA"/>
    <w:rsid w:val="00DB1922"/>
    <w:rsid w:val="00DB2A0B"/>
    <w:rsid w:val="00DB2F87"/>
    <w:rsid w:val="00DB385C"/>
    <w:rsid w:val="00DB4AEE"/>
    <w:rsid w:val="00DB55B3"/>
    <w:rsid w:val="00DB6F9B"/>
    <w:rsid w:val="00DB75D2"/>
    <w:rsid w:val="00DB7CAB"/>
    <w:rsid w:val="00DC2914"/>
    <w:rsid w:val="00DC2EC0"/>
    <w:rsid w:val="00DC3D35"/>
    <w:rsid w:val="00DC4544"/>
    <w:rsid w:val="00DC51F8"/>
    <w:rsid w:val="00DC57DE"/>
    <w:rsid w:val="00DC5F28"/>
    <w:rsid w:val="00DC7E37"/>
    <w:rsid w:val="00DD0BAB"/>
    <w:rsid w:val="00DD2120"/>
    <w:rsid w:val="00DD2655"/>
    <w:rsid w:val="00DD375D"/>
    <w:rsid w:val="00DD5619"/>
    <w:rsid w:val="00DD6AAA"/>
    <w:rsid w:val="00DD7206"/>
    <w:rsid w:val="00DD7C99"/>
    <w:rsid w:val="00DE0BC3"/>
    <w:rsid w:val="00DE1265"/>
    <w:rsid w:val="00DE1E04"/>
    <w:rsid w:val="00DE25FE"/>
    <w:rsid w:val="00DE6832"/>
    <w:rsid w:val="00DE6E4F"/>
    <w:rsid w:val="00DE7DCB"/>
    <w:rsid w:val="00DF1418"/>
    <w:rsid w:val="00DF31D4"/>
    <w:rsid w:val="00DF346D"/>
    <w:rsid w:val="00DF3C6F"/>
    <w:rsid w:val="00DF3D70"/>
    <w:rsid w:val="00DF5B08"/>
    <w:rsid w:val="00DF5F16"/>
    <w:rsid w:val="00DF6139"/>
    <w:rsid w:val="00E00849"/>
    <w:rsid w:val="00E00D23"/>
    <w:rsid w:val="00E014E0"/>
    <w:rsid w:val="00E020EE"/>
    <w:rsid w:val="00E028A1"/>
    <w:rsid w:val="00E02E98"/>
    <w:rsid w:val="00E0315E"/>
    <w:rsid w:val="00E03406"/>
    <w:rsid w:val="00E0695C"/>
    <w:rsid w:val="00E069FA"/>
    <w:rsid w:val="00E07B04"/>
    <w:rsid w:val="00E1182C"/>
    <w:rsid w:val="00E126D1"/>
    <w:rsid w:val="00E13318"/>
    <w:rsid w:val="00E15916"/>
    <w:rsid w:val="00E175FA"/>
    <w:rsid w:val="00E21834"/>
    <w:rsid w:val="00E22700"/>
    <w:rsid w:val="00E22B98"/>
    <w:rsid w:val="00E235C2"/>
    <w:rsid w:val="00E23D50"/>
    <w:rsid w:val="00E2547E"/>
    <w:rsid w:val="00E254F1"/>
    <w:rsid w:val="00E25E80"/>
    <w:rsid w:val="00E26BE2"/>
    <w:rsid w:val="00E27EA6"/>
    <w:rsid w:val="00E3034D"/>
    <w:rsid w:val="00E30DE7"/>
    <w:rsid w:val="00E31268"/>
    <w:rsid w:val="00E314B4"/>
    <w:rsid w:val="00E32D66"/>
    <w:rsid w:val="00E32FFE"/>
    <w:rsid w:val="00E331E7"/>
    <w:rsid w:val="00E34C5D"/>
    <w:rsid w:val="00E34DDA"/>
    <w:rsid w:val="00E35EA6"/>
    <w:rsid w:val="00E36D67"/>
    <w:rsid w:val="00E36F1C"/>
    <w:rsid w:val="00E40563"/>
    <w:rsid w:val="00E409D4"/>
    <w:rsid w:val="00E42CA4"/>
    <w:rsid w:val="00E42DF4"/>
    <w:rsid w:val="00E42EEE"/>
    <w:rsid w:val="00E4365F"/>
    <w:rsid w:val="00E442AF"/>
    <w:rsid w:val="00E44E49"/>
    <w:rsid w:val="00E44F32"/>
    <w:rsid w:val="00E45463"/>
    <w:rsid w:val="00E45D3C"/>
    <w:rsid w:val="00E47ACE"/>
    <w:rsid w:val="00E506F0"/>
    <w:rsid w:val="00E52A3B"/>
    <w:rsid w:val="00E5326A"/>
    <w:rsid w:val="00E546E2"/>
    <w:rsid w:val="00E54AB9"/>
    <w:rsid w:val="00E5623B"/>
    <w:rsid w:val="00E56F6C"/>
    <w:rsid w:val="00E6169C"/>
    <w:rsid w:val="00E61A2C"/>
    <w:rsid w:val="00E61A4F"/>
    <w:rsid w:val="00E62395"/>
    <w:rsid w:val="00E64825"/>
    <w:rsid w:val="00E64B2F"/>
    <w:rsid w:val="00E64EAD"/>
    <w:rsid w:val="00E65E0E"/>
    <w:rsid w:val="00E670B4"/>
    <w:rsid w:val="00E67A8F"/>
    <w:rsid w:val="00E67DA7"/>
    <w:rsid w:val="00E67FD8"/>
    <w:rsid w:val="00E70966"/>
    <w:rsid w:val="00E71F8C"/>
    <w:rsid w:val="00E72E3B"/>
    <w:rsid w:val="00E75036"/>
    <w:rsid w:val="00E75EE6"/>
    <w:rsid w:val="00E8076E"/>
    <w:rsid w:val="00E8266C"/>
    <w:rsid w:val="00E839CD"/>
    <w:rsid w:val="00E84490"/>
    <w:rsid w:val="00E84A4F"/>
    <w:rsid w:val="00E85439"/>
    <w:rsid w:val="00E85469"/>
    <w:rsid w:val="00E85A8F"/>
    <w:rsid w:val="00E864B1"/>
    <w:rsid w:val="00E877ED"/>
    <w:rsid w:val="00E90A49"/>
    <w:rsid w:val="00E90BE6"/>
    <w:rsid w:val="00E910F9"/>
    <w:rsid w:val="00E9197F"/>
    <w:rsid w:val="00E939C4"/>
    <w:rsid w:val="00E93D1A"/>
    <w:rsid w:val="00E948E8"/>
    <w:rsid w:val="00E96987"/>
    <w:rsid w:val="00E9723A"/>
    <w:rsid w:val="00EA0A2F"/>
    <w:rsid w:val="00EA1AD8"/>
    <w:rsid w:val="00EA25A4"/>
    <w:rsid w:val="00EA6B62"/>
    <w:rsid w:val="00EA6C2F"/>
    <w:rsid w:val="00EA6D80"/>
    <w:rsid w:val="00EA762F"/>
    <w:rsid w:val="00EB15F3"/>
    <w:rsid w:val="00EB2C59"/>
    <w:rsid w:val="00EB3E19"/>
    <w:rsid w:val="00EB5008"/>
    <w:rsid w:val="00EB6A0A"/>
    <w:rsid w:val="00EB6C31"/>
    <w:rsid w:val="00EB7304"/>
    <w:rsid w:val="00EB745F"/>
    <w:rsid w:val="00EB7761"/>
    <w:rsid w:val="00EB77D1"/>
    <w:rsid w:val="00EC0132"/>
    <w:rsid w:val="00EC078F"/>
    <w:rsid w:val="00EC08EA"/>
    <w:rsid w:val="00EC2DF4"/>
    <w:rsid w:val="00EC4C61"/>
    <w:rsid w:val="00EC4FDB"/>
    <w:rsid w:val="00EC5D24"/>
    <w:rsid w:val="00EC6E9D"/>
    <w:rsid w:val="00EC7C50"/>
    <w:rsid w:val="00ED1255"/>
    <w:rsid w:val="00ED22F4"/>
    <w:rsid w:val="00ED4264"/>
    <w:rsid w:val="00ED4A83"/>
    <w:rsid w:val="00ED53FA"/>
    <w:rsid w:val="00ED59CD"/>
    <w:rsid w:val="00ED7429"/>
    <w:rsid w:val="00ED7DE0"/>
    <w:rsid w:val="00EE09CC"/>
    <w:rsid w:val="00EE10B7"/>
    <w:rsid w:val="00EE140F"/>
    <w:rsid w:val="00EE1B6A"/>
    <w:rsid w:val="00EE2C8C"/>
    <w:rsid w:val="00EE2D7B"/>
    <w:rsid w:val="00EE39FA"/>
    <w:rsid w:val="00EE52B0"/>
    <w:rsid w:val="00EF0059"/>
    <w:rsid w:val="00EF0A4C"/>
    <w:rsid w:val="00EF0D6A"/>
    <w:rsid w:val="00EF1CE4"/>
    <w:rsid w:val="00EF1E01"/>
    <w:rsid w:val="00EF38FE"/>
    <w:rsid w:val="00EF4A72"/>
    <w:rsid w:val="00EF6369"/>
    <w:rsid w:val="00EF6BF3"/>
    <w:rsid w:val="00EF6CFB"/>
    <w:rsid w:val="00F01BFC"/>
    <w:rsid w:val="00F03CED"/>
    <w:rsid w:val="00F04AC5"/>
    <w:rsid w:val="00F0557A"/>
    <w:rsid w:val="00F05C88"/>
    <w:rsid w:val="00F0680E"/>
    <w:rsid w:val="00F06FFA"/>
    <w:rsid w:val="00F070D2"/>
    <w:rsid w:val="00F079E1"/>
    <w:rsid w:val="00F102F6"/>
    <w:rsid w:val="00F103CF"/>
    <w:rsid w:val="00F1097B"/>
    <w:rsid w:val="00F11E09"/>
    <w:rsid w:val="00F1296A"/>
    <w:rsid w:val="00F12F43"/>
    <w:rsid w:val="00F138D9"/>
    <w:rsid w:val="00F149CD"/>
    <w:rsid w:val="00F14A0E"/>
    <w:rsid w:val="00F14F71"/>
    <w:rsid w:val="00F16157"/>
    <w:rsid w:val="00F16621"/>
    <w:rsid w:val="00F21B76"/>
    <w:rsid w:val="00F2208D"/>
    <w:rsid w:val="00F229C1"/>
    <w:rsid w:val="00F242E9"/>
    <w:rsid w:val="00F24DB6"/>
    <w:rsid w:val="00F2548B"/>
    <w:rsid w:val="00F27493"/>
    <w:rsid w:val="00F27B53"/>
    <w:rsid w:val="00F3052A"/>
    <w:rsid w:val="00F30F70"/>
    <w:rsid w:val="00F31971"/>
    <w:rsid w:val="00F322FE"/>
    <w:rsid w:val="00F327A1"/>
    <w:rsid w:val="00F32EB3"/>
    <w:rsid w:val="00F33194"/>
    <w:rsid w:val="00F33841"/>
    <w:rsid w:val="00F33ECF"/>
    <w:rsid w:val="00F34072"/>
    <w:rsid w:val="00F35291"/>
    <w:rsid w:val="00F3620B"/>
    <w:rsid w:val="00F375DE"/>
    <w:rsid w:val="00F37E17"/>
    <w:rsid w:val="00F43705"/>
    <w:rsid w:val="00F43B3E"/>
    <w:rsid w:val="00F440B3"/>
    <w:rsid w:val="00F442F7"/>
    <w:rsid w:val="00F451DD"/>
    <w:rsid w:val="00F4600B"/>
    <w:rsid w:val="00F46473"/>
    <w:rsid w:val="00F46EE0"/>
    <w:rsid w:val="00F473B9"/>
    <w:rsid w:val="00F47A50"/>
    <w:rsid w:val="00F51C19"/>
    <w:rsid w:val="00F53D72"/>
    <w:rsid w:val="00F54936"/>
    <w:rsid w:val="00F55E50"/>
    <w:rsid w:val="00F57830"/>
    <w:rsid w:val="00F57914"/>
    <w:rsid w:val="00F57CC9"/>
    <w:rsid w:val="00F6099D"/>
    <w:rsid w:val="00F6387B"/>
    <w:rsid w:val="00F63D89"/>
    <w:rsid w:val="00F6520C"/>
    <w:rsid w:val="00F65292"/>
    <w:rsid w:val="00F65518"/>
    <w:rsid w:val="00F65D3B"/>
    <w:rsid w:val="00F667BA"/>
    <w:rsid w:val="00F67A14"/>
    <w:rsid w:val="00F70344"/>
    <w:rsid w:val="00F7151A"/>
    <w:rsid w:val="00F724FE"/>
    <w:rsid w:val="00F74CD4"/>
    <w:rsid w:val="00F76139"/>
    <w:rsid w:val="00F768F3"/>
    <w:rsid w:val="00F77DCB"/>
    <w:rsid w:val="00F829C5"/>
    <w:rsid w:val="00F82AFD"/>
    <w:rsid w:val="00F82F1A"/>
    <w:rsid w:val="00F82FC8"/>
    <w:rsid w:val="00F8608C"/>
    <w:rsid w:val="00F90754"/>
    <w:rsid w:val="00F90895"/>
    <w:rsid w:val="00F90CC1"/>
    <w:rsid w:val="00F93ADA"/>
    <w:rsid w:val="00F94435"/>
    <w:rsid w:val="00F94A0C"/>
    <w:rsid w:val="00F9568C"/>
    <w:rsid w:val="00F95DC6"/>
    <w:rsid w:val="00F96291"/>
    <w:rsid w:val="00F964AB"/>
    <w:rsid w:val="00F96EB2"/>
    <w:rsid w:val="00F9712B"/>
    <w:rsid w:val="00FA09C0"/>
    <w:rsid w:val="00FA0F20"/>
    <w:rsid w:val="00FA1355"/>
    <w:rsid w:val="00FA137F"/>
    <w:rsid w:val="00FA1FE7"/>
    <w:rsid w:val="00FA2F3D"/>
    <w:rsid w:val="00FA2FB9"/>
    <w:rsid w:val="00FA39EE"/>
    <w:rsid w:val="00FA3C79"/>
    <w:rsid w:val="00FA4C50"/>
    <w:rsid w:val="00FA4EA4"/>
    <w:rsid w:val="00FA54F2"/>
    <w:rsid w:val="00FA587D"/>
    <w:rsid w:val="00FA5B2A"/>
    <w:rsid w:val="00FB0ADF"/>
    <w:rsid w:val="00FB0DD8"/>
    <w:rsid w:val="00FB1D03"/>
    <w:rsid w:val="00FB25E9"/>
    <w:rsid w:val="00FB28E4"/>
    <w:rsid w:val="00FB505D"/>
    <w:rsid w:val="00FC07BF"/>
    <w:rsid w:val="00FC12F6"/>
    <w:rsid w:val="00FC2E99"/>
    <w:rsid w:val="00FC4650"/>
    <w:rsid w:val="00FC51A7"/>
    <w:rsid w:val="00FC64E5"/>
    <w:rsid w:val="00FC727E"/>
    <w:rsid w:val="00FC7B05"/>
    <w:rsid w:val="00FC7FA7"/>
    <w:rsid w:val="00FD04DD"/>
    <w:rsid w:val="00FD059E"/>
    <w:rsid w:val="00FD1BFE"/>
    <w:rsid w:val="00FD3D26"/>
    <w:rsid w:val="00FD4302"/>
    <w:rsid w:val="00FD6767"/>
    <w:rsid w:val="00FD7E85"/>
    <w:rsid w:val="00FE0B2D"/>
    <w:rsid w:val="00FE0E5F"/>
    <w:rsid w:val="00FE49CE"/>
    <w:rsid w:val="00FE4B0D"/>
    <w:rsid w:val="00FE4D07"/>
    <w:rsid w:val="00FE51AD"/>
    <w:rsid w:val="00FF00CA"/>
    <w:rsid w:val="00FF1F76"/>
    <w:rsid w:val="00FF28D4"/>
    <w:rsid w:val="00FF2D8F"/>
    <w:rsid w:val="00FF3378"/>
    <w:rsid w:val="00FF3965"/>
    <w:rsid w:val="00FF4282"/>
    <w:rsid w:val="00FF44BE"/>
    <w:rsid w:val="00FF45AC"/>
    <w:rsid w:val="00FF5AA6"/>
    <w:rsid w:val="00FF61CD"/>
    <w:rsid w:val="00FF642B"/>
    <w:rsid w:val="00FF6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3EC7153"/>
  <w15:docId w15:val="{9BC9EA7E-96AC-49FA-B8B6-D417382F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56"/>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
    <w:basedOn w:val="Normal"/>
    <w:link w:val="FootnoteTextChar"/>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
    <w:link w:val="FootnoteText"/>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
    <w:uiPriority w:val="99"/>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
    <w:link w:val="ListParagraph"/>
    <w:uiPriority w:val="34"/>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A922FB"/>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styleId="PlainTable4">
    <w:name w:val="Plain Table 4"/>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55" Type="http://schemas.openxmlformats.org/officeDocument/2006/relationships/hyperlink" Target="mailto:Gerda.Rubina@fm.gov.lv"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http://www.lm.gov.lv/news/id/658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yperlink" Target="http://www.lm.gov.lv/news/id/6647"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countries/latvia/investing-in-youth-latvia-9789264240407-en.htm" TargetMode="External"/><Relationship Id="rId1" Type="http://schemas.openxmlformats.org/officeDocument/2006/relationships/hyperlink" Target="http://fdp.gov.lv/files/uploaded/FDP_1_01_486_20150710_IKPDG_protokols2_projek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B196-3001-4566-8E0A-59C36C821F0D}">
  <ds:schemaRefs>
    <ds:schemaRef ds:uri="http://schemas.openxmlformats.org/officeDocument/2006/bibliography"/>
  </ds:schemaRefs>
</ds:datastoreItem>
</file>

<file path=customXml/itemProps10.xml><?xml version="1.0" encoding="utf-8"?>
<ds:datastoreItem xmlns:ds="http://schemas.openxmlformats.org/officeDocument/2006/customXml" ds:itemID="{D4FAEC4F-D79F-41B4-A893-A5B64E3A43AC}">
  <ds:schemaRefs>
    <ds:schemaRef ds:uri="http://schemas.openxmlformats.org/officeDocument/2006/bibliography"/>
  </ds:schemaRefs>
</ds:datastoreItem>
</file>

<file path=customXml/itemProps11.xml><?xml version="1.0" encoding="utf-8"?>
<ds:datastoreItem xmlns:ds="http://schemas.openxmlformats.org/officeDocument/2006/customXml" ds:itemID="{8B219D2A-7215-4A1F-8BFF-831CFF2DA2AB}">
  <ds:schemaRefs>
    <ds:schemaRef ds:uri="http://schemas.openxmlformats.org/officeDocument/2006/bibliography"/>
  </ds:schemaRefs>
</ds:datastoreItem>
</file>

<file path=customXml/itemProps12.xml><?xml version="1.0" encoding="utf-8"?>
<ds:datastoreItem xmlns:ds="http://schemas.openxmlformats.org/officeDocument/2006/customXml" ds:itemID="{4B702DF1-609A-4673-B469-AD337032AA7C}">
  <ds:schemaRefs>
    <ds:schemaRef ds:uri="http://schemas.openxmlformats.org/officeDocument/2006/bibliography"/>
  </ds:schemaRefs>
</ds:datastoreItem>
</file>

<file path=customXml/itemProps13.xml><?xml version="1.0" encoding="utf-8"?>
<ds:datastoreItem xmlns:ds="http://schemas.openxmlformats.org/officeDocument/2006/customXml" ds:itemID="{35575245-0FDB-4CDB-BC69-7B92E17C62DB}">
  <ds:schemaRefs>
    <ds:schemaRef ds:uri="http://schemas.openxmlformats.org/officeDocument/2006/bibliography"/>
  </ds:schemaRefs>
</ds:datastoreItem>
</file>

<file path=customXml/itemProps14.xml><?xml version="1.0" encoding="utf-8"?>
<ds:datastoreItem xmlns:ds="http://schemas.openxmlformats.org/officeDocument/2006/customXml" ds:itemID="{BE727DFE-857A-43B9-AF76-3120828F026E}">
  <ds:schemaRefs>
    <ds:schemaRef ds:uri="http://schemas.openxmlformats.org/officeDocument/2006/bibliography"/>
  </ds:schemaRefs>
</ds:datastoreItem>
</file>

<file path=customXml/itemProps15.xml><?xml version="1.0" encoding="utf-8"?>
<ds:datastoreItem xmlns:ds="http://schemas.openxmlformats.org/officeDocument/2006/customXml" ds:itemID="{954BDE73-652D-4D87-BCF9-F514CBFBAC3C}">
  <ds:schemaRefs>
    <ds:schemaRef ds:uri="http://schemas.openxmlformats.org/officeDocument/2006/bibliography"/>
  </ds:schemaRefs>
</ds:datastoreItem>
</file>

<file path=customXml/itemProps16.xml><?xml version="1.0" encoding="utf-8"?>
<ds:datastoreItem xmlns:ds="http://schemas.openxmlformats.org/officeDocument/2006/customXml" ds:itemID="{8FBFB66D-5830-412D-8396-11593EA6A9DB}">
  <ds:schemaRefs>
    <ds:schemaRef ds:uri="http://schemas.openxmlformats.org/officeDocument/2006/bibliography"/>
  </ds:schemaRefs>
</ds:datastoreItem>
</file>

<file path=customXml/itemProps17.xml><?xml version="1.0" encoding="utf-8"?>
<ds:datastoreItem xmlns:ds="http://schemas.openxmlformats.org/officeDocument/2006/customXml" ds:itemID="{DE8ACC25-1F5C-49F6-8C2D-FB432E0EF876}">
  <ds:schemaRefs>
    <ds:schemaRef ds:uri="http://schemas.openxmlformats.org/officeDocument/2006/bibliography"/>
  </ds:schemaRefs>
</ds:datastoreItem>
</file>

<file path=customXml/itemProps18.xml><?xml version="1.0" encoding="utf-8"?>
<ds:datastoreItem xmlns:ds="http://schemas.openxmlformats.org/officeDocument/2006/customXml" ds:itemID="{91D9DE38-CB35-4D95-B0BA-B8BB37FBCB5B}">
  <ds:schemaRefs>
    <ds:schemaRef ds:uri="http://schemas.openxmlformats.org/officeDocument/2006/bibliography"/>
  </ds:schemaRefs>
</ds:datastoreItem>
</file>

<file path=customXml/itemProps19.xml><?xml version="1.0" encoding="utf-8"?>
<ds:datastoreItem xmlns:ds="http://schemas.openxmlformats.org/officeDocument/2006/customXml" ds:itemID="{3003241C-53D6-4CDD-91DF-4DBC37AE6431}">
  <ds:schemaRefs>
    <ds:schemaRef ds:uri="http://schemas.openxmlformats.org/officeDocument/2006/bibliography"/>
  </ds:schemaRefs>
</ds:datastoreItem>
</file>

<file path=customXml/itemProps2.xml><?xml version="1.0" encoding="utf-8"?>
<ds:datastoreItem xmlns:ds="http://schemas.openxmlformats.org/officeDocument/2006/customXml" ds:itemID="{878BA66A-C4E7-460A-BDE9-031ACF08759A}">
  <ds:schemaRefs>
    <ds:schemaRef ds:uri="http://schemas.openxmlformats.org/officeDocument/2006/bibliography"/>
  </ds:schemaRefs>
</ds:datastoreItem>
</file>

<file path=customXml/itemProps20.xml><?xml version="1.0" encoding="utf-8"?>
<ds:datastoreItem xmlns:ds="http://schemas.openxmlformats.org/officeDocument/2006/customXml" ds:itemID="{C6CA9D0E-ACF2-493C-B129-0927735BD88E}">
  <ds:schemaRefs>
    <ds:schemaRef ds:uri="http://schemas.openxmlformats.org/officeDocument/2006/bibliography"/>
  </ds:schemaRefs>
</ds:datastoreItem>
</file>

<file path=customXml/itemProps21.xml><?xml version="1.0" encoding="utf-8"?>
<ds:datastoreItem xmlns:ds="http://schemas.openxmlformats.org/officeDocument/2006/customXml" ds:itemID="{BE6479D1-ABA6-4678-B98A-36C80B41DCBF}">
  <ds:schemaRefs>
    <ds:schemaRef ds:uri="http://schemas.openxmlformats.org/officeDocument/2006/bibliography"/>
  </ds:schemaRefs>
</ds:datastoreItem>
</file>

<file path=customXml/itemProps22.xml><?xml version="1.0" encoding="utf-8"?>
<ds:datastoreItem xmlns:ds="http://schemas.openxmlformats.org/officeDocument/2006/customXml" ds:itemID="{959D4134-1C9A-4682-B50F-0D913AFBD1FB}">
  <ds:schemaRefs>
    <ds:schemaRef ds:uri="http://schemas.openxmlformats.org/officeDocument/2006/bibliography"/>
  </ds:schemaRefs>
</ds:datastoreItem>
</file>

<file path=customXml/itemProps23.xml><?xml version="1.0" encoding="utf-8"?>
<ds:datastoreItem xmlns:ds="http://schemas.openxmlformats.org/officeDocument/2006/customXml" ds:itemID="{660A30C6-04DC-4AD1-987B-F61D6726883D}">
  <ds:schemaRefs>
    <ds:schemaRef ds:uri="http://schemas.openxmlformats.org/officeDocument/2006/bibliography"/>
  </ds:schemaRefs>
</ds:datastoreItem>
</file>

<file path=customXml/itemProps24.xml><?xml version="1.0" encoding="utf-8"?>
<ds:datastoreItem xmlns:ds="http://schemas.openxmlformats.org/officeDocument/2006/customXml" ds:itemID="{041CCD16-BB96-4E2D-8DD5-274014EF8AC1}">
  <ds:schemaRefs>
    <ds:schemaRef ds:uri="http://schemas.openxmlformats.org/officeDocument/2006/bibliography"/>
  </ds:schemaRefs>
</ds:datastoreItem>
</file>

<file path=customXml/itemProps25.xml><?xml version="1.0" encoding="utf-8"?>
<ds:datastoreItem xmlns:ds="http://schemas.openxmlformats.org/officeDocument/2006/customXml" ds:itemID="{FF78CC19-F9C3-47C7-B989-16D12A3EAD9D}">
  <ds:schemaRefs>
    <ds:schemaRef ds:uri="http://schemas.openxmlformats.org/officeDocument/2006/bibliography"/>
  </ds:schemaRefs>
</ds:datastoreItem>
</file>

<file path=customXml/itemProps26.xml><?xml version="1.0" encoding="utf-8"?>
<ds:datastoreItem xmlns:ds="http://schemas.openxmlformats.org/officeDocument/2006/customXml" ds:itemID="{DE19B3B8-E250-435F-8B15-707BAC1B056B}">
  <ds:schemaRefs>
    <ds:schemaRef ds:uri="http://schemas.openxmlformats.org/officeDocument/2006/bibliography"/>
  </ds:schemaRefs>
</ds:datastoreItem>
</file>

<file path=customXml/itemProps27.xml><?xml version="1.0" encoding="utf-8"?>
<ds:datastoreItem xmlns:ds="http://schemas.openxmlformats.org/officeDocument/2006/customXml" ds:itemID="{4DF55988-13F4-4EB7-8E1E-8AE2FDD4A55F}">
  <ds:schemaRefs>
    <ds:schemaRef ds:uri="http://schemas.openxmlformats.org/officeDocument/2006/bibliography"/>
  </ds:schemaRefs>
</ds:datastoreItem>
</file>

<file path=customXml/itemProps28.xml><?xml version="1.0" encoding="utf-8"?>
<ds:datastoreItem xmlns:ds="http://schemas.openxmlformats.org/officeDocument/2006/customXml" ds:itemID="{1754FAAA-A658-4B15-B131-D115532581D2}">
  <ds:schemaRefs>
    <ds:schemaRef ds:uri="http://schemas.openxmlformats.org/officeDocument/2006/bibliography"/>
  </ds:schemaRefs>
</ds:datastoreItem>
</file>

<file path=customXml/itemProps29.xml><?xml version="1.0" encoding="utf-8"?>
<ds:datastoreItem xmlns:ds="http://schemas.openxmlformats.org/officeDocument/2006/customXml" ds:itemID="{6C60B84C-A1FF-4BE2-B8F3-7AB81AC58E93}">
  <ds:schemaRefs>
    <ds:schemaRef ds:uri="http://schemas.openxmlformats.org/officeDocument/2006/bibliography"/>
  </ds:schemaRefs>
</ds:datastoreItem>
</file>

<file path=customXml/itemProps3.xml><?xml version="1.0" encoding="utf-8"?>
<ds:datastoreItem xmlns:ds="http://schemas.openxmlformats.org/officeDocument/2006/customXml" ds:itemID="{2C62DC40-C085-4A4F-B5B6-CF8914063582}">
  <ds:schemaRefs>
    <ds:schemaRef ds:uri="http://schemas.openxmlformats.org/officeDocument/2006/bibliography"/>
  </ds:schemaRefs>
</ds:datastoreItem>
</file>

<file path=customXml/itemProps30.xml><?xml version="1.0" encoding="utf-8"?>
<ds:datastoreItem xmlns:ds="http://schemas.openxmlformats.org/officeDocument/2006/customXml" ds:itemID="{1FBE525B-8E39-4E3D-A530-F74F6549454D}">
  <ds:schemaRefs>
    <ds:schemaRef ds:uri="http://schemas.openxmlformats.org/officeDocument/2006/bibliography"/>
  </ds:schemaRefs>
</ds:datastoreItem>
</file>

<file path=customXml/itemProps31.xml><?xml version="1.0" encoding="utf-8"?>
<ds:datastoreItem xmlns:ds="http://schemas.openxmlformats.org/officeDocument/2006/customXml" ds:itemID="{A9AEE74C-1356-49B7-A34B-779D888875B9}">
  <ds:schemaRefs>
    <ds:schemaRef ds:uri="http://schemas.openxmlformats.org/officeDocument/2006/bibliography"/>
  </ds:schemaRefs>
</ds:datastoreItem>
</file>

<file path=customXml/itemProps32.xml><?xml version="1.0" encoding="utf-8"?>
<ds:datastoreItem xmlns:ds="http://schemas.openxmlformats.org/officeDocument/2006/customXml" ds:itemID="{8E3389BF-F001-4AB2-8B88-9A211C8A1490}">
  <ds:schemaRefs>
    <ds:schemaRef ds:uri="http://schemas.openxmlformats.org/officeDocument/2006/bibliography"/>
  </ds:schemaRefs>
</ds:datastoreItem>
</file>

<file path=customXml/itemProps33.xml><?xml version="1.0" encoding="utf-8"?>
<ds:datastoreItem xmlns:ds="http://schemas.openxmlformats.org/officeDocument/2006/customXml" ds:itemID="{5EAE372D-BCEB-4289-9E8A-616B8B6A56BF}">
  <ds:schemaRefs>
    <ds:schemaRef ds:uri="http://schemas.openxmlformats.org/officeDocument/2006/bibliography"/>
  </ds:schemaRefs>
</ds:datastoreItem>
</file>

<file path=customXml/itemProps34.xml><?xml version="1.0" encoding="utf-8"?>
<ds:datastoreItem xmlns:ds="http://schemas.openxmlformats.org/officeDocument/2006/customXml" ds:itemID="{C04F5B20-E7A3-41BC-9FAC-A24561A0E033}">
  <ds:schemaRefs>
    <ds:schemaRef ds:uri="http://schemas.openxmlformats.org/officeDocument/2006/bibliography"/>
  </ds:schemaRefs>
</ds:datastoreItem>
</file>

<file path=customXml/itemProps35.xml><?xml version="1.0" encoding="utf-8"?>
<ds:datastoreItem xmlns:ds="http://schemas.openxmlformats.org/officeDocument/2006/customXml" ds:itemID="{BFAD414E-562B-4DCC-8239-6EF5EC7B8B63}">
  <ds:schemaRefs>
    <ds:schemaRef ds:uri="http://schemas.openxmlformats.org/officeDocument/2006/bibliography"/>
  </ds:schemaRefs>
</ds:datastoreItem>
</file>

<file path=customXml/itemProps36.xml><?xml version="1.0" encoding="utf-8"?>
<ds:datastoreItem xmlns:ds="http://schemas.openxmlformats.org/officeDocument/2006/customXml" ds:itemID="{553A3A0D-C3B9-4B97-A46F-229C6EED5497}">
  <ds:schemaRefs>
    <ds:schemaRef ds:uri="http://schemas.openxmlformats.org/officeDocument/2006/bibliography"/>
  </ds:schemaRefs>
</ds:datastoreItem>
</file>

<file path=customXml/itemProps37.xml><?xml version="1.0" encoding="utf-8"?>
<ds:datastoreItem xmlns:ds="http://schemas.openxmlformats.org/officeDocument/2006/customXml" ds:itemID="{F2F33E0E-06FA-4737-92BD-1AD47AFC5DEF}">
  <ds:schemaRefs>
    <ds:schemaRef ds:uri="http://schemas.openxmlformats.org/officeDocument/2006/bibliography"/>
  </ds:schemaRefs>
</ds:datastoreItem>
</file>

<file path=customXml/itemProps38.xml><?xml version="1.0" encoding="utf-8"?>
<ds:datastoreItem xmlns:ds="http://schemas.openxmlformats.org/officeDocument/2006/customXml" ds:itemID="{67371975-124F-4978-B654-8FEC5FBB887A}">
  <ds:schemaRefs>
    <ds:schemaRef ds:uri="http://schemas.openxmlformats.org/officeDocument/2006/bibliography"/>
  </ds:schemaRefs>
</ds:datastoreItem>
</file>

<file path=customXml/itemProps39.xml><?xml version="1.0" encoding="utf-8"?>
<ds:datastoreItem xmlns:ds="http://schemas.openxmlformats.org/officeDocument/2006/customXml" ds:itemID="{9067B6F9-0A19-431D-A955-07325DB2E35D}">
  <ds:schemaRefs>
    <ds:schemaRef ds:uri="http://schemas.openxmlformats.org/officeDocument/2006/bibliography"/>
  </ds:schemaRefs>
</ds:datastoreItem>
</file>

<file path=customXml/itemProps4.xml><?xml version="1.0" encoding="utf-8"?>
<ds:datastoreItem xmlns:ds="http://schemas.openxmlformats.org/officeDocument/2006/customXml" ds:itemID="{548718A1-B053-4F33-AB7D-C46C2913B9A4}">
  <ds:schemaRefs>
    <ds:schemaRef ds:uri="http://schemas.openxmlformats.org/officeDocument/2006/bibliography"/>
  </ds:schemaRefs>
</ds:datastoreItem>
</file>

<file path=customXml/itemProps40.xml><?xml version="1.0" encoding="utf-8"?>
<ds:datastoreItem xmlns:ds="http://schemas.openxmlformats.org/officeDocument/2006/customXml" ds:itemID="{C28AD0C1-E550-48D7-8AC3-F8672B937859}">
  <ds:schemaRefs>
    <ds:schemaRef ds:uri="http://schemas.openxmlformats.org/officeDocument/2006/bibliography"/>
  </ds:schemaRefs>
</ds:datastoreItem>
</file>

<file path=customXml/itemProps41.xml><?xml version="1.0" encoding="utf-8"?>
<ds:datastoreItem xmlns:ds="http://schemas.openxmlformats.org/officeDocument/2006/customXml" ds:itemID="{4351DD35-3A7B-44E0-B9CA-E76C85C1BF6A}">
  <ds:schemaRefs>
    <ds:schemaRef ds:uri="http://schemas.openxmlformats.org/officeDocument/2006/bibliography"/>
  </ds:schemaRefs>
</ds:datastoreItem>
</file>

<file path=customXml/itemProps42.xml><?xml version="1.0" encoding="utf-8"?>
<ds:datastoreItem xmlns:ds="http://schemas.openxmlformats.org/officeDocument/2006/customXml" ds:itemID="{228AF0D0-4BC3-49E6-92C7-8546813856C5}">
  <ds:schemaRefs>
    <ds:schemaRef ds:uri="http://schemas.openxmlformats.org/officeDocument/2006/bibliography"/>
  </ds:schemaRefs>
</ds:datastoreItem>
</file>

<file path=customXml/itemProps5.xml><?xml version="1.0" encoding="utf-8"?>
<ds:datastoreItem xmlns:ds="http://schemas.openxmlformats.org/officeDocument/2006/customXml" ds:itemID="{A7598022-FE8F-4373-AE3C-EF5AC4581FF0}">
  <ds:schemaRefs>
    <ds:schemaRef ds:uri="http://schemas.openxmlformats.org/officeDocument/2006/bibliography"/>
  </ds:schemaRefs>
</ds:datastoreItem>
</file>

<file path=customXml/itemProps6.xml><?xml version="1.0" encoding="utf-8"?>
<ds:datastoreItem xmlns:ds="http://schemas.openxmlformats.org/officeDocument/2006/customXml" ds:itemID="{18834C62-6D08-4F23-A652-B150CAB5F908}">
  <ds:schemaRefs>
    <ds:schemaRef ds:uri="http://schemas.openxmlformats.org/officeDocument/2006/bibliography"/>
  </ds:schemaRefs>
</ds:datastoreItem>
</file>

<file path=customXml/itemProps7.xml><?xml version="1.0" encoding="utf-8"?>
<ds:datastoreItem xmlns:ds="http://schemas.openxmlformats.org/officeDocument/2006/customXml" ds:itemID="{4B5BA864-4AEE-4AA1-985B-BFC7C7CD8193}">
  <ds:schemaRefs>
    <ds:schemaRef ds:uri="http://schemas.openxmlformats.org/officeDocument/2006/bibliography"/>
  </ds:schemaRefs>
</ds:datastoreItem>
</file>

<file path=customXml/itemProps8.xml><?xml version="1.0" encoding="utf-8"?>
<ds:datastoreItem xmlns:ds="http://schemas.openxmlformats.org/officeDocument/2006/customXml" ds:itemID="{2EECADCF-4C8A-4D3A-825C-C712FC1C10C5}">
  <ds:schemaRefs>
    <ds:schemaRef ds:uri="http://schemas.openxmlformats.org/officeDocument/2006/bibliography"/>
  </ds:schemaRefs>
</ds:datastoreItem>
</file>

<file path=customXml/itemProps9.xml><?xml version="1.0" encoding="utf-8"?>
<ds:datastoreItem xmlns:ds="http://schemas.openxmlformats.org/officeDocument/2006/customXml" ds:itemID="{A774F612-EB6F-48FD-A75D-FCDE5603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40</Pages>
  <Words>62324</Words>
  <Characters>35525</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2016.gadam</vt:lpstr>
    </vt:vector>
  </TitlesOfParts>
  <Company>Finanšu ministrija</Company>
  <LinksUpToDate>false</LinksUpToDate>
  <CharactersWithSpaces>97654</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2016.gadam</dc:title>
  <dc:subject>Informatīvais ziņojums</dc:subject>
  <dc:creator>Gerda Rubīna</dc:creator>
  <dc:description>67083911, Gerda.Rubina@fm.gov.lv</dc:description>
  <cp:lastModifiedBy>Gerda Rubīna</cp:lastModifiedBy>
  <cp:revision>134</cp:revision>
  <cp:lastPrinted>2015-09-24T13:39:00Z</cp:lastPrinted>
  <dcterms:created xsi:type="dcterms:W3CDTF">2015-03-13T13:56:00Z</dcterms:created>
  <dcterms:modified xsi:type="dcterms:W3CDTF">2015-09-28T09:16:00Z</dcterms:modified>
</cp:coreProperties>
</file>