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852042" w:rsidRDefault="003A5E20" w:rsidP="00846994">
      <w:pPr>
        <w:pStyle w:val="naislab"/>
        <w:jc w:val="center"/>
        <w:outlineLvl w:val="0"/>
        <w:rPr>
          <w:b/>
        </w:rPr>
      </w:pPr>
      <w:r w:rsidRPr="003A5E20">
        <w:rPr>
          <w:b/>
        </w:rPr>
        <w:t>Ministru kabineta noteikumu projekta "</w:t>
      </w:r>
      <w:r w:rsidR="006A50FA">
        <w:rPr>
          <w:b/>
        </w:rPr>
        <w:t>Noteikumi par svešvalodas centralizētā eksāmena</w:t>
      </w:r>
      <w:r w:rsidR="00171EE9" w:rsidRPr="00171EE9">
        <w:rPr>
          <w:b/>
        </w:rPr>
        <w:t xml:space="preserve"> vispārējās vidē</w:t>
      </w:r>
      <w:r w:rsidR="006A50FA">
        <w:rPr>
          <w:b/>
        </w:rPr>
        <w:t>jās izglītības programmā aizstāšanu</w:t>
      </w:r>
      <w:r w:rsidR="00171EE9" w:rsidRPr="00171EE9">
        <w:rPr>
          <w:b/>
        </w:rPr>
        <w:t xml:space="preserve"> ar starptautiskas testēšanas institūcijas pārbaudījumu svešvalodā</w:t>
      </w:r>
      <w:r w:rsidRPr="003A5E20">
        <w:rPr>
          <w:b/>
        </w:rPr>
        <w:t xml:space="preserve">" </w:t>
      </w:r>
      <w:r w:rsidR="00852042" w:rsidRPr="00852042">
        <w:rPr>
          <w:b/>
        </w:rPr>
        <w:t>sākotnējā</w:t>
      </w:r>
      <w:r w:rsidR="002D3306">
        <w:rPr>
          <w:b/>
        </w:rPr>
        <w:t>s</w:t>
      </w:r>
      <w:r w:rsidR="00852042" w:rsidRPr="00852042">
        <w:rPr>
          <w:b/>
        </w:rPr>
        <w:t xml:space="preserve"> ietekmes novērtējuma </w:t>
      </w:r>
      <w:smartTag w:uri="schemas-tilde-lv/tildestengine" w:element="veidnes">
        <w:smartTagPr>
          <w:attr w:name="text" w:val="ziņojums"/>
          <w:attr w:name="baseform" w:val="ziņojums"/>
          <w:attr w:name="id" w:val="-1"/>
        </w:smartTagPr>
        <w:r w:rsidR="00852042" w:rsidRPr="00852042">
          <w:rPr>
            <w:b/>
          </w:rPr>
          <w:t>ziņojums</w:t>
        </w:r>
      </w:smartTag>
      <w:r w:rsidR="00852042" w:rsidRPr="00852042">
        <w:rPr>
          <w:b/>
        </w:rPr>
        <w:t xml:space="preserve"> (anotācija)</w:t>
      </w:r>
    </w:p>
    <w:tbl>
      <w:tblPr>
        <w:tblpPr w:leftFromText="180" w:rightFromText="180" w:vertAnchor="text" w:horzAnchor="margin" w:tblpXSpec="center" w:tblpY="149"/>
        <w:tblW w:w="880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62"/>
        <w:gridCol w:w="5395"/>
      </w:tblGrid>
      <w:tr w:rsidR="00852042" w:rsidRPr="00435535">
        <w:trPr>
          <w:tblCellSpacing w:w="0" w:type="dxa"/>
        </w:trPr>
        <w:tc>
          <w:tcPr>
            <w:tcW w:w="8807" w:type="dxa"/>
            <w:gridSpan w:val="3"/>
            <w:vAlign w:val="center"/>
          </w:tcPr>
          <w:p w:rsidR="00852042" w:rsidRPr="00435535" w:rsidRDefault="00852042" w:rsidP="00917532">
            <w:pPr>
              <w:pStyle w:val="naisnod"/>
            </w:pPr>
            <w:r w:rsidRPr="00435535">
              <w:t> I</w:t>
            </w:r>
            <w:r w:rsidR="00ED6286">
              <w:t>.</w:t>
            </w:r>
            <w:r w:rsidRPr="00435535">
              <w:t xml:space="preserve"> Tiesību akta </w:t>
            </w:r>
            <w:r w:rsidR="002E3FF4" w:rsidRPr="00435535">
              <w:t xml:space="preserve">projekta </w:t>
            </w:r>
            <w:r w:rsidRPr="00435535">
              <w:t>izstrādes nepieciešamība</w:t>
            </w:r>
          </w:p>
        </w:tc>
      </w:tr>
      <w:tr w:rsidR="00262E2B" w:rsidRPr="00435535" w:rsidTr="00AB46EF">
        <w:trPr>
          <w:trHeight w:val="630"/>
          <w:tblCellSpacing w:w="0" w:type="dxa"/>
        </w:trPr>
        <w:tc>
          <w:tcPr>
            <w:tcW w:w="550" w:type="dxa"/>
          </w:tcPr>
          <w:p w:rsidR="00262E2B" w:rsidRPr="00435535" w:rsidRDefault="00262E2B" w:rsidP="00AB46EF">
            <w:pPr>
              <w:pStyle w:val="naiskr"/>
              <w:ind w:left="180" w:hanging="180"/>
              <w:jc w:val="center"/>
            </w:pPr>
            <w:r w:rsidRPr="00435535">
              <w:t>1.</w:t>
            </w:r>
          </w:p>
        </w:tc>
        <w:tc>
          <w:tcPr>
            <w:tcW w:w="2862" w:type="dxa"/>
          </w:tcPr>
          <w:p w:rsidR="00262E2B" w:rsidRPr="00435535" w:rsidRDefault="002D7F54" w:rsidP="004443F9">
            <w:pPr>
              <w:pStyle w:val="naiskr"/>
              <w:ind w:left="180" w:hanging="10"/>
            </w:pPr>
            <w:r w:rsidRPr="00435535">
              <w:t>Pamatojums</w:t>
            </w:r>
          </w:p>
        </w:tc>
        <w:tc>
          <w:tcPr>
            <w:tcW w:w="5395" w:type="dxa"/>
          </w:tcPr>
          <w:p w:rsidR="00D60692" w:rsidRPr="00435535" w:rsidRDefault="003A7661" w:rsidP="00712159">
            <w:pPr>
              <w:spacing w:before="75" w:after="75"/>
              <w:jc w:val="both"/>
            </w:pPr>
            <w:r>
              <w:t>Ministru kabineta n</w:t>
            </w:r>
            <w:r w:rsidRPr="00435535">
              <w:t xml:space="preserve">oteikumu projekts </w:t>
            </w:r>
            <w:r>
              <w:t>„</w:t>
            </w:r>
            <w:r w:rsidR="00171EE9">
              <w:t xml:space="preserve"> </w:t>
            </w:r>
            <w:r w:rsidR="00712159">
              <w:t>Noteikumi par svešvalodas centralizētā eksāmena</w:t>
            </w:r>
            <w:r w:rsidR="00171EE9" w:rsidRPr="00171EE9">
              <w:t xml:space="preserve"> vispārējās vidē</w:t>
            </w:r>
            <w:r w:rsidR="00712159">
              <w:t>jās izglītības programmā aizstāšanu</w:t>
            </w:r>
            <w:r w:rsidR="00171EE9" w:rsidRPr="00171EE9">
              <w:t xml:space="preserve"> ar starptautiskas testēšanas institūcijas pārbaudījumu svešvalodā</w:t>
            </w:r>
            <w:r w:rsidRPr="00435535">
              <w:t>”</w:t>
            </w:r>
            <w:r>
              <w:t xml:space="preserve"> (turpmāk – noteikumu projekts) izstrādāts, pamatojoties uz</w:t>
            </w:r>
            <w:r w:rsidRPr="00435535">
              <w:t xml:space="preserve"> Vispārējās izg</w:t>
            </w:r>
            <w:r>
              <w:t>lītības likuma 4.panta 12.</w:t>
            </w:r>
            <w:r w:rsidR="00171EE9">
              <w:rPr>
                <w:vertAlign w:val="superscript"/>
              </w:rPr>
              <w:t xml:space="preserve">1 </w:t>
            </w:r>
            <w:r>
              <w:t xml:space="preserve">punktā doto deleģējumu Ministru kabinetam </w:t>
            </w:r>
            <w:r w:rsidR="00B06652">
              <w:t xml:space="preserve">noteikt kārtību, kādā svešvalodas </w:t>
            </w:r>
            <w:r w:rsidR="00B06652" w:rsidRPr="00B06652">
              <w:t>centralizēto eksāmenu</w:t>
            </w:r>
            <w:r w:rsidR="00E925A5">
              <w:t xml:space="preserve"> (turpmāk – svešvalodas eksāmens)</w:t>
            </w:r>
            <w:r w:rsidR="00B06652" w:rsidRPr="00B06652">
              <w:t xml:space="preserve"> vispārējās vidējās izglītības programmā aizstāj ar starptautiskas testēšanas institūcijas pārbaudījumu svešvalodā</w:t>
            </w:r>
            <w:r w:rsidR="00B06652">
              <w:t xml:space="preserve"> un apstiprina starptautisko testēšanas institūciju sarakstu</w:t>
            </w:r>
            <w:r w:rsidR="00C35D4E">
              <w:t>.</w:t>
            </w:r>
          </w:p>
        </w:tc>
      </w:tr>
      <w:tr w:rsidR="00262E2B" w:rsidRPr="00435535" w:rsidTr="00AB46EF">
        <w:trPr>
          <w:trHeight w:val="706"/>
          <w:tblCellSpacing w:w="0" w:type="dxa"/>
        </w:trPr>
        <w:tc>
          <w:tcPr>
            <w:tcW w:w="550" w:type="dxa"/>
          </w:tcPr>
          <w:p w:rsidR="00262E2B" w:rsidRPr="00435535" w:rsidRDefault="00262E2B" w:rsidP="00AB46EF">
            <w:pPr>
              <w:pStyle w:val="naiskr"/>
              <w:jc w:val="center"/>
            </w:pPr>
            <w:r w:rsidRPr="00435535">
              <w:t>2.</w:t>
            </w:r>
          </w:p>
        </w:tc>
        <w:tc>
          <w:tcPr>
            <w:tcW w:w="2862" w:type="dxa"/>
          </w:tcPr>
          <w:p w:rsidR="00262E2B" w:rsidRPr="00435535" w:rsidRDefault="00262E2B" w:rsidP="004443F9">
            <w:pPr>
              <w:pStyle w:val="naiskr"/>
              <w:tabs>
                <w:tab w:val="left" w:pos="170"/>
              </w:tabs>
              <w:ind w:left="170"/>
            </w:pPr>
            <w:r w:rsidRPr="00435535">
              <w:t>Pašreizējā situācija</w:t>
            </w:r>
            <w:r w:rsidR="001F5CD6" w:rsidRPr="00435535">
              <w:t xml:space="preserve"> un problēmas</w:t>
            </w:r>
            <w:r w:rsidR="004C522D">
              <w:t>, kuru risināšanai tiesību akta projekts izstrādāts, tiesiskā regulējuma mērķis un būtība</w:t>
            </w:r>
          </w:p>
        </w:tc>
        <w:tc>
          <w:tcPr>
            <w:tcW w:w="5395" w:type="dxa"/>
          </w:tcPr>
          <w:p w:rsidR="00DC7BAD" w:rsidRDefault="00B06652" w:rsidP="005716C9">
            <w:pPr>
              <w:pStyle w:val="naiskr"/>
              <w:spacing w:after="0"/>
              <w:jc w:val="both"/>
            </w:pPr>
            <w:r>
              <w:t xml:space="preserve">Valsts pārbaudes darbi par vispārējās vidējās izglītības ieguvi </w:t>
            </w:r>
            <w:r w:rsidR="005716C9">
              <w:t>ir noteikti Ministru kabineta 2013.gada 21.maija noteikumos Nr.281 „</w:t>
            </w:r>
            <w:r w:rsidR="005716C9" w:rsidRPr="005716C9">
              <w:t>Noteikumi par valsts vispārējās vidējās izglītības standartu, mācību priekšmetu standartiem un izglītības programmu paraugiem</w:t>
            </w:r>
            <w:r w:rsidR="005716C9">
              <w:t>”</w:t>
            </w:r>
            <w:r w:rsidR="003A7661">
              <w:t>.</w:t>
            </w:r>
            <w:r w:rsidR="005716C9">
              <w:t xml:space="preserve"> Viens no obligātajiem valsts pārbaudījumiem ir svešvalodas eksāmens, kura satura izstrāde un norises kārtība noteikta</w:t>
            </w:r>
            <w:r w:rsidR="003E2374" w:rsidRPr="00CA32A8">
              <w:t xml:space="preserve"> Ministru kabin</w:t>
            </w:r>
            <w:r w:rsidR="002B3EB8">
              <w:t>eta 2010.gada 6.aprīļa noteikumos</w:t>
            </w:r>
            <w:r w:rsidR="003E2374" w:rsidRPr="00CA32A8">
              <w:t xml:space="preserve"> Nr.335 „Noteikumi par centralizēto </w:t>
            </w:r>
            <w:r w:rsidR="00687E3D" w:rsidRPr="00CA32A8">
              <w:t>eksāmenu saturu un norises kārtību”.</w:t>
            </w:r>
            <w:r w:rsidR="005716C9">
              <w:t xml:space="preserve"> Svešvalodas eksāmena satura izstrādi, norisi un izglītojamo darbu vērtēšanu veic Valsts izglītības satura centrs (turpmāk – centrs).</w:t>
            </w:r>
          </w:p>
          <w:p w:rsidR="00DF23EC" w:rsidRPr="00F72391" w:rsidRDefault="005716C9" w:rsidP="000C0C20">
            <w:pPr>
              <w:pStyle w:val="naiskr"/>
              <w:spacing w:before="0" w:after="0"/>
              <w:jc w:val="both"/>
            </w:pPr>
            <w:r>
              <w:t>Arvien vairāk i</w:t>
            </w:r>
            <w:r w:rsidR="007E0B35">
              <w:t xml:space="preserve">zglītojamo izvēlas kārtot </w:t>
            </w:r>
            <w:r w:rsidR="007E0B35" w:rsidRPr="007E0B35">
              <w:t xml:space="preserve">starptautiskas testēšanas institūcijas </w:t>
            </w:r>
            <w:r w:rsidR="001753A9">
              <w:t xml:space="preserve">tādu </w:t>
            </w:r>
            <w:r w:rsidR="007E0B35">
              <w:t xml:space="preserve">svešvalodas </w:t>
            </w:r>
            <w:r w:rsidR="007E0B35" w:rsidRPr="007E0B35">
              <w:t>pārbaudījumu</w:t>
            </w:r>
            <w:r w:rsidR="007E0B35">
              <w:t xml:space="preserve">, kas ir starptautiski atzīts un kurā iegūto vērtējumu </w:t>
            </w:r>
            <w:r w:rsidR="001753A9">
              <w:t xml:space="preserve">kā atlases kritēriju var izmantot, </w:t>
            </w:r>
            <w:r w:rsidR="007E0B35">
              <w:t>turpinot izglītību ārvalstīs.</w:t>
            </w:r>
          </w:p>
          <w:p w:rsidR="00837259" w:rsidRDefault="00421CBA" w:rsidP="000C0C20">
            <w:pPr>
              <w:pStyle w:val="naiskr"/>
              <w:spacing w:before="0" w:after="0"/>
              <w:jc w:val="both"/>
            </w:pPr>
            <w:r>
              <w:t xml:space="preserve">Gan svešvalodas eksāmens, gan </w:t>
            </w:r>
            <w:r w:rsidRPr="00421CBA">
              <w:t xml:space="preserve">starptautiskas institūcijas pārbaudījums </w:t>
            </w:r>
            <w:r>
              <w:t>pārbauda valodas prasmes atbilstoši Eiropas kopīgām pamatnostādnēm</w:t>
            </w:r>
            <w:r w:rsidR="002F6299">
              <w:t xml:space="preserve"> </w:t>
            </w:r>
            <w:r>
              <w:t xml:space="preserve">valodu apguvei </w:t>
            </w:r>
            <w:r w:rsidR="002F6299">
              <w:t xml:space="preserve">(turpmāk – EKP valodu prasmes līmeņi) </w:t>
            </w:r>
            <w:r>
              <w:t>un atbilst savstarpēji salīdzināmām mācību programmām.</w:t>
            </w:r>
            <w:r w:rsidR="001753A9">
              <w:t xml:space="preserve"> </w:t>
            </w:r>
            <w:r>
              <w:t xml:space="preserve">Lai </w:t>
            </w:r>
            <w:r w:rsidR="001753A9">
              <w:t>nodrošinātu izglītojamo reālās vajadzības,</w:t>
            </w:r>
            <w:r>
              <w:t xml:space="preserve"> </w:t>
            </w:r>
            <w:r w:rsidR="00093665">
              <w:t xml:space="preserve">Vispārējās izglītības likums nosaka, ka izglītojamais svešvalodas eksāmenu </w:t>
            </w:r>
            <w:r w:rsidR="00E925A5">
              <w:t>tiesīgs</w:t>
            </w:r>
            <w:r w:rsidR="00A52D90">
              <w:t xml:space="preserve"> aizstāt ar </w:t>
            </w:r>
            <w:r w:rsidR="00093665" w:rsidRPr="00093665">
              <w:t>starptautiskas testēšanas institūcijas svešvalodas pārbaudījumu</w:t>
            </w:r>
            <w:r w:rsidR="00093665">
              <w:t xml:space="preserve"> (turpmāk – starptautiskas institūcijas pārbaudījums).</w:t>
            </w:r>
          </w:p>
          <w:p w:rsidR="00D46966" w:rsidRDefault="00837259" w:rsidP="0080767B">
            <w:pPr>
              <w:pStyle w:val="naiskr"/>
              <w:spacing w:before="0" w:after="0"/>
              <w:jc w:val="both"/>
            </w:pPr>
            <w:r w:rsidRPr="00837259">
              <w:t>Noteikumu</w:t>
            </w:r>
            <w:r w:rsidR="0080767B">
              <w:t xml:space="preserve"> projekts nosaka</w:t>
            </w:r>
            <w:r w:rsidR="00A06D04">
              <w:t xml:space="preserve"> starptautisko institūciju sarakstu</w:t>
            </w:r>
            <w:r w:rsidR="00D73B41">
              <w:t xml:space="preserve"> un to pārbaudījumus,</w:t>
            </w:r>
            <w:r w:rsidR="00A06D04">
              <w:t xml:space="preserve"> ar </w:t>
            </w:r>
            <w:r w:rsidR="00D73B41">
              <w:t xml:space="preserve">kuriem </w:t>
            </w:r>
            <w:r w:rsidR="001753A9">
              <w:t xml:space="preserve">var </w:t>
            </w:r>
            <w:r w:rsidR="00E925A5">
              <w:t>aizstā</w:t>
            </w:r>
            <w:r w:rsidR="001753A9">
              <w:t>t</w:t>
            </w:r>
            <w:r w:rsidR="00E925A5">
              <w:t xml:space="preserve"> </w:t>
            </w:r>
            <w:r w:rsidR="003B2A69">
              <w:t>svešvalodas eksāmenu</w:t>
            </w:r>
            <w:r w:rsidR="00A06D04">
              <w:t xml:space="preserve">. </w:t>
            </w:r>
            <w:r w:rsidR="00D46966">
              <w:t xml:space="preserve">Starptautisko institūciju saraksts ir izveidots, ņemot vērā Igaunijas un Lietuvas </w:t>
            </w:r>
            <w:r w:rsidR="00D46966">
              <w:lastRenderedPageBreak/>
              <w:t>pieredzi svešvalodu eksāmenu aizstāšanā ar starptautisko institūciju pārbaud</w:t>
            </w:r>
            <w:r w:rsidR="00FD54AF">
              <w:t xml:space="preserve">ījumiem. </w:t>
            </w:r>
            <w:r w:rsidR="00EF63ED">
              <w:t xml:space="preserve">Lai tiktu nodrošināta </w:t>
            </w:r>
            <w:r w:rsidR="00EF63ED" w:rsidRPr="00EF63ED">
              <w:t xml:space="preserve">dokumenta par iegūto vērtējumu pārbaudījumā </w:t>
            </w:r>
            <w:r w:rsidR="00EF63ED">
              <w:t xml:space="preserve">autentiskuma pārbaude, </w:t>
            </w:r>
            <w:r w:rsidR="00773D6A">
              <w:t xml:space="preserve">noteikumu projekta pielikumā </w:t>
            </w:r>
            <w:r w:rsidR="0099616B">
              <w:t xml:space="preserve">ir ietvertas tikai tās </w:t>
            </w:r>
            <w:r w:rsidR="00EF63ED">
              <w:t>starptautiskās institūcijas</w:t>
            </w:r>
            <w:r w:rsidR="0099616B">
              <w:t>, kuru</w:t>
            </w:r>
            <w:r w:rsidR="00A52D90">
              <w:t xml:space="preserve"> pārstāvniecība</w:t>
            </w:r>
            <w:r w:rsidR="0099616B">
              <w:t>s atrodas</w:t>
            </w:r>
            <w:r w:rsidR="00A52D90">
              <w:t xml:space="preserve"> Latvijas Republikā.</w:t>
            </w:r>
          </w:p>
          <w:p w:rsidR="00FD54AF" w:rsidRPr="00B97BFA" w:rsidRDefault="00FD54AF" w:rsidP="0080767B">
            <w:pPr>
              <w:pStyle w:val="naiskr"/>
              <w:spacing w:before="0" w:after="0"/>
              <w:jc w:val="both"/>
            </w:pPr>
            <w:r w:rsidRPr="00B97BFA">
              <w:t xml:space="preserve">Noteikumu projekta pielikumā ir iekļauti tikai to starptautisko testēšanas institūciju svešvalodu pārbaudījumi, kuri pārbauda valodas prasmes atbilstoši EKP valodu apguvei, atbilst savstarpēji salīdzināmām mācību programmām un atbilst vienādām kvalitātes prasībām. Tā kā starptautiskā pārbaudījuma izmaksas sedz izglītojamais, kurš kārto šo pārbaudījumu, tad ir pieļaujama starptautisko testēšanas institūciju pārstāvniecība Latvijas augstskolās, piemēram, pielikumā minētā </w:t>
            </w:r>
            <w:proofErr w:type="spellStart"/>
            <w:r w:rsidRPr="00B97BFA">
              <w:t>Pearson</w:t>
            </w:r>
            <w:proofErr w:type="spellEnd"/>
            <w:r w:rsidRPr="00B97BFA">
              <w:t xml:space="preserve"> PLC – Latvijas Universitāte un </w:t>
            </w:r>
            <w:proofErr w:type="spellStart"/>
            <w:r w:rsidRPr="00B97BFA">
              <w:t>European</w:t>
            </w:r>
            <w:proofErr w:type="spellEnd"/>
            <w:r w:rsidRPr="00B97BFA">
              <w:t xml:space="preserve"> </w:t>
            </w:r>
            <w:proofErr w:type="spellStart"/>
            <w:r w:rsidRPr="00B97BFA">
              <w:t>Consortium</w:t>
            </w:r>
            <w:proofErr w:type="spellEnd"/>
            <w:r w:rsidRPr="00B97BFA">
              <w:t xml:space="preserve"> </w:t>
            </w:r>
            <w:proofErr w:type="spellStart"/>
            <w:r w:rsidRPr="00B97BFA">
              <w:t>for</w:t>
            </w:r>
            <w:proofErr w:type="spellEnd"/>
            <w:r w:rsidRPr="00B97BFA">
              <w:t xml:space="preserve"> </w:t>
            </w:r>
            <w:proofErr w:type="spellStart"/>
            <w:r w:rsidRPr="00B97BFA">
              <w:t>the</w:t>
            </w:r>
            <w:proofErr w:type="spellEnd"/>
            <w:r w:rsidRPr="00B97BFA">
              <w:t xml:space="preserve"> </w:t>
            </w:r>
            <w:proofErr w:type="spellStart"/>
            <w:r w:rsidRPr="00B97BFA">
              <w:t>Certificate</w:t>
            </w:r>
            <w:proofErr w:type="spellEnd"/>
            <w:r w:rsidRPr="00B97BFA">
              <w:t xml:space="preserve"> </w:t>
            </w:r>
            <w:proofErr w:type="spellStart"/>
            <w:r w:rsidRPr="00B97BFA">
              <w:t>of</w:t>
            </w:r>
            <w:proofErr w:type="spellEnd"/>
            <w:r w:rsidRPr="00B97BFA">
              <w:t xml:space="preserve"> </w:t>
            </w:r>
            <w:proofErr w:type="spellStart"/>
            <w:r w:rsidRPr="00B97BFA">
              <w:t>Attainment</w:t>
            </w:r>
            <w:proofErr w:type="spellEnd"/>
            <w:r w:rsidRPr="00B97BFA">
              <w:t xml:space="preserve"> </w:t>
            </w:r>
            <w:proofErr w:type="spellStart"/>
            <w:r w:rsidRPr="00B97BFA">
              <w:t>in</w:t>
            </w:r>
            <w:proofErr w:type="spellEnd"/>
            <w:r w:rsidRPr="00B97BFA">
              <w:t xml:space="preserve"> </w:t>
            </w:r>
            <w:proofErr w:type="spellStart"/>
            <w:r w:rsidRPr="00B97BFA">
              <w:t>Modern</w:t>
            </w:r>
            <w:proofErr w:type="spellEnd"/>
            <w:r w:rsidRPr="00B97BFA">
              <w:t xml:space="preserve"> </w:t>
            </w:r>
            <w:proofErr w:type="spellStart"/>
            <w:r w:rsidRPr="00B97BFA">
              <w:t>Languages</w:t>
            </w:r>
            <w:proofErr w:type="spellEnd"/>
            <w:r w:rsidRPr="00B97BFA">
              <w:t xml:space="preserve"> – Baltijas Starptautiskā Akadēmija.</w:t>
            </w:r>
          </w:p>
          <w:p w:rsidR="001B1304" w:rsidRDefault="00A52D90" w:rsidP="0080767B">
            <w:pPr>
              <w:pStyle w:val="naiskr"/>
              <w:spacing w:before="0" w:after="0"/>
              <w:jc w:val="both"/>
            </w:pPr>
            <w:r>
              <w:t xml:space="preserve">Ņemot vērā, ka </w:t>
            </w:r>
            <w:r w:rsidR="002F6299">
              <w:t>V</w:t>
            </w:r>
            <w:r w:rsidR="0016759B" w:rsidRPr="0016759B">
              <w:t>ispārējās vidējās izglītības mācību priekšmeta standart</w:t>
            </w:r>
            <w:r w:rsidR="002F6299">
              <w:t>a</w:t>
            </w:r>
            <w:r w:rsidR="0016759B">
              <w:t xml:space="preserve"> </w:t>
            </w:r>
            <w:r w:rsidR="0016759B" w:rsidRPr="0016759B">
              <w:rPr>
                <w:i/>
              </w:rPr>
              <w:t>Svešvaloda</w:t>
            </w:r>
            <w:r w:rsidR="009F16DA">
              <w:t xml:space="preserve"> pamatprasība</w:t>
            </w:r>
            <w:r w:rsidR="0016759B">
              <w:t xml:space="preserve">s mācību priekšmeta apguvei </w:t>
            </w:r>
            <w:r w:rsidR="0016759B" w:rsidRPr="0016759B">
              <w:t xml:space="preserve">izglītojamo rosina sasniegt valodas komunikatīvo kompetenci un </w:t>
            </w:r>
            <w:proofErr w:type="spellStart"/>
            <w:r w:rsidR="0016759B" w:rsidRPr="0016759B">
              <w:t>sociokultūras</w:t>
            </w:r>
            <w:proofErr w:type="spellEnd"/>
            <w:r w:rsidR="0016759B" w:rsidRPr="0016759B">
              <w:t xml:space="preserve"> kompetenci atbilstoši </w:t>
            </w:r>
            <w:r w:rsidR="002F6299">
              <w:t>EKP</w:t>
            </w:r>
            <w:r w:rsidR="0016759B" w:rsidRPr="0016759B">
              <w:t xml:space="preserve"> noteiktajiem</w:t>
            </w:r>
            <w:r w:rsidR="00E27B3F">
              <w:t xml:space="preserve"> valodas prasmes B1</w:t>
            </w:r>
            <w:r w:rsidR="002F6299">
              <w:t xml:space="preserve">–C1 līmeņiem, </w:t>
            </w:r>
            <w:r w:rsidR="001D20D8">
              <w:t xml:space="preserve">kā arī to, ka svešvalodu eksāmenā </w:t>
            </w:r>
            <w:r w:rsidR="008B66D2">
              <w:t xml:space="preserve">izglītojamā sniegums tiek izteikts atbilstoši valodas prasmes B1, B2 vai C1 līmenim, </w:t>
            </w:r>
            <w:r w:rsidR="0016759B">
              <w:t>n</w:t>
            </w:r>
            <w:r w:rsidR="00D46966">
              <w:t>oteikumu projekts</w:t>
            </w:r>
            <w:r>
              <w:t xml:space="preserve"> nosaka, ka svešvalodu eksāmenu var aizstāt tikai ar tādu starptautiskas institūcijas pārbaudījumu, kura rezultāti ir pielīdzināti EKP valodu </w:t>
            </w:r>
            <w:r w:rsidR="002F6299">
              <w:t xml:space="preserve">prasmes </w:t>
            </w:r>
            <w:r>
              <w:t>līmeņiem</w:t>
            </w:r>
            <w:r w:rsidR="003937F5">
              <w:t xml:space="preserve"> un nav zemāki</w:t>
            </w:r>
            <w:r w:rsidR="002F6299">
              <w:t xml:space="preserve"> par B1 līmeni</w:t>
            </w:r>
            <w:r>
              <w:t>.</w:t>
            </w:r>
          </w:p>
          <w:p w:rsidR="002F6299" w:rsidRDefault="008B66D2" w:rsidP="0080767B">
            <w:pPr>
              <w:pStyle w:val="naiskr"/>
              <w:spacing w:before="0" w:after="0"/>
              <w:jc w:val="both"/>
            </w:pPr>
            <w:r>
              <w:t>Tā kā atsevišķu starptautisko institūciju izsniegtajiem dokumentiem par iegūto vērtējumu pārbaudījumā ir noteikts derīguma termiņš, tad noteikumu projekts nosaka</w:t>
            </w:r>
            <w:r w:rsidR="002F6299">
              <w:t xml:space="preserve">, ka svešvalodu eksāmenu izglītojamais var aizstāt ar starptautiskās institūcijas pārbaudījumu, kas nokārtots vispārējās vidējās izglītības </w:t>
            </w:r>
            <w:r>
              <w:t>apguves laikā un</w:t>
            </w:r>
            <w:r w:rsidR="002A0790">
              <w:t xml:space="preserve"> </w:t>
            </w:r>
            <w:r>
              <w:t xml:space="preserve"> starptautiskās institūcijas dokumenta izsniegšanas termiņš ir </w:t>
            </w:r>
            <w:r w:rsidR="002A6519">
              <w:t xml:space="preserve">ne agrāk kā </w:t>
            </w:r>
            <w:r>
              <w:t>divi</w:t>
            </w:r>
            <w:r w:rsidR="002A6519">
              <w:t xml:space="preserve"> gadi pirms svešvalodas eksāmena paredzētās norises dienas.</w:t>
            </w:r>
          </w:p>
          <w:p w:rsidR="003D0C44" w:rsidRDefault="00674DC0" w:rsidP="00E83F42">
            <w:pPr>
              <w:pStyle w:val="naiskr"/>
              <w:spacing w:before="0" w:after="0"/>
              <w:jc w:val="both"/>
            </w:pPr>
            <w:r>
              <w:t xml:space="preserve">Noteikumu projekts nosaka kārtību, kādā izglītojamais informē savas izglītības iestādes vadītāju </w:t>
            </w:r>
            <w:r w:rsidR="008B66D2">
              <w:t>un izglītības iestādes vadītājs pieņem lēmumu par svešvalodas eksāmena aizstāšanu</w:t>
            </w:r>
            <w:r>
              <w:t>.</w:t>
            </w:r>
            <w:r w:rsidR="00546FE6">
              <w:t xml:space="preserve"> Kā apliecinājumu, ka izglītojamais ir nokārtojis starptautisko pārbaudījumu svešvalodā, noteikumu projekts nosaka izglītojamam iesniegt izglītības iestādes vadīt</w:t>
            </w:r>
            <w:r w:rsidR="00C303A0">
              <w:t>ājam dokumentu</w:t>
            </w:r>
            <w:r w:rsidR="003D0C44">
              <w:t xml:space="preserve"> par iegū</w:t>
            </w:r>
            <w:r w:rsidR="00C303A0">
              <w:t>to vērtējumu pārbaudījumā</w:t>
            </w:r>
            <w:r w:rsidR="003D0C44">
              <w:t xml:space="preserve">. </w:t>
            </w:r>
            <w:r w:rsidR="0030528E">
              <w:t>C</w:t>
            </w:r>
            <w:r w:rsidR="003D0C44">
              <w:t>entrs</w:t>
            </w:r>
            <w:r w:rsidR="0030528E">
              <w:t>, pamatojoties uz izglītības iestādes vadītāja iesniegumu,</w:t>
            </w:r>
            <w:r w:rsidR="003D0C44">
              <w:t xml:space="preserve"> veic starptautisk</w:t>
            </w:r>
            <w:r w:rsidR="0030528E">
              <w:t>ās</w:t>
            </w:r>
            <w:r w:rsidR="003D0C44">
              <w:t xml:space="preserve"> instit</w:t>
            </w:r>
            <w:r w:rsidR="0030528E">
              <w:t>ūcijas</w:t>
            </w:r>
            <w:r w:rsidR="003D0C44">
              <w:t xml:space="preserve"> izsniegt</w:t>
            </w:r>
            <w:r w:rsidR="0030528E">
              <w:t>ā dokumenta</w:t>
            </w:r>
            <w:proofErr w:type="gramStart"/>
            <w:r w:rsidR="003D0C44">
              <w:t xml:space="preserve"> </w:t>
            </w:r>
            <w:r w:rsidR="0030528E">
              <w:t xml:space="preserve"> </w:t>
            </w:r>
            <w:proofErr w:type="gramEnd"/>
            <w:r w:rsidR="003A1BBD">
              <w:lastRenderedPageBreak/>
              <w:t xml:space="preserve">autentiskuma </w:t>
            </w:r>
            <w:r w:rsidR="003D0C44">
              <w:t>pārbaudi</w:t>
            </w:r>
            <w:r w:rsidR="00C303A0">
              <w:t>, par kuras rezultātiem informē izglītības iestādes vadītāju</w:t>
            </w:r>
            <w:r w:rsidR="0030528E">
              <w:t>.</w:t>
            </w:r>
            <w:r w:rsidR="00B4519B">
              <w:t xml:space="preserve"> Noteikumu projekts nosaka, ka centrs veic starptautisko institūciju izsniegto dokumentu par pārbaudījuma rezultātiem elektronisko uzskaiti.</w:t>
            </w:r>
          </w:p>
          <w:p w:rsidR="00751BA5" w:rsidRPr="00B97BFA" w:rsidRDefault="00674DC0" w:rsidP="00E83F42">
            <w:pPr>
              <w:pStyle w:val="naiskr"/>
              <w:spacing w:before="0" w:after="0"/>
              <w:jc w:val="both"/>
            </w:pPr>
            <w:r w:rsidRPr="00B97BFA">
              <w:t>Vienlaikus noteikumu p</w:t>
            </w:r>
            <w:r w:rsidR="008B3774" w:rsidRPr="00B97BFA">
              <w:t>rojekts paredz, ka izglītojama</w:t>
            </w:r>
            <w:r w:rsidR="00751BA5" w:rsidRPr="00B97BFA">
              <w:t>is</w:t>
            </w:r>
            <w:r w:rsidRPr="00B97BFA">
              <w:t xml:space="preserve">, kurš ir izteicis </w:t>
            </w:r>
            <w:r w:rsidR="008B3774" w:rsidRPr="00B97BFA">
              <w:t>lūgumu</w:t>
            </w:r>
            <w:r w:rsidRPr="00B97BFA">
              <w:t xml:space="preserve"> aizstāt svešvalodu eksāmenu, bet </w:t>
            </w:r>
            <w:r w:rsidR="00357E47" w:rsidRPr="00B97BFA">
              <w:t xml:space="preserve">ne vēlāk kā vienu </w:t>
            </w:r>
            <w:r w:rsidR="002F0B56" w:rsidRPr="00B97BFA">
              <w:t>mēnesi</w:t>
            </w:r>
            <w:r w:rsidR="00357E47" w:rsidRPr="00B97BFA">
              <w:t xml:space="preserve"> </w:t>
            </w:r>
            <w:r w:rsidRPr="00B97BFA">
              <w:t>līdz tā norisei nav nokārtojis starptautiskās institūcijas pārbaudījumu</w:t>
            </w:r>
            <w:r w:rsidR="002F0B56" w:rsidRPr="00B97BFA">
              <w:t xml:space="preserve"> vai ir saņēmis atteikumu par svešvalodas eksāmena aizstāšanu</w:t>
            </w:r>
            <w:r w:rsidRPr="00B97BFA">
              <w:t xml:space="preserve">, ir tiesīgs </w:t>
            </w:r>
            <w:r w:rsidR="00751BA5" w:rsidRPr="00B97BFA">
              <w:t>saskaņā ar normatīvo aktu, kas nosaka centralizēto eksāmenu saturu un norises kārtību, kārtot svešvalodas eksāmenu</w:t>
            </w:r>
            <w:r w:rsidR="00E83F42" w:rsidRPr="00B97BFA">
              <w:t xml:space="preserve">, lai </w:t>
            </w:r>
            <w:r w:rsidR="00C303A0" w:rsidRPr="00B97BFA">
              <w:t>vēl tajā pa</w:t>
            </w:r>
            <w:r w:rsidR="003A1BBD" w:rsidRPr="00B97BFA">
              <w:t>šā</w:t>
            </w:r>
            <w:r w:rsidR="00C303A0" w:rsidRPr="00B97BFA">
              <w:t xml:space="preserve"> mācību gadā </w:t>
            </w:r>
            <w:r w:rsidR="00E83F42" w:rsidRPr="00B97BFA">
              <w:t>varētu iegūt dokumentu par vispārējo vidējo izglītību</w:t>
            </w:r>
            <w:r w:rsidRPr="00B97BFA">
              <w:t>.</w:t>
            </w:r>
          </w:p>
          <w:p w:rsidR="00FB5C0B" w:rsidRDefault="00FB5C0B" w:rsidP="00E83F42">
            <w:pPr>
              <w:pStyle w:val="naiskr"/>
              <w:spacing w:before="0" w:after="0"/>
              <w:jc w:val="both"/>
            </w:pPr>
            <w:r w:rsidRPr="00FB5C0B">
              <w:t>Tā kā persona,</w:t>
            </w:r>
            <w:r w:rsidR="006E61E0">
              <w:t xml:space="preserve"> kura ir ieguvusi dokumentu par</w:t>
            </w:r>
            <w:r w:rsidRPr="00FB5C0B">
              <w:t xml:space="preserve"> vidējo izglītību, ja tai ir nepieciešams, ir tiesīga kārtot centralizēto eksāmenu</w:t>
            </w:r>
            <w:r w:rsidR="006E61E0">
              <w:t xml:space="preserve"> augstskolā, ar kuru centrs saskaņā ar normatīvo aktu par centralizēto eksāmenu saturu un norises kārtību ir noslēdzis sadarbības līgumu</w:t>
            </w:r>
            <w:r w:rsidRPr="00FB5C0B">
              <w:t>, tad noteikumu projekts paredz, ka konkursā izglītojamo uzņemšanai augstākās pakāpes izglītības programmās persona var iesniegt starptautiskās institūcijas izsniegto dokumentu par iegūto vērtējumu svešvalodā. Šajā gadījumā starptautiskās institūcijas</w:t>
            </w:r>
            <w:r w:rsidR="00174DAA">
              <w:t xml:space="preserve"> izsniegtā dokumenta atbilstību</w:t>
            </w:r>
            <w:r w:rsidRPr="00FB5C0B">
              <w:t xml:space="preserve"> noteikumu projektā noteiktajām prasībām un au</w:t>
            </w:r>
            <w:r w:rsidR="00174DAA">
              <w:t>tentiskuma pārbaudi veic centrs. Centrs lēmumu par svešvalodas eksāmena aizstāšanu paziņo personai Paziņošanas likumā noteiktajā kārtībā.</w:t>
            </w:r>
          </w:p>
          <w:p w:rsidR="00E83F42" w:rsidRPr="001461F6" w:rsidRDefault="004F3C92" w:rsidP="004F3C92">
            <w:pPr>
              <w:pStyle w:val="naiskr"/>
              <w:spacing w:before="0" w:after="0"/>
              <w:jc w:val="both"/>
            </w:pPr>
            <w:r w:rsidRPr="004F3C92">
              <w:t>Konkursā par uzņemšanu pilna un nepilna laika bakalaura un profesionālajās studiju programmās, kurās uzņemšana pamatojas uz centralizēto eksāmenu rezultātiem, starptautiskās institūcijas pārbaudījumā iegūtā vērtējuma salīdzināšanu ar svešvalodas eksāmenā iegūto vērtējumu nosaka attiecīgā augstskola vai koledža atbilstoši studiju programmas prasībām</w:t>
            </w:r>
            <w:r w:rsidR="00D506F1">
              <w:t>.</w:t>
            </w:r>
          </w:p>
        </w:tc>
      </w:tr>
      <w:tr w:rsidR="00262E2B" w:rsidRPr="00435535" w:rsidTr="00665335">
        <w:trPr>
          <w:trHeight w:val="553"/>
          <w:tblCellSpacing w:w="0" w:type="dxa"/>
        </w:trPr>
        <w:tc>
          <w:tcPr>
            <w:tcW w:w="550" w:type="dxa"/>
          </w:tcPr>
          <w:p w:rsidR="00262E2B" w:rsidRPr="00435535" w:rsidRDefault="00262E2B" w:rsidP="00AB46EF">
            <w:pPr>
              <w:pStyle w:val="naiskr"/>
              <w:jc w:val="center"/>
            </w:pPr>
            <w:r w:rsidRPr="00435535">
              <w:lastRenderedPageBreak/>
              <w:t>3.</w:t>
            </w:r>
          </w:p>
        </w:tc>
        <w:tc>
          <w:tcPr>
            <w:tcW w:w="2862" w:type="dxa"/>
          </w:tcPr>
          <w:p w:rsidR="00262E2B" w:rsidRPr="00435535" w:rsidRDefault="000C0C20" w:rsidP="004443F9">
            <w:pPr>
              <w:pStyle w:val="naiskr"/>
              <w:ind w:left="170"/>
            </w:pPr>
            <w:r>
              <w:t>Projekta izstrādē iesaistītās institūcijas</w:t>
            </w:r>
          </w:p>
        </w:tc>
        <w:tc>
          <w:tcPr>
            <w:tcW w:w="5395" w:type="dxa"/>
          </w:tcPr>
          <w:p w:rsidR="001461F6" w:rsidRPr="00435535" w:rsidRDefault="00CB5EE3" w:rsidP="00805381">
            <w:pPr>
              <w:pStyle w:val="naiskr"/>
              <w:jc w:val="both"/>
            </w:pPr>
            <w:r>
              <w:t>Valsts izglītības satura centrs</w:t>
            </w:r>
          </w:p>
        </w:tc>
      </w:tr>
      <w:tr w:rsidR="00262E2B" w:rsidRPr="00435535" w:rsidTr="00665335">
        <w:trPr>
          <w:trHeight w:val="251"/>
          <w:tblCellSpacing w:w="0" w:type="dxa"/>
        </w:trPr>
        <w:tc>
          <w:tcPr>
            <w:tcW w:w="550" w:type="dxa"/>
          </w:tcPr>
          <w:p w:rsidR="00262E2B" w:rsidRPr="00435535" w:rsidRDefault="000C0C20" w:rsidP="00AB46EF">
            <w:pPr>
              <w:pStyle w:val="naiskr"/>
              <w:jc w:val="center"/>
            </w:pPr>
            <w:r>
              <w:t>4</w:t>
            </w:r>
            <w:r w:rsidR="00262E2B" w:rsidRPr="00435535">
              <w:t>.</w:t>
            </w:r>
          </w:p>
        </w:tc>
        <w:tc>
          <w:tcPr>
            <w:tcW w:w="2862" w:type="dxa"/>
          </w:tcPr>
          <w:p w:rsidR="00262E2B" w:rsidRPr="00435535" w:rsidRDefault="00262E2B" w:rsidP="004443F9">
            <w:pPr>
              <w:pStyle w:val="naiskr"/>
              <w:ind w:left="170"/>
            </w:pPr>
            <w:r w:rsidRPr="00435535">
              <w:t>Cita informācija</w:t>
            </w:r>
          </w:p>
        </w:tc>
        <w:tc>
          <w:tcPr>
            <w:tcW w:w="5395" w:type="dxa"/>
          </w:tcPr>
          <w:p w:rsidR="00262E2B" w:rsidRPr="003C2E09" w:rsidRDefault="007D0D43" w:rsidP="003C2E09">
            <w:pPr>
              <w:pStyle w:val="naiskr"/>
              <w:jc w:val="both"/>
            </w:pPr>
            <w:r>
              <w:rPr>
                <w:iCs/>
              </w:rPr>
              <w:t>Nav</w:t>
            </w:r>
          </w:p>
        </w:tc>
      </w:tr>
    </w:tbl>
    <w:p w:rsidR="00852042" w:rsidRPr="00FD3121" w:rsidRDefault="00852042" w:rsidP="00665335">
      <w:pPr>
        <w:pStyle w:val="naisf"/>
        <w:spacing w:before="0" w:after="0"/>
        <w:ind w:firstLine="0"/>
        <w:rPr>
          <w:sz w:val="20"/>
          <w:szCs w:val="20"/>
        </w:rPr>
      </w:pPr>
    </w:p>
    <w:tbl>
      <w:tblPr>
        <w:tblpPr w:leftFromText="180" w:rightFromText="180" w:vertAnchor="text" w:horzAnchor="margin" w:tblpXSpec="center" w:tblpY="149"/>
        <w:tblW w:w="89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004"/>
        <w:gridCol w:w="5395"/>
      </w:tblGrid>
      <w:tr w:rsidR="0062298A" w:rsidRPr="00435535">
        <w:trPr>
          <w:tblCellSpacing w:w="0" w:type="dxa"/>
        </w:trPr>
        <w:tc>
          <w:tcPr>
            <w:tcW w:w="8949" w:type="dxa"/>
            <w:gridSpan w:val="3"/>
            <w:vAlign w:val="center"/>
          </w:tcPr>
          <w:p w:rsidR="0062298A" w:rsidRPr="00435535" w:rsidRDefault="0062298A" w:rsidP="0058603B">
            <w:pPr>
              <w:pStyle w:val="naisnod"/>
            </w:pPr>
            <w:r w:rsidRPr="00435535">
              <w:t>II</w:t>
            </w:r>
            <w:r w:rsidR="00ED6286">
              <w:t>.</w:t>
            </w:r>
            <w:r w:rsidRPr="00435535">
              <w:t xml:space="preserve"> Tiesību akta projekta ietekme uz sabiedrību</w:t>
            </w:r>
            <w:r w:rsidR="000C0C20">
              <w:t>, tautsaimniecības attīstību un administratīvo slogu</w:t>
            </w:r>
          </w:p>
        </w:tc>
      </w:tr>
      <w:tr w:rsidR="0062298A" w:rsidRPr="00435535" w:rsidTr="00446EF0">
        <w:trPr>
          <w:trHeight w:val="467"/>
          <w:tblCellSpacing w:w="0" w:type="dxa"/>
        </w:trPr>
        <w:tc>
          <w:tcPr>
            <w:tcW w:w="550" w:type="dxa"/>
          </w:tcPr>
          <w:p w:rsidR="0062298A" w:rsidRPr="00435535" w:rsidRDefault="0062298A" w:rsidP="00AB46EF">
            <w:pPr>
              <w:pStyle w:val="naiskr"/>
              <w:spacing w:after="0"/>
              <w:ind w:left="181" w:hanging="181"/>
              <w:jc w:val="center"/>
            </w:pPr>
            <w:r w:rsidRPr="00435535">
              <w:t>1.</w:t>
            </w:r>
          </w:p>
        </w:tc>
        <w:tc>
          <w:tcPr>
            <w:tcW w:w="3004" w:type="dxa"/>
          </w:tcPr>
          <w:p w:rsidR="0062298A" w:rsidRPr="00435535" w:rsidRDefault="00C27A08" w:rsidP="00446EF0">
            <w:pPr>
              <w:pStyle w:val="naiskr"/>
              <w:spacing w:after="0"/>
              <w:ind w:left="170"/>
            </w:pPr>
            <w:r w:rsidRPr="00435535">
              <w:t>Sabiedrības mērķgrupa</w:t>
            </w:r>
            <w:r w:rsidR="000C0C20">
              <w:t>s, kuras tiesiskais regulējums ietekmē vai varētu ietekmēt</w:t>
            </w:r>
          </w:p>
        </w:tc>
        <w:tc>
          <w:tcPr>
            <w:tcW w:w="5395" w:type="dxa"/>
          </w:tcPr>
          <w:p w:rsidR="00270A8D" w:rsidRPr="00435535" w:rsidRDefault="00A701E0" w:rsidP="00A701E0">
            <w:pPr>
              <w:pStyle w:val="naiskr"/>
              <w:spacing w:after="0"/>
              <w:jc w:val="both"/>
              <w:rPr>
                <w:i/>
              </w:rPr>
            </w:pPr>
            <w:r>
              <w:rPr>
                <w:iCs/>
              </w:rPr>
              <w:t>Valsts izglītības satura centrs; i</w:t>
            </w:r>
            <w:r w:rsidR="00CB5EE3">
              <w:rPr>
                <w:iCs/>
              </w:rPr>
              <w:t>zglītības iestādes, kuras īsteno vispārējās vidējās izglītības programmas vai profesionālās vidējās izglītības un arodizglītības programmas</w:t>
            </w:r>
            <w:r>
              <w:rPr>
                <w:iCs/>
              </w:rPr>
              <w:t xml:space="preserve"> – 600, izglītojamie, kuriem jākārto valsts </w:t>
            </w:r>
            <w:r>
              <w:rPr>
                <w:iCs/>
              </w:rPr>
              <w:lastRenderedPageBreak/>
              <w:t xml:space="preserve">noteiktais svešvalodas eksāmens un kuri vēlas to aizstāt ar </w:t>
            </w:r>
            <w:r w:rsidRPr="00A701E0">
              <w:rPr>
                <w:iCs/>
              </w:rPr>
              <w:t>starptautiskas institūcijas pārbaudī</w:t>
            </w:r>
            <w:r>
              <w:rPr>
                <w:iCs/>
              </w:rPr>
              <w:t xml:space="preserve">jumu – aptuveni </w:t>
            </w:r>
            <w:r w:rsidRPr="00124616">
              <w:rPr>
                <w:iCs/>
              </w:rPr>
              <w:t>1500</w:t>
            </w:r>
            <w:r>
              <w:rPr>
                <w:iCs/>
              </w:rPr>
              <w:t>; a</w:t>
            </w:r>
            <w:r w:rsidR="00270A8D" w:rsidRPr="00435535">
              <w:rPr>
                <w:iCs/>
              </w:rPr>
              <w:t xml:space="preserve">ugstākās izglītības </w:t>
            </w:r>
            <w:r w:rsidR="00B012CE">
              <w:rPr>
                <w:iCs/>
              </w:rPr>
              <w:t>iestādes.</w:t>
            </w:r>
          </w:p>
        </w:tc>
      </w:tr>
      <w:tr w:rsidR="0062298A" w:rsidRPr="00435535" w:rsidTr="00446EF0">
        <w:trPr>
          <w:trHeight w:val="523"/>
          <w:tblCellSpacing w:w="0" w:type="dxa"/>
        </w:trPr>
        <w:tc>
          <w:tcPr>
            <w:tcW w:w="550" w:type="dxa"/>
          </w:tcPr>
          <w:p w:rsidR="0062298A" w:rsidRPr="00435535" w:rsidRDefault="0062298A" w:rsidP="00AB46EF">
            <w:pPr>
              <w:pStyle w:val="naiskr"/>
              <w:jc w:val="center"/>
            </w:pPr>
            <w:r w:rsidRPr="00435535">
              <w:lastRenderedPageBreak/>
              <w:t>2.</w:t>
            </w:r>
          </w:p>
        </w:tc>
        <w:tc>
          <w:tcPr>
            <w:tcW w:w="3004" w:type="dxa"/>
          </w:tcPr>
          <w:p w:rsidR="00C1133D" w:rsidRPr="00435535" w:rsidRDefault="00777AE9" w:rsidP="00446EF0">
            <w:pPr>
              <w:pStyle w:val="naiskr"/>
              <w:ind w:left="170"/>
            </w:pPr>
            <w:r>
              <w:t>Tiesiskā regulējuma ietekme uz tautsaimniecību un administratīvo slogu</w:t>
            </w:r>
          </w:p>
        </w:tc>
        <w:tc>
          <w:tcPr>
            <w:tcW w:w="5395" w:type="dxa"/>
          </w:tcPr>
          <w:p w:rsidR="0062298A" w:rsidRDefault="00BB0912" w:rsidP="000C49E9">
            <w:pPr>
              <w:pStyle w:val="naiskr"/>
              <w:spacing w:after="0"/>
              <w:jc w:val="both"/>
            </w:pPr>
            <w:r>
              <w:t>N</w:t>
            </w:r>
            <w:r w:rsidRPr="00BB0912">
              <w:t>oteikumu projekts paredz</w:t>
            </w:r>
            <w:r w:rsidR="000C49E9">
              <w:t xml:space="preserve"> </w:t>
            </w:r>
            <w:r>
              <w:t>c</w:t>
            </w:r>
            <w:r w:rsidR="00B012CE">
              <w:t>entram</w:t>
            </w:r>
            <w:r>
              <w:t xml:space="preserve"> </w:t>
            </w:r>
            <w:r w:rsidRPr="00BB0912">
              <w:t>paplašināt</w:t>
            </w:r>
            <w:r>
              <w:t xml:space="preserve"> </w:t>
            </w:r>
            <w:r w:rsidR="00124616">
              <w:t>uzdevumus</w:t>
            </w:r>
            <w:r>
              <w:t xml:space="preserve">, </w:t>
            </w:r>
            <w:r w:rsidRPr="00BB0912">
              <w:t xml:space="preserve">nosakot jaunu </w:t>
            </w:r>
            <w:r w:rsidR="00124616">
              <w:t>uzdevumu</w:t>
            </w:r>
            <w:r w:rsidRPr="00BB0912">
              <w:t xml:space="preserve">, proti, </w:t>
            </w:r>
            <w:r>
              <w:t xml:space="preserve">veikt starptautiskās testēšanas institūcijas izsniegtā dokumenta par iegūto vērtējumu pārbaudi, </w:t>
            </w:r>
            <w:r w:rsidRPr="00BB0912">
              <w:t>tostarp izveidojot un uzturot</w:t>
            </w:r>
            <w:r>
              <w:t xml:space="preserve"> izgl</w:t>
            </w:r>
            <w:r w:rsidR="00A06D04">
              <w:t>ītojamiem izsniegto starptautisko institūciju dokumentu kopiju uzskaiti</w:t>
            </w:r>
            <w:r>
              <w:t>.</w:t>
            </w:r>
            <w:r w:rsidR="000C49E9">
              <w:t xml:space="preserve"> Noteikumu projekts paredz papildu pienākumu izglītības iestāžu vadītājiem – iesniegt centram starptautiskās institūcijas dokumenta kopiju autentiskuma pārbaudei un lēmuma par svešvalodas eksāmena aizstāšanu paziņošanu izglītojamam.</w:t>
            </w:r>
          </w:p>
          <w:p w:rsidR="00BB0912" w:rsidRPr="00B97BFA" w:rsidRDefault="00576587" w:rsidP="00576587">
            <w:pPr>
              <w:pStyle w:val="naiskr"/>
              <w:jc w:val="both"/>
            </w:pPr>
            <w:r w:rsidRPr="00B97BFA">
              <w:t>Tiesiskā regulējuma ieguvums ir, ka i</w:t>
            </w:r>
            <w:r w:rsidR="00BB0912" w:rsidRPr="00B97BFA">
              <w:t xml:space="preserve">zglītojamiem, kuri ir nokārtojuši starptautiskas institūcijas pārbaudījumu, </w:t>
            </w:r>
            <w:r w:rsidRPr="00B97BFA">
              <w:t xml:space="preserve">papildus </w:t>
            </w:r>
            <w:r w:rsidR="00BB0912" w:rsidRPr="00B97BFA">
              <w:t>nav jākārto vēl viens svešvalod</w:t>
            </w:r>
            <w:r w:rsidRPr="00B97BFA">
              <w:t>as</w:t>
            </w:r>
            <w:r w:rsidR="00BB0912" w:rsidRPr="00B97BFA">
              <w:t xml:space="preserve"> eksāmens.</w:t>
            </w:r>
          </w:p>
        </w:tc>
      </w:tr>
      <w:tr w:rsidR="0062298A" w:rsidRPr="00435535" w:rsidTr="00446EF0">
        <w:trPr>
          <w:trHeight w:val="517"/>
          <w:tblCellSpacing w:w="0" w:type="dxa"/>
        </w:trPr>
        <w:tc>
          <w:tcPr>
            <w:tcW w:w="550" w:type="dxa"/>
          </w:tcPr>
          <w:p w:rsidR="0062298A" w:rsidRPr="00435535" w:rsidRDefault="0062298A" w:rsidP="00AB46EF">
            <w:pPr>
              <w:pStyle w:val="naiskr"/>
              <w:jc w:val="center"/>
            </w:pPr>
            <w:r w:rsidRPr="00435535">
              <w:t>3.</w:t>
            </w:r>
          </w:p>
        </w:tc>
        <w:tc>
          <w:tcPr>
            <w:tcW w:w="3004" w:type="dxa"/>
          </w:tcPr>
          <w:p w:rsidR="00C1133D" w:rsidRPr="00435535" w:rsidRDefault="00777AE9" w:rsidP="00446EF0">
            <w:pPr>
              <w:pStyle w:val="naiskr"/>
              <w:ind w:left="170"/>
            </w:pPr>
            <w:r>
              <w:t>Administratīvo izmaksu monetārs novērtējums</w:t>
            </w:r>
            <w:r w:rsidR="00C1133D" w:rsidRPr="00435535">
              <w:t xml:space="preserve"> </w:t>
            </w:r>
          </w:p>
        </w:tc>
        <w:tc>
          <w:tcPr>
            <w:tcW w:w="5395" w:type="dxa"/>
          </w:tcPr>
          <w:p w:rsidR="00382EB2" w:rsidRDefault="00D50F65" w:rsidP="00D50F65">
            <w:pPr>
              <w:pStyle w:val="naiskr"/>
              <w:jc w:val="both"/>
            </w:pPr>
            <w:r w:rsidRPr="00D50F65">
              <w:t xml:space="preserve">Administratīvo izmaksu monetārs novērtējums tiek veikts vienam </w:t>
            </w:r>
            <w:r>
              <w:t xml:space="preserve">izglītojamam, </w:t>
            </w:r>
            <w:r w:rsidRPr="00D50F65">
              <w:t>ņemot vērā to, ka</w:t>
            </w:r>
            <w:r>
              <w:t xml:space="preserve"> izglītojamo skaits, kuri vēlas aizstāt svešvalodas centralizēto eksāmenu ar</w:t>
            </w:r>
            <w:r w:rsidRPr="00A701E0">
              <w:rPr>
                <w:iCs/>
              </w:rPr>
              <w:t xml:space="preserve"> starptautiskas institūcijas pārbaudī</w:t>
            </w:r>
            <w:r>
              <w:rPr>
                <w:iCs/>
              </w:rPr>
              <w:t>jumu</w:t>
            </w:r>
            <w:r w:rsidRPr="00D50F65">
              <w:t>,</w:t>
            </w:r>
            <w:r>
              <w:t xml:space="preserve"> </w:t>
            </w:r>
            <w:r w:rsidRPr="00D50F65">
              <w:t>ir mainīgs.</w:t>
            </w:r>
            <w:r w:rsidR="007B2DFB">
              <w:t xml:space="preserve"> </w:t>
            </w:r>
            <w:r w:rsidR="00B617AB">
              <w:t>Tā kā starptautiskās institūcijas pārbaudījums ir maksas pakalpojums, tad paredzams, ka tikai neliels izglītojamo skaits izvēlēsies</w:t>
            </w:r>
            <w:proofErr w:type="gramStart"/>
            <w:r w:rsidR="00B617AB">
              <w:t xml:space="preserve"> </w:t>
            </w:r>
            <w:r w:rsidR="002C78A4">
              <w:t xml:space="preserve"> </w:t>
            </w:r>
            <w:proofErr w:type="gramEnd"/>
            <w:r w:rsidR="002C78A4">
              <w:t xml:space="preserve">aizstāt </w:t>
            </w:r>
            <w:r w:rsidR="00B617AB">
              <w:t>centralizēto eks</w:t>
            </w:r>
            <w:r w:rsidR="002C78A4">
              <w:t>āmenu.</w:t>
            </w:r>
          </w:p>
          <w:p w:rsidR="00D50F65" w:rsidRDefault="00067A7D" w:rsidP="00067A7D">
            <w:pPr>
              <w:pStyle w:val="naiskr"/>
              <w:jc w:val="both"/>
              <w:rPr>
                <w:iCs/>
              </w:rPr>
            </w:pPr>
            <w:r>
              <w:t>Noteikumu projekts paredz, ka izglītojamam, kurš vēlas aizstāt svešvalodas centralizēto eksāmenu ar</w:t>
            </w:r>
            <w:r w:rsidRPr="00A701E0">
              <w:rPr>
                <w:iCs/>
              </w:rPr>
              <w:t xml:space="preserve"> starptautiskas institūcijas pārbaudī</w:t>
            </w:r>
            <w:r>
              <w:rPr>
                <w:iCs/>
              </w:rPr>
              <w:t>jumu, ir jāiesniedz vienu reizi mācību gadā izglītības iestādes vadītājam rakstisks iesniegums (iesnieguma aizpildīšana vidēji aiz</w:t>
            </w:r>
            <w:r w:rsidR="00B0124E">
              <w:rPr>
                <w:iCs/>
              </w:rPr>
              <w:t>ņem 15</w:t>
            </w:r>
            <w:r>
              <w:rPr>
                <w:iCs/>
              </w:rPr>
              <w:t xml:space="preserve"> minūtes). Izglītības iestādes vadītājam ir starptautiskās institūcijas izsniegtā dokumenta pārbaude atbilstoši noteikumu projekta prasībām un jāiesniedz centram izsniegtā dokumenta kopija (minēto darbību izpilde vidēji aizņem 30 minūtes). Pēc centra atzinuma saņemšanas izglītības iestādes vadītājam ir jāpaziņo izglītojamam lēmums par </w:t>
            </w:r>
            <w:r w:rsidR="00E82F72">
              <w:rPr>
                <w:iCs/>
              </w:rPr>
              <w:t>svešvalodas eksāmena aizstāšanu (lēmuma paziņošana vidēji aiz</w:t>
            </w:r>
            <w:r w:rsidR="00B617AB">
              <w:rPr>
                <w:iCs/>
              </w:rPr>
              <w:t>ņem 3</w:t>
            </w:r>
            <w:r w:rsidR="00E82F72">
              <w:rPr>
                <w:iCs/>
              </w:rPr>
              <w:t>0 minūtes). Centram ir j</w:t>
            </w:r>
            <w:r w:rsidR="00B0124E">
              <w:rPr>
                <w:iCs/>
              </w:rPr>
              <w:t>āveic</w:t>
            </w:r>
            <w:r w:rsidR="00E82F72">
              <w:rPr>
                <w:iCs/>
              </w:rPr>
              <w:t xml:space="preserve"> starptautiskās institūcijas izsniegtā dokumenta autentiskuma pārbaude un jāsniedz atzinums izglītības iestādes vadītājam (dokumenta autentiskuma pārbaudei </w:t>
            </w:r>
            <w:r w:rsidR="00B0124E">
              <w:rPr>
                <w:iCs/>
              </w:rPr>
              <w:t>nepieciešams vidēji 120 minūtes, atzinuma sniegšanai – 30 minūtes).</w:t>
            </w:r>
          </w:p>
          <w:p w:rsidR="00E82F72" w:rsidRPr="00A84860" w:rsidRDefault="00E82F72" w:rsidP="00067A7D">
            <w:pPr>
              <w:pStyle w:val="naiskr"/>
              <w:jc w:val="both"/>
              <w:rPr>
                <w:iCs/>
              </w:rPr>
            </w:pPr>
            <w:r>
              <w:rPr>
                <w:iCs/>
              </w:rPr>
              <w:t>Aprēķinos tiek izmantota vidējā darba alga – 4,</w:t>
            </w:r>
            <w:r w:rsidR="001D1402">
              <w:rPr>
                <w:iCs/>
              </w:rPr>
              <w:t xml:space="preserve">55 </w:t>
            </w:r>
            <w:proofErr w:type="spellStart"/>
            <w:r w:rsidRPr="00E82F72">
              <w:rPr>
                <w:i/>
                <w:iCs/>
              </w:rPr>
              <w:t>e</w:t>
            </w:r>
            <w:r w:rsidR="001D1402">
              <w:rPr>
                <w:i/>
                <w:iCs/>
              </w:rPr>
              <w:t>u</w:t>
            </w:r>
            <w:r w:rsidRPr="00E82F72">
              <w:rPr>
                <w:i/>
                <w:iCs/>
              </w:rPr>
              <w:t>ro</w:t>
            </w:r>
            <w:proofErr w:type="spellEnd"/>
            <w:r>
              <w:rPr>
                <w:iCs/>
              </w:rPr>
              <w:t xml:space="preserve"> stund</w:t>
            </w:r>
            <w:r w:rsidR="001D1402">
              <w:rPr>
                <w:iCs/>
              </w:rPr>
              <w:t>ā</w:t>
            </w:r>
            <w:r>
              <w:rPr>
                <w:iCs/>
              </w:rPr>
              <w:t xml:space="preserve"> (Centrālās statistikas pārvaldes dati:</w:t>
            </w:r>
            <w:r w:rsidR="00A84860">
              <w:rPr>
                <w:iCs/>
              </w:rPr>
              <w:t xml:space="preserve"> 2014.gada mēneša vidējā darba samaksa 765 </w:t>
            </w:r>
            <w:proofErr w:type="spellStart"/>
            <w:r w:rsidR="00A84860" w:rsidRPr="00A84860">
              <w:rPr>
                <w:i/>
                <w:iCs/>
              </w:rPr>
              <w:t>e</w:t>
            </w:r>
            <w:r w:rsidR="001D1402">
              <w:rPr>
                <w:i/>
                <w:iCs/>
              </w:rPr>
              <w:t>u</w:t>
            </w:r>
            <w:r w:rsidR="00A84860" w:rsidRPr="00A84860">
              <w:rPr>
                <w:i/>
                <w:iCs/>
              </w:rPr>
              <w:t>ro</w:t>
            </w:r>
            <w:proofErr w:type="spellEnd"/>
            <w:r w:rsidR="00A84860">
              <w:rPr>
                <w:i/>
                <w:iCs/>
              </w:rPr>
              <w:t>,</w:t>
            </w:r>
            <w:r w:rsidR="00A84860">
              <w:rPr>
                <w:iCs/>
              </w:rPr>
              <w:t xml:space="preserve"> </w:t>
            </w:r>
            <w:r w:rsidR="00FC5FAB">
              <w:rPr>
                <w:iCs/>
              </w:rPr>
              <w:t xml:space="preserve">4,55 </w:t>
            </w:r>
            <w:proofErr w:type="spellStart"/>
            <w:r w:rsidR="00FC5FAB" w:rsidRPr="001D1402">
              <w:rPr>
                <w:i/>
                <w:iCs/>
              </w:rPr>
              <w:t>e</w:t>
            </w:r>
            <w:r w:rsidR="001D1402" w:rsidRPr="001D1402">
              <w:rPr>
                <w:i/>
                <w:iCs/>
              </w:rPr>
              <w:t>u</w:t>
            </w:r>
            <w:r w:rsidR="00FC5FAB" w:rsidRPr="001D1402">
              <w:rPr>
                <w:i/>
                <w:iCs/>
              </w:rPr>
              <w:t>ro</w:t>
            </w:r>
            <w:proofErr w:type="spellEnd"/>
            <w:r w:rsidR="00FC5FAB">
              <w:rPr>
                <w:iCs/>
              </w:rPr>
              <w:t>/stundā</w:t>
            </w:r>
            <w:r w:rsidR="001D1402">
              <w:rPr>
                <w:iCs/>
              </w:rPr>
              <w:t>).</w:t>
            </w:r>
          </w:p>
          <w:p w:rsidR="00A84860" w:rsidRDefault="00A84860" w:rsidP="007B2DFB">
            <w:pPr>
              <w:pStyle w:val="naiskr"/>
              <w:spacing w:before="0" w:after="0"/>
              <w:jc w:val="both"/>
              <w:rPr>
                <w:iCs/>
              </w:rPr>
            </w:pPr>
            <w:r>
              <w:rPr>
                <w:iCs/>
              </w:rPr>
              <w:t>Administratīvās izmaksas izglītojamam:</w:t>
            </w:r>
          </w:p>
          <w:p w:rsidR="00A84860" w:rsidRDefault="001D1402" w:rsidP="007B2DFB">
            <w:pPr>
              <w:pStyle w:val="naiskr"/>
              <w:spacing w:before="0" w:after="0"/>
              <w:jc w:val="both"/>
              <w:rPr>
                <w:i/>
              </w:rPr>
            </w:pPr>
            <w:r>
              <w:lastRenderedPageBreak/>
              <w:t>C</w:t>
            </w:r>
            <w:r>
              <w:rPr>
                <w:vertAlign w:val="subscript"/>
              </w:rPr>
              <w:t>1</w:t>
            </w:r>
            <w:r>
              <w:t xml:space="preserve"> = (4,55 x 0,25) x </w:t>
            </w:r>
            <w:proofErr w:type="gramStart"/>
            <w:r>
              <w:t>(</w:t>
            </w:r>
            <w:proofErr w:type="gramEnd"/>
            <w:r>
              <w:t xml:space="preserve">1 x 1) = 1,14 </w:t>
            </w:r>
            <w:proofErr w:type="spellStart"/>
            <w:r w:rsidRPr="001D1402">
              <w:rPr>
                <w:i/>
              </w:rPr>
              <w:t>euro</w:t>
            </w:r>
            <w:proofErr w:type="spellEnd"/>
          </w:p>
          <w:p w:rsidR="007B2DFB" w:rsidRPr="007B2DFB" w:rsidRDefault="007B2DFB" w:rsidP="007B2DFB">
            <w:pPr>
              <w:pStyle w:val="naiskr"/>
              <w:spacing w:before="0" w:after="0"/>
              <w:jc w:val="both"/>
            </w:pPr>
            <w:r>
              <w:t>Administratīvās izmaksas izglītojamam ir vienreizējas.</w:t>
            </w:r>
          </w:p>
          <w:p w:rsidR="001D1402" w:rsidRDefault="001D1402" w:rsidP="007B2DFB">
            <w:pPr>
              <w:pStyle w:val="naiskr"/>
              <w:spacing w:before="0" w:after="0"/>
              <w:jc w:val="both"/>
            </w:pPr>
            <w:r>
              <w:t>Administratīvās izmaksas izglītības iestādei:</w:t>
            </w:r>
          </w:p>
          <w:p w:rsidR="001D1402" w:rsidRDefault="00F44EF1" w:rsidP="007B2DFB">
            <w:pPr>
              <w:pStyle w:val="naiskr"/>
              <w:spacing w:before="0" w:after="0"/>
              <w:jc w:val="both"/>
            </w:pPr>
            <w:r>
              <w:t>C</w:t>
            </w:r>
            <w:r>
              <w:rPr>
                <w:vertAlign w:val="subscript"/>
              </w:rPr>
              <w:t>2</w:t>
            </w:r>
            <w:r>
              <w:t xml:space="preserve"> = </w:t>
            </w:r>
            <w:proofErr w:type="gramStart"/>
            <w:r>
              <w:t>(</w:t>
            </w:r>
            <w:proofErr w:type="gramEnd"/>
            <w:r>
              <w:t xml:space="preserve">4,55 x </w:t>
            </w:r>
            <w:r w:rsidR="00B617AB">
              <w:t xml:space="preserve">1) x (1 x 1) = 4,55 </w:t>
            </w:r>
            <w:proofErr w:type="spellStart"/>
            <w:r w:rsidR="00B617AB" w:rsidRPr="00B617AB">
              <w:rPr>
                <w:i/>
              </w:rPr>
              <w:t>euro</w:t>
            </w:r>
            <w:proofErr w:type="spellEnd"/>
          </w:p>
          <w:p w:rsidR="00B617AB" w:rsidRDefault="00B617AB" w:rsidP="007B2DFB">
            <w:pPr>
              <w:pStyle w:val="naiskr"/>
              <w:spacing w:before="0" w:after="0"/>
              <w:jc w:val="both"/>
            </w:pPr>
            <w:r>
              <w:t>Administratīvās izmaksas centram:</w:t>
            </w:r>
          </w:p>
          <w:p w:rsidR="00B617AB" w:rsidRDefault="00B617AB" w:rsidP="007B2DFB">
            <w:pPr>
              <w:pStyle w:val="naiskr"/>
              <w:spacing w:before="0" w:after="0"/>
              <w:jc w:val="both"/>
              <w:rPr>
                <w:i/>
              </w:rPr>
            </w:pPr>
            <w:r>
              <w:t>C</w:t>
            </w:r>
            <w:r>
              <w:rPr>
                <w:vertAlign w:val="subscript"/>
              </w:rPr>
              <w:t>3</w:t>
            </w:r>
            <w:r>
              <w:t xml:space="preserve"> = (4,55 x 2,5) x </w:t>
            </w:r>
            <w:proofErr w:type="gramStart"/>
            <w:r>
              <w:t>(</w:t>
            </w:r>
            <w:proofErr w:type="gramEnd"/>
            <w:r>
              <w:t xml:space="preserve">1 x 1) = 11,38 </w:t>
            </w:r>
            <w:proofErr w:type="spellStart"/>
            <w:r w:rsidRPr="00B617AB">
              <w:rPr>
                <w:i/>
              </w:rPr>
              <w:t>euro</w:t>
            </w:r>
            <w:proofErr w:type="spellEnd"/>
          </w:p>
          <w:p w:rsidR="007B2DFB" w:rsidRPr="007B2DFB" w:rsidRDefault="007B2DFB" w:rsidP="007B2DFB">
            <w:pPr>
              <w:pStyle w:val="naiskr"/>
              <w:spacing w:before="0" w:after="0"/>
              <w:jc w:val="both"/>
            </w:pPr>
            <w:r>
              <w:t>Administratīvās izmaksas izglītības iestādei un centram par vienu izglītojamo ir ikgadējas.</w:t>
            </w:r>
          </w:p>
          <w:p w:rsidR="00B617AB" w:rsidRDefault="00B617AB" w:rsidP="007B2DFB">
            <w:pPr>
              <w:pStyle w:val="naiskr"/>
              <w:spacing w:before="0" w:after="0"/>
              <w:jc w:val="both"/>
            </w:pPr>
            <w:r>
              <w:t>Administratīvās izmaksas kopā:</w:t>
            </w:r>
          </w:p>
          <w:p w:rsidR="00B617AB" w:rsidRPr="00B617AB" w:rsidRDefault="00B617AB" w:rsidP="007B2DFB">
            <w:pPr>
              <w:pStyle w:val="naiskr"/>
              <w:spacing w:before="0" w:after="0"/>
              <w:jc w:val="both"/>
            </w:pPr>
            <w:proofErr w:type="spellStart"/>
            <w:r>
              <w:t>C</w:t>
            </w:r>
            <w:r>
              <w:rPr>
                <w:vertAlign w:val="subscript"/>
              </w:rPr>
              <w:t>kopā</w:t>
            </w:r>
            <w:proofErr w:type="spellEnd"/>
            <w:r>
              <w:t xml:space="preserve"> = C</w:t>
            </w:r>
            <w:r>
              <w:rPr>
                <w:vertAlign w:val="subscript"/>
              </w:rPr>
              <w:t>1</w:t>
            </w:r>
            <w:r>
              <w:t xml:space="preserve"> + C</w:t>
            </w:r>
            <w:r>
              <w:rPr>
                <w:vertAlign w:val="subscript"/>
              </w:rPr>
              <w:t>2</w:t>
            </w:r>
            <w:r>
              <w:t xml:space="preserve"> + C</w:t>
            </w:r>
            <w:r>
              <w:rPr>
                <w:vertAlign w:val="subscript"/>
              </w:rPr>
              <w:t>3</w:t>
            </w:r>
            <w:r>
              <w:t xml:space="preserve"> = 1,14 + 4,55 + 11,38 = </w:t>
            </w:r>
            <w:r>
              <w:br/>
              <w:t xml:space="preserve">17,07 </w:t>
            </w:r>
            <w:proofErr w:type="spellStart"/>
            <w:r w:rsidRPr="00B617AB">
              <w:rPr>
                <w:i/>
              </w:rPr>
              <w:t>euro</w:t>
            </w:r>
            <w:proofErr w:type="spellEnd"/>
          </w:p>
        </w:tc>
      </w:tr>
      <w:tr w:rsidR="0062298A" w:rsidRPr="00435535" w:rsidTr="00446EF0">
        <w:trPr>
          <w:tblCellSpacing w:w="0" w:type="dxa"/>
        </w:trPr>
        <w:tc>
          <w:tcPr>
            <w:tcW w:w="550" w:type="dxa"/>
          </w:tcPr>
          <w:p w:rsidR="0062298A" w:rsidRPr="00435535" w:rsidRDefault="00777AE9" w:rsidP="00AB46EF">
            <w:pPr>
              <w:pStyle w:val="naiskr"/>
              <w:jc w:val="center"/>
            </w:pPr>
            <w:r>
              <w:lastRenderedPageBreak/>
              <w:t>4</w:t>
            </w:r>
            <w:r w:rsidR="0062298A" w:rsidRPr="00435535">
              <w:t>.</w:t>
            </w:r>
          </w:p>
        </w:tc>
        <w:tc>
          <w:tcPr>
            <w:tcW w:w="3004" w:type="dxa"/>
          </w:tcPr>
          <w:p w:rsidR="0062298A" w:rsidRPr="00435535" w:rsidRDefault="0062298A" w:rsidP="00446EF0">
            <w:pPr>
              <w:pStyle w:val="naiskr"/>
              <w:ind w:left="170"/>
            </w:pPr>
            <w:r w:rsidRPr="00435535">
              <w:t>Cita informācija.</w:t>
            </w:r>
          </w:p>
        </w:tc>
        <w:tc>
          <w:tcPr>
            <w:tcW w:w="5395" w:type="dxa"/>
          </w:tcPr>
          <w:p w:rsidR="0062298A" w:rsidRPr="00435535" w:rsidRDefault="00B12A2C" w:rsidP="00446EF0">
            <w:pPr>
              <w:pStyle w:val="naiskr"/>
              <w:rPr>
                <w:i/>
              </w:rPr>
            </w:pPr>
            <w:r w:rsidRPr="00435535">
              <w:rPr>
                <w:iCs/>
              </w:rPr>
              <w:t>Nav</w:t>
            </w:r>
          </w:p>
        </w:tc>
      </w:tr>
    </w:tbl>
    <w:p w:rsidR="00641527" w:rsidRPr="00446EF0" w:rsidRDefault="00B77130" w:rsidP="00665335">
      <w:pPr>
        <w:spacing w:before="75" w:after="75"/>
        <w:jc w:val="center"/>
      </w:pPr>
      <w:r w:rsidRPr="00601AB5">
        <w:t xml:space="preserve">Anotācijas </w:t>
      </w:r>
      <w:r>
        <w:t>III</w:t>
      </w:r>
      <w:r w:rsidR="00C93236">
        <w:t>.</w:t>
      </w:r>
      <w:r>
        <w:t xml:space="preserve"> sadaļa</w:t>
      </w:r>
      <w:r w:rsidRPr="00601AB5">
        <w:t xml:space="preserve"> – </w:t>
      </w:r>
      <w:r>
        <w:rPr>
          <w:iCs/>
        </w:rPr>
        <w:t>noteikumu projekts šo jomu</w:t>
      </w:r>
      <w:r w:rsidRPr="00601AB5">
        <w:rPr>
          <w:iCs/>
        </w:rPr>
        <w:t xml:space="preserve"> neskar</w:t>
      </w:r>
      <w:r w:rsidRPr="00601AB5">
        <w:t>.</w:t>
      </w:r>
    </w:p>
    <w:tbl>
      <w:tblPr>
        <w:tblpPr w:leftFromText="181" w:rightFromText="181" w:vertAnchor="text" w:horzAnchor="margin" w:tblpXSpec="center" w:tblpY="86"/>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B77130" w:rsidRPr="00B77130" w:rsidTr="00ED6286">
        <w:trPr>
          <w:tblCellSpacing w:w="0" w:type="dxa"/>
        </w:trPr>
        <w:tc>
          <w:tcPr>
            <w:tcW w:w="9082" w:type="dxa"/>
            <w:gridSpan w:val="3"/>
            <w:vAlign w:val="center"/>
          </w:tcPr>
          <w:p w:rsidR="00B77130" w:rsidRPr="00B77130" w:rsidRDefault="00B77130" w:rsidP="00ED6286">
            <w:pPr>
              <w:spacing w:before="150" w:after="150"/>
              <w:jc w:val="center"/>
              <w:rPr>
                <w:b/>
                <w:bCs/>
              </w:rPr>
            </w:pPr>
            <w:r w:rsidRPr="00B77130">
              <w:rPr>
                <w:b/>
                <w:bCs/>
              </w:rPr>
              <w:t>IV</w:t>
            </w:r>
            <w:r w:rsidR="00ED6286">
              <w:rPr>
                <w:b/>
                <w:bCs/>
              </w:rPr>
              <w:t>.</w:t>
            </w:r>
            <w:r w:rsidRPr="00B77130">
              <w:rPr>
                <w:b/>
                <w:bCs/>
              </w:rPr>
              <w:t xml:space="preserve">  Tiesību akta projekta ietekme uz</w:t>
            </w:r>
            <w:r w:rsidRPr="00B77130">
              <w:rPr>
                <w:b/>
                <w:bCs/>
              </w:rPr>
              <w:br/>
              <w:t>spēkā esošo tiesību normu sistēmu</w:t>
            </w:r>
          </w:p>
        </w:tc>
      </w:tr>
      <w:tr w:rsidR="00B77130" w:rsidRPr="00B77130" w:rsidTr="00ED6286">
        <w:trPr>
          <w:trHeight w:val="557"/>
          <w:tblCellSpacing w:w="0" w:type="dxa"/>
        </w:trPr>
        <w:tc>
          <w:tcPr>
            <w:tcW w:w="550" w:type="dxa"/>
            <w:vAlign w:val="center"/>
          </w:tcPr>
          <w:p w:rsidR="00B77130" w:rsidRPr="00B77130" w:rsidRDefault="00B77130" w:rsidP="00ED6286">
            <w:pPr>
              <w:spacing w:before="75" w:after="75"/>
              <w:ind w:left="180" w:hanging="180"/>
              <w:jc w:val="center"/>
            </w:pPr>
            <w:r w:rsidRPr="00B77130">
              <w:t>1.</w:t>
            </w:r>
          </w:p>
        </w:tc>
        <w:tc>
          <w:tcPr>
            <w:tcW w:w="2880" w:type="dxa"/>
            <w:shd w:val="clear" w:color="auto" w:fill="auto"/>
            <w:vAlign w:val="center"/>
          </w:tcPr>
          <w:p w:rsidR="00B77130" w:rsidRPr="00B77130" w:rsidRDefault="00B77130" w:rsidP="00ED6286">
            <w:pPr>
              <w:spacing w:before="75" w:after="75"/>
              <w:ind w:left="180" w:hanging="10"/>
            </w:pPr>
            <w:r w:rsidRPr="00B77130">
              <w:t>Nepieciešamie saistītie tiesību akta projekti</w:t>
            </w:r>
          </w:p>
        </w:tc>
        <w:tc>
          <w:tcPr>
            <w:tcW w:w="5652" w:type="dxa"/>
            <w:shd w:val="clear" w:color="auto" w:fill="auto"/>
            <w:vAlign w:val="center"/>
          </w:tcPr>
          <w:p w:rsidR="00B77130" w:rsidRPr="00B77130" w:rsidRDefault="00B77130" w:rsidP="005D265C">
            <w:pPr>
              <w:spacing w:before="75" w:after="75"/>
              <w:jc w:val="both"/>
            </w:pPr>
            <w:r w:rsidRPr="005D265C">
              <w:t xml:space="preserve">Ņemot vērā, ka noteikumu projektā ietvertais tiesiskais regulējums ir attiecināms uz </w:t>
            </w:r>
            <w:r w:rsidR="005D265C" w:rsidRPr="005D265C">
              <w:t xml:space="preserve">normatīvo aktu, kas nosaka kārtību, kādā izsniedzami valsts atzīti vispārējās </w:t>
            </w:r>
            <w:r w:rsidR="005D265C">
              <w:t xml:space="preserve">vidējās izglītības </w:t>
            </w:r>
            <w:r w:rsidR="005D265C" w:rsidRPr="005D265C">
              <w:t>dokumenti par atbilstošu izglītības programmas apguvi</w:t>
            </w:r>
            <w:r w:rsidRPr="005D265C">
              <w:t xml:space="preserve">, Izglītības un zinātnes ministrija ir izstrādājusi Ministru </w:t>
            </w:r>
            <w:r w:rsidR="005D265C" w:rsidRPr="005D265C">
              <w:t>kabineta noteikumu projektu</w:t>
            </w:r>
            <w:r w:rsidR="005D265C">
              <w:t xml:space="preserve"> </w:t>
            </w:r>
            <w:r>
              <w:t>„</w:t>
            </w:r>
            <w:r w:rsidRPr="00B77130">
              <w:t xml:space="preserve">Grozījumi Ministru kabineta 2006.gada 6.novembra noteikumos Nr.913 </w:t>
            </w:r>
            <w:r>
              <w:t>„</w:t>
            </w:r>
            <w:r w:rsidRPr="00B77130">
              <w:t>Kārtība, kādā izsniedzami valsts atzīti vispārējās izglītības dokumenti</w:t>
            </w:r>
            <w:r>
              <w:t>””</w:t>
            </w:r>
            <w:r w:rsidR="004477D8">
              <w:t>.</w:t>
            </w:r>
          </w:p>
        </w:tc>
      </w:tr>
      <w:tr w:rsidR="00B77130" w:rsidRPr="00B77130" w:rsidTr="00665335">
        <w:trPr>
          <w:trHeight w:val="425"/>
          <w:tblCellSpacing w:w="0" w:type="dxa"/>
        </w:trPr>
        <w:tc>
          <w:tcPr>
            <w:tcW w:w="550" w:type="dxa"/>
            <w:vAlign w:val="center"/>
          </w:tcPr>
          <w:p w:rsidR="00B77130" w:rsidRPr="00B77130" w:rsidRDefault="00B77130" w:rsidP="00ED6286">
            <w:pPr>
              <w:spacing w:before="75" w:after="75"/>
              <w:ind w:left="180" w:hanging="180"/>
              <w:jc w:val="center"/>
            </w:pPr>
            <w:r>
              <w:t>2.</w:t>
            </w:r>
          </w:p>
        </w:tc>
        <w:tc>
          <w:tcPr>
            <w:tcW w:w="2880" w:type="dxa"/>
            <w:shd w:val="clear" w:color="auto" w:fill="auto"/>
            <w:vAlign w:val="center"/>
          </w:tcPr>
          <w:p w:rsidR="00B77130" w:rsidRPr="00B77130" w:rsidRDefault="00B77130" w:rsidP="00ED6286">
            <w:pPr>
              <w:spacing w:before="75" w:after="75"/>
              <w:ind w:left="180" w:hanging="10"/>
            </w:pPr>
            <w:r>
              <w:t>Atbildīgā institūcija</w:t>
            </w:r>
          </w:p>
        </w:tc>
        <w:tc>
          <w:tcPr>
            <w:tcW w:w="5652" w:type="dxa"/>
            <w:shd w:val="clear" w:color="auto" w:fill="auto"/>
            <w:vAlign w:val="center"/>
          </w:tcPr>
          <w:p w:rsidR="00B77130" w:rsidRPr="00B77130" w:rsidRDefault="00B77130" w:rsidP="00ED6286">
            <w:pPr>
              <w:spacing w:before="75" w:after="75"/>
              <w:jc w:val="both"/>
            </w:pPr>
            <w:r>
              <w:t>Izglītības un zinātnes ministrija</w:t>
            </w:r>
          </w:p>
        </w:tc>
      </w:tr>
      <w:tr w:rsidR="00B77130" w:rsidRPr="00B77130" w:rsidTr="00665335">
        <w:trPr>
          <w:trHeight w:val="404"/>
          <w:tblCellSpacing w:w="0" w:type="dxa"/>
        </w:trPr>
        <w:tc>
          <w:tcPr>
            <w:tcW w:w="550" w:type="dxa"/>
            <w:vAlign w:val="center"/>
          </w:tcPr>
          <w:p w:rsidR="00B77130" w:rsidRPr="00B77130" w:rsidRDefault="00B77130" w:rsidP="00ED6286">
            <w:pPr>
              <w:spacing w:before="75" w:after="75"/>
              <w:ind w:left="180" w:hanging="180"/>
              <w:jc w:val="center"/>
            </w:pPr>
            <w:r>
              <w:t>3</w:t>
            </w:r>
            <w:r w:rsidRPr="00B77130">
              <w:t>.</w:t>
            </w:r>
          </w:p>
        </w:tc>
        <w:tc>
          <w:tcPr>
            <w:tcW w:w="2880" w:type="dxa"/>
            <w:shd w:val="clear" w:color="auto" w:fill="auto"/>
            <w:vAlign w:val="center"/>
          </w:tcPr>
          <w:p w:rsidR="00B77130" w:rsidRPr="00B77130" w:rsidRDefault="00B77130" w:rsidP="00ED6286">
            <w:pPr>
              <w:spacing w:before="75" w:after="75"/>
              <w:ind w:left="180" w:hanging="10"/>
            </w:pPr>
            <w:r w:rsidRPr="00B77130">
              <w:t>Cita informācija</w:t>
            </w:r>
          </w:p>
        </w:tc>
        <w:tc>
          <w:tcPr>
            <w:tcW w:w="5652" w:type="dxa"/>
            <w:shd w:val="clear" w:color="auto" w:fill="auto"/>
            <w:vAlign w:val="center"/>
          </w:tcPr>
          <w:p w:rsidR="00B77130" w:rsidRPr="00B77130" w:rsidRDefault="00B77130" w:rsidP="00ED6286">
            <w:pPr>
              <w:spacing w:before="75" w:after="75"/>
              <w:jc w:val="both"/>
            </w:pPr>
            <w:r w:rsidRPr="00B77130">
              <w:rPr>
                <w:iCs/>
              </w:rPr>
              <w:t>Nav</w:t>
            </w:r>
          </w:p>
        </w:tc>
      </w:tr>
    </w:tbl>
    <w:p w:rsidR="00400919" w:rsidRDefault="00005F70" w:rsidP="00005F70">
      <w:pPr>
        <w:spacing w:before="75" w:after="75"/>
        <w:jc w:val="center"/>
      </w:pPr>
      <w:r>
        <w:t>Anotācijas V</w:t>
      </w:r>
      <w:r w:rsidRPr="00005F70">
        <w:t>. sadaļa – noteikumu projekts šo jomu neskar.</w:t>
      </w:r>
    </w:p>
    <w:tbl>
      <w:tblPr>
        <w:tblpPr w:leftFromText="181" w:rightFromText="181" w:vertAnchor="text" w:horzAnchor="margin" w:tblpY="131"/>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4470EE" w:rsidRPr="00EF4AA3" w:rsidTr="00ED6286">
        <w:trPr>
          <w:tblCellSpacing w:w="0" w:type="dxa"/>
        </w:trPr>
        <w:tc>
          <w:tcPr>
            <w:tcW w:w="9082" w:type="dxa"/>
            <w:gridSpan w:val="3"/>
            <w:vAlign w:val="center"/>
          </w:tcPr>
          <w:p w:rsidR="004470EE" w:rsidRPr="00EF4AA3" w:rsidRDefault="004470EE" w:rsidP="00ED6286">
            <w:pPr>
              <w:pStyle w:val="naisnod"/>
            </w:pPr>
            <w:r w:rsidRPr="00EF4AA3">
              <w:t>V</w:t>
            </w:r>
            <w:r>
              <w:t>I</w:t>
            </w:r>
            <w:r w:rsidR="00C93236">
              <w:t>.</w:t>
            </w:r>
            <w:r>
              <w:t xml:space="preserve"> </w:t>
            </w:r>
            <w:r w:rsidRPr="004470EE">
              <w:t xml:space="preserve">Sabiedrības līdzdalība un </w:t>
            </w:r>
            <w:r w:rsidR="00777AE9">
              <w:t>komunikācijas aktivitātes</w:t>
            </w:r>
          </w:p>
        </w:tc>
      </w:tr>
      <w:tr w:rsidR="004470EE" w:rsidRPr="00EF4AA3" w:rsidTr="00ED6286">
        <w:trPr>
          <w:trHeight w:val="557"/>
          <w:tblCellSpacing w:w="0" w:type="dxa"/>
        </w:trPr>
        <w:tc>
          <w:tcPr>
            <w:tcW w:w="550" w:type="dxa"/>
          </w:tcPr>
          <w:p w:rsidR="004470EE" w:rsidRPr="00EF4AA3" w:rsidRDefault="004470EE" w:rsidP="00ED6286">
            <w:pPr>
              <w:pStyle w:val="naiskr"/>
              <w:ind w:left="180" w:hanging="180"/>
              <w:jc w:val="center"/>
            </w:pPr>
            <w:r w:rsidRPr="00EF4AA3">
              <w:t>1.</w:t>
            </w:r>
          </w:p>
        </w:tc>
        <w:tc>
          <w:tcPr>
            <w:tcW w:w="2880" w:type="dxa"/>
            <w:shd w:val="clear" w:color="auto" w:fill="auto"/>
            <w:vAlign w:val="center"/>
          </w:tcPr>
          <w:p w:rsidR="004470EE" w:rsidRPr="00EF4AA3" w:rsidRDefault="00777AE9" w:rsidP="00ED6286">
            <w:pPr>
              <w:pStyle w:val="naiskr"/>
              <w:ind w:left="180" w:hanging="10"/>
            </w:pPr>
            <w:r>
              <w:t>Plānotās s</w:t>
            </w:r>
            <w:r w:rsidR="004470EE">
              <w:t xml:space="preserve">abiedrības </w:t>
            </w:r>
            <w:r>
              <w:t>līdzdalības un komunikācijas aktivitātes saistībā ar projektu</w:t>
            </w:r>
          </w:p>
        </w:tc>
        <w:tc>
          <w:tcPr>
            <w:tcW w:w="5652" w:type="dxa"/>
            <w:shd w:val="clear" w:color="auto" w:fill="auto"/>
          </w:tcPr>
          <w:p w:rsidR="00A06D04" w:rsidRDefault="00A06D04" w:rsidP="00ED6286">
            <w:pPr>
              <w:pStyle w:val="naiskr"/>
              <w:spacing w:after="0"/>
              <w:jc w:val="both"/>
              <w:rPr>
                <w:highlight w:val="yellow"/>
              </w:rPr>
            </w:pPr>
            <w:r w:rsidRPr="00A06D04">
              <w:t>Informācija par sagatavoto noteikumu projektu pieejam</w:t>
            </w:r>
            <w:r w:rsidR="00124616">
              <w:t xml:space="preserve">a </w:t>
            </w:r>
            <w:r w:rsidR="006E61E0">
              <w:t xml:space="preserve">centra </w:t>
            </w:r>
            <w:r w:rsidR="00124616">
              <w:t>tīmekļa vietnē</w:t>
            </w:r>
            <w:r>
              <w:t xml:space="preserve"> (publicēta 2015</w:t>
            </w:r>
            <w:r w:rsidRPr="00A06D04">
              <w:t xml:space="preserve">.gada </w:t>
            </w:r>
            <w:r w:rsidR="00124616">
              <w:t>10.jūlijā</w:t>
            </w:r>
            <w:r w:rsidRPr="00A06D04">
              <w:t>).</w:t>
            </w:r>
          </w:p>
          <w:p w:rsidR="00785E68" w:rsidRDefault="00785E68" w:rsidP="00ED6286">
            <w:pPr>
              <w:pStyle w:val="naiskr"/>
              <w:spacing w:after="0"/>
              <w:jc w:val="both"/>
            </w:pPr>
            <w:r w:rsidRPr="006D04BD">
              <w:t>Sabiedrības informēšanas pasākumi:</w:t>
            </w:r>
          </w:p>
          <w:p w:rsidR="00005F70" w:rsidRDefault="00124616" w:rsidP="00ED6286">
            <w:pPr>
              <w:pStyle w:val="naiskr"/>
              <w:spacing w:after="0"/>
              <w:jc w:val="both"/>
            </w:pPr>
            <w:r>
              <w:t>- 2015.gada</w:t>
            </w:r>
            <w:r w:rsidR="004456E6">
              <w:t xml:space="preserve"> 30.jūn</w:t>
            </w:r>
            <w:r>
              <w:t>ijā</w:t>
            </w:r>
            <w:r w:rsidR="00005F70">
              <w:t xml:space="preserve"> noteikumu projekts nosūtīts </w:t>
            </w:r>
            <w:r w:rsidR="000D1F10">
              <w:t>Latvijas Rektoru P</w:t>
            </w:r>
            <w:r w:rsidR="00005F70">
              <w:t>adomei</w:t>
            </w:r>
            <w:r w:rsidR="000D1F10">
              <w:t xml:space="preserve"> (</w:t>
            </w:r>
            <w:r w:rsidR="006E61E0">
              <w:t xml:space="preserve">turpmāk – </w:t>
            </w:r>
            <w:r w:rsidR="000D1F10">
              <w:t>LRP)</w:t>
            </w:r>
            <w:r w:rsidR="00073C64">
              <w:t>;</w:t>
            </w:r>
          </w:p>
          <w:p w:rsidR="006D04BD" w:rsidRPr="006D04BD" w:rsidRDefault="00F628E2" w:rsidP="00ED6286">
            <w:pPr>
              <w:pStyle w:val="naiskr"/>
              <w:spacing w:after="0"/>
              <w:jc w:val="both"/>
            </w:pPr>
            <w:r>
              <w:t xml:space="preserve">- </w:t>
            </w:r>
            <w:r w:rsidR="004456E6">
              <w:t>2015.gada 30.jūn</w:t>
            </w:r>
            <w:r w:rsidR="00124616">
              <w:t>ijā</w:t>
            </w:r>
            <w:r w:rsidR="006D04BD">
              <w:t xml:space="preserve"> noteikumu projekts </w:t>
            </w:r>
            <w:r w:rsidR="00D51DDE">
              <w:t xml:space="preserve">nosūtīts </w:t>
            </w:r>
            <w:r>
              <w:t>Augstākās izglītības padomei (tur</w:t>
            </w:r>
            <w:r w:rsidR="00073C64">
              <w:t>pm</w:t>
            </w:r>
            <w:r w:rsidR="006E61E0">
              <w:t>āk – AIP)</w:t>
            </w:r>
            <w:r w:rsidR="00073C64">
              <w:t>;</w:t>
            </w:r>
          </w:p>
          <w:p w:rsidR="00AE0512" w:rsidRPr="006D04BD" w:rsidRDefault="00AE0512" w:rsidP="00ED6286">
            <w:pPr>
              <w:pStyle w:val="naiskr"/>
              <w:spacing w:before="0" w:after="0"/>
              <w:jc w:val="both"/>
            </w:pPr>
            <w:r w:rsidRPr="006D04BD">
              <w:t xml:space="preserve">- 2015.gada </w:t>
            </w:r>
            <w:r w:rsidR="004456E6">
              <w:t>30.jūn</w:t>
            </w:r>
            <w:r w:rsidR="00124616">
              <w:t>ijā</w:t>
            </w:r>
            <w:r w:rsidRPr="006D04BD">
              <w:t xml:space="preserve"> noteikumu projekts nosūtīts arodb</w:t>
            </w:r>
            <w:r w:rsidR="00741F3D" w:rsidRPr="006D04BD">
              <w:t>iedrībai „Latvijas izglītības vadītāju asociācija” (turpmāk – LIVA)</w:t>
            </w:r>
            <w:r w:rsidRPr="006D04BD">
              <w:t>;</w:t>
            </w:r>
          </w:p>
          <w:p w:rsidR="00AE0512" w:rsidRPr="0058156E" w:rsidRDefault="00AE0512" w:rsidP="006D04BD">
            <w:pPr>
              <w:pStyle w:val="naiskr"/>
              <w:spacing w:before="0" w:after="0"/>
              <w:jc w:val="both"/>
            </w:pPr>
            <w:r w:rsidRPr="006D04BD">
              <w:t xml:space="preserve">- 2015.gada </w:t>
            </w:r>
            <w:r w:rsidR="004456E6">
              <w:t>30.jūn</w:t>
            </w:r>
            <w:r w:rsidR="00124616">
              <w:t>ijā</w:t>
            </w:r>
            <w:r w:rsidRPr="006D04BD">
              <w:t xml:space="preserve"> noteikumu projekts nosūtīts </w:t>
            </w:r>
            <w:r w:rsidR="00B53511" w:rsidRPr="006D04BD">
              <w:t>Latvijas Izglītības un zinātnes darbinieku arodbiedrībai (turpmāk – LIZDA)</w:t>
            </w:r>
            <w:r w:rsidR="00073C64">
              <w:t>.</w:t>
            </w:r>
          </w:p>
        </w:tc>
      </w:tr>
      <w:tr w:rsidR="004470EE" w:rsidRPr="00EF4AA3" w:rsidTr="005D265C">
        <w:trPr>
          <w:trHeight w:val="274"/>
          <w:tblCellSpacing w:w="0" w:type="dxa"/>
        </w:trPr>
        <w:tc>
          <w:tcPr>
            <w:tcW w:w="550" w:type="dxa"/>
          </w:tcPr>
          <w:p w:rsidR="004470EE" w:rsidRPr="00EF4AA3" w:rsidRDefault="004470EE" w:rsidP="00ED6286">
            <w:pPr>
              <w:pStyle w:val="naiskr"/>
              <w:ind w:left="180" w:hanging="180"/>
              <w:jc w:val="center"/>
            </w:pPr>
            <w:r w:rsidRPr="00EF4AA3">
              <w:t>2.</w:t>
            </w:r>
          </w:p>
        </w:tc>
        <w:tc>
          <w:tcPr>
            <w:tcW w:w="2880" w:type="dxa"/>
            <w:shd w:val="clear" w:color="auto" w:fill="auto"/>
          </w:tcPr>
          <w:p w:rsidR="004470EE" w:rsidRPr="00EF4AA3" w:rsidRDefault="004470EE" w:rsidP="00ED6286">
            <w:pPr>
              <w:pStyle w:val="naiskr"/>
              <w:ind w:left="180" w:hanging="10"/>
            </w:pPr>
            <w:r>
              <w:t xml:space="preserve">Sabiedrības līdzdalība </w:t>
            </w:r>
            <w:r>
              <w:lastRenderedPageBreak/>
              <w:t>projekta izstrādē</w:t>
            </w:r>
          </w:p>
        </w:tc>
        <w:tc>
          <w:tcPr>
            <w:tcW w:w="5652" w:type="dxa"/>
            <w:shd w:val="clear" w:color="auto" w:fill="auto"/>
          </w:tcPr>
          <w:p w:rsidR="00D97096" w:rsidRDefault="00F628E2" w:rsidP="00ED6286">
            <w:pPr>
              <w:pStyle w:val="naiskr"/>
              <w:rPr>
                <w:iCs/>
              </w:rPr>
            </w:pPr>
            <w:r>
              <w:rPr>
                <w:iCs/>
              </w:rPr>
              <w:lastRenderedPageBreak/>
              <w:t xml:space="preserve">Noteikumu projekta izstrādes gaitā 2015.gada aprīlī centrs </w:t>
            </w:r>
            <w:r>
              <w:rPr>
                <w:iCs/>
              </w:rPr>
              <w:lastRenderedPageBreak/>
              <w:t>izveidoja neformālu darba grupu, kuras sastāvā tika iekļauti izglītības iestāžu svešvalodu pedagogi un starptautisko testēšanas institūciju pārstāvji.</w:t>
            </w:r>
          </w:p>
          <w:p w:rsidR="005D265C" w:rsidRDefault="005D265C" w:rsidP="007665E6">
            <w:pPr>
              <w:pStyle w:val="naiskr"/>
              <w:rPr>
                <w:iCs/>
              </w:rPr>
            </w:pPr>
            <w:r>
              <w:rPr>
                <w:iCs/>
              </w:rPr>
              <w:t>Noteikumu projekts apspriests 20</w:t>
            </w:r>
            <w:r w:rsidR="00124616">
              <w:rPr>
                <w:iCs/>
              </w:rPr>
              <w:t>1</w:t>
            </w:r>
            <w:r>
              <w:rPr>
                <w:iCs/>
              </w:rPr>
              <w:t>5.gada 14.maijā centra</w:t>
            </w:r>
            <w:r w:rsidR="007665E6">
              <w:rPr>
                <w:iCs/>
              </w:rPr>
              <w:t xml:space="preserve"> Paplašinātā </w:t>
            </w:r>
            <w:r>
              <w:rPr>
                <w:iCs/>
              </w:rPr>
              <w:t xml:space="preserve">Konsultatīvās padomes eksaminācijas jautājumos </w:t>
            </w:r>
            <w:r w:rsidR="00005F70">
              <w:rPr>
                <w:iCs/>
              </w:rPr>
              <w:t xml:space="preserve">sēdē, piedaloties </w:t>
            </w:r>
            <w:r w:rsidR="007665E6">
              <w:rPr>
                <w:iCs/>
              </w:rPr>
              <w:t>10</w:t>
            </w:r>
            <w:r>
              <w:rPr>
                <w:iCs/>
              </w:rPr>
              <w:t xml:space="preserve"> augstskolu pārstāvjiem.</w:t>
            </w:r>
          </w:p>
          <w:p w:rsidR="00464BAD" w:rsidRPr="0058156E" w:rsidRDefault="00124616" w:rsidP="00124616">
            <w:pPr>
              <w:pStyle w:val="naiskr"/>
            </w:pPr>
            <w:r>
              <w:rPr>
                <w:iCs/>
              </w:rPr>
              <w:t>2015.gada 8.jūnijā n</w:t>
            </w:r>
            <w:r w:rsidR="00464BAD" w:rsidRPr="00124616">
              <w:rPr>
                <w:iCs/>
              </w:rPr>
              <w:t xml:space="preserve">oteikumu projekts tika apspriests ar </w:t>
            </w:r>
            <w:r>
              <w:rPr>
                <w:iCs/>
              </w:rPr>
              <w:t xml:space="preserve">noteikumu projekta pielikumā minēto </w:t>
            </w:r>
            <w:r w:rsidR="00464BAD" w:rsidRPr="00124616">
              <w:rPr>
                <w:iCs/>
              </w:rPr>
              <w:t xml:space="preserve">starptautisko </w:t>
            </w:r>
            <w:r>
              <w:rPr>
                <w:iCs/>
              </w:rPr>
              <w:t xml:space="preserve">institūciju </w:t>
            </w:r>
            <w:r w:rsidR="00464BAD" w:rsidRPr="00124616">
              <w:rPr>
                <w:iCs/>
              </w:rPr>
              <w:t>pārstāvjiem</w:t>
            </w:r>
            <w:r>
              <w:rPr>
                <w:iCs/>
              </w:rPr>
              <w:t xml:space="preserve"> Latvij</w:t>
            </w:r>
            <w:r w:rsidR="0076724B">
              <w:rPr>
                <w:iCs/>
              </w:rPr>
              <w:t>as Republikā</w:t>
            </w:r>
            <w:r w:rsidR="00464BAD" w:rsidRPr="00124616">
              <w:rPr>
                <w:iCs/>
              </w:rPr>
              <w:t>.</w:t>
            </w:r>
          </w:p>
        </w:tc>
      </w:tr>
      <w:tr w:rsidR="004470EE" w:rsidRPr="00EF4AA3" w:rsidTr="00ED6286">
        <w:trPr>
          <w:trHeight w:val="557"/>
          <w:tblCellSpacing w:w="0" w:type="dxa"/>
        </w:trPr>
        <w:tc>
          <w:tcPr>
            <w:tcW w:w="550" w:type="dxa"/>
          </w:tcPr>
          <w:p w:rsidR="004470EE" w:rsidRPr="00EF4AA3" w:rsidRDefault="004470EE" w:rsidP="00ED6286">
            <w:pPr>
              <w:pStyle w:val="naiskr"/>
              <w:ind w:left="180" w:hanging="180"/>
              <w:jc w:val="center"/>
            </w:pPr>
            <w:r>
              <w:lastRenderedPageBreak/>
              <w:t>3.</w:t>
            </w:r>
          </w:p>
        </w:tc>
        <w:tc>
          <w:tcPr>
            <w:tcW w:w="2880" w:type="dxa"/>
            <w:shd w:val="clear" w:color="auto" w:fill="auto"/>
          </w:tcPr>
          <w:p w:rsidR="004470EE" w:rsidRDefault="004470EE" w:rsidP="00ED6286">
            <w:pPr>
              <w:pStyle w:val="naiskr"/>
              <w:ind w:left="180" w:hanging="10"/>
            </w:pPr>
            <w:r>
              <w:t>Sabiedrības līdzdalības rezultāti</w:t>
            </w:r>
          </w:p>
        </w:tc>
        <w:tc>
          <w:tcPr>
            <w:tcW w:w="5652" w:type="dxa"/>
            <w:shd w:val="clear" w:color="auto" w:fill="auto"/>
          </w:tcPr>
          <w:p w:rsidR="000B119B" w:rsidRPr="00E80E07" w:rsidRDefault="0076724B" w:rsidP="000D1F10">
            <w:pPr>
              <w:pStyle w:val="naiskr"/>
              <w:spacing w:before="0" w:after="0"/>
              <w:jc w:val="both"/>
            </w:pPr>
            <w:r w:rsidRPr="00E80E07">
              <w:t xml:space="preserve">Laikā, kad noteikumu projekts tiek iesniegts izsludināšanai Valsts sekretāru sanāksmē, </w:t>
            </w:r>
            <w:r w:rsidR="006E61E0" w:rsidRPr="00E80E07">
              <w:t>atzinums</w:t>
            </w:r>
            <w:r w:rsidR="000B119B" w:rsidRPr="00E80E07">
              <w:t xml:space="preserve"> </w:t>
            </w:r>
            <w:r w:rsidRPr="00E80E07">
              <w:t xml:space="preserve">no </w:t>
            </w:r>
            <w:r w:rsidR="000D1F10" w:rsidRPr="00E80E07">
              <w:t>LRP</w:t>
            </w:r>
            <w:r w:rsidRPr="00E80E07">
              <w:t xml:space="preserve"> </w:t>
            </w:r>
            <w:r w:rsidR="006E61E0" w:rsidRPr="00E80E07">
              <w:t>nav saņemts</w:t>
            </w:r>
            <w:r w:rsidR="000B119B" w:rsidRPr="00E80E07">
              <w:t>.</w:t>
            </w:r>
          </w:p>
          <w:p w:rsidR="00586422" w:rsidRDefault="006E61E0" w:rsidP="006E61E0">
            <w:pPr>
              <w:pStyle w:val="naiskr"/>
              <w:spacing w:before="0" w:after="0"/>
              <w:jc w:val="both"/>
            </w:pPr>
            <w:r w:rsidRPr="00E80E07">
              <w:t xml:space="preserve">LIVA </w:t>
            </w:r>
            <w:r w:rsidR="00586422" w:rsidRPr="00E80E07">
              <w:t xml:space="preserve">(saņemts </w:t>
            </w:r>
            <w:r w:rsidR="00665335" w:rsidRPr="00E80E07">
              <w:t>2015.gada 7.jūlija atzinums Nr.</w:t>
            </w:r>
            <w:r w:rsidR="00586422" w:rsidRPr="00E80E07">
              <w:t>1-2/35)</w:t>
            </w:r>
            <w:r w:rsidRPr="00E80E07">
              <w:t xml:space="preserve">, LIZDA (saņemts 2015.gada </w:t>
            </w:r>
            <w:r w:rsidR="00665335" w:rsidRPr="00E80E07">
              <w:t>8.jūlija atzinums Nr.116) un AIP (saņemts 2015.gada 8.jūlija atzinums Nr.1.12./41)</w:t>
            </w:r>
            <w:r w:rsidRPr="00E80E07">
              <w:t xml:space="preserve"> atbalsta noteikumu projekta tālāko virzību</w:t>
            </w:r>
            <w:r w:rsidR="00665335" w:rsidRPr="00E80E07">
              <w:t>.</w:t>
            </w:r>
          </w:p>
          <w:p w:rsidR="00E80E07" w:rsidRPr="0058156E" w:rsidRDefault="00E80E07" w:rsidP="002665BF">
            <w:pPr>
              <w:pStyle w:val="naiskr"/>
              <w:spacing w:before="0" w:after="0"/>
              <w:jc w:val="both"/>
            </w:pPr>
            <w:r>
              <w:t xml:space="preserve">Pēc noteikumu projekta izsludināšanas Valsts sekretāru sanāksmē Izglītības un zinātnes ministrija lūdza AIP, LIVA, LIZDA un LRP viedokli par noteikumu projektu. </w:t>
            </w:r>
            <w:r w:rsidR="001E2EA4">
              <w:t xml:space="preserve">AIP un LRP atbalsta noteikumu projekta tālāko virzību, LIVA un LIZDA noteiktajā termiņā </w:t>
            </w:r>
            <w:r w:rsidR="002665BF">
              <w:t>viedokli</w:t>
            </w:r>
            <w:r w:rsidR="002665BF">
              <w:t xml:space="preserve"> </w:t>
            </w:r>
            <w:r w:rsidR="001E2EA4">
              <w:t>nav sniegušas.</w:t>
            </w:r>
          </w:p>
        </w:tc>
      </w:tr>
      <w:tr w:rsidR="004470EE" w:rsidRPr="00EF4AA3" w:rsidTr="00ED6286">
        <w:trPr>
          <w:trHeight w:val="490"/>
          <w:tblCellSpacing w:w="0" w:type="dxa"/>
        </w:trPr>
        <w:tc>
          <w:tcPr>
            <w:tcW w:w="550" w:type="dxa"/>
          </w:tcPr>
          <w:p w:rsidR="004470EE" w:rsidRDefault="00777AE9" w:rsidP="00ED6286">
            <w:pPr>
              <w:pStyle w:val="naiskr"/>
              <w:ind w:left="180" w:hanging="180"/>
              <w:jc w:val="center"/>
            </w:pPr>
            <w:r>
              <w:t>4</w:t>
            </w:r>
            <w:r w:rsidR="004470EE">
              <w:t>.</w:t>
            </w:r>
          </w:p>
        </w:tc>
        <w:tc>
          <w:tcPr>
            <w:tcW w:w="2880" w:type="dxa"/>
            <w:shd w:val="clear" w:color="auto" w:fill="auto"/>
          </w:tcPr>
          <w:p w:rsidR="004470EE" w:rsidRDefault="004470EE" w:rsidP="00ED6286">
            <w:pPr>
              <w:pStyle w:val="naiskr"/>
              <w:ind w:left="180" w:hanging="10"/>
            </w:pPr>
            <w:r w:rsidRPr="00EF4AA3">
              <w:t>Cita informācija</w:t>
            </w:r>
          </w:p>
        </w:tc>
        <w:tc>
          <w:tcPr>
            <w:tcW w:w="5652" w:type="dxa"/>
            <w:shd w:val="clear" w:color="auto" w:fill="auto"/>
          </w:tcPr>
          <w:p w:rsidR="004470EE" w:rsidRPr="00EF4AA3" w:rsidRDefault="00CB36ED" w:rsidP="00ED6286">
            <w:pPr>
              <w:pStyle w:val="naiskr"/>
              <w:rPr>
                <w:iCs/>
              </w:rPr>
            </w:pPr>
            <w:r>
              <w:rPr>
                <w:iCs/>
              </w:rPr>
              <w:t>Nav.</w:t>
            </w:r>
          </w:p>
        </w:tc>
      </w:tr>
    </w:tbl>
    <w:p w:rsidR="00946B98" w:rsidRPr="00665335" w:rsidRDefault="00946B98" w:rsidP="00665335">
      <w:pPr>
        <w:pStyle w:val="naisf"/>
        <w:spacing w:before="0" w:after="0"/>
        <w:ind w:firstLine="0"/>
        <w:rPr>
          <w:b/>
          <w:sz w:val="20"/>
          <w:szCs w:val="20"/>
        </w:rPr>
      </w:pPr>
    </w:p>
    <w:tbl>
      <w:tblPr>
        <w:tblW w:w="90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34"/>
        <w:gridCol w:w="5650"/>
      </w:tblGrid>
      <w:tr w:rsidR="0023436E" w:rsidRPr="00435535">
        <w:trPr>
          <w:tblCellSpacing w:w="0" w:type="dxa"/>
          <w:jc w:val="center"/>
        </w:trPr>
        <w:tc>
          <w:tcPr>
            <w:tcW w:w="9034" w:type="dxa"/>
            <w:gridSpan w:val="3"/>
            <w:vAlign w:val="center"/>
          </w:tcPr>
          <w:p w:rsidR="0023436E" w:rsidRPr="00435535" w:rsidRDefault="0023436E" w:rsidP="00946B98">
            <w:pPr>
              <w:pStyle w:val="naisnod"/>
            </w:pPr>
            <w:r w:rsidRPr="00435535">
              <w:t>VII</w:t>
            </w:r>
            <w:r w:rsidR="00C93236">
              <w:t>.</w:t>
            </w:r>
            <w:r w:rsidRPr="00435535">
              <w:t xml:space="preserve"> Tiesību akta projekta izpildes nodrošināšana un tās ietekme uz institūcijām</w:t>
            </w:r>
          </w:p>
        </w:tc>
      </w:tr>
      <w:tr w:rsidR="0023436E" w:rsidRPr="00435535" w:rsidTr="00E46676">
        <w:trPr>
          <w:trHeight w:val="834"/>
          <w:tblCellSpacing w:w="0" w:type="dxa"/>
          <w:jc w:val="center"/>
        </w:trPr>
        <w:tc>
          <w:tcPr>
            <w:tcW w:w="550" w:type="dxa"/>
          </w:tcPr>
          <w:p w:rsidR="0023436E" w:rsidRPr="00435535" w:rsidRDefault="0023436E" w:rsidP="00AB46EF">
            <w:pPr>
              <w:pStyle w:val="naisnod"/>
              <w:spacing w:before="75" w:after="75"/>
              <w:ind w:left="181" w:hanging="181"/>
              <w:rPr>
                <w:b w:val="0"/>
              </w:rPr>
            </w:pPr>
            <w:r w:rsidRPr="00435535">
              <w:rPr>
                <w:b w:val="0"/>
              </w:rPr>
              <w:t>1.</w:t>
            </w:r>
          </w:p>
        </w:tc>
        <w:tc>
          <w:tcPr>
            <w:tcW w:w="2834" w:type="dxa"/>
          </w:tcPr>
          <w:p w:rsidR="0023436E" w:rsidRPr="00435535" w:rsidRDefault="001A4066" w:rsidP="00446EF0">
            <w:pPr>
              <w:pStyle w:val="naisf"/>
              <w:ind w:left="170" w:firstLine="0"/>
              <w:jc w:val="left"/>
            </w:pPr>
            <w:r w:rsidRPr="00435535">
              <w:t>P</w:t>
            </w:r>
            <w:r w:rsidR="0023436E" w:rsidRPr="00435535">
              <w:t xml:space="preserve">rojekta izpildē iesaistītās institūcijas </w:t>
            </w:r>
          </w:p>
        </w:tc>
        <w:tc>
          <w:tcPr>
            <w:tcW w:w="5650" w:type="dxa"/>
          </w:tcPr>
          <w:p w:rsidR="0023436E" w:rsidRPr="00435535" w:rsidRDefault="007665E6" w:rsidP="00CB2D01">
            <w:pPr>
              <w:pStyle w:val="naisnod"/>
              <w:spacing w:before="75" w:after="75"/>
              <w:jc w:val="both"/>
              <w:rPr>
                <w:b w:val="0"/>
              </w:rPr>
            </w:pPr>
            <w:r>
              <w:rPr>
                <w:b w:val="0"/>
                <w:iCs/>
              </w:rPr>
              <w:t>Valsts izglītības satura centrs, v</w:t>
            </w:r>
            <w:r w:rsidR="00AC73FC" w:rsidRPr="00AC73FC">
              <w:rPr>
                <w:b w:val="0"/>
                <w:iCs/>
              </w:rPr>
              <w:t>ispārējās vidējās izglītības iestādes</w:t>
            </w:r>
            <w:r w:rsidR="00CB2D01">
              <w:rPr>
                <w:b w:val="0"/>
                <w:iCs/>
              </w:rPr>
              <w:t>,</w:t>
            </w:r>
            <w:r w:rsidR="00AC73FC" w:rsidRPr="00AC73FC">
              <w:rPr>
                <w:b w:val="0"/>
                <w:iCs/>
              </w:rPr>
              <w:t xml:space="preserve"> </w:t>
            </w:r>
            <w:r w:rsidR="00CB2D01">
              <w:rPr>
                <w:b w:val="0"/>
                <w:iCs/>
              </w:rPr>
              <w:t>p</w:t>
            </w:r>
            <w:r w:rsidR="00AC73FC" w:rsidRPr="00AC73FC">
              <w:rPr>
                <w:b w:val="0"/>
                <w:iCs/>
              </w:rPr>
              <w:t>rofesion</w:t>
            </w:r>
            <w:r w:rsidR="00AC73FC">
              <w:rPr>
                <w:b w:val="0"/>
                <w:iCs/>
              </w:rPr>
              <w:t>ālās izglītības iestādes, a</w:t>
            </w:r>
            <w:r w:rsidR="00AC73FC" w:rsidRPr="00AC73FC">
              <w:rPr>
                <w:b w:val="0"/>
                <w:iCs/>
              </w:rPr>
              <w:t>ugstākās izglītības iestādes</w:t>
            </w:r>
            <w:r w:rsidR="00AC73FC">
              <w:rPr>
                <w:b w:val="0"/>
                <w:iCs/>
              </w:rPr>
              <w:t>.</w:t>
            </w:r>
          </w:p>
        </w:tc>
      </w:tr>
      <w:tr w:rsidR="0023436E" w:rsidRPr="00435535" w:rsidTr="00E46676">
        <w:trPr>
          <w:trHeight w:val="879"/>
          <w:tblCellSpacing w:w="0" w:type="dxa"/>
          <w:jc w:val="center"/>
        </w:trPr>
        <w:tc>
          <w:tcPr>
            <w:tcW w:w="550" w:type="dxa"/>
          </w:tcPr>
          <w:p w:rsidR="0023436E" w:rsidRPr="00435535" w:rsidRDefault="0023436E" w:rsidP="00AB46EF">
            <w:pPr>
              <w:pStyle w:val="naisnod"/>
              <w:spacing w:before="75" w:after="75"/>
              <w:rPr>
                <w:b w:val="0"/>
              </w:rPr>
            </w:pPr>
            <w:r w:rsidRPr="00435535">
              <w:rPr>
                <w:b w:val="0"/>
              </w:rPr>
              <w:t>2.</w:t>
            </w:r>
          </w:p>
        </w:tc>
        <w:tc>
          <w:tcPr>
            <w:tcW w:w="2834" w:type="dxa"/>
          </w:tcPr>
          <w:p w:rsidR="0023436E" w:rsidRDefault="001A4066" w:rsidP="00777AE9">
            <w:pPr>
              <w:pStyle w:val="naisf"/>
              <w:spacing w:after="0"/>
              <w:ind w:left="170" w:firstLine="0"/>
              <w:jc w:val="left"/>
            </w:pPr>
            <w:r w:rsidRPr="00435535">
              <w:t>Projekta i</w:t>
            </w:r>
            <w:r w:rsidR="0023436E" w:rsidRPr="00435535">
              <w:t xml:space="preserve">zpildes ietekme uz pārvaldes funkcijām </w:t>
            </w:r>
            <w:r w:rsidR="00777AE9">
              <w:t xml:space="preserve">un </w:t>
            </w:r>
            <w:r w:rsidR="00777AE9" w:rsidRPr="00435535">
              <w:t>institucionālo struktūru</w:t>
            </w:r>
            <w:r w:rsidR="00777AE9">
              <w:t>.</w:t>
            </w:r>
          </w:p>
          <w:p w:rsidR="00777AE9" w:rsidRPr="00435535" w:rsidRDefault="00777AE9" w:rsidP="00777AE9">
            <w:pPr>
              <w:pStyle w:val="naisf"/>
              <w:spacing w:before="0"/>
              <w:ind w:left="170" w:firstLine="0"/>
              <w:jc w:val="left"/>
            </w:pPr>
            <w:r w:rsidRPr="00435535">
              <w:t>Jaunu institūciju izveide</w:t>
            </w:r>
            <w:r>
              <w:t>, e</w:t>
            </w:r>
            <w:r w:rsidRPr="00435535">
              <w:t>sošu institūciju likvidācija</w:t>
            </w:r>
            <w:r>
              <w:t xml:space="preserve"> vai reorganizācija, to ietekme uz </w:t>
            </w:r>
            <w:r w:rsidR="000B315C">
              <w:t>institūcijas cilvēkresursiem</w:t>
            </w:r>
          </w:p>
        </w:tc>
        <w:tc>
          <w:tcPr>
            <w:tcW w:w="5650" w:type="dxa"/>
          </w:tcPr>
          <w:p w:rsidR="00CC7199" w:rsidRDefault="00CC7199" w:rsidP="00CC7199">
            <w:pPr>
              <w:pStyle w:val="naisnod"/>
              <w:spacing w:before="0" w:after="75"/>
              <w:jc w:val="both"/>
              <w:rPr>
                <w:b w:val="0"/>
              </w:rPr>
            </w:pPr>
            <w:r>
              <w:rPr>
                <w:b w:val="0"/>
              </w:rPr>
              <w:t xml:space="preserve">Ministru kabineta </w:t>
            </w:r>
            <w:r w:rsidR="0076724B">
              <w:rPr>
                <w:b w:val="0"/>
              </w:rPr>
              <w:t xml:space="preserve">2009.gada 30.jūnija </w:t>
            </w:r>
            <w:r>
              <w:rPr>
                <w:b w:val="0"/>
              </w:rPr>
              <w:t>noteikumu Nr.682 „Valsts izglītības satura centra nolikums” 3.4.apakšpunktā noteikts uzdevums – izstrādāt vienotu valsts pārbaudījumu saturu vispārējā izglītībā un profesionālajā izglītībā, organizē</w:t>
            </w:r>
            <w:r w:rsidR="0076724B">
              <w:rPr>
                <w:b w:val="0"/>
              </w:rPr>
              <w:t>t</w:t>
            </w:r>
            <w:r>
              <w:rPr>
                <w:b w:val="0"/>
              </w:rPr>
              <w:t xml:space="preserve"> valsts pārbaudījumu norisi un izstrādā</w:t>
            </w:r>
            <w:r w:rsidR="0076724B">
              <w:rPr>
                <w:b w:val="0"/>
              </w:rPr>
              <w:t>t</w:t>
            </w:r>
            <w:r>
              <w:rPr>
                <w:b w:val="0"/>
              </w:rPr>
              <w:t xml:space="preserve"> kritērijus izglītojamo mācību sasniegumu vērtēšanai</w:t>
            </w:r>
            <w:r w:rsidR="0076724B">
              <w:rPr>
                <w:b w:val="0"/>
              </w:rPr>
              <w:t>. Noteikumu projekts</w:t>
            </w:r>
            <w:r>
              <w:rPr>
                <w:b w:val="0"/>
              </w:rPr>
              <w:t xml:space="preserve"> paredz paplašināt iepriekš minētā uzdevuma izpildes ietvaros veiktās darbības ar jaunu darbību kopu</w:t>
            </w:r>
            <w:r w:rsidR="0076724B">
              <w:rPr>
                <w:b w:val="0"/>
              </w:rPr>
              <w:t>mu, t.i.</w:t>
            </w:r>
            <w:r w:rsidR="005834AC">
              <w:rPr>
                <w:b w:val="0"/>
              </w:rPr>
              <w:t>,</w:t>
            </w:r>
            <w:r w:rsidR="0076724B">
              <w:rPr>
                <w:b w:val="0"/>
              </w:rPr>
              <w:t xml:space="preserve"> svešvalodu</w:t>
            </w:r>
            <w:r>
              <w:rPr>
                <w:b w:val="0"/>
              </w:rPr>
              <w:t xml:space="preserve"> eksāmena aizstāšanu </w:t>
            </w:r>
            <w:r w:rsidR="005834AC">
              <w:rPr>
                <w:b w:val="0"/>
              </w:rPr>
              <w:t>ar starptautiskas institūcijas pārbaudījumu svešvalodā, p</w:t>
            </w:r>
            <w:r>
              <w:rPr>
                <w:b w:val="0"/>
              </w:rPr>
              <w:t>apild</w:t>
            </w:r>
            <w:r w:rsidR="005834AC">
              <w:rPr>
                <w:b w:val="0"/>
              </w:rPr>
              <w:t>us veicot sekojošas darbības – s</w:t>
            </w:r>
            <w:r>
              <w:rPr>
                <w:b w:val="0"/>
              </w:rPr>
              <w:t>tarptautisk</w:t>
            </w:r>
            <w:r w:rsidR="005834AC">
              <w:rPr>
                <w:b w:val="0"/>
              </w:rPr>
              <w:t xml:space="preserve">o institūciju </w:t>
            </w:r>
            <w:r>
              <w:rPr>
                <w:b w:val="0"/>
              </w:rPr>
              <w:t>izsniegt</w:t>
            </w:r>
            <w:r w:rsidR="005834AC">
              <w:rPr>
                <w:b w:val="0"/>
              </w:rPr>
              <w:t>o</w:t>
            </w:r>
            <w:r>
              <w:rPr>
                <w:b w:val="0"/>
              </w:rPr>
              <w:t xml:space="preserve"> </w:t>
            </w:r>
            <w:r w:rsidR="005834AC">
              <w:rPr>
                <w:b w:val="0"/>
              </w:rPr>
              <w:t>dokumentu par rezultātiem pārbaudījumos</w:t>
            </w:r>
            <w:r>
              <w:rPr>
                <w:b w:val="0"/>
              </w:rPr>
              <w:t xml:space="preserve"> pieņemšanu, to autentiskuma pārbaudi, uzskaiti un </w:t>
            </w:r>
            <w:r w:rsidR="00221DF5">
              <w:rPr>
                <w:b w:val="0"/>
              </w:rPr>
              <w:t>attiecīgas informācij</w:t>
            </w:r>
            <w:r w:rsidR="005834AC">
              <w:rPr>
                <w:b w:val="0"/>
              </w:rPr>
              <w:t>as sniegšanu izglītības iestādēm</w:t>
            </w:r>
            <w:r>
              <w:rPr>
                <w:b w:val="0"/>
              </w:rPr>
              <w:t>.</w:t>
            </w:r>
          </w:p>
          <w:p w:rsidR="00CC7199" w:rsidRDefault="00CC7199" w:rsidP="00CC7199">
            <w:pPr>
              <w:pStyle w:val="naisnod"/>
              <w:spacing w:before="0" w:after="75"/>
              <w:jc w:val="both"/>
              <w:rPr>
                <w:b w:val="0"/>
              </w:rPr>
            </w:pPr>
            <w:r>
              <w:rPr>
                <w:b w:val="0"/>
              </w:rPr>
              <w:t xml:space="preserve">Savukārt izglītības iestādes uzdevumi tiek paplašināti ar darbībām, kas saistītas ar starptautisko </w:t>
            </w:r>
            <w:r w:rsidR="005834AC">
              <w:rPr>
                <w:b w:val="0"/>
              </w:rPr>
              <w:t>institūciju izsniegto dokumentu par rezultātiem pārbaudījumos pieņemšanu un pārsūtīšanu centram</w:t>
            </w:r>
            <w:r>
              <w:rPr>
                <w:b w:val="0"/>
              </w:rPr>
              <w:t xml:space="preserve"> un attiecīgu ierakstu </w:t>
            </w:r>
            <w:r>
              <w:rPr>
                <w:b w:val="0"/>
              </w:rPr>
              <w:lastRenderedPageBreak/>
              <w:t>veikšanu vispārējās izglītības dokumentos</w:t>
            </w:r>
            <w:r w:rsidR="00221DF5">
              <w:rPr>
                <w:b w:val="0"/>
              </w:rPr>
              <w:t xml:space="preserve"> pēc attiecīgas informācijas saņemšanas no </w:t>
            </w:r>
            <w:r w:rsidR="005834AC">
              <w:rPr>
                <w:b w:val="0"/>
              </w:rPr>
              <w:t>centra</w:t>
            </w:r>
            <w:r>
              <w:rPr>
                <w:b w:val="0"/>
              </w:rPr>
              <w:t xml:space="preserve">. </w:t>
            </w:r>
          </w:p>
          <w:p w:rsidR="00221DF5" w:rsidRPr="00B97BFA" w:rsidRDefault="00221DF5" w:rsidP="00BB5DDD">
            <w:pPr>
              <w:pStyle w:val="naisnod"/>
              <w:spacing w:before="0" w:after="75"/>
              <w:jc w:val="both"/>
              <w:rPr>
                <w:b w:val="0"/>
              </w:rPr>
            </w:pPr>
            <w:r w:rsidRPr="00B97BFA">
              <w:rPr>
                <w:b w:val="0"/>
              </w:rPr>
              <w:t xml:space="preserve">Noteikumu projekta izpilde tiks nodrošināta </w:t>
            </w:r>
            <w:r w:rsidR="00BB5DDD" w:rsidRPr="00B97BFA">
              <w:rPr>
                <w:b w:val="0"/>
              </w:rPr>
              <w:t xml:space="preserve">esošo </w:t>
            </w:r>
            <w:r w:rsidRPr="00B97BFA">
              <w:rPr>
                <w:b w:val="0"/>
              </w:rPr>
              <w:t xml:space="preserve">institūciju </w:t>
            </w:r>
            <w:r w:rsidR="00BB5DDD" w:rsidRPr="00B97BFA">
              <w:rPr>
                <w:b w:val="0"/>
              </w:rPr>
              <w:t xml:space="preserve">un </w:t>
            </w:r>
            <w:r w:rsidR="00BE7306" w:rsidRPr="00B97BFA">
              <w:rPr>
                <w:b w:val="0"/>
              </w:rPr>
              <w:t xml:space="preserve">cilvēkresursu </w:t>
            </w:r>
            <w:r w:rsidRPr="00B97BFA">
              <w:rPr>
                <w:b w:val="0"/>
              </w:rPr>
              <w:t>ietvaros.</w:t>
            </w:r>
          </w:p>
        </w:tc>
      </w:tr>
      <w:tr w:rsidR="0023436E" w:rsidRPr="00435535" w:rsidTr="00E46676">
        <w:trPr>
          <w:trHeight w:val="476"/>
          <w:tblCellSpacing w:w="0" w:type="dxa"/>
          <w:jc w:val="center"/>
        </w:trPr>
        <w:tc>
          <w:tcPr>
            <w:tcW w:w="550" w:type="dxa"/>
          </w:tcPr>
          <w:p w:rsidR="0023436E" w:rsidRPr="00435535" w:rsidRDefault="000B315C" w:rsidP="00AB46EF">
            <w:pPr>
              <w:pStyle w:val="naiskr"/>
              <w:spacing w:before="15" w:after="15"/>
              <w:jc w:val="center"/>
            </w:pPr>
            <w:r>
              <w:lastRenderedPageBreak/>
              <w:t>3</w:t>
            </w:r>
            <w:r w:rsidR="0023436E" w:rsidRPr="00435535">
              <w:t>.</w:t>
            </w:r>
          </w:p>
        </w:tc>
        <w:tc>
          <w:tcPr>
            <w:tcW w:w="2834" w:type="dxa"/>
          </w:tcPr>
          <w:p w:rsidR="0023436E" w:rsidRPr="00435535" w:rsidRDefault="0023436E" w:rsidP="007B7715">
            <w:pPr>
              <w:pStyle w:val="naiskr"/>
              <w:ind w:left="170"/>
            </w:pPr>
            <w:r w:rsidRPr="00435535">
              <w:t>Cita informācija.</w:t>
            </w:r>
          </w:p>
        </w:tc>
        <w:tc>
          <w:tcPr>
            <w:tcW w:w="5650" w:type="dxa"/>
          </w:tcPr>
          <w:p w:rsidR="0023436E" w:rsidRPr="00435535" w:rsidRDefault="00567355" w:rsidP="00805381">
            <w:pPr>
              <w:pStyle w:val="naiskr"/>
              <w:jc w:val="both"/>
            </w:pPr>
            <w:r w:rsidRPr="00435535">
              <w:t>Nav</w:t>
            </w:r>
          </w:p>
        </w:tc>
      </w:tr>
    </w:tbl>
    <w:p w:rsidR="003334B7" w:rsidRDefault="003334B7" w:rsidP="007B7715">
      <w:pPr>
        <w:rPr>
          <w:lang w:eastAsia="en-US"/>
        </w:rPr>
      </w:pPr>
    </w:p>
    <w:p w:rsidR="001A496A" w:rsidRPr="007B7715" w:rsidRDefault="001A496A" w:rsidP="007B7715">
      <w:pPr>
        <w:rPr>
          <w:lang w:eastAsia="en-US"/>
        </w:rPr>
      </w:pPr>
    </w:p>
    <w:p w:rsidR="005A34CD" w:rsidRPr="00435535" w:rsidRDefault="00452AEF" w:rsidP="00E02396">
      <w:pPr>
        <w:pStyle w:val="Heading5"/>
        <w:tabs>
          <w:tab w:val="right" w:pos="8789"/>
        </w:tabs>
        <w:ind w:firstLine="426"/>
        <w:rPr>
          <w:sz w:val="24"/>
          <w:szCs w:val="24"/>
          <w:lang w:val="lv-LV"/>
        </w:rPr>
      </w:pPr>
      <w:r>
        <w:rPr>
          <w:sz w:val="24"/>
          <w:szCs w:val="24"/>
          <w:lang w:val="lv-LV"/>
        </w:rPr>
        <w:t>Izglītī</w:t>
      </w:r>
      <w:r w:rsidR="007154FD">
        <w:rPr>
          <w:sz w:val="24"/>
          <w:szCs w:val="24"/>
          <w:lang w:val="lv-LV"/>
        </w:rPr>
        <w:t>bas un zinātnes ministre</w:t>
      </w:r>
      <w:r w:rsidR="00E02396">
        <w:rPr>
          <w:sz w:val="24"/>
          <w:szCs w:val="24"/>
          <w:lang w:val="lv-LV"/>
        </w:rPr>
        <w:tab/>
      </w:r>
      <w:r w:rsidR="000052C1">
        <w:rPr>
          <w:sz w:val="24"/>
          <w:szCs w:val="24"/>
          <w:lang w:val="lv-LV"/>
        </w:rPr>
        <w:t>M.Seil</w:t>
      </w:r>
      <w:r w:rsidR="007154FD">
        <w:rPr>
          <w:sz w:val="24"/>
          <w:szCs w:val="24"/>
          <w:lang w:val="lv-LV"/>
        </w:rPr>
        <w:t>e</w:t>
      </w:r>
    </w:p>
    <w:p w:rsidR="007B7715" w:rsidRDefault="007B7715" w:rsidP="005A34CD">
      <w:pPr>
        <w:tabs>
          <w:tab w:val="left" w:pos="6663"/>
        </w:tabs>
      </w:pPr>
    </w:p>
    <w:p w:rsidR="001A496A" w:rsidRDefault="001A496A" w:rsidP="005A34CD">
      <w:pPr>
        <w:tabs>
          <w:tab w:val="left" w:pos="6663"/>
        </w:tabs>
      </w:pPr>
    </w:p>
    <w:p w:rsidR="001A496A" w:rsidRDefault="001A496A" w:rsidP="005A34CD">
      <w:pPr>
        <w:tabs>
          <w:tab w:val="left" w:pos="6663"/>
        </w:tabs>
      </w:pPr>
    </w:p>
    <w:p w:rsidR="00F815D9" w:rsidRPr="00435535" w:rsidRDefault="00F815D9" w:rsidP="005A34CD">
      <w:pPr>
        <w:tabs>
          <w:tab w:val="left" w:pos="6663"/>
        </w:tabs>
      </w:pPr>
    </w:p>
    <w:p w:rsidR="006D04BD" w:rsidRPr="002A6519" w:rsidRDefault="006D04BD" w:rsidP="006D04BD">
      <w:pPr>
        <w:ind w:firstLine="426"/>
        <w:rPr>
          <w:rFonts w:eastAsia="Calibri"/>
          <w:lang w:eastAsia="en-US"/>
        </w:rPr>
      </w:pPr>
      <w:r w:rsidRPr="002A6519">
        <w:t xml:space="preserve">Vizē: </w:t>
      </w:r>
      <w:r w:rsidRPr="002A6519">
        <w:rPr>
          <w:rFonts w:eastAsia="Calibri"/>
          <w:lang w:eastAsia="en-US"/>
        </w:rPr>
        <w:t xml:space="preserve">Valsts sekretāra vietniece – </w:t>
      </w:r>
    </w:p>
    <w:p w:rsidR="006D04BD" w:rsidRPr="002A6519" w:rsidRDefault="006D04BD" w:rsidP="006D04BD">
      <w:pPr>
        <w:ind w:firstLine="426"/>
        <w:rPr>
          <w:rFonts w:eastAsia="Calibri"/>
          <w:lang w:eastAsia="en-US"/>
        </w:rPr>
      </w:pPr>
      <w:r w:rsidRPr="002A6519">
        <w:rPr>
          <w:rFonts w:eastAsia="Calibri"/>
          <w:lang w:eastAsia="en-US"/>
        </w:rPr>
        <w:t>Izglītības departamenta direktore,</w:t>
      </w:r>
    </w:p>
    <w:p w:rsidR="006D04BD" w:rsidRPr="002A6519" w:rsidRDefault="006D04BD" w:rsidP="006D04BD">
      <w:pPr>
        <w:pStyle w:val="BodyTextIndent"/>
        <w:tabs>
          <w:tab w:val="left" w:pos="6237"/>
        </w:tabs>
        <w:ind w:firstLine="426"/>
        <w:jc w:val="both"/>
        <w:rPr>
          <w:bCs/>
          <w:lang w:eastAsia="en-US"/>
        </w:rPr>
      </w:pPr>
      <w:r w:rsidRPr="002A6519">
        <w:rPr>
          <w:rFonts w:eastAsia="Calibri"/>
          <w:lang w:eastAsia="en-US"/>
        </w:rPr>
        <w:t>valsts sekretāres pienākumu izpildītāja</w:t>
      </w:r>
      <w:r w:rsidRPr="002A6519">
        <w:rPr>
          <w:bCs/>
          <w:lang w:eastAsia="en-US"/>
        </w:rPr>
        <w:tab/>
      </w:r>
      <w:r w:rsidRPr="002A6519">
        <w:rPr>
          <w:bCs/>
          <w:lang w:eastAsia="en-US"/>
        </w:rPr>
        <w:tab/>
      </w:r>
      <w:r w:rsidRPr="002A6519">
        <w:rPr>
          <w:bCs/>
          <w:lang w:eastAsia="en-US"/>
        </w:rPr>
        <w:tab/>
      </w:r>
      <w:r w:rsidRPr="002A6519">
        <w:rPr>
          <w:bCs/>
          <w:lang w:eastAsia="en-US"/>
        </w:rPr>
        <w:tab/>
        <w:t>E.Papule</w:t>
      </w:r>
    </w:p>
    <w:p w:rsidR="005A34CD" w:rsidRPr="00944324" w:rsidRDefault="005A34CD" w:rsidP="005A34CD">
      <w:pPr>
        <w:pStyle w:val="Footer"/>
      </w:pPr>
    </w:p>
    <w:p w:rsidR="00203697" w:rsidRDefault="00203697" w:rsidP="005A34CD">
      <w:pPr>
        <w:rPr>
          <w:sz w:val="20"/>
        </w:rPr>
      </w:pPr>
    </w:p>
    <w:p w:rsidR="004477D8" w:rsidRDefault="004477D8" w:rsidP="005A34CD">
      <w:pPr>
        <w:rPr>
          <w:sz w:val="20"/>
        </w:rPr>
      </w:pPr>
    </w:p>
    <w:p w:rsidR="00905A2C" w:rsidRDefault="00905A2C" w:rsidP="005A34CD">
      <w:pPr>
        <w:rPr>
          <w:sz w:val="20"/>
        </w:rPr>
      </w:pPr>
    </w:p>
    <w:p w:rsidR="00B97BFA" w:rsidRDefault="00B97BFA" w:rsidP="005A34CD">
      <w:pPr>
        <w:rPr>
          <w:sz w:val="20"/>
        </w:rPr>
      </w:pPr>
    </w:p>
    <w:p w:rsidR="00B97BFA" w:rsidRDefault="00B97BFA" w:rsidP="005A34CD">
      <w:pPr>
        <w:rPr>
          <w:sz w:val="20"/>
        </w:rPr>
      </w:pPr>
    </w:p>
    <w:p w:rsidR="00B97BFA" w:rsidRDefault="00B97BFA" w:rsidP="005A34CD">
      <w:pPr>
        <w:rPr>
          <w:sz w:val="20"/>
        </w:rPr>
      </w:pPr>
    </w:p>
    <w:p w:rsidR="00B97BFA" w:rsidRDefault="00B97BFA" w:rsidP="005A34CD">
      <w:pPr>
        <w:rPr>
          <w:sz w:val="20"/>
        </w:rPr>
      </w:pPr>
    </w:p>
    <w:p w:rsidR="00B97BFA" w:rsidRDefault="00B97BFA" w:rsidP="005A34CD">
      <w:pPr>
        <w:rPr>
          <w:sz w:val="20"/>
        </w:rPr>
      </w:pPr>
    </w:p>
    <w:p w:rsidR="00B97BFA" w:rsidRDefault="00B97BFA" w:rsidP="005A34CD">
      <w:pPr>
        <w:rPr>
          <w:sz w:val="20"/>
        </w:rPr>
      </w:pPr>
    </w:p>
    <w:p w:rsidR="00B97BFA" w:rsidRDefault="00B97BFA" w:rsidP="005A34CD">
      <w:pPr>
        <w:rPr>
          <w:sz w:val="20"/>
        </w:rPr>
      </w:pPr>
    </w:p>
    <w:p w:rsidR="00B97BFA" w:rsidRDefault="00B97BFA" w:rsidP="005A34CD">
      <w:pPr>
        <w:rPr>
          <w:sz w:val="20"/>
        </w:rPr>
      </w:pPr>
    </w:p>
    <w:p w:rsidR="00B97BFA" w:rsidRDefault="00B97BFA" w:rsidP="005A34CD">
      <w:pPr>
        <w:rPr>
          <w:sz w:val="20"/>
        </w:rPr>
      </w:pPr>
    </w:p>
    <w:p w:rsidR="00B97BFA" w:rsidRDefault="00B97BFA"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p>
    <w:p w:rsidR="002665BF" w:rsidRDefault="002665BF" w:rsidP="005A34CD">
      <w:pPr>
        <w:rPr>
          <w:sz w:val="20"/>
        </w:rPr>
      </w:pPr>
      <w:bookmarkStart w:id="0" w:name="_GoBack"/>
      <w:bookmarkEnd w:id="0"/>
    </w:p>
    <w:p w:rsidR="00B97BFA" w:rsidRDefault="00B97BFA" w:rsidP="005A34CD">
      <w:pPr>
        <w:rPr>
          <w:sz w:val="20"/>
        </w:rPr>
      </w:pPr>
    </w:p>
    <w:p w:rsidR="00B97BFA" w:rsidRDefault="00B97BFA" w:rsidP="005A34CD">
      <w:pPr>
        <w:rPr>
          <w:sz w:val="20"/>
        </w:rPr>
      </w:pPr>
    </w:p>
    <w:p w:rsidR="00A66ED1" w:rsidRPr="00131FB7" w:rsidRDefault="002665BF" w:rsidP="005A34CD">
      <w:pPr>
        <w:rPr>
          <w:sz w:val="20"/>
        </w:rPr>
      </w:pPr>
      <w:r>
        <w:rPr>
          <w:sz w:val="20"/>
        </w:rPr>
        <w:t>20</w:t>
      </w:r>
      <w:r w:rsidR="007B2DFB">
        <w:rPr>
          <w:sz w:val="20"/>
        </w:rPr>
        <w:t>.08</w:t>
      </w:r>
      <w:r w:rsidR="000052C1">
        <w:rPr>
          <w:sz w:val="20"/>
        </w:rPr>
        <w:t>.2015</w:t>
      </w:r>
      <w:r>
        <w:rPr>
          <w:sz w:val="20"/>
        </w:rPr>
        <w:t xml:space="preserve"> 10</w:t>
      </w:r>
      <w:r w:rsidR="003B2B30">
        <w:rPr>
          <w:sz w:val="20"/>
        </w:rPr>
        <w:t>:05</w:t>
      </w:r>
    </w:p>
    <w:p w:rsidR="00A66ED1" w:rsidRPr="00131FB7" w:rsidRDefault="001E2EA4" w:rsidP="005A34CD">
      <w:pPr>
        <w:rPr>
          <w:sz w:val="20"/>
        </w:rPr>
      </w:pPr>
      <w:r>
        <w:rPr>
          <w:sz w:val="20"/>
        </w:rPr>
        <w:t>1746</w:t>
      </w:r>
    </w:p>
    <w:p w:rsidR="005A34CD" w:rsidRPr="00131FB7" w:rsidRDefault="00461A90" w:rsidP="005A34CD">
      <w:pPr>
        <w:rPr>
          <w:sz w:val="20"/>
        </w:rPr>
      </w:pPr>
      <w:r>
        <w:rPr>
          <w:sz w:val="20"/>
        </w:rPr>
        <w:t>I.Kamarūte</w:t>
      </w:r>
    </w:p>
    <w:p w:rsidR="007004FC" w:rsidRPr="00131FB7" w:rsidRDefault="00461A90" w:rsidP="00C177C5">
      <w:pPr>
        <w:rPr>
          <w:sz w:val="20"/>
        </w:rPr>
      </w:pPr>
      <w:r>
        <w:rPr>
          <w:sz w:val="20"/>
        </w:rPr>
        <w:t>67814478,</w:t>
      </w:r>
      <w:r w:rsidR="00435535">
        <w:rPr>
          <w:sz w:val="20"/>
        </w:rPr>
        <w:t>i</w:t>
      </w:r>
      <w:r>
        <w:rPr>
          <w:sz w:val="20"/>
        </w:rPr>
        <w:t>ngrida.kamarute</w:t>
      </w:r>
      <w:r w:rsidR="005A34CD" w:rsidRPr="00131FB7">
        <w:rPr>
          <w:sz w:val="20"/>
        </w:rPr>
        <w:t>@visc.gov.lv</w:t>
      </w:r>
    </w:p>
    <w:sectPr w:rsidR="007004FC" w:rsidRPr="00131FB7" w:rsidSect="00131FB7">
      <w:headerReference w:type="even" r:id="rId9"/>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E4" w:rsidRDefault="00045DE4">
      <w:r>
        <w:separator/>
      </w:r>
    </w:p>
  </w:endnote>
  <w:endnote w:type="continuationSeparator" w:id="0">
    <w:p w:rsidR="00045DE4" w:rsidRDefault="0004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A66ED1" w:rsidRDefault="001B1304" w:rsidP="0083284C">
    <w:pPr>
      <w:pStyle w:val="Footer"/>
      <w:jc w:val="both"/>
    </w:pPr>
    <w:r w:rsidRPr="001B1304">
      <w:rPr>
        <w:sz w:val="20"/>
      </w:rPr>
      <w:t>I</w:t>
    </w:r>
    <w:r w:rsidR="00F06973">
      <w:rPr>
        <w:sz w:val="20"/>
      </w:rPr>
      <w:t>ZMAnot_</w:t>
    </w:r>
    <w:r w:rsidR="002665BF">
      <w:rPr>
        <w:sz w:val="20"/>
      </w:rPr>
      <w:t>20</w:t>
    </w:r>
    <w:r w:rsidR="002D2434">
      <w:rPr>
        <w:sz w:val="20"/>
      </w:rPr>
      <w:t>08</w:t>
    </w:r>
    <w:r w:rsidRPr="001B1304">
      <w:rPr>
        <w:sz w:val="20"/>
      </w:rPr>
      <w:t>15_starptautparb; Ministru kabineta noteikumu projekta "</w:t>
    </w:r>
    <w:r w:rsidR="00712159" w:rsidRPr="00712159">
      <w:rPr>
        <w:sz w:val="20"/>
      </w:rPr>
      <w:t>Noteikumi par svešvalodas centralizētā eksāmena vispārējās vidējās izglītības programmā aizstāšanu ar</w:t>
    </w:r>
    <w:r w:rsidRPr="001B1304">
      <w:rPr>
        <w:sz w:val="20"/>
      </w:rPr>
      <w:t xml:space="preserve"> starptautiskas testēšanas institūcijas pārbaudījumu svešvalodā</w:t>
    </w:r>
    <w:r w:rsidR="00484844" w:rsidRPr="00E851D8">
      <w:rPr>
        <w:sz w:val="22"/>
      </w:rPr>
      <w:t>"</w:t>
    </w:r>
    <w:r w:rsidR="00484844" w:rsidRPr="0098534B">
      <w:rPr>
        <w:bCs/>
        <w:sz w:val="20"/>
      </w:rPr>
      <w:t xml:space="preserve"> </w:t>
    </w:r>
    <w:r w:rsidR="00484844" w:rsidRPr="00A66ED1">
      <w:rPr>
        <w:bCs/>
        <w:sz w:val="20"/>
      </w:rPr>
      <w:t xml:space="preserve">sākotnējās ietekmes novērtējuma </w:t>
    </w:r>
    <w:smartTag w:uri="schemas-tilde-lv/tildestengine" w:element="veidnes">
      <w:smartTagPr>
        <w:attr w:name="text" w:val="ziņojums"/>
        <w:attr w:name="baseform" w:val="ziņojums"/>
        <w:attr w:name="id" w:val="-1"/>
      </w:smartTagPr>
      <w:r w:rsidR="00484844" w:rsidRPr="00A66ED1">
        <w:rPr>
          <w:bCs/>
          <w:sz w:val="20"/>
        </w:rPr>
        <w:t>ziņojums</w:t>
      </w:r>
    </w:smartTag>
    <w:r w:rsidR="00484844" w:rsidRPr="00A66ED1">
      <w:rPr>
        <w:bCs/>
        <w:sz w:val="20"/>
      </w:rPr>
      <w:t xml:space="preserve"> (anotācija)</w:t>
    </w:r>
  </w:p>
  <w:p w:rsidR="00484844" w:rsidRPr="008C4716" w:rsidRDefault="00484844" w:rsidP="008C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A66ED1" w:rsidRDefault="00484844" w:rsidP="008C4716">
    <w:pPr>
      <w:pStyle w:val="Footer"/>
      <w:jc w:val="both"/>
    </w:pPr>
    <w:r w:rsidRPr="0098534B">
      <w:rPr>
        <w:sz w:val="20"/>
      </w:rPr>
      <w:t>IZMAnot_</w:t>
    </w:r>
    <w:r w:rsidR="002665BF">
      <w:rPr>
        <w:sz w:val="20"/>
      </w:rPr>
      <w:t>20</w:t>
    </w:r>
    <w:r w:rsidR="002D2434">
      <w:rPr>
        <w:sz w:val="20"/>
      </w:rPr>
      <w:t>08</w:t>
    </w:r>
    <w:r w:rsidR="000052C1">
      <w:rPr>
        <w:sz w:val="20"/>
      </w:rPr>
      <w:t>15</w:t>
    </w:r>
    <w:r w:rsidRPr="0098534B">
      <w:rPr>
        <w:sz w:val="20"/>
      </w:rPr>
      <w:t>_</w:t>
    </w:r>
    <w:r w:rsidR="00AC73FC">
      <w:rPr>
        <w:sz w:val="20"/>
      </w:rPr>
      <w:t>starptautparb</w:t>
    </w:r>
    <w:r w:rsidRPr="0098534B">
      <w:rPr>
        <w:sz w:val="20"/>
      </w:rPr>
      <w:t xml:space="preserve">; </w:t>
    </w:r>
    <w:r w:rsidRPr="0098534B">
      <w:rPr>
        <w:bCs/>
        <w:sz w:val="20"/>
      </w:rPr>
      <w:t xml:space="preserve">Ministru kabineta noteikumu </w:t>
    </w:r>
    <w:r>
      <w:rPr>
        <w:bCs/>
        <w:sz w:val="20"/>
      </w:rPr>
      <w:t xml:space="preserve">projekta </w:t>
    </w:r>
    <w:r w:rsidRPr="00E851D8">
      <w:rPr>
        <w:sz w:val="22"/>
      </w:rPr>
      <w:t>"</w:t>
    </w:r>
    <w:r w:rsidR="00712159" w:rsidRPr="00712159">
      <w:rPr>
        <w:bCs/>
        <w:sz w:val="20"/>
      </w:rPr>
      <w:t>Noteikumi par svešvalodas centralizētā eksāmena vispārējās vidējās izglītības programmā aizstāšanu ar</w:t>
    </w:r>
    <w:r w:rsidR="00AC73FC">
      <w:rPr>
        <w:bCs/>
        <w:sz w:val="20"/>
      </w:rPr>
      <w:t xml:space="preserve"> starptautiskas testēšanas institūcijas pārbaudījumu svešvalodā</w:t>
    </w:r>
    <w:r w:rsidRPr="00E851D8">
      <w:rPr>
        <w:sz w:val="22"/>
      </w:rPr>
      <w:t>"</w:t>
    </w:r>
    <w:r w:rsidRPr="0098534B">
      <w:rPr>
        <w:bCs/>
        <w:sz w:val="20"/>
      </w:rPr>
      <w:t xml:space="preserve"> </w:t>
    </w:r>
    <w:r w:rsidRPr="00A66ED1">
      <w:rPr>
        <w:bCs/>
        <w:sz w:val="20"/>
      </w:rPr>
      <w:t xml:space="preserve">sākotnējās ietekmes novērtējuma </w:t>
    </w:r>
    <w:smartTag w:uri="schemas-tilde-lv/tildestengine" w:element="veidnes">
      <w:smartTagPr>
        <w:attr w:name="text" w:val="ziņojums"/>
        <w:attr w:name="baseform" w:val="ziņojums"/>
        <w:attr w:name="id" w:val="-1"/>
      </w:smartTagPr>
      <w:r w:rsidRPr="00A66ED1">
        <w:rPr>
          <w:bCs/>
          <w:sz w:val="20"/>
        </w:rPr>
        <w:t>ziņojums</w:t>
      </w:r>
    </w:smartTag>
    <w:r w:rsidRPr="00A66ED1">
      <w:rPr>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E4" w:rsidRDefault="00045DE4">
      <w:r>
        <w:separator/>
      </w:r>
    </w:p>
  </w:footnote>
  <w:footnote w:type="continuationSeparator" w:id="0">
    <w:p w:rsidR="00045DE4" w:rsidRDefault="00045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Default="00484844"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844" w:rsidRDefault="00484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DB073B" w:rsidRDefault="00484844"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2665BF">
      <w:rPr>
        <w:rStyle w:val="PageNumber"/>
        <w:noProof/>
        <w:sz w:val="20"/>
        <w:szCs w:val="20"/>
      </w:rPr>
      <w:t>6</w:t>
    </w:r>
    <w:r w:rsidRPr="00DB073B">
      <w:rPr>
        <w:rStyle w:val="PageNumber"/>
        <w:sz w:val="20"/>
        <w:szCs w:val="20"/>
      </w:rPr>
      <w:fldChar w:fldCharType="end"/>
    </w:r>
  </w:p>
  <w:p w:rsidR="00484844" w:rsidRDefault="00484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56F0F02"/>
    <w:multiLevelType w:val="hybridMultilevel"/>
    <w:tmpl w:val="008EAC66"/>
    <w:lvl w:ilvl="0" w:tplc="51C08FB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6487C6A"/>
    <w:multiLevelType w:val="hybridMultilevel"/>
    <w:tmpl w:val="90A219A8"/>
    <w:lvl w:ilvl="0" w:tplc="E6468E7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5F4C215A"/>
    <w:multiLevelType w:val="hybridMultilevel"/>
    <w:tmpl w:val="73F4DFEA"/>
    <w:lvl w:ilvl="0" w:tplc="55422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4"/>
  </w:num>
  <w:num w:numId="3">
    <w:abstractNumId w:val="3"/>
  </w:num>
  <w:num w:numId="4">
    <w:abstractNumId w:val="1"/>
  </w:num>
  <w:num w:numId="5">
    <w:abstractNumId w:val="0"/>
  </w:num>
  <w:num w:numId="6">
    <w:abstractNumId w:val="10"/>
  </w:num>
  <w:num w:numId="7">
    <w:abstractNumId w:val="15"/>
  </w:num>
  <w:num w:numId="8">
    <w:abstractNumId w:val="7"/>
  </w:num>
  <w:num w:numId="9">
    <w:abstractNumId w:val="2"/>
  </w:num>
  <w:num w:numId="10">
    <w:abstractNumId w:val="8"/>
  </w:num>
  <w:num w:numId="11">
    <w:abstractNumId w:val="9"/>
  </w:num>
  <w:num w:numId="12">
    <w:abstractNumId w:val="11"/>
  </w:num>
  <w:num w:numId="13">
    <w:abstractNumId w:val="12"/>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17A"/>
    <w:rsid w:val="00001563"/>
    <w:rsid w:val="000052C1"/>
    <w:rsid w:val="00005F70"/>
    <w:rsid w:val="00010ECB"/>
    <w:rsid w:val="00011D24"/>
    <w:rsid w:val="00013FF4"/>
    <w:rsid w:val="00020850"/>
    <w:rsid w:val="00020FE1"/>
    <w:rsid w:val="00022E13"/>
    <w:rsid w:val="0002628A"/>
    <w:rsid w:val="00032388"/>
    <w:rsid w:val="000343AF"/>
    <w:rsid w:val="00035CE2"/>
    <w:rsid w:val="000424B3"/>
    <w:rsid w:val="00045DE4"/>
    <w:rsid w:val="000554E4"/>
    <w:rsid w:val="0005553B"/>
    <w:rsid w:val="000604D2"/>
    <w:rsid w:val="00067A7D"/>
    <w:rsid w:val="00073C64"/>
    <w:rsid w:val="0007505A"/>
    <w:rsid w:val="000750FA"/>
    <w:rsid w:val="00077886"/>
    <w:rsid w:val="00082A68"/>
    <w:rsid w:val="00083D39"/>
    <w:rsid w:val="00085229"/>
    <w:rsid w:val="0009005E"/>
    <w:rsid w:val="00092888"/>
    <w:rsid w:val="00092AEE"/>
    <w:rsid w:val="00093665"/>
    <w:rsid w:val="00095C35"/>
    <w:rsid w:val="000A6451"/>
    <w:rsid w:val="000B064E"/>
    <w:rsid w:val="000B119B"/>
    <w:rsid w:val="000B315C"/>
    <w:rsid w:val="000B69CF"/>
    <w:rsid w:val="000C0C20"/>
    <w:rsid w:val="000C2424"/>
    <w:rsid w:val="000C49E9"/>
    <w:rsid w:val="000C790C"/>
    <w:rsid w:val="000D0918"/>
    <w:rsid w:val="000D1F10"/>
    <w:rsid w:val="000D31E7"/>
    <w:rsid w:val="000D6A77"/>
    <w:rsid w:val="000D7439"/>
    <w:rsid w:val="000F061D"/>
    <w:rsid w:val="000F7140"/>
    <w:rsid w:val="00100D77"/>
    <w:rsid w:val="001143CB"/>
    <w:rsid w:val="00120032"/>
    <w:rsid w:val="00124616"/>
    <w:rsid w:val="00124F12"/>
    <w:rsid w:val="00131FB7"/>
    <w:rsid w:val="001327A3"/>
    <w:rsid w:val="00135FC0"/>
    <w:rsid w:val="00143726"/>
    <w:rsid w:val="00144E3A"/>
    <w:rsid w:val="001461F6"/>
    <w:rsid w:val="00147D07"/>
    <w:rsid w:val="0015060C"/>
    <w:rsid w:val="001519B1"/>
    <w:rsid w:val="0016018A"/>
    <w:rsid w:val="00161F0E"/>
    <w:rsid w:val="00162549"/>
    <w:rsid w:val="001636A3"/>
    <w:rsid w:val="0016759B"/>
    <w:rsid w:val="00170E2A"/>
    <w:rsid w:val="00171EE9"/>
    <w:rsid w:val="00174DAA"/>
    <w:rsid w:val="001753A9"/>
    <w:rsid w:val="00175774"/>
    <w:rsid w:val="00176798"/>
    <w:rsid w:val="001814C0"/>
    <w:rsid w:val="001823CB"/>
    <w:rsid w:val="00183CC2"/>
    <w:rsid w:val="00187B0C"/>
    <w:rsid w:val="001900E4"/>
    <w:rsid w:val="00190F88"/>
    <w:rsid w:val="0019530E"/>
    <w:rsid w:val="001A4066"/>
    <w:rsid w:val="001A496A"/>
    <w:rsid w:val="001A6AE4"/>
    <w:rsid w:val="001A6DE9"/>
    <w:rsid w:val="001B01FD"/>
    <w:rsid w:val="001B1304"/>
    <w:rsid w:val="001B4A71"/>
    <w:rsid w:val="001C1A00"/>
    <w:rsid w:val="001C26C7"/>
    <w:rsid w:val="001C3573"/>
    <w:rsid w:val="001C7F17"/>
    <w:rsid w:val="001D1402"/>
    <w:rsid w:val="001D20D8"/>
    <w:rsid w:val="001D2F45"/>
    <w:rsid w:val="001D5B54"/>
    <w:rsid w:val="001D74E4"/>
    <w:rsid w:val="001E1DBF"/>
    <w:rsid w:val="001E2700"/>
    <w:rsid w:val="001E2EA4"/>
    <w:rsid w:val="001E4639"/>
    <w:rsid w:val="001E4A7D"/>
    <w:rsid w:val="001F1191"/>
    <w:rsid w:val="001F43A8"/>
    <w:rsid w:val="001F5CD6"/>
    <w:rsid w:val="001F7784"/>
    <w:rsid w:val="00200ECB"/>
    <w:rsid w:val="00203697"/>
    <w:rsid w:val="00203C55"/>
    <w:rsid w:val="0020621D"/>
    <w:rsid w:val="00206D21"/>
    <w:rsid w:val="0021068D"/>
    <w:rsid w:val="0021263D"/>
    <w:rsid w:val="00213F0C"/>
    <w:rsid w:val="0021592D"/>
    <w:rsid w:val="00220E01"/>
    <w:rsid w:val="00221DF5"/>
    <w:rsid w:val="00222D76"/>
    <w:rsid w:val="00223EB1"/>
    <w:rsid w:val="002253D9"/>
    <w:rsid w:val="00231344"/>
    <w:rsid w:val="00231778"/>
    <w:rsid w:val="002336C6"/>
    <w:rsid w:val="00233AF6"/>
    <w:rsid w:val="0023436E"/>
    <w:rsid w:val="002347C0"/>
    <w:rsid w:val="0023724B"/>
    <w:rsid w:val="00241A6C"/>
    <w:rsid w:val="00242D2B"/>
    <w:rsid w:val="00245806"/>
    <w:rsid w:val="00246F2B"/>
    <w:rsid w:val="002476DF"/>
    <w:rsid w:val="0025336B"/>
    <w:rsid w:val="00262E2B"/>
    <w:rsid w:val="002665BF"/>
    <w:rsid w:val="00267C98"/>
    <w:rsid w:val="00270429"/>
    <w:rsid w:val="00270A8D"/>
    <w:rsid w:val="002723E9"/>
    <w:rsid w:val="00277929"/>
    <w:rsid w:val="00283B82"/>
    <w:rsid w:val="002846E9"/>
    <w:rsid w:val="00284C34"/>
    <w:rsid w:val="0029066C"/>
    <w:rsid w:val="002951CA"/>
    <w:rsid w:val="0029712C"/>
    <w:rsid w:val="002A0790"/>
    <w:rsid w:val="002A10BF"/>
    <w:rsid w:val="002A6519"/>
    <w:rsid w:val="002B3EB8"/>
    <w:rsid w:val="002B50DB"/>
    <w:rsid w:val="002B5AF3"/>
    <w:rsid w:val="002C12AB"/>
    <w:rsid w:val="002C1D08"/>
    <w:rsid w:val="002C20C1"/>
    <w:rsid w:val="002C4061"/>
    <w:rsid w:val="002C503F"/>
    <w:rsid w:val="002C78A4"/>
    <w:rsid w:val="002C7CAC"/>
    <w:rsid w:val="002D1ACD"/>
    <w:rsid w:val="002D2434"/>
    <w:rsid w:val="002D3306"/>
    <w:rsid w:val="002D48AA"/>
    <w:rsid w:val="002D63EA"/>
    <w:rsid w:val="002D7BAA"/>
    <w:rsid w:val="002D7F54"/>
    <w:rsid w:val="002E3FF4"/>
    <w:rsid w:val="002E5985"/>
    <w:rsid w:val="002F0389"/>
    <w:rsid w:val="002F0B56"/>
    <w:rsid w:val="002F3C39"/>
    <w:rsid w:val="002F5A00"/>
    <w:rsid w:val="002F6299"/>
    <w:rsid w:val="002F78C8"/>
    <w:rsid w:val="00301B6E"/>
    <w:rsid w:val="00301CF3"/>
    <w:rsid w:val="0030528E"/>
    <w:rsid w:val="00320C98"/>
    <w:rsid w:val="00321514"/>
    <w:rsid w:val="00325CD0"/>
    <w:rsid w:val="0032715C"/>
    <w:rsid w:val="003334B7"/>
    <w:rsid w:val="00337CA5"/>
    <w:rsid w:val="003530FF"/>
    <w:rsid w:val="00356E56"/>
    <w:rsid w:val="00357531"/>
    <w:rsid w:val="00357E47"/>
    <w:rsid w:val="00362478"/>
    <w:rsid w:val="003658EC"/>
    <w:rsid w:val="003717D5"/>
    <w:rsid w:val="003734EA"/>
    <w:rsid w:val="00373613"/>
    <w:rsid w:val="00375B25"/>
    <w:rsid w:val="00381144"/>
    <w:rsid w:val="00382242"/>
    <w:rsid w:val="00382829"/>
    <w:rsid w:val="00382EB2"/>
    <w:rsid w:val="003832EC"/>
    <w:rsid w:val="00392B1D"/>
    <w:rsid w:val="003937F5"/>
    <w:rsid w:val="00394DC8"/>
    <w:rsid w:val="00396542"/>
    <w:rsid w:val="0039685B"/>
    <w:rsid w:val="003A1BBD"/>
    <w:rsid w:val="003A4BA0"/>
    <w:rsid w:val="003A5E20"/>
    <w:rsid w:val="003A6B38"/>
    <w:rsid w:val="003A7661"/>
    <w:rsid w:val="003A7F0C"/>
    <w:rsid w:val="003A7F79"/>
    <w:rsid w:val="003B2A69"/>
    <w:rsid w:val="003B2B30"/>
    <w:rsid w:val="003B6404"/>
    <w:rsid w:val="003C25FB"/>
    <w:rsid w:val="003C2E09"/>
    <w:rsid w:val="003D081D"/>
    <w:rsid w:val="003D0C44"/>
    <w:rsid w:val="003D21FF"/>
    <w:rsid w:val="003D30F1"/>
    <w:rsid w:val="003D60EE"/>
    <w:rsid w:val="003D612A"/>
    <w:rsid w:val="003D7069"/>
    <w:rsid w:val="003E2374"/>
    <w:rsid w:val="003F0112"/>
    <w:rsid w:val="003F071A"/>
    <w:rsid w:val="003F160B"/>
    <w:rsid w:val="003F3D43"/>
    <w:rsid w:val="003F77E7"/>
    <w:rsid w:val="00400032"/>
    <w:rsid w:val="00400919"/>
    <w:rsid w:val="00400B5B"/>
    <w:rsid w:val="00401BA1"/>
    <w:rsid w:val="00404BD7"/>
    <w:rsid w:val="00405A00"/>
    <w:rsid w:val="00407105"/>
    <w:rsid w:val="004106A0"/>
    <w:rsid w:val="00410DA3"/>
    <w:rsid w:val="0041798D"/>
    <w:rsid w:val="00420870"/>
    <w:rsid w:val="00421CBA"/>
    <w:rsid w:val="00421EF3"/>
    <w:rsid w:val="004256C5"/>
    <w:rsid w:val="00435535"/>
    <w:rsid w:val="00441483"/>
    <w:rsid w:val="00441BCB"/>
    <w:rsid w:val="004443F9"/>
    <w:rsid w:val="004456E6"/>
    <w:rsid w:val="00446EF0"/>
    <w:rsid w:val="004470EE"/>
    <w:rsid w:val="004477D8"/>
    <w:rsid w:val="0045176A"/>
    <w:rsid w:val="00452AEF"/>
    <w:rsid w:val="00453A9D"/>
    <w:rsid w:val="00456332"/>
    <w:rsid w:val="00460EBD"/>
    <w:rsid w:val="00461502"/>
    <w:rsid w:val="00461A90"/>
    <w:rsid w:val="00464BAD"/>
    <w:rsid w:val="004663EF"/>
    <w:rsid w:val="00467F81"/>
    <w:rsid w:val="00471777"/>
    <w:rsid w:val="00474591"/>
    <w:rsid w:val="00476A70"/>
    <w:rsid w:val="004800F9"/>
    <w:rsid w:val="004827CA"/>
    <w:rsid w:val="00483258"/>
    <w:rsid w:val="00484844"/>
    <w:rsid w:val="0049134A"/>
    <w:rsid w:val="004A1B91"/>
    <w:rsid w:val="004A3741"/>
    <w:rsid w:val="004A58CB"/>
    <w:rsid w:val="004B131B"/>
    <w:rsid w:val="004B1795"/>
    <w:rsid w:val="004B3B8D"/>
    <w:rsid w:val="004B56DD"/>
    <w:rsid w:val="004C1AFD"/>
    <w:rsid w:val="004C2BEE"/>
    <w:rsid w:val="004C522D"/>
    <w:rsid w:val="004C558B"/>
    <w:rsid w:val="004C786C"/>
    <w:rsid w:val="004D47AF"/>
    <w:rsid w:val="004E01ED"/>
    <w:rsid w:val="004E190B"/>
    <w:rsid w:val="004F1F88"/>
    <w:rsid w:val="004F3C92"/>
    <w:rsid w:val="004F5F1B"/>
    <w:rsid w:val="004F73F1"/>
    <w:rsid w:val="00502374"/>
    <w:rsid w:val="00503408"/>
    <w:rsid w:val="00503FAE"/>
    <w:rsid w:val="00510F5D"/>
    <w:rsid w:val="005112F7"/>
    <w:rsid w:val="0051503E"/>
    <w:rsid w:val="00516072"/>
    <w:rsid w:val="00523F98"/>
    <w:rsid w:val="00531FA2"/>
    <w:rsid w:val="005332EC"/>
    <w:rsid w:val="00534418"/>
    <w:rsid w:val="005353AB"/>
    <w:rsid w:val="00535E25"/>
    <w:rsid w:val="00546FE6"/>
    <w:rsid w:val="00553B7B"/>
    <w:rsid w:val="0055422F"/>
    <w:rsid w:val="005560BC"/>
    <w:rsid w:val="005573BE"/>
    <w:rsid w:val="00567355"/>
    <w:rsid w:val="005716C9"/>
    <w:rsid w:val="00571B13"/>
    <w:rsid w:val="00572700"/>
    <w:rsid w:val="00574450"/>
    <w:rsid w:val="00576587"/>
    <w:rsid w:val="00576859"/>
    <w:rsid w:val="00580468"/>
    <w:rsid w:val="0058156E"/>
    <w:rsid w:val="005834AC"/>
    <w:rsid w:val="00585C44"/>
    <w:rsid w:val="0058603B"/>
    <w:rsid w:val="00586422"/>
    <w:rsid w:val="0059431B"/>
    <w:rsid w:val="00596202"/>
    <w:rsid w:val="005976F0"/>
    <w:rsid w:val="005A34CD"/>
    <w:rsid w:val="005A39CC"/>
    <w:rsid w:val="005A43E4"/>
    <w:rsid w:val="005A6EF5"/>
    <w:rsid w:val="005B3406"/>
    <w:rsid w:val="005B4730"/>
    <w:rsid w:val="005C5AA6"/>
    <w:rsid w:val="005D265C"/>
    <w:rsid w:val="005E05D7"/>
    <w:rsid w:val="005E41E7"/>
    <w:rsid w:val="005E450F"/>
    <w:rsid w:val="005E4FB9"/>
    <w:rsid w:val="005E6091"/>
    <w:rsid w:val="00601AB5"/>
    <w:rsid w:val="00603F42"/>
    <w:rsid w:val="00613F77"/>
    <w:rsid w:val="00614A43"/>
    <w:rsid w:val="00617F4C"/>
    <w:rsid w:val="0062298A"/>
    <w:rsid w:val="00626514"/>
    <w:rsid w:val="00626589"/>
    <w:rsid w:val="006339A0"/>
    <w:rsid w:val="006362E0"/>
    <w:rsid w:val="006413A8"/>
    <w:rsid w:val="00641527"/>
    <w:rsid w:val="00642E56"/>
    <w:rsid w:val="00644619"/>
    <w:rsid w:val="00651E00"/>
    <w:rsid w:val="0066109D"/>
    <w:rsid w:val="00665335"/>
    <w:rsid w:val="00672721"/>
    <w:rsid w:val="00674572"/>
    <w:rsid w:val="00674DC0"/>
    <w:rsid w:val="00676540"/>
    <w:rsid w:val="00687763"/>
    <w:rsid w:val="00687E3D"/>
    <w:rsid w:val="0069120D"/>
    <w:rsid w:val="00692B0D"/>
    <w:rsid w:val="00693334"/>
    <w:rsid w:val="00693E0E"/>
    <w:rsid w:val="006A1AE3"/>
    <w:rsid w:val="006A26C1"/>
    <w:rsid w:val="006A50FA"/>
    <w:rsid w:val="006A7DB6"/>
    <w:rsid w:val="006B09FD"/>
    <w:rsid w:val="006B3A07"/>
    <w:rsid w:val="006C30E1"/>
    <w:rsid w:val="006D04BD"/>
    <w:rsid w:val="006D35B3"/>
    <w:rsid w:val="006D48F1"/>
    <w:rsid w:val="006D63B4"/>
    <w:rsid w:val="006E13AB"/>
    <w:rsid w:val="006E16A6"/>
    <w:rsid w:val="006E375B"/>
    <w:rsid w:val="006E44AC"/>
    <w:rsid w:val="006E61E0"/>
    <w:rsid w:val="006E75FA"/>
    <w:rsid w:val="006E78FB"/>
    <w:rsid w:val="006F45BE"/>
    <w:rsid w:val="006F7FC5"/>
    <w:rsid w:val="007004FC"/>
    <w:rsid w:val="007047DE"/>
    <w:rsid w:val="00706670"/>
    <w:rsid w:val="00712159"/>
    <w:rsid w:val="00714A1A"/>
    <w:rsid w:val="007154FD"/>
    <w:rsid w:val="00717124"/>
    <w:rsid w:val="007229CA"/>
    <w:rsid w:val="0072417C"/>
    <w:rsid w:val="00725983"/>
    <w:rsid w:val="00734450"/>
    <w:rsid w:val="00741F3D"/>
    <w:rsid w:val="00744F3C"/>
    <w:rsid w:val="00745F67"/>
    <w:rsid w:val="00751BA5"/>
    <w:rsid w:val="00752D9D"/>
    <w:rsid w:val="00754784"/>
    <w:rsid w:val="00756D14"/>
    <w:rsid w:val="00757C6E"/>
    <w:rsid w:val="00762BDA"/>
    <w:rsid w:val="00762F0A"/>
    <w:rsid w:val="00764616"/>
    <w:rsid w:val="007665E6"/>
    <w:rsid w:val="007667A0"/>
    <w:rsid w:val="0076724B"/>
    <w:rsid w:val="00767B89"/>
    <w:rsid w:val="00773254"/>
    <w:rsid w:val="00773D6A"/>
    <w:rsid w:val="00775D0E"/>
    <w:rsid w:val="00777AE9"/>
    <w:rsid w:val="007805FD"/>
    <w:rsid w:val="00784422"/>
    <w:rsid w:val="007852C1"/>
    <w:rsid w:val="00785E68"/>
    <w:rsid w:val="007901BC"/>
    <w:rsid w:val="00795A39"/>
    <w:rsid w:val="007B223A"/>
    <w:rsid w:val="007B2DFB"/>
    <w:rsid w:val="007B3B54"/>
    <w:rsid w:val="007B3FA0"/>
    <w:rsid w:val="007B566B"/>
    <w:rsid w:val="007B7715"/>
    <w:rsid w:val="007C0BCE"/>
    <w:rsid w:val="007C2BCC"/>
    <w:rsid w:val="007C4EF0"/>
    <w:rsid w:val="007D0D43"/>
    <w:rsid w:val="007D15AF"/>
    <w:rsid w:val="007E0B35"/>
    <w:rsid w:val="007E2664"/>
    <w:rsid w:val="007E3ABF"/>
    <w:rsid w:val="007E3D9C"/>
    <w:rsid w:val="007E42F7"/>
    <w:rsid w:val="007E5294"/>
    <w:rsid w:val="007E532B"/>
    <w:rsid w:val="007E5BFA"/>
    <w:rsid w:val="007E6689"/>
    <w:rsid w:val="007E731C"/>
    <w:rsid w:val="007F0A03"/>
    <w:rsid w:val="007F0FE7"/>
    <w:rsid w:val="007F1E7E"/>
    <w:rsid w:val="007F7B3D"/>
    <w:rsid w:val="00800524"/>
    <w:rsid w:val="008019BF"/>
    <w:rsid w:val="00801E30"/>
    <w:rsid w:val="0080366A"/>
    <w:rsid w:val="00805381"/>
    <w:rsid w:val="0080767B"/>
    <w:rsid w:val="00810040"/>
    <w:rsid w:val="0082023A"/>
    <w:rsid w:val="00821A7A"/>
    <w:rsid w:val="00824CD2"/>
    <w:rsid w:val="008253F8"/>
    <w:rsid w:val="0083284C"/>
    <w:rsid w:val="00832A2B"/>
    <w:rsid w:val="00837259"/>
    <w:rsid w:val="008416A0"/>
    <w:rsid w:val="00843F41"/>
    <w:rsid w:val="00846994"/>
    <w:rsid w:val="00847688"/>
    <w:rsid w:val="00850451"/>
    <w:rsid w:val="008519C9"/>
    <w:rsid w:val="00852042"/>
    <w:rsid w:val="008534C9"/>
    <w:rsid w:val="00853881"/>
    <w:rsid w:val="0085599D"/>
    <w:rsid w:val="00862163"/>
    <w:rsid w:val="00863635"/>
    <w:rsid w:val="00864B7F"/>
    <w:rsid w:val="008665D6"/>
    <w:rsid w:val="00866D72"/>
    <w:rsid w:val="0087510C"/>
    <w:rsid w:val="008802D5"/>
    <w:rsid w:val="0088077C"/>
    <w:rsid w:val="00882DFF"/>
    <w:rsid w:val="008835D0"/>
    <w:rsid w:val="008839C9"/>
    <w:rsid w:val="00885A18"/>
    <w:rsid w:val="0089484C"/>
    <w:rsid w:val="0089738E"/>
    <w:rsid w:val="008A2DBA"/>
    <w:rsid w:val="008A75A0"/>
    <w:rsid w:val="008A7C8D"/>
    <w:rsid w:val="008B0D79"/>
    <w:rsid w:val="008B3774"/>
    <w:rsid w:val="008B5FDB"/>
    <w:rsid w:val="008B66D2"/>
    <w:rsid w:val="008C38AF"/>
    <w:rsid w:val="008C4716"/>
    <w:rsid w:val="008C5649"/>
    <w:rsid w:val="008E22BA"/>
    <w:rsid w:val="008E307C"/>
    <w:rsid w:val="008E44A2"/>
    <w:rsid w:val="008E4814"/>
    <w:rsid w:val="008E56A2"/>
    <w:rsid w:val="008E697D"/>
    <w:rsid w:val="008E70DC"/>
    <w:rsid w:val="008F6FE1"/>
    <w:rsid w:val="00903263"/>
    <w:rsid w:val="00905A2C"/>
    <w:rsid w:val="00906A21"/>
    <w:rsid w:val="009079C3"/>
    <w:rsid w:val="00910462"/>
    <w:rsid w:val="009141A8"/>
    <w:rsid w:val="00915AB1"/>
    <w:rsid w:val="00917532"/>
    <w:rsid w:val="009235BA"/>
    <w:rsid w:val="00924CE2"/>
    <w:rsid w:val="00925B9F"/>
    <w:rsid w:val="00930A9D"/>
    <w:rsid w:val="00931AED"/>
    <w:rsid w:val="009407FD"/>
    <w:rsid w:val="00944324"/>
    <w:rsid w:val="00945994"/>
    <w:rsid w:val="00946B98"/>
    <w:rsid w:val="009476A3"/>
    <w:rsid w:val="00951F3B"/>
    <w:rsid w:val="0095334F"/>
    <w:rsid w:val="00962BE5"/>
    <w:rsid w:val="009646BF"/>
    <w:rsid w:val="0096576A"/>
    <w:rsid w:val="00965897"/>
    <w:rsid w:val="0096765C"/>
    <w:rsid w:val="00970ED6"/>
    <w:rsid w:val="00971366"/>
    <w:rsid w:val="009727E4"/>
    <w:rsid w:val="00972B9E"/>
    <w:rsid w:val="00972EF8"/>
    <w:rsid w:val="00973B5D"/>
    <w:rsid w:val="00977809"/>
    <w:rsid w:val="009934C5"/>
    <w:rsid w:val="00993CB2"/>
    <w:rsid w:val="00994C0F"/>
    <w:rsid w:val="0099616B"/>
    <w:rsid w:val="009A02B4"/>
    <w:rsid w:val="009A3A7B"/>
    <w:rsid w:val="009A57EE"/>
    <w:rsid w:val="009A6319"/>
    <w:rsid w:val="009B22D7"/>
    <w:rsid w:val="009B72ED"/>
    <w:rsid w:val="009C1220"/>
    <w:rsid w:val="009C34A9"/>
    <w:rsid w:val="009C59BB"/>
    <w:rsid w:val="009C6DEB"/>
    <w:rsid w:val="009C76B7"/>
    <w:rsid w:val="009D061B"/>
    <w:rsid w:val="009D6504"/>
    <w:rsid w:val="009E35FD"/>
    <w:rsid w:val="009E3C70"/>
    <w:rsid w:val="009E661A"/>
    <w:rsid w:val="009E6CF7"/>
    <w:rsid w:val="009F16DA"/>
    <w:rsid w:val="009F2968"/>
    <w:rsid w:val="00A007CC"/>
    <w:rsid w:val="00A0164D"/>
    <w:rsid w:val="00A05283"/>
    <w:rsid w:val="00A06781"/>
    <w:rsid w:val="00A06D04"/>
    <w:rsid w:val="00A107AE"/>
    <w:rsid w:val="00A126BE"/>
    <w:rsid w:val="00A12BEE"/>
    <w:rsid w:val="00A1509C"/>
    <w:rsid w:val="00A22D14"/>
    <w:rsid w:val="00A26A6C"/>
    <w:rsid w:val="00A2753A"/>
    <w:rsid w:val="00A307BD"/>
    <w:rsid w:val="00A308B1"/>
    <w:rsid w:val="00A34260"/>
    <w:rsid w:val="00A36959"/>
    <w:rsid w:val="00A36FD9"/>
    <w:rsid w:val="00A37674"/>
    <w:rsid w:val="00A400E9"/>
    <w:rsid w:val="00A47EE2"/>
    <w:rsid w:val="00A51A58"/>
    <w:rsid w:val="00A52D90"/>
    <w:rsid w:val="00A544DA"/>
    <w:rsid w:val="00A60E48"/>
    <w:rsid w:val="00A6618C"/>
    <w:rsid w:val="00A66ED1"/>
    <w:rsid w:val="00A701E0"/>
    <w:rsid w:val="00A70CFD"/>
    <w:rsid w:val="00A72A0B"/>
    <w:rsid w:val="00A7496C"/>
    <w:rsid w:val="00A75706"/>
    <w:rsid w:val="00A81D65"/>
    <w:rsid w:val="00A81E42"/>
    <w:rsid w:val="00A84860"/>
    <w:rsid w:val="00A864FE"/>
    <w:rsid w:val="00A86F41"/>
    <w:rsid w:val="00A87809"/>
    <w:rsid w:val="00A87D04"/>
    <w:rsid w:val="00A950C5"/>
    <w:rsid w:val="00AA1D25"/>
    <w:rsid w:val="00AA2D36"/>
    <w:rsid w:val="00AB2B1A"/>
    <w:rsid w:val="00AB397F"/>
    <w:rsid w:val="00AB46EF"/>
    <w:rsid w:val="00AB5832"/>
    <w:rsid w:val="00AC0B86"/>
    <w:rsid w:val="00AC1091"/>
    <w:rsid w:val="00AC2EA6"/>
    <w:rsid w:val="00AC51F2"/>
    <w:rsid w:val="00AC55E5"/>
    <w:rsid w:val="00AC58EB"/>
    <w:rsid w:val="00AC73FC"/>
    <w:rsid w:val="00AC7598"/>
    <w:rsid w:val="00AC7D0F"/>
    <w:rsid w:val="00AD2E02"/>
    <w:rsid w:val="00AD367C"/>
    <w:rsid w:val="00AE0512"/>
    <w:rsid w:val="00AE5066"/>
    <w:rsid w:val="00AE5E24"/>
    <w:rsid w:val="00AE61B7"/>
    <w:rsid w:val="00AE6CBA"/>
    <w:rsid w:val="00AE79AD"/>
    <w:rsid w:val="00AF0071"/>
    <w:rsid w:val="00AF35E4"/>
    <w:rsid w:val="00AF5CDE"/>
    <w:rsid w:val="00B0124E"/>
    <w:rsid w:val="00B012CE"/>
    <w:rsid w:val="00B06652"/>
    <w:rsid w:val="00B0687A"/>
    <w:rsid w:val="00B11A57"/>
    <w:rsid w:val="00B12204"/>
    <w:rsid w:val="00B12A2C"/>
    <w:rsid w:val="00B131C7"/>
    <w:rsid w:val="00B25597"/>
    <w:rsid w:val="00B266B8"/>
    <w:rsid w:val="00B267B9"/>
    <w:rsid w:val="00B33E09"/>
    <w:rsid w:val="00B4519B"/>
    <w:rsid w:val="00B46B85"/>
    <w:rsid w:val="00B50708"/>
    <w:rsid w:val="00B50C68"/>
    <w:rsid w:val="00B51293"/>
    <w:rsid w:val="00B52B1E"/>
    <w:rsid w:val="00B53511"/>
    <w:rsid w:val="00B55481"/>
    <w:rsid w:val="00B56959"/>
    <w:rsid w:val="00B56C32"/>
    <w:rsid w:val="00B57ACF"/>
    <w:rsid w:val="00B6049C"/>
    <w:rsid w:val="00B617AB"/>
    <w:rsid w:val="00B64BB1"/>
    <w:rsid w:val="00B73166"/>
    <w:rsid w:val="00B75398"/>
    <w:rsid w:val="00B77130"/>
    <w:rsid w:val="00B773BE"/>
    <w:rsid w:val="00B81599"/>
    <w:rsid w:val="00B8426C"/>
    <w:rsid w:val="00B91AD2"/>
    <w:rsid w:val="00B91B8D"/>
    <w:rsid w:val="00B94E90"/>
    <w:rsid w:val="00B96755"/>
    <w:rsid w:val="00B97419"/>
    <w:rsid w:val="00B97BFA"/>
    <w:rsid w:val="00BA004E"/>
    <w:rsid w:val="00BA2C66"/>
    <w:rsid w:val="00BB0912"/>
    <w:rsid w:val="00BB0A82"/>
    <w:rsid w:val="00BB5DDD"/>
    <w:rsid w:val="00BB7C94"/>
    <w:rsid w:val="00BC0A9D"/>
    <w:rsid w:val="00BC61E8"/>
    <w:rsid w:val="00BC7F00"/>
    <w:rsid w:val="00BD1D1F"/>
    <w:rsid w:val="00BD2CD2"/>
    <w:rsid w:val="00BD760A"/>
    <w:rsid w:val="00BE52A8"/>
    <w:rsid w:val="00BE7306"/>
    <w:rsid w:val="00BF49A2"/>
    <w:rsid w:val="00BF4D75"/>
    <w:rsid w:val="00BF5BC2"/>
    <w:rsid w:val="00BF675A"/>
    <w:rsid w:val="00C01704"/>
    <w:rsid w:val="00C042D8"/>
    <w:rsid w:val="00C04D98"/>
    <w:rsid w:val="00C1133D"/>
    <w:rsid w:val="00C14217"/>
    <w:rsid w:val="00C15BC2"/>
    <w:rsid w:val="00C17411"/>
    <w:rsid w:val="00C177C5"/>
    <w:rsid w:val="00C227CA"/>
    <w:rsid w:val="00C2295B"/>
    <w:rsid w:val="00C26EA6"/>
    <w:rsid w:val="00C27A08"/>
    <w:rsid w:val="00C303A0"/>
    <w:rsid w:val="00C31312"/>
    <w:rsid w:val="00C326C6"/>
    <w:rsid w:val="00C35295"/>
    <w:rsid w:val="00C35D4E"/>
    <w:rsid w:val="00C36ADD"/>
    <w:rsid w:val="00C36E74"/>
    <w:rsid w:val="00C40595"/>
    <w:rsid w:val="00C41621"/>
    <w:rsid w:val="00C449FA"/>
    <w:rsid w:val="00C50132"/>
    <w:rsid w:val="00C5384F"/>
    <w:rsid w:val="00C54F8E"/>
    <w:rsid w:val="00C56964"/>
    <w:rsid w:val="00C57176"/>
    <w:rsid w:val="00C576A7"/>
    <w:rsid w:val="00C603D6"/>
    <w:rsid w:val="00C650ED"/>
    <w:rsid w:val="00C656D5"/>
    <w:rsid w:val="00C67103"/>
    <w:rsid w:val="00C674D5"/>
    <w:rsid w:val="00C71BB9"/>
    <w:rsid w:val="00C8090B"/>
    <w:rsid w:val="00C8305A"/>
    <w:rsid w:val="00C84D99"/>
    <w:rsid w:val="00C85B02"/>
    <w:rsid w:val="00C875AD"/>
    <w:rsid w:val="00C93236"/>
    <w:rsid w:val="00C94C28"/>
    <w:rsid w:val="00C94DBA"/>
    <w:rsid w:val="00CA32A8"/>
    <w:rsid w:val="00CA4564"/>
    <w:rsid w:val="00CA752D"/>
    <w:rsid w:val="00CB0247"/>
    <w:rsid w:val="00CB2D01"/>
    <w:rsid w:val="00CB3440"/>
    <w:rsid w:val="00CB36ED"/>
    <w:rsid w:val="00CB5EE3"/>
    <w:rsid w:val="00CB77C9"/>
    <w:rsid w:val="00CC0652"/>
    <w:rsid w:val="00CC1692"/>
    <w:rsid w:val="00CC7199"/>
    <w:rsid w:val="00CD138B"/>
    <w:rsid w:val="00CD3E31"/>
    <w:rsid w:val="00CD74A3"/>
    <w:rsid w:val="00CE0527"/>
    <w:rsid w:val="00CE5B23"/>
    <w:rsid w:val="00CF70AD"/>
    <w:rsid w:val="00CF7729"/>
    <w:rsid w:val="00D03152"/>
    <w:rsid w:val="00D107FA"/>
    <w:rsid w:val="00D12275"/>
    <w:rsid w:val="00D12766"/>
    <w:rsid w:val="00D153C2"/>
    <w:rsid w:val="00D16F4F"/>
    <w:rsid w:val="00D20286"/>
    <w:rsid w:val="00D20FF4"/>
    <w:rsid w:val="00D24D2C"/>
    <w:rsid w:val="00D357EF"/>
    <w:rsid w:val="00D35881"/>
    <w:rsid w:val="00D3679E"/>
    <w:rsid w:val="00D37842"/>
    <w:rsid w:val="00D43C76"/>
    <w:rsid w:val="00D4606D"/>
    <w:rsid w:val="00D4639A"/>
    <w:rsid w:val="00D46966"/>
    <w:rsid w:val="00D506F1"/>
    <w:rsid w:val="00D50F65"/>
    <w:rsid w:val="00D51DDE"/>
    <w:rsid w:val="00D60692"/>
    <w:rsid w:val="00D73B41"/>
    <w:rsid w:val="00D751B3"/>
    <w:rsid w:val="00D752CB"/>
    <w:rsid w:val="00D964CB"/>
    <w:rsid w:val="00D97096"/>
    <w:rsid w:val="00DA1257"/>
    <w:rsid w:val="00DA7DA5"/>
    <w:rsid w:val="00DB073B"/>
    <w:rsid w:val="00DB674C"/>
    <w:rsid w:val="00DB78F0"/>
    <w:rsid w:val="00DC089C"/>
    <w:rsid w:val="00DC2E43"/>
    <w:rsid w:val="00DC7BAD"/>
    <w:rsid w:val="00DC7C2E"/>
    <w:rsid w:val="00DD095C"/>
    <w:rsid w:val="00DD1330"/>
    <w:rsid w:val="00DD4FD1"/>
    <w:rsid w:val="00DD5D73"/>
    <w:rsid w:val="00DE0931"/>
    <w:rsid w:val="00DE0932"/>
    <w:rsid w:val="00DE0B83"/>
    <w:rsid w:val="00DE1A81"/>
    <w:rsid w:val="00DE4E10"/>
    <w:rsid w:val="00DF23EC"/>
    <w:rsid w:val="00DF5D3D"/>
    <w:rsid w:val="00E02396"/>
    <w:rsid w:val="00E02ABF"/>
    <w:rsid w:val="00E053DB"/>
    <w:rsid w:val="00E07058"/>
    <w:rsid w:val="00E11F61"/>
    <w:rsid w:val="00E13A21"/>
    <w:rsid w:val="00E14995"/>
    <w:rsid w:val="00E17142"/>
    <w:rsid w:val="00E179CD"/>
    <w:rsid w:val="00E17C88"/>
    <w:rsid w:val="00E2345A"/>
    <w:rsid w:val="00E23550"/>
    <w:rsid w:val="00E23E8D"/>
    <w:rsid w:val="00E2600F"/>
    <w:rsid w:val="00E27440"/>
    <w:rsid w:val="00E27B3F"/>
    <w:rsid w:val="00E37F98"/>
    <w:rsid w:val="00E45B7A"/>
    <w:rsid w:val="00E46559"/>
    <w:rsid w:val="00E46676"/>
    <w:rsid w:val="00E5706C"/>
    <w:rsid w:val="00E57DE2"/>
    <w:rsid w:val="00E65F30"/>
    <w:rsid w:val="00E663AA"/>
    <w:rsid w:val="00E6670C"/>
    <w:rsid w:val="00E700B8"/>
    <w:rsid w:val="00E7180B"/>
    <w:rsid w:val="00E72176"/>
    <w:rsid w:val="00E7354E"/>
    <w:rsid w:val="00E743E6"/>
    <w:rsid w:val="00E74F91"/>
    <w:rsid w:val="00E75B59"/>
    <w:rsid w:val="00E75D8F"/>
    <w:rsid w:val="00E770DF"/>
    <w:rsid w:val="00E776E8"/>
    <w:rsid w:val="00E80E07"/>
    <w:rsid w:val="00E819ED"/>
    <w:rsid w:val="00E82F72"/>
    <w:rsid w:val="00E83F42"/>
    <w:rsid w:val="00E925A5"/>
    <w:rsid w:val="00E92C1F"/>
    <w:rsid w:val="00E94889"/>
    <w:rsid w:val="00E95D4B"/>
    <w:rsid w:val="00EA433A"/>
    <w:rsid w:val="00EB199F"/>
    <w:rsid w:val="00EB2F58"/>
    <w:rsid w:val="00EB35C7"/>
    <w:rsid w:val="00EC23F7"/>
    <w:rsid w:val="00EC4BD8"/>
    <w:rsid w:val="00EC4EC9"/>
    <w:rsid w:val="00EC63EB"/>
    <w:rsid w:val="00ED412F"/>
    <w:rsid w:val="00ED6286"/>
    <w:rsid w:val="00ED7C37"/>
    <w:rsid w:val="00EE0F9A"/>
    <w:rsid w:val="00EE7CA5"/>
    <w:rsid w:val="00EF36B2"/>
    <w:rsid w:val="00EF3D6E"/>
    <w:rsid w:val="00EF63ED"/>
    <w:rsid w:val="00F0014F"/>
    <w:rsid w:val="00F01501"/>
    <w:rsid w:val="00F06973"/>
    <w:rsid w:val="00F201EC"/>
    <w:rsid w:val="00F208A9"/>
    <w:rsid w:val="00F237C2"/>
    <w:rsid w:val="00F305CD"/>
    <w:rsid w:val="00F30DD6"/>
    <w:rsid w:val="00F31388"/>
    <w:rsid w:val="00F421FC"/>
    <w:rsid w:val="00F44EF1"/>
    <w:rsid w:val="00F628E2"/>
    <w:rsid w:val="00F652D2"/>
    <w:rsid w:val="00F72391"/>
    <w:rsid w:val="00F7454F"/>
    <w:rsid w:val="00F77988"/>
    <w:rsid w:val="00F77F48"/>
    <w:rsid w:val="00F815D9"/>
    <w:rsid w:val="00F86EB1"/>
    <w:rsid w:val="00F91F70"/>
    <w:rsid w:val="00F930F7"/>
    <w:rsid w:val="00F97B33"/>
    <w:rsid w:val="00FA32E7"/>
    <w:rsid w:val="00FB1958"/>
    <w:rsid w:val="00FB30F1"/>
    <w:rsid w:val="00FB53E7"/>
    <w:rsid w:val="00FB5C0B"/>
    <w:rsid w:val="00FB626F"/>
    <w:rsid w:val="00FC5FAB"/>
    <w:rsid w:val="00FC75C4"/>
    <w:rsid w:val="00FD1855"/>
    <w:rsid w:val="00FD1FC4"/>
    <w:rsid w:val="00FD3121"/>
    <w:rsid w:val="00FD54AF"/>
    <w:rsid w:val="00FE1CBD"/>
    <w:rsid w:val="00FE2EEF"/>
    <w:rsid w:val="00FE65F7"/>
    <w:rsid w:val="00FF45F6"/>
    <w:rsid w:val="00FF4F62"/>
    <w:rsid w:val="00FF521D"/>
    <w:rsid w:val="00FF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4C17-CCE0-488C-BBAB-D9E64F5F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9581</Words>
  <Characters>5462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 Noteikumi par svešvalodas centralizētā eksāmena vispārējās vidējās izglītības programmā aizstāšanu arstarptautiskas testēšanas institūcijas pārbaudījumu svešvalodā " sākotnējās ietekmes novērtējuma ziņojums (anotācij</vt:lpstr>
    </vt:vector>
  </TitlesOfParts>
  <Manager>Valsts izglītības satura centrs</Manager>
  <Company>Izglītības un zinātnes ministrija</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Noteikumi par svešvalodas centralizētā eksāmena vispārējās vidējās izglītības programmā aizstāšanu arstarptautiskas testēšanas institūcijas pārbaudījumu svešvalodā " sākotnējās ietekmes novērtējuma ziņojums (anotācija)</dc:title>
  <dc:subject>Anotācija</dc:subject>
  <dc:creator>Ingrīda Kamarūte</dc:creator>
  <cp:lastModifiedBy>Ingrida Kamarute</cp:lastModifiedBy>
  <cp:revision>6</cp:revision>
  <cp:lastPrinted>2014-03-04T07:28:00Z</cp:lastPrinted>
  <dcterms:created xsi:type="dcterms:W3CDTF">2015-08-12T13:06:00Z</dcterms:created>
  <dcterms:modified xsi:type="dcterms:W3CDTF">2015-08-20T07:31:00Z</dcterms:modified>
</cp:coreProperties>
</file>