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9443D" w14:textId="77777777" w:rsidR="00AA7DBD" w:rsidRPr="00AA7DBD" w:rsidRDefault="00AA7DBD" w:rsidP="00AA7DBD">
      <w:pPr>
        <w:jc w:val="right"/>
        <w:rPr>
          <w:rFonts w:ascii="Times New Roman" w:hAnsi="Times New Roman" w:cs="Times New Roman"/>
          <w:i/>
          <w:sz w:val="28"/>
          <w:szCs w:val="28"/>
        </w:rPr>
      </w:pPr>
      <w:r w:rsidRPr="00AA7DBD">
        <w:rPr>
          <w:rFonts w:ascii="Times New Roman" w:hAnsi="Times New Roman" w:cs="Times New Roman"/>
          <w:i/>
          <w:sz w:val="28"/>
          <w:szCs w:val="28"/>
        </w:rPr>
        <w:t>Projekts</w:t>
      </w:r>
    </w:p>
    <w:p w14:paraId="7C5BDA15" w14:textId="77777777" w:rsidR="00AA7DBD" w:rsidRPr="00AA7DBD" w:rsidRDefault="00AA7DBD" w:rsidP="00AA7DBD">
      <w:pPr>
        <w:spacing w:after="0" w:line="240" w:lineRule="auto"/>
        <w:jc w:val="center"/>
        <w:rPr>
          <w:rFonts w:ascii="Times New Roman" w:hAnsi="Times New Roman" w:cs="Times New Roman"/>
          <w:b/>
          <w:sz w:val="28"/>
          <w:szCs w:val="28"/>
        </w:rPr>
      </w:pPr>
    </w:p>
    <w:p w14:paraId="6ACA56A1" w14:textId="77777777" w:rsidR="00AA7DBD" w:rsidRPr="00AA7DBD" w:rsidRDefault="00AA7DBD" w:rsidP="00AA7DBD">
      <w:pPr>
        <w:spacing w:after="0" w:line="240" w:lineRule="auto"/>
        <w:jc w:val="center"/>
        <w:rPr>
          <w:rFonts w:ascii="Times New Roman" w:hAnsi="Times New Roman" w:cs="Times New Roman"/>
          <w:b/>
          <w:sz w:val="28"/>
          <w:szCs w:val="28"/>
        </w:rPr>
      </w:pPr>
    </w:p>
    <w:p w14:paraId="6F6A5A31" w14:textId="77777777" w:rsidR="00AA7DBD" w:rsidRPr="00AA7DBD" w:rsidRDefault="00AA7DBD" w:rsidP="00AA7DBD">
      <w:pPr>
        <w:spacing w:after="0" w:line="240" w:lineRule="auto"/>
        <w:jc w:val="center"/>
        <w:rPr>
          <w:rFonts w:ascii="Times New Roman" w:hAnsi="Times New Roman" w:cs="Times New Roman"/>
          <w:b/>
          <w:sz w:val="28"/>
          <w:szCs w:val="28"/>
        </w:rPr>
      </w:pPr>
    </w:p>
    <w:p w14:paraId="5E1305CE" w14:textId="77777777" w:rsidR="00AA7DBD" w:rsidRPr="00AA7DBD" w:rsidRDefault="00AA7DBD" w:rsidP="00AA7DBD">
      <w:pPr>
        <w:spacing w:after="0" w:line="240" w:lineRule="auto"/>
        <w:jc w:val="center"/>
        <w:rPr>
          <w:rFonts w:ascii="Times New Roman" w:hAnsi="Times New Roman" w:cs="Times New Roman"/>
          <w:b/>
          <w:sz w:val="28"/>
          <w:szCs w:val="28"/>
        </w:rPr>
      </w:pPr>
    </w:p>
    <w:p w14:paraId="1AD2A15B" w14:textId="77777777" w:rsidR="00AA7DBD" w:rsidRPr="00AA7DBD" w:rsidRDefault="00AA7DBD" w:rsidP="00AA7DBD">
      <w:pPr>
        <w:spacing w:after="0" w:line="240" w:lineRule="auto"/>
        <w:jc w:val="center"/>
        <w:rPr>
          <w:rFonts w:ascii="Times New Roman" w:hAnsi="Times New Roman" w:cs="Times New Roman"/>
          <w:b/>
          <w:sz w:val="28"/>
          <w:szCs w:val="28"/>
        </w:rPr>
      </w:pPr>
    </w:p>
    <w:p w14:paraId="1D84DAA8" w14:textId="77777777" w:rsidR="00AA7DBD" w:rsidRPr="00AA7DBD" w:rsidRDefault="00AA7DBD" w:rsidP="00AA7DBD">
      <w:pPr>
        <w:spacing w:after="0" w:line="240" w:lineRule="auto"/>
        <w:jc w:val="center"/>
        <w:rPr>
          <w:rFonts w:ascii="Times New Roman" w:hAnsi="Times New Roman" w:cs="Times New Roman"/>
          <w:b/>
          <w:sz w:val="28"/>
          <w:szCs w:val="28"/>
        </w:rPr>
      </w:pPr>
    </w:p>
    <w:p w14:paraId="0CC51429" w14:textId="77777777" w:rsidR="00AA7DBD" w:rsidRPr="00AA7DBD" w:rsidRDefault="00AA7DBD" w:rsidP="00AA7DBD">
      <w:pPr>
        <w:spacing w:after="0" w:line="240" w:lineRule="auto"/>
        <w:jc w:val="center"/>
        <w:rPr>
          <w:rFonts w:ascii="Times New Roman" w:hAnsi="Times New Roman" w:cs="Times New Roman"/>
          <w:b/>
          <w:sz w:val="28"/>
          <w:szCs w:val="28"/>
        </w:rPr>
      </w:pPr>
    </w:p>
    <w:p w14:paraId="7FA3140D" w14:textId="77777777" w:rsidR="00AA7DBD" w:rsidRPr="00AA7DBD" w:rsidRDefault="00AA7DBD" w:rsidP="00AA7DBD">
      <w:pPr>
        <w:spacing w:after="0" w:line="240" w:lineRule="auto"/>
        <w:jc w:val="center"/>
        <w:rPr>
          <w:rFonts w:ascii="Times New Roman" w:hAnsi="Times New Roman" w:cs="Times New Roman"/>
          <w:b/>
          <w:sz w:val="28"/>
          <w:szCs w:val="28"/>
        </w:rPr>
      </w:pPr>
    </w:p>
    <w:p w14:paraId="2E45288A" w14:textId="77777777" w:rsidR="00AA7DBD" w:rsidRPr="00AA7DBD" w:rsidRDefault="00AA7DBD" w:rsidP="00AA7DBD">
      <w:pPr>
        <w:spacing w:after="0" w:line="240" w:lineRule="auto"/>
        <w:jc w:val="center"/>
        <w:rPr>
          <w:rFonts w:ascii="Times New Roman" w:hAnsi="Times New Roman" w:cs="Times New Roman"/>
          <w:b/>
          <w:sz w:val="28"/>
          <w:szCs w:val="28"/>
        </w:rPr>
      </w:pPr>
    </w:p>
    <w:p w14:paraId="2E310CAD" w14:textId="77777777" w:rsidR="00AA7DBD" w:rsidRPr="00AA7DBD" w:rsidRDefault="00AA7DBD" w:rsidP="00AA7DBD">
      <w:pPr>
        <w:spacing w:after="0" w:line="240" w:lineRule="auto"/>
        <w:jc w:val="center"/>
        <w:rPr>
          <w:rFonts w:ascii="Times New Roman" w:hAnsi="Times New Roman" w:cs="Times New Roman"/>
          <w:b/>
          <w:sz w:val="28"/>
          <w:szCs w:val="28"/>
        </w:rPr>
      </w:pPr>
    </w:p>
    <w:p w14:paraId="2AC01AD2" w14:textId="77777777" w:rsidR="00AA7DBD" w:rsidRPr="00AA7DBD" w:rsidRDefault="00AA7DBD" w:rsidP="00AA7DBD">
      <w:pPr>
        <w:spacing w:after="0" w:line="240" w:lineRule="auto"/>
        <w:jc w:val="center"/>
        <w:rPr>
          <w:rFonts w:ascii="Times New Roman" w:hAnsi="Times New Roman" w:cs="Times New Roman"/>
          <w:b/>
          <w:sz w:val="28"/>
          <w:szCs w:val="28"/>
        </w:rPr>
      </w:pPr>
    </w:p>
    <w:p w14:paraId="26D1B931" w14:textId="77777777" w:rsidR="00AA7DBD" w:rsidRPr="00AA7DBD" w:rsidRDefault="00AA7DBD" w:rsidP="00AA7DBD">
      <w:pPr>
        <w:spacing w:after="0" w:line="240" w:lineRule="auto"/>
        <w:jc w:val="center"/>
        <w:rPr>
          <w:rFonts w:ascii="Times New Roman" w:hAnsi="Times New Roman" w:cs="Times New Roman"/>
          <w:b/>
          <w:sz w:val="28"/>
          <w:szCs w:val="28"/>
        </w:rPr>
      </w:pPr>
    </w:p>
    <w:p w14:paraId="56BA4A8A" w14:textId="77777777" w:rsidR="00AA7DBD" w:rsidRPr="00AA7DBD" w:rsidRDefault="00AA7DBD" w:rsidP="00AA7DBD">
      <w:pPr>
        <w:spacing w:after="0" w:line="240" w:lineRule="auto"/>
        <w:jc w:val="center"/>
        <w:rPr>
          <w:rFonts w:ascii="Times New Roman" w:hAnsi="Times New Roman" w:cs="Times New Roman"/>
          <w:b/>
          <w:sz w:val="28"/>
          <w:szCs w:val="28"/>
        </w:rPr>
      </w:pPr>
    </w:p>
    <w:p w14:paraId="43CA83BF" w14:textId="77777777" w:rsidR="00AA7DBD" w:rsidRPr="00AA7DBD" w:rsidRDefault="00AA7DBD" w:rsidP="00AA7DBD">
      <w:pPr>
        <w:spacing w:after="0" w:line="240" w:lineRule="auto"/>
        <w:jc w:val="center"/>
        <w:rPr>
          <w:rFonts w:ascii="Times New Roman" w:hAnsi="Times New Roman" w:cs="Times New Roman"/>
          <w:b/>
          <w:sz w:val="28"/>
          <w:szCs w:val="28"/>
        </w:rPr>
      </w:pPr>
    </w:p>
    <w:p w14:paraId="4B2D1AA4" w14:textId="77777777" w:rsidR="00AA7DBD" w:rsidRPr="00AA7DBD" w:rsidRDefault="00AA7DBD" w:rsidP="00AA7DBD">
      <w:pPr>
        <w:spacing w:after="0" w:line="240" w:lineRule="auto"/>
        <w:jc w:val="center"/>
        <w:rPr>
          <w:rFonts w:ascii="Times New Roman" w:hAnsi="Times New Roman" w:cs="Times New Roman"/>
          <w:b/>
          <w:sz w:val="28"/>
          <w:szCs w:val="28"/>
        </w:rPr>
      </w:pPr>
    </w:p>
    <w:p w14:paraId="1C63E0C5" w14:textId="77777777" w:rsidR="00AA7DBD" w:rsidRPr="00AA7DBD" w:rsidRDefault="00AA7DBD" w:rsidP="00AA7DBD">
      <w:pPr>
        <w:spacing w:after="0" w:line="240" w:lineRule="auto"/>
        <w:jc w:val="center"/>
        <w:rPr>
          <w:rFonts w:ascii="Times New Roman" w:hAnsi="Times New Roman" w:cs="Times New Roman"/>
          <w:b/>
          <w:sz w:val="28"/>
          <w:szCs w:val="28"/>
        </w:rPr>
      </w:pPr>
    </w:p>
    <w:p w14:paraId="3EB29B37" w14:textId="77777777" w:rsidR="00AA7DBD" w:rsidRPr="00AA7DBD" w:rsidRDefault="00AA7DBD" w:rsidP="00AA7DBD">
      <w:pPr>
        <w:spacing w:after="0" w:line="240" w:lineRule="auto"/>
        <w:jc w:val="center"/>
        <w:rPr>
          <w:rFonts w:ascii="Times New Roman" w:hAnsi="Times New Roman" w:cs="Times New Roman"/>
          <w:b/>
          <w:sz w:val="28"/>
          <w:szCs w:val="28"/>
        </w:rPr>
      </w:pPr>
      <w:r w:rsidRPr="00AA7DBD">
        <w:rPr>
          <w:rFonts w:ascii="Times New Roman" w:hAnsi="Times New Roman" w:cs="Times New Roman"/>
          <w:b/>
          <w:sz w:val="28"/>
          <w:szCs w:val="28"/>
        </w:rPr>
        <w:t xml:space="preserve">Informatīvais ziņojums </w:t>
      </w:r>
    </w:p>
    <w:p w14:paraId="64F968EA" w14:textId="77777777" w:rsidR="00AA7DBD" w:rsidRPr="00AA7DBD" w:rsidRDefault="00AA7DBD" w:rsidP="00AA7DBD">
      <w:pPr>
        <w:spacing w:after="0" w:line="240" w:lineRule="auto"/>
        <w:jc w:val="center"/>
        <w:rPr>
          <w:rFonts w:ascii="Times New Roman" w:hAnsi="Times New Roman" w:cs="Times New Roman"/>
          <w:b/>
          <w:sz w:val="28"/>
          <w:szCs w:val="28"/>
        </w:rPr>
      </w:pPr>
      <w:r w:rsidRPr="00AA7DBD">
        <w:rPr>
          <w:rFonts w:ascii="Times New Roman" w:hAnsi="Times New Roman" w:cs="Times New Roman"/>
          <w:b/>
          <w:sz w:val="28"/>
          <w:szCs w:val="28"/>
        </w:rPr>
        <w:t>Par „Koncepcijā par korupcijas risku samazināšanu valsts pārvaldes iestādēs un pašvaldībās” ietvertā risinājuma 3.variantā minēto uzdevumu īstenošanas gaitu</w:t>
      </w:r>
    </w:p>
    <w:p w14:paraId="4F3AD457" w14:textId="77777777" w:rsidR="00AA7DBD" w:rsidRPr="00AA7DBD" w:rsidRDefault="00AA7DBD" w:rsidP="00AA7DBD">
      <w:pPr>
        <w:spacing w:after="0" w:line="240" w:lineRule="auto"/>
        <w:jc w:val="center"/>
        <w:rPr>
          <w:rFonts w:ascii="Times New Roman" w:hAnsi="Times New Roman" w:cs="Times New Roman"/>
          <w:b/>
          <w:sz w:val="28"/>
          <w:szCs w:val="28"/>
        </w:rPr>
      </w:pPr>
    </w:p>
    <w:p w14:paraId="1EF0E6B3" w14:textId="77777777" w:rsidR="00AA7DBD" w:rsidRPr="00AA7DBD" w:rsidRDefault="00AA7DBD" w:rsidP="00AA7DBD">
      <w:pPr>
        <w:spacing w:after="0" w:line="240" w:lineRule="auto"/>
        <w:jc w:val="both"/>
        <w:rPr>
          <w:rFonts w:ascii="Times New Roman" w:hAnsi="Times New Roman" w:cs="Times New Roman"/>
          <w:sz w:val="28"/>
          <w:szCs w:val="28"/>
        </w:rPr>
      </w:pPr>
    </w:p>
    <w:p w14:paraId="1ACF1362" w14:textId="77777777" w:rsidR="00AA7DBD" w:rsidRPr="00AA7DBD" w:rsidRDefault="00AA7DBD" w:rsidP="00AA7DBD">
      <w:pPr>
        <w:spacing w:after="0" w:line="240" w:lineRule="auto"/>
        <w:jc w:val="both"/>
        <w:rPr>
          <w:rFonts w:ascii="Times New Roman" w:hAnsi="Times New Roman" w:cs="Times New Roman"/>
          <w:sz w:val="28"/>
          <w:szCs w:val="28"/>
        </w:rPr>
      </w:pPr>
    </w:p>
    <w:p w14:paraId="15274C7A" w14:textId="77777777" w:rsidR="00AA7DBD" w:rsidRPr="00AA7DBD" w:rsidRDefault="00AA7DBD" w:rsidP="00AA7DBD">
      <w:pPr>
        <w:spacing w:after="0" w:line="240" w:lineRule="auto"/>
        <w:jc w:val="both"/>
        <w:rPr>
          <w:rFonts w:ascii="Times New Roman" w:hAnsi="Times New Roman" w:cs="Times New Roman"/>
          <w:sz w:val="28"/>
          <w:szCs w:val="28"/>
        </w:rPr>
      </w:pPr>
    </w:p>
    <w:p w14:paraId="1FADAECD" w14:textId="77777777" w:rsidR="00AA7DBD" w:rsidRPr="00AA7DBD" w:rsidRDefault="00AA7DBD" w:rsidP="00AA7DBD">
      <w:pPr>
        <w:spacing w:after="0" w:line="240" w:lineRule="auto"/>
        <w:jc w:val="both"/>
        <w:rPr>
          <w:rFonts w:ascii="Times New Roman" w:hAnsi="Times New Roman" w:cs="Times New Roman"/>
          <w:sz w:val="28"/>
          <w:szCs w:val="28"/>
        </w:rPr>
      </w:pPr>
    </w:p>
    <w:p w14:paraId="6517B714" w14:textId="77777777" w:rsidR="00AA7DBD" w:rsidRPr="00AA7DBD" w:rsidRDefault="00AA7DBD" w:rsidP="00AA7DBD">
      <w:pPr>
        <w:spacing w:after="0" w:line="240" w:lineRule="auto"/>
        <w:jc w:val="both"/>
        <w:rPr>
          <w:rFonts w:ascii="Times New Roman" w:hAnsi="Times New Roman" w:cs="Times New Roman"/>
          <w:sz w:val="28"/>
          <w:szCs w:val="28"/>
        </w:rPr>
      </w:pPr>
    </w:p>
    <w:p w14:paraId="59D7547A" w14:textId="77777777" w:rsidR="00AA7DBD" w:rsidRPr="00AA7DBD" w:rsidRDefault="00AA7DBD" w:rsidP="00AA7DBD">
      <w:pPr>
        <w:spacing w:after="0" w:line="240" w:lineRule="auto"/>
        <w:jc w:val="both"/>
        <w:rPr>
          <w:rFonts w:ascii="Times New Roman" w:hAnsi="Times New Roman" w:cs="Times New Roman"/>
          <w:sz w:val="28"/>
          <w:szCs w:val="28"/>
        </w:rPr>
      </w:pPr>
    </w:p>
    <w:p w14:paraId="34D0C0D6" w14:textId="77777777" w:rsidR="00AA7DBD" w:rsidRPr="00AA7DBD" w:rsidRDefault="00AA7DBD" w:rsidP="00AA7DBD">
      <w:pPr>
        <w:spacing w:after="0" w:line="240" w:lineRule="auto"/>
        <w:jc w:val="both"/>
        <w:rPr>
          <w:rFonts w:ascii="Times New Roman" w:hAnsi="Times New Roman" w:cs="Times New Roman"/>
          <w:sz w:val="28"/>
          <w:szCs w:val="28"/>
        </w:rPr>
      </w:pPr>
    </w:p>
    <w:p w14:paraId="47829687" w14:textId="77777777" w:rsidR="00AA7DBD" w:rsidRPr="00AA7DBD" w:rsidRDefault="00AA7DBD" w:rsidP="00AA7DBD">
      <w:pPr>
        <w:spacing w:after="0" w:line="240" w:lineRule="auto"/>
        <w:jc w:val="both"/>
        <w:rPr>
          <w:rFonts w:ascii="Times New Roman" w:hAnsi="Times New Roman" w:cs="Times New Roman"/>
          <w:sz w:val="28"/>
          <w:szCs w:val="28"/>
        </w:rPr>
      </w:pPr>
    </w:p>
    <w:p w14:paraId="77D58923" w14:textId="77777777" w:rsidR="00AA7DBD" w:rsidRPr="00AA7DBD" w:rsidRDefault="00AA7DBD" w:rsidP="00AA7DBD">
      <w:pPr>
        <w:spacing w:after="0" w:line="240" w:lineRule="auto"/>
        <w:jc w:val="both"/>
        <w:rPr>
          <w:rFonts w:ascii="Times New Roman" w:hAnsi="Times New Roman" w:cs="Times New Roman"/>
          <w:sz w:val="28"/>
          <w:szCs w:val="28"/>
        </w:rPr>
      </w:pPr>
    </w:p>
    <w:p w14:paraId="55FB0A96" w14:textId="77777777" w:rsidR="00AA7DBD" w:rsidRPr="00AA7DBD" w:rsidRDefault="00AA7DBD" w:rsidP="00AA7DBD">
      <w:pPr>
        <w:spacing w:after="0" w:line="240" w:lineRule="auto"/>
        <w:jc w:val="both"/>
        <w:rPr>
          <w:rFonts w:ascii="Times New Roman" w:hAnsi="Times New Roman" w:cs="Times New Roman"/>
          <w:sz w:val="28"/>
          <w:szCs w:val="28"/>
        </w:rPr>
      </w:pPr>
    </w:p>
    <w:p w14:paraId="1AD1F489" w14:textId="77777777" w:rsidR="00AA7DBD" w:rsidRPr="00AA7DBD" w:rsidRDefault="00AA7DBD" w:rsidP="00AA7DBD">
      <w:pPr>
        <w:spacing w:after="0" w:line="240" w:lineRule="auto"/>
        <w:jc w:val="both"/>
        <w:rPr>
          <w:rFonts w:ascii="Times New Roman" w:hAnsi="Times New Roman" w:cs="Times New Roman"/>
          <w:sz w:val="28"/>
          <w:szCs w:val="28"/>
        </w:rPr>
      </w:pPr>
    </w:p>
    <w:p w14:paraId="039EEFA9" w14:textId="77777777" w:rsidR="00AA7DBD" w:rsidRPr="00AA7DBD" w:rsidRDefault="00AA7DBD" w:rsidP="00AA7DBD">
      <w:pPr>
        <w:spacing w:after="0" w:line="240" w:lineRule="auto"/>
        <w:jc w:val="both"/>
        <w:rPr>
          <w:rFonts w:ascii="Times New Roman" w:hAnsi="Times New Roman" w:cs="Times New Roman"/>
          <w:sz w:val="28"/>
          <w:szCs w:val="28"/>
        </w:rPr>
      </w:pPr>
    </w:p>
    <w:p w14:paraId="035CC93D" w14:textId="77777777" w:rsidR="00AA7DBD" w:rsidRPr="00AA7DBD" w:rsidRDefault="00AA7DBD" w:rsidP="00AA7DBD">
      <w:pPr>
        <w:spacing w:after="0" w:line="240" w:lineRule="auto"/>
        <w:jc w:val="both"/>
        <w:rPr>
          <w:rFonts w:ascii="Times New Roman" w:hAnsi="Times New Roman" w:cs="Times New Roman"/>
          <w:sz w:val="28"/>
          <w:szCs w:val="28"/>
        </w:rPr>
      </w:pPr>
    </w:p>
    <w:p w14:paraId="19A0EE66" w14:textId="77777777" w:rsidR="00AA7DBD" w:rsidRPr="00AA7DBD" w:rsidRDefault="00AA7DBD" w:rsidP="00AA7DBD">
      <w:pPr>
        <w:spacing w:after="0" w:line="240" w:lineRule="auto"/>
        <w:jc w:val="both"/>
        <w:rPr>
          <w:rFonts w:ascii="Times New Roman" w:hAnsi="Times New Roman" w:cs="Times New Roman"/>
          <w:sz w:val="28"/>
          <w:szCs w:val="28"/>
        </w:rPr>
      </w:pPr>
    </w:p>
    <w:p w14:paraId="4DE66C3C" w14:textId="77777777" w:rsidR="00AA7DBD" w:rsidRPr="00AA7DBD" w:rsidRDefault="00AA7DBD" w:rsidP="00AA7DBD">
      <w:pPr>
        <w:spacing w:after="0" w:line="240" w:lineRule="auto"/>
        <w:jc w:val="center"/>
        <w:rPr>
          <w:rFonts w:ascii="Times New Roman" w:hAnsi="Times New Roman" w:cs="Times New Roman"/>
          <w:sz w:val="28"/>
          <w:szCs w:val="28"/>
        </w:rPr>
      </w:pPr>
    </w:p>
    <w:p w14:paraId="1BD327F2" w14:textId="77777777" w:rsidR="00AA7DBD" w:rsidRPr="00AA7DBD" w:rsidRDefault="00AA7DBD" w:rsidP="00AA7DBD">
      <w:pPr>
        <w:spacing w:after="0" w:line="240" w:lineRule="auto"/>
        <w:jc w:val="center"/>
        <w:rPr>
          <w:rFonts w:ascii="Times New Roman" w:hAnsi="Times New Roman" w:cs="Times New Roman"/>
          <w:sz w:val="28"/>
          <w:szCs w:val="28"/>
        </w:rPr>
      </w:pPr>
    </w:p>
    <w:p w14:paraId="0EB022D8" w14:textId="77777777" w:rsidR="00AA7DBD" w:rsidRPr="00AA7DBD" w:rsidRDefault="00AA7DBD" w:rsidP="00AA7DBD">
      <w:pPr>
        <w:spacing w:after="0" w:line="240" w:lineRule="auto"/>
        <w:jc w:val="center"/>
        <w:rPr>
          <w:rFonts w:ascii="Times New Roman" w:hAnsi="Times New Roman" w:cs="Times New Roman"/>
          <w:sz w:val="28"/>
          <w:szCs w:val="28"/>
        </w:rPr>
      </w:pPr>
    </w:p>
    <w:p w14:paraId="1635673A" w14:textId="77777777" w:rsidR="00AA7DBD" w:rsidRPr="00AA7DBD" w:rsidRDefault="00AA7DBD" w:rsidP="00AA7DBD">
      <w:pPr>
        <w:spacing w:after="0" w:line="240" w:lineRule="auto"/>
        <w:jc w:val="center"/>
        <w:rPr>
          <w:rFonts w:ascii="Times New Roman" w:hAnsi="Times New Roman" w:cs="Times New Roman"/>
          <w:sz w:val="28"/>
          <w:szCs w:val="28"/>
        </w:rPr>
      </w:pPr>
      <w:r w:rsidRPr="00AA7DBD">
        <w:rPr>
          <w:rFonts w:ascii="Times New Roman" w:hAnsi="Times New Roman" w:cs="Times New Roman"/>
          <w:sz w:val="28"/>
          <w:szCs w:val="28"/>
        </w:rPr>
        <w:t>Korupcijas novēršanas un apkarošanas birojs</w:t>
      </w:r>
    </w:p>
    <w:p w14:paraId="19C5DCBC" w14:textId="77777777" w:rsidR="00AA7DBD" w:rsidRPr="00AA7DBD" w:rsidRDefault="00AA7DBD" w:rsidP="00AA7DBD">
      <w:pPr>
        <w:spacing w:after="0" w:line="240" w:lineRule="auto"/>
        <w:jc w:val="center"/>
        <w:rPr>
          <w:rFonts w:ascii="Times New Roman" w:hAnsi="Times New Roman" w:cs="Times New Roman"/>
          <w:sz w:val="28"/>
          <w:szCs w:val="28"/>
        </w:rPr>
      </w:pPr>
    </w:p>
    <w:p w14:paraId="56B1E8C5" w14:textId="77777777" w:rsidR="00AA7DBD" w:rsidRPr="00AA7DBD" w:rsidRDefault="00AA7DBD" w:rsidP="00AA7DBD">
      <w:pPr>
        <w:spacing w:after="0" w:line="240" w:lineRule="auto"/>
        <w:jc w:val="center"/>
        <w:rPr>
          <w:rFonts w:ascii="Times New Roman" w:hAnsi="Times New Roman" w:cs="Times New Roman"/>
          <w:sz w:val="28"/>
          <w:szCs w:val="28"/>
        </w:rPr>
      </w:pPr>
      <w:r w:rsidRPr="00AA7DBD">
        <w:rPr>
          <w:rFonts w:ascii="Times New Roman" w:hAnsi="Times New Roman" w:cs="Times New Roman"/>
          <w:sz w:val="28"/>
          <w:szCs w:val="28"/>
        </w:rPr>
        <w:t>2015</w:t>
      </w:r>
    </w:p>
    <w:p w14:paraId="023BAA8E" w14:textId="77777777" w:rsidR="00AA7DBD" w:rsidRPr="00AA7DBD" w:rsidRDefault="00AA7DBD" w:rsidP="00AA7DBD">
      <w:pPr>
        <w:spacing w:before="240" w:after="240" w:line="240" w:lineRule="auto"/>
        <w:jc w:val="center"/>
        <w:rPr>
          <w:rFonts w:ascii="Times New Roman" w:hAnsi="Times New Roman" w:cs="Times New Roman"/>
          <w:b/>
          <w:sz w:val="32"/>
          <w:szCs w:val="32"/>
        </w:rPr>
      </w:pPr>
      <w:r w:rsidRPr="00AA7DBD">
        <w:rPr>
          <w:rFonts w:ascii="Times New Roman" w:hAnsi="Times New Roman" w:cs="Times New Roman"/>
          <w:b/>
          <w:sz w:val="32"/>
          <w:szCs w:val="32"/>
        </w:rPr>
        <w:lastRenderedPageBreak/>
        <w:t>Ievads</w:t>
      </w:r>
    </w:p>
    <w:p w14:paraId="460ACD05" w14:textId="77777777" w:rsidR="00AA7DBD" w:rsidRPr="00AA7DBD" w:rsidRDefault="00AA7DBD" w:rsidP="00AA7DBD">
      <w:pPr>
        <w:spacing w:after="0" w:line="240" w:lineRule="auto"/>
        <w:ind w:firstLine="567"/>
        <w:jc w:val="both"/>
        <w:rPr>
          <w:rFonts w:ascii="Times New Roman" w:hAnsi="Times New Roman" w:cs="Times New Roman"/>
          <w:sz w:val="28"/>
          <w:szCs w:val="28"/>
        </w:rPr>
      </w:pPr>
      <w:r w:rsidRPr="00AA7DBD">
        <w:rPr>
          <w:rFonts w:ascii="Times New Roman" w:hAnsi="Times New Roman" w:cs="Times New Roman"/>
          <w:sz w:val="28"/>
          <w:szCs w:val="28"/>
        </w:rPr>
        <w:t>Ministru kabineta 2012.gada 7.februāra sēdē tika apstiprināta Korupcijas novēršanas un apkarošanas biroja vadītās darba grupas izstrādātā Koncepcija par korupcijas risku mazināšanu valsts pārvaldes iestādēs un pašvaldībās (turpmāk− Koncepcija), kurā piedāvāti trīs risinājuma varianti un veicamie pasākumi korupcijas risku mazināšanai valsts pārvaldes iestādēs un pašvaldībās.</w:t>
      </w:r>
    </w:p>
    <w:p w14:paraId="276824F1" w14:textId="77777777" w:rsidR="00AA7DBD" w:rsidRPr="00AA7DBD" w:rsidRDefault="00AA7DBD" w:rsidP="00AA7DBD">
      <w:pPr>
        <w:spacing w:after="0" w:line="240" w:lineRule="auto"/>
        <w:ind w:firstLine="567"/>
        <w:jc w:val="both"/>
        <w:rPr>
          <w:rFonts w:ascii="Times New Roman" w:hAnsi="Times New Roman" w:cs="Times New Roman"/>
          <w:sz w:val="28"/>
          <w:szCs w:val="28"/>
        </w:rPr>
      </w:pPr>
      <w:r w:rsidRPr="00AA7DBD">
        <w:rPr>
          <w:rFonts w:ascii="Times New Roman" w:hAnsi="Times New Roman" w:cs="Times New Roman"/>
          <w:sz w:val="28"/>
          <w:szCs w:val="28"/>
        </w:rPr>
        <w:t xml:space="preserve">Koncepcijā identificētas trīs galvenās </w:t>
      </w:r>
      <w:proofErr w:type="spellStart"/>
      <w:r w:rsidRPr="00AA7DBD">
        <w:rPr>
          <w:rFonts w:ascii="Times New Roman" w:hAnsi="Times New Roman" w:cs="Times New Roman"/>
          <w:sz w:val="28"/>
          <w:szCs w:val="28"/>
        </w:rPr>
        <w:t>problēmjomas</w:t>
      </w:r>
      <w:proofErr w:type="spellEnd"/>
      <w:r w:rsidRPr="00AA7DBD">
        <w:rPr>
          <w:rFonts w:ascii="Times New Roman" w:hAnsi="Times New Roman" w:cs="Times New Roman"/>
          <w:sz w:val="28"/>
          <w:szCs w:val="28"/>
        </w:rPr>
        <w:t xml:space="preserve"> – publiskajā pārvaldē nodarbināto atlīdzības un piešķirto pilnvaru nesamērīgums, sociālekonomiskajām izmaiņām neatbilstošas administratīvās procedūras un sodu politika, iekšējās kontroles vājums institūcijās un ārējās kontroles trūkumi. Koncepcijā minēto problēmu novēršanai piedāvāti trīs risinājuma varianti un veicamie pasākumi.</w:t>
      </w:r>
    </w:p>
    <w:p w14:paraId="615E0026" w14:textId="77777777" w:rsidR="00AA7DBD" w:rsidRPr="00AA7DBD" w:rsidRDefault="00AA7DBD" w:rsidP="00AA7DBD">
      <w:pPr>
        <w:spacing w:after="0" w:line="240" w:lineRule="auto"/>
        <w:ind w:firstLine="567"/>
        <w:jc w:val="both"/>
        <w:rPr>
          <w:rFonts w:ascii="Times New Roman" w:hAnsi="Times New Roman" w:cs="Times New Roman"/>
          <w:sz w:val="28"/>
          <w:szCs w:val="28"/>
        </w:rPr>
      </w:pPr>
      <w:r w:rsidRPr="00AA7DBD">
        <w:rPr>
          <w:rFonts w:ascii="Times New Roman" w:hAnsi="Times New Roman" w:cs="Times New Roman"/>
          <w:sz w:val="28"/>
          <w:szCs w:val="28"/>
        </w:rPr>
        <w:t xml:space="preserve"> Pirmais risinājuma variants vērsts uz iekšējās un ārējās kontroles stiprināšanu ar mērķi izslēgt iespēju veikt koruptīvas darbības, t.sk. uz institūciju vadītāju atbildības palielināšanu. Otrā varianta mērķis ir radīt priekšnoteikumus, lai nodrošinātu godprātīgu un kompetentu darbinieku sastāvu ar augstu paškontroles līmeni, mazinot vai pārtraucot kontroles veikšanu. Trešais variants paredz institūcijām īstenot noteiktu minimālo korupcijas kontroles pasākumu kopumu, bet attiecībā uz pārējiem izvēlēties, kurš korupcijas kontroles pasākumu virziens tām būs prioritārs, ņemot vērā darba specifiku, personāla apsvērumus un līdzšinējo pieredzi.</w:t>
      </w:r>
    </w:p>
    <w:p w14:paraId="6E38A065" w14:textId="77777777" w:rsidR="00AA7DBD" w:rsidRPr="00AA7DBD" w:rsidRDefault="00AA7DBD" w:rsidP="00AA7DBD">
      <w:pPr>
        <w:spacing w:after="0" w:line="240" w:lineRule="auto"/>
        <w:ind w:firstLine="567"/>
        <w:jc w:val="both"/>
        <w:rPr>
          <w:rFonts w:ascii="Times New Roman" w:hAnsi="Times New Roman" w:cs="Times New Roman"/>
          <w:sz w:val="28"/>
          <w:szCs w:val="28"/>
        </w:rPr>
      </w:pPr>
      <w:r w:rsidRPr="00AA7DBD">
        <w:rPr>
          <w:rFonts w:ascii="Times New Roman" w:hAnsi="Times New Roman" w:cs="Times New Roman"/>
          <w:sz w:val="28"/>
          <w:szCs w:val="28"/>
        </w:rPr>
        <w:t xml:space="preserve">Korupcijas novēršanas un apkarošanas birojs atbalsta Koncepcijas risinājuma 3.varianta par samērīgi konkurētspējīgu atalgojumu apvienojumā ar izlases veida kontroles īstenošanu. </w:t>
      </w:r>
    </w:p>
    <w:p w14:paraId="0D6E46CB" w14:textId="77777777" w:rsidR="00AA7DBD" w:rsidRPr="00AA7DBD" w:rsidRDefault="00AA7DBD" w:rsidP="00AA7DBD">
      <w:pPr>
        <w:spacing w:after="0" w:line="240" w:lineRule="auto"/>
        <w:ind w:firstLine="567"/>
        <w:jc w:val="both"/>
        <w:rPr>
          <w:rFonts w:ascii="Times New Roman" w:hAnsi="Times New Roman" w:cs="Times New Roman"/>
          <w:sz w:val="28"/>
          <w:szCs w:val="28"/>
        </w:rPr>
      </w:pPr>
      <w:r w:rsidRPr="00AA7DBD">
        <w:rPr>
          <w:rFonts w:ascii="Times New Roman" w:hAnsi="Times New Roman" w:cs="Times New Roman"/>
          <w:sz w:val="28"/>
          <w:szCs w:val="28"/>
        </w:rPr>
        <w:t>Ar Ministru kabineta 2012.gada 13.februāra rīkojuma Nr.72</w:t>
      </w:r>
      <w:r w:rsidRPr="00AA7DBD">
        <w:rPr>
          <w:rFonts w:ascii="Times New Roman" w:eastAsia="Times New Roman" w:hAnsi="Times New Roman" w:cs="Times New Roman"/>
          <w:sz w:val="28"/>
          <w:szCs w:val="28"/>
          <w:lang w:eastAsia="lv-LV"/>
        </w:rPr>
        <w:t xml:space="preserve"> (prot. Nr.7 21.§)</w:t>
      </w:r>
      <w:r w:rsidRPr="00AA7DBD">
        <w:rPr>
          <w:rFonts w:ascii="Times New Roman" w:hAnsi="Times New Roman" w:cs="Times New Roman"/>
          <w:sz w:val="28"/>
          <w:szCs w:val="28"/>
        </w:rPr>
        <w:t xml:space="preserve"> „</w:t>
      </w:r>
      <w:r w:rsidRPr="00AA7DBD">
        <w:rPr>
          <w:rFonts w:ascii="Times New Roman" w:eastAsia="Times New Roman" w:hAnsi="Times New Roman" w:cs="Times New Roman"/>
          <w:sz w:val="28"/>
          <w:szCs w:val="28"/>
          <w:lang w:eastAsia="lv-LV"/>
        </w:rPr>
        <w:t>Par Koncepciju par korupcijas risku samazināšanu valsts pārvaldes iestādēs un pašvaldībās” 8.punktu</w:t>
      </w:r>
      <w:r w:rsidRPr="00AA7DBD">
        <w:rPr>
          <w:rFonts w:ascii="Times New Roman" w:hAnsi="Times New Roman" w:cs="Times New Roman"/>
          <w:sz w:val="28"/>
          <w:szCs w:val="28"/>
        </w:rPr>
        <w:t xml:space="preserve"> Korupcijas novēršanas un apkarošanas birojam jāiesniedz noteiktā kārtībā Ministru kabinetā </w:t>
      </w:r>
      <w:proofErr w:type="gramStart"/>
      <w:r w:rsidRPr="00AA7DBD">
        <w:rPr>
          <w:rFonts w:ascii="Times New Roman" w:hAnsi="Times New Roman" w:cs="Times New Roman"/>
          <w:sz w:val="28"/>
          <w:szCs w:val="28"/>
        </w:rPr>
        <w:t>informatīvo ziņojumu par Koncepcijas ieviešanu</w:t>
      </w:r>
      <w:proofErr w:type="gramEnd"/>
      <w:r w:rsidRPr="00AA7DBD">
        <w:rPr>
          <w:rFonts w:ascii="Times New Roman" w:hAnsi="Times New Roman" w:cs="Times New Roman"/>
          <w:sz w:val="28"/>
          <w:szCs w:val="28"/>
        </w:rPr>
        <w:t>, ietverot tajā priekšlikumus par turpmāko rīcību.</w:t>
      </w:r>
    </w:p>
    <w:p w14:paraId="5A9E9636" w14:textId="77777777" w:rsidR="00AA7DBD" w:rsidRPr="00AA7DBD" w:rsidRDefault="00AA7DBD" w:rsidP="00AA7DBD">
      <w:pPr>
        <w:spacing w:after="0" w:line="240" w:lineRule="auto"/>
        <w:ind w:firstLine="567"/>
        <w:jc w:val="both"/>
        <w:rPr>
          <w:rFonts w:ascii="Times New Roman" w:hAnsi="Times New Roman" w:cs="Times New Roman"/>
          <w:sz w:val="28"/>
          <w:szCs w:val="28"/>
        </w:rPr>
      </w:pPr>
      <w:r w:rsidRPr="00AA7DBD">
        <w:rPr>
          <w:rFonts w:ascii="Times New Roman" w:hAnsi="Times New Roman" w:cs="Times New Roman"/>
          <w:sz w:val="28"/>
          <w:szCs w:val="28"/>
        </w:rPr>
        <w:t>Informatīvais ziņojums sniedz apkopotu informāciju par Koncepcijas 3.variantā ietverto uzdevumu īstenošanas gaitu Valsts kancelejā, ministrijās un to padotības institūcijās, kā arī paredz turpmāko rīcību.</w:t>
      </w:r>
    </w:p>
    <w:p w14:paraId="10F585DD" w14:textId="77777777" w:rsidR="00AA7DBD" w:rsidRPr="00AA7DBD" w:rsidRDefault="00AA7DBD" w:rsidP="00AA7DBD">
      <w:pPr>
        <w:ind w:firstLine="567"/>
        <w:rPr>
          <w:rFonts w:ascii="Times New Roman" w:hAnsi="Times New Roman" w:cs="Times New Roman"/>
          <w:sz w:val="28"/>
          <w:szCs w:val="28"/>
        </w:rPr>
      </w:pPr>
    </w:p>
    <w:p w14:paraId="361D2682" w14:textId="77777777" w:rsidR="00AA7DBD" w:rsidRPr="00AA7DBD" w:rsidRDefault="00AA7DBD" w:rsidP="00AA7DBD">
      <w:pPr>
        <w:spacing w:after="0" w:line="240" w:lineRule="auto"/>
        <w:jc w:val="both"/>
        <w:rPr>
          <w:rFonts w:ascii="Times New Roman" w:hAnsi="Times New Roman" w:cs="Times New Roman"/>
          <w:b/>
          <w:sz w:val="32"/>
          <w:szCs w:val="32"/>
        </w:rPr>
      </w:pPr>
    </w:p>
    <w:p w14:paraId="175B1E0C" w14:textId="77777777" w:rsidR="00AA7DBD" w:rsidRPr="00AA7DBD" w:rsidRDefault="00AA7DBD" w:rsidP="00AA7DBD">
      <w:pPr>
        <w:spacing w:after="0" w:line="240" w:lineRule="auto"/>
        <w:jc w:val="both"/>
        <w:rPr>
          <w:rFonts w:ascii="Times New Roman" w:hAnsi="Times New Roman" w:cs="Times New Roman"/>
          <w:b/>
          <w:sz w:val="32"/>
          <w:szCs w:val="32"/>
        </w:rPr>
      </w:pPr>
    </w:p>
    <w:p w14:paraId="1D9C7D84" w14:textId="77777777" w:rsidR="00AA7DBD" w:rsidRPr="00AA7DBD" w:rsidRDefault="00AA7DBD" w:rsidP="00AA7DBD">
      <w:pPr>
        <w:spacing w:after="0" w:line="240" w:lineRule="auto"/>
        <w:ind w:firstLine="567"/>
        <w:jc w:val="both"/>
        <w:rPr>
          <w:rFonts w:ascii="Times New Roman" w:hAnsi="Times New Roman" w:cs="Times New Roman"/>
          <w:b/>
          <w:sz w:val="32"/>
          <w:szCs w:val="32"/>
        </w:rPr>
      </w:pPr>
    </w:p>
    <w:p w14:paraId="1787EB8D" w14:textId="77777777" w:rsidR="00AA7DBD" w:rsidRPr="00AA7DBD" w:rsidRDefault="00AA7DBD" w:rsidP="00AA7DBD">
      <w:pPr>
        <w:spacing w:after="0" w:line="240" w:lineRule="auto"/>
        <w:ind w:firstLine="567"/>
        <w:jc w:val="both"/>
        <w:rPr>
          <w:rFonts w:ascii="Times New Roman" w:hAnsi="Times New Roman" w:cs="Times New Roman"/>
          <w:b/>
          <w:sz w:val="32"/>
          <w:szCs w:val="32"/>
        </w:rPr>
      </w:pPr>
    </w:p>
    <w:p w14:paraId="54643559" w14:textId="77777777" w:rsidR="00AA7DBD" w:rsidRPr="00AA7DBD" w:rsidRDefault="00AA7DBD" w:rsidP="00AA7DBD">
      <w:pPr>
        <w:rPr>
          <w:rFonts w:ascii="Times New Roman" w:hAnsi="Times New Roman" w:cs="Times New Roman"/>
          <w:b/>
          <w:sz w:val="32"/>
          <w:szCs w:val="32"/>
        </w:rPr>
      </w:pPr>
    </w:p>
    <w:p w14:paraId="235F68DB" w14:textId="77777777" w:rsidR="00AA7DBD" w:rsidRPr="00AA7DBD" w:rsidRDefault="00AA7DBD" w:rsidP="00AA7DBD">
      <w:pPr>
        <w:spacing w:before="240" w:after="240"/>
        <w:jc w:val="center"/>
        <w:rPr>
          <w:rFonts w:ascii="Times New Roman" w:hAnsi="Times New Roman" w:cs="Times New Roman"/>
          <w:b/>
          <w:sz w:val="32"/>
          <w:szCs w:val="32"/>
        </w:rPr>
      </w:pPr>
      <w:r w:rsidRPr="00AA7DBD">
        <w:rPr>
          <w:rFonts w:ascii="Times New Roman" w:hAnsi="Times New Roman" w:cs="Times New Roman"/>
          <w:b/>
          <w:sz w:val="32"/>
          <w:szCs w:val="32"/>
        </w:rPr>
        <w:lastRenderedPageBreak/>
        <w:t>Pašreizējās situācijas raksturojums</w:t>
      </w:r>
    </w:p>
    <w:p w14:paraId="1E466504" w14:textId="77777777" w:rsidR="00AA7DBD" w:rsidRPr="00AA7DBD" w:rsidRDefault="00AA7DBD" w:rsidP="00AA7DBD">
      <w:pPr>
        <w:spacing w:after="0" w:line="240" w:lineRule="auto"/>
        <w:ind w:firstLine="799"/>
        <w:jc w:val="both"/>
        <w:rPr>
          <w:rFonts w:ascii="Times New Roman" w:eastAsia="Calibri" w:hAnsi="Times New Roman" w:cs="Times New Roman"/>
          <w:sz w:val="28"/>
          <w:szCs w:val="28"/>
        </w:rPr>
      </w:pPr>
      <w:r w:rsidRPr="00AA7DBD">
        <w:rPr>
          <w:rFonts w:ascii="Times New Roman" w:eastAsia="Calibri" w:hAnsi="Times New Roman" w:cs="Times New Roman"/>
          <w:sz w:val="28"/>
          <w:szCs w:val="28"/>
        </w:rPr>
        <w:t>Atbilstoši Ministru kabineta 2012.gada 13.februāra rīkojumam Nr.72 „Par Koncepciju par korupcijas risku samazināšanu valsts pārvaldes iestādēs un pašvaldībās” 7.punktam,</w:t>
      </w:r>
      <w:proofErr w:type="gramStart"/>
      <w:r w:rsidRPr="00AA7DBD">
        <w:rPr>
          <w:rFonts w:ascii="Times New Roman" w:eastAsia="Calibri" w:hAnsi="Times New Roman" w:cs="Times New Roman"/>
          <w:sz w:val="28"/>
          <w:szCs w:val="28"/>
        </w:rPr>
        <w:t xml:space="preserve">  </w:t>
      </w:r>
      <w:proofErr w:type="gramEnd"/>
      <w:r w:rsidRPr="00AA7DBD">
        <w:rPr>
          <w:rFonts w:ascii="Times New Roman" w:eastAsia="Calibri" w:hAnsi="Times New Roman" w:cs="Times New Roman"/>
          <w:sz w:val="28"/>
          <w:szCs w:val="28"/>
        </w:rPr>
        <w:t>Aizsardzības ministrija, Ārlietu ministrija, Ekonomikas ministrija, Finanšu ministrija, Iekšlietu ministrija, Izglītības un zinātnes ministrija, Kultūras ministrija, Labklājības ministrija, Satiksmes ministrija, Tieslietu ministrija, Vides aizsardzības un reģionālās attīstības ministrija, Veselības ministrija, Zemkopības ministrija un Valsts kanceleja līdz 2013.gada 30.novembrim bija iesniegusi Korupcijas novēršanas un apkarošanas birojam informāciju par Koncepcijā ietvertā risinājuma 3.variantā minēto uzdevumu īstenošanas gaitu attiecīgajās institūcijās.</w:t>
      </w:r>
    </w:p>
    <w:p w14:paraId="0D9DFA8F" w14:textId="77777777" w:rsidR="00AA7DBD" w:rsidRPr="00AA7DBD" w:rsidRDefault="00AA7DBD" w:rsidP="00AA7DBD">
      <w:pPr>
        <w:spacing w:after="0" w:line="240" w:lineRule="auto"/>
        <w:ind w:firstLine="799"/>
        <w:jc w:val="both"/>
        <w:rPr>
          <w:rFonts w:ascii="Times New Roman" w:eastAsia="Calibri" w:hAnsi="Times New Roman" w:cs="Times New Roman"/>
          <w:sz w:val="28"/>
          <w:szCs w:val="28"/>
        </w:rPr>
      </w:pPr>
      <w:r w:rsidRPr="00AA7DBD">
        <w:rPr>
          <w:rFonts w:ascii="Times New Roman" w:eastAsia="Calibri" w:hAnsi="Times New Roman" w:cs="Times New Roman"/>
          <w:sz w:val="28"/>
          <w:szCs w:val="28"/>
        </w:rPr>
        <w:t>Savukārt pamatojoties uz Ministru kabineta 2015.gada 19.janvāra rīkojumu Nr.20, kurā līdz 2015.gada 31.maijam tika pagarināts informatīvā ziņojuma par Koncepcijas ieviešanu termiņš, Korupcijas novēršanas un apkarošanas birojs lūdza aktualizēt informāciju par Koncepcijā ietvertā risinājuma 3.variantā minēto uzdevumu īstenošanas gaitu visām ministrijām un Valsts kancelejai.</w:t>
      </w:r>
    </w:p>
    <w:p w14:paraId="00A20AF5" w14:textId="77777777" w:rsidR="00AA7DBD" w:rsidRPr="00AA7DBD" w:rsidRDefault="00AA7DBD" w:rsidP="00AA7DBD">
      <w:pPr>
        <w:spacing w:after="0" w:line="240" w:lineRule="auto"/>
        <w:ind w:firstLine="799"/>
        <w:jc w:val="both"/>
        <w:rPr>
          <w:rFonts w:ascii="Times New Roman" w:hAnsi="Times New Roman" w:cs="Times New Roman"/>
          <w:sz w:val="28"/>
          <w:szCs w:val="28"/>
        </w:rPr>
      </w:pPr>
      <w:proofErr w:type="gramStart"/>
      <w:r w:rsidRPr="00AA7DBD">
        <w:rPr>
          <w:rStyle w:val="spelle"/>
          <w:rFonts w:ascii="Times New Roman" w:hAnsi="Times New Roman" w:cs="Times New Roman"/>
          <w:sz w:val="28"/>
          <w:szCs w:val="28"/>
        </w:rPr>
        <w:t>Balstoties uz iepriekš minēto, Korupcijas novēršanas un apkarošanas</w:t>
      </w:r>
      <w:proofErr w:type="gramEnd"/>
      <w:r w:rsidRPr="00AA7DBD">
        <w:rPr>
          <w:rStyle w:val="spelle"/>
          <w:rFonts w:ascii="Times New Roman" w:hAnsi="Times New Roman" w:cs="Times New Roman"/>
          <w:sz w:val="28"/>
          <w:szCs w:val="28"/>
        </w:rPr>
        <w:t xml:space="preserve"> birojs s</w:t>
      </w:r>
      <w:r w:rsidRPr="00AA7DBD">
        <w:rPr>
          <w:rFonts w:ascii="Times New Roman" w:hAnsi="Times New Roman" w:cs="Times New Roman"/>
          <w:sz w:val="28"/>
          <w:szCs w:val="28"/>
        </w:rPr>
        <w:t>niedz apkopoto informāciju par paveikto korupcijas risku samazināšanā valsts pārvaldes iestādēs un pašvaldībās. Savukārt izvērtējot apkopoto informāciju tiks noteikta tiesību aktu projektu izstrādes nepieciešamība.</w:t>
      </w:r>
    </w:p>
    <w:p w14:paraId="638B05A9" w14:textId="77777777" w:rsidR="00AA7DBD" w:rsidRPr="00AA7DBD" w:rsidRDefault="00AA7DBD" w:rsidP="00AA7DBD">
      <w:pPr>
        <w:pStyle w:val="CommentText"/>
        <w:numPr>
          <w:ilvl w:val="0"/>
          <w:numId w:val="7"/>
        </w:numPr>
        <w:spacing w:before="360" w:after="360"/>
        <w:ind w:left="714" w:hanging="357"/>
        <w:jc w:val="both"/>
        <w:rPr>
          <w:b/>
          <w:i/>
          <w:sz w:val="28"/>
          <w:szCs w:val="28"/>
        </w:rPr>
      </w:pPr>
      <w:bookmarkStart w:id="0" w:name="_Ref413160844"/>
      <w:r w:rsidRPr="00AA7DBD">
        <w:rPr>
          <w:b/>
          <w:i/>
          <w:sz w:val="28"/>
          <w:szCs w:val="28"/>
        </w:rPr>
        <w:t>Visām institūcijām noteikt, kurās korupcijas riska jomās nodarbinātajām valsts amatpersonām (turpmāk − amatpersonas), atalgojums ir kritiski zems un nepietiekošs mājsaimniecības pamatvajadzību nodrošināšanā un sastādīt vidēja termiņa plānu, kā iestāde novērsīs ekonomiskos priekšnoteikumus korupcijas risku mazināšanai.</w:t>
      </w:r>
      <w:bookmarkEnd w:id="0"/>
    </w:p>
    <w:p w14:paraId="67650820" w14:textId="77777777" w:rsidR="00AA7DBD" w:rsidRPr="00AA7DBD" w:rsidRDefault="00AA7DBD" w:rsidP="00AA7DBD">
      <w:pPr>
        <w:pStyle w:val="CommentText"/>
        <w:ind w:firstLine="567"/>
        <w:jc w:val="both"/>
        <w:rPr>
          <w:sz w:val="28"/>
          <w:szCs w:val="28"/>
        </w:rPr>
      </w:pPr>
      <w:r w:rsidRPr="00AA7DBD">
        <w:rPr>
          <w:sz w:val="28"/>
          <w:szCs w:val="28"/>
        </w:rPr>
        <w:t xml:space="preserve">Valsts kancelejas, visu ministriju un to padotības institūciju nodarbinātajiem atalgojums ir noteikts atbilstoši Valsts un pašvaldību institūciju amatpersonu un darbinieku atlīdzības likumam un saistītajiem Ministru kabineta noteikumiem. </w:t>
      </w:r>
    </w:p>
    <w:p w14:paraId="29F58FDD" w14:textId="77777777" w:rsidR="00AA7DBD" w:rsidRPr="00AA7DBD" w:rsidRDefault="00AA7DBD" w:rsidP="00AA7DBD">
      <w:pPr>
        <w:pStyle w:val="CommentText"/>
        <w:ind w:firstLine="567"/>
        <w:jc w:val="both"/>
        <w:rPr>
          <w:sz w:val="28"/>
          <w:szCs w:val="28"/>
        </w:rPr>
      </w:pPr>
      <w:r w:rsidRPr="00AA7DBD">
        <w:rPr>
          <w:sz w:val="28"/>
          <w:szCs w:val="28"/>
        </w:rPr>
        <w:t xml:space="preserve">Minimālā adekvātā atalgojuma summa, kas ir norādīta Koncepcijā, ir aprēķināta saskaņā ar formulu „195,27 x 2,5”, kas sastāda 488,18 Ls jeb 694.62 EUR (kur 195,27 lati ir pēc Centrālās statistikas pārvaldes Mājsaimniecību patēriņa izdevumu aprēķiniem vidēji uz 1 mājsaimniecības locekli mēnesī (2009.gadā) nepieciešamie ienākumi un 2,5 ir aprēķināts pieņemot, </w:t>
      </w:r>
      <w:proofErr w:type="gramStart"/>
      <w:r w:rsidRPr="00AA7DBD">
        <w:rPr>
          <w:sz w:val="28"/>
          <w:szCs w:val="28"/>
        </w:rPr>
        <w:t>ka valsts amatpersonai var būt</w:t>
      </w:r>
      <w:proofErr w:type="gramEnd"/>
      <w:r w:rsidRPr="00AA7DBD">
        <w:rPr>
          <w:sz w:val="28"/>
          <w:szCs w:val="28"/>
        </w:rPr>
        <w:t xml:space="preserve"> jāuztur vēl vismaz viens vai divi apgādājamie, proti, no vienas algas vidēji jāuztur 2,5 personas).</w:t>
      </w:r>
    </w:p>
    <w:p w14:paraId="4C9CDBC3" w14:textId="77777777" w:rsidR="00AA7DBD" w:rsidRPr="00AA7DBD" w:rsidRDefault="00AA7DBD" w:rsidP="00AA7DBD">
      <w:pPr>
        <w:pStyle w:val="CommentText"/>
        <w:ind w:firstLine="567"/>
        <w:jc w:val="both"/>
        <w:rPr>
          <w:sz w:val="28"/>
          <w:szCs w:val="28"/>
        </w:rPr>
      </w:pPr>
      <w:r w:rsidRPr="00AA7DBD">
        <w:rPr>
          <w:sz w:val="28"/>
          <w:szCs w:val="28"/>
        </w:rPr>
        <w:t xml:space="preserve">Birojs atzīst, ka Koncepcijā piedāvātā formula, kura nosaka kritiski zemu un mājsaimniecības pamatvajadzību nodrošināšanai nepietiekošu atalgojumu, nav </w:t>
      </w:r>
      <w:r w:rsidRPr="00AA7DBD">
        <w:rPr>
          <w:sz w:val="28"/>
          <w:szCs w:val="28"/>
        </w:rPr>
        <w:lastRenderedPageBreak/>
        <w:t>pietiekoši objektīva, jo formulā izmantotie dati (patēriņa grozs vienai personai) jau ir novecojuši.</w:t>
      </w:r>
    </w:p>
    <w:p w14:paraId="38A7B6CF" w14:textId="77777777" w:rsidR="00AA7DBD" w:rsidRPr="00AA7DBD" w:rsidRDefault="00AA7DBD" w:rsidP="00AA7DBD">
      <w:pPr>
        <w:pStyle w:val="CommentText"/>
        <w:ind w:firstLine="567"/>
        <w:jc w:val="both"/>
        <w:rPr>
          <w:sz w:val="28"/>
          <w:szCs w:val="28"/>
        </w:rPr>
      </w:pPr>
      <w:r w:rsidRPr="00AA7DBD">
        <w:rPr>
          <w:sz w:val="28"/>
          <w:szCs w:val="28"/>
        </w:rPr>
        <w:t>Vēršam</w:t>
      </w:r>
      <w:proofErr w:type="gramStart"/>
      <w:r w:rsidRPr="00AA7DBD">
        <w:rPr>
          <w:sz w:val="28"/>
          <w:szCs w:val="28"/>
        </w:rPr>
        <w:t xml:space="preserve">  </w:t>
      </w:r>
      <w:proofErr w:type="gramEnd"/>
      <w:r w:rsidRPr="00AA7DBD">
        <w:rPr>
          <w:sz w:val="28"/>
          <w:szCs w:val="28"/>
        </w:rPr>
        <w:t xml:space="preserve">uzmanību, ka Labklājības ministrija ir izstrādājusi koncepcijas projektu „Par minimālā ienākuma līmeņa noteikšanu” </w:t>
      </w:r>
      <w:r w:rsidRPr="00AA7DBD">
        <w:rPr>
          <w:i/>
          <w:sz w:val="28"/>
          <w:szCs w:val="28"/>
        </w:rPr>
        <w:t xml:space="preserve">(izsludināts Valsts sekretāru sanāksmē 2014.gada 7.augustā (protokols Nr.30 </w:t>
      </w:r>
      <w:bookmarkStart w:id="1" w:name="13"/>
      <w:r w:rsidRPr="00AA7DBD">
        <w:rPr>
          <w:i/>
          <w:sz w:val="28"/>
          <w:szCs w:val="28"/>
        </w:rPr>
        <w:t>13</w:t>
      </w:r>
      <w:bookmarkEnd w:id="1"/>
      <w:r w:rsidRPr="00AA7DBD">
        <w:rPr>
          <w:i/>
          <w:sz w:val="28"/>
          <w:szCs w:val="28"/>
        </w:rPr>
        <w:t xml:space="preserve">.§ VSS–714)). </w:t>
      </w:r>
      <w:r w:rsidRPr="00AA7DBD">
        <w:rPr>
          <w:sz w:val="28"/>
          <w:szCs w:val="28"/>
        </w:rPr>
        <w:t>Ar</w:t>
      </w:r>
      <w:proofErr w:type="gramStart"/>
      <w:r w:rsidRPr="00AA7DBD">
        <w:rPr>
          <w:sz w:val="28"/>
          <w:szCs w:val="28"/>
        </w:rPr>
        <w:t xml:space="preserve"> </w:t>
      </w:r>
      <w:r w:rsidRPr="00AA7DBD">
        <w:rPr>
          <w:i/>
          <w:sz w:val="28"/>
          <w:szCs w:val="28"/>
        </w:rPr>
        <w:t xml:space="preserve"> </w:t>
      </w:r>
      <w:proofErr w:type="gramEnd"/>
      <w:r w:rsidRPr="00AA7DBD">
        <w:rPr>
          <w:sz w:val="28"/>
          <w:szCs w:val="28"/>
        </w:rPr>
        <w:t>Ministru kabineta 2014.gada 30.oktobra rīkojumu Nr.619 tika atbalstīts koncepcijas "Par minimālā ienākuma līmeņa noteikšanu" ietvertā risinājuma 2. variants, kurš paredz papildus risinājuma 1. variantam izstrādāt jaunu pilna iztikas minimuma patēriņa preču un pakalpojumu grozu dažādiem mājsaimniecību veidiem teritoriālā griezumā.</w:t>
      </w:r>
    </w:p>
    <w:p w14:paraId="151CFD6A" w14:textId="77777777" w:rsidR="00AA7DBD" w:rsidRPr="00AA7DBD" w:rsidRDefault="00AA7DBD" w:rsidP="00AA7DBD">
      <w:pPr>
        <w:pStyle w:val="CommentText"/>
        <w:ind w:firstLine="567"/>
        <w:jc w:val="both"/>
        <w:rPr>
          <w:sz w:val="28"/>
          <w:szCs w:val="28"/>
        </w:rPr>
      </w:pPr>
      <w:r w:rsidRPr="00AA7DBD">
        <w:rPr>
          <w:sz w:val="28"/>
          <w:szCs w:val="28"/>
        </w:rPr>
        <w:t xml:space="preserve">Balstoties uz Labklājības ministrijas novērtējumu par minimālo ienākumu līmeni vai iztikas minimuma patēriņa preču un pakalpojumu grozu dažādiem mājsaimniecību veidiem teritoriālajā griezumā, nepieciešams pārskatīt atalgojuma aprēķina principus tiesībsargājošajās institūcijās, ārstniecības iestādēs, kā arī ES struktūrfondu projektu </w:t>
      </w:r>
      <w:proofErr w:type="spellStart"/>
      <w:r w:rsidRPr="00AA7DBD">
        <w:rPr>
          <w:sz w:val="28"/>
          <w:szCs w:val="28"/>
        </w:rPr>
        <w:t>ieviesējinstitūcijās</w:t>
      </w:r>
      <w:proofErr w:type="spellEnd"/>
      <w:r w:rsidRPr="00AA7DBD">
        <w:rPr>
          <w:sz w:val="28"/>
          <w:szCs w:val="28"/>
        </w:rPr>
        <w:t>, nodrošinot, ka no korupcijas viedokļa sensitīvajos amatos strādājošie saņem uzticētajai atbildībai un deleģētajai varai atbilstošu atalgojumu, kas ir arī pietiekams mājsaimniecības pamatvajadzību nodrošināšanai.</w:t>
      </w:r>
    </w:p>
    <w:p w14:paraId="143299A9" w14:textId="77777777" w:rsidR="00AA7DBD" w:rsidRPr="00AA7DBD" w:rsidRDefault="00AA7DBD" w:rsidP="00AA7DBD">
      <w:pPr>
        <w:pStyle w:val="CommentText"/>
        <w:ind w:firstLine="567"/>
        <w:jc w:val="both"/>
        <w:rPr>
          <w:sz w:val="28"/>
          <w:szCs w:val="28"/>
        </w:rPr>
      </w:pPr>
      <w:r w:rsidRPr="00AA7DBD">
        <w:rPr>
          <w:sz w:val="28"/>
          <w:szCs w:val="28"/>
        </w:rPr>
        <w:t>Informējam, ka Korupcijas novēršanas un apkarošanas biroja pamatnostādnēs</w:t>
      </w:r>
      <w:proofErr w:type="gramStart"/>
      <w:r w:rsidRPr="00AA7DBD">
        <w:rPr>
          <w:sz w:val="28"/>
          <w:szCs w:val="28"/>
        </w:rPr>
        <w:t xml:space="preserve">  </w:t>
      </w:r>
      <w:proofErr w:type="gramEnd"/>
      <w:r w:rsidRPr="00AA7DBD">
        <w:rPr>
          <w:sz w:val="28"/>
          <w:szCs w:val="28"/>
        </w:rPr>
        <w:t>2015.-2020.gadam (apstiprinātas ar Ministru kabineta 2015.gada 16.jūlija rīkojumu Nr.393)  ir paredzēts uzdevums visām ministrijām balstoties uz Labklājības ministrijas novērtējumu par minimālo ienākumu līmeni vai iztikas minimuma patēriņa preču un pakalpojumu grozu dažādiem mājsaimniecību veidiem teritoriālajā griezumā, analizēt un identificēt korupcijas riskam pakļautos amatus valsts pārvaldē, kam noteiktā atlīdzība nav pietiekama mājsaimniecības pamatvajadzību nodrošināšanai ar ļoti zemiem ienākumiem, izvērtējot iespēju paaugstināt atlīdzību.</w:t>
      </w:r>
      <w:r w:rsidRPr="00AA7DBD">
        <w:rPr>
          <w:rStyle w:val="FootnoteReference"/>
          <w:sz w:val="28"/>
          <w:szCs w:val="28"/>
        </w:rPr>
        <w:footnoteReference w:id="1"/>
      </w:r>
    </w:p>
    <w:p w14:paraId="743DAD2D" w14:textId="77777777" w:rsidR="00AA7DBD" w:rsidRPr="00AA7DBD" w:rsidRDefault="00AA7DBD" w:rsidP="00AA7DBD">
      <w:pPr>
        <w:pStyle w:val="CommentText"/>
        <w:ind w:firstLine="567"/>
        <w:jc w:val="both"/>
        <w:rPr>
          <w:sz w:val="28"/>
          <w:szCs w:val="28"/>
        </w:rPr>
      </w:pPr>
      <w:r w:rsidRPr="00AA7DBD">
        <w:rPr>
          <w:sz w:val="28"/>
          <w:szCs w:val="28"/>
        </w:rPr>
        <w:t xml:space="preserve">Šis uzdevums būtībā paredz to, ka katrai ministrijai ir jāidentificē tie amati, kuri ir pakļauti korupcijas riskam </w:t>
      </w:r>
      <w:proofErr w:type="gramStart"/>
      <w:r w:rsidRPr="00AA7DBD">
        <w:rPr>
          <w:sz w:val="28"/>
          <w:szCs w:val="28"/>
        </w:rPr>
        <w:t>un,</w:t>
      </w:r>
      <w:proofErr w:type="gramEnd"/>
      <w:r w:rsidRPr="00AA7DBD">
        <w:rPr>
          <w:sz w:val="28"/>
          <w:szCs w:val="28"/>
        </w:rPr>
        <w:t xml:space="preserve"> kuru noteiktā atlīdzība nav pietiekama mājsaimniecību pamatvajadzību nodrošināšanai. Rezultātā, ņemot vērā amatu pienākumus, korupcijas riska iestāšanās varbūtību un zemo atalgojumu, visām ministrijām būs iespēja sniegt priekšlikumus un ierosināt atalgojuma paaugstināšanu noteiktajiem amatiem.</w:t>
      </w:r>
    </w:p>
    <w:p w14:paraId="7D298DCE" w14:textId="77777777" w:rsidR="00AA7DBD" w:rsidRPr="00AA7DBD" w:rsidRDefault="00AA7DBD" w:rsidP="00AA7DBD">
      <w:pPr>
        <w:pStyle w:val="CommentText"/>
        <w:ind w:firstLine="567"/>
        <w:jc w:val="both"/>
        <w:rPr>
          <w:sz w:val="28"/>
          <w:szCs w:val="28"/>
        </w:rPr>
      </w:pPr>
      <w:r w:rsidRPr="00AA7DBD">
        <w:rPr>
          <w:sz w:val="28"/>
          <w:szCs w:val="28"/>
        </w:rPr>
        <w:t xml:space="preserve"> Savukārt šobrīd institūcijas, kuras ir identificējušas amatus, kuri ir pakļauti augstiem korupcijas riskiem, katru gadu saskaņā ar iestādes budžeta iespējām un papildus piešķirto finansējumu (ja tāds ir), pārskata un pakāpeniski palielina minēto amatpersonu atalgojumu, ņemot vērā iespējamos korupcijas riskus amatu pienākumu pildīšanā. Papildus tiek īstenoti pasākumi korupcijas risku mazināšanai, </w:t>
      </w:r>
      <w:r w:rsidRPr="00AA7DBD">
        <w:rPr>
          <w:sz w:val="28"/>
          <w:szCs w:val="28"/>
        </w:rPr>
        <w:lastRenderedPageBreak/>
        <w:t xml:space="preserve">piemēram, Aizsardzības ministrija un tās padotības iestādes norāda, ka 2012. un 2013.gadā ir izvērtējušas, vai amatpersonām pildot savus </w:t>
      </w:r>
      <w:bookmarkStart w:id="2" w:name="_GoBack"/>
      <w:bookmarkEnd w:id="2"/>
      <w:r w:rsidRPr="00AA7DBD">
        <w:rPr>
          <w:sz w:val="28"/>
          <w:szCs w:val="28"/>
        </w:rPr>
        <w:t>amata pienākumus, pastāv augsts korupcijas risks. Rezultātā nav konstatēts augsts korupcijas risks pildot amata pienākumus, jo tiek nodrošināts, ka:</w:t>
      </w:r>
    </w:p>
    <w:p w14:paraId="3E321EC8" w14:textId="77777777" w:rsidR="00AA7DBD" w:rsidRPr="00AA7DBD" w:rsidRDefault="00AA7DBD" w:rsidP="00AA7DBD">
      <w:pPr>
        <w:pStyle w:val="CommentText"/>
        <w:numPr>
          <w:ilvl w:val="0"/>
          <w:numId w:val="6"/>
        </w:numPr>
        <w:ind w:firstLine="567"/>
        <w:jc w:val="both"/>
        <w:rPr>
          <w:sz w:val="28"/>
          <w:szCs w:val="28"/>
        </w:rPr>
      </w:pPr>
      <w:r w:rsidRPr="00AA7DBD">
        <w:rPr>
          <w:sz w:val="28"/>
          <w:szCs w:val="28"/>
        </w:rPr>
        <w:t>personām, pildot savus pienākumus, nav iespējas rīkoties vienpersoniski;</w:t>
      </w:r>
    </w:p>
    <w:p w14:paraId="23D3BDBE" w14:textId="77777777" w:rsidR="00AA7DBD" w:rsidRPr="00AA7DBD" w:rsidRDefault="00AA7DBD" w:rsidP="00AA7DBD">
      <w:pPr>
        <w:pStyle w:val="CommentText"/>
        <w:numPr>
          <w:ilvl w:val="0"/>
          <w:numId w:val="6"/>
        </w:numPr>
        <w:ind w:firstLine="567"/>
        <w:jc w:val="both"/>
        <w:rPr>
          <w:sz w:val="28"/>
          <w:szCs w:val="28"/>
        </w:rPr>
      </w:pPr>
      <w:r w:rsidRPr="00AA7DBD">
        <w:rPr>
          <w:sz w:val="28"/>
          <w:szCs w:val="28"/>
        </w:rPr>
        <w:t>ir izveidota iekšējās kontroles vide, izstrādātas iekšējās kontroles procedūras;</w:t>
      </w:r>
    </w:p>
    <w:p w14:paraId="0D22E8C2" w14:textId="77777777" w:rsidR="00AA7DBD" w:rsidRPr="00AA7DBD" w:rsidRDefault="00AA7DBD" w:rsidP="00AA7DBD">
      <w:pPr>
        <w:pStyle w:val="CommentText"/>
        <w:numPr>
          <w:ilvl w:val="0"/>
          <w:numId w:val="6"/>
        </w:numPr>
        <w:ind w:firstLine="567"/>
        <w:jc w:val="both"/>
        <w:rPr>
          <w:sz w:val="28"/>
          <w:szCs w:val="28"/>
        </w:rPr>
      </w:pPr>
      <w:r w:rsidRPr="00AA7DBD">
        <w:rPr>
          <w:sz w:val="28"/>
          <w:szCs w:val="28"/>
        </w:rPr>
        <w:t>amata pienākumi tiek pildīti ievērojot normatīvo aktu regulējumu;</w:t>
      </w:r>
    </w:p>
    <w:p w14:paraId="0F481FF0" w14:textId="77777777" w:rsidR="00AA7DBD" w:rsidRPr="00AA7DBD" w:rsidRDefault="00AA7DBD" w:rsidP="00AA7DBD">
      <w:pPr>
        <w:pStyle w:val="CommentText"/>
        <w:numPr>
          <w:ilvl w:val="0"/>
          <w:numId w:val="6"/>
        </w:numPr>
        <w:ind w:firstLine="567"/>
        <w:jc w:val="both"/>
        <w:rPr>
          <w:sz w:val="28"/>
          <w:szCs w:val="28"/>
        </w:rPr>
      </w:pPr>
      <w:r w:rsidRPr="00AA7DBD">
        <w:rPr>
          <w:sz w:val="28"/>
          <w:szCs w:val="28"/>
        </w:rPr>
        <w:t>pastāv stingri rīcības kontroles un uzraudzības mehānismi.</w:t>
      </w:r>
      <w:r w:rsidRPr="00AA7DBD">
        <w:rPr>
          <w:rStyle w:val="FootnoteReference"/>
          <w:sz w:val="28"/>
          <w:szCs w:val="28"/>
        </w:rPr>
        <w:footnoteReference w:id="2"/>
      </w:r>
    </w:p>
    <w:p w14:paraId="5CFDFC46" w14:textId="77777777" w:rsidR="00AA7DBD" w:rsidRPr="00AA7DBD" w:rsidRDefault="00AA7DBD" w:rsidP="00AA7DBD">
      <w:pPr>
        <w:pStyle w:val="CommentText"/>
        <w:ind w:firstLine="567"/>
        <w:jc w:val="both"/>
        <w:rPr>
          <w:sz w:val="16"/>
          <w:szCs w:val="16"/>
        </w:rPr>
      </w:pPr>
    </w:p>
    <w:p w14:paraId="16C3EB37" w14:textId="77777777" w:rsidR="00AA7DBD" w:rsidRPr="00AA7DBD" w:rsidRDefault="00AA7DBD" w:rsidP="00AA7DBD">
      <w:pPr>
        <w:pStyle w:val="CommentText"/>
        <w:ind w:firstLine="567"/>
        <w:jc w:val="both"/>
        <w:rPr>
          <w:sz w:val="28"/>
          <w:szCs w:val="28"/>
        </w:rPr>
      </w:pPr>
      <w:r w:rsidRPr="00AA7DBD">
        <w:rPr>
          <w:sz w:val="28"/>
          <w:szCs w:val="28"/>
        </w:rPr>
        <w:t>Jāpiemin arī tas, ka tiek izstrādāta uz jauniem principiem balstīta darba samaksas sistēma Iekšlietu ministrijas sistēmas iestāžu un Ieslodzījuma vietu pārvaldes amatpersonām ar speciālajām dienesta pakāpēm. Ar Ministru kabineta 2013.gada 27.decembra rīkojumu Nr.675 „Par Koncepciju par jaunu darba samaksas sistēmu Iekšlietu ministrijas sistēmas iestāžu un Ieslodzījuma vietu pārvaldes amatpersonām ar speciālajām dienesta pakāpēm” tika atbalstīts Koncepcijas par jaunu darba samaksas sistēmu Iekšlietu ministrijas sistēmas iestāžu un Ieslodzījuma vietu pārvaldes amatpersonām ar speciālajām dienesta pakāpēm 3.2.apakšpunktā ietvertā risinājuma 2.variants. Lai izstrādātu iepriekš minēto darba samaksas sistēmu ar Iekšlietu ministrijas 2014.gada 17.februāra rīkojumu Nr.1-12/365 „Par darba grupas izveidošanu” tika izveidota darba grupa, kurai tika uzdota amatpersonu ar speciālajām dienesta pakāpēm amatu kataloga, amatu novērtēšanas kritēriju izstrāde un amatu vērtēšana. Viens no amatu vērtēšanas pamatkritērijiem ir iespējamie korupcijas riski.</w:t>
      </w:r>
      <w:r w:rsidRPr="00AA7DBD">
        <w:rPr>
          <w:rStyle w:val="FootnoteReference"/>
          <w:sz w:val="28"/>
          <w:szCs w:val="28"/>
        </w:rPr>
        <w:footnoteReference w:id="3"/>
      </w:r>
      <w:r w:rsidRPr="00AA7DBD">
        <w:rPr>
          <w:sz w:val="28"/>
          <w:szCs w:val="28"/>
        </w:rPr>
        <w:t xml:space="preserve"> Tādējādi nodrošinot, ka korupcijas riska jomās nodarbinātajām amatpersonām atalgojums tiks noteikts</w:t>
      </w:r>
      <w:proofErr w:type="gramStart"/>
      <w:r w:rsidRPr="00AA7DBD">
        <w:rPr>
          <w:sz w:val="28"/>
          <w:szCs w:val="28"/>
        </w:rPr>
        <w:t xml:space="preserve"> ņemot vērā iespējamos korupcijas riskus</w:t>
      </w:r>
      <w:proofErr w:type="gramEnd"/>
      <w:r w:rsidRPr="00AA7DBD">
        <w:rPr>
          <w:sz w:val="28"/>
          <w:szCs w:val="28"/>
        </w:rPr>
        <w:t>.</w:t>
      </w:r>
    </w:p>
    <w:p w14:paraId="75235207" w14:textId="77777777" w:rsidR="00AA7DBD" w:rsidRPr="00AA7DBD" w:rsidRDefault="00AA7DBD" w:rsidP="00AA7DBD">
      <w:pPr>
        <w:pStyle w:val="CommentText"/>
        <w:numPr>
          <w:ilvl w:val="0"/>
          <w:numId w:val="7"/>
        </w:numPr>
        <w:spacing w:before="360" w:after="360"/>
        <w:ind w:left="714" w:hanging="357"/>
        <w:jc w:val="both"/>
        <w:rPr>
          <w:b/>
          <w:i/>
          <w:sz w:val="28"/>
          <w:szCs w:val="28"/>
        </w:rPr>
      </w:pPr>
      <w:r w:rsidRPr="00AA7DBD">
        <w:rPr>
          <w:b/>
          <w:i/>
          <w:sz w:val="28"/>
          <w:szCs w:val="28"/>
        </w:rPr>
        <w:t>Izvērtēt iespēju no 2013.gada nākošo trīs gadu laikā palielināt atalgojumu korupcijas riskam pakļautajos amatos nodarbinātajām amatpersonām, kuru atalgojums ir kritiski zems un nepietiekošs mājsaimniecības pamatvajadzību nodrošināšanā.</w:t>
      </w:r>
    </w:p>
    <w:p w14:paraId="670EC775" w14:textId="77777777" w:rsidR="00AA7DBD" w:rsidRPr="00AA7DBD" w:rsidRDefault="00AA7DBD" w:rsidP="00AA7DBD">
      <w:pPr>
        <w:widowControl w:val="0"/>
        <w:spacing w:after="0" w:line="240" w:lineRule="auto"/>
        <w:ind w:firstLine="567"/>
        <w:jc w:val="both"/>
        <w:rPr>
          <w:rFonts w:ascii="Times New Roman" w:eastAsia="Calibri" w:hAnsi="Times New Roman" w:cs="Times New Roman"/>
          <w:sz w:val="28"/>
          <w:szCs w:val="28"/>
        </w:rPr>
      </w:pPr>
      <w:r w:rsidRPr="00AA7DBD">
        <w:rPr>
          <w:rFonts w:ascii="Times New Roman" w:eastAsia="Calibri" w:hAnsi="Times New Roman" w:cs="Times New Roman"/>
          <w:sz w:val="28"/>
          <w:szCs w:val="28"/>
        </w:rPr>
        <w:t xml:space="preserve">Saskaņā ar iestādes budžeta iespējām institūcijās, kurās ir noteiktas korupcijas riska jomas, tiek pārskatīts un pakāpeniski palielināts atalgojums korupcijas riskam pakļautajos amatos nodarbinātajām personām. </w:t>
      </w:r>
    </w:p>
    <w:p w14:paraId="3D06C984" w14:textId="77777777" w:rsidR="00AA7DBD" w:rsidRPr="00AA7DBD" w:rsidRDefault="00AA7DBD" w:rsidP="00AA7DBD">
      <w:pPr>
        <w:widowControl w:val="0"/>
        <w:spacing w:after="0" w:line="240" w:lineRule="auto"/>
        <w:ind w:firstLine="567"/>
        <w:jc w:val="both"/>
        <w:rPr>
          <w:rFonts w:ascii="Times New Roman" w:eastAsia="Calibri" w:hAnsi="Times New Roman" w:cs="Times New Roman"/>
          <w:sz w:val="28"/>
          <w:szCs w:val="28"/>
        </w:rPr>
      </w:pPr>
      <w:r w:rsidRPr="00AA7DBD">
        <w:rPr>
          <w:rFonts w:ascii="Times New Roman" w:eastAsia="Calibri" w:hAnsi="Times New Roman" w:cs="Times New Roman"/>
          <w:sz w:val="28"/>
          <w:szCs w:val="28"/>
        </w:rPr>
        <w:t xml:space="preserve">Finanšu ministrija izvērtējot valsts tiešās pārvaldes iestāžu amatpersonu </w:t>
      </w:r>
      <w:r w:rsidRPr="00AA7DBD">
        <w:rPr>
          <w:rFonts w:ascii="Times New Roman" w:eastAsia="Calibri" w:hAnsi="Times New Roman" w:cs="Times New Roman"/>
          <w:sz w:val="28"/>
          <w:szCs w:val="28"/>
        </w:rPr>
        <w:lastRenderedPageBreak/>
        <w:t xml:space="preserve">atlīdzības uzskaites sistēmā (datu bāzē) esošos 2012.gada oktobra datus salīdzinājumā pret 2014.gada decembra datiem </w:t>
      </w:r>
      <w:proofErr w:type="gramStart"/>
      <w:r w:rsidRPr="00AA7DBD">
        <w:rPr>
          <w:rFonts w:ascii="Times New Roman" w:eastAsia="Calibri" w:hAnsi="Times New Roman" w:cs="Times New Roman"/>
          <w:sz w:val="28"/>
          <w:szCs w:val="28"/>
        </w:rPr>
        <w:t>(</w:t>
      </w:r>
      <w:proofErr w:type="gramEnd"/>
      <w:r w:rsidRPr="00AA7DBD">
        <w:rPr>
          <w:rFonts w:ascii="Times New Roman" w:eastAsia="Calibri" w:hAnsi="Times New Roman" w:cs="Times New Roman"/>
          <w:sz w:val="28"/>
          <w:szCs w:val="28"/>
        </w:rPr>
        <w:t xml:space="preserve">26.saime </w:t>
      </w:r>
      <w:r w:rsidRPr="00AA7DBD">
        <w:rPr>
          <w:rFonts w:ascii="Times New Roman" w:eastAsia="Calibri" w:hAnsi="Times New Roman" w:cs="Times New Roman"/>
          <w:i/>
          <w:sz w:val="28"/>
          <w:szCs w:val="28"/>
        </w:rPr>
        <w:t>Kontrole un uzraudzība</w:t>
      </w:r>
      <w:r w:rsidRPr="00AA7DBD">
        <w:rPr>
          <w:rFonts w:ascii="Times New Roman" w:eastAsia="Calibri" w:hAnsi="Times New Roman" w:cs="Times New Roman"/>
          <w:sz w:val="28"/>
          <w:szCs w:val="28"/>
        </w:rPr>
        <w:t xml:space="preserve"> un </w:t>
      </w:r>
      <w:proofErr w:type="spellStart"/>
      <w:r w:rsidRPr="00AA7DBD">
        <w:rPr>
          <w:rFonts w:ascii="Times New Roman" w:eastAsia="Calibri" w:hAnsi="Times New Roman" w:cs="Times New Roman"/>
          <w:sz w:val="28"/>
          <w:szCs w:val="28"/>
        </w:rPr>
        <w:t>apakšsaimes</w:t>
      </w:r>
      <w:proofErr w:type="spellEnd"/>
      <w:r w:rsidRPr="00AA7DBD">
        <w:rPr>
          <w:rFonts w:ascii="Times New Roman" w:eastAsia="Calibri" w:hAnsi="Times New Roman" w:cs="Times New Roman"/>
          <w:sz w:val="28"/>
          <w:szCs w:val="28"/>
        </w:rPr>
        <w:t xml:space="preserve"> 26.1. </w:t>
      </w:r>
      <w:r w:rsidRPr="00AA7DBD">
        <w:rPr>
          <w:rFonts w:ascii="Times New Roman" w:eastAsia="Calibri" w:hAnsi="Times New Roman" w:cs="Times New Roman"/>
          <w:i/>
          <w:sz w:val="28"/>
          <w:szCs w:val="28"/>
        </w:rPr>
        <w:t>Iestāžu un amatpersonu kontrole</w:t>
      </w:r>
      <w:r w:rsidRPr="00AA7DBD">
        <w:rPr>
          <w:rFonts w:ascii="Times New Roman" w:eastAsia="Calibri" w:hAnsi="Times New Roman" w:cs="Times New Roman"/>
          <w:sz w:val="28"/>
          <w:szCs w:val="28"/>
        </w:rPr>
        <w:t xml:space="preserve">, 26.2. </w:t>
      </w:r>
      <w:r w:rsidRPr="00AA7DBD">
        <w:rPr>
          <w:rFonts w:ascii="Times New Roman" w:eastAsia="Calibri" w:hAnsi="Times New Roman" w:cs="Times New Roman"/>
          <w:i/>
          <w:sz w:val="28"/>
          <w:szCs w:val="28"/>
        </w:rPr>
        <w:t>Muita un muitas kontrole</w:t>
      </w:r>
      <w:r w:rsidRPr="00AA7DBD">
        <w:rPr>
          <w:rFonts w:ascii="Times New Roman" w:eastAsia="Calibri" w:hAnsi="Times New Roman" w:cs="Times New Roman"/>
          <w:sz w:val="28"/>
          <w:szCs w:val="28"/>
        </w:rPr>
        <w:t xml:space="preserve"> un 26.3. </w:t>
      </w:r>
      <w:r w:rsidRPr="00AA7DBD">
        <w:rPr>
          <w:rFonts w:ascii="Times New Roman" w:eastAsia="Calibri" w:hAnsi="Times New Roman" w:cs="Times New Roman"/>
          <w:i/>
          <w:sz w:val="28"/>
          <w:szCs w:val="28"/>
        </w:rPr>
        <w:t>Privātpersonu kontrole</w:t>
      </w:r>
      <w:r w:rsidRPr="00AA7DBD">
        <w:rPr>
          <w:rFonts w:ascii="Times New Roman" w:eastAsia="Calibri" w:hAnsi="Times New Roman" w:cs="Times New Roman"/>
          <w:sz w:val="28"/>
          <w:szCs w:val="28"/>
        </w:rPr>
        <w:t>), secina, ka vidējās mēnešalgas pieaugums ir sekojošs:</w:t>
      </w:r>
    </w:p>
    <w:p w14:paraId="486DAA04" w14:textId="77777777" w:rsidR="00AA7DBD" w:rsidRPr="00AA7DBD" w:rsidRDefault="00AA7DBD" w:rsidP="00AA7DBD">
      <w:pPr>
        <w:widowControl w:val="0"/>
        <w:numPr>
          <w:ilvl w:val="0"/>
          <w:numId w:val="5"/>
        </w:numPr>
        <w:spacing w:after="0" w:line="240" w:lineRule="auto"/>
        <w:ind w:firstLine="567"/>
        <w:jc w:val="both"/>
        <w:rPr>
          <w:rFonts w:ascii="Times New Roman" w:hAnsi="Times New Roman" w:cs="Times New Roman"/>
          <w:sz w:val="28"/>
          <w:szCs w:val="28"/>
          <w:lang w:eastAsia="lv-LV"/>
        </w:rPr>
      </w:pPr>
      <w:r w:rsidRPr="00AA7DBD">
        <w:rPr>
          <w:rFonts w:ascii="Times New Roman" w:hAnsi="Times New Roman" w:cs="Times New Roman"/>
          <w:sz w:val="28"/>
          <w:szCs w:val="28"/>
          <w:lang w:eastAsia="lv-LV"/>
        </w:rPr>
        <w:t>Aizsardzības ministrijas resorā ir 15%;</w:t>
      </w:r>
    </w:p>
    <w:p w14:paraId="322025DC" w14:textId="77777777" w:rsidR="00AA7DBD" w:rsidRPr="00AA7DBD" w:rsidRDefault="00AA7DBD" w:rsidP="00AA7DBD">
      <w:pPr>
        <w:widowControl w:val="0"/>
        <w:numPr>
          <w:ilvl w:val="0"/>
          <w:numId w:val="5"/>
        </w:numPr>
        <w:spacing w:after="0" w:line="240" w:lineRule="auto"/>
        <w:ind w:firstLine="567"/>
        <w:jc w:val="both"/>
        <w:rPr>
          <w:rFonts w:ascii="Times New Roman" w:hAnsi="Times New Roman" w:cs="Times New Roman"/>
          <w:sz w:val="28"/>
          <w:szCs w:val="28"/>
          <w:lang w:eastAsia="lv-LV"/>
        </w:rPr>
      </w:pPr>
      <w:r w:rsidRPr="00AA7DBD">
        <w:rPr>
          <w:rFonts w:ascii="Times New Roman" w:hAnsi="Times New Roman" w:cs="Times New Roman"/>
          <w:sz w:val="28"/>
          <w:szCs w:val="28"/>
          <w:lang w:eastAsia="lv-LV"/>
        </w:rPr>
        <w:t>Ekonomikas ministrijas resorā – 9%, t.sk. Patērētāju tiesību aizsardzības centrā – 12%;</w:t>
      </w:r>
    </w:p>
    <w:p w14:paraId="16592A90" w14:textId="77777777" w:rsidR="00AA7DBD" w:rsidRPr="00AA7DBD" w:rsidRDefault="00AA7DBD" w:rsidP="00AA7DBD">
      <w:pPr>
        <w:widowControl w:val="0"/>
        <w:numPr>
          <w:ilvl w:val="0"/>
          <w:numId w:val="5"/>
        </w:numPr>
        <w:spacing w:after="0" w:line="240" w:lineRule="auto"/>
        <w:ind w:firstLine="567"/>
        <w:jc w:val="both"/>
        <w:rPr>
          <w:rFonts w:ascii="Times New Roman" w:hAnsi="Times New Roman" w:cs="Times New Roman"/>
          <w:sz w:val="28"/>
          <w:szCs w:val="28"/>
          <w:lang w:eastAsia="lv-LV"/>
        </w:rPr>
      </w:pPr>
      <w:r w:rsidRPr="00AA7DBD">
        <w:rPr>
          <w:rFonts w:ascii="Times New Roman" w:hAnsi="Times New Roman" w:cs="Times New Roman"/>
          <w:sz w:val="28"/>
          <w:szCs w:val="28"/>
          <w:lang w:eastAsia="lv-LV"/>
        </w:rPr>
        <w:t>Labklājības ministrijas resorā – 14%, t.sk. Nodarbinātības valsts aģentūrā – 5%, Valsts darba inspekcijā – 14%;</w:t>
      </w:r>
    </w:p>
    <w:p w14:paraId="75C28E48" w14:textId="77777777" w:rsidR="00AA7DBD" w:rsidRPr="00AA7DBD" w:rsidRDefault="00AA7DBD" w:rsidP="00AA7DBD">
      <w:pPr>
        <w:widowControl w:val="0"/>
        <w:numPr>
          <w:ilvl w:val="0"/>
          <w:numId w:val="5"/>
        </w:numPr>
        <w:spacing w:after="0" w:line="240" w:lineRule="auto"/>
        <w:ind w:firstLine="567"/>
        <w:jc w:val="both"/>
        <w:rPr>
          <w:rFonts w:ascii="Times New Roman" w:hAnsi="Times New Roman" w:cs="Times New Roman"/>
          <w:sz w:val="28"/>
          <w:szCs w:val="28"/>
          <w:lang w:eastAsia="lv-LV"/>
        </w:rPr>
      </w:pPr>
      <w:r w:rsidRPr="00AA7DBD">
        <w:rPr>
          <w:rFonts w:ascii="Times New Roman" w:eastAsia="Calibri" w:hAnsi="Times New Roman" w:cs="Times New Roman"/>
          <w:sz w:val="28"/>
          <w:szCs w:val="28"/>
        </w:rPr>
        <w:t>Satiksmes ministrijas resorā – 3%; t.sk. Valsts dzelzceļa tehniskā</w:t>
      </w:r>
      <w:r w:rsidRPr="00AA7DBD">
        <w:rPr>
          <w:rFonts w:ascii="Times New Roman" w:hAnsi="Times New Roman" w:cs="Times New Roman"/>
          <w:sz w:val="28"/>
          <w:szCs w:val="28"/>
          <w:lang w:eastAsia="lv-LV"/>
        </w:rPr>
        <w:t xml:space="preserve"> inspekcijā – 14%;</w:t>
      </w:r>
    </w:p>
    <w:p w14:paraId="43D9544C" w14:textId="77777777" w:rsidR="00AA7DBD" w:rsidRPr="00AA7DBD" w:rsidRDefault="00AA7DBD" w:rsidP="00AA7DBD">
      <w:pPr>
        <w:pStyle w:val="ListParagraph"/>
        <w:numPr>
          <w:ilvl w:val="0"/>
          <w:numId w:val="5"/>
        </w:numPr>
        <w:ind w:firstLine="567"/>
        <w:jc w:val="both"/>
        <w:rPr>
          <w:rFonts w:ascii="Times New Roman" w:hAnsi="Times New Roman"/>
          <w:sz w:val="28"/>
          <w:szCs w:val="28"/>
          <w:lang w:eastAsia="lv-LV"/>
        </w:rPr>
      </w:pPr>
      <w:r w:rsidRPr="00AA7DBD">
        <w:rPr>
          <w:rFonts w:ascii="Times New Roman" w:hAnsi="Times New Roman"/>
          <w:sz w:val="28"/>
          <w:szCs w:val="28"/>
          <w:lang w:eastAsia="lv-LV"/>
        </w:rPr>
        <w:t>Tieslietu ministrijā – 2%;</w:t>
      </w:r>
    </w:p>
    <w:p w14:paraId="0383B012" w14:textId="77777777" w:rsidR="00AA7DBD" w:rsidRPr="00AA7DBD" w:rsidRDefault="00AA7DBD" w:rsidP="00AA7DBD">
      <w:pPr>
        <w:pStyle w:val="ListParagraph"/>
        <w:numPr>
          <w:ilvl w:val="0"/>
          <w:numId w:val="5"/>
        </w:numPr>
        <w:ind w:firstLine="567"/>
        <w:jc w:val="both"/>
        <w:rPr>
          <w:rFonts w:ascii="Times New Roman" w:hAnsi="Times New Roman"/>
          <w:sz w:val="28"/>
          <w:szCs w:val="28"/>
          <w:lang w:eastAsia="lv-LV"/>
        </w:rPr>
      </w:pPr>
      <w:r w:rsidRPr="00AA7DBD">
        <w:rPr>
          <w:rFonts w:ascii="Times New Roman" w:hAnsi="Times New Roman"/>
          <w:sz w:val="28"/>
          <w:szCs w:val="28"/>
          <w:lang w:eastAsia="lv-LV"/>
        </w:rPr>
        <w:t>Vides aizsardzības un reģionālās attīstības ministrijā – 3%;</w:t>
      </w:r>
    </w:p>
    <w:p w14:paraId="6E064873" w14:textId="77777777" w:rsidR="00AA7DBD" w:rsidRPr="00AA7DBD" w:rsidRDefault="00AA7DBD" w:rsidP="00AA7DBD">
      <w:pPr>
        <w:pStyle w:val="ListParagraph"/>
        <w:numPr>
          <w:ilvl w:val="0"/>
          <w:numId w:val="5"/>
        </w:numPr>
        <w:ind w:firstLine="567"/>
        <w:jc w:val="both"/>
        <w:rPr>
          <w:rFonts w:ascii="Times New Roman" w:hAnsi="Times New Roman"/>
          <w:sz w:val="28"/>
          <w:szCs w:val="28"/>
          <w:lang w:eastAsia="lv-LV"/>
        </w:rPr>
      </w:pPr>
      <w:r w:rsidRPr="00AA7DBD">
        <w:rPr>
          <w:rFonts w:ascii="Times New Roman" w:hAnsi="Times New Roman"/>
          <w:sz w:val="28"/>
          <w:szCs w:val="28"/>
          <w:lang w:eastAsia="lv-LV"/>
        </w:rPr>
        <w:t>Finanšu ministrijā – 1 %, t.sk. Iepirkumu uzraudzības birojā – 8%, Valsts ieņēmumu dienestā – 1%, Izložu un azartspēļu uzraudzības inspekcijā – 4%.</w:t>
      </w:r>
    </w:p>
    <w:p w14:paraId="02166089" w14:textId="77777777" w:rsidR="00AA7DBD" w:rsidRPr="00AA7DBD" w:rsidRDefault="00AA7DBD" w:rsidP="00AA7DBD">
      <w:pPr>
        <w:pStyle w:val="CommentText"/>
        <w:ind w:firstLine="567"/>
        <w:jc w:val="both"/>
        <w:rPr>
          <w:sz w:val="28"/>
          <w:szCs w:val="28"/>
        </w:rPr>
      </w:pPr>
      <w:r w:rsidRPr="00AA7DBD">
        <w:rPr>
          <w:sz w:val="28"/>
          <w:szCs w:val="28"/>
        </w:rPr>
        <w:t>Finanšu ministrija informē, ka atbilstoši Finanšu ministrijas</w:t>
      </w:r>
      <w:proofErr w:type="gramStart"/>
      <w:r w:rsidRPr="00AA7DBD">
        <w:rPr>
          <w:sz w:val="28"/>
          <w:szCs w:val="28"/>
        </w:rPr>
        <w:t xml:space="preserve">  </w:t>
      </w:r>
      <w:proofErr w:type="gramEnd"/>
      <w:r w:rsidRPr="00AA7DBD">
        <w:rPr>
          <w:sz w:val="28"/>
          <w:szCs w:val="28"/>
        </w:rPr>
        <w:t>stratēģijai 2014.-2016.gadam izvirzītais mērķis ir tuvināt atlīdzības lielumu līdzvērtīgu darbu veicējiem valsts pārvaldē, nodrošinot, ka valsts pārvaldē nodarbināto vidējā mēnešalga 2016.gadā nav mazāka par 75% no attiecīgajiem amatiem normatīvajos aktos noteiktā algas maksimuma. Izvērtējot 2014.gada decembra datus, Finanšu ministrija secina, ka 2014.gada plānotais rādītājs 73% ir pārsniegts un jau šobrīd ir sasniedzis 2016.gadam plānoto apmēru 75%.</w:t>
      </w:r>
      <w:r w:rsidRPr="00AA7DBD">
        <w:rPr>
          <w:rStyle w:val="FootnoteReference"/>
          <w:sz w:val="28"/>
          <w:szCs w:val="28"/>
        </w:rPr>
        <w:footnoteReference w:id="4"/>
      </w:r>
    </w:p>
    <w:p w14:paraId="2F822BE1" w14:textId="77777777" w:rsidR="00AA7DBD" w:rsidRPr="00AA7DBD" w:rsidRDefault="00AA7DBD" w:rsidP="00AA7DBD">
      <w:pPr>
        <w:pStyle w:val="CommentText"/>
        <w:numPr>
          <w:ilvl w:val="0"/>
          <w:numId w:val="7"/>
        </w:numPr>
        <w:spacing w:before="360" w:after="360"/>
        <w:ind w:left="714" w:hanging="357"/>
        <w:jc w:val="both"/>
        <w:rPr>
          <w:b/>
          <w:i/>
          <w:sz w:val="28"/>
          <w:szCs w:val="28"/>
        </w:rPr>
      </w:pPr>
      <w:r w:rsidRPr="00AA7DBD">
        <w:rPr>
          <w:b/>
          <w:i/>
          <w:sz w:val="28"/>
          <w:szCs w:val="28"/>
        </w:rPr>
        <w:t>Izstrādāt normatīvo aktu par iekšējās kontroles prasībām korupcijas novēršanas jomā, paredzot novērst visus koncepcijā uzskaitītos neefektīvas institūciju organizatoriskās pārvaldes un iekšējās kontroles trūkumus.</w:t>
      </w:r>
    </w:p>
    <w:p w14:paraId="2FDA34DA" w14:textId="77777777" w:rsidR="00AA7DBD" w:rsidRPr="00AA7DBD" w:rsidRDefault="00AA7DBD" w:rsidP="00AA7DBD">
      <w:pPr>
        <w:spacing w:after="0" w:line="240" w:lineRule="auto"/>
        <w:ind w:firstLine="567"/>
        <w:jc w:val="both"/>
      </w:pPr>
      <w:r w:rsidRPr="00AA7DBD">
        <w:rPr>
          <w:rFonts w:ascii="Times New Roman" w:eastAsia="Times New Roman" w:hAnsi="Times New Roman" w:cs="Times New Roman"/>
          <w:sz w:val="28"/>
          <w:szCs w:val="28"/>
          <w:lang w:eastAsia="lv-LV"/>
        </w:rPr>
        <w:t>Pēc Koncepcijas apstiprināšanas 2012.gada 8.maijā tika pieņemti Ministru kabineta noteikumi Nr.326 „Noteikumi par iekšējās kontroles sistēmu tiešās valsts pārvaldes iestādēs”, kuru 2.4.apakšpunkts nosaka, ka viena no iekšējās kontroles sistēmas darbības pamatprasībām ir iespējamo korupcijas un interešu konflikta izveidošanās risku novēršana. Minētie noteikumi ir izdoti saskaņā ar Valsts pārvaldes iekārtas likuma 17.panta sesto daļu</w:t>
      </w:r>
      <w:proofErr w:type="gramStart"/>
      <w:r w:rsidRPr="00AA7DBD">
        <w:rPr>
          <w:rFonts w:ascii="Times New Roman" w:eastAsia="Times New Roman" w:hAnsi="Times New Roman" w:cs="Times New Roman"/>
          <w:sz w:val="28"/>
          <w:szCs w:val="28"/>
          <w:lang w:eastAsia="lv-LV"/>
        </w:rPr>
        <w:t xml:space="preserve"> un</w:t>
      </w:r>
      <w:proofErr w:type="gramEnd"/>
      <w:r w:rsidRPr="00AA7DBD">
        <w:rPr>
          <w:rFonts w:ascii="Times New Roman" w:eastAsia="Times New Roman" w:hAnsi="Times New Roman" w:cs="Times New Roman"/>
          <w:sz w:val="28"/>
          <w:szCs w:val="28"/>
          <w:lang w:eastAsia="lv-LV"/>
        </w:rPr>
        <w:t xml:space="preserve"> tie nosaka iekšējās kontroles sistēmas pamatprasības un tās izveidošanas, uzraudzības un uzlabošanas kārtību tiešās pārvaldes iestādēs. Šajos noteikumos ir nosaukta tikai vispārēja prasība kontroles pasākumu ietvaros noteikt </w:t>
      </w:r>
      <w:r w:rsidRPr="00AA7DBD">
        <w:rPr>
          <w:rFonts w:ascii="Times New Roman" w:hAnsi="Times New Roman" w:cs="Times New Roman"/>
          <w:sz w:val="28"/>
          <w:szCs w:val="28"/>
        </w:rPr>
        <w:t xml:space="preserve">un ieviest pienākumu (atbildības) nošķiršanas, </w:t>
      </w:r>
      <w:r w:rsidRPr="00AA7DBD">
        <w:rPr>
          <w:rFonts w:ascii="Times New Roman" w:hAnsi="Times New Roman" w:cs="Times New Roman"/>
          <w:sz w:val="28"/>
          <w:szCs w:val="28"/>
        </w:rPr>
        <w:lastRenderedPageBreak/>
        <w:t>korupcijas un interešu konflikta novēršanas procedūras, neparedzot vismaz minimāli īstenojamo pasākumu kopumu.</w:t>
      </w:r>
    </w:p>
    <w:p w14:paraId="612A5F11" w14:textId="77777777" w:rsidR="00AA7DBD" w:rsidRPr="00AA7DBD" w:rsidRDefault="00AA7DBD" w:rsidP="00AA7DBD">
      <w:pPr>
        <w:spacing w:after="0" w:line="240" w:lineRule="auto"/>
        <w:ind w:firstLine="567"/>
        <w:jc w:val="both"/>
        <w:rPr>
          <w:rFonts w:ascii="Times New Roman" w:eastAsia="Times New Roman" w:hAnsi="Times New Roman" w:cs="Times New Roman"/>
          <w:bCs/>
          <w:sz w:val="28"/>
          <w:szCs w:val="28"/>
          <w:lang w:eastAsia="lv-LV"/>
        </w:rPr>
      </w:pPr>
      <w:r w:rsidRPr="00AA7DBD">
        <w:rPr>
          <w:rFonts w:ascii="Times New Roman" w:eastAsia="Times New Roman" w:hAnsi="Times New Roman" w:cs="Times New Roman"/>
          <w:bCs/>
          <w:sz w:val="28"/>
          <w:szCs w:val="28"/>
          <w:lang w:eastAsia="lv-LV"/>
        </w:rPr>
        <w:t xml:space="preserve"> Lai konkrētāk noteiktu veicamos korupcijas novēršanas pasākumus, Korupcijas novēršanas un apkarošanas birojs izstrādāja Ministru kabineta noteikumu projektu</w:t>
      </w:r>
      <w:proofErr w:type="gramStart"/>
      <w:r w:rsidRPr="00AA7DBD">
        <w:rPr>
          <w:rFonts w:ascii="Times New Roman" w:eastAsia="Times New Roman" w:hAnsi="Times New Roman" w:cs="Times New Roman"/>
          <w:bCs/>
          <w:sz w:val="28"/>
          <w:szCs w:val="28"/>
          <w:lang w:eastAsia="lv-LV"/>
        </w:rPr>
        <w:t xml:space="preserve">  </w:t>
      </w:r>
      <w:proofErr w:type="gramEnd"/>
      <w:r w:rsidRPr="00AA7DBD">
        <w:rPr>
          <w:rFonts w:ascii="Times New Roman" w:eastAsia="Times New Roman" w:hAnsi="Times New Roman" w:cs="Times New Roman"/>
          <w:bCs/>
          <w:sz w:val="28"/>
          <w:szCs w:val="28"/>
          <w:lang w:eastAsia="lv-LV"/>
        </w:rPr>
        <w:t xml:space="preserve">„Grozījumi Ministru kabineta 2012.gada 8.maija noteikumos Nr.326 „Noteikumi par iekšējās kontroles sistēmu tiešās pārvaldes iestādēs” (izsludināts 2013.gada 17.janvāra Valsts sekretāru sanāksmē (VSS-49)). </w:t>
      </w:r>
      <w:proofErr w:type="gramStart"/>
      <w:r w:rsidRPr="00AA7DBD">
        <w:rPr>
          <w:rFonts w:ascii="Times New Roman" w:eastAsia="Times New Roman" w:hAnsi="Times New Roman" w:cs="Times New Roman"/>
          <w:bCs/>
          <w:sz w:val="28"/>
          <w:szCs w:val="28"/>
          <w:lang w:eastAsia="lv-LV"/>
        </w:rPr>
        <w:t>Augstāk minētais</w:t>
      </w:r>
      <w:proofErr w:type="gramEnd"/>
      <w:r w:rsidRPr="00AA7DBD">
        <w:rPr>
          <w:rFonts w:ascii="Times New Roman" w:eastAsia="Times New Roman" w:hAnsi="Times New Roman" w:cs="Times New Roman"/>
          <w:bCs/>
          <w:sz w:val="28"/>
          <w:szCs w:val="28"/>
          <w:lang w:eastAsia="lv-LV"/>
        </w:rPr>
        <w:t xml:space="preserve"> noteikumu projekts tika atsaukts, jo tika saņemti vairāki būtiski iebildumi, piemēram, ka Valsts pārvaldes iekārtas likumā deleģējums ir izdot tikai pamatprasības. Un šis deleģējums īstenojams kontekstā ar valsts pārvaldes iestādes vadītāja uzdevumiem, proti, Valsts pārvaldes iekārtas likuma 17.panta pirmā daļa noteic, ka tiešās pārvaldes iestādes vadītājs organizē iestādes funkciju pildīšanu un atbild par to, vada iestādes administratīvo darbu, nodrošinot tā nepārtrauktību, lietderību un tiesiskumu. Saskaņā ar Valsts pārvaldes iekārtas likuma 17.panta otrās daļas 6.punktu tiešās valsts pārvaldes iestādes vadītājs izveido iestādes iekšējās kontroles sistēmu, kā arī uzrauga un uzlabo to.</w:t>
      </w:r>
      <w:r w:rsidRPr="00AA7DBD">
        <w:rPr>
          <w:rFonts w:ascii="Times New Roman" w:eastAsia="Times New Roman" w:hAnsi="Times New Roman" w:cs="Times New Roman"/>
          <w:bCs/>
          <w:sz w:val="28"/>
          <w:szCs w:val="28"/>
          <w:vertAlign w:val="superscript"/>
          <w:lang w:eastAsia="lv-LV"/>
        </w:rPr>
        <w:footnoteReference w:id="5"/>
      </w:r>
    </w:p>
    <w:p w14:paraId="318E0125"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Jāatzīst, ka iekšējās kontroles sistēmas</w:t>
      </w:r>
      <w:proofErr w:type="gramStart"/>
      <w:r w:rsidRPr="00AA7DBD">
        <w:rPr>
          <w:rFonts w:ascii="Times New Roman" w:eastAsia="Times New Roman" w:hAnsi="Times New Roman" w:cs="Times New Roman"/>
          <w:sz w:val="28"/>
          <w:szCs w:val="28"/>
          <w:lang w:eastAsia="lv-LV"/>
        </w:rPr>
        <w:t xml:space="preserve">  </w:t>
      </w:r>
      <w:proofErr w:type="gramEnd"/>
      <w:r w:rsidRPr="00AA7DBD">
        <w:rPr>
          <w:rFonts w:ascii="Times New Roman" w:eastAsia="Times New Roman" w:hAnsi="Times New Roman" w:cs="Times New Roman"/>
          <w:sz w:val="28"/>
          <w:szCs w:val="28"/>
          <w:lang w:eastAsia="lv-LV"/>
        </w:rPr>
        <w:t>pamatprasības, kas ir definētas Ministru kabineta noteikumos, ir ļoti vispārīgas, brīvi interpretējamas, netiek regulāri pārskatītas, kas liecina par nekonkrētām iekšējās kontroles sistēmas prasībām, kas savukārt rada risku lietderīgas un efektīvas rīcības ar mantu un finanšu līdzekļiem nodrošināšanā, kā arī amatu pilnvaru izmantošanu personiskās un citu personu interesēs.</w:t>
      </w:r>
    </w:p>
    <w:p w14:paraId="2FCEA67C"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Norādām, ka ir jāstiprina iekšējās kontroles sistēma, novēršot korupcijas un interešu konflikta riska iestāšanās varbūtību, ne tikai tiešās pārvaldes iestādēs, bet arī, piemēram, publiskas personas iestādēs un publiskas personas kapitālsabiedrībās.</w:t>
      </w:r>
    </w:p>
    <w:p w14:paraId="25D5A5CF"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 xml:space="preserve">Savukārt, lai publiskas personas institūcijas vadītājiem atbilstoši korupcijas riska iespējamībai attiecīgajā jomā būtu noteikti skaidri pienākumi un tiktu dotas precīzākas norādes par korupcijas un interešu konflikta riska apstākļos veicamo minimālo pasākumu saturu, ir nepieciešams regulējums ārējā normatīvajā aktā. </w:t>
      </w:r>
    </w:p>
    <w:p w14:paraId="1046C9F9"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 xml:space="preserve">Ir nepieciešams arī apzināt un analizēt institūciju praksi iekšējo pretkorupcijas pasākumu organizēšanā, novērtēt tos, tai skaitā izvērst sadarbību starp Korupcijas novēršanas un apkarošanas biroja un institūciju auditoriem, organizējot pieredzes apmaiņas diskusijas par korupcijas novēršanas prioritātēm un identificētajiem riskiem. Šāda sadarbība celtu iekšējā audita kvalitāti. </w:t>
      </w:r>
    </w:p>
    <w:p w14:paraId="06BF0BC9"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Lai nodrošinātu institūciju iekšējās pretkorupcijas pasākumu organizēšanas prakses analīzi, Korupcijas novēršanas un apkarošanas pamatnostādnes 2015.-</w:t>
      </w:r>
      <w:r w:rsidRPr="00AA7DBD">
        <w:rPr>
          <w:rFonts w:ascii="Times New Roman" w:eastAsia="Times New Roman" w:hAnsi="Times New Roman" w:cs="Times New Roman"/>
          <w:sz w:val="28"/>
          <w:szCs w:val="28"/>
          <w:lang w:eastAsia="lv-LV"/>
        </w:rPr>
        <w:lastRenderedPageBreak/>
        <w:t>2020.gadam paredz uzdevumu Korupcijas novēršanas un apkarošanas birojam līdz 2015.gada 31.decembrim veikt korupcijas riskam pakļauto institūciju iekšējās pretkorupcijas kontroles sistēmas novērtējumu, balstoties uz kuru sniegt rekomendācijas konstatēto korupcijas risku novēršanai. Proti, balstoties arī uz minēto institūciju iekšējās pretkorupcijas kontroles sistēmas novērtējumu Korupcijas novēršanas un apkarošanas birojs izstrādās grozījumus likumā „Par interešu konflikta novēršanu valsts amatpersonu darbībā”, papildinot 20.pantu ar astoto daļu, paredzot deleģējumu Ministru kabinetam izdot noteikumus par iekšējās kontroles sistēmas</w:t>
      </w:r>
      <w:proofErr w:type="gramStart"/>
      <w:r w:rsidRPr="00AA7DBD">
        <w:rPr>
          <w:rFonts w:ascii="Times New Roman" w:eastAsia="Times New Roman" w:hAnsi="Times New Roman" w:cs="Times New Roman"/>
          <w:sz w:val="28"/>
          <w:szCs w:val="28"/>
          <w:lang w:eastAsia="lv-LV"/>
        </w:rPr>
        <w:t xml:space="preserve">  </w:t>
      </w:r>
      <w:proofErr w:type="gramEnd"/>
      <w:r w:rsidRPr="00AA7DBD">
        <w:rPr>
          <w:rFonts w:ascii="Times New Roman" w:eastAsia="Times New Roman" w:hAnsi="Times New Roman" w:cs="Times New Roman"/>
          <w:sz w:val="28"/>
          <w:szCs w:val="28"/>
          <w:lang w:eastAsia="lv-LV"/>
        </w:rPr>
        <w:t>pamatprasībām korupcijas un interešu konflikta riska novēršanai, īstenojot iekšējo kontroli publiskas personas institūcijā un sešu mēnešu laikā no grozījumu likumā „Par interešu konflikta novēršanu valsts amatpersonu darbībā” spēkā stāšanās dienas izstrādās Ministru kabineta noteikumus par iekšējās kontroles sistēmas pamatprasībām korupcijas un interešu konflikta riska novēršanai publiskās personas institūcijā.</w:t>
      </w:r>
    </w:p>
    <w:p w14:paraId="6A33C594"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Kā arī ir noteikts līdz 2016.gada 31.decembrim izstrādāt vadlīnijas pašvaldību iekšējās kontroles sistēmas prasībām krāpšanas, korupcijas un interešu konflikta novēršanai atbilstoši funkcionālajai jomai un identificētajiem riskiem. Un Koordinācijas institūcijai valsts kapitālsabiedrību un valsts kapitāla daļu pārvaldē ir jāizstrādā priekšlikumi publisko personu kapitālsabiedrību iekšējās kontroles sistēmas prasībām krāpšanas, korupcijas un interešu konflikta novēršanai atbilstoši resora funkcionālajai jomai, ja kapitālsabiedrībā nav ieviesta kvalitātes vadības sistēma, paredzot, ka publiskās personas pārstāvji kapitālsabiedrībās ir atbildīgi par kapitālsabiedrības iekšējās kontroles sistēmas efektivitātes uzraudzību.</w:t>
      </w:r>
      <w:r w:rsidRPr="00AA7DBD">
        <w:rPr>
          <w:rFonts w:ascii="Times New Roman" w:eastAsia="Times New Roman" w:hAnsi="Times New Roman" w:cs="Times New Roman"/>
          <w:sz w:val="28"/>
          <w:szCs w:val="28"/>
          <w:vertAlign w:val="superscript"/>
          <w:lang w:eastAsia="lv-LV"/>
        </w:rPr>
        <w:footnoteReference w:id="6"/>
      </w:r>
    </w:p>
    <w:p w14:paraId="5F2FBB5F"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Papildus minētajam norādām, ka Valsts kanceleja sadarbībā ar Finanšu ministriju izstrādājusi iekšējās kontroles sistēmas vadlīnijas, kuras ir apstiprinātas ar Valsts kancelejas direktora rīkojumu un ievietotas Valsts kancelejas mājaslapā (</w:t>
      </w:r>
      <w:hyperlink r:id="rId9" w:history="1">
        <w:r w:rsidRPr="00AA7DBD">
          <w:rPr>
            <w:rStyle w:val="Hyperlink"/>
            <w:rFonts w:ascii="Times New Roman" w:eastAsia="Times New Roman" w:hAnsi="Times New Roman" w:cs="Times New Roman"/>
            <w:color w:val="auto"/>
            <w:sz w:val="28"/>
            <w:szCs w:val="28"/>
            <w:u w:val="none"/>
            <w:lang w:eastAsia="lv-LV"/>
          </w:rPr>
          <w:t>http://www.mk.gov.lv/lv/content/ieksejas-kontroles-sistemas-vadlinijas</w:t>
        </w:r>
      </w:hyperlink>
      <w:r w:rsidRPr="00AA7DBD">
        <w:rPr>
          <w:rFonts w:ascii="Times New Roman" w:eastAsia="Times New Roman" w:hAnsi="Times New Roman" w:cs="Times New Roman"/>
          <w:sz w:val="28"/>
          <w:szCs w:val="28"/>
          <w:lang w:eastAsia="lv-LV"/>
        </w:rPr>
        <w:t>).</w:t>
      </w:r>
    </w:p>
    <w:p w14:paraId="453407F9"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Vadlīniju galvenais mērķis ir nodrošināt vienotu izpratni par iekšējās kontroles sistēmu visās valsts tiešās pārvaldes iestādēs, skaidrojot iekšējās kontroles sistēmas izveidošanas, uzraudzības un uzlabošanas pamatprasības.</w:t>
      </w:r>
    </w:p>
    <w:p w14:paraId="7822BAD6" w14:textId="77777777" w:rsidR="00AA7DBD" w:rsidRPr="00AA7DBD" w:rsidRDefault="00AA7DBD" w:rsidP="00AA7DBD">
      <w:pPr>
        <w:pStyle w:val="CommentText"/>
        <w:ind w:firstLine="567"/>
        <w:jc w:val="both"/>
        <w:rPr>
          <w:bCs/>
          <w:sz w:val="28"/>
          <w:szCs w:val="28"/>
        </w:rPr>
      </w:pPr>
      <w:r w:rsidRPr="00AA7DBD">
        <w:rPr>
          <w:bCs/>
          <w:sz w:val="28"/>
          <w:szCs w:val="28"/>
        </w:rPr>
        <w:t>Svarīgi piebilst, ka šobrīd katrs iestādes vadītājs, ņemot vērā iestādes darbības specifiku, izvēlas piemērotāko veidu, kā atbilstoši izstrādātajām pamatprasībām īstenot efektīvu iekšējo kontroli.</w:t>
      </w:r>
    </w:p>
    <w:p w14:paraId="6766ACB6" w14:textId="77777777" w:rsidR="00AA7DBD" w:rsidRPr="00AA7DBD" w:rsidRDefault="00AA7DBD" w:rsidP="00AA7DBD">
      <w:pPr>
        <w:pStyle w:val="CommentText"/>
        <w:ind w:firstLine="567"/>
        <w:jc w:val="both"/>
        <w:rPr>
          <w:bCs/>
          <w:sz w:val="28"/>
          <w:szCs w:val="28"/>
        </w:rPr>
      </w:pPr>
      <w:r w:rsidRPr="00AA7DBD">
        <w:rPr>
          <w:bCs/>
          <w:sz w:val="28"/>
          <w:szCs w:val="28"/>
        </w:rPr>
        <w:t xml:space="preserve">Piemēram, Ekonomikas ministrijā un tās padotībā esošajās iestādēs korupcijas novēršanas jomā iekšējās kontroles prasības tiek integrētas iekšējās kontroles sistēmās, ņemot vērā katras iestādes darbības specifiku, t.sk. risku vadības, rezultātu uzraudzības, kvalitātes vadības sistēmas. Izstrādātās procedūras un </w:t>
      </w:r>
      <w:r w:rsidRPr="00AA7DBD">
        <w:rPr>
          <w:bCs/>
          <w:sz w:val="28"/>
          <w:szCs w:val="28"/>
        </w:rPr>
        <w:lastRenderedPageBreak/>
        <w:t>iekšējie noteikumi tiek sagatavoti, ievērojot Koncepcijā noteiktos pasākumus korupcijas risku mazināšanā:</w:t>
      </w:r>
    </w:p>
    <w:p w14:paraId="68FC9D74" w14:textId="77777777" w:rsidR="00AA7DBD" w:rsidRPr="00AA7DBD" w:rsidRDefault="00AA7DBD" w:rsidP="00AA7DBD">
      <w:pPr>
        <w:pStyle w:val="CommentText"/>
        <w:numPr>
          <w:ilvl w:val="0"/>
          <w:numId w:val="11"/>
        </w:numPr>
        <w:jc w:val="both"/>
        <w:rPr>
          <w:bCs/>
          <w:sz w:val="28"/>
          <w:szCs w:val="28"/>
        </w:rPr>
      </w:pPr>
      <w:r w:rsidRPr="00AA7DBD">
        <w:rPr>
          <w:bCs/>
          <w:sz w:val="28"/>
          <w:szCs w:val="28"/>
        </w:rPr>
        <w:t xml:space="preserve">atklātības nodrošināšana; </w:t>
      </w:r>
    </w:p>
    <w:p w14:paraId="3E315517" w14:textId="77777777" w:rsidR="00AA7DBD" w:rsidRPr="00AA7DBD" w:rsidRDefault="00AA7DBD" w:rsidP="00AA7DBD">
      <w:pPr>
        <w:pStyle w:val="CommentText"/>
        <w:numPr>
          <w:ilvl w:val="0"/>
          <w:numId w:val="11"/>
        </w:numPr>
        <w:jc w:val="both"/>
        <w:rPr>
          <w:bCs/>
          <w:sz w:val="28"/>
          <w:szCs w:val="28"/>
        </w:rPr>
      </w:pPr>
      <w:r w:rsidRPr="00AA7DBD">
        <w:rPr>
          <w:bCs/>
          <w:sz w:val="28"/>
          <w:szCs w:val="28"/>
        </w:rPr>
        <w:t xml:space="preserve">dokumentēšana un izņēmumu reģistrēšana; </w:t>
      </w:r>
    </w:p>
    <w:p w14:paraId="059A270E" w14:textId="77777777" w:rsidR="00AA7DBD" w:rsidRPr="00AA7DBD" w:rsidRDefault="00AA7DBD" w:rsidP="00AA7DBD">
      <w:pPr>
        <w:pStyle w:val="CommentText"/>
        <w:numPr>
          <w:ilvl w:val="0"/>
          <w:numId w:val="11"/>
        </w:numPr>
        <w:jc w:val="both"/>
        <w:rPr>
          <w:bCs/>
          <w:sz w:val="28"/>
          <w:szCs w:val="28"/>
        </w:rPr>
      </w:pPr>
      <w:r w:rsidRPr="00AA7DBD">
        <w:rPr>
          <w:bCs/>
          <w:sz w:val="28"/>
          <w:szCs w:val="28"/>
        </w:rPr>
        <w:t xml:space="preserve">atbildības dalīšana, t.sk. „četru acu princips”; </w:t>
      </w:r>
    </w:p>
    <w:p w14:paraId="05D8F372" w14:textId="77777777" w:rsidR="00AA7DBD" w:rsidRPr="00AA7DBD" w:rsidRDefault="00AA7DBD" w:rsidP="00AA7DBD">
      <w:pPr>
        <w:pStyle w:val="CommentText"/>
        <w:numPr>
          <w:ilvl w:val="0"/>
          <w:numId w:val="11"/>
        </w:numPr>
        <w:jc w:val="both"/>
        <w:rPr>
          <w:bCs/>
          <w:sz w:val="28"/>
          <w:szCs w:val="28"/>
        </w:rPr>
      </w:pPr>
      <w:r w:rsidRPr="00AA7DBD">
        <w:rPr>
          <w:bCs/>
          <w:sz w:val="28"/>
          <w:szCs w:val="28"/>
        </w:rPr>
        <w:t xml:space="preserve">klientu apkalpošanas centri, t.sk. „atvērtā tipa”; </w:t>
      </w:r>
    </w:p>
    <w:p w14:paraId="6F000818" w14:textId="77777777" w:rsidR="00AA7DBD" w:rsidRPr="00AA7DBD" w:rsidRDefault="00AA7DBD" w:rsidP="00AA7DBD">
      <w:pPr>
        <w:pStyle w:val="CommentText"/>
        <w:numPr>
          <w:ilvl w:val="0"/>
          <w:numId w:val="11"/>
        </w:numPr>
        <w:jc w:val="both"/>
        <w:rPr>
          <w:bCs/>
          <w:sz w:val="28"/>
          <w:szCs w:val="28"/>
        </w:rPr>
      </w:pPr>
      <w:r w:rsidRPr="00AA7DBD">
        <w:rPr>
          <w:bCs/>
          <w:sz w:val="28"/>
          <w:szCs w:val="28"/>
        </w:rPr>
        <w:t xml:space="preserve">iespēja elektroniski iesniegt dokumentus, veikt klientu apkalpošanu/pakalpojumu sniegšanu attālināti; </w:t>
      </w:r>
    </w:p>
    <w:p w14:paraId="6F437CF3" w14:textId="77777777" w:rsidR="00AA7DBD" w:rsidRPr="00AA7DBD" w:rsidRDefault="00AA7DBD" w:rsidP="00AA7DBD">
      <w:pPr>
        <w:pStyle w:val="CommentText"/>
        <w:numPr>
          <w:ilvl w:val="0"/>
          <w:numId w:val="11"/>
        </w:numPr>
        <w:jc w:val="both"/>
        <w:rPr>
          <w:bCs/>
          <w:sz w:val="28"/>
          <w:szCs w:val="28"/>
        </w:rPr>
      </w:pPr>
      <w:r w:rsidRPr="00AA7DBD">
        <w:rPr>
          <w:bCs/>
          <w:sz w:val="28"/>
          <w:szCs w:val="28"/>
        </w:rPr>
        <w:t xml:space="preserve">amatu savienošanas uzraudzība; </w:t>
      </w:r>
    </w:p>
    <w:p w14:paraId="0B1D566A" w14:textId="77777777" w:rsidR="00AA7DBD" w:rsidRPr="00AA7DBD" w:rsidRDefault="00AA7DBD" w:rsidP="00AA7DBD">
      <w:pPr>
        <w:pStyle w:val="CommentText"/>
        <w:numPr>
          <w:ilvl w:val="0"/>
          <w:numId w:val="11"/>
        </w:numPr>
        <w:jc w:val="both"/>
        <w:rPr>
          <w:bCs/>
          <w:sz w:val="28"/>
          <w:szCs w:val="28"/>
        </w:rPr>
      </w:pPr>
      <w:r w:rsidRPr="00AA7DBD">
        <w:rPr>
          <w:bCs/>
          <w:sz w:val="28"/>
          <w:szCs w:val="28"/>
        </w:rPr>
        <w:t>regulāras apmācības korupcijas novēršanas jautājumos.</w:t>
      </w:r>
    </w:p>
    <w:p w14:paraId="7F88D5C7" w14:textId="77777777" w:rsidR="00AA7DBD" w:rsidRPr="00AA7DBD" w:rsidRDefault="00AA7DBD" w:rsidP="00AA7DBD">
      <w:pPr>
        <w:pStyle w:val="CommentText"/>
        <w:ind w:firstLine="567"/>
        <w:jc w:val="both"/>
        <w:rPr>
          <w:bCs/>
          <w:sz w:val="28"/>
          <w:szCs w:val="28"/>
        </w:rPr>
      </w:pPr>
      <w:r w:rsidRPr="00AA7DBD">
        <w:rPr>
          <w:bCs/>
          <w:sz w:val="28"/>
          <w:szCs w:val="28"/>
        </w:rPr>
        <w:t xml:space="preserve">Iestādēs tiek aktualizēti pretkorupcijas pasākumu plāni, kā arī apstiprināti Ētikas kodeksi un iekšējie noteikumi, kas nosaka amatpersonu un darbinieku rīcību interešu konflikta un koruptīvo pārkāpumu risku novēršanai. </w:t>
      </w:r>
      <w:r w:rsidRPr="00AA7DBD">
        <w:rPr>
          <w:rStyle w:val="FootnoteReference"/>
          <w:bCs/>
          <w:sz w:val="28"/>
          <w:szCs w:val="28"/>
        </w:rPr>
        <w:footnoteReference w:id="7"/>
      </w:r>
    </w:p>
    <w:p w14:paraId="3F7E391E" w14:textId="77777777" w:rsidR="00AA7DBD" w:rsidRPr="00AA7DBD" w:rsidRDefault="00AA7DBD" w:rsidP="00AA7DBD">
      <w:pPr>
        <w:pStyle w:val="CommentText"/>
        <w:ind w:firstLine="567"/>
        <w:jc w:val="both"/>
        <w:rPr>
          <w:sz w:val="28"/>
          <w:szCs w:val="28"/>
        </w:rPr>
      </w:pPr>
      <w:r w:rsidRPr="00AA7DBD">
        <w:rPr>
          <w:sz w:val="28"/>
          <w:szCs w:val="28"/>
        </w:rPr>
        <w:t>Savukārt Satiksmes ministrija norāda, ka 2013.gada 8.martā ir izstrādāti iekšējie noteikumi Nr.01-02/5 „Korupcijas risku vadības nodrošināšanas noteikumi”, kuri nosaka, ka korupcijas novēršanas nolūkā tiek izveidota korupcijas risku vadības grupa, kuras uzdevums ir identificēt un novērtēt korupcijas riskus. Pēc risku identificēšanas tiek apstiprināts pretkorupcijas pasākumu plāns, kas paredz pasākumus attiecīgo risku mazināšanai.</w:t>
      </w:r>
      <w:r w:rsidRPr="00AA7DBD">
        <w:rPr>
          <w:rStyle w:val="FootnoteReference"/>
          <w:sz w:val="28"/>
          <w:szCs w:val="28"/>
        </w:rPr>
        <w:footnoteReference w:id="8"/>
      </w:r>
    </w:p>
    <w:p w14:paraId="6861F742" w14:textId="77777777" w:rsidR="00AA7DBD" w:rsidRPr="00AA7DBD" w:rsidRDefault="00AA7DBD" w:rsidP="00AA7DBD">
      <w:pPr>
        <w:pStyle w:val="CommentText"/>
        <w:ind w:firstLine="567"/>
        <w:jc w:val="both"/>
        <w:rPr>
          <w:sz w:val="28"/>
          <w:szCs w:val="28"/>
        </w:rPr>
      </w:pPr>
      <w:r w:rsidRPr="00AA7DBD">
        <w:rPr>
          <w:sz w:val="28"/>
          <w:szCs w:val="28"/>
        </w:rPr>
        <w:t xml:space="preserve">Arīdzan Ārlietu ministrija ir veikusi pasākumu kopumu, lai nodrošinātu iekšējās kontroles izveidi korupcijas novēršanas jomā. Būtiska loma minētās jomas kontrolē ir Ārlietu ministrijas Iekšējam auditam, kas veic nepieciešamās kontroles funkcijas, pamatojoties uz Ministru kabineta 2013.gada 9.jūlija noteikumu Nr.385 „Iekšējā audita veikšanas un novērtēšanas kārtības” 54.punktu. Minētais punkts nosaka, ka iekšējais auditors veic sistēmas izpēti, lai noteiktu iekšējā audita mērķi un apjomu, kā arī identificētu sistēmas riskus. Saskaņā ar minēto noteikumu 54.6.5. apakšpunktu sistēmas izpēte ietver risku iespējamības novērtēšanu par korupciju (krāpšanu), kas sevī ietver arī esošā kontroles mehānisma novērtēšanu, lai konstatētu apstākļus, kas kavē vai mazina attiecīgo risku iestāšanās iespējas. Iekšējais auditors sniedz pamatotu vērtējumu par iekšējās kontroles uzbūvi, identificējot auditējamās sistēmas vājos posmus, un nosaka, kuras kontroles iekšējā audita gaitā ir nepieciešams pārbaudīt un novērtēt, vai tās darbojas un ir efektīvas. Ievērojot noteikumu 69.punktu, ja Iekšējā audita vadītājam rastos pamatotas aizdomas par prettiesiskām darbībām korupcijas (krāpšanas) jomā, par kurām būtu nepieciešams informēt Ārlietu ministrijas valsts sekretāru. Ņemot vērā minēto, iekšējā kontrole korupcijas novēršanas jomā Ārlietu ministrijā šobrīd tiek īstenota atbilstoši normatīvajiem aktiem, kas nosaka iekšējā auditora uzdevumus iespējamo </w:t>
      </w:r>
      <w:r w:rsidRPr="00AA7DBD">
        <w:rPr>
          <w:sz w:val="28"/>
          <w:szCs w:val="28"/>
        </w:rPr>
        <w:lastRenderedPageBreak/>
        <w:t>korupcijas (krāpšanas) risku novēršanai, konstatēšanai un ieteikumu izstrādāšanai risku novēršanai.</w:t>
      </w:r>
    </w:p>
    <w:p w14:paraId="11578422" w14:textId="77777777" w:rsidR="00AA7DBD" w:rsidRPr="00AA7DBD" w:rsidRDefault="00AA7DBD" w:rsidP="00AA7DBD">
      <w:pPr>
        <w:pStyle w:val="CommentText"/>
        <w:ind w:firstLine="567"/>
        <w:jc w:val="both"/>
        <w:rPr>
          <w:sz w:val="28"/>
          <w:szCs w:val="28"/>
        </w:rPr>
      </w:pPr>
      <w:r w:rsidRPr="00AA7DBD">
        <w:rPr>
          <w:sz w:val="28"/>
          <w:szCs w:val="28"/>
        </w:rPr>
        <w:t xml:space="preserve">Papildus minētajam Ārlietu ministrija informē, ka 2014.gada 6.oktobrī Ārlietu ministrijā tika izveidota patstāvīga darba grupa, kuras pienākumos ietilpst nodrošināt ar interešu konflikta un korupcijas novēršanu saistīto jautājumu risināšanu atbilstoši ārlietu dienesta mērķiem un uzdevumiem, kā arī, lai nodrošinātu Ārlietu ministrijas pretkorupcijas pasākumu plāna izstrādes koordinēšanu un tā izpildes uzraudzību.   </w:t>
      </w:r>
      <w:r w:rsidRPr="00AA7DBD">
        <w:rPr>
          <w:rStyle w:val="FootnoteReference"/>
          <w:sz w:val="28"/>
          <w:szCs w:val="28"/>
        </w:rPr>
        <w:footnoteReference w:id="9"/>
      </w:r>
    </w:p>
    <w:p w14:paraId="6574C811" w14:textId="77777777" w:rsidR="00AA7DBD" w:rsidRPr="00AA7DBD" w:rsidRDefault="00AA7DBD" w:rsidP="00AA7DBD">
      <w:pPr>
        <w:pStyle w:val="CommentText"/>
        <w:ind w:firstLine="567"/>
        <w:jc w:val="both"/>
        <w:rPr>
          <w:sz w:val="28"/>
          <w:szCs w:val="28"/>
        </w:rPr>
      </w:pPr>
      <w:r w:rsidRPr="00AA7DBD">
        <w:rPr>
          <w:sz w:val="28"/>
          <w:szCs w:val="28"/>
        </w:rPr>
        <w:t>Aizsardzības ministrijas un tās padotības iestādes korupcijas novēršanu un risku kontroles principi ir iestrādāti visos iestādes iekšējos normatīvajos dokumentos, kas paredz:</w:t>
      </w:r>
    </w:p>
    <w:p w14:paraId="4C2C2B76" w14:textId="77777777" w:rsidR="00AA7DBD" w:rsidRPr="00AA7DBD" w:rsidRDefault="00AA7DBD" w:rsidP="00AA7DBD">
      <w:pPr>
        <w:pStyle w:val="CommentText"/>
        <w:numPr>
          <w:ilvl w:val="0"/>
          <w:numId w:val="13"/>
        </w:numPr>
        <w:jc w:val="both"/>
        <w:rPr>
          <w:sz w:val="28"/>
          <w:szCs w:val="28"/>
        </w:rPr>
      </w:pPr>
      <w:r w:rsidRPr="00AA7DBD">
        <w:rPr>
          <w:sz w:val="28"/>
          <w:szCs w:val="28"/>
        </w:rPr>
        <w:t>vismaz „četru acu principu” lēmumu pieņemšanā;</w:t>
      </w:r>
    </w:p>
    <w:p w14:paraId="558C2E4D" w14:textId="77777777" w:rsidR="00AA7DBD" w:rsidRPr="00AA7DBD" w:rsidRDefault="00AA7DBD" w:rsidP="00AA7DBD">
      <w:pPr>
        <w:pStyle w:val="CommentText"/>
        <w:numPr>
          <w:ilvl w:val="0"/>
          <w:numId w:val="13"/>
        </w:numPr>
        <w:jc w:val="both"/>
        <w:rPr>
          <w:sz w:val="28"/>
          <w:szCs w:val="28"/>
        </w:rPr>
      </w:pPr>
      <w:r w:rsidRPr="00AA7DBD">
        <w:rPr>
          <w:sz w:val="28"/>
          <w:szCs w:val="28"/>
        </w:rPr>
        <w:t>jebkādu lēmumu, kuri saistīti ar rīcību ar valsts mantu, caurskatāmību un pamatotību;</w:t>
      </w:r>
    </w:p>
    <w:p w14:paraId="7DD9110B" w14:textId="77777777" w:rsidR="00AA7DBD" w:rsidRPr="00AA7DBD" w:rsidRDefault="00AA7DBD" w:rsidP="00AA7DBD">
      <w:pPr>
        <w:pStyle w:val="CommentText"/>
        <w:numPr>
          <w:ilvl w:val="0"/>
          <w:numId w:val="13"/>
        </w:numPr>
        <w:jc w:val="both"/>
        <w:rPr>
          <w:sz w:val="28"/>
          <w:szCs w:val="28"/>
        </w:rPr>
      </w:pPr>
      <w:r w:rsidRPr="00AA7DBD">
        <w:rPr>
          <w:sz w:val="28"/>
          <w:szCs w:val="28"/>
        </w:rPr>
        <w:t>iekšējo procedūru unifikāciju un caurspīdīgumu, novēršot vai vismaz ārkārtīgi apgrūtinot iespēju pieņemt un īstenojot savtīgus lēmumus.</w:t>
      </w:r>
    </w:p>
    <w:p w14:paraId="0B6FC15E" w14:textId="77777777" w:rsidR="00AA7DBD" w:rsidRPr="00AA7DBD" w:rsidRDefault="00AA7DBD" w:rsidP="00AA7DBD">
      <w:pPr>
        <w:pStyle w:val="CommentText"/>
        <w:ind w:firstLine="567"/>
        <w:jc w:val="both"/>
        <w:rPr>
          <w:sz w:val="28"/>
          <w:szCs w:val="28"/>
        </w:rPr>
      </w:pPr>
      <w:r w:rsidRPr="00AA7DBD">
        <w:rPr>
          <w:sz w:val="28"/>
          <w:szCs w:val="28"/>
        </w:rPr>
        <w:t>Aizsardzības ministrijas un tās padotības iestādēs iekšējās kontroles nodrošināšanai korupcijas novēršanas jomā ir izstrādāts organizatoriskais pretkorupcijas pasākumu plāns.</w:t>
      </w:r>
      <w:r w:rsidRPr="00AA7DBD">
        <w:rPr>
          <w:rStyle w:val="FootnoteReference"/>
          <w:sz w:val="28"/>
          <w:szCs w:val="28"/>
        </w:rPr>
        <w:footnoteReference w:id="10"/>
      </w:r>
    </w:p>
    <w:p w14:paraId="5959FC0D" w14:textId="77777777" w:rsidR="00AA7DBD" w:rsidRPr="00AA7DBD" w:rsidRDefault="00AA7DBD" w:rsidP="00AA7DBD">
      <w:pPr>
        <w:pStyle w:val="CommentText"/>
        <w:ind w:firstLine="567"/>
        <w:jc w:val="both"/>
        <w:rPr>
          <w:sz w:val="28"/>
          <w:szCs w:val="28"/>
        </w:rPr>
      </w:pPr>
      <w:r w:rsidRPr="00AA7DBD">
        <w:rPr>
          <w:sz w:val="28"/>
          <w:szCs w:val="28"/>
        </w:rPr>
        <w:t>Tāpat arī Vides aizsardzības un reģionālās attīstības ministrija norāda, ka iekšējās kontroles riski (t.sk. korupcijas novēršanas jomā) un to novēršanas pasākumi ir noteikti iekšējos normatīvajos aktos, kas regulē iestādes dokumentu aprites kārtību un iekšējās procedūras. Katru gadu tiek aktualizēts ministrijas iekšējais pretkorupcijas pasākumu plāns. Galvenais princips korupcijas risku novēršanā tiek piemērots „četru acu princips” lēmumu pieņemšanā.</w:t>
      </w:r>
    </w:p>
    <w:p w14:paraId="6C2774CF" w14:textId="77777777" w:rsidR="00AA7DBD" w:rsidRPr="00AA7DBD" w:rsidRDefault="00AA7DBD" w:rsidP="00AA7DBD">
      <w:pPr>
        <w:pStyle w:val="CommentText"/>
        <w:ind w:firstLine="567"/>
        <w:jc w:val="both"/>
        <w:rPr>
          <w:sz w:val="28"/>
          <w:szCs w:val="28"/>
        </w:rPr>
      </w:pPr>
      <w:r w:rsidRPr="00AA7DBD">
        <w:rPr>
          <w:sz w:val="28"/>
          <w:szCs w:val="28"/>
        </w:rPr>
        <w:t>Zemkopības ministrijā ir izveidota integrētās vadības sistēma, kurā ir izstrādāti tādi procesi kā „Amatu savienošana” un „Iepirkumu vadība” un ir sagatavoti šādi iekšējie normatīvie akti: Ētikas kodekss, Darba kārtības noteikumi, 2014.gada 2.jūnija kārtība Nr.16 „Zemkopības ministrijas dienesta transporta līdzekļu un saziņas līdzekļu izmantošanas kārtība”, 2014.gada 27.jūnija kārtība Nr.19 „Datortehnikas un mobilo ierīču novērtēšanas, iegādes un piešķiršanas kārtība, Zemkopības ministrijā”, 2013.gada 15.februāra kārtība Nr.8 „Kancelejas preču pieprasīšanas un saņemšanas kārtība” un 2013.gada 4.jūnija rīkojums Nr.96 „Par valsts mantas atsavināšanu, norakstīšanu un novērtēšanas komisijas izveidošanu”.</w:t>
      </w:r>
    </w:p>
    <w:p w14:paraId="40B90D3B" w14:textId="77777777" w:rsidR="00AA7DBD" w:rsidRPr="00AA7DBD" w:rsidRDefault="00AA7DBD" w:rsidP="00AA7DBD">
      <w:pPr>
        <w:pStyle w:val="CommentText"/>
        <w:numPr>
          <w:ilvl w:val="0"/>
          <w:numId w:val="7"/>
        </w:numPr>
        <w:spacing w:before="360" w:after="360"/>
        <w:ind w:left="714" w:hanging="357"/>
        <w:jc w:val="both"/>
        <w:rPr>
          <w:b/>
          <w:i/>
          <w:sz w:val="28"/>
          <w:szCs w:val="28"/>
        </w:rPr>
      </w:pPr>
      <w:r w:rsidRPr="00AA7DBD">
        <w:rPr>
          <w:b/>
          <w:i/>
          <w:sz w:val="28"/>
          <w:szCs w:val="28"/>
        </w:rPr>
        <w:lastRenderedPageBreak/>
        <w:t>Paplašināt darba rezultātu vērtēšanas kritērijus, nosakot ne tikai šo personu kompetenci, bet vērtēt arī godprātības, ētiskuma jautājumus – pilnveidot normatīvo regulējumu saskaņā ar Koncepcijas 2.pielikumu un Valsts kancelejas izstrādāto politikas plānošanas dokumentu par jaunas valsts pārvaldē nodarbināto darba izpildes novērtēšanas sistēmu.</w:t>
      </w:r>
    </w:p>
    <w:p w14:paraId="163D56CB"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2012. gada 1. novembrī stājās spēkā jauna valsts tiešās pārvaldes iestādēs nodarbināto darba izpildes novērtēšanas kārtība – Ministru kabineta 2012. gada 10. jūlija noteikumi Nr. 494 "</w:t>
      </w:r>
      <w:r w:rsidRPr="00AA7DBD">
        <w:rPr>
          <w:rFonts w:ascii="Times New Roman" w:eastAsia="Times New Roman" w:hAnsi="Times New Roman" w:cs="Times New Roman"/>
          <w:bCs/>
          <w:sz w:val="28"/>
          <w:szCs w:val="28"/>
          <w:lang w:eastAsia="lv-LV"/>
        </w:rPr>
        <w:t xml:space="preserve">Noteikumi par valsts tiešās pārvaldes iestādēs nodarbināto darba izpildes novērtēšanu". Minēto noteikumu 34. punktā noteikts, ka </w:t>
      </w:r>
      <w:r w:rsidRPr="00AA7DBD">
        <w:rPr>
          <w:rFonts w:ascii="Times New Roman" w:eastAsia="Times New Roman" w:hAnsi="Times New Roman" w:cs="Times New Roman"/>
          <w:sz w:val="28"/>
          <w:szCs w:val="28"/>
          <w:lang w:eastAsia="lv-LV"/>
        </w:rPr>
        <w:t>visām amatu grupām obligāti vērtējamā kompetence ir "ētiskums", tādējādi novērtējot nodarbinātā godprātību, tiesiskumu, ētiskumu un lojalitāti.</w:t>
      </w:r>
    </w:p>
    <w:p w14:paraId="4A3772BA" w14:textId="77777777" w:rsidR="00AA7DBD" w:rsidRPr="00AA7DBD" w:rsidRDefault="00AA7DBD" w:rsidP="00AA7DBD">
      <w:pPr>
        <w:pStyle w:val="CommentText"/>
        <w:ind w:firstLine="567"/>
        <w:jc w:val="both"/>
        <w:rPr>
          <w:sz w:val="28"/>
          <w:szCs w:val="28"/>
        </w:rPr>
      </w:pPr>
      <w:r w:rsidRPr="00AA7DBD">
        <w:rPr>
          <w:sz w:val="28"/>
          <w:szCs w:val="28"/>
        </w:rPr>
        <w:t>Jaunā darba izpildes novērtēšanas sistēma veicina individuālā darba snieguma un kopējās darba efektivitātes paaugstināšanu. Darba izpildes novērtēšanas ietvaros tiek pārbaudīta darbinieku profesionālā kvalifikācija, amata pienākumu izpilde, kā arī</w:t>
      </w:r>
      <w:proofErr w:type="gramStart"/>
      <w:r w:rsidRPr="00AA7DBD">
        <w:rPr>
          <w:sz w:val="28"/>
          <w:szCs w:val="28"/>
        </w:rPr>
        <w:t xml:space="preserve">  </w:t>
      </w:r>
      <w:proofErr w:type="gramEnd"/>
      <w:r w:rsidRPr="00AA7DBD">
        <w:rPr>
          <w:sz w:val="28"/>
          <w:szCs w:val="28"/>
        </w:rPr>
        <w:t>kompetences. Ikgadējā novērtēšanā tiek ņemta vērā arī iestādes misijas, vērtību un ētikas principu pieņemšana un ievērošana. Augstu vērtēta ir ētikas normu ievērošana privātajās aktivitātēs, nenodarbošanās ar interešu lobēšanu, kā arī interešu konflikta situāciju identificēšana un izvairīšanās no tām.</w:t>
      </w:r>
      <w:r w:rsidRPr="00AA7DBD">
        <w:rPr>
          <w:rStyle w:val="FootnoteReference"/>
          <w:sz w:val="28"/>
          <w:szCs w:val="28"/>
        </w:rPr>
        <w:footnoteReference w:id="11"/>
      </w:r>
      <w:r w:rsidRPr="00AA7DBD">
        <w:rPr>
          <w:sz w:val="28"/>
          <w:szCs w:val="28"/>
        </w:rPr>
        <w:t xml:space="preserve"> </w:t>
      </w:r>
    </w:p>
    <w:p w14:paraId="4C392043" w14:textId="77777777" w:rsidR="00AA7DBD" w:rsidRPr="00AA7DBD" w:rsidRDefault="00AA7DBD" w:rsidP="00AA7DBD">
      <w:pPr>
        <w:pStyle w:val="CommentText"/>
        <w:ind w:firstLine="567"/>
        <w:jc w:val="both"/>
        <w:rPr>
          <w:sz w:val="28"/>
          <w:szCs w:val="28"/>
        </w:rPr>
      </w:pPr>
      <w:r w:rsidRPr="00AA7DBD">
        <w:rPr>
          <w:sz w:val="28"/>
          <w:szCs w:val="28"/>
        </w:rPr>
        <w:t xml:space="preserve">Papildus vēršam uzmanību, ka, piemēram, Iekšlietu ministrijas resorā amatpersonu ar speciālajām dienesta pakāpēm vērtēšana tiek veikta saskaņā ar Iekšlietu ministrijas sistēmas iestāžu un </w:t>
      </w:r>
      <w:proofErr w:type="gramStart"/>
      <w:r w:rsidRPr="00AA7DBD">
        <w:rPr>
          <w:sz w:val="28"/>
          <w:szCs w:val="28"/>
        </w:rPr>
        <w:t>ieslodzījuma vietu pārvaldes</w:t>
      </w:r>
      <w:proofErr w:type="gramEnd"/>
      <w:r w:rsidRPr="00AA7DBD">
        <w:rPr>
          <w:sz w:val="28"/>
          <w:szCs w:val="28"/>
        </w:rPr>
        <w:t xml:space="preserve"> amatpersonu ar speciālajām dienesta pakāpēm dienesta gaitas likumu un Ministru kabineta 2007.gada 7.augusta noteikumiem Nr.532 „Iekšlietu ministrijas sistēmas iestāžu un Ieslodzījuma vietu pārvaldes amatpersonu ar speciālo dienesta pakāpi darbības un tās rezultātu novērtēšanas kārtība”. Ar Ministru kabineta 2014.gada 15.aprīļa noteikumiem Nr.194 „Grozījumi Ministru kabineta 2007.gada 7.augusta noteikumos Nr.532 „Iekšlietu ministrijas sistēmas iestāžu un Ieslodzījuma vietu pārvaldes amatpersonu ar speciālo dienesta pakāpi darbības un tās rezultātu novērtēšanas kārtība”” paplašināti amatpersonu ar speciālajām dienesta pakāpēm novērtēšanas kritēriji, novērtēšanas veidlapā papildus iekļaujot godprātības, ētiskuma kritērijus (interešu konflikta nepieļaušana, disciplīnas ievērošana, līdzdalība noziedzīgu nodarījumu atklāšanā valsts dienestā).</w:t>
      </w:r>
    </w:p>
    <w:p w14:paraId="46978A3F" w14:textId="77777777" w:rsidR="00AA7DBD" w:rsidRPr="00AA7DBD" w:rsidRDefault="00AA7DBD" w:rsidP="00AA7DBD">
      <w:pPr>
        <w:pStyle w:val="CommentText"/>
        <w:ind w:firstLine="567"/>
        <w:jc w:val="both"/>
        <w:rPr>
          <w:sz w:val="28"/>
          <w:szCs w:val="28"/>
        </w:rPr>
      </w:pPr>
      <w:r w:rsidRPr="00AA7DBD">
        <w:rPr>
          <w:sz w:val="28"/>
          <w:szCs w:val="28"/>
        </w:rPr>
        <w:t>Piemēram, Valsts robežsardzē</w:t>
      </w:r>
      <w:proofErr w:type="gramStart"/>
      <w:r w:rsidRPr="00AA7DBD">
        <w:rPr>
          <w:sz w:val="28"/>
          <w:szCs w:val="28"/>
        </w:rPr>
        <w:t xml:space="preserve">  </w:t>
      </w:r>
      <w:proofErr w:type="gramEnd"/>
      <w:r w:rsidRPr="00AA7DBD">
        <w:rPr>
          <w:sz w:val="28"/>
          <w:szCs w:val="28"/>
        </w:rPr>
        <w:t xml:space="preserve">ētiskuma ievērošanu veicina Valsts robežsardzes 2008.gada 22.novembra noteikumi Nr.41 „Valsts robežsardzes amatpersonas un darbinieka Ētikas kodekss”, kuri nosaka profesionālās ētikas pamatprincipus. Ar Valsts robežsardzes 2014.gada 20.februāra pavēli Nr.223 „Par </w:t>
      </w:r>
      <w:r w:rsidRPr="00AA7DBD">
        <w:rPr>
          <w:sz w:val="28"/>
          <w:szCs w:val="28"/>
        </w:rPr>
        <w:lastRenderedPageBreak/>
        <w:t>„Godprātības anketas ieviešanu”” ir ieviesta godprātības anketa, kura tiek izmantota, veicot personāla atlasi dienestam.</w:t>
      </w:r>
      <w:r w:rsidRPr="00AA7DBD">
        <w:rPr>
          <w:rStyle w:val="FootnoteReference"/>
          <w:sz w:val="28"/>
          <w:szCs w:val="28"/>
        </w:rPr>
        <w:footnoteReference w:id="12"/>
      </w:r>
    </w:p>
    <w:p w14:paraId="3E9F7FE8" w14:textId="77777777" w:rsidR="00AA7DBD" w:rsidRPr="00AA7DBD" w:rsidRDefault="00AA7DBD" w:rsidP="00AA7DBD">
      <w:pPr>
        <w:pStyle w:val="CommentText"/>
        <w:ind w:firstLine="567"/>
        <w:jc w:val="both"/>
        <w:rPr>
          <w:sz w:val="28"/>
          <w:szCs w:val="28"/>
        </w:rPr>
      </w:pPr>
    </w:p>
    <w:p w14:paraId="07FACC23" w14:textId="77777777" w:rsidR="00AA7DBD" w:rsidRPr="00AA7DBD" w:rsidRDefault="00AA7DBD" w:rsidP="00AA7DBD">
      <w:pPr>
        <w:pStyle w:val="CommentText"/>
        <w:numPr>
          <w:ilvl w:val="0"/>
          <w:numId w:val="7"/>
        </w:numPr>
        <w:spacing w:before="360" w:after="360"/>
        <w:ind w:left="714" w:hanging="357"/>
        <w:jc w:val="both"/>
        <w:rPr>
          <w:b/>
          <w:i/>
          <w:sz w:val="28"/>
          <w:szCs w:val="28"/>
        </w:rPr>
      </w:pPr>
      <w:r w:rsidRPr="00AA7DBD">
        <w:rPr>
          <w:b/>
          <w:i/>
          <w:sz w:val="28"/>
          <w:szCs w:val="28"/>
        </w:rPr>
        <w:t>Nostiprināt pašvaldību (tieši pašvaldību, nevis arī pašvaldību institūciju) izpilddirektoru atbildību par iekšējās kontroles sistēmas izveidi un uzturēšanu pašvaldību administrācijā likumā „Par pašvaldībām” pēc analoģijas ar Valsts pārvaldes iekārtas likumu.</w:t>
      </w:r>
    </w:p>
    <w:p w14:paraId="3B7620EC" w14:textId="77777777" w:rsidR="00AA7DBD" w:rsidRPr="00AA7DBD" w:rsidRDefault="00AA7DBD" w:rsidP="00AA7DBD">
      <w:pPr>
        <w:pStyle w:val="CommentText"/>
        <w:ind w:firstLine="567"/>
        <w:jc w:val="both"/>
        <w:rPr>
          <w:i/>
          <w:sz w:val="28"/>
          <w:szCs w:val="28"/>
        </w:rPr>
      </w:pPr>
      <w:r w:rsidRPr="00AA7DBD">
        <w:rPr>
          <w:i/>
          <w:sz w:val="28"/>
          <w:szCs w:val="28"/>
        </w:rPr>
        <w:t>Izslēgts ar Ministru kabineta 2013.gada 2.jūlija rīkojumu Nr.286 „Grozījums Ministru kabineta 2012.gada 13.februāra rīkojumā Nr.72 „Par Koncepciju par korupcijas risku samazināšanu valsts pārvaldes iestādēs un pašvaldībās””.</w:t>
      </w:r>
    </w:p>
    <w:p w14:paraId="3DD9DF24" w14:textId="77777777" w:rsidR="00AA7DBD" w:rsidRPr="00AA7DBD" w:rsidRDefault="00AA7DBD" w:rsidP="00AA7DBD">
      <w:pPr>
        <w:pStyle w:val="CommentText"/>
        <w:numPr>
          <w:ilvl w:val="0"/>
          <w:numId w:val="7"/>
        </w:numPr>
        <w:spacing w:before="360" w:after="360"/>
        <w:ind w:left="714" w:hanging="357"/>
        <w:jc w:val="both"/>
        <w:rPr>
          <w:b/>
          <w:i/>
          <w:sz w:val="28"/>
          <w:szCs w:val="28"/>
        </w:rPr>
      </w:pPr>
      <w:r w:rsidRPr="00AA7DBD">
        <w:rPr>
          <w:b/>
          <w:i/>
          <w:sz w:val="28"/>
          <w:szCs w:val="28"/>
        </w:rPr>
        <w:t xml:space="preserve">Izstrādāt </w:t>
      </w:r>
      <w:proofErr w:type="gramStart"/>
      <w:r w:rsidRPr="00AA7DBD">
        <w:rPr>
          <w:b/>
          <w:i/>
          <w:sz w:val="28"/>
          <w:szCs w:val="28"/>
        </w:rPr>
        <w:t>vienotus personāla atlases</w:t>
      </w:r>
      <w:proofErr w:type="gramEnd"/>
      <w:r w:rsidRPr="00AA7DBD">
        <w:rPr>
          <w:b/>
          <w:i/>
          <w:sz w:val="28"/>
          <w:szCs w:val="28"/>
        </w:rPr>
        <w:t>, izvērtēšanas un darbā pieņemšanas principus visās valsts un pašvaldību institūcijās, arī ņemot vēra to, ka valsts pārvaldē ir nodarbināti gan ierēdņi, gan darbinieki, kuru dienesta vai darba tiesiskās attiecības nosaka Valsts civildienesta likums un Darba likums, kur pēdējā nav noteikta, piemēram, obligāta prasība sludināt atklātu konkursu.</w:t>
      </w:r>
    </w:p>
    <w:p w14:paraId="6A524703"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2014.gada 16.septembrī tika apstiprināts Ministru kabinetā un 2014.gada 18.decembrī izskatīts Saeimā pirmajā lasījumā Valsts kancelejas izstrādātais Valsts dienesta likumprojekts. Valsts dienestu šā likumprojekta izpratnē pilda visi valsts tiešās pārvaldes iestādes nodarbinātie un Nacionālo bruņoto spēku civilie darbinieki. Savukārt likumprojekts neattiecas uz Iekšlietu ministrijas sistēmas iestāžu un ieslodzījuma vietu pārvaldes amatpersonām ar speciālajām dienesta pakāpēm, valsts drošības iestāžu darbiniekiem</w:t>
      </w:r>
      <w:proofErr w:type="gramStart"/>
      <w:r w:rsidRPr="00AA7DBD">
        <w:rPr>
          <w:rFonts w:ascii="Times New Roman" w:eastAsia="Times New Roman" w:hAnsi="Times New Roman" w:cs="Times New Roman"/>
          <w:sz w:val="28"/>
          <w:szCs w:val="28"/>
          <w:lang w:eastAsia="lv-LV"/>
        </w:rPr>
        <w:t xml:space="preserve">  </w:t>
      </w:r>
      <w:proofErr w:type="gramEnd"/>
      <w:r w:rsidRPr="00AA7DBD">
        <w:rPr>
          <w:rFonts w:ascii="Times New Roman" w:eastAsia="Times New Roman" w:hAnsi="Times New Roman" w:cs="Times New Roman"/>
          <w:sz w:val="28"/>
          <w:szCs w:val="28"/>
          <w:lang w:eastAsia="lv-LV"/>
        </w:rPr>
        <w:t>un Ministru kabineta locekļu konsultatīvajām amatpersonām. Valsts dienesta likumprojektā noteikti vienoti un atklāti atlases principi valsts dienestā nodarbinātajiem ierēdņiem, specializētā valsts dienesta ierēdņiem vai darbiniekiem.</w:t>
      </w:r>
    </w:p>
    <w:p w14:paraId="717B1D3F"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 xml:space="preserve">Ar šo likumprojektu tiek būtiski paplašināts vakanču skaits, uz kurām tiek sludināts atklāts konkurss (ne tikai ierēdņu amati, bet arī darbinieku amati), kā arī tiek saglabāts princips, ka valsts dienestā tiek rīkoti atklāti pretendentu konkursi uz jebkura līmeņa vakancēm. Kā arī paplašinātas iespējas rīkot iekšējos konkursus valsts pārvaldē, lai veicinātu valsts pārvaldes ekspertu attīstību. Iekšējo konkursu mērķis nav padarīt nepieejamu valsts pārvaldi pretendentiem no privātā sektora, bet mērķis ir cīnīties ar augsto nodarbināto mainības līmeni valsts pārvaldes </w:t>
      </w:r>
      <w:r w:rsidRPr="00AA7DBD">
        <w:rPr>
          <w:rFonts w:ascii="Times New Roman" w:eastAsia="Times New Roman" w:hAnsi="Times New Roman" w:cs="Times New Roman"/>
          <w:sz w:val="28"/>
          <w:szCs w:val="28"/>
          <w:lang w:eastAsia="lv-LV"/>
        </w:rPr>
        <w:lastRenderedPageBreak/>
        <w:t>iestādēs. Iekšējie konkursi valsts pārvaldē ir papildu motivācijas rīks, kas palīdzēs noturēt profesionāļus valsts pārvaldē un paplašinās šo profesionāļu attīstības iespējas valsts pārvaldē.</w:t>
      </w:r>
      <w:r w:rsidRPr="00AA7DBD">
        <w:rPr>
          <w:rFonts w:ascii="Times New Roman" w:eastAsia="Times New Roman" w:hAnsi="Times New Roman" w:cs="Times New Roman"/>
          <w:sz w:val="28"/>
          <w:szCs w:val="28"/>
          <w:vertAlign w:val="superscript"/>
          <w:lang w:eastAsia="lv-LV"/>
        </w:rPr>
        <w:footnoteReference w:id="13"/>
      </w:r>
    </w:p>
    <w:p w14:paraId="1B1DEDF4"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Tāpat vēršam uzmanību, ka Valsts kanceleja ir izstrādājusi un Saeima 2014.gadā ir pieņēmusi grozījumus Valsts civildienesta likumā, kuros noteikts, ka no 2015.gada 1.septembra Valsts kanceleja nodrošina iestāžu vadītāju atlasi. Ministru kabinets 2015.gada 9.jūnijā ir pieņēmis noteikumus Nr.293 “Valsts tiešās pārvaldes iestāžu vadītāju atlases kārtība”.</w:t>
      </w:r>
    </w:p>
    <w:p w14:paraId="663E6B0D"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Vienlaikus norādām, ka Korupcijas novēršanas un apkarošanas pamatnostādnēs 2015.-2020.gadam iekļauts uzdevums visām valsts un pašvaldības institūcijām (izņemot valsts civildienesta ierēdņiem), publisko personu kapitālsabiedrībām nodrošināt informācijas par vakantajām amata vietām pašvaldībās, valsts vai pašvaldību institūcijās, publisko personu kapitālsabiedrību pārvaldes institūcijās (valde, padome), iekšlietu sistēmas iestādēs un citās publisko personu institūcijās (izņemot attiecībā uz valsts civildienesta ierēdņiem) publisku pieejamību institūcijas mājaslapā. Tāpat līdz 2016.gada 31.decembrim personāla atlasē ir jānodrošina atklātības, taisnīguma, efektivitātes un objektivitātes principu ievērošana.</w:t>
      </w:r>
    </w:p>
    <w:p w14:paraId="039DC185"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Uzskatām, ka uzdevums izstrādāt vienotus personāla atlases, izvērtēšanas un darbā pieņemšanas principus visās valsts un pašvaldību institūcijās, šīs Koncepcijas ietvaros ir izpildīts, jo tika izstrādāts Valsts dienesta likumprojekts, grozījumi Valsts civildienesta likumā un pieņemti</w:t>
      </w:r>
      <w:proofErr w:type="gramStart"/>
      <w:r w:rsidRPr="00AA7DBD">
        <w:rPr>
          <w:rFonts w:ascii="Times New Roman" w:eastAsia="Times New Roman" w:hAnsi="Times New Roman" w:cs="Times New Roman"/>
          <w:sz w:val="28"/>
          <w:szCs w:val="28"/>
          <w:lang w:eastAsia="lv-LV"/>
        </w:rPr>
        <w:t xml:space="preserve">  </w:t>
      </w:r>
      <w:proofErr w:type="gramEnd"/>
      <w:r w:rsidRPr="00AA7DBD">
        <w:rPr>
          <w:rFonts w:ascii="Times New Roman" w:eastAsia="Times New Roman" w:hAnsi="Times New Roman" w:cs="Times New Roman"/>
          <w:sz w:val="28"/>
          <w:szCs w:val="28"/>
          <w:lang w:eastAsia="lv-LV"/>
        </w:rPr>
        <w:t>Ministru kabineta noteikumi „Valsts tiešās pārvaldes iestāžu vadītāju atlases kārtība”, kuru saskaņošanas procesā piedalījās visas ministrijas, tostarp Korupcijas novēršanas un apkarošanas birojs, kā arī Korupcijas novēršanas un apkarošanas pamatnostādnēs tiek paredzēti uzdevumi (pasākumi), lai personāla atlasē īstenotu atklātības, taisnīguma, efektivitātes un objektivitātes principu ievērošanu.</w:t>
      </w:r>
    </w:p>
    <w:p w14:paraId="5615BF17" w14:textId="77777777" w:rsidR="00AA7DBD" w:rsidRPr="00AA7DBD" w:rsidRDefault="00AA7DBD" w:rsidP="00AA7DBD">
      <w:pPr>
        <w:pStyle w:val="CommentText"/>
        <w:numPr>
          <w:ilvl w:val="0"/>
          <w:numId w:val="7"/>
        </w:numPr>
        <w:spacing w:before="360" w:after="360"/>
        <w:ind w:left="714" w:hanging="357"/>
        <w:jc w:val="both"/>
        <w:rPr>
          <w:b/>
          <w:i/>
          <w:sz w:val="28"/>
          <w:szCs w:val="28"/>
        </w:rPr>
      </w:pPr>
      <w:r w:rsidRPr="00AA7DBD">
        <w:rPr>
          <w:b/>
          <w:i/>
          <w:sz w:val="28"/>
          <w:szCs w:val="28"/>
        </w:rPr>
        <w:t>Visām valsts un pašvaldību institūcijām nodrošināt atklātu un uz brīvu konkurenci vērstu personāla atlases procedūru, publiskojot informāciju par visām vakancēm un īstenojot vienotu un atklātu kandidātu atlases kārtību.</w:t>
      </w:r>
    </w:p>
    <w:p w14:paraId="1B50C2E7" w14:textId="77777777" w:rsidR="00AA7DBD" w:rsidRPr="00AA7DBD" w:rsidRDefault="00AA7DBD" w:rsidP="00AA7DBD">
      <w:pPr>
        <w:pStyle w:val="CommentText"/>
        <w:ind w:firstLine="567"/>
        <w:jc w:val="both"/>
        <w:rPr>
          <w:sz w:val="28"/>
          <w:szCs w:val="28"/>
        </w:rPr>
      </w:pPr>
      <w:r w:rsidRPr="00AA7DBD">
        <w:rPr>
          <w:sz w:val="28"/>
          <w:szCs w:val="28"/>
        </w:rPr>
        <w:t>Valsts kancelejas izstrādātajā Valsts dienesta likumprojektā ir</w:t>
      </w:r>
      <w:proofErr w:type="gramStart"/>
      <w:r w:rsidRPr="00AA7DBD">
        <w:rPr>
          <w:sz w:val="28"/>
          <w:szCs w:val="28"/>
        </w:rPr>
        <w:t xml:space="preserve">  </w:t>
      </w:r>
      <w:proofErr w:type="gramEnd"/>
      <w:r w:rsidRPr="00AA7DBD">
        <w:rPr>
          <w:sz w:val="28"/>
          <w:szCs w:val="28"/>
        </w:rPr>
        <w:t xml:space="preserve">noteikts, ka atklāts pretendentu konkurss tiek izsludināts uz visiem valsts tiešās pārvaldes iestādes vakantajiem amatiem (tai skaitā darbinieku amatiem). Lai novērstu formālu pretendentu konkursu izsludināšanu un </w:t>
      </w:r>
      <w:proofErr w:type="spellStart"/>
      <w:r w:rsidRPr="00AA7DBD">
        <w:rPr>
          <w:sz w:val="28"/>
          <w:szCs w:val="28"/>
        </w:rPr>
        <w:t>efektivizētu</w:t>
      </w:r>
      <w:proofErr w:type="spellEnd"/>
      <w:r w:rsidRPr="00AA7DBD">
        <w:rPr>
          <w:sz w:val="28"/>
          <w:szCs w:val="28"/>
        </w:rPr>
        <w:t xml:space="preserve"> atlases procesu, </w:t>
      </w:r>
      <w:r w:rsidRPr="00AA7DBD">
        <w:rPr>
          <w:sz w:val="28"/>
          <w:szCs w:val="28"/>
        </w:rPr>
        <w:lastRenderedPageBreak/>
        <w:t>minētajā likumprojektā ir noteikti atsevišķi izņēmuma gadījumi, kad atklātu pretendentu konkursu var neizsludināt. Viens no šādiem gadījumiem ir sezonas rakstura darbs. Taču arī šajā gadījumā tiek publiskota informācija par vakanci.</w:t>
      </w:r>
      <w:r w:rsidRPr="00AA7DBD">
        <w:rPr>
          <w:rStyle w:val="FootnoteReference"/>
          <w:sz w:val="28"/>
          <w:szCs w:val="28"/>
        </w:rPr>
        <w:footnoteReference w:id="14"/>
      </w:r>
      <w:r w:rsidRPr="00AA7DBD">
        <w:rPr>
          <w:sz w:val="28"/>
          <w:szCs w:val="28"/>
        </w:rPr>
        <w:t xml:space="preserve"> Atklātu pretendentu konkursu uz ierēdņu un darbinieku amatiem attiecīgā iestāde publicē iestādes mājaslapā (internetā) un Nodarbinātības valsts aģentūras vakanču portālā.</w:t>
      </w:r>
    </w:p>
    <w:p w14:paraId="0451E0D4" w14:textId="77777777" w:rsidR="00AA7DBD" w:rsidRPr="00AA7DBD" w:rsidRDefault="00AA7DBD" w:rsidP="00AA7DBD">
      <w:pPr>
        <w:pStyle w:val="CommentText"/>
        <w:ind w:firstLine="567"/>
        <w:jc w:val="both"/>
        <w:rPr>
          <w:sz w:val="28"/>
          <w:szCs w:val="28"/>
        </w:rPr>
      </w:pPr>
      <w:r w:rsidRPr="00AA7DBD">
        <w:rPr>
          <w:sz w:val="28"/>
          <w:szCs w:val="28"/>
        </w:rPr>
        <w:t>Savukārt jau šobrīd visās ministrijās un to padotībā esošajās iestādēs</w:t>
      </w:r>
      <w:proofErr w:type="gramStart"/>
      <w:r w:rsidRPr="00AA7DBD">
        <w:rPr>
          <w:sz w:val="28"/>
          <w:szCs w:val="28"/>
        </w:rPr>
        <w:t xml:space="preserve">  </w:t>
      </w:r>
      <w:proofErr w:type="gramEnd"/>
      <w:r w:rsidRPr="00AA7DBD">
        <w:rPr>
          <w:sz w:val="28"/>
          <w:szCs w:val="28"/>
        </w:rPr>
        <w:t>tiek nodrošināta atklāta un uz brīvu konkurenci vērsta personāla atlase saskaņā ar normatīvo aktu prasībām īstenojot vienotu un atklātu kandidātu atlases kārtību, publiskojot informāciju par vakancēm Latvijas Republikas oficiālajā izdevumā „Latvijas Vēstnesis”</w:t>
      </w:r>
      <w:r w:rsidRPr="00AA7DBD">
        <w:rPr>
          <w:sz w:val="24"/>
          <w:szCs w:val="24"/>
        </w:rPr>
        <w:t xml:space="preserve"> </w:t>
      </w:r>
      <w:r w:rsidRPr="00AA7DBD">
        <w:rPr>
          <w:sz w:val="28"/>
          <w:szCs w:val="28"/>
        </w:rPr>
        <w:t>un iestādes mājaslapā. Atsevišķas iestādes informāciju publicē arī Nodarbinātības valsts aģentūras vakanču datu bāzē.</w:t>
      </w:r>
    </w:p>
    <w:p w14:paraId="542ACE60" w14:textId="77777777" w:rsidR="00AA7DBD" w:rsidRPr="00AA7DBD" w:rsidRDefault="00AA7DBD" w:rsidP="00AA7DBD">
      <w:pPr>
        <w:pStyle w:val="CommentText"/>
        <w:ind w:firstLine="567"/>
        <w:jc w:val="both"/>
        <w:rPr>
          <w:sz w:val="28"/>
          <w:szCs w:val="28"/>
        </w:rPr>
      </w:pPr>
      <w:r w:rsidRPr="00AA7DBD">
        <w:rPr>
          <w:sz w:val="28"/>
          <w:szCs w:val="28"/>
        </w:rPr>
        <w:t>Piemēram, Iekšlietu ministrijas padotībā esošajai Valsts robežsardzei ir izveidota sistēma, kādā tiek organizēta amatpersonu karjeras attīstība, kā arī uz visām vakantajām amata vietām ir caurskatāma kandidātu atlase konkursam, kur atlases kritēriji nesašaurina pretendentu loku. Amatpersonas ar speciālo dienesta pakāpi karjeras izaugsme ir atkarīga no iegūtās izglītības atbilstības, profesionālās pieredzes, darba rezultātiem, dienesta disciplīnas ievērošanas, iniciatīvas, kompetencēm u.c. kritērijiem, kas tiek ņemti vērā, vērtējot iekšējo vai ārējo konkursu rezultātā pieteikušos pretendentus. Ja konkurss ir noslēdzies bez rezultāta vai tā lietderība nav pamatota, iestādes vadītājs amatpersonu amatā var pārcelt dienesta interesēs saskaņā ar Iekšlietu ministrijas sistēmas iestāžu un Ieslodzījuma vietu pārvaldes amatpersonu ar speciālajām dienesta pakāpēm dienesta gaitas likumā noteikto kārtību. Uz darbinieku amatiem tiek sludināti iekšējie un ārējie konkursi, pamatā izmantojot Nodarbinātības valsts aģentūras starpniecību. Aktuālie darba piedāvājumi papildus tiek ievietoti arī Valsts robežsardzes mājaslapā. Saskaņā ar Valsts robežsardzes 2013.gada 22.oktobra pavēli Nr.1233 „Par amata pretendentu vērtēšanas komisiju izveidošanu”, komisijas, lemjot par amatu kandidātiem, īsteno vienotu un atklātu kandidātu atlases kārtību, kā rezultātā dienestā (darbā) tiek pieņemti spējīgākie un labākie kandidāti, tādējādi veicinot atklātību un godīgu konkurenci.</w:t>
      </w:r>
      <w:r w:rsidRPr="00AA7DBD">
        <w:rPr>
          <w:rStyle w:val="FootnoteReference"/>
          <w:sz w:val="28"/>
          <w:szCs w:val="28"/>
        </w:rPr>
        <w:footnoteReference w:id="15"/>
      </w:r>
    </w:p>
    <w:p w14:paraId="093C1CE8" w14:textId="77777777" w:rsidR="00AA7DBD" w:rsidRPr="00AA7DBD" w:rsidRDefault="00AA7DBD" w:rsidP="00AA7DBD">
      <w:pPr>
        <w:pStyle w:val="CommentText"/>
        <w:ind w:firstLine="567"/>
        <w:jc w:val="both"/>
        <w:rPr>
          <w:sz w:val="28"/>
          <w:szCs w:val="28"/>
        </w:rPr>
      </w:pPr>
      <w:r w:rsidRPr="00AA7DBD">
        <w:rPr>
          <w:sz w:val="28"/>
          <w:szCs w:val="28"/>
        </w:rPr>
        <w:t xml:space="preserve">Tostarp Ārlietu ministrija informē, ka atlases procedūru ministrijā regulē Valsts civildienesta likums, Diplomātiskā un konsulārā dienesta likums, Darba likums un 2014.gada Ārlietu ministrijas instrukcija „Par atklāto konkursu uz atašeja amatu Latvijas Republikas diplomātiskajā un konsulārajā dienestā”. Šobrīd notiek darbs pie jaunu, uzlabotu iekšējo noteikumu izstrādes par pretendentu atlasi diplomātiskajam un konsulārajam dienestam atklātā konkursā. Jau tagad atklātie </w:t>
      </w:r>
      <w:r w:rsidRPr="00AA7DBD">
        <w:rPr>
          <w:sz w:val="28"/>
          <w:szCs w:val="28"/>
        </w:rPr>
        <w:lastRenderedPageBreak/>
        <w:t xml:space="preserve">konkursi tiek rīkoti gan uz darbinieka, gan uz ierēdņa vakancēm konkursa sludinājumus publicējot laikrakstā „Latvijas Vēstnesis”, Ārlietu ministrijas mājaslapā, portālā </w:t>
      </w:r>
      <w:proofErr w:type="spellStart"/>
      <w:r w:rsidRPr="00AA7DBD">
        <w:rPr>
          <w:sz w:val="28"/>
          <w:szCs w:val="28"/>
        </w:rPr>
        <w:t>CVMarket</w:t>
      </w:r>
      <w:proofErr w:type="spellEnd"/>
      <w:r w:rsidRPr="00AA7DBD">
        <w:rPr>
          <w:sz w:val="28"/>
          <w:szCs w:val="28"/>
        </w:rPr>
        <w:t xml:space="preserve"> un atsevišķos gadījumos kādā no citiem dienas laikrakstiem. Sludinājums no oficiālā laikraksta „Latvijas Vēstnesis” tiek publicēts arī vairākos darba piedāvājumu portālos. Katrā konkursā tiek sagatavots protokols, kurā tiek atspoguļots konkursa norises process un pieņemtie lēmumi.</w:t>
      </w:r>
      <w:r w:rsidRPr="00AA7DBD">
        <w:rPr>
          <w:rStyle w:val="FootnoteReference"/>
          <w:sz w:val="28"/>
          <w:szCs w:val="28"/>
        </w:rPr>
        <w:footnoteReference w:id="16"/>
      </w:r>
    </w:p>
    <w:p w14:paraId="622DB690" w14:textId="77777777" w:rsidR="00AA7DBD" w:rsidRPr="00AA7DBD" w:rsidRDefault="00AA7DBD" w:rsidP="00AA7DBD">
      <w:pPr>
        <w:pStyle w:val="CommentText"/>
        <w:ind w:firstLine="567"/>
        <w:jc w:val="both"/>
        <w:rPr>
          <w:sz w:val="28"/>
          <w:szCs w:val="28"/>
        </w:rPr>
      </w:pPr>
      <w:r w:rsidRPr="00AA7DBD">
        <w:rPr>
          <w:sz w:val="28"/>
          <w:szCs w:val="28"/>
        </w:rPr>
        <w:t>Vienlaikus vēršam uzmanību, ka Korupcijas novēršanas un apkarošanas biroja pamatnostādnēs2015.-2020.gadam ir paredzēts uzdevums visām valsts un pašvaldības institūcijām, publisko personu kapitālsabiedrībām nodrošināt atklātas, taisnīgas, uz efektivitātes un objektivitātes principiem balstītas personāla atlases</w:t>
      </w:r>
      <w:proofErr w:type="gramStart"/>
      <w:r w:rsidRPr="00AA7DBD">
        <w:rPr>
          <w:sz w:val="28"/>
          <w:szCs w:val="28"/>
        </w:rPr>
        <w:t xml:space="preserve">  </w:t>
      </w:r>
      <w:proofErr w:type="gramEnd"/>
      <w:r w:rsidRPr="00AA7DBD">
        <w:rPr>
          <w:sz w:val="28"/>
          <w:szCs w:val="28"/>
        </w:rPr>
        <w:t>procedūras un nodrošināt informācijas par vakantajām amata vietām pašvaldībās, valsts vai pašvaldību institūcijās, publisko personu kapitālsabiedrību pārvaldes institūcijās (valde, padome), iekšlietu sistēmas iestādēs un citās publisko personu institūcijās (izņemot attiecībā uz valsts civildienesta ierēdņiem) publisku pieejamību institūcijās mājaslapā.</w:t>
      </w:r>
    </w:p>
    <w:p w14:paraId="0EC19AB1" w14:textId="77777777" w:rsidR="00AA7DBD" w:rsidRPr="00AA7DBD" w:rsidRDefault="00AA7DBD" w:rsidP="00AA7DBD">
      <w:pPr>
        <w:pStyle w:val="CommentText"/>
        <w:numPr>
          <w:ilvl w:val="0"/>
          <w:numId w:val="7"/>
        </w:numPr>
        <w:spacing w:before="360" w:after="360"/>
        <w:ind w:left="714" w:hanging="357"/>
        <w:jc w:val="both"/>
        <w:rPr>
          <w:b/>
          <w:i/>
          <w:sz w:val="28"/>
          <w:szCs w:val="28"/>
        </w:rPr>
      </w:pPr>
      <w:r w:rsidRPr="00AA7DBD">
        <w:rPr>
          <w:b/>
          <w:i/>
          <w:sz w:val="28"/>
          <w:szCs w:val="28"/>
        </w:rPr>
        <w:t xml:space="preserve">(1)Visām institūcijām, novērtējot darbinieku individuālos apstākļus, kas var veicināt nonākšanu korupcijas riska situācijā, nepieciešams ņemt vērā arī amatpersonu parādsaistību nodrošināšanai nepieciešamos līdzekļus, atzīstot, ka tādu parādsaistību apmērs, kas pārsniedz noteiktu daļu no amatpersonas mājsaimniecības ikmēneša ienākumiem, ir korupcijas risku veicinošs. Lai to izdarītu ir nepieciešams paplašināt institūciju vadītāju pilnvaru apjomu likumā „Par interešu konflikta novēršanu valsts amatpersonu darbībā”, nosakot iestādes vadītājam tiesības pieprasīt valsts amatpersonai sniegt informāciju par amatpersonas parādsaistību apmēru, lai iestādes vadītājs, ieguvis šo informāciju, varētu attiecībā uz riska grupā esošajām amatpersonām veikt pastiprinātu kontroli un uzraudzību. Kā arī jāparedz amatpersonai tiesības iesniegt papildus </w:t>
      </w:r>
      <w:proofErr w:type="gramStart"/>
      <w:r w:rsidRPr="00AA7DBD">
        <w:rPr>
          <w:b/>
          <w:i/>
          <w:sz w:val="28"/>
          <w:szCs w:val="28"/>
        </w:rPr>
        <w:t>informāciju par tai piederīgās visas mājsaimniecības ienākumiem</w:t>
      </w:r>
      <w:proofErr w:type="gramEnd"/>
      <w:r w:rsidRPr="00AA7DBD">
        <w:rPr>
          <w:b/>
          <w:i/>
          <w:sz w:val="28"/>
          <w:szCs w:val="28"/>
        </w:rPr>
        <w:t xml:space="preserve">, ja ar tiem iespējams pierādīt, ka kopējie ienākumi ir pietiekoši un amatpersona attiecīgi tiktu izslēgta no riska grupas. </w:t>
      </w:r>
    </w:p>
    <w:p w14:paraId="34582CC0" w14:textId="77777777" w:rsidR="00AA7DBD" w:rsidRPr="00AA7DBD" w:rsidRDefault="00AA7DBD" w:rsidP="00AA7DBD">
      <w:pPr>
        <w:pStyle w:val="CommentText"/>
        <w:ind w:left="284" w:firstLine="567"/>
        <w:jc w:val="both"/>
        <w:rPr>
          <w:sz w:val="28"/>
          <w:szCs w:val="28"/>
        </w:rPr>
      </w:pPr>
      <w:r w:rsidRPr="00AA7DBD">
        <w:rPr>
          <w:sz w:val="28"/>
          <w:szCs w:val="28"/>
        </w:rPr>
        <w:t xml:space="preserve">Šobrīd ārējie normatīvie akti neparedz ministrijām tiesības pieprasīt amatpersonai sniegt informāciju par tās parādsaistību apmēru vai citu informāciju par mājsaimniecības ienākumiem un izdevumiem, kā arī tiesības vērtēt nodarbināto parādsaistības un individuālos apstākļus, kas var veicināt nonākšanu korupcijas riska situācijā. </w:t>
      </w:r>
    </w:p>
    <w:p w14:paraId="35B9A149" w14:textId="77777777" w:rsidR="00AA7DBD" w:rsidRPr="00AA7DBD" w:rsidRDefault="00AA7DBD" w:rsidP="00AA7DBD">
      <w:pPr>
        <w:pStyle w:val="CommentText"/>
        <w:ind w:left="284" w:firstLine="567"/>
        <w:jc w:val="both"/>
        <w:rPr>
          <w:sz w:val="28"/>
          <w:szCs w:val="28"/>
        </w:rPr>
      </w:pPr>
      <w:r w:rsidRPr="00AA7DBD">
        <w:rPr>
          <w:sz w:val="28"/>
          <w:szCs w:val="28"/>
        </w:rPr>
        <w:lastRenderedPageBreak/>
        <w:t>Korupcijas novēršanas un apkarošanas birojs 2013.gada 1.augustā Valsts sekretāru sanāksmē atsauca Ministru kabineta noteikumu projektu „Grozījumi Ministru kabineta 2012.gada 8.maija noteikumos Nr.326 „Noteikumi par iekšējās kontroles</w:t>
      </w:r>
      <w:proofErr w:type="gramStart"/>
      <w:r w:rsidRPr="00AA7DBD">
        <w:rPr>
          <w:sz w:val="28"/>
          <w:szCs w:val="28"/>
        </w:rPr>
        <w:t xml:space="preserve">  </w:t>
      </w:r>
      <w:proofErr w:type="gramEnd"/>
      <w:r w:rsidRPr="00AA7DBD">
        <w:rPr>
          <w:sz w:val="28"/>
          <w:szCs w:val="28"/>
        </w:rPr>
        <w:t>sistēmu tiešās pārvaldes iestādēs”” (VSS-49), kurā tika paredzēta arī ienākumu un parādsaistību proporcijas noteikšanas kārtība attiecībā uz korupcijas riskam pakļautos amatos nodarbinātām personām. Lai iestāde varētu noteikt ienākumu un parādsaistību proporciju darbiniekiem, kuri ieņem amatus, kur korupcijas un interešu konflikta riska iestāšanās varbūtība ir liela vai ļoti liela būtu nepieciešams papildus ik gadu iesniegt informāciju par saviem</w:t>
      </w:r>
      <w:proofErr w:type="gramStart"/>
      <w:r w:rsidRPr="00AA7DBD">
        <w:rPr>
          <w:sz w:val="28"/>
          <w:szCs w:val="28"/>
        </w:rPr>
        <w:t xml:space="preserve">  </w:t>
      </w:r>
      <w:proofErr w:type="gramEnd"/>
      <w:r w:rsidRPr="00AA7DBD">
        <w:rPr>
          <w:sz w:val="28"/>
          <w:szCs w:val="28"/>
        </w:rPr>
        <w:t>izdevumiem un visu veidu parādsaistībām (hipotekārais kredīts, kredīts patēriņa preču iegādei, norēķinu karšu kredīts, finanšu līzings, kredīts apgrozāmo līdzekļu palielināšanai, operatīvais līzings, faktorings un cita veida kredīti), kā arī informāciju par laulātā vai ģimenes locekļa ienākumiem, kuru nav paredzēts norādīt valsts amatpersonu deklarācijā.</w:t>
      </w:r>
    </w:p>
    <w:p w14:paraId="2D6D37B3" w14:textId="77777777" w:rsidR="00AA7DBD" w:rsidRPr="00AA7DBD" w:rsidRDefault="00AA7DBD" w:rsidP="00AA7DBD">
      <w:pPr>
        <w:pStyle w:val="CommentText"/>
        <w:ind w:left="284" w:firstLine="567"/>
        <w:jc w:val="both"/>
        <w:rPr>
          <w:sz w:val="28"/>
          <w:szCs w:val="28"/>
        </w:rPr>
      </w:pPr>
      <w:r w:rsidRPr="00AA7DBD">
        <w:rPr>
          <w:sz w:val="28"/>
          <w:szCs w:val="28"/>
        </w:rPr>
        <w:t>Tieslietu ministrija norādīja, ka iepriekš minētā noteikumu projekta pielikums „Ienākumu un parādsaistību proporcijas noteikšanas kārtība attiecībā uz korupcijas riskam pakļautos amatos nodarbinātām personām” paredz nesamērīgas prasības, administratīvo slogu un izmaksas attiecībā pret ieguvumiem, ko varētu sniegt šā noteikumu projekta mērķa sasniegšana. Atbilstoši Korupcijas novēršanas un apkarošanas biroja likuma 7.panta pirmās daļas 3. un 16.punktam Korupcijas novēršanas un apkarošanas birojs kontrolē likuma „Par interešu konflikta novēršanu valsts amatpersonu darbībā” izpildi, citos normatīvajos aktos valsts amatpersonām noteikto papildu ierobežojumu ievērošanu, kā arī likumā „Par interešu konflikta novēršanu valsts amatpersonu darbībā” noteiktajā apjomā pārbauda valsts amatpersonu deklarācijas.</w:t>
      </w:r>
    </w:p>
    <w:p w14:paraId="51FEA11F" w14:textId="77777777" w:rsidR="00AA7DBD" w:rsidRPr="00AA7DBD" w:rsidRDefault="00AA7DBD" w:rsidP="00AA7DBD">
      <w:pPr>
        <w:pStyle w:val="CommentText"/>
        <w:ind w:left="284" w:firstLine="567"/>
        <w:jc w:val="both"/>
        <w:rPr>
          <w:sz w:val="28"/>
          <w:szCs w:val="28"/>
        </w:rPr>
      </w:pPr>
      <w:r w:rsidRPr="00AA7DBD">
        <w:rPr>
          <w:sz w:val="28"/>
          <w:szCs w:val="28"/>
        </w:rPr>
        <w:t>Noteikumu projekts paredz tiešās valsts pārvaldes vadītāja plašu pilnvarojumu ievākt ziņas no iestādes amatpersonām par viņu ienākumiem un parādsaistībām, kas skar personas tiesības uz privātās dzīves neaizskaramību, kuras nostiprinātas Latvijas Republikas Satversmes (turpmāk – Satversme) 96.pantā. Interpretējot Satversmes 96.pantā garantētās tiesības uz privāto dzīvi, Satversmes tiesa ir norādījusi, ka „šīs tiesības skar dažādus aspektus. Tās aizsargā indivīda fizisko un garīgo integritāti, godu un cieņu, vārdu un identitāti, personas datus. Tiesības uz privāto dzīvi nozīmē, ka indivīdam ir tiesības uz savu privāto telpu, iespējami minimāli ciešot no valsts vai citu personu iejaukšanās.”</w:t>
      </w:r>
    </w:p>
    <w:p w14:paraId="30780CF6" w14:textId="77777777" w:rsidR="00AA7DBD" w:rsidRPr="00AA7DBD" w:rsidRDefault="00AA7DBD" w:rsidP="00AA7DBD">
      <w:pPr>
        <w:pStyle w:val="CommentText"/>
        <w:ind w:left="284" w:firstLine="567"/>
        <w:jc w:val="both"/>
        <w:rPr>
          <w:sz w:val="28"/>
          <w:szCs w:val="28"/>
        </w:rPr>
      </w:pPr>
      <w:r w:rsidRPr="00AA7DBD">
        <w:rPr>
          <w:sz w:val="28"/>
          <w:szCs w:val="28"/>
        </w:rPr>
        <w:t xml:space="preserve">Ar noteikumu projektā iekļauto regulējumu šo uzdevumu faktisko izpildi veiktu katra iestāde attiecībā uz saviem darbiniekiem. Tādējādi katra iestāde </w:t>
      </w:r>
      <w:r w:rsidRPr="00AA7DBD">
        <w:rPr>
          <w:sz w:val="28"/>
          <w:szCs w:val="28"/>
        </w:rPr>
        <w:lastRenderedPageBreak/>
        <w:t>arvien vairāk resursus patērētu iekšējām valsts pārvaldes procedūrām. Tieslietu ministrijas ieskatā minētais ir pretrunā ar efektīvas valsts pārvaldes principu.</w:t>
      </w:r>
      <w:r w:rsidRPr="00AA7DBD">
        <w:rPr>
          <w:rStyle w:val="FootnoteReference"/>
          <w:sz w:val="28"/>
          <w:szCs w:val="28"/>
        </w:rPr>
        <w:footnoteReference w:id="17"/>
      </w:r>
    </w:p>
    <w:p w14:paraId="08960606" w14:textId="77777777" w:rsidR="00AA7DBD" w:rsidRPr="00AA7DBD" w:rsidRDefault="00AA7DBD" w:rsidP="00AA7DBD">
      <w:pPr>
        <w:spacing w:after="0" w:line="240" w:lineRule="auto"/>
        <w:ind w:left="284"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Tiesības iestādes vadītājam pieprasīt valsts amatpersonai sniegt informāciju par tās parādsaistību apmēru un tiesības valsts amatpersonai iesniegt papildus informāciju par tās radinieku (piemēram, laulāto, māsu, brāļu, vecāku) ienākumiem ar mērķi pierādīt, ka kopējie ienākumi ir pietiekoši un, ka amatpersona ir izslēdzama no riska grupas, nav samērīgas ar sasniedzamo rezultātu. Tāpat amatpersonas radiniekiem var nebūt piešķirts valsts amatpersonas statuss, līdz ar to šādas informācijas pieprasīšana var tikt uzskatīta kā valsts iejaukšanās personas privātajā dzīvē.</w:t>
      </w:r>
    </w:p>
    <w:p w14:paraId="7E71C0AF" w14:textId="77777777" w:rsidR="00AA7DBD" w:rsidRPr="00AA7DBD" w:rsidRDefault="00AA7DBD" w:rsidP="00AA7DBD">
      <w:pPr>
        <w:pStyle w:val="CommentText"/>
        <w:ind w:left="284" w:firstLine="567"/>
        <w:jc w:val="both"/>
        <w:rPr>
          <w:sz w:val="28"/>
          <w:szCs w:val="28"/>
        </w:rPr>
      </w:pPr>
      <w:r w:rsidRPr="00AA7DBD">
        <w:rPr>
          <w:sz w:val="28"/>
          <w:szCs w:val="28"/>
        </w:rPr>
        <w:t>Izvērtējot Valsts kancelejas un pārējo ministriju viedokli par to, vai ir nepieciešams paplašināt institūciju vadītāju pilnvaru apjomu likumā „Par interešu konflikta novēršanu valsts amatpersonu darbībā”, ir secināts, ka šī ideja šobrīd nav atbalstāma, jo ir nepieciešami papildus finanšu līdzekļi (informācijas apstrādei un uzglabāšanai) un grūti realizējama, jo iestādes vadītājam būtu noteikts papildus pienākums apkopot informāciju par amatpersonas ienākumu un parādsaistību apmēru, kurš paredzētu gan administratīvā sloga palielināšanu, gan iejaukšanos valsts amatpersonas privātajā dzīvē.</w:t>
      </w:r>
    </w:p>
    <w:p w14:paraId="6CF9F5BA" w14:textId="77777777" w:rsidR="00AA7DBD" w:rsidRPr="00AA7DBD" w:rsidRDefault="00AA7DBD" w:rsidP="00AA7DBD">
      <w:pPr>
        <w:pStyle w:val="CommentText"/>
        <w:numPr>
          <w:ilvl w:val="0"/>
          <w:numId w:val="10"/>
        </w:numPr>
        <w:spacing w:before="360" w:after="360"/>
        <w:ind w:left="714" w:hanging="357"/>
        <w:jc w:val="both"/>
        <w:rPr>
          <w:b/>
          <w:i/>
          <w:sz w:val="28"/>
          <w:szCs w:val="28"/>
        </w:rPr>
      </w:pPr>
      <w:r w:rsidRPr="00AA7DBD">
        <w:rPr>
          <w:b/>
          <w:i/>
          <w:sz w:val="28"/>
          <w:szCs w:val="28"/>
        </w:rPr>
        <w:t>(2)Korupcijas novēršanas un apkarošanas birojam sadarbībā ar Valsts kanceleju un Finanšu ministriju jāizstrādā metodika, pēc kādas nosakāma ienākumu un parādsaistību proporcija korupcijas riskam pakļautos amatos nodarbinātajām personām, lai konstatētu, vai šīs personas iekļaujamas riska grupā. Taču nav paredzēts mainīt valsts amatpersonu deklarācijas aizpildīšanas kārtību un publicējamās informācijas apjomu.</w:t>
      </w:r>
    </w:p>
    <w:p w14:paraId="4C54E006" w14:textId="77777777" w:rsidR="00AA7DBD" w:rsidRPr="00AA7DBD" w:rsidRDefault="00AA7DBD" w:rsidP="00AA7DBD">
      <w:pPr>
        <w:pStyle w:val="CommentText"/>
        <w:ind w:firstLine="567"/>
        <w:jc w:val="both"/>
        <w:rPr>
          <w:sz w:val="28"/>
          <w:szCs w:val="28"/>
        </w:rPr>
      </w:pPr>
      <w:r w:rsidRPr="00AA7DBD">
        <w:rPr>
          <w:sz w:val="28"/>
          <w:szCs w:val="28"/>
        </w:rPr>
        <w:t xml:space="preserve">Atbilstoši Ministru kabineta 2012.gada 13.februāra rīkojuma Nr.72 koncepcijā „Par korupcijas risku samazināšanu valsts pārvaldes iestādēs un pašvaldībās” 3.punktā noteiktajam Korupcijas novēršanas un pakarošanas birojam kopīgi ar Valsts kanceleju un Finanšu ministriju tika uzdots izstrādāt metodiku, </w:t>
      </w:r>
      <w:proofErr w:type="gramStart"/>
      <w:r w:rsidRPr="00AA7DBD">
        <w:rPr>
          <w:sz w:val="28"/>
          <w:szCs w:val="28"/>
        </w:rPr>
        <w:t>saskaņā ar kuru</w:t>
      </w:r>
      <w:proofErr w:type="gramEnd"/>
      <w:r w:rsidRPr="00AA7DBD">
        <w:rPr>
          <w:sz w:val="28"/>
          <w:szCs w:val="28"/>
        </w:rPr>
        <w:t xml:space="preserve"> nosakāma ienākumu un parādsaistību proporcija personām, kuras nodarbinātas korupcijas riskam pakļautos amatos, lai konstatētu, vai šīs personas iekļaujamas riska grupā.</w:t>
      </w:r>
    </w:p>
    <w:p w14:paraId="6F231EF8" w14:textId="77777777" w:rsidR="00AA7DBD" w:rsidRPr="00AA7DBD" w:rsidRDefault="00AA7DBD" w:rsidP="00AA7DBD">
      <w:pPr>
        <w:pStyle w:val="CommentText"/>
        <w:ind w:firstLine="567"/>
        <w:jc w:val="both"/>
        <w:rPr>
          <w:sz w:val="28"/>
          <w:szCs w:val="28"/>
        </w:rPr>
      </w:pPr>
      <w:r w:rsidRPr="00AA7DBD">
        <w:rPr>
          <w:sz w:val="28"/>
          <w:szCs w:val="28"/>
        </w:rPr>
        <w:t>Lai nodrošinātu metodikas izstrādi, ar Ministru prezidenta 2012.gada 25.maija rīkojumu Nr.200 tika izveidota darba grupa, kurā tika iekļauti Finanšu ministrijas, Korupcijas novēršanas un apkarošanas biroja un Valsts kancelejas pārstāvji.</w:t>
      </w:r>
    </w:p>
    <w:p w14:paraId="3167F34D" w14:textId="77777777" w:rsidR="00AA7DBD" w:rsidRPr="00AA7DBD" w:rsidRDefault="00AA7DBD" w:rsidP="00AA7DBD">
      <w:pPr>
        <w:pStyle w:val="CommentText"/>
        <w:ind w:firstLine="567"/>
        <w:jc w:val="both"/>
        <w:rPr>
          <w:sz w:val="28"/>
          <w:szCs w:val="28"/>
        </w:rPr>
      </w:pPr>
      <w:r w:rsidRPr="00AA7DBD">
        <w:rPr>
          <w:sz w:val="28"/>
          <w:szCs w:val="28"/>
        </w:rPr>
        <w:lastRenderedPageBreak/>
        <w:t>Minētā metodika tika izstrādāta 2013.gada jūlijā, un tika publicēta Korupcijas novēršanas un apkarošanas biroja mājaslapā.</w:t>
      </w:r>
    </w:p>
    <w:p w14:paraId="7BED9754" w14:textId="77777777" w:rsidR="00AA7DBD" w:rsidRPr="00AA7DBD" w:rsidRDefault="00AA7DBD" w:rsidP="00AA7DBD">
      <w:pPr>
        <w:pStyle w:val="CommentText"/>
        <w:ind w:firstLine="567"/>
        <w:jc w:val="both"/>
        <w:rPr>
          <w:sz w:val="28"/>
          <w:szCs w:val="28"/>
        </w:rPr>
      </w:pPr>
      <w:r w:rsidRPr="00AA7DBD">
        <w:rPr>
          <w:sz w:val="28"/>
          <w:szCs w:val="28"/>
        </w:rPr>
        <w:t>Metodikas mērķis bija noteikt formulu, kas izmantojama, lai noteiktu ienākumu un parādsaistību proporciju personām, kas nodarbinātas korupcijas riskam pakļautos amatos, kuros korupcijas un interešu konflikta riska iestāšanās varbūtība ir liela vai ļoti liela. Metodika sniedz ieteikumu, kā noteikt, cik lieli ienākumi ir uzskatāmi par pietiekamiem, lai korupcijas riska grupā nodarbinātajām valsts amatpersonām būtu pietiekošs materiālais nodrošinājums un nebūtu ekonomiska rakstura stimulu kukuļņemšanai.</w:t>
      </w:r>
      <w:r w:rsidRPr="00AA7DBD">
        <w:rPr>
          <w:rStyle w:val="FootnoteReference"/>
          <w:sz w:val="28"/>
          <w:szCs w:val="28"/>
        </w:rPr>
        <w:footnoteReference w:id="18"/>
      </w:r>
    </w:p>
    <w:p w14:paraId="64D360DB" w14:textId="77777777" w:rsidR="00AA7DBD" w:rsidRPr="00AA7DBD" w:rsidRDefault="00AA7DBD" w:rsidP="00AA7DBD">
      <w:pPr>
        <w:spacing w:before="240" w:after="240" w:line="240" w:lineRule="auto"/>
        <w:ind w:firstLine="567"/>
        <w:jc w:val="center"/>
        <w:rPr>
          <w:rFonts w:ascii="Times New Roman" w:hAnsi="Times New Roman" w:cs="Times New Roman"/>
          <w:b/>
          <w:sz w:val="32"/>
          <w:szCs w:val="32"/>
        </w:rPr>
      </w:pPr>
    </w:p>
    <w:p w14:paraId="1C37AEC4" w14:textId="77777777" w:rsidR="00AA7DBD" w:rsidRPr="00AA7DBD" w:rsidRDefault="00AA7DBD" w:rsidP="00AA7DBD">
      <w:pPr>
        <w:spacing w:before="240" w:after="240" w:line="240" w:lineRule="auto"/>
        <w:ind w:firstLine="567"/>
        <w:jc w:val="center"/>
        <w:rPr>
          <w:rFonts w:ascii="Times New Roman" w:hAnsi="Times New Roman" w:cs="Times New Roman"/>
          <w:b/>
          <w:sz w:val="32"/>
          <w:szCs w:val="32"/>
        </w:rPr>
      </w:pPr>
      <w:r w:rsidRPr="00AA7DBD">
        <w:rPr>
          <w:rFonts w:ascii="Times New Roman" w:hAnsi="Times New Roman" w:cs="Times New Roman"/>
          <w:b/>
          <w:sz w:val="32"/>
          <w:szCs w:val="32"/>
        </w:rPr>
        <w:t>Priekšlikumi turpmākai rīcībai</w:t>
      </w:r>
    </w:p>
    <w:p w14:paraId="1F385CB0"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hAnsi="Times New Roman" w:cs="Times New Roman"/>
          <w:sz w:val="28"/>
          <w:szCs w:val="28"/>
        </w:rPr>
        <w:t xml:space="preserve">Ar šī informatīvā ziņojuma sagatavošanu Korupcijas novēršanas un apkarošanas birojs izpilda Ministru kabineta 2012.gada 13.februāra rīkojuma Nr.72 </w:t>
      </w:r>
      <w:r w:rsidRPr="00AA7DBD">
        <w:rPr>
          <w:rFonts w:ascii="Times New Roman" w:eastAsia="Times New Roman" w:hAnsi="Times New Roman" w:cs="Times New Roman"/>
          <w:sz w:val="28"/>
          <w:szCs w:val="28"/>
          <w:lang w:eastAsia="lv-LV"/>
        </w:rPr>
        <w:t>(prot. Nr.7 21.§)</w:t>
      </w:r>
      <w:r w:rsidRPr="00AA7DBD">
        <w:rPr>
          <w:rFonts w:ascii="Times New Roman" w:hAnsi="Times New Roman" w:cs="Times New Roman"/>
          <w:sz w:val="28"/>
          <w:szCs w:val="28"/>
        </w:rPr>
        <w:t xml:space="preserve"> „</w:t>
      </w:r>
      <w:r w:rsidRPr="00AA7DBD">
        <w:rPr>
          <w:rFonts w:ascii="Times New Roman" w:eastAsia="Times New Roman" w:hAnsi="Times New Roman" w:cs="Times New Roman"/>
          <w:sz w:val="28"/>
          <w:szCs w:val="28"/>
          <w:lang w:eastAsia="lv-LV"/>
        </w:rPr>
        <w:t>Par Koncepciju par korupcijas risku samazināšanu valsts pārvaldes iestādēs un pašvaldībās” 8.punktā Korupcijas novēršanas un apkarošanas birojam uzdoto uzdevumu – iesniegt noteiktā kārtībā Ministru kabinetā informatīvo ziņojumu par koncepcijas ieviešanu, ietverot tajā priekšlikumus par turpmāko rīcību.</w:t>
      </w:r>
    </w:p>
    <w:p w14:paraId="50488A5A"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hAnsi="Times New Roman" w:cs="Times New Roman"/>
          <w:sz w:val="28"/>
          <w:szCs w:val="28"/>
        </w:rPr>
        <w:t>Izvērtējot</w:t>
      </w:r>
      <w:proofErr w:type="gramStart"/>
      <w:r w:rsidRPr="00AA7DBD">
        <w:rPr>
          <w:rFonts w:ascii="Times New Roman" w:hAnsi="Times New Roman" w:cs="Times New Roman"/>
          <w:sz w:val="28"/>
          <w:szCs w:val="28"/>
        </w:rPr>
        <w:t xml:space="preserve">  </w:t>
      </w:r>
      <w:proofErr w:type="gramEnd"/>
      <w:r w:rsidRPr="00AA7DBD">
        <w:rPr>
          <w:rFonts w:ascii="Times New Roman" w:hAnsi="Times New Roman" w:cs="Times New Roman"/>
          <w:sz w:val="28"/>
          <w:szCs w:val="28"/>
        </w:rPr>
        <w:t xml:space="preserve">informatīvajā ziņojumā sniegto apkopoto informāciju par paveikto korupcijas risku samazināšanā valsts pārvaldes iestādēs un pašvaldībās balstoties uz Koncepcijā ietvertā 3.variantā paredzētajiem uzdevumiem tiek konstatēts, ka papildus </w:t>
      </w:r>
      <w:r w:rsidRPr="00AA7DBD">
        <w:rPr>
          <w:rFonts w:ascii="Times New Roman" w:eastAsia="Times New Roman" w:hAnsi="Times New Roman" w:cs="Times New Roman"/>
          <w:sz w:val="28"/>
          <w:szCs w:val="28"/>
          <w:lang w:eastAsia="lv-LV"/>
        </w:rPr>
        <w:t>ir jāizstrādā grozījumi likumā „Par interešu konflikta novēršanu valsts amatpersonu darbībā”, papildinot 20.pantu ar astoto daļu, paredzot deleģējumu Ministru kabinetam izdot noteikumus par iekšējās kontroles sistēmas  pamatprasībām korupcijas un interešu konflikta riska novēršanai, īstenojot iekšējo kontroli publiskas personas institūcijā.</w:t>
      </w:r>
    </w:p>
    <w:p w14:paraId="09F0844D"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Vēršam uzmanību, ka Korupcijas novēršanas un apkarošanas pamatnostādnēs 2015.-2020.gadam tiek paredzēti uzdevumi (pasākumi) korupcijas risku mazināšanai valsts pārvaldes iestādēs un pašvaldībās, arīdzan uzdevumi Koncepcijā norādīto trūkumu novēršanai.</w:t>
      </w:r>
    </w:p>
    <w:p w14:paraId="6B103D23" w14:textId="77777777" w:rsidR="00AA7DBD" w:rsidRPr="00AA7DBD" w:rsidRDefault="00AA7DBD" w:rsidP="00AA7DBD">
      <w:pPr>
        <w:spacing w:after="0" w:line="240" w:lineRule="auto"/>
        <w:ind w:firstLine="567"/>
        <w:jc w:val="both"/>
        <w:rPr>
          <w:rFonts w:ascii="Times New Roman" w:eastAsia="Times New Roman" w:hAnsi="Times New Roman" w:cs="Times New Roman"/>
          <w:sz w:val="28"/>
          <w:szCs w:val="28"/>
          <w:lang w:eastAsia="lv-LV"/>
        </w:rPr>
      </w:pPr>
      <w:r w:rsidRPr="00AA7DBD">
        <w:rPr>
          <w:rFonts w:ascii="Times New Roman" w:eastAsia="Times New Roman" w:hAnsi="Times New Roman" w:cs="Times New Roman"/>
          <w:sz w:val="28"/>
          <w:szCs w:val="28"/>
          <w:lang w:eastAsia="lv-LV"/>
        </w:rPr>
        <w:t>Balstoties uz iepriekš minēto Koncepcijā ietvertos uzdevumus uzskatām par izpildītiem, vienlaikus nosakot Korupcijas novēršanas un apkarošanas birojam līdz 2016.gada 31.decembrim izstrādāt grozījumus likumā „Par interešu konflikta novēršanu valsts amatpersonu darbībā”, papildinot 20.pantu ar astoto daļu, paredzot deleģējumu Ministru kabinetam izdot noteikumus par iekšējās kontroles sistēmas</w:t>
      </w:r>
      <w:proofErr w:type="gramStart"/>
      <w:r w:rsidRPr="00AA7DBD">
        <w:rPr>
          <w:rFonts w:ascii="Times New Roman" w:eastAsia="Times New Roman" w:hAnsi="Times New Roman" w:cs="Times New Roman"/>
          <w:sz w:val="28"/>
          <w:szCs w:val="28"/>
          <w:lang w:eastAsia="lv-LV"/>
        </w:rPr>
        <w:t xml:space="preserve">  </w:t>
      </w:r>
      <w:proofErr w:type="gramEnd"/>
      <w:r w:rsidRPr="00AA7DBD">
        <w:rPr>
          <w:rFonts w:ascii="Times New Roman" w:eastAsia="Times New Roman" w:hAnsi="Times New Roman" w:cs="Times New Roman"/>
          <w:sz w:val="28"/>
          <w:szCs w:val="28"/>
          <w:lang w:eastAsia="lv-LV"/>
        </w:rPr>
        <w:t xml:space="preserve">pamatprasībām korupcijas un interešu konflikta riska novēršanai, </w:t>
      </w:r>
      <w:r w:rsidRPr="00AA7DBD">
        <w:rPr>
          <w:rFonts w:ascii="Times New Roman" w:eastAsia="Times New Roman" w:hAnsi="Times New Roman" w:cs="Times New Roman"/>
          <w:sz w:val="28"/>
          <w:szCs w:val="28"/>
          <w:lang w:eastAsia="lv-LV"/>
        </w:rPr>
        <w:lastRenderedPageBreak/>
        <w:t xml:space="preserve">īstenojot iekšējo kontroli publiskas personas institūcijā un sešu mēnešu laikā no grozījumu likumā „Par interešu konflikta novēršanu valsts amatpersonu darbībā” spēkā stāšanās dienas izstrādāt Ministru kabineta noteikumus par iekšējās kontroles sistēmas pamatprasībām korupcijas un interešu konflikta riska novēršanai. </w:t>
      </w:r>
    </w:p>
    <w:p w14:paraId="69064646" w14:textId="77777777" w:rsidR="00AA7DBD" w:rsidRPr="00AA7DBD" w:rsidRDefault="00AA7DBD" w:rsidP="00AA7DBD">
      <w:pPr>
        <w:spacing w:after="0" w:line="240" w:lineRule="auto"/>
        <w:ind w:firstLine="567"/>
        <w:jc w:val="both"/>
        <w:rPr>
          <w:rFonts w:ascii="Times New Roman" w:hAnsi="Times New Roman" w:cs="Times New Roman"/>
          <w:sz w:val="28"/>
          <w:szCs w:val="28"/>
        </w:rPr>
      </w:pPr>
      <w:r w:rsidRPr="00AA7DBD">
        <w:rPr>
          <w:rFonts w:ascii="Times New Roman" w:eastAsia="Times New Roman" w:hAnsi="Times New Roman" w:cs="Times New Roman"/>
          <w:sz w:val="28"/>
          <w:szCs w:val="28"/>
          <w:lang w:eastAsia="lv-LV"/>
        </w:rPr>
        <w:t>Norādām, ka likumprojekta grozījumi un Ministru kabineta noteikumi tiks izstrādāti esošā budžeta līdzekļu ietvaros. Lai novērstu tiesību normu dublēšanos un ievērotu prasību samērīgumu, Ministru kabineta noteikumu izstrādē tiks ievērotas jau esošajos tiesību aktos noteiktās iekšējās kontroles sistēmas pamatprasības, kā arī tās tiks noteiktas</w:t>
      </w:r>
      <w:proofErr w:type="gramStart"/>
      <w:r w:rsidRPr="00AA7DBD">
        <w:rPr>
          <w:rFonts w:ascii="Times New Roman" w:eastAsia="Times New Roman" w:hAnsi="Times New Roman" w:cs="Times New Roman"/>
          <w:sz w:val="28"/>
          <w:szCs w:val="28"/>
          <w:lang w:eastAsia="lv-LV"/>
        </w:rPr>
        <w:t xml:space="preserve"> ņemot vērā attiecīgo publiskas personas institūcijas veidu</w:t>
      </w:r>
      <w:proofErr w:type="gramEnd"/>
      <w:r w:rsidRPr="00AA7DBD">
        <w:rPr>
          <w:rFonts w:ascii="Times New Roman" w:eastAsia="Times New Roman" w:hAnsi="Times New Roman" w:cs="Times New Roman"/>
          <w:sz w:val="28"/>
          <w:szCs w:val="28"/>
          <w:lang w:eastAsia="lv-LV"/>
        </w:rPr>
        <w:t>.</w:t>
      </w:r>
    </w:p>
    <w:p w14:paraId="30C2CE43" w14:textId="77777777" w:rsidR="00AA7DBD" w:rsidRPr="00AA7DBD" w:rsidRDefault="00AA7DBD" w:rsidP="00AA7DBD"/>
    <w:p w14:paraId="3C6FAA38" w14:textId="77777777" w:rsidR="00AA7DBD" w:rsidRPr="00AA7DBD" w:rsidRDefault="00AA7DBD" w:rsidP="00AA7DBD">
      <w:pPr>
        <w:spacing w:after="0" w:line="240" w:lineRule="auto"/>
        <w:rPr>
          <w:rFonts w:ascii="Times New Roman" w:eastAsia="Cambria" w:hAnsi="Times New Roman" w:cs="Times New Roman"/>
          <w:sz w:val="28"/>
          <w:szCs w:val="28"/>
          <w:lang w:eastAsia="lv-LV"/>
        </w:rPr>
      </w:pPr>
    </w:p>
    <w:p w14:paraId="22E203EE" w14:textId="77777777" w:rsidR="00AA7DBD" w:rsidRPr="00AA7DBD" w:rsidRDefault="00AA7DBD" w:rsidP="00AA7DBD">
      <w:pPr>
        <w:spacing w:after="0" w:line="240" w:lineRule="auto"/>
        <w:rPr>
          <w:rFonts w:ascii="Times New Roman" w:eastAsia="Cambria" w:hAnsi="Times New Roman" w:cs="Times New Roman"/>
          <w:sz w:val="28"/>
          <w:szCs w:val="28"/>
          <w:lang w:eastAsia="lv-LV"/>
        </w:rPr>
      </w:pPr>
      <w:r w:rsidRPr="00AA7DBD">
        <w:rPr>
          <w:rFonts w:ascii="Times New Roman" w:eastAsia="Cambria" w:hAnsi="Times New Roman" w:cs="Times New Roman"/>
          <w:sz w:val="28"/>
          <w:szCs w:val="28"/>
          <w:lang w:eastAsia="lv-LV"/>
        </w:rPr>
        <w:t>Ministru prezidente</w:t>
      </w:r>
      <w:proofErr w:type="gramStart"/>
      <w:r w:rsidRPr="00AA7DBD">
        <w:rPr>
          <w:rFonts w:ascii="Times New Roman" w:eastAsia="Cambria" w:hAnsi="Times New Roman" w:cs="Times New Roman"/>
          <w:sz w:val="28"/>
          <w:szCs w:val="28"/>
          <w:lang w:eastAsia="lv-LV"/>
        </w:rPr>
        <w:t xml:space="preserve">        </w:t>
      </w:r>
      <w:proofErr w:type="gramEnd"/>
      <w:r w:rsidRPr="00AA7DBD">
        <w:rPr>
          <w:rFonts w:ascii="Times New Roman" w:eastAsia="Cambria" w:hAnsi="Times New Roman" w:cs="Times New Roman"/>
          <w:sz w:val="28"/>
          <w:szCs w:val="28"/>
          <w:lang w:eastAsia="lv-LV"/>
        </w:rPr>
        <w:tab/>
      </w:r>
      <w:r w:rsidRPr="00AA7DBD">
        <w:rPr>
          <w:rFonts w:ascii="Times New Roman" w:eastAsia="Cambria" w:hAnsi="Times New Roman" w:cs="Times New Roman"/>
          <w:sz w:val="28"/>
          <w:szCs w:val="28"/>
          <w:lang w:eastAsia="lv-LV"/>
        </w:rPr>
        <w:tab/>
      </w:r>
      <w:r w:rsidRPr="00AA7DBD">
        <w:rPr>
          <w:rFonts w:ascii="Times New Roman" w:eastAsia="Cambria" w:hAnsi="Times New Roman" w:cs="Times New Roman"/>
          <w:sz w:val="28"/>
          <w:szCs w:val="28"/>
          <w:lang w:eastAsia="lv-LV"/>
        </w:rPr>
        <w:tab/>
      </w:r>
      <w:r w:rsidRPr="00AA7DBD">
        <w:rPr>
          <w:rFonts w:ascii="Times New Roman" w:eastAsia="Cambria" w:hAnsi="Times New Roman" w:cs="Times New Roman"/>
          <w:sz w:val="28"/>
          <w:szCs w:val="28"/>
          <w:lang w:eastAsia="lv-LV"/>
        </w:rPr>
        <w:tab/>
      </w:r>
      <w:r w:rsidRPr="00AA7DBD">
        <w:rPr>
          <w:rFonts w:ascii="Times New Roman" w:eastAsia="Cambria" w:hAnsi="Times New Roman" w:cs="Times New Roman"/>
          <w:sz w:val="28"/>
          <w:szCs w:val="28"/>
          <w:lang w:eastAsia="lv-LV"/>
        </w:rPr>
        <w:tab/>
        <w:t xml:space="preserve">                    L.Straujuma</w:t>
      </w:r>
    </w:p>
    <w:p w14:paraId="53BD9647" w14:textId="77777777" w:rsidR="00AA7DBD" w:rsidRPr="00AA7DBD" w:rsidRDefault="00AA7DBD" w:rsidP="00AA7DBD">
      <w:pPr>
        <w:spacing w:after="0" w:line="240" w:lineRule="auto"/>
        <w:rPr>
          <w:rFonts w:ascii="Times New Roman" w:eastAsia="Cambria" w:hAnsi="Times New Roman" w:cs="Times New Roman"/>
          <w:sz w:val="28"/>
          <w:szCs w:val="28"/>
          <w:lang w:eastAsia="lv-LV"/>
        </w:rPr>
      </w:pPr>
    </w:p>
    <w:p w14:paraId="2B3B1350" w14:textId="77777777" w:rsidR="00AA7DBD" w:rsidRPr="00AA7DBD" w:rsidRDefault="00AA7DBD" w:rsidP="00AA7DBD">
      <w:pPr>
        <w:spacing w:after="0" w:line="240" w:lineRule="auto"/>
        <w:rPr>
          <w:rFonts w:ascii="Times New Roman" w:eastAsia="Cambria" w:hAnsi="Times New Roman" w:cs="Times New Roman"/>
          <w:sz w:val="28"/>
          <w:szCs w:val="28"/>
          <w:lang w:eastAsia="lv-LV"/>
        </w:rPr>
      </w:pPr>
    </w:p>
    <w:p w14:paraId="14609EA9" w14:textId="77777777" w:rsidR="00AA7DBD" w:rsidRPr="00AA7DBD" w:rsidRDefault="00AA7DBD" w:rsidP="00AA7DBD">
      <w:pPr>
        <w:spacing w:after="0" w:line="240" w:lineRule="auto"/>
        <w:rPr>
          <w:rFonts w:ascii="Times New Roman" w:eastAsia="Cambria" w:hAnsi="Times New Roman" w:cs="Times New Roman"/>
          <w:sz w:val="28"/>
          <w:szCs w:val="28"/>
          <w:lang w:eastAsia="lv-LV"/>
        </w:rPr>
      </w:pPr>
    </w:p>
    <w:p w14:paraId="59B36E84" w14:textId="77777777" w:rsidR="00AA7DBD" w:rsidRPr="00AA7DBD" w:rsidRDefault="00AA7DBD" w:rsidP="00AA7DBD">
      <w:pPr>
        <w:spacing w:after="0" w:line="240" w:lineRule="auto"/>
        <w:rPr>
          <w:rFonts w:ascii="Times New Roman" w:eastAsia="Cambria" w:hAnsi="Times New Roman" w:cs="Times New Roman"/>
          <w:sz w:val="28"/>
          <w:szCs w:val="28"/>
          <w:lang w:eastAsia="lv-LV"/>
        </w:rPr>
      </w:pPr>
      <w:r w:rsidRPr="00AA7DBD">
        <w:rPr>
          <w:rFonts w:ascii="Times New Roman" w:eastAsia="Cambria" w:hAnsi="Times New Roman" w:cs="Times New Roman"/>
          <w:sz w:val="28"/>
          <w:szCs w:val="28"/>
          <w:lang w:eastAsia="lv-LV"/>
        </w:rPr>
        <w:t xml:space="preserve">Iesniedzējs: </w:t>
      </w:r>
      <w:r w:rsidRPr="00AA7DBD">
        <w:rPr>
          <w:rFonts w:ascii="Times New Roman" w:eastAsia="Cambria" w:hAnsi="Times New Roman" w:cs="Times New Roman"/>
          <w:sz w:val="28"/>
          <w:szCs w:val="28"/>
          <w:lang w:eastAsia="lv-LV"/>
        </w:rPr>
        <w:tab/>
        <w:t>Ministru prezidente</w:t>
      </w:r>
      <w:proofErr w:type="gramStart"/>
      <w:r w:rsidRPr="00AA7DBD">
        <w:rPr>
          <w:rFonts w:ascii="Times New Roman" w:eastAsia="Cambria" w:hAnsi="Times New Roman" w:cs="Times New Roman"/>
          <w:sz w:val="28"/>
          <w:szCs w:val="28"/>
          <w:lang w:eastAsia="lv-LV"/>
        </w:rPr>
        <w:t xml:space="preserve">                                                  </w:t>
      </w:r>
      <w:proofErr w:type="gramEnd"/>
      <w:r w:rsidRPr="00AA7DBD">
        <w:rPr>
          <w:rFonts w:ascii="Times New Roman" w:eastAsia="Cambria" w:hAnsi="Times New Roman" w:cs="Times New Roman"/>
          <w:sz w:val="28"/>
          <w:szCs w:val="28"/>
          <w:lang w:eastAsia="lv-LV"/>
        </w:rPr>
        <w:t>L.Straujuma</w:t>
      </w:r>
    </w:p>
    <w:p w14:paraId="53A3B5D6" w14:textId="77777777" w:rsidR="00AA7DBD" w:rsidRPr="00AA7DBD" w:rsidRDefault="00AA7DBD" w:rsidP="00AA7DBD">
      <w:pPr>
        <w:spacing w:after="0" w:line="240" w:lineRule="auto"/>
        <w:rPr>
          <w:rFonts w:ascii="Times New Roman" w:eastAsia="Cambria" w:hAnsi="Times New Roman" w:cs="Times New Roman"/>
          <w:sz w:val="28"/>
          <w:szCs w:val="28"/>
          <w:lang w:eastAsia="lv-LV"/>
        </w:rPr>
      </w:pPr>
    </w:p>
    <w:p w14:paraId="4A83C48F" w14:textId="77777777" w:rsidR="00AA7DBD" w:rsidRPr="00AA7DBD" w:rsidRDefault="00AA7DBD" w:rsidP="00AA7DBD">
      <w:pPr>
        <w:spacing w:after="0" w:line="240" w:lineRule="auto"/>
        <w:rPr>
          <w:rFonts w:ascii="Times New Roman" w:eastAsia="Cambria" w:hAnsi="Times New Roman" w:cs="Times New Roman"/>
          <w:sz w:val="28"/>
          <w:szCs w:val="28"/>
          <w:lang w:eastAsia="lv-LV"/>
        </w:rPr>
      </w:pPr>
    </w:p>
    <w:p w14:paraId="3C18786B" w14:textId="77777777" w:rsidR="00AA7DBD" w:rsidRPr="00AA7DBD" w:rsidRDefault="00AA7DBD" w:rsidP="00AA7DBD">
      <w:pPr>
        <w:spacing w:after="0" w:line="240" w:lineRule="auto"/>
        <w:rPr>
          <w:rFonts w:ascii="Times New Roman" w:eastAsia="Cambria" w:hAnsi="Times New Roman" w:cs="Times New Roman"/>
          <w:sz w:val="28"/>
          <w:szCs w:val="28"/>
          <w:lang w:eastAsia="lv-LV"/>
        </w:rPr>
      </w:pPr>
    </w:p>
    <w:p w14:paraId="11D06BE1" w14:textId="77777777" w:rsidR="00AA7DBD" w:rsidRPr="00AA7DBD" w:rsidRDefault="00AA7DBD" w:rsidP="00AA7DBD">
      <w:pPr>
        <w:spacing w:after="0" w:line="240" w:lineRule="auto"/>
        <w:rPr>
          <w:rFonts w:ascii="Times New Roman" w:eastAsia="Cambria" w:hAnsi="Times New Roman" w:cs="Times New Roman"/>
          <w:sz w:val="28"/>
          <w:szCs w:val="28"/>
          <w:lang w:eastAsia="lv-LV"/>
        </w:rPr>
      </w:pPr>
      <w:r w:rsidRPr="00AA7DBD">
        <w:rPr>
          <w:rFonts w:ascii="Times New Roman" w:eastAsia="Cambria" w:hAnsi="Times New Roman" w:cs="Times New Roman"/>
          <w:sz w:val="28"/>
          <w:szCs w:val="28"/>
          <w:lang w:eastAsia="lv-LV"/>
        </w:rPr>
        <w:t>Vīza: Korupcijas novēršanas un</w:t>
      </w:r>
    </w:p>
    <w:p w14:paraId="03C74366" w14:textId="77777777" w:rsidR="00AA7DBD" w:rsidRPr="00AA7DBD" w:rsidRDefault="00AA7DBD" w:rsidP="00AA7DBD">
      <w:pPr>
        <w:spacing w:after="0" w:line="240" w:lineRule="auto"/>
        <w:rPr>
          <w:rFonts w:ascii="Times New Roman" w:eastAsia="Cambria" w:hAnsi="Times New Roman" w:cs="Times New Roman"/>
          <w:sz w:val="28"/>
          <w:szCs w:val="28"/>
          <w:lang w:eastAsia="lv-LV"/>
        </w:rPr>
      </w:pPr>
      <w:r w:rsidRPr="00AA7DBD">
        <w:rPr>
          <w:rFonts w:ascii="Times New Roman" w:eastAsia="Cambria" w:hAnsi="Times New Roman" w:cs="Times New Roman"/>
          <w:sz w:val="28"/>
          <w:szCs w:val="28"/>
          <w:lang w:eastAsia="lv-LV"/>
        </w:rPr>
        <w:t>apkarošanas biroja priekšnieks</w:t>
      </w:r>
      <w:proofErr w:type="gramStart"/>
      <w:r w:rsidRPr="00AA7DBD">
        <w:rPr>
          <w:rFonts w:ascii="Times New Roman" w:eastAsia="Cambria" w:hAnsi="Times New Roman" w:cs="Times New Roman"/>
          <w:sz w:val="28"/>
          <w:szCs w:val="28"/>
          <w:lang w:eastAsia="lv-LV"/>
        </w:rPr>
        <w:t xml:space="preserve">    </w:t>
      </w:r>
      <w:proofErr w:type="gramEnd"/>
      <w:r w:rsidRPr="00AA7DBD">
        <w:rPr>
          <w:rFonts w:ascii="Times New Roman" w:eastAsia="Cambria" w:hAnsi="Times New Roman" w:cs="Times New Roman"/>
          <w:sz w:val="28"/>
          <w:szCs w:val="28"/>
          <w:lang w:eastAsia="lv-LV"/>
        </w:rPr>
        <w:tab/>
      </w:r>
      <w:r w:rsidRPr="00AA7DBD">
        <w:rPr>
          <w:rFonts w:ascii="Times New Roman" w:eastAsia="Cambria" w:hAnsi="Times New Roman" w:cs="Times New Roman"/>
          <w:sz w:val="28"/>
          <w:szCs w:val="28"/>
          <w:lang w:eastAsia="lv-LV"/>
        </w:rPr>
        <w:tab/>
      </w:r>
      <w:r w:rsidRPr="00AA7DBD">
        <w:rPr>
          <w:rFonts w:ascii="Times New Roman" w:eastAsia="Cambria" w:hAnsi="Times New Roman" w:cs="Times New Roman"/>
          <w:sz w:val="28"/>
          <w:szCs w:val="28"/>
          <w:lang w:eastAsia="lv-LV"/>
        </w:rPr>
        <w:tab/>
        <w:t xml:space="preserve">                    J. </w:t>
      </w:r>
      <w:proofErr w:type="spellStart"/>
      <w:r w:rsidRPr="00AA7DBD">
        <w:rPr>
          <w:rFonts w:ascii="Times New Roman" w:eastAsia="Cambria" w:hAnsi="Times New Roman" w:cs="Times New Roman"/>
          <w:sz w:val="28"/>
          <w:szCs w:val="28"/>
          <w:lang w:eastAsia="lv-LV"/>
        </w:rPr>
        <w:t>Streļčenoks</w:t>
      </w:r>
      <w:proofErr w:type="spellEnd"/>
      <w:r w:rsidRPr="00AA7DBD">
        <w:rPr>
          <w:rFonts w:ascii="Times New Roman" w:eastAsia="Cambria" w:hAnsi="Times New Roman" w:cs="Times New Roman"/>
          <w:sz w:val="28"/>
          <w:szCs w:val="28"/>
          <w:lang w:eastAsia="lv-LV"/>
        </w:rPr>
        <w:t xml:space="preserve"> </w:t>
      </w:r>
    </w:p>
    <w:p w14:paraId="0E715D6D" w14:textId="77777777" w:rsidR="00AA7DBD" w:rsidRPr="00AA7DBD" w:rsidRDefault="00AA7DBD" w:rsidP="00AA7DBD">
      <w:pPr>
        <w:spacing w:after="0" w:line="240" w:lineRule="auto"/>
        <w:rPr>
          <w:rFonts w:ascii="Times New Roman" w:hAnsi="Times New Roman" w:cs="Times New Roman"/>
          <w:sz w:val="18"/>
          <w:szCs w:val="18"/>
        </w:rPr>
      </w:pPr>
    </w:p>
    <w:p w14:paraId="2E19C902" w14:textId="77777777" w:rsidR="00AA7DBD" w:rsidRPr="00AA7DBD" w:rsidRDefault="00AA7DBD" w:rsidP="00AA7DBD">
      <w:pPr>
        <w:spacing w:after="0" w:line="240" w:lineRule="auto"/>
        <w:rPr>
          <w:rFonts w:ascii="Times New Roman" w:hAnsi="Times New Roman" w:cs="Times New Roman"/>
          <w:sz w:val="18"/>
          <w:szCs w:val="18"/>
        </w:rPr>
      </w:pPr>
    </w:p>
    <w:p w14:paraId="2E412439" w14:textId="77777777" w:rsidR="00AA7DBD" w:rsidRPr="00AA7DBD" w:rsidRDefault="00AA7DBD" w:rsidP="00AA7DBD">
      <w:pPr>
        <w:spacing w:after="0" w:line="240" w:lineRule="auto"/>
        <w:rPr>
          <w:rFonts w:ascii="Times New Roman" w:hAnsi="Times New Roman" w:cs="Times New Roman"/>
          <w:sz w:val="18"/>
          <w:szCs w:val="18"/>
        </w:rPr>
      </w:pPr>
    </w:p>
    <w:p w14:paraId="14177806" w14:textId="77777777" w:rsidR="00AA7DBD" w:rsidRPr="00AA7DBD" w:rsidRDefault="00AA7DBD" w:rsidP="00AA7DBD">
      <w:pPr>
        <w:spacing w:after="0" w:line="240" w:lineRule="auto"/>
        <w:rPr>
          <w:rFonts w:ascii="Times New Roman" w:hAnsi="Times New Roman" w:cs="Times New Roman"/>
          <w:sz w:val="18"/>
          <w:szCs w:val="18"/>
        </w:rPr>
      </w:pPr>
    </w:p>
    <w:p w14:paraId="6364456F" w14:textId="77777777" w:rsidR="00AA7DBD" w:rsidRPr="00AA7DBD" w:rsidRDefault="00AA7DBD" w:rsidP="00AA7DBD">
      <w:pPr>
        <w:spacing w:after="0" w:line="240" w:lineRule="auto"/>
        <w:rPr>
          <w:rFonts w:ascii="Times New Roman" w:hAnsi="Times New Roman" w:cs="Times New Roman"/>
          <w:sz w:val="18"/>
          <w:szCs w:val="18"/>
        </w:rPr>
      </w:pPr>
    </w:p>
    <w:p w14:paraId="18C8A990" w14:textId="77777777" w:rsidR="00AA7DBD" w:rsidRPr="00AA7DBD" w:rsidRDefault="00AA7DBD" w:rsidP="00AA7DBD">
      <w:pPr>
        <w:spacing w:after="0" w:line="240" w:lineRule="auto"/>
        <w:rPr>
          <w:rFonts w:ascii="Times New Roman" w:hAnsi="Times New Roman" w:cs="Times New Roman"/>
          <w:sz w:val="18"/>
          <w:szCs w:val="18"/>
        </w:rPr>
      </w:pPr>
    </w:p>
    <w:p w14:paraId="651DC4EA" w14:textId="77777777" w:rsidR="00AA7DBD" w:rsidRPr="00AA7DBD" w:rsidRDefault="00AA7DBD" w:rsidP="00AA7DBD">
      <w:pPr>
        <w:spacing w:after="0" w:line="240" w:lineRule="auto"/>
        <w:rPr>
          <w:rFonts w:ascii="Times New Roman" w:hAnsi="Times New Roman" w:cs="Times New Roman"/>
          <w:sz w:val="18"/>
          <w:szCs w:val="18"/>
        </w:rPr>
      </w:pPr>
    </w:p>
    <w:p w14:paraId="42182969" w14:textId="77777777" w:rsidR="00AA7DBD" w:rsidRPr="00AA7DBD" w:rsidRDefault="00AA7DBD" w:rsidP="00AA7DBD">
      <w:pPr>
        <w:spacing w:after="0" w:line="240" w:lineRule="auto"/>
        <w:rPr>
          <w:rFonts w:ascii="Times New Roman" w:hAnsi="Times New Roman" w:cs="Times New Roman"/>
          <w:sz w:val="18"/>
          <w:szCs w:val="18"/>
        </w:rPr>
      </w:pPr>
    </w:p>
    <w:p w14:paraId="33F98A45" w14:textId="77777777" w:rsidR="00AA7DBD" w:rsidRPr="00AA7DBD" w:rsidRDefault="00AA7DBD" w:rsidP="00AA7DBD">
      <w:pPr>
        <w:spacing w:after="0" w:line="240" w:lineRule="auto"/>
        <w:rPr>
          <w:rFonts w:ascii="Times New Roman" w:hAnsi="Times New Roman" w:cs="Times New Roman"/>
          <w:sz w:val="18"/>
          <w:szCs w:val="18"/>
        </w:rPr>
      </w:pPr>
    </w:p>
    <w:p w14:paraId="073A4CD7" w14:textId="77777777" w:rsidR="00AA7DBD" w:rsidRPr="00AA7DBD" w:rsidRDefault="00AA7DBD" w:rsidP="00AA7DBD">
      <w:pPr>
        <w:spacing w:after="0" w:line="240" w:lineRule="auto"/>
        <w:rPr>
          <w:rFonts w:ascii="Times New Roman" w:hAnsi="Times New Roman" w:cs="Times New Roman"/>
          <w:sz w:val="18"/>
          <w:szCs w:val="18"/>
        </w:rPr>
      </w:pPr>
      <w:r w:rsidRPr="00AA7DBD">
        <w:rPr>
          <w:rFonts w:ascii="Times New Roman" w:hAnsi="Times New Roman" w:cs="Times New Roman"/>
          <w:sz w:val="18"/>
          <w:szCs w:val="18"/>
        </w:rPr>
        <w:t>01.10.2015.</w:t>
      </w:r>
    </w:p>
    <w:p w14:paraId="62A28A6D" w14:textId="77777777" w:rsidR="00AA7DBD" w:rsidRPr="00AA7DBD" w:rsidRDefault="00AA7DBD" w:rsidP="00AA7DBD">
      <w:pPr>
        <w:spacing w:after="0" w:line="240" w:lineRule="auto"/>
        <w:rPr>
          <w:rFonts w:ascii="Times New Roman" w:hAnsi="Times New Roman" w:cs="Times New Roman"/>
          <w:sz w:val="18"/>
          <w:szCs w:val="18"/>
        </w:rPr>
      </w:pPr>
      <w:r w:rsidRPr="00AA7DBD">
        <w:rPr>
          <w:rFonts w:ascii="Times New Roman" w:hAnsi="Times New Roman" w:cs="Times New Roman"/>
          <w:sz w:val="18"/>
          <w:szCs w:val="18"/>
        </w:rPr>
        <w:t>5490</w:t>
      </w:r>
    </w:p>
    <w:p w14:paraId="10A56BE4" w14:textId="77777777" w:rsidR="00AA7DBD" w:rsidRPr="00AA7DBD" w:rsidRDefault="00AA7DBD" w:rsidP="00AA7DBD">
      <w:pPr>
        <w:spacing w:after="0" w:line="240" w:lineRule="auto"/>
        <w:rPr>
          <w:rFonts w:ascii="Times New Roman" w:hAnsi="Times New Roman" w:cs="Times New Roman"/>
          <w:sz w:val="18"/>
          <w:szCs w:val="18"/>
        </w:rPr>
      </w:pPr>
      <w:r w:rsidRPr="00AA7DBD">
        <w:rPr>
          <w:rFonts w:ascii="Times New Roman" w:hAnsi="Times New Roman" w:cs="Times New Roman"/>
          <w:sz w:val="18"/>
          <w:szCs w:val="18"/>
        </w:rPr>
        <w:t>Korupcijas novēršanas un apkarošanas biroja</w:t>
      </w:r>
    </w:p>
    <w:p w14:paraId="3528B9B5" w14:textId="77777777" w:rsidR="00AA7DBD" w:rsidRPr="00AA7DBD" w:rsidRDefault="00AA7DBD" w:rsidP="00AA7DBD">
      <w:pPr>
        <w:spacing w:after="0" w:line="240" w:lineRule="auto"/>
        <w:rPr>
          <w:rFonts w:ascii="Times New Roman" w:hAnsi="Times New Roman" w:cs="Times New Roman"/>
          <w:sz w:val="18"/>
          <w:szCs w:val="18"/>
        </w:rPr>
      </w:pPr>
      <w:r w:rsidRPr="00AA7DBD">
        <w:rPr>
          <w:rFonts w:ascii="Times New Roman" w:hAnsi="Times New Roman" w:cs="Times New Roman"/>
          <w:sz w:val="18"/>
          <w:szCs w:val="18"/>
        </w:rPr>
        <w:t>Politikas plānošanas nodaļas galvenā speciāliste</w:t>
      </w:r>
    </w:p>
    <w:p w14:paraId="76693136" w14:textId="77777777" w:rsidR="00AA7DBD" w:rsidRPr="00AA7DBD" w:rsidRDefault="00AA7DBD" w:rsidP="00AA7DBD">
      <w:pPr>
        <w:spacing w:after="0" w:line="240" w:lineRule="auto"/>
        <w:rPr>
          <w:rFonts w:ascii="Times New Roman" w:hAnsi="Times New Roman" w:cs="Times New Roman"/>
          <w:sz w:val="18"/>
          <w:szCs w:val="18"/>
        </w:rPr>
      </w:pPr>
      <w:r w:rsidRPr="00AA7DBD">
        <w:rPr>
          <w:rFonts w:ascii="Times New Roman" w:hAnsi="Times New Roman" w:cs="Times New Roman"/>
          <w:sz w:val="18"/>
          <w:szCs w:val="18"/>
        </w:rPr>
        <w:t xml:space="preserve">Iluta </w:t>
      </w:r>
      <w:proofErr w:type="spellStart"/>
      <w:r w:rsidRPr="00AA7DBD">
        <w:rPr>
          <w:rFonts w:ascii="Times New Roman" w:hAnsi="Times New Roman" w:cs="Times New Roman"/>
          <w:sz w:val="18"/>
          <w:szCs w:val="18"/>
        </w:rPr>
        <w:t>Ceicāne</w:t>
      </w:r>
      <w:proofErr w:type="spellEnd"/>
      <w:r w:rsidRPr="00AA7DBD">
        <w:rPr>
          <w:rFonts w:ascii="Times New Roman" w:hAnsi="Times New Roman" w:cs="Times New Roman"/>
          <w:sz w:val="18"/>
          <w:szCs w:val="18"/>
        </w:rPr>
        <w:t>, 67356144</w:t>
      </w:r>
    </w:p>
    <w:p w14:paraId="3C91EA5D" w14:textId="77777777" w:rsidR="00AA7DBD" w:rsidRPr="00AA7DBD" w:rsidRDefault="00AA7DBD" w:rsidP="00AA7DBD">
      <w:pPr>
        <w:spacing w:after="0" w:line="240" w:lineRule="auto"/>
        <w:rPr>
          <w:rFonts w:ascii="Times New Roman" w:hAnsi="Times New Roman" w:cs="Times New Roman"/>
          <w:sz w:val="18"/>
          <w:szCs w:val="18"/>
        </w:rPr>
      </w:pPr>
      <w:r w:rsidRPr="00AA7DBD">
        <w:rPr>
          <w:rFonts w:ascii="Times New Roman" w:hAnsi="Times New Roman" w:cs="Times New Roman"/>
          <w:sz w:val="18"/>
          <w:szCs w:val="18"/>
        </w:rPr>
        <w:t>iluta.ceicane@knab.gov.lv</w:t>
      </w:r>
    </w:p>
    <w:p w14:paraId="4376A13D" w14:textId="4FE3FACC" w:rsidR="00246690" w:rsidRPr="00AA7DBD" w:rsidRDefault="00246690" w:rsidP="00AA7DBD"/>
    <w:sectPr w:rsidR="00246690" w:rsidRPr="00AA7DBD" w:rsidSect="00FE63D2">
      <w:headerReference w:type="default" r:id="rId10"/>
      <w:footerReference w:type="default" r:id="rId11"/>
      <w:pgSz w:w="11906" w:h="16838"/>
      <w:pgMar w:top="1701" w:right="1134"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5B0983" w15:done="0"/>
  <w15:commentEx w15:paraId="4488CA65" w15:done="0"/>
  <w15:commentEx w15:paraId="1DEBDCB4" w15:done="0"/>
  <w15:commentEx w15:paraId="7C7E98B7" w15:done="0"/>
  <w15:commentEx w15:paraId="1FB58E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24288" w14:textId="77777777" w:rsidR="00C42700" w:rsidRDefault="00C42700" w:rsidP="00B97841">
      <w:pPr>
        <w:spacing w:after="0" w:line="240" w:lineRule="auto"/>
      </w:pPr>
      <w:r>
        <w:separator/>
      </w:r>
    </w:p>
  </w:endnote>
  <w:endnote w:type="continuationSeparator" w:id="0">
    <w:p w14:paraId="1DE0B107" w14:textId="77777777" w:rsidR="00C42700" w:rsidRDefault="00C42700" w:rsidP="00B9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1D213" w14:textId="77777777" w:rsidR="00782C31" w:rsidRDefault="00782C31" w:rsidP="00782C31">
    <w:pPr>
      <w:spacing w:after="0" w:line="240" w:lineRule="auto"/>
      <w:jc w:val="both"/>
      <w:rPr>
        <w:rFonts w:ascii="Times New Roman" w:hAnsi="Times New Roman" w:cs="Times New Roman"/>
      </w:rPr>
    </w:pPr>
  </w:p>
  <w:p w14:paraId="6995067B" w14:textId="2A1A359B" w:rsidR="00782C31" w:rsidRPr="00782C31" w:rsidRDefault="00FB5395" w:rsidP="00782C31">
    <w:pPr>
      <w:spacing w:after="0" w:line="240" w:lineRule="auto"/>
      <w:jc w:val="both"/>
      <w:rPr>
        <w:rFonts w:ascii="Times New Roman" w:hAnsi="Times New Roman" w:cs="Times New Roman"/>
        <w:sz w:val="20"/>
        <w:szCs w:val="20"/>
      </w:rPr>
    </w:pPr>
    <w:r w:rsidRPr="00782C31">
      <w:rPr>
        <w:rFonts w:ascii="Times New Roman" w:hAnsi="Times New Roman" w:cs="Times New Roman"/>
        <w:sz w:val="20"/>
        <w:szCs w:val="20"/>
      </w:rPr>
      <w:t>KNAB_zinoj_</w:t>
    </w:r>
    <w:r w:rsidR="007364A3">
      <w:rPr>
        <w:rFonts w:ascii="Times New Roman" w:hAnsi="Times New Roman" w:cs="Times New Roman"/>
        <w:sz w:val="20"/>
        <w:szCs w:val="20"/>
      </w:rPr>
      <w:t>par_</w:t>
    </w:r>
    <w:r w:rsidR="00CB4A00">
      <w:rPr>
        <w:rFonts w:ascii="Times New Roman" w:hAnsi="Times New Roman" w:cs="Times New Roman"/>
        <w:sz w:val="20"/>
        <w:szCs w:val="20"/>
      </w:rPr>
      <w:t>koncep_ievies_0110</w:t>
    </w:r>
    <w:r w:rsidRPr="00782C31">
      <w:rPr>
        <w:rFonts w:ascii="Times New Roman" w:hAnsi="Times New Roman" w:cs="Times New Roman"/>
        <w:sz w:val="20"/>
        <w:szCs w:val="20"/>
      </w:rPr>
      <w:t>2015;</w:t>
    </w:r>
    <w:r w:rsidR="00782C31" w:rsidRPr="00782C31">
      <w:rPr>
        <w:rFonts w:ascii="Times New Roman" w:hAnsi="Times New Roman" w:cs="Times New Roman"/>
        <w:b/>
        <w:sz w:val="20"/>
        <w:szCs w:val="20"/>
      </w:rPr>
      <w:t xml:space="preserve"> </w:t>
    </w:r>
    <w:r w:rsidR="00262972">
      <w:rPr>
        <w:rFonts w:ascii="Times New Roman" w:hAnsi="Times New Roman" w:cs="Times New Roman"/>
        <w:sz w:val="20"/>
        <w:szCs w:val="20"/>
      </w:rPr>
      <w:t>Informatīvais ziņojums P</w:t>
    </w:r>
    <w:r w:rsidR="00782C31" w:rsidRPr="00782C31">
      <w:rPr>
        <w:rFonts w:ascii="Times New Roman" w:hAnsi="Times New Roman" w:cs="Times New Roman"/>
        <w:sz w:val="20"/>
        <w:szCs w:val="20"/>
      </w:rPr>
      <w:t>ar „Koncepcijā par korupcijas risku samazināšanu valsts pārvaldes iestādēs un pašvaldībās” ietvertā risinājuma 3.variantā minēto uzdevumu īstenošanas gaitu</w:t>
    </w:r>
  </w:p>
  <w:p w14:paraId="152685E3" w14:textId="77777777" w:rsidR="00FB5395" w:rsidRPr="00782C31" w:rsidRDefault="00FB539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F621D" w14:textId="77777777" w:rsidR="00C42700" w:rsidRDefault="00C42700" w:rsidP="00B97841">
      <w:pPr>
        <w:spacing w:after="0" w:line="240" w:lineRule="auto"/>
      </w:pPr>
      <w:r>
        <w:separator/>
      </w:r>
    </w:p>
  </w:footnote>
  <w:footnote w:type="continuationSeparator" w:id="0">
    <w:p w14:paraId="4FA86357" w14:textId="77777777" w:rsidR="00C42700" w:rsidRDefault="00C42700" w:rsidP="00B97841">
      <w:pPr>
        <w:spacing w:after="0" w:line="240" w:lineRule="auto"/>
      </w:pPr>
      <w:r>
        <w:continuationSeparator/>
      </w:r>
    </w:p>
  </w:footnote>
  <w:footnote w:id="1">
    <w:p w14:paraId="44D8D477" w14:textId="77777777" w:rsidR="00AA7DBD" w:rsidRDefault="00AA7DBD" w:rsidP="00AA7DBD">
      <w:pPr>
        <w:pStyle w:val="FootnoteText"/>
      </w:pPr>
      <w:r>
        <w:rPr>
          <w:rStyle w:val="FootnoteReference"/>
        </w:rPr>
        <w:footnoteRef/>
      </w:r>
      <w:r>
        <w:t xml:space="preserve"> Korupcijas novēršanas un apkarošanas pamatnostādnes 2015.-2020.gadam (apstiprinātas ar Ministru kabineta 2015.gada 16.jūlija rīkojumu Nr.393).</w:t>
      </w:r>
    </w:p>
  </w:footnote>
  <w:footnote w:id="2">
    <w:p w14:paraId="4D5BBB89" w14:textId="77777777" w:rsidR="00AA7DBD" w:rsidRDefault="00AA7DBD" w:rsidP="00AA7DBD">
      <w:pPr>
        <w:pStyle w:val="FootnoteText"/>
      </w:pPr>
      <w:r>
        <w:rPr>
          <w:rStyle w:val="FootnoteReference"/>
        </w:rPr>
        <w:footnoteRef/>
      </w:r>
      <w:r>
        <w:t xml:space="preserve"> Aizsardzības ministrijas 2015.gada 2.marta vēstule </w:t>
      </w:r>
      <w:proofErr w:type="spellStart"/>
      <w:r>
        <w:t>Nr.MV-N</w:t>
      </w:r>
      <w:proofErr w:type="spellEnd"/>
      <w:r>
        <w:t>/509 „Par Koncepciju par korupcijas risku samazināšanu valsts pārvaldes iestādēs un pašvaldībās”</w:t>
      </w:r>
    </w:p>
  </w:footnote>
  <w:footnote w:id="3">
    <w:p w14:paraId="53365C99" w14:textId="77777777" w:rsidR="00AA7DBD" w:rsidRDefault="00AA7DBD" w:rsidP="00AA7DBD">
      <w:pPr>
        <w:pStyle w:val="FootnoteText"/>
      </w:pPr>
      <w:r>
        <w:rPr>
          <w:rStyle w:val="FootnoteReference"/>
        </w:rPr>
        <w:footnoteRef/>
      </w:r>
      <w:r>
        <w:t xml:space="preserve"> Iekšlietu ministrijas 2015.gada 3.marta vēstule Nr.1-38/586 „Par Koncepcijā par korupcijas risku samazināšanu valsts pārvaldes iestādēs un pašvaldībās ietvertā risinājuma 3.variantā minēto uzdevumu īstenošanas gaitu”;</w:t>
      </w:r>
    </w:p>
  </w:footnote>
  <w:footnote w:id="4">
    <w:p w14:paraId="678B2DA6" w14:textId="77777777" w:rsidR="00AA7DBD" w:rsidRDefault="00AA7DBD" w:rsidP="00AA7DBD">
      <w:pPr>
        <w:pStyle w:val="FootnoteText"/>
      </w:pPr>
      <w:r>
        <w:rPr>
          <w:rStyle w:val="FootnoteReference"/>
        </w:rPr>
        <w:footnoteRef/>
      </w:r>
      <w:r>
        <w:t xml:space="preserve"> Finanšu ministrijas 2015.gada 2.marta vēstule Nr.10-15/1238 „Par Koncepciju par korupcijas risku samazināšanu”</w:t>
      </w:r>
    </w:p>
  </w:footnote>
  <w:footnote w:id="5">
    <w:p w14:paraId="616331DD" w14:textId="77777777" w:rsidR="00AA7DBD" w:rsidRDefault="00AA7DBD" w:rsidP="00AA7DBD">
      <w:pPr>
        <w:pStyle w:val="FootnoteText"/>
      </w:pPr>
      <w:r>
        <w:rPr>
          <w:rStyle w:val="FootnoteReference"/>
        </w:rPr>
        <w:footnoteRef/>
      </w:r>
      <w:r>
        <w:t xml:space="preserve"> Tieslietu ministrijas 2013.gada 19.februāra vēstule Nr.1-9.1/227 „Atzinums par Ministru kabineta noteikumu projektu „Grozījumi Ministru kabineta 2012.gada 8.maija noteikumos Nr.326 „Noteikumi par iekšējās kontroles</w:t>
      </w:r>
      <w:proofErr w:type="gramStart"/>
      <w:r>
        <w:t xml:space="preserve">  </w:t>
      </w:r>
      <w:proofErr w:type="gramEnd"/>
      <w:r>
        <w:t>sistēmu tiešās pārvaldes iestādēs”””</w:t>
      </w:r>
    </w:p>
  </w:footnote>
  <w:footnote w:id="6">
    <w:p w14:paraId="357CCF17" w14:textId="77777777" w:rsidR="00AA7DBD" w:rsidRDefault="00AA7DBD" w:rsidP="00AA7DBD">
      <w:pPr>
        <w:pStyle w:val="FootnoteText"/>
      </w:pPr>
      <w:r>
        <w:rPr>
          <w:rStyle w:val="FootnoteReference"/>
        </w:rPr>
        <w:footnoteRef/>
      </w:r>
      <w:r>
        <w:t xml:space="preserve"> Korupcijas novēršanas un apkarošanas pamatnostādnes 2015.-2020.gadam (apstiprinātas ar Ministru kabineta 2015.gada 16.jūlija rīkojumu Nr.393).</w:t>
      </w:r>
    </w:p>
  </w:footnote>
  <w:footnote w:id="7">
    <w:p w14:paraId="10217D1A" w14:textId="77777777" w:rsidR="00AA7DBD" w:rsidRDefault="00AA7DBD" w:rsidP="00AA7DBD">
      <w:pPr>
        <w:pStyle w:val="FootnoteText"/>
      </w:pPr>
      <w:r>
        <w:rPr>
          <w:rStyle w:val="FootnoteReference"/>
        </w:rPr>
        <w:footnoteRef/>
      </w:r>
      <w:r>
        <w:t xml:space="preserve"> Ekonomikas ministrijas 2015.gada 27.februāra vēstule Nr.224-2-1660 „Par informācijas sniegšanu”;</w:t>
      </w:r>
    </w:p>
  </w:footnote>
  <w:footnote w:id="8">
    <w:p w14:paraId="6FC8F674" w14:textId="77777777" w:rsidR="00AA7DBD" w:rsidRDefault="00AA7DBD" w:rsidP="00AA7DBD">
      <w:pPr>
        <w:pStyle w:val="FootnoteText"/>
      </w:pPr>
      <w:r>
        <w:rPr>
          <w:rStyle w:val="FootnoteReference"/>
        </w:rPr>
        <w:footnoteRef/>
      </w:r>
      <w:r>
        <w:t xml:space="preserve"> Satiksmes ministrijas 2015.gada 27.februāra vēstule Nr.01-07/859 „Par informācijas sniegšanu”.</w:t>
      </w:r>
    </w:p>
  </w:footnote>
  <w:footnote w:id="9">
    <w:p w14:paraId="0BA3C032" w14:textId="77777777" w:rsidR="00AA7DBD" w:rsidRDefault="00AA7DBD" w:rsidP="00AA7DBD">
      <w:pPr>
        <w:pStyle w:val="FootnoteText"/>
      </w:pPr>
      <w:r>
        <w:rPr>
          <w:rStyle w:val="FootnoteReference"/>
        </w:rPr>
        <w:footnoteRef/>
      </w:r>
      <w:r>
        <w:t xml:space="preserve"> Ārlietu ministrijas 2015.gada 6.marta vēstule Nr.10/33-1016 „Par koncepciju par korupcijas risku samazināšanu valsts pārvaldes iestādēs un pašvaldībās”</w:t>
      </w:r>
    </w:p>
  </w:footnote>
  <w:footnote w:id="10">
    <w:p w14:paraId="241101FA" w14:textId="77777777" w:rsidR="00AA7DBD" w:rsidRDefault="00AA7DBD" w:rsidP="00AA7DBD">
      <w:pPr>
        <w:pStyle w:val="FootnoteText"/>
      </w:pPr>
      <w:r>
        <w:rPr>
          <w:rStyle w:val="FootnoteReference"/>
        </w:rPr>
        <w:footnoteRef/>
      </w:r>
      <w:r>
        <w:t xml:space="preserve"> Aizsardzības ministrijas 2015.gada 2.marta vēstule </w:t>
      </w:r>
      <w:proofErr w:type="spellStart"/>
      <w:r>
        <w:t>Nr.MV-N</w:t>
      </w:r>
      <w:proofErr w:type="spellEnd"/>
      <w:r>
        <w:t>/509 „Par Koncepciju par korupcijas risku samazināšanu valsts pārvaldes iestādēs un pašvaldībās”</w:t>
      </w:r>
    </w:p>
  </w:footnote>
  <w:footnote w:id="11">
    <w:p w14:paraId="3B85960F" w14:textId="77777777" w:rsidR="00AA7DBD" w:rsidRDefault="00AA7DBD" w:rsidP="00AA7DBD">
      <w:pPr>
        <w:pStyle w:val="FootnoteText"/>
      </w:pPr>
      <w:r>
        <w:rPr>
          <w:rStyle w:val="FootnoteReference"/>
        </w:rPr>
        <w:footnoteRef/>
      </w:r>
      <w:r>
        <w:t xml:space="preserve"> 2011.gada Kompetenču vārdnīca, skat. internetā (2015.gada 10.aprīlī)</w:t>
      </w:r>
      <w:r w:rsidRPr="00F43D99">
        <w:t xml:space="preserve"> https://nevis.mk.gov.lv/Uploads/CompetenceDictionary.6310fce38bd842a3b5a769030b30042a.pdf</w:t>
      </w:r>
    </w:p>
  </w:footnote>
  <w:footnote w:id="12">
    <w:p w14:paraId="0EDA86CF" w14:textId="77777777" w:rsidR="00AA7DBD" w:rsidRDefault="00AA7DBD" w:rsidP="00AA7DBD">
      <w:pPr>
        <w:pStyle w:val="FootnoteText"/>
      </w:pPr>
      <w:r>
        <w:rPr>
          <w:rStyle w:val="FootnoteReference"/>
        </w:rPr>
        <w:footnoteRef/>
      </w:r>
      <w:r>
        <w:t xml:space="preserve"> Iekšlietu ministrijas 2015.gada 3.marta vēstule Nr.1-38/586 „Par Koncepcijā par korupcijas risku samazināšanu valsts pārvaldes iestādēs un pašvaldībās ietvertā risinājuma 3.variantā minēto uzdevumu īstenošanas gaitu”</w:t>
      </w:r>
    </w:p>
    <w:p w14:paraId="70726001" w14:textId="77777777" w:rsidR="00AA7DBD" w:rsidRDefault="00AA7DBD" w:rsidP="00AA7DBD">
      <w:pPr>
        <w:pStyle w:val="FootnoteText"/>
      </w:pPr>
    </w:p>
  </w:footnote>
  <w:footnote w:id="13">
    <w:p w14:paraId="6ED9F807" w14:textId="77777777" w:rsidR="00AA7DBD" w:rsidRDefault="00AA7DBD" w:rsidP="00AA7DBD">
      <w:pPr>
        <w:pStyle w:val="FootnoteText"/>
      </w:pPr>
      <w:r>
        <w:rPr>
          <w:rStyle w:val="FootnoteReference"/>
        </w:rPr>
        <w:footnoteRef/>
      </w:r>
      <w:r>
        <w:t xml:space="preserve"> Valsts kancelejas likumprojekta „Valsts dienesta likums” sākotnējās ietekmes novērtējuma ziņojums (anotācija). Skat. internetā (2015.gada 6.martā) </w:t>
      </w:r>
      <w:hyperlink r:id="rId1" w:anchor="b" w:history="1">
        <w:r w:rsidRPr="00E55F15">
          <w:rPr>
            <w:rStyle w:val="Hyperlink"/>
            <w:color w:val="auto"/>
          </w:rPr>
          <w:t>http://titania.saeima.lv/LIVS12/saeimalivs12.nsf/0/AEF0AC76F07342B0C2257D8600680EE4?OpenDocument#b</w:t>
        </w:r>
      </w:hyperlink>
      <w:r w:rsidRPr="00E55F15">
        <w:t xml:space="preserve"> </w:t>
      </w:r>
    </w:p>
  </w:footnote>
  <w:footnote w:id="14">
    <w:p w14:paraId="3B0D1383" w14:textId="77777777" w:rsidR="00AA7DBD" w:rsidRDefault="00AA7DBD" w:rsidP="00AA7DBD">
      <w:pPr>
        <w:pStyle w:val="FootnoteText"/>
      </w:pPr>
      <w:r>
        <w:rPr>
          <w:rStyle w:val="FootnoteReference"/>
        </w:rPr>
        <w:footnoteRef/>
      </w:r>
      <w:r>
        <w:t xml:space="preserve"> Valsts kancelejas 2015.gada 26.februāra vēstule Nr.21/SAN-171 „Par informācijas sniegšanu”</w:t>
      </w:r>
    </w:p>
  </w:footnote>
  <w:footnote w:id="15">
    <w:p w14:paraId="7FB262E0" w14:textId="77777777" w:rsidR="00AA7DBD" w:rsidRDefault="00AA7DBD" w:rsidP="00AA7DBD">
      <w:pPr>
        <w:pStyle w:val="FootnoteText"/>
      </w:pPr>
      <w:r>
        <w:rPr>
          <w:rStyle w:val="FootnoteReference"/>
        </w:rPr>
        <w:footnoteRef/>
      </w:r>
      <w:r>
        <w:t xml:space="preserve"> Iekšlietu ministrijas 2015.gada 3.marta vēstule Nr.1-38/586 „Par Koncepcijā par korupcijas risku samazināšanu valsts pārvaldes iestādēs un pašvaldībās ietvertā risinājuma 3.variantā minēto uzdevumu īstenošanas gaitu”</w:t>
      </w:r>
    </w:p>
  </w:footnote>
  <w:footnote w:id="16">
    <w:p w14:paraId="798826DB" w14:textId="77777777" w:rsidR="00AA7DBD" w:rsidRDefault="00AA7DBD" w:rsidP="00AA7DBD">
      <w:pPr>
        <w:pStyle w:val="FootnoteText"/>
      </w:pPr>
      <w:r>
        <w:rPr>
          <w:rStyle w:val="FootnoteReference"/>
        </w:rPr>
        <w:footnoteRef/>
      </w:r>
      <w:r>
        <w:t xml:space="preserve"> Ārlietu ministrijas 2015.gada 6.marta vēstule Nr.10/33-1016 „Par koncepciju par korupcijas risku samazināšanu valsts pārvaldes iestādēs un pašvaldībās”</w:t>
      </w:r>
    </w:p>
  </w:footnote>
  <w:footnote w:id="17">
    <w:p w14:paraId="77478695" w14:textId="77777777" w:rsidR="00AA7DBD" w:rsidRDefault="00AA7DBD" w:rsidP="00AA7DBD">
      <w:pPr>
        <w:pStyle w:val="FootnoteText"/>
      </w:pPr>
      <w:r>
        <w:rPr>
          <w:rStyle w:val="FootnoteReference"/>
        </w:rPr>
        <w:footnoteRef/>
      </w:r>
      <w:r>
        <w:t xml:space="preserve"> Tieslietu ministrijas 2013.gada 19.februāra vēstule Nr.1-9.1/227 „Atzinums par Ministru kabineta noteikumu projektu „Grozījumi Ministru kabineta 2012.gada 8.maija noteikumos Nr.326 „Noteikumi par iekšējās kontroles</w:t>
      </w:r>
      <w:proofErr w:type="gramStart"/>
      <w:r>
        <w:t xml:space="preserve">  </w:t>
      </w:r>
      <w:proofErr w:type="gramEnd"/>
      <w:r>
        <w:t>sistēmu tiešās pārvaldes iestādēs”””</w:t>
      </w:r>
    </w:p>
  </w:footnote>
  <w:footnote w:id="18">
    <w:p w14:paraId="0E02F90B" w14:textId="77777777" w:rsidR="00AA7DBD" w:rsidRDefault="00AA7DBD" w:rsidP="00AA7DBD">
      <w:pPr>
        <w:pStyle w:val="FootnoteText"/>
      </w:pPr>
      <w:r>
        <w:rPr>
          <w:rStyle w:val="FootnoteReference"/>
        </w:rPr>
        <w:footnoteRef/>
      </w:r>
      <w:r>
        <w:t xml:space="preserve">  2013.gada jūlija Metodika ienākumu un parādsaistību proporcijas noteikšanai. Skat. internetā (16.03.2015.) </w:t>
      </w:r>
      <w:r w:rsidRPr="004953E5">
        <w:t>http://www.knab.gov.lv/uploads/free/metodika_ienakumu_un_paradsaistibu_proporcijas_noteiksanai.pdf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2667"/>
      <w:docPartObj>
        <w:docPartGallery w:val="Page Numbers (Top of Page)"/>
        <w:docPartUnique/>
      </w:docPartObj>
    </w:sdtPr>
    <w:sdtEndPr>
      <w:rPr>
        <w:noProof/>
      </w:rPr>
    </w:sdtEndPr>
    <w:sdtContent>
      <w:p w14:paraId="74531A41" w14:textId="77777777" w:rsidR="00FE63D2" w:rsidRDefault="00FE63D2">
        <w:pPr>
          <w:pStyle w:val="Header"/>
          <w:jc w:val="center"/>
        </w:pPr>
        <w:r>
          <w:fldChar w:fldCharType="begin"/>
        </w:r>
        <w:r>
          <w:instrText xml:space="preserve"> PAGE   \* MERGEFORMAT </w:instrText>
        </w:r>
        <w:r>
          <w:fldChar w:fldCharType="separate"/>
        </w:r>
        <w:r w:rsidR="00AA7DBD">
          <w:rPr>
            <w:noProof/>
          </w:rPr>
          <w:t>4</w:t>
        </w:r>
        <w:r>
          <w:rPr>
            <w:noProof/>
          </w:rPr>
          <w:fldChar w:fldCharType="end"/>
        </w:r>
      </w:p>
    </w:sdtContent>
  </w:sdt>
  <w:p w14:paraId="332335BC" w14:textId="77777777" w:rsidR="00FE63D2" w:rsidRDefault="00FE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5CE"/>
    <w:multiLevelType w:val="hybridMultilevel"/>
    <w:tmpl w:val="378C7896"/>
    <w:lvl w:ilvl="0" w:tplc="07F00212">
      <w:numFmt w:val="bullet"/>
      <w:lvlText w:val="-"/>
      <w:lvlJc w:val="left"/>
      <w:pPr>
        <w:ind w:left="1369" w:hanging="360"/>
      </w:pPr>
      <w:rPr>
        <w:rFonts w:ascii="Times New Roman" w:eastAsia="Times New Roman" w:hAnsi="Times New Roman" w:cs="Times New Roman" w:hint="default"/>
      </w:rPr>
    </w:lvl>
    <w:lvl w:ilvl="1" w:tplc="04260003" w:tentative="1">
      <w:start w:val="1"/>
      <w:numFmt w:val="bullet"/>
      <w:lvlText w:val="o"/>
      <w:lvlJc w:val="left"/>
      <w:pPr>
        <w:ind w:left="2089" w:hanging="360"/>
      </w:pPr>
      <w:rPr>
        <w:rFonts w:ascii="Courier New" w:hAnsi="Courier New" w:cs="Courier New" w:hint="default"/>
      </w:rPr>
    </w:lvl>
    <w:lvl w:ilvl="2" w:tplc="04260005" w:tentative="1">
      <w:start w:val="1"/>
      <w:numFmt w:val="bullet"/>
      <w:lvlText w:val=""/>
      <w:lvlJc w:val="left"/>
      <w:pPr>
        <w:ind w:left="2809" w:hanging="360"/>
      </w:pPr>
      <w:rPr>
        <w:rFonts w:ascii="Wingdings" w:hAnsi="Wingdings" w:hint="default"/>
      </w:rPr>
    </w:lvl>
    <w:lvl w:ilvl="3" w:tplc="04260001" w:tentative="1">
      <w:start w:val="1"/>
      <w:numFmt w:val="bullet"/>
      <w:lvlText w:val=""/>
      <w:lvlJc w:val="left"/>
      <w:pPr>
        <w:ind w:left="3529" w:hanging="360"/>
      </w:pPr>
      <w:rPr>
        <w:rFonts w:ascii="Symbol" w:hAnsi="Symbol" w:hint="default"/>
      </w:rPr>
    </w:lvl>
    <w:lvl w:ilvl="4" w:tplc="04260003" w:tentative="1">
      <w:start w:val="1"/>
      <w:numFmt w:val="bullet"/>
      <w:lvlText w:val="o"/>
      <w:lvlJc w:val="left"/>
      <w:pPr>
        <w:ind w:left="4249" w:hanging="360"/>
      </w:pPr>
      <w:rPr>
        <w:rFonts w:ascii="Courier New" w:hAnsi="Courier New" w:cs="Courier New" w:hint="default"/>
      </w:rPr>
    </w:lvl>
    <w:lvl w:ilvl="5" w:tplc="04260005" w:tentative="1">
      <w:start w:val="1"/>
      <w:numFmt w:val="bullet"/>
      <w:lvlText w:val=""/>
      <w:lvlJc w:val="left"/>
      <w:pPr>
        <w:ind w:left="4969" w:hanging="360"/>
      </w:pPr>
      <w:rPr>
        <w:rFonts w:ascii="Wingdings" w:hAnsi="Wingdings" w:hint="default"/>
      </w:rPr>
    </w:lvl>
    <w:lvl w:ilvl="6" w:tplc="04260001" w:tentative="1">
      <w:start w:val="1"/>
      <w:numFmt w:val="bullet"/>
      <w:lvlText w:val=""/>
      <w:lvlJc w:val="left"/>
      <w:pPr>
        <w:ind w:left="5689" w:hanging="360"/>
      </w:pPr>
      <w:rPr>
        <w:rFonts w:ascii="Symbol" w:hAnsi="Symbol" w:hint="default"/>
      </w:rPr>
    </w:lvl>
    <w:lvl w:ilvl="7" w:tplc="04260003" w:tentative="1">
      <w:start w:val="1"/>
      <w:numFmt w:val="bullet"/>
      <w:lvlText w:val="o"/>
      <w:lvlJc w:val="left"/>
      <w:pPr>
        <w:ind w:left="6409" w:hanging="360"/>
      </w:pPr>
      <w:rPr>
        <w:rFonts w:ascii="Courier New" w:hAnsi="Courier New" w:cs="Courier New" w:hint="default"/>
      </w:rPr>
    </w:lvl>
    <w:lvl w:ilvl="8" w:tplc="04260005" w:tentative="1">
      <w:start w:val="1"/>
      <w:numFmt w:val="bullet"/>
      <w:lvlText w:val=""/>
      <w:lvlJc w:val="left"/>
      <w:pPr>
        <w:ind w:left="7129" w:hanging="360"/>
      </w:pPr>
      <w:rPr>
        <w:rFonts w:ascii="Wingdings" w:hAnsi="Wingdings" w:hint="default"/>
      </w:rPr>
    </w:lvl>
  </w:abstractNum>
  <w:abstractNum w:abstractNumId="1">
    <w:nsid w:val="0F55607D"/>
    <w:multiLevelType w:val="hybridMultilevel"/>
    <w:tmpl w:val="937A50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C451EF"/>
    <w:multiLevelType w:val="hybridMultilevel"/>
    <w:tmpl w:val="F59C204A"/>
    <w:lvl w:ilvl="0" w:tplc="B6B49A2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576C8B"/>
    <w:multiLevelType w:val="hybridMultilevel"/>
    <w:tmpl w:val="EA3EEFD2"/>
    <w:lvl w:ilvl="0" w:tplc="07F002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3C7FD8"/>
    <w:multiLevelType w:val="hybridMultilevel"/>
    <w:tmpl w:val="E4868610"/>
    <w:lvl w:ilvl="0" w:tplc="69F8DDCE">
      <w:start w:val="8"/>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2B6629CB"/>
    <w:multiLevelType w:val="hybridMultilevel"/>
    <w:tmpl w:val="C2E0C4E0"/>
    <w:lvl w:ilvl="0" w:tplc="07F0021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3D2C6FC2"/>
    <w:multiLevelType w:val="hybridMultilevel"/>
    <w:tmpl w:val="C472CCA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A4B6038"/>
    <w:multiLevelType w:val="hybridMultilevel"/>
    <w:tmpl w:val="334A298C"/>
    <w:lvl w:ilvl="0" w:tplc="3124BC3C">
      <w:start w:val="1"/>
      <w:numFmt w:val="bullet"/>
      <w:lvlText w:val=""/>
      <w:lvlJc w:val="left"/>
      <w:pPr>
        <w:tabs>
          <w:tab w:val="num" w:pos="1620"/>
        </w:tabs>
        <w:ind w:left="1620" w:hanging="360"/>
      </w:pPr>
      <w:rPr>
        <w:rFonts w:ascii="Symbol" w:hAnsi="Symbol" w:hint="default"/>
      </w:rPr>
    </w:lvl>
    <w:lvl w:ilvl="1" w:tplc="0426000F">
      <w:start w:val="1"/>
      <w:numFmt w:val="decimal"/>
      <w:lvlText w:val="%2."/>
      <w:lvlJc w:val="left"/>
      <w:pPr>
        <w:tabs>
          <w:tab w:val="num" w:pos="1440"/>
        </w:tabs>
        <w:ind w:left="1440" w:hanging="360"/>
      </w:p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nsid w:val="591E22A7"/>
    <w:multiLevelType w:val="multilevel"/>
    <w:tmpl w:val="A42825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96052A"/>
    <w:multiLevelType w:val="hybridMultilevel"/>
    <w:tmpl w:val="B1602E80"/>
    <w:lvl w:ilvl="0" w:tplc="07F0021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nsid w:val="606B32C0"/>
    <w:multiLevelType w:val="hybridMultilevel"/>
    <w:tmpl w:val="6E2882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42E60C3"/>
    <w:multiLevelType w:val="hybridMultilevel"/>
    <w:tmpl w:val="B798D14A"/>
    <w:lvl w:ilvl="0" w:tplc="B6B49A2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4"/>
  </w:num>
  <w:num w:numId="5">
    <w:abstractNumId w:val="5"/>
  </w:num>
  <w:num w:numId="6">
    <w:abstractNumId w:val="3"/>
  </w:num>
  <w:num w:numId="7">
    <w:abstractNumId w:val="1"/>
  </w:num>
  <w:num w:numId="8">
    <w:abstractNumId w:val="11"/>
  </w:num>
  <w:num w:numId="9">
    <w:abstractNumId w:val="2"/>
  </w:num>
  <w:num w:numId="10">
    <w:abstractNumId w:val="6"/>
  </w:num>
  <w:num w:numId="11">
    <w:abstractNumId w:val="0"/>
  </w:num>
  <w:num w:numId="12">
    <w:abstractNumId w:val="10"/>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ta Stūrīte">
    <w15:presenceInfo w15:providerId="None" w15:userId="Gita Stūrī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41"/>
    <w:rsid w:val="000003D6"/>
    <w:rsid w:val="0000181E"/>
    <w:rsid w:val="00001F06"/>
    <w:rsid w:val="00002EE4"/>
    <w:rsid w:val="000157F8"/>
    <w:rsid w:val="00017742"/>
    <w:rsid w:val="00021EAA"/>
    <w:rsid w:val="00022ED9"/>
    <w:rsid w:val="00040251"/>
    <w:rsid w:val="000436EB"/>
    <w:rsid w:val="000457B8"/>
    <w:rsid w:val="000671FA"/>
    <w:rsid w:val="00072F12"/>
    <w:rsid w:val="00075D81"/>
    <w:rsid w:val="000804D3"/>
    <w:rsid w:val="00093997"/>
    <w:rsid w:val="0009468F"/>
    <w:rsid w:val="000B1BB6"/>
    <w:rsid w:val="000B37BE"/>
    <w:rsid w:val="000C0411"/>
    <w:rsid w:val="000C1995"/>
    <w:rsid w:val="000C4B12"/>
    <w:rsid w:val="000D09F6"/>
    <w:rsid w:val="000D37DD"/>
    <w:rsid w:val="000E2CEE"/>
    <w:rsid w:val="000E3FC3"/>
    <w:rsid w:val="00101E8C"/>
    <w:rsid w:val="00106C40"/>
    <w:rsid w:val="00115D4D"/>
    <w:rsid w:val="001237FE"/>
    <w:rsid w:val="001248E3"/>
    <w:rsid w:val="00127B42"/>
    <w:rsid w:val="00141BE3"/>
    <w:rsid w:val="0015541B"/>
    <w:rsid w:val="001603F4"/>
    <w:rsid w:val="00161E7E"/>
    <w:rsid w:val="00163097"/>
    <w:rsid w:val="001665A3"/>
    <w:rsid w:val="00167141"/>
    <w:rsid w:val="00170668"/>
    <w:rsid w:val="001759D8"/>
    <w:rsid w:val="0018381C"/>
    <w:rsid w:val="00195240"/>
    <w:rsid w:val="001A2F3A"/>
    <w:rsid w:val="001A613C"/>
    <w:rsid w:val="001A7566"/>
    <w:rsid w:val="001B0C7E"/>
    <w:rsid w:val="001B15F3"/>
    <w:rsid w:val="001B4E53"/>
    <w:rsid w:val="001C51B3"/>
    <w:rsid w:val="001D172F"/>
    <w:rsid w:val="001E09D7"/>
    <w:rsid w:val="001E72BF"/>
    <w:rsid w:val="001F18FF"/>
    <w:rsid w:val="001F2F7D"/>
    <w:rsid w:val="00203102"/>
    <w:rsid w:val="0020435B"/>
    <w:rsid w:val="00205516"/>
    <w:rsid w:val="00206284"/>
    <w:rsid w:val="00211619"/>
    <w:rsid w:val="0021793A"/>
    <w:rsid w:val="00221578"/>
    <w:rsid w:val="0022693A"/>
    <w:rsid w:val="00226E96"/>
    <w:rsid w:val="00227E9C"/>
    <w:rsid w:val="00236311"/>
    <w:rsid w:val="00241FF1"/>
    <w:rsid w:val="002448F1"/>
    <w:rsid w:val="00244A93"/>
    <w:rsid w:val="00246690"/>
    <w:rsid w:val="002473BC"/>
    <w:rsid w:val="00247EAC"/>
    <w:rsid w:val="00250222"/>
    <w:rsid w:val="002618E5"/>
    <w:rsid w:val="00262972"/>
    <w:rsid w:val="00264B0A"/>
    <w:rsid w:val="00264F2E"/>
    <w:rsid w:val="0027377A"/>
    <w:rsid w:val="00275EA1"/>
    <w:rsid w:val="00276449"/>
    <w:rsid w:val="0028298E"/>
    <w:rsid w:val="00286C12"/>
    <w:rsid w:val="002A28AB"/>
    <w:rsid w:val="002A40DC"/>
    <w:rsid w:val="002A7B83"/>
    <w:rsid w:val="002B36A8"/>
    <w:rsid w:val="002B6910"/>
    <w:rsid w:val="002C4BD4"/>
    <w:rsid w:val="002C684D"/>
    <w:rsid w:val="002D06B7"/>
    <w:rsid w:val="002E3243"/>
    <w:rsid w:val="002E34B4"/>
    <w:rsid w:val="002E58A1"/>
    <w:rsid w:val="002F67DE"/>
    <w:rsid w:val="003056A5"/>
    <w:rsid w:val="00310749"/>
    <w:rsid w:val="00313F4F"/>
    <w:rsid w:val="00315419"/>
    <w:rsid w:val="00330A18"/>
    <w:rsid w:val="003365ED"/>
    <w:rsid w:val="00337D9B"/>
    <w:rsid w:val="0035017E"/>
    <w:rsid w:val="00366A88"/>
    <w:rsid w:val="003778C3"/>
    <w:rsid w:val="00381C2F"/>
    <w:rsid w:val="003C77FA"/>
    <w:rsid w:val="003C7D08"/>
    <w:rsid w:val="003C7F98"/>
    <w:rsid w:val="003D0269"/>
    <w:rsid w:val="003D4379"/>
    <w:rsid w:val="003E0735"/>
    <w:rsid w:val="003E5E31"/>
    <w:rsid w:val="00402DA6"/>
    <w:rsid w:val="00407BCF"/>
    <w:rsid w:val="0041536B"/>
    <w:rsid w:val="0042575A"/>
    <w:rsid w:val="00425C33"/>
    <w:rsid w:val="0043301B"/>
    <w:rsid w:val="00434993"/>
    <w:rsid w:val="00446B1D"/>
    <w:rsid w:val="004536CC"/>
    <w:rsid w:val="004603F0"/>
    <w:rsid w:val="00461CF8"/>
    <w:rsid w:val="00465D17"/>
    <w:rsid w:val="00466F1E"/>
    <w:rsid w:val="0047385F"/>
    <w:rsid w:val="00482BF8"/>
    <w:rsid w:val="004909C9"/>
    <w:rsid w:val="004953E5"/>
    <w:rsid w:val="004B30C8"/>
    <w:rsid w:val="004B67DC"/>
    <w:rsid w:val="004B7266"/>
    <w:rsid w:val="004B7437"/>
    <w:rsid w:val="004C4601"/>
    <w:rsid w:val="004D1341"/>
    <w:rsid w:val="004E5CF8"/>
    <w:rsid w:val="004F3FB4"/>
    <w:rsid w:val="00501FE2"/>
    <w:rsid w:val="00502752"/>
    <w:rsid w:val="00517213"/>
    <w:rsid w:val="005340C3"/>
    <w:rsid w:val="00536D14"/>
    <w:rsid w:val="00542852"/>
    <w:rsid w:val="00553B9D"/>
    <w:rsid w:val="005573ED"/>
    <w:rsid w:val="00562184"/>
    <w:rsid w:val="00562BC2"/>
    <w:rsid w:val="0056315E"/>
    <w:rsid w:val="00563FB4"/>
    <w:rsid w:val="00583103"/>
    <w:rsid w:val="00585452"/>
    <w:rsid w:val="0058726E"/>
    <w:rsid w:val="005B1C47"/>
    <w:rsid w:val="005C01B7"/>
    <w:rsid w:val="005D3E21"/>
    <w:rsid w:val="005D7F31"/>
    <w:rsid w:val="005E1A17"/>
    <w:rsid w:val="005E3B17"/>
    <w:rsid w:val="005F04FF"/>
    <w:rsid w:val="00601951"/>
    <w:rsid w:val="00603557"/>
    <w:rsid w:val="00610391"/>
    <w:rsid w:val="00611008"/>
    <w:rsid w:val="0061114F"/>
    <w:rsid w:val="00617800"/>
    <w:rsid w:val="0063213B"/>
    <w:rsid w:val="006431E3"/>
    <w:rsid w:val="00644FFE"/>
    <w:rsid w:val="00647FD5"/>
    <w:rsid w:val="00652CD3"/>
    <w:rsid w:val="00660E5C"/>
    <w:rsid w:val="00671D86"/>
    <w:rsid w:val="00674295"/>
    <w:rsid w:val="006751F3"/>
    <w:rsid w:val="00680458"/>
    <w:rsid w:val="00684181"/>
    <w:rsid w:val="006911DD"/>
    <w:rsid w:val="0069191E"/>
    <w:rsid w:val="006A1D29"/>
    <w:rsid w:val="006A2E80"/>
    <w:rsid w:val="006B29DE"/>
    <w:rsid w:val="006C0D7C"/>
    <w:rsid w:val="006C3EE5"/>
    <w:rsid w:val="006C6369"/>
    <w:rsid w:val="006D2E57"/>
    <w:rsid w:val="006E1A92"/>
    <w:rsid w:val="006E28DC"/>
    <w:rsid w:val="006F08CC"/>
    <w:rsid w:val="006F2B4D"/>
    <w:rsid w:val="006F57A3"/>
    <w:rsid w:val="007040C1"/>
    <w:rsid w:val="00706D32"/>
    <w:rsid w:val="00714F66"/>
    <w:rsid w:val="00725038"/>
    <w:rsid w:val="007305A8"/>
    <w:rsid w:val="00731793"/>
    <w:rsid w:val="00731822"/>
    <w:rsid w:val="00734D3B"/>
    <w:rsid w:val="007364A3"/>
    <w:rsid w:val="007453A4"/>
    <w:rsid w:val="00757D71"/>
    <w:rsid w:val="00765C33"/>
    <w:rsid w:val="0077254F"/>
    <w:rsid w:val="007746AE"/>
    <w:rsid w:val="00776C4C"/>
    <w:rsid w:val="00782C31"/>
    <w:rsid w:val="00783B98"/>
    <w:rsid w:val="007847B5"/>
    <w:rsid w:val="007871A1"/>
    <w:rsid w:val="00787988"/>
    <w:rsid w:val="0079592C"/>
    <w:rsid w:val="007A06E2"/>
    <w:rsid w:val="007A6342"/>
    <w:rsid w:val="007B21F8"/>
    <w:rsid w:val="007B7407"/>
    <w:rsid w:val="007C3BEA"/>
    <w:rsid w:val="007F1E95"/>
    <w:rsid w:val="007F7568"/>
    <w:rsid w:val="008024BE"/>
    <w:rsid w:val="00814FEB"/>
    <w:rsid w:val="00825A88"/>
    <w:rsid w:val="0082641E"/>
    <w:rsid w:val="00831796"/>
    <w:rsid w:val="00833371"/>
    <w:rsid w:val="008336B8"/>
    <w:rsid w:val="0083406B"/>
    <w:rsid w:val="008372F1"/>
    <w:rsid w:val="00842D64"/>
    <w:rsid w:val="008439C9"/>
    <w:rsid w:val="008439CA"/>
    <w:rsid w:val="00847DE2"/>
    <w:rsid w:val="00874936"/>
    <w:rsid w:val="00874ADE"/>
    <w:rsid w:val="008878C2"/>
    <w:rsid w:val="00893AC0"/>
    <w:rsid w:val="008979BC"/>
    <w:rsid w:val="008A0902"/>
    <w:rsid w:val="008B5096"/>
    <w:rsid w:val="008B7A3E"/>
    <w:rsid w:val="008C7909"/>
    <w:rsid w:val="008D43EC"/>
    <w:rsid w:val="008D5A18"/>
    <w:rsid w:val="008E4E99"/>
    <w:rsid w:val="008E580D"/>
    <w:rsid w:val="008E5DEA"/>
    <w:rsid w:val="008F1012"/>
    <w:rsid w:val="008F3DBE"/>
    <w:rsid w:val="00904ECB"/>
    <w:rsid w:val="00906C03"/>
    <w:rsid w:val="00917014"/>
    <w:rsid w:val="00917752"/>
    <w:rsid w:val="009208E9"/>
    <w:rsid w:val="009304D8"/>
    <w:rsid w:val="00931A20"/>
    <w:rsid w:val="00936BD3"/>
    <w:rsid w:val="0094310B"/>
    <w:rsid w:val="0095353C"/>
    <w:rsid w:val="0095392E"/>
    <w:rsid w:val="00954046"/>
    <w:rsid w:val="009556A2"/>
    <w:rsid w:val="009622BB"/>
    <w:rsid w:val="00982010"/>
    <w:rsid w:val="00986DE3"/>
    <w:rsid w:val="009946ED"/>
    <w:rsid w:val="009C41FE"/>
    <w:rsid w:val="009C440F"/>
    <w:rsid w:val="009C4E97"/>
    <w:rsid w:val="009D044E"/>
    <w:rsid w:val="009D4A20"/>
    <w:rsid w:val="009E35E7"/>
    <w:rsid w:val="009F01E7"/>
    <w:rsid w:val="009F3832"/>
    <w:rsid w:val="009F644A"/>
    <w:rsid w:val="00A00B0F"/>
    <w:rsid w:val="00A00B36"/>
    <w:rsid w:val="00A35113"/>
    <w:rsid w:val="00A35B65"/>
    <w:rsid w:val="00A36A40"/>
    <w:rsid w:val="00A43097"/>
    <w:rsid w:val="00A43F63"/>
    <w:rsid w:val="00A5487B"/>
    <w:rsid w:val="00A64C78"/>
    <w:rsid w:val="00A650D0"/>
    <w:rsid w:val="00A66660"/>
    <w:rsid w:val="00A93D4A"/>
    <w:rsid w:val="00AA7DBD"/>
    <w:rsid w:val="00AB0585"/>
    <w:rsid w:val="00AB6303"/>
    <w:rsid w:val="00AC1F62"/>
    <w:rsid w:val="00AC45E7"/>
    <w:rsid w:val="00AC54EA"/>
    <w:rsid w:val="00AC5637"/>
    <w:rsid w:val="00AC650B"/>
    <w:rsid w:val="00AD12F7"/>
    <w:rsid w:val="00AD798C"/>
    <w:rsid w:val="00AE311C"/>
    <w:rsid w:val="00AE4539"/>
    <w:rsid w:val="00AF1925"/>
    <w:rsid w:val="00B06855"/>
    <w:rsid w:val="00B10AE4"/>
    <w:rsid w:val="00B14D9C"/>
    <w:rsid w:val="00B16BEC"/>
    <w:rsid w:val="00B22E53"/>
    <w:rsid w:val="00B46E97"/>
    <w:rsid w:val="00B5423C"/>
    <w:rsid w:val="00B54CF1"/>
    <w:rsid w:val="00B566F3"/>
    <w:rsid w:val="00B63A17"/>
    <w:rsid w:val="00B64011"/>
    <w:rsid w:val="00B64647"/>
    <w:rsid w:val="00B72C47"/>
    <w:rsid w:val="00B76B15"/>
    <w:rsid w:val="00B91046"/>
    <w:rsid w:val="00B97841"/>
    <w:rsid w:val="00BA3ED5"/>
    <w:rsid w:val="00BC2219"/>
    <w:rsid w:val="00BE0A38"/>
    <w:rsid w:val="00BF7A14"/>
    <w:rsid w:val="00C05527"/>
    <w:rsid w:val="00C056C3"/>
    <w:rsid w:val="00C123BD"/>
    <w:rsid w:val="00C132E3"/>
    <w:rsid w:val="00C2405A"/>
    <w:rsid w:val="00C3360B"/>
    <w:rsid w:val="00C33BA9"/>
    <w:rsid w:val="00C42700"/>
    <w:rsid w:val="00C56ED6"/>
    <w:rsid w:val="00C5753F"/>
    <w:rsid w:val="00C62E5E"/>
    <w:rsid w:val="00C64F83"/>
    <w:rsid w:val="00C8154E"/>
    <w:rsid w:val="00C9565C"/>
    <w:rsid w:val="00C95805"/>
    <w:rsid w:val="00C96958"/>
    <w:rsid w:val="00C96DF7"/>
    <w:rsid w:val="00CA16DA"/>
    <w:rsid w:val="00CA7B6B"/>
    <w:rsid w:val="00CB0321"/>
    <w:rsid w:val="00CB06AD"/>
    <w:rsid w:val="00CB4A00"/>
    <w:rsid w:val="00CB7646"/>
    <w:rsid w:val="00CD541C"/>
    <w:rsid w:val="00CD6A91"/>
    <w:rsid w:val="00CF3749"/>
    <w:rsid w:val="00CF38A0"/>
    <w:rsid w:val="00CF46E8"/>
    <w:rsid w:val="00CF5857"/>
    <w:rsid w:val="00D01193"/>
    <w:rsid w:val="00D022DB"/>
    <w:rsid w:val="00D04265"/>
    <w:rsid w:val="00D05422"/>
    <w:rsid w:val="00D06741"/>
    <w:rsid w:val="00D06AF4"/>
    <w:rsid w:val="00D07459"/>
    <w:rsid w:val="00D10F12"/>
    <w:rsid w:val="00D1429E"/>
    <w:rsid w:val="00D15841"/>
    <w:rsid w:val="00D15ECD"/>
    <w:rsid w:val="00D30C52"/>
    <w:rsid w:val="00D37A31"/>
    <w:rsid w:val="00D43D60"/>
    <w:rsid w:val="00D56A89"/>
    <w:rsid w:val="00D63B66"/>
    <w:rsid w:val="00D6591A"/>
    <w:rsid w:val="00D752A6"/>
    <w:rsid w:val="00D7559A"/>
    <w:rsid w:val="00D77E7D"/>
    <w:rsid w:val="00D8279C"/>
    <w:rsid w:val="00D85277"/>
    <w:rsid w:val="00D9037E"/>
    <w:rsid w:val="00D94245"/>
    <w:rsid w:val="00D95347"/>
    <w:rsid w:val="00DA4102"/>
    <w:rsid w:val="00DA4FDD"/>
    <w:rsid w:val="00DA5C26"/>
    <w:rsid w:val="00DB2D73"/>
    <w:rsid w:val="00DC0A93"/>
    <w:rsid w:val="00DC52F0"/>
    <w:rsid w:val="00DD02E3"/>
    <w:rsid w:val="00DD1D9E"/>
    <w:rsid w:val="00DD36A9"/>
    <w:rsid w:val="00DD5542"/>
    <w:rsid w:val="00DE358B"/>
    <w:rsid w:val="00DF2A1A"/>
    <w:rsid w:val="00DF2FA6"/>
    <w:rsid w:val="00DF6ADB"/>
    <w:rsid w:val="00E0052A"/>
    <w:rsid w:val="00E06583"/>
    <w:rsid w:val="00E123E3"/>
    <w:rsid w:val="00E30CC5"/>
    <w:rsid w:val="00E30E44"/>
    <w:rsid w:val="00E37A5D"/>
    <w:rsid w:val="00E41D51"/>
    <w:rsid w:val="00E4370B"/>
    <w:rsid w:val="00E50841"/>
    <w:rsid w:val="00E53C72"/>
    <w:rsid w:val="00E55F15"/>
    <w:rsid w:val="00E56752"/>
    <w:rsid w:val="00E57AA5"/>
    <w:rsid w:val="00E61255"/>
    <w:rsid w:val="00E621B1"/>
    <w:rsid w:val="00E75688"/>
    <w:rsid w:val="00E75E78"/>
    <w:rsid w:val="00E77705"/>
    <w:rsid w:val="00E81E60"/>
    <w:rsid w:val="00E96511"/>
    <w:rsid w:val="00E96871"/>
    <w:rsid w:val="00EA0EB6"/>
    <w:rsid w:val="00EA3117"/>
    <w:rsid w:val="00EC538E"/>
    <w:rsid w:val="00EC7E37"/>
    <w:rsid w:val="00F0365F"/>
    <w:rsid w:val="00F30D68"/>
    <w:rsid w:val="00F4138E"/>
    <w:rsid w:val="00F42DD1"/>
    <w:rsid w:val="00F43D99"/>
    <w:rsid w:val="00F46D2D"/>
    <w:rsid w:val="00F57307"/>
    <w:rsid w:val="00F64961"/>
    <w:rsid w:val="00F65D80"/>
    <w:rsid w:val="00F70809"/>
    <w:rsid w:val="00F72AF2"/>
    <w:rsid w:val="00F7645D"/>
    <w:rsid w:val="00F8118C"/>
    <w:rsid w:val="00F842A3"/>
    <w:rsid w:val="00F85825"/>
    <w:rsid w:val="00F91F0A"/>
    <w:rsid w:val="00F95FA7"/>
    <w:rsid w:val="00FB394D"/>
    <w:rsid w:val="00FB406D"/>
    <w:rsid w:val="00FB5395"/>
    <w:rsid w:val="00FC0991"/>
    <w:rsid w:val="00FC3453"/>
    <w:rsid w:val="00FD36D4"/>
    <w:rsid w:val="00FE2DD3"/>
    <w:rsid w:val="00FE63D2"/>
    <w:rsid w:val="00FF0AC3"/>
    <w:rsid w:val="00FF4D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BD"/>
  </w:style>
  <w:style w:type="paragraph" w:styleId="Heading2">
    <w:name w:val="heading 2"/>
    <w:basedOn w:val="Normal"/>
    <w:next w:val="Normal"/>
    <w:link w:val="Heading2Char"/>
    <w:semiHidden/>
    <w:unhideWhenUsed/>
    <w:qFormat/>
    <w:rsid w:val="00203102"/>
    <w:pPr>
      <w:keepNext/>
      <w:spacing w:before="240" w:after="60" w:line="240" w:lineRule="auto"/>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841"/>
  </w:style>
  <w:style w:type="paragraph" w:styleId="Footer">
    <w:name w:val="footer"/>
    <w:basedOn w:val="Normal"/>
    <w:link w:val="FooterChar"/>
    <w:uiPriority w:val="99"/>
    <w:unhideWhenUsed/>
    <w:rsid w:val="00B978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841"/>
  </w:style>
  <w:style w:type="character" w:customStyle="1" w:styleId="Heading2Char">
    <w:name w:val="Heading 2 Char"/>
    <w:basedOn w:val="DefaultParagraphFont"/>
    <w:link w:val="Heading2"/>
    <w:semiHidden/>
    <w:rsid w:val="00203102"/>
    <w:rPr>
      <w:rFonts w:ascii="Arial" w:eastAsia="Times New Roman" w:hAnsi="Arial" w:cs="Arial"/>
      <w:b/>
      <w:bCs/>
      <w:i/>
      <w:iCs/>
      <w:sz w:val="28"/>
      <w:szCs w:val="28"/>
      <w:lang w:eastAsia="lv-LV"/>
    </w:rPr>
  </w:style>
  <w:style w:type="paragraph" w:styleId="CommentText">
    <w:name w:val="annotation text"/>
    <w:basedOn w:val="Normal"/>
    <w:link w:val="CommentTextChar"/>
    <w:unhideWhenUsed/>
    <w:rsid w:val="0020310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203102"/>
    <w:rPr>
      <w:rFonts w:ascii="Times New Roman" w:eastAsia="Times New Roman" w:hAnsi="Times New Roman" w:cs="Times New Roman"/>
      <w:sz w:val="20"/>
      <w:szCs w:val="20"/>
      <w:lang w:eastAsia="lv-LV"/>
    </w:rPr>
  </w:style>
  <w:style w:type="paragraph" w:customStyle="1" w:styleId="naisf">
    <w:name w:val="naisf"/>
    <w:basedOn w:val="Normal"/>
    <w:rsid w:val="000804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0435B"/>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20435B"/>
    <w:rPr>
      <w:rFonts w:ascii="Tahoma" w:eastAsia="Calibri" w:hAnsi="Tahoma" w:cs="Tahoma"/>
      <w:sz w:val="16"/>
      <w:szCs w:val="16"/>
      <w:lang w:val="en-US"/>
    </w:rPr>
  </w:style>
  <w:style w:type="paragraph" w:styleId="ListParagraph">
    <w:name w:val="List Paragraph"/>
    <w:basedOn w:val="Normal"/>
    <w:uiPriority w:val="34"/>
    <w:qFormat/>
    <w:rsid w:val="0020435B"/>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F41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38E"/>
    <w:rPr>
      <w:sz w:val="20"/>
      <w:szCs w:val="20"/>
    </w:rPr>
  </w:style>
  <w:style w:type="character" w:styleId="FootnoteReference">
    <w:name w:val="footnote reference"/>
    <w:basedOn w:val="DefaultParagraphFont"/>
    <w:uiPriority w:val="99"/>
    <w:semiHidden/>
    <w:unhideWhenUsed/>
    <w:rsid w:val="00F4138E"/>
    <w:rPr>
      <w:vertAlign w:val="superscript"/>
    </w:rPr>
  </w:style>
  <w:style w:type="character" w:styleId="Hyperlink">
    <w:name w:val="Hyperlink"/>
    <w:basedOn w:val="DefaultParagraphFont"/>
    <w:uiPriority w:val="99"/>
    <w:unhideWhenUsed/>
    <w:rsid w:val="006431E3"/>
    <w:rPr>
      <w:color w:val="0000FF" w:themeColor="hyperlink"/>
      <w:u w:val="single"/>
    </w:rPr>
  </w:style>
  <w:style w:type="character" w:customStyle="1" w:styleId="spelle">
    <w:name w:val="spelle"/>
    <w:basedOn w:val="DefaultParagraphFont"/>
    <w:rsid w:val="000B37BE"/>
  </w:style>
  <w:style w:type="character" w:styleId="CommentReference">
    <w:name w:val="annotation reference"/>
    <w:basedOn w:val="DefaultParagraphFont"/>
    <w:uiPriority w:val="99"/>
    <w:semiHidden/>
    <w:unhideWhenUsed/>
    <w:rsid w:val="00D04265"/>
    <w:rPr>
      <w:sz w:val="16"/>
      <w:szCs w:val="16"/>
    </w:rPr>
  </w:style>
  <w:style w:type="paragraph" w:styleId="CommentSubject">
    <w:name w:val="annotation subject"/>
    <w:basedOn w:val="CommentText"/>
    <w:next w:val="CommentText"/>
    <w:link w:val="CommentSubjectChar"/>
    <w:uiPriority w:val="99"/>
    <w:semiHidden/>
    <w:unhideWhenUsed/>
    <w:rsid w:val="00D0426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4265"/>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BD"/>
  </w:style>
  <w:style w:type="paragraph" w:styleId="Heading2">
    <w:name w:val="heading 2"/>
    <w:basedOn w:val="Normal"/>
    <w:next w:val="Normal"/>
    <w:link w:val="Heading2Char"/>
    <w:semiHidden/>
    <w:unhideWhenUsed/>
    <w:qFormat/>
    <w:rsid w:val="00203102"/>
    <w:pPr>
      <w:keepNext/>
      <w:spacing w:before="240" w:after="60" w:line="240" w:lineRule="auto"/>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841"/>
  </w:style>
  <w:style w:type="paragraph" w:styleId="Footer">
    <w:name w:val="footer"/>
    <w:basedOn w:val="Normal"/>
    <w:link w:val="FooterChar"/>
    <w:uiPriority w:val="99"/>
    <w:unhideWhenUsed/>
    <w:rsid w:val="00B978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841"/>
  </w:style>
  <w:style w:type="character" w:customStyle="1" w:styleId="Heading2Char">
    <w:name w:val="Heading 2 Char"/>
    <w:basedOn w:val="DefaultParagraphFont"/>
    <w:link w:val="Heading2"/>
    <w:semiHidden/>
    <w:rsid w:val="00203102"/>
    <w:rPr>
      <w:rFonts w:ascii="Arial" w:eastAsia="Times New Roman" w:hAnsi="Arial" w:cs="Arial"/>
      <w:b/>
      <w:bCs/>
      <w:i/>
      <w:iCs/>
      <w:sz w:val="28"/>
      <w:szCs w:val="28"/>
      <w:lang w:eastAsia="lv-LV"/>
    </w:rPr>
  </w:style>
  <w:style w:type="paragraph" w:styleId="CommentText">
    <w:name w:val="annotation text"/>
    <w:basedOn w:val="Normal"/>
    <w:link w:val="CommentTextChar"/>
    <w:unhideWhenUsed/>
    <w:rsid w:val="0020310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203102"/>
    <w:rPr>
      <w:rFonts w:ascii="Times New Roman" w:eastAsia="Times New Roman" w:hAnsi="Times New Roman" w:cs="Times New Roman"/>
      <w:sz w:val="20"/>
      <w:szCs w:val="20"/>
      <w:lang w:eastAsia="lv-LV"/>
    </w:rPr>
  </w:style>
  <w:style w:type="paragraph" w:customStyle="1" w:styleId="naisf">
    <w:name w:val="naisf"/>
    <w:basedOn w:val="Normal"/>
    <w:rsid w:val="000804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0435B"/>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20435B"/>
    <w:rPr>
      <w:rFonts w:ascii="Tahoma" w:eastAsia="Calibri" w:hAnsi="Tahoma" w:cs="Tahoma"/>
      <w:sz w:val="16"/>
      <w:szCs w:val="16"/>
      <w:lang w:val="en-US"/>
    </w:rPr>
  </w:style>
  <w:style w:type="paragraph" w:styleId="ListParagraph">
    <w:name w:val="List Paragraph"/>
    <w:basedOn w:val="Normal"/>
    <w:uiPriority w:val="34"/>
    <w:qFormat/>
    <w:rsid w:val="0020435B"/>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F41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38E"/>
    <w:rPr>
      <w:sz w:val="20"/>
      <w:szCs w:val="20"/>
    </w:rPr>
  </w:style>
  <w:style w:type="character" w:styleId="FootnoteReference">
    <w:name w:val="footnote reference"/>
    <w:basedOn w:val="DefaultParagraphFont"/>
    <w:uiPriority w:val="99"/>
    <w:semiHidden/>
    <w:unhideWhenUsed/>
    <w:rsid w:val="00F4138E"/>
    <w:rPr>
      <w:vertAlign w:val="superscript"/>
    </w:rPr>
  </w:style>
  <w:style w:type="character" w:styleId="Hyperlink">
    <w:name w:val="Hyperlink"/>
    <w:basedOn w:val="DefaultParagraphFont"/>
    <w:uiPriority w:val="99"/>
    <w:unhideWhenUsed/>
    <w:rsid w:val="006431E3"/>
    <w:rPr>
      <w:color w:val="0000FF" w:themeColor="hyperlink"/>
      <w:u w:val="single"/>
    </w:rPr>
  </w:style>
  <w:style w:type="character" w:customStyle="1" w:styleId="spelle">
    <w:name w:val="spelle"/>
    <w:basedOn w:val="DefaultParagraphFont"/>
    <w:rsid w:val="000B37BE"/>
  </w:style>
  <w:style w:type="character" w:styleId="CommentReference">
    <w:name w:val="annotation reference"/>
    <w:basedOn w:val="DefaultParagraphFont"/>
    <w:uiPriority w:val="99"/>
    <w:semiHidden/>
    <w:unhideWhenUsed/>
    <w:rsid w:val="00D04265"/>
    <w:rPr>
      <w:sz w:val="16"/>
      <w:szCs w:val="16"/>
    </w:rPr>
  </w:style>
  <w:style w:type="paragraph" w:styleId="CommentSubject">
    <w:name w:val="annotation subject"/>
    <w:basedOn w:val="CommentText"/>
    <w:next w:val="CommentText"/>
    <w:link w:val="CommentSubjectChar"/>
    <w:uiPriority w:val="99"/>
    <w:semiHidden/>
    <w:unhideWhenUsed/>
    <w:rsid w:val="00D0426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426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092">
      <w:bodyDiv w:val="1"/>
      <w:marLeft w:val="0"/>
      <w:marRight w:val="0"/>
      <w:marTop w:val="0"/>
      <w:marBottom w:val="0"/>
      <w:divBdr>
        <w:top w:val="none" w:sz="0" w:space="0" w:color="auto"/>
        <w:left w:val="none" w:sz="0" w:space="0" w:color="auto"/>
        <w:bottom w:val="none" w:sz="0" w:space="0" w:color="auto"/>
        <w:right w:val="none" w:sz="0" w:space="0" w:color="auto"/>
      </w:divBdr>
      <w:divsChild>
        <w:div w:id="1785538392">
          <w:marLeft w:val="0"/>
          <w:marRight w:val="0"/>
          <w:marTop w:val="0"/>
          <w:marBottom w:val="0"/>
          <w:divBdr>
            <w:top w:val="none" w:sz="0" w:space="0" w:color="auto"/>
            <w:left w:val="none" w:sz="0" w:space="0" w:color="auto"/>
            <w:bottom w:val="none" w:sz="0" w:space="0" w:color="auto"/>
            <w:right w:val="none" w:sz="0" w:space="0" w:color="auto"/>
          </w:divBdr>
        </w:div>
        <w:div w:id="1897466354">
          <w:marLeft w:val="0"/>
          <w:marRight w:val="0"/>
          <w:marTop w:val="0"/>
          <w:marBottom w:val="0"/>
          <w:divBdr>
            <w:top w:val="none" w:sz="0" w:space="0" w:color="auto"/>
            <w:left w:val="none" w:sz="0" w:space="0" w:color="auto"/>
            <w:bottom w:val="none" w:sz="0" w:space="0" w:color="auto"/>
            <w:right w:val="none" w:sz="0" w:space="0" w:color="auto"/>
          </w:divBdr>
        </w:div>
      </w:divsChild>
    </w:div>
    <w:div w:id="94205816">
      <w:bodyDiv w:val="1"/>
      <w:marLeft w:val="0"/>
      <w:marRight w:val="0"/>
      <w:marTop w:val="0"/>
      <w:marBottom w:val="0"/>
      <w:divBdr>
        <w:top w:val="none" w:sz="0" w:space="0" w:color="auto"/>
        <w:left w:val="none" w:sz="0" w:space="0" w:color="auto"/>
        <w:bottom w:val="none" w:sz="0" w:space="0" w:color="auto"/>
        <w:right w:val="none" w:sz="0" w:space="0" w:color="auto"/>
      </w:divBdr>
      <w:divsChild>
        <w:div w:id="1813786507">
          <w:marLeft w:val="0"/>
          <w:marRight w:val="0"/>
          <w:marTop w:val="480"/>
          <w:marBottom w:val="240"/>
          <w:divBdr>
            <w:top w:val="none" w:sz="0" w:space="0" w:color="auto"/>
            <w:left w:val="none" w:sz="0" w:space="0" w:color="auto"/>
            <w:bottom w:val="none" w:sz="0" w:space="0" w:color="auto"/>
            <w:right w:val="none" w:sz="0" w:space="0" w:color="auto"/>
          </w:divBdr>
        </w:div>
        <w:div w:id="222837414">
          <w:marLeft w:val="0"/>
          <w:marRight w:val="0"/>
          <w:marTop w:val="0"/>
          <w:marBottom w:val="567"/>
          <w:divBdr>
            <w:top w:val="none" w:sz="0" w:space="0" w:color="auto"/>
            <w:left w:val="none" w:sz="0" w:space="0" w:color="auto"/>
            <w:bottom w:val="none" w:sz="0" w:space="0" w:color="auto"/>
            <w:right w:val="none" w:sz="0" w:space="0" w:color="auto"/>
          </w:divBdr>
        </w:div>
      </w:divsChild>
    </w:div>
    <w:div w:id="114370398">
      <w:bodyDiv w:val="1"/>
      <w:marLeft w:val="0"/>
      <w:marRight w:val="0"/>
      <w:marTop w:val="0"/>
      <w:marBottom w:val="0"/>
      <w:divBdr>
        <w:top w:val="none" w:sz="0" w:space="0" w:color="auto"/>
        <w:left w:val="none" w:sz="0" w:space="0" w:color="auto"/>
        <w:bottom w:val="none" w:sz="0" w:space="0" w:color="auto"/>
        <w:right w:val="none" w:sz="0" w:space="0" w:color="auto"/>
      </w:divBdr>
    </w:div>
    <w:div w:id="127867861">
      <w:bodyDiv w:val="1"/>
      <w:marLeft w:val="0"/>
      <w:marRight w:val="0"/>
      <w:marTop w:val="0"/>
      <w:marBottom w:val="0"/>
      <w:divBdr>
        <w:top w:val="none" w:sz="0" w:space="0" w:color="auto"/>
        <w:left w:val="none" w:sz="0" w:space="0" w:color="auto"/>
        <w:bottom w:val="none" w:sz="0" w:space="0" w:color="auto"/>
        <w:right w:val="none" w:sz="0" w:space="0" w:color="auto"/>
      </w:divBdr>
    </w:div>
    <w:div w:id="577443735">
      <w:bodyDiv w:val="1"/>
      <w:marLeft w:val="0"/>
      <w:marRight w:val="0"/>
      <w:marTop w:val="0"/>
      <w:marBottom w:val="0"/>
      <w:divBdr>
        <w:top w:val="none" w:sz="0" w:space="0" w:color="auto"/>
        <w:left w:val="none" w:sz="0" w:space="0" w:color="auto"/>
        <w:bottom w:val="none" w:sz="0" w:space="0" w:color="auto"/>
        <w:right w:val="none" w:sz="0" w:space="0" w:color="auto"/>
      </w:divBdr>
    </w:div>
    <w:div w:id="623462115">
      <w:bodyDiv w:val="1"/>
      <w:marLeft w:val="0"/>
      <w:marRight w:val="0"/>
      <w:marTop w:val="0"/>
      <w:marBottom w:val="0"/>
      <w:divBdr>
        <w:top w:val="none" w:sz="0" w:space="0" w:color="auto"/>
        <w:left w:val="none" w:sz="0" w:space="0" w:color="auto"/>
        <w:bottom w:val="none" w:sz="0" w:space="0" w:color="auto"/>
        <w:right w:val="none" w:sz="0" w:space="0" w:color="auto"/>
      </w:divBdr>
    </w:div>
    <w:div w:id="1424447829">
      <w:bodyDiv w:val="1"/>
      <w:marLeft w:val="0"/>
      <w:marRight w:val="0"/>
      <w:marTop w:val="0"/>
      <w:marBottom w:val="0"/>
      <w:divBdr>
        <w:top w:val="none" w:sz="0" w:space="0" w:color="auto"/>
        <w:left w:val="none" w:sz="0" w:space="0" w:color="auto"/>
        <w:bottom w:val="none" w:sz="0" w:space="0" w:color="auto"/>
        <w:right w:val="none" w:sz="0" w:space="0" w:color="auto"/>
      </w:divBdr>
      <w:divsChild>
        <w:div w:id="715665861">
          <w:marLeft w:val="0"/>
          <w:marRight w:val="0"/>
          <w:marTop w:val="0"/>
          <w:marBottom w:val="0"/>
          <w:divBdr>
            <w:top w:val="none" w:sz="0" w:space="0" w:color="auto"/>
            <w:left w:val="none" w:sz="0" w:space="0" w:color="auto"/>
            <w:bottom w:val="none" w:sz="0" w:space="0" w:color="auto"/>
            <w:right w:val="none" w:sz="0" w:space="0" w:color="auto"/>
          </w:divBdr>
        </w:div>
        <w:div w:id="1630475614">
          <w:marLeft w:val="0"/>
          <w:marRight w:val="0"/>
          <w:marTop w:val="0"/>
          <w:marBottom w:val="0"/>
          <w:divBdr>
            <w:top w:val="none" w:sz="0" w:space="0" w:color="auto"/>
            <w:left w:val="none" w:sz="0" w:space="0" w:color="auto"/>
            <w:bottom w:val="none" w:sz="0" w:space="0" w:color="auto"/>
            <w:right w:val="none" w:sz="0" w:space="0" w:color="auto"/>
          </w:divBdr>
        </w:div>
      </w:divsChild>
    </w:div>
    <w:div w:id="1548450174">
      <w:bodyDiv w:val="1"/>
      <w:marLeft w:val="0"/>
      <w:marRight w:val="0"/>
      <w:marTop w:val="0"/>
      <w:marBottom w:val="0"/>
      <w:divBdr>
        <w:top w:val="none" w:sz="0" w:space="0" w:color="auto"/>
        <w:left w:val="none" w:sz="0" w:space="0" w:color="auto"/>
        <w:bottom w:val="none" w:sz="0" w:space="0" w:color="auto"/>
        <w:right w:val="none" w:sz="0" w:space="0" w:color="auto"/>
      </w:divBdr>
    </w:div>
    <w:div w:id="1690182029">
      <w:bodyDiv w:val="1"/>
      <w:marLeft w:val="0"/>
      <w:marRight w:val="0"/>
      <w:marTop w:val="0"/>
      <w:marBottom w:val="0"/>
      <w:divBdr>
        <w:top w:val="none" w:sz="0" w:space="0" w:color="auto"/>
        <w:left w:val="none" w:sz="0" w:space="0" w:color="auto"/>
        <w:bottom w:val="none" w:sz="0" w:space="0" w:color="auto"/>
        <w:right w:val="none" w:sz="0" w:space="0" w:color="auto"/>
      </w:divBdr>
    </w:div>
    <w:div w:id="1816294057">
      <w:bodyDiv w:val="1"/>
      <w:marLeft w:val="0"/>
      <w:marRight w:val="0"/>
      <w:marTop w:val="0"/>
      <w:marBottom w:val="0"/>
      <w:divBdr>
        <w:top w:val="none" w:sz="0" w:space="0" w:color="auto"/>
        <w:left w:val="none" w:sz="0" w:space="0" w:color="auto"/>
        <w:bottom w:val="none" w:sz="0" w:space="0" w:color="auto"/>
        <w:right w:val="none" w:sz="0" w:space="0" w:color="auto"/>
      </w:divBdr>
      <w:divsChild>
        <w:div w:id="1656228529">
          <w:marLeft w:val="0"/>
          <w:marRight w:val="0"/>
          <w:marTop w:val="0"/>
          <w:marBottom w:val="0"/>
          <w:divBdr>
            <w:top w:val="none" w:sz="0" w:space="0" w:color="auto"/>
            <w:left w:val="none" w:sz="0" w:space="0" w:color="auto"/>
            <w:bottom w:val="none" w:sz="0" w:space="0" w:color="auto"/>
            <w:right w:val="none" w:sz="0" w:space="0" w:color="auto"/>
          </w:divBdr>
        </w:div>
        <w:div w:id="1019503506">
          <w:marLeft w:val="0"/>
          <w:marRight w:val="0"/>
          <w:marTop w:val="0"/>
          <w:marBottom w:val="0"/>
          <w:divBdr>
            <w:top w:val="none" w:sz="0" w:space="0" w:color="auto"/>
            <w:left w:val="none" w:sz="0" w:space="0" w:color="auto"/>
            <w:bottom w:val="none" w:sz="0" w:space="0" w:color="auto"/>
            <w:right w:val="none" w:sz="0" w:space="0" w:color="auto"/>
          </w:divBdr>
        </w:div>
      </w:divsChild>
    </w:div>
    <w:div w:id="1828280418">
      <w:bodyDiv w:val="1"/>
      <w:marLeft w:val="0"/>
      <w:marRight w:val="0"/>
      <w:marTop w:val="0"/>
      <w:marBottom w:val="0"/>
      <w:divBdr>
        <w:top w:val="none" w:sz="0" w:space="0" w:color="auto"/>
        <w:left w:val="none" w:sz="0" w:space="0" w:color="auto"/>
        <w:bottom w:val="none" w:sz="0" w:space="0" w:color="auto"/>
        <w:right w:val="none" w:sz="0" w:space="0" w:color="auto"/>
      </w:divBdr>
    </w:div>
    <w:div w:id="20235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k.gov.lv/lv/content/ieksejas-kontroles-sistemas-vadlinijas"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0/AEF0AC76F07342B0C2257D8600680EE4?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25BA-010E-4848-8768-D7C05565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28279</Words>
  <Characters>16120</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44311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Ceicāne</dc:creator>
  <cp:lastModifiedBy>Andris Vitols</cp:lastModifiedBy>
  <cp:revision>7</cp:revision>
  <cp:lastPrinted>2015-07-02T12:31:00Z</cp:lastPrinted>
  <dcterms:created xsi:type="dcterms:W3CDTF">2015-10-07T11:30:00Z</dcterms:created>
  <dcterms:modified xsi:type="dcterms:W3CDTF">2015-10-07T12:45:00Z</dcterms:modified>
</cp:coreProperties>
</file>