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FC44D" w14:textId="77777777" w:rsidR="00C77C47" w:rsidRPr="00C77C47" w:rsidRDefault="00F23F1D" w:rsidP="00D55AEC">
      <w:pPr>
        <w:pStyle w:val="tv2121"/>
        <w:spacing w:before="0" w:line="240" w:lineRule="auto"/>
        <w:rPr>
          <w:rFonts w:ascii="Times New Roman" w:hAnsi="Times New Roman"/>
          <w:sz w:val="24"/>
          <w:szCs w:val="24"/>
        </w:rPr>
      </w:pPr>
      <w:bookmarkStart w:id="0" w:name="372832"/>
      <w:r w:rsidRPr="00CA0D50">
        <w:rPr>
          <w:rFonts w:ascii="Times New Roman" w:hAnsi="Times New Roman"/>
          <w:bCs w:val="0"/>
          <w:sz w:val="24"/>
          <w:szCs w:val="24"/>
        </w:rPr>
        <w:t>Ministru kabineta noteikumu</w:t>
      </w:r>
      <w:bookmarkEnd w:id="0"/>
      <w:r w:rsidR="00660D3B" w:rsidRPr="00CA0D50">
        <w:rPr>
          <w:rFonts w:ascii="Times New Roman" w:hAnsi="Times New Roman"/>
          <w:bCs w:val="0"/>
          <w:sz w:val="24"/>
          <w:szCs w:val="24"/>
        </w:rPr>
        <w:t xml:space="preserve"> </w:t>
      </w:r>
      <w:r w:rsidR="00047AA5" w:rsidRPr="00CA0D50">
        <w:rPr>
          <w:rFonts w:ascii="Times New Roman" w:hAnsi="Times New Roman"/>
          <w:bCs w:val="0"/>
          <w:sz w:val="24"/>
          <w:szCs w:val="24"/>
        </w:rPr>
        <w:t>“</w:t>
      </w:r>
      <w:r w:rsidR="00C77C47" w:rsidRPr="00C77C47">
        <w:rPr>
          <w:rFonts w:ascii="Times New Roman" w:hAnsi="Times New Roman"/>
          <w:sz w:val="24"/>
          <w:szCs w:val="24"/>
        </w:rPr>
        <w:t>Grozījumi “Ministru kabineta 2015.gada 28.aprīļa noteikumos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p>
    <w:p w14:paraId="28989A24" w14:textId="3D783ED8" w:rsidR="00F86C1C" w:rsidRPr="00CA0D50" w:rsidRDefault="00E35333" w:rsidP="005E1FE1">
      <w:pPr>
        <w:pStyle w:val="tv2121"/>
        <w:spacing w:before="0" w:line="240" w:lineRule="auto"/>
        <w:rPr>
          <w:rFonts w:ascii="Times New Roman" w:hAnsi="Times New Roman"/>
          <w:sz w:val="24"/>
          <w:szCs w:val="24"/>
        </w:rPr>
      </w:pPr>
      <w:r w:rsidRPr="00CA0D50">
        <w:rPr>
          <w:rFonts w:ascii="Times New Roman" w:hAnsi="Times New Roman"/>
          <w:sz w:val="24"/>
          <w:szCs w:val="24"/>
        </w:rPr>
        <w:t>”</w:t>
      </w:r>
      <w:r w:rsidR="00F86C1C" w:rsidRPr="00CA0D50">
        <w:rPr>
          <w:rFonts w:ascii="Times New Roman" w:hAnsi="Times New Roman"/>
          <w:sz w:val="24"/>
          <w:szCs w:val="24"/>
        </w:rPr>
        <w:t xml:space="preserve"> </w:t>
      </w:r>
      <w:r w:rsidR="00F86C1C" w:rsidRPr="00CA0D50">
        <w:rPr>
          <w:rFonts w:ascii="Times New Roman" w:hAnsi="Times New Roman"/>
          <w:bCs w:val="0"/>
          <w:sz w:val="24"/>
          <w:szCs w:val="24"/>
        </w:rPr>
        <w:t>projekta</w:t>
      </w:r>
      <w:r w:rsidR="00F86C1C" w:rsidRPr="00CA0D50">
        <w:rPr>
          <w:rFonts w:ascii="Times New Roman" w:hAnsi="Times New Roman"/>
          <w:sz w:val="24"/>
          <w:szCs w:val="24"/>
        </w:rPr>
        <w:t xml:space="preserve"> sākotnējās ietekmes novērtējuma ziņojums (anotācija)</w:t>
      </w:r>
    </w:p>
    <w:p w14:paraId="0092C99C" w14:textId="77777777" w:rsidR="00F21E42" w:rsidRPr="00074E9C" w:rsidRDefault="00F21E42" w:rsidP="005E1FE1">
      <w:pPr>
        <w:pStyle w:val="tv2121"/>
        <w:spacing w:before="0" w:line="240" w:lineRule="auto"/>
        <w:rPr>
          <w:rFonts w:ascii="Times New Roman" w:hAnsi="Times New Roman"/>
          <w:sz w:val="23"/>
          <w:szCs w:val="23"/>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1973"/>
        <w:gridCol w:w="7229"/>
      </w:tblGrid>
      <w:tr w:rsidR="00CC1A56" w:rsidRPr="00074E9C" w14:paraId="282051D5" w14:textId="77777777" w:rsidTr="0089655E">
        <w:trPr>
          <w:trHeight w:val="419"/>
        </w:trPr>
        <w:tc>
          <w:tcPr>
            <w:tcW w:w="5000" w:type="pct"/>
            <w:gridSpan w:val="3"/>
            <w:vAlign w:val="center"/>
          </w:tcPr>
          <w:p w14:paraId="18E1C3C6" w14:textId="77777777" w:rsidR="00CC1A56" w:rsidRPr="00074E9C" w:rsidRDefault="00CC1A56" w:rsidP="005E1FE1">
            <w:pPr>
              <w:pStyle w:val="naisnod"/>
              <w:spacing w:before="0" w:beforeAutospacing="0" w:after="0" w:afterAutospacing="0"/>
              <w:ind w:left="57" w:right="57"/>
              <w:jc w:val="center"/>
              <w:rPr>
                <w:b/>
                <w:sz w:val="23"/>
                <w:szCs w:val="23"/>
              </w:rPr>
            </w:pPr>
            <w:r w:rsidRPr="00074E9C">
              <w:rPr>
                <w:b/>
                <w:sz w:val="23"/>
                <w:szCs w:val="23"/>
              </w:rPr>
              <w:t>I. Tiesību akta projekta izstrādes nepieciešamība</w:t>
            </w:r>
          </w:p>
        </w:tc>
      </w:tr>
      <w:tr w:rsidR="00CC1A56" w:rsidRPr="00074E9C" w14:paraId="137B5A88" w14:textId="77777777" w:rsidTr="00BF61A3">
        <w:trPr>
          <w:trHeight w:val="415"/>
        </w:trPr>
        <w:tc>
          <w:tcPr>
            <w:tcW w:w="224" w:type="pct"/>
          </w:tcPr>
          <w:p w14:paraId="7AF0161E" w14:textId="77777777" w:rsidR="00CC1A56" w:rsidRPr="00074E9C" w:rsidRDefault="00CC1A56" w:rsidP="005E1FE1">
            <w:pPr>
              <w:pStyle w:val="naiskr"/>
              <w:spacing w:before="0" w:beforeAutospacing="0" w:after="0" w:afterAutospacing="0"/>
              <w:ind w:left="57" w:right="57"/>
              <w:jc w:val="center"/>
              <w:rPr>
                <w:sz w:val="23"/>
                <w:szCs w:val="23"/>
              </w:rPr>
            </w:pPr>
            <w:r w:rsidRPr="00074E9C">
              <w:rPr>
                <w:sz w:val="23"/>
                <w:szCs w:val="23"/>
              </w:rPr>
              <w:t>1.</w:t>
            </w:r>
          </w:p>
        </w:tc>
        <w:tc>
          <w:tcPr>
            <w:tcW w:w="1024" w:type="pct"/>
          </w:tcPr>
          <w:p w14:paraId="678D7083" w14:textId="4D6EBF06" w:rsidR="00026A31" w:rsidRPr="00074E9C" w:rsidRDefault="00CC1A56" w:rsidP="005E1FE1">
            <w:pPr>
              <w:pStyle w:val="naiskr"/>
              <w:spacing w:before="0" w:beforeAutospacing="0" w:after="0" w:afterAutospacing="0"/>
              <w:ind w:left="57" w:right="57"/>
              <w:rPr>
                <w:rFonts w:eastAsiaTheme="minorHAnsi"/>
                <w:sz w:val="23"/>
                <w:szCs w:val="23"/>
                <w:shd w:val="clear" w:color="auto" w:fill="FFFFFF"/>
                <w:lang w:eastAsia="en-US"/>
              </w:rPr>
            </w:pPr>
            <w:r w:rsidRPr="00074E9C">
              <w:rPr>
                <w:rFonts w:eastAsiaTheme="minorHAnsi"/>
                <w:sz w:val="23"/>
                <w:szCs w:val="23"/>
                <w:shd w:val="clear" w:color="auto" w:fill="FFFFFF"/>
                <w:lang w:eastAsia="en-US"/>
              </w:rPr>
              <w:t>Pamatojums</w:t>
            </w:r>
          </w:p>
          <w:p w14:paraId="2CA3292A" w14:textId="77777777" w:rsidR="00CC1A56" w:rsidRPr="00074E9C" w:rsidRDefault="00CC1A56" w:rsidP="005E1FE1">
            <w:pPr>
              <w:spacing w:after="0" w:line="240" w:lineRule="auto"/>
              <w:ind w:firstLine="720"/>
              <w:rPr>
                <w:rFonts w:ascii="Times New Roman" w:hAnsi="Times New Roman" w:cs="Times New Roman"/>
                <w:sz w:val="23"/>
                <w:szCs w:val="23"/>
                <w:shd w:val="clear" w:color="auto" w:fill="FFFFFF"/>
              </w:rPr>
            </w:pPr>
          </w:p>
        </w:tc>
        <w:tc>
          <w:tcPr>
            <w:tcW w:w="3752" w:type="pct"/>
          </w:tcPr>
          <w:p w14:paraId="6344E6AB" w14:textId="4C45FA30" w:rsidR="00701723" w:rsidRPr="001833ED" w:rsidRDefault="00467554" w:rsidP="00C77C47">
            <w:pPr>
              <w:spacing w:after="0" w:line="240" w:lineRule="auto"/>
              <w:ind w:left="57" w:right="113"/>
              <w:jc w:val="both"/>
              <w:rPr>
                <w:rFonts w:ascii="Times New Roman" w:hAnsi="Times New Roman" w:cs="Times New Roman"/>
                <w:sz w:val="23"/>
                <w:szCs w:val="23"/>
                <w:shd w:val="clear" w:color="auto" w:fill="FFFFFF"/>
              </w:rPr>
            </w:pPr>
            <w:r w:rsidRPr="001833ED">
              <w:rPr>
                <w:rFonts w:ascii="Times New Roman" w:hAnsi="Times New Roman" w:cs="Times New Roman"/>
                <w:sz w:val="23"/>
                <w:szCs w:val="23"/>
                <w:shd w:val="clear" w:color="auto" w:fill="FFFFFF"/>
              </w:rPr>
              <w:t>Ministru kabineta</w:t>
            </w:r>
            <w:r w:rsidR="0089655E" w:rsidRPr="001833ED">
              <w:rPr>
                <w:rFonts w:ascii="Times New Roman" w:hAnsi="Times New Roman" w:cs="Times New Roman"/>
                <w:sz w:val="23"/>
                <w:szCs w:val="23"/>
                <w:shd w:val="clear" w:color="auto" w:fill="FFFFFF"/>
              </w:rPr>
              <w:t xml:space="preserve"> (turpmāk - MK)</w:t>
            </w:r>
            <w:r w:rsidRPr="001833ED">
              <w:rPr>
                <w:rFonts w:ascii="Times New Roman" w:hAnsi="Times New Roman" w:cs="Times New Roman"/>
                <w:sz w:val="23"/>
                <w:szCs w:val="23"/>
                <w:shd w:val="clear" w:color="auto" w:fill="FFFFFF"/>
              </w:rPr>
              <w:t xml:space="preserve"> noteikumu projekts </w:t>
            </w:r>
            <w:r w:rsidR="00047AA5" w:rsidRPr="001833ED">
              <w:rPr>
                <w:rFonts w:ascii="Times New Roman" w:hAnsi="Times New Roman" w:cs="Times New Roman"/>
                <w:sz w:val="23"/>
                <w:szCs w:val="23"/>
                <w:shd w:val="clear" w:color="auto" w:fill="FFFFFF"/>
              </w:rPr>
              <w:t>“</w:t>
            </w:r>
            <w:r w:rsidR="00C77C47" w:rsidRPr="001833ED">
              <w:rPr>
                <w:rFonts w:ascii="Times New Roman" w:hAnsi="Times New Roman" w:cs="Times New Roman"/>
                <w:bCs/>
                <w:sz w:val="23"/>
                <w:szCs w:val="23"/>
                <w:shd w:val="clear" w:color="auto" w:fill="FFFFFF"/>
              </w:rPr>
              <w:t>Grozījumi “Ministru kabineta 2015.gada 28.aprīļa noteikumos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r w:rsidR="00701723" w:rsidRPr="001833ED">
              <w:rPr>
                <w:rFonts w:ascii="Times New Roman" w:hAnsi="Times New Roman" w:cs="Times New Roman"/>
                <w:bCs/>
                <w:sz w:val="23"/>
                <w:szCs w:val="23"/>
                <w:shd w:val="clear" w:color="auto" w:fill="FFFFFF"/>
              </w:rPr>
              <w:t xml:space="preserve">” </w:t>
            </w:r>
            <w:r w:rsidR="0089655E" w:rsidRPr="001833ED">
              <w:rPr>
                <w:rFonts w:ascii="Times New Roman" w:hAnsi="Times New Roman" w:cs="Times New Roman"/>
                <w:sz w:val="23"/>
                <w:szCs w:val="23"/>
                <w:shd w:val="clear" w:color="auto" w:fill="FFFFFF"/>
              </w:rPr>
              <w:t>(turpmāk – MK noteikumu projekts)</w:t>
            </w:r>
            <w:r w:rsidR="00204981" w:rsidRPr="001833ED">
              <w:rPr>
                <w:rFonts w:ascii="Times New Roman" w:hAnsi="Times New Roman" w:cs="Times New Roman"/>
                <w:sz w:val="23"/>
                <w:szCs w:val="23"/>
                <w:shd w:val="clear" w:color="auto" w:fill="FFFFFF"/>
              </w:rPr>
              <w:t xml:space="preserve"> </w:t>
            </w:r>
            <w:r w:rsidR="00174E03" w:rsidRPr="001833ED">
              <w:rPr>
                <w:rFonts w:ascii="Times New Roman" w:hAnsi="Times New Roman" w:cs="Times New Roman"/>
                <w:sz w:val="23"/>
                <w:szCs w:val="23"/>
                <w:shd w:val="clear" w:color="auto" w:fill="FFFFFF"/>
              </w:rPr>
              <w:t>izstrādāts</w:t>
            </w:r>
            <w:r w:rsidR="005E1FE1" w:rsidRPr="001833ED">
              <w:rPr>
                <w:rFonts w:ascii="Times New Roman" w:hAnsi="Times New Roman" w:cs="Times New Roman"/>
                <w:sz w:val="23"/>
                <w:szCs w:val="23"/>
                <w:shd w:val="clear" w:color="auto" w:fill="FFFFFF"/>
              </w:rPr>
              <w:t xml:space="preserve"> </w:t>
            </w:r>
            <w:r w:rsidR="00174E03" w:rsidRPr="001833ED">
              <w:rPr>
                <w:rFonts w:ascii="Times New Roman" w:hAnsi="Times New Roman" w:cs="Times New Roman"/>
                <w:sz w:val="23"/>
                <w:szCs w:val="23"/>
                <w:shd w:val="clear" w:color="auto" w:fill="FFFFFF"/>
              </w:rPr>
              <w:t xml:space="preserve"> saskaņā </w:t>
            </w:r>
            <w:r w:rsidR="00701723" w:rsidRPr="001833ED">
              <w:rPr>
                <w:rFonts w:ascii="Times New Roman" w:hAnsi="Times New Roman" w:cs="Times New Roman"/>
                <w:sz w:val="23"/>
                <w:szCs w:val="23"/>
                <w:shd w:val="clear" w:color="auto" w:fill="FFFFFF"/>
              </w:rPr>
              <w:t>ar:</w:t>
            </w:r>
          </w:p>
          <w:p w14:paraId="138B93AD" w14:textId="5322F0FB" w:rsidR="00701723" w:rsidRPr="001833ED" w:rsidRDefault="00701723" w:rsidP="00C77C47">
            <w:pPr>
              <w:spacing w:after="0" w:line="240" w:lineRule="auto"/>
              <w:ind w:left="57" w:right="113"/>
              <w:jc w:val="both"/>
              <w:rPr>
                <w:rFonts w:ascii="Times New Roman" w:hAnsi="Times New Roman" w:cs="Times New Roman"/>
                <w:bCs/>
                <w:sz w:val="23"/>
                <w:szCs w:val="23"/>
                <w:shd w:val="clear" w:color="auto" w:fill="FFFFFF"/>
              </w:rPr>
            </w:pPr>
            <w:r w:rsidRPr="001833ED">
              <w:rPr>
                <w:rFonts w:ascii="Times New Roman" w:hAnsi="Times New Roman" w:cs="Times New Roman"/>
                <w:sz w:val="23"/>
                <w:szCs w:val="23"/>
                <w:shd w:val="clear" w:color="auto" w:fill="FFFFFF"/>
              </w:rPr>
              <w:t>-</w:t>
            </w:r>
            <w:r w:rsidR="00C77C47" w:rsidRPr="001833ED">
              <w:rPr>
                <w:rFonts w:ascii="Times New Roman" w:hAnsi="Times New Roman" w:cs="Times New Roman"/>
                <w:sz w:val="23"/>
                <w:szCs w:val="23"/>
                <w:shd w:val="clear" w:color="auto" w:fill="FFFFFF"/>
              </w:rPr>
              <w:t xml:space="preserve"> MK </w:t>
            </w:r>
            <w:proofErr w:type="gramStart"/>
            <w:r w:rsidR="00C77C47" w:rsidRPr="001833ED">
              <w:rPr>
                <w:rFonts w:ascii="Times New Roman" w:hAnsi="Times New Roman" w:cs="Times New Roman"/>
                <w:sz w:val="23"/>
                <w:szCs w:val="23"/>
                <w:shd w:val="clear" w:color="auto" w:fill="FFFFFF"/>
              </w:rPr>
              <w:t>2015.gada</w:t>
            </w:r>
            <w:proofErr w:type="gramEnd"/>
            <w:r w:rsidR="00C77C47" w:rsidRPr="001833ED">
              <w:rPr>
                <w:rFonts w:ascii="Times New Roman" w:hAnsi="Times New Roman" w:cs="Times New Roman"/>
                <w:sz w:val="23"/>
                <w:szCs w:val="23"/>
                <w:shd w:val="clear" w:color="auto" w:fill="FFFFFF"/>
              </w:rPr>
              <w:t xml:space="preserve"> 26.maija noteikumiem </w:t>
            </w:r>
            <w:r w:rsidR="001E1768">
              <w:rPr>
                <w:rFonts w:ascii="Times New Roman" w:hAnsi="Times New Roman" w:cs="Times New Roman"/>
                <w:sz w:val="23"/>
                <w:szCs w:val="23"/>
                <w:shd w:val="clear" w:color="auto" w:fill="FFFFFF"/>
              </w:rPr>
              <w:t xml:space="preserve">Nr.264 </w:t>
            </w:r>
            <w:r w:rsidR="00C77C47" w:rsidRPr="001833ED">
              <w:rPr>
                <w:rFonts w:ascii="Times New Roman" w:hAnsi="Times New Roman" w:cs="Times New Roman"/>
                <w:sz w:val="23"/>
                <w:szCs w:val="23"/>
                <w:shd w:val="clear" w:color="auto" w:fill="FFFFFF"/>
              </w:rPr>
              <w:t xml:space="preserve">“Grozījumi Ministru kabineta 2011.gada 25.janvāra noteikumos Nr.75 “Noteikumi par aktīvo nodarbinātības </w:t>
            </w:r>
            <w:r w:rsidR="00C77C47" w:rsidRPr="001833ED">
              <w:rPr>
                <w:rFonts w:ascii="Times New Roman" w:hAnsi="Times New Roman" w:cs="Times New Roman"/>
                <w:bCs/>
                <w:sz w:val="23"/>
                <w:szCs w:val="23"/>
                <w:shd w:val="clear" w:color="auto" w:fill="FFFFFF"/>
              </w:rPr>
              <w:t>pasākumu un preventīvo bezdarba samazināšanas pasākumu organizēšanas un finansēšanas kārtību un pasākumu īstenotāju izvēles principiem””</w:t>
            </w:r>
            <w:r w:rsidRPr="001833ED">
              <w:rPr>
                <w:rFonts w:ascii="Times New Roman" w:hAnsi="Times New Roman" w:cs="Times New Roman"/>
                <w:bCs/>
                <w:sz w:val="23"/>
                <w:szCs w:val="23"/>
                <w:shd w:val="clear" w:color="auto" w:fill="FFFFFF"/>
              </w:rPr>
              <w:t>;</w:t>
            </w:r>
          </w:p>
          <w:p w14:paraId="6CC738B6" w14:textId="77777777" w:rsidR="00174E03" w:rsidRPr="001833ED" w:rsidRDefault="00701723" w:rsidP="00701723">
            <w:pPr>
              <w:spacing w:after="0" w:line="240" w:lineRule="auto"/>
              <w:ind w:left="57" w:right="113"/>
              <w:jc w:val="both"/>
              <w:rPr>
                <w:rFonts w:ascii="Times New Roman" w:hAnsi="Times New Roman" w:cs="Times New Roman"/>
                <w:bCs/>
                <w:sz w:val="23"/>
                <w:szCs w:val="23"/>
                <w:shd w:val="clear" w:color="auto" w:fill="FFFFFF"/>
              </w:rPr>
            </w:pPr>
            <w:r w:rsidRPr="001833ED">
              <w:rPr>
                <w:rFonts w:ascii="Times New Roman" w:hAnsi="Times New Roman" w:cs="Times New Roman"/>
                <w:bCs/>
                <w:sz w:val="23"/>
                <w:szCs w:val="23"/>
                <w:shd w:val="clear" w:color="auto" w:fill="FFFFFF"/>
              </w:rPr>
              <w:t>- Eiropas Komisijas Eiropas Sociālā fonda tematisko dokumentu “Norādījumi par Jaunatnes nodarbinātības iniciatīvas īstenošanu”</w:t>
            </w:r>
            <w:r w:rsidR="0015288B" w:rsidRPr="001833ED">
              <w:rPr>
                <w:rFonts w:ascii="Times New Roman" w:hAnsi="Times New Roman" w:cs="Times New Roman"/>
                <w:bCs/>
                <w:sz w:val="23"/>
                <w:szCs w:val="23"/>
                <w:shd w:val="clear" w:color="auto" w:fill="FFFFFF"/>
              </w:rPr>
              <w:t>;</w:t>
            </w:r>
          </w:p>
          <w:p w14:paraId="382235EB" w14:textId="0DCEDEBE" w:rsidR="0015288B" w:rsidRPr="001833ED" w:rsidRDefault="0015288B" w:rsidP="001E1768">
            <w:pPr>
              <w:spacing w:after="0" w:line="240" w:lineRule="auto"/>
              <w:ind w:left="57" w:right="113"/>
              <w:jc w:val="both"/>
              <w:rPr>
                <w:rFonts w:ascii="Times New Roman" w:hAnsi="Times New Roman" w:cs="Times New Roman"/>
                <w:sz w:val="23"/>
                <w:szCs w:val="23"/>
                <w:shd w:val="clear" w:color="auto" w:fill="FFFFFF"/>
              </w:rPr>
            </w:pPr>
            <w:r w:rsidRPr="001833ED">
              <w:rPr>
                <w:rFonts w:ascii="Times New Roman" w:hAnsi="Times New Roman" w:cs="Times New Roman"/>
                <w:sz w:val="23"/>
                <w:szCs w:val="23"/>
                <w:shd w:val="clear" w:color="auto" w:fill="FFFFFF"/>
              </w:rPr>
              <w:t xml:space="preserve">- Labklājības ministrijas virzīto MK informatīvo ziņojumu “Par Jauniešu garantijas īstenošanas progresu </w:t>
            </w:r>
            <w:proofErr w:type="gramStart"/>
            <w:r w:rsidRPr="001833ED">
              <w:rPr>
                <w:rFonts w:ascii="Times New Roman" w:hAnsi="Times New Roman" w:cs="Times New Roman"/>
                <w:sz w:val="23"/>
                <w:szCs w:val="23"/>
                <w:shd w:val="clear" w:color="auto" w:fill="FFFFFF"/>
              </w:rPr>
              <w:t>2014.gadā</w:t>
            </w:r>
            <w:proofErr w:type="gramEnd"/>
            <w:r w:rsidRPr="001833ED">
              <w:rPr>
                <w:rFonts w:ascii="Times New Roman" w:hAnsi="Times New Roman" w:cs="Times New Roman"/>
                <w:sz w:val="23"/>
                <w:szCs w:val="23"/>
                <w:shd w:val="clear" w:color="auto" w:fill="FFFFFF"/>
              </w:rPr>
              <w:t>” (</w:t>
            </w:r>
            <w:r w:rsidR="001E1768" w:rsidRPr="001E1768">
              <w:rPr>
                <w:rFonts w:ascii="Times New Roman" w:hAnsi="Times New Roman" w:cs="Times New Roman"/>
                <w:sz w:val="23"/>
                <w:szCs w:val="23"/>
                <w:shd w:val="clear" w:color="auto" w:fill="FFFFFF"/>
              </w:rPr>
              <w:t>2015.gada 29.septembrī iesniegts Valsts kancelejā tālākai virzībai izskatīšanai kādā no tuvākajām MK sēdēm</w:t>
            </w:r>
            <w:r w:rsidRPr="001833ED">
              <w:rPr>
                <w:rFonts w:ascii="Times New Roman" w:hAnsi="Times New Roman" w:cs="Times New Roman"/>
                <w:sz w:val="23"/>
                <w:szCs w:val="23"/>
                <w:shd w:val="clear" w:color="auto" w:fill="FFFFFF"/>
              </w:rPr>
              <w:t>).</w:t>
            </w:r>
          </w:p>
        </w:tc>
      </w:tr>
      <w:tr w:rsidR="00CC1A56" w:rsidRPr="00074E9C" w14:paraId="02E973A7" w14:textId="77777777" w:rsidTr="00BF61A3">
        <w:trPr>
          <w:trHeight w:val="472"/>
        </w:trPr>
        <w:tc>
          <w:tcPr>
            <w:tcW w:w="224" w:type="pct"/>
          </w:tcPr>
          <w:p w14:paraId="7E4CC4EE" w14:textId="339D32AE" w:rsidR="00CC1A56" w:rsidRPr="00074E9C" w:rsidRDefault="00CC1A56" w:rsidP="005E1FE1">
            <w:pPr>
              <w:pStyle w:val="naiskr"/>
              <w:spacing w:before="0" w:beforeAutospacing="0" w:after="0" w:afterAutospacing="0"/>
              <w:ind w:left="57" w:right="57"/>
              <w:jc w:val="center"/>
              <w:rPr>
                <w:sz w:val="23"/>
                <w:szCs w:val="23"/>
              </w:rPr>
            </w:pPr>
            <w:r w:rsidRPr="00074E9C">
              <w:rPr>
                <w:sz w:val="23"/>
                <w:szCs w:val="23"/>
              </w:rPr>
              <w:t>2.</w:t>
            </w:r>
          </w:p>
        </w:tc>
        <w:tc>
          <w:tcPr>
            <w:tcW w:w="1024" w:type="pct"/>
          </w:tcPr>
          <w:p w14:paraId="622BE122" w14:textId="3C77003C" w:rsidR="00A01B7A" w:rsidRPr="00074E9C" w:rsidRDefault="00CC1A56" w:rsidP="005E1FE1">
            <w:pPr>
              <w:pStyle w:val="naiskr"/>
              <w:tabs>
                <w:tab w:val="left" w:pos="170"/>
              </w:tabs>
              <w:spacing w:before="0" w:beforeAutospacing="0" w:after="0" w:afterAutospacing="0"/>
              <w:ind w:left="57" w:right="57"/>
              <w:rPr>
                <w:sz w:val="23"/>
                <w:szCs w:val="23"/>
              </w:rPr>
            </w:pPr>
            <w:r w:rsidRPr="00074E9C">
              <w:rPr>
                <w:sz w:val="23"/>
                <w:szCs w:val="23"/>
              </w:rPr>
              <w:t>Pašreizējā situācija un problēmas, kuru risināšanai tiesību akta projekts izstrādāts, tiesiskā regulējuma mērķis un būtība</w:t>
            </w:r>
          </w:p>
          <w:p w14:paraId="3C50E4D3" w14:textId="77777777" w:rsidR="00CC1A56" w:rsidRPr="00074E9C" w:rsidRDefault="00CC1A56" w:rsidP="005E1FE1">
            <w:pPr>
              <w:spacing w:after="0" w:line="240" w:lineRule="auto"/>
              <w:jc w:val="center"/>
              <w:rPr>
                <w:rFonts w:ascii="Times New Roman" w:hAnsi="Times New Roman" w:cs="Times New Roman"/>
                <w:sz w:val="23"/>
                <w:szCs w:val="23"/>
                <w:lang w:eastAsia="lv-LV"/>
              </w:rPr>
            </w:pPr>
          </w:p>
        </w:tc>
        <w:tc>
          <w:tcPr>
            <w:tcW w:w="3752" w:type="pct"/>
          </w:tcPr>
          <w:p w14:paraId="68DC4819" w14:textId="2B7E10CE" w:rsidR="003E021B" w:rsidRPr="002470CD" w:rsidRDefault="003E021B" w:rsidP="005E1FE1">
            <w:pPr>
              <w:spacing w:after="0" w:line="240" w:lineRule="auto"/>
              <w:ind w:left="57" w:right="113"/>
              <w:jc w:val="both"/>
              <w:rPr>
                <w:rFonts w:ascii="Times New Roman" w:hAnsi="Times New Roman" w:cs="Times New Roman"/>
                <w:sz w:val="23"/>
                <w:szCs w:val="23"/>
                <w:shd w:val="clear" w:color="auto" w:fill="FFFFFF"/>
              </w:rPr>
            </w:pPr>
            <w:r w:rsidRPr="002470CD">
              <w:rPr>
                <w:rFonts w:ascii="Times New Roman" w:hAnsi="Times New Roman" w:cs="Times New Roman"/>
                <w:sz w:val="23"/>
                <w:szCs w:val="23"/>
                <w:shd w:val="clear" w:color="auto" w:fill="FFFFFF"/>
              </w:rPr>
              <w:t xml:space="preserve">Lai nodrošinātu </w:t>
            </w:r>
            <w:r w:rsidR="006405CA" w:rsidRPr="002470CD">
              <w:rPr>
                <w:rFonts w:ascii="Times New Roman" w:hAnsi="Times New Roman" w:cs="Times New Roman"/>
                <w:sz w:val="23"/>
                <w:szCs w:val="23"/>
                <w:shd w:val="clear" w:color="auto" w:fill="FFFFFF"/>
              </w:rPr>
              <w:t xml:space="preserve">tiesību normu salāgošanu un </w:t>
            </w:r>
            <w:r w:rsidR="00680325" w:rsidRPr="002470CD">
              <w:rPr>
                <w:rFonts w:ascii="Times New Roman" w:hAnsi="Times New Roman" w:cs="Times New Roman"/>
                <w:sz w:val="23"/>
                <w:szCs w:val="23"/>
                <w:shd w:val="clear" w:color="auto" w:fill="FFFFFF"/>
              </w:rPr>
              <w:t>precizētu</w:t>
            </w:r>
            <w:r w:rsidR="008948DC" w:rsidRPr="002470CD">
              <w:rPr>
                <w:rFonts w:ascii="Times New Roman" w:hAnsi="Times New Roman" w:cs="Times New Roman"/>
                <w:sz w:val="23"/>
                <w:szCs w:val="23"/>
                <w:shd w:val="clear" w:color="auto" w:fill="FFFFFF"/>
              </w:rPr>
              <w:t>/papildinātu</w:t>
            </w:r>
            <w:r w:rsidR="00680325" w:rsidRPr="002470CD">
              <w:rPr>
                <w:rFonts w:ascii="Times New Roman" w:hAnsi="Times New Roman" w:cs="Times New Roman"/>
                <w:sz w:val="23"/>
                <w:szCs w:val="23"/>
                <w:shd w:val="clear" w:color="auto" w:fill="FFFFFF"/>
              </w:rPr>
              <w:t xml:space="preserve"> atsevišķus pasākumu īstenošanas nosacījumus</w:t>
            </w:r>
            <w:r w:rsidRPr="002470CD">
              <w:rPr>
                <w:rFonts w:ascii="Times New Roman" w:hAnsi="Times New Roman" w:cs="Times New Roman"/>
                <w:sz w:val="23"/>
                <w:szCs w:val="23"/>
                <w:shd w:val="clear" w:color="auto" w:fill="FFFFFF"/>
              </w:rPr>
              <w:t>, ir nepieciešams veikt atbilstošus grozījumus</w:t>
            </w:r>
            <w:r w:rsidR="00680325" w:rsidRPr="002470CD">
              <w:rPr>
                <w:rFonts w:ascii="Times New Roman" w:hAnsi="Times New Roman" w:cs="Times New Roman"/>
                <w:sz w:val="23"/>
                <w:szCs w:val="23"/>
                <w:shd w:val="clear" w:color="auto" w:fill="FFFFFF"/>
              </w:rPr>
              <w:t xml:space="preserve"> </w:t>
            </w:r>
            <w:r w:rsidRPr="002470CD">
              <w:rPr>
                <w:rFonts w:ascii="Times New Roman" w:hAnsi="Times New Roman" w:cs="Times New Roman"/>
                <w:bCs/>
                <w:sz w:val="23"/>
                <w:szCs w:val="23"/>
                <w:shd w:val="clear" w:color="auto" w:fill="FFFFFF"/>
              </w:rPr>
              <w:t>MK 2015.gada 28.aprīļa noteikumos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(turpmāk – MK noteikumi Nr.207)</w:t>
            </w:r>
            <w:r w:rsidR="00680325" w:rsidRPr="002470CD">
              <w:rPr>
                <w:rFonts w:ascii="Times New Roman" w:hAnsi="Times New Roman" w:cs="Times New Roman"/>
                <w:bCs/>
                <w:sz w:val="23"/>
                <w:szCs w:val="23"/>
                <w:shd w:val="clear" w:color="auto" w:fill="FFFFFF"/>
              </w:rPr>
              <w:t>, tai skaitā</w:t>
            </w:r>
            <w:r w:rsidRPr="002470CD">
              <w:rPr>
                <w:rFonts w:ascii="Times New Roman" w:hAnsi="Times New Roman" w:cs="Times New Roman"/>
                <w:bCs/>
                <w:sz w:val="23"/>
                <w:szCs w:val="23"/>
                <w:shd w:val="clear" w:color="auto" w:fill="FFFFFF"/>
              </w:rPr>
              <w:t>:</w:t>
            </w:r>
          </w:p>
          <w:p w14:paraId="6536796F" w14:textId="17A94A76" w:rsidR="00C77C47" w:rsidRPr="002470CD" w:rsidRDefault="00C77C47" w:rsidP="009670F9">
            <w:pPr>
              <w:spacing w:after="0" w:line="240" w:lineRule="auto"/>
              <w:ind w:left="57" w:right="113"/>
              <w:jc w:val="both"/>
              <w:rPr>
                <w:rFonts w:ascii="Times New Roman" w:hAnsi="Times New Roman" w:cs="Times New Roman"/>
                <w:sz w:val="23"/>
                <w:szCs w:val="23"/>
                <w:shd w:val="clear" w:color="auto" w:fill="FFFFFF"/>
              </w:rPr>
            </w:pPr>
            <w:r w:rsidRPr="002470CD">
              <w:rPr>
                <w:rFonts w:ascii="Times New Roman" w:hAnsi="Times New Roman" w:cs="Times New Roman"/>
                <w:sz w:val="23"/>
                <w:szCs w:val="23"/>
                <w:shd w:val="clear" w:color="auto" w:fill="FFFFFF"/>
              </w:rPr>
              <w:t xml:space="preserve">1. </w:t>
            </w:r>
            <w:r w:rsidR="00680325" w:rsidRPr="002470CD">
              <w:rPr>
                <w:rFonts w:ascii="Times New Roman" w:hAnsi="Times New Roman" w:cs="Times New Roman"/>
                <w:sz w:val="23"/>
                <w:szCs w:val="23"/>
                <w:shd w:val="clear" w:color="auto" w:fill="FFFFFF"/>
              </w:rPr>
              <w:t>s</w:t>
            </w:r>
            <w:r w:rsidRPr="002470CD">
              <w:rPr>
                <w:rFonts w:ascii="Times New Roman" w:hAnsi="Times New Roman" w:cs="Times New Roman"/>
                <w:sz w:val="23"/>
                <w:szCs w:val="23"/>
                <w:shd w:val="clear" w:color="auto" w:fill="FFFFFF"/>
              </w:rPr>
              <w:t xml:space="preserve">askaņā ar MK </w:t>
            </w:r>
            <w:proofErr w:type="gramStart"/>
            <w:r w:rsidRPr="002470CD">
              <w:rPr>
                <w:rFonts w:ascii="Times New Roman" w:hAnsi="Times New Roman" w:cs="Times New Roman"/>
                <w:sz w:val="23"/>
                <w:szCs w:val="23"/>
                <w:shd w:val="clear" w:color="auto" w:fill="FFFFFF"/>
              </w:rPr>
              <w:t>2015.gada</w:t>
            </w:r>
            <w:proofErr w:type="gramEnd"/>
            <w:r w:rsidRPr="002470CD">
              <w:rPr>
                <w:rFonts w:ascii="Times New Roman" w:hAnsi="Times New Roman" w:cs="Times New Roman"/>
                <w:sz w:val="23"/>
                <w:szCs w:val="23"/>
                <w:shd w:val="clear" w:color="auto" w:fill="FFFFFF"/>
              </w:rPr>
              <w:t xml:space="preserve"> 26.maija noteikumiem “Grozījumi Ministru kabineta 2011.gada 25.janvāra noteikumos Nr.75 “Noteikumi par aktīvo nodarbinātības pasākumu un preventīvo bezdarba samazināšanas pasākumu organizēšanas un finansēšanas kārtību un pasākumu īstenotāju izvēles principiem”” </w:t>
            </w:r>
            <w:r w:rsidR="00680325" w:rsidRPr="002470CD">
              <w:rPr>
                <w:rFonts w:ascii="Times New Roman" w:hAnsi="Times New Roman" w:cs="Times New Roman"/>
                <w:sz w:val="23"/>
                <w:szCs w:val="23"/>
                <w:shd w:val="clear" w:color="auto" w:fill="FFFFFF"/>
              </w:rPr>
              <w:t>ir nepieciešams precizēt</w:t>
            </w:r>
            <w:r w:rsidRPr="002470CD">
              <w:rPr>
                <w:rFonts w:ascii="Times New Roman" w:hAnsi="Times New Roman" w:cs="Times New Roman"/>
                <w:sz w:val="23"/>
                <w:szCs w:val="23"/>
                <w:shd w:val="clear" w:color="auto" w:fill="FFFFFF"/>
              </w:rPr>
              <w:t>, ka atbalstāmo darbību “</w:t>
            </w:r>
            <w:r w:rsidR="00701723" w:rsidRPr="002470CD">
              <w:rPr>
                <w:rFonts w:ascii="Times New Roman" w:hAnsi="Times New Roman" w:cs="Times New Roman"/>
                <w:sz w:val="23"/>
                <w:szCs w:val="23"/>
                <w:shd w:val="clear" w:color="auto" w:fill="FFFFFF"/>
              </w:rPr>
              <w:t>profesionālās tālākizglītības un profesionālās pilnveides izglītības programmu īstenošana</w:t>
            </w:r>
            <w:r w:rsidRPr="002470CD">
              <w:rPr>
                <w:rFonts w:ascii="Times New Roman" w:hAnsi="Times New Roman" w:cs="Times New Roman"/>
                <w:sz w:val="23"/>
                <w:szCs w:val="23"/>
                <w:shd w:val="clear" w:color="auto" w:fill="FFFFFF"/>
              </w:rPr>
              <w:t>” un “</w:t>
            </w:r>
            <w:r w:rsidR="00701723" w:rsidRPr="002470CD">
              <w:rPr>
                <w:rFonts w:ascii="Times New Roman" w:hAnsi="Times New Roman" w:cs="Times New Roman"/>
                <w:sz w:val="23"/>
                <w:szCs w:val="23"/>
                <w:shd w:val="clear" w:color="auto" w:fill="FFFFFF"/>
              </w:rPr>
              <w:t>neformālās izglītības programmu īstenošana</w:t>
            </w:r>
            <w:r w:rsidRPr="002470CD">
              <w:rPr>
                <w:rFonts w:ascii="Times New Roman" w:hAnsi="Times New Roman" w:cs="Times New Roman"/>
                <w:sz w:val="23"/>
                <w:szCs w:val="23"/>
                <w:shd w:val="clear" w:color="auto" w:fill="FFFFFF"/>
              </w:rPr>
              <w:t>” ietvaros finanšu atbalsts izglītības iestādēm, lai pielāgotu mācību un prakses vietas</w:t>
            </w:r>
            <w:r w:rsidR="00774251" w:rsidRPr="002470CD">
              <w:rPr>
                <w:rFonts w:ascii="Times New Roman" w:hAnsi="Times New Roman" w:cs="Times New Roman"/>
                <w:sz w:val="23"/>
                <w:szCs w:val="23"/>
                <w:shd w:val="clear" w:color="auto" w:fill="FFFFFF"/>
              </w:rPr>
              <w:t>,</w:t>
            </w:r>
            <w:r w:rsidRPr="002470CD">
              <w:rPr>
                <w:rFonts w:ascii="Times New Roman" w:hAnsi="Times New Roman" w:cs="Times New Roman"/>
                <w:sz w:val="23"/>
                <w:szCs w:val="23"/>
                <w:shd w:val="clear" w:color="auto" w:fill="FFFFFF"/>
              </w:rPr>
              <w:t xml:space="preserve"> bezdarbniekiem tiek sniegts saskaņā ar valsts atbalsta saņemšanu saistītiem nosacījumiem</w:t>
            </w:r>
            <w:r w:rsidR="00680325" w:rsidRPr="002470CD">
              <w:rPr>
                <w:rFonts w:ascii="Times New Roman" w:hAnsi="Times New Roman" w:cs="Times New Roman"/>
                <w:sz w:val="23"/>
                <w:szCs w:val="23"/>
                <w:shd w:val="clear" w:color="auto" w:fill="FFFFFF"/>
              </w:rPr>
              <w:t xml:space="preserve"> (MK noteikumu projekta </w:t>
            </w:r>
            <w:r w:rsidR="00D10859" w:rsidRPr="002470CD">
              <w:rPr>
                <w:rFonts w:ascii="Times New Roman" w:hAnsi="Times New Roman" w:cs="Times New Roman"/>
                <w:sz w:val="23"/>
                <w:szCs w:val="23"/>
                <w:shd w:val="clear" w:color="auto" w:fill="FFFFFF"/>
              </w:rPr>
              <w:t>4</w:t>
            </w:r>
            <w:r w:rsidR="00D10859">
              <w:rPr>
                <w:rFonts w:ascii="Times New Roman" w:hAnsi="Times New Roman" w:cs="Times New Roman"/>
                <w:sz w:val="23"/>
                <w:szCs w:val="23"/>
                <w:shd w:val="clear" w:color="auto" w:fill="FFFFFF"/>
              </w:rPr>
              <w:t>2</w:t>
            </w:r>
            <w:r w:rsidR="00680325" w:rsidRPr="002470CD">
              <w:rPr>
                <w:rFonts w:ascii="Times New Roman" w:hAnsi="Times New Roman" w:cs="Times New Roman"/>
                <w:sz w:val="23"/>
                <w:szCs w:val="23"/>
                <w:shd w:val="clear" w:color="auto" w:fill="FFFFFF"/>
              </w:rPr>
              <w:t>.</w:t>
            </w:r>
            <w:r w:rsidR="00E2147D" w:rsidRPr="002470CD">
              <w:rPr>
                <w:rFonts w:ascii="Times New Roman" w:hAnsi="Times New Roman" w:cs="Times New Roman"/>
                <w:sz w:val="23"/>
                <w:szCs w:val="23"/>
                <w:shd w:val="clear" w:color="auto" w:fill="FFFFFF"/>
              </w:rPr>
              <w:t>punkt</w:t>
            </w:r>
            <w:r w:rsidR="00680325" w:rsidRPr="002470CD">
              <w:rPr>
                <w:rFonts w:ascii="Times New Roman" w:hAnsi="Times New Roman" w:cs="Times New Roman"/>
                <w:sz w:val="23"/>
                <w:szCs w:val="23"/>
                <w:shd w:val="clear" w:color="auto" w:fill="FFFFFF"/>
              </w:rPr>
              <w:t>s)</w:t>
            </w:r>
            <w:r w:rsidR="00906FB1" w:rsidRPr="002470CD">
              <w:rPr>
                <w:rFonts w:ascii="Times New Roman" w:hAnsi="Times New Roman" w:cs="Times New Roman"/>
                <w:sz w:val="23"/>
                <w:szCs w:val="23"/>
                <w:shd w:val="clear" w:color="auto" w:fill="FFFFFF"/>
              </w:rPr>
              <w:t xml:space="preserve">, kā arī nepieciešams precizēt ikmēneša stipendijas apmēru jauniešiem, kas ņem dalību atbalstāmajā darbībā </w:t>
            </w:r>
            <w:r w:rsidR="00906FB1" w:rsidRPr="002470CD">
              <w:rPr>
                <w:rFonts w:ascii="Times New Roman" w:hAnsi="Times New Roman" w:cs="Times New Roman"/>
                <w:sz w:val="23"/>
                <w:szCs w:val="23"/>
                <w:shd w:val="clear" w:color="auto" w:fill="FFFFFF"/>
              </w:rPr>
              <w:lastRenderedPageBreak/>
              <w:t xml:space="preserve">“darbnīcas jauniešiem” (MK noteikumu projekta </w:t>
            </w:r>
            <w:r w:rsidR="00D10859">
              <w:rPr>
                <w:rFonts w:ascii="Times New Roman" w:hAnsi="Times New Roman" w:cs="Times New Roman"/>
                <w:sz w:val="23"/>
                <w:szCs w:val="23"/>
                <w:shd w:val="clear" w:color="auto" w:fill="FFFFFF"/>
              </w:rPr>
              <w:t>23</w:t>
            </w:r>
            <w:r w:rsidR="00E2147D" w:rsidRPr="002470CD">
              <w:rPr>
                <w:rFonts w:ascii="Times New Roman" w:hAnsi="Times New Roman" w:cs="Times New Roman"/>
                <w:sz w:val="23"/>
                <w:szCs w:val="23"/>
                <w:shd w:val="clear" w:color="auto" w:fill="FFFFFF"/>
              </w:rPr>
              <w:t>.</w:t>
            </w:r>
            <w:r w:rsidR="00906FB1" w:rsidRPr="002470CD">
              <w:rPr>
                <w:rFonts w:ascii="Times New Roman" w:hAnsi="Times New Roman" w:cs="Times New Roman"/>
                <w:sz w:val="23"/>
                <w:szCs w:val="23"/>
                <w:shd w:val="clear" w:color="auto" w:fill="FFFFFF"/>
              </w:rPr>
              <w:t>punkts)</w:t>
            </w:r>
            <w:r w:rsidR="009670F9" w:rsidRPr="002470CD">
              <w:rPr>
                <w:rFonts w:ascii="Times New Roman" w:hAnsi="Times New Roman" w:cs="Times New Roman"/>
                <w:sz w:val="23"/>
                <w:szCs w:val="23"/>
                <w:shd w:val="clear" w:color="auto" w:fill="FFFFFF"/>
              </w:rPr>
              <w:t xml:space="preserve"> (stipendijas apmēra izmaiņas veiktas, lai atvieglotu finanšu līdzekļu administrēšanu un mazinātu administratīvo slogu. Vienlaikus izmaiņas nerada būtisku ietekmi uz pasākumam pieejamo finansējumu, iesaistāmo skaitu un pasākumu rezultatīvajiem rādītājiem)</w:t>
            </w:r>
            <w:r w:rsidR="003E021B" w:rsidRPr="002470CD">
              <w:rPr>
                <w:rFonts w:ascii="Times New Roman" w:hAnsi="Times New Roman" w:cs="Times New Roman"/>
                <w:sz w:val="23"/>
                <w:szCs w:val="23"/>
                <w:shd w:val="clear" w:color="auto" w:fill="FFFFFF"/>
              </w:rPr>
              <w:t>;</w:t>
            </w:r>
          </w:p>
          <w:p w14:paraId="465DC35D" w14:textId="3F1F46D9" w:rsidR="00906FB1" w:rsidRPr="002470CD" w:rsidRDefault="00906FB1" w:rsidP="005E1FE1">
            <w:pPr>
              <w:spacing w:after="0" w:line="240" w:lineRule="auto"/>
              <w:ind w:left="57" w:right="113"/>
              <w:jc w:val="both"/>
              <w:rPr>
                <w:rFonts w:ascii="Times New Roman" w:hAnsi="Times New Roman" w:cs="Times New Roman"/>
                <w:sz w:val="23"/>
                <w:szCs w:val="23"/>
                <w:shd w:val="clear" w:color="auto" w:fill="FFFFFF"/>
              </w:rPr>
            </w:pPr>
            <w:r w:rsidRPr="002470CD">
              <w:rPr>
                <w:rFonts w:ascii="Times New Roman" w:hAnsi="Times New Roman" w:cs="Times New Roman"/>
                <w:sz w:val="23"/>
                <w:szCs w:val="23"/>
                <w:shd w:val="clear" w:color="auto" w:fill="FFFFFF"/>
              </w:rPr>
              <w:t xml:space="preserve">2. </w:t>
            </w:r>
            <w:r w:rsidR="00074E9C" w:rsidRPr="002470CD">
              <w:rPr>
                <w:rFonts w:ascii="Times New Roman" w:hAnsi="Times New Roman" w:cs="Times New Roman"/>
                <w:sz w:val="23"/>
                <w:szCs w:val="23"/>
                <w:shd w:val="clear" w:color="auto" w:fill="FFFFFF"/>
              </w:rPr>
              <w:t xml:space="preserve">ņemot vērā, ka šobrīd nav definēti nosacījumi ieslodzījuma vietās esošu jauniešu atkārtotai iesaistei pasākumos, </w:t>
            </w:r>
            <w:r w:rsidRPr="002470CD">
              <w:rPr>
                <w:rFonts w:ascii="Times New Roman" w:hAnsi="Times New Roman" w:cs="Times New Roman"/>
                <w:sz w:val="23"/>
                <w:szCs w:val="23"/>
                <w:shd w:val="clear" w:color="auto" w:fill="FFFFFF"/>
              </w:rPr>
              <w:t xml:space="preserve">lai nodrošinātu efektīva atbalsta sniegšanu ieslodzījuma vietās esošiem jauniešiem, </w:t>
            </w:r>
            <w:proofErr w:type="gramStart"/>
            <w:r w:rsidRPr="002470CD">
              <w:rPr>
                <w:rFonts w:ascii="Times New Roman" w:hAnsi="Times New Roman" w:cs="Times New Roman"/>
                <w:sz w:val="23"/>
                <w:szCs w:val="23"/>
                <w:shd w:val="clear" w:color="auto" w:fill="FFFFFF"/>
              </w:rPr>
              <w:t>nepieciešams papildināt ar informāciju par nosacījumiem atkārtotai dalībai atbalsta pasākumos</w:t>
            </w:r>
            <w:proofErr w:type="gramEnd"/>
            <w:r w:rsidR="0034151D" w:rsidRPr="002470CD">
              <w:rPr>
                <w:rFonts w:ascii="Times New Roman" w:hAnsi="Times New Roman" w:cs="Times New Roman"/>
                <w:sz w:val="23"/>
                <w:szCs w:val="23"/>
                <w:shd w:val="clear" w:color="auto" w:fill="FFFFFF"/>
              </w:rPr>
              <w:t xml:space="preserve"> </w:t>
            </w:r>
            <w:r w:rsidRPr="002470CD">
              <w:rPr>
                <w:rFonts w:ascii="Times New Roman" w:hAnsi="Times New Roman" w:cs="Times New Roman"/>
                <w:sz w:val="23"/>
                <w:szCs w:val="23"/>
                <w:shd w:val="clear" w:color="auto" w:fill="FFFFFF"/>
              </w:rPr>
              <w:t xml:space="preserve">(MK noteikumu projekta </w:t>
            </w:r>
            <w:r w:rsidR="00E2147D" w:rsidRPr="002470CD">
              <w:rPr>
                <w:rFonts w:ascii="Times New Roman" w:hAnsi="Times New Roman" w:cs="Times New Roman"/>
                <w:sz w:val="23"/>
                <w:szCs w:val="23"/>
                <w:shd w:val="clear" w:color="auto" w:fill="FFFFFF"/>
              </w:rPr>
              <w:t>5</w:t>
            </w:r>
            <w:r w:rsidRPr="002470CD">
              <w:rPr>
                <w:rFonts w:ascii="Times New Roman" w:hAnsi="Times New Roman" w:cs="Times New Roman"/>
                <w:sz w:val="23"/>
                <w:szCs w:val="23"/>
                <w:shd w:val="clear" w:color="auto" w:fill="FFFFFF"/>
              </w:rPr>
              <w:t>.punkts)</w:t>
            </w:r>
            <w:r w:rsidR="00074E9C" w:rsidRPr="002470CD">
              <w:rPr>
                <w:rFonts w:ascii="Times New Roman" w:hAnsi="Times New Roman" w:cs="Times New Roman"/>
                <w:sz w:val="23"/>
                <w:szCs w:val="23"/>
                <w:shd w:val="clear" w:color="auto" w:fill="FFFFFF"/>
              </w:rPr>
              <w:t>. Kaut arī ieslodzījuma vietās esoši jaunieši nesaņem stipendijas, tomēr iesaistes kārtībai pasākumos būtu jābūt līdzīgai ar jauniešu uzņemšanu profesionālās izglītības iestādēs (t.i., atkārtotu iesaisti apmācību programmā paredzot tikai pēc laika, ja jaunietis nav atradis darbu un savu vietu darba tirgū vai izglītības sistēmā), tādējādi arī nodrošinot finansējuma lietderīgu izmantošanu un Jauniešu garantijas pamatmērķi</w:t>
            </w:r>
            <w:r w:rsidR="00215CC5" w:rsidRPr="002470CD">
              <w:rPr>
                <w:rFonts w:ascii="Times New Roman" w:hAnsi="Times New Roman" w:cs="Times New Roman"/>
                <w:sz w:val="23"/>
                <w:szCs w:val="23"/>
                <w:shd w:val="clear" w:color="auto" w:fill="FFFFFF"/>
              </w:rPr>
              <w:t>. Ņemot vērā, ka projekta atbalstāmo darbību ietvaros ieslodzījuma vietās pamatā ir plānots īstenot profesionālās pilnveides izglītības programmas ar programmu ilgumu 160 stundas un lai ar minēto atbalstu sasniegtu pēc iespējas labākus rezultātus, t.i., veicinātu jauniešu iespējas iesaistīties darba tirgū, ar MK noteikumu projektu tiek rosināts noteikt, ka atkārtoti jaunieti</w:t>
            </w:r>
            <w:r w:rsidR="0015288B" w:rsidRPr="002470CD">
              <w:rPr>
                <w:rFonts w:ascii="Times New Roman" w:hAnsi="Times New Roman" w:cs="Times New Roman"/>
                <w:sz w:val="23"/>
                <w:szCs w:val="23"/>
                <w:shd w:val="clear" w:color="auto" w:fill="FFFFFF"/>
              </w:rPr>
              <w:t xml:space="preserve"> profesionālās </w:t>
            </w:r>
            <w:r w:rsidR="00215CC5" w:rsidRPr="002470CD">
              <w:rPr>
                <w:rFonts w:ascii="Times New Roman" w:hAnsi="Times New Roman" w:cs="Times New Roman"/>
                <w:sz w:val="23"/>
                <w:szCs w:val="23"/>
                <w:shd w:val="clear" w:color="auto" w:fill="FFFFFF"/>
              </w:rPr>
              <w:t>izglītības programmās var ieskaitīt pēc sešiem mēnešiem, ar izņēmumu, kad jaunietis ir ticis līdzšinēji iesaistīts izglītības programmā, kas uzlabo viņa vispārējās p</w:t>
            </w:r>
            <w:r w:rsidR="001833ED" w:rsidRPr="002470CD">
              <w:rPr>
                <w:rFonts w:ascii="Times New Roman" w:hAnsi="Times New Roman" w:cs="Times New Roman"/>
                <w:sz w:val="23"/>
                <w:szCs w:val="23"/>
                <w:shd w:val="clear" w:color="auto" w:fill="FFFFFF"/>
              </w:rPr>
              <w:t>amatp</w:t>
            </w:r>
            <w:r w:rsidR="00215CC5" w:rsidRPr="002470CD">
              <w:rPr>
                <w:rFonts w:ascii="Times New Roman" w:hAnsi="Times New Roman" w:cs="Times New Roman"/>
                <w:sz w:val="23"/>
                <w:szCs w:val="23"/>
                <w:shd w:val="clear" w:color="auto" w:fill="FFFFFF"/>
              </w:rPr>
              <w:t>rasmes (t.i., ir papildinošs atbalsts apgūstamajai izglītības programmai, piemēram, valsts valoda</w:t>
            </w:r>
            <w:r w:rsidR="002C3010" w:rsidRPr="002470CD">
              <w:rPr>
                <w:rFonts w:ascii="Times New Roman" w:hAnsi="Times New Roman" w:cs="Times New Roman"/>
                <w:sz w:val="23"/>
                <w:szCs w:val="23"/>
                <w:shd w:val="clear" w:color="auto" w:fill="FFFFFF"/>
              </w:rPr>
              <w:t>s</w:t>
            </w:r>
            <w:r w:rsidR="00215CC5" w:rsidRPr="002470CD">
              <w:rPr>
                <w:rFonts w:ascii="Times New Roman" w:hAnsi="Times New Roman" w:cs="Times New Roman"/>
                <w:sz w:val="23"/>
                <w:szCs w:val="23"/>
                <w:shd w:val="clear" w:color="auto" w:fill="FFFFFF"/>
              </w:rPr>
              <w:t xml:space="preserve"> un datoru lieto</w:t>
            </w:r>
            <w:r w:rsidR="002C3010" w:rsidRPr="002470CD">
              <w:rPr>
                <w:rFonts w:ascii="Times New Roman" w:hAnsi="Times New Roman" w:cs="Times New Roman"/>
                <w:sz w:val="23"/>
                <w:szCs w:val="23"/>
                <w:shd w:val="clear" w:color="auto" w:fill="FFFFFF"/>
              </w:rPr>
              <w:t>šanas p</w:t>
            </w:r>
            <w:r w:rsidR="001833ED" w:rsidRPr="002470CD">
              <w:rPr>
                <w:rFonts w:ascii="Times New Roman" w:hAnsi="Times New Roman" w:cs="Times New Roman"/>
                <w:sz w:val="23"/>
                <w:szCs w:val="23"/>
                <w:shd w:val="clear" w:color="auto" w:fill="FFFFFF"/>
              </w:rPr>
              <w:t>amatp</w:t>
            </w:r>
            <w:r w:rsidR="002C3010" w:rsidRPr="002470CD">
              <w:rPr>
                <w:rFonts w:ascii="Times New Roman" w:hAnsi="Times New Roman" w:cs="Times New Roman"/>
                <w:sz w:val="23"/>
                <w:szCs w:val="23"/>
                <w:shd w:val="clear" w:color="auto" w:fill="FFFFFF"/>
              </w:rPr>
              <w:t>rasmju apguve</w:t>
            </w:r>
            <w:r w:rsidR="00215CC5" w:rsidRPr="002470CD">
              <w:rPr>
                <w:rFonts w:ascii="Times New Roman" w:hAnsi="Times New Roman" w:cs="Times New Roman"/>
                <w:sz w:val="23"/>
                <w:szCs w:val="23"/>
                <w:shd w:val="clear" w:color="auto" w:fill="FFFFFF"/>
              </w:rPr>
              <w:t>)</w:t>
            </w:r>
            <w:r w:rsidR="0015288B" w:rsidRPr="002470CD">
              <w:rPr>
                <w:rFonts w:ascii="Times New Roman" w:hAnsi="Times New Roman" w:cs="Times New Roman"/>
                <w:sz w:val="23"/>
                <w:szCs w:val="23"/>
                <w:shd w:val="clear" w:color="auto" w:fill="FFFFFF"/>
              </w:rPr>
              <w:t>. MK noteikumu projektā ietvertie grozījumi neietekmē plānoto atbalstu saņēmušo ieslodzījumu vietās esošo jauniešu skaitu – plānots, ka pasākuma “Sākotnējās profesionālās izglītības programmu īstenošana Jauniešu garantijas ietvaros” ietvaros tiks iesaistīti 500 ieslodzījumu vietās esoši jaunieši (unikālas personas)</w:t>
            </w:r>
            <w:r w:rsidRPr="002470CD">
              <w:rPr>
                <w:rFonts w:ascii="Times New Roman" w:hAnsi="Times New Roman" w:cs="Times New Roman"/>
                <w:sz w:val="23"/>
                <w:szCs w:val="23"/>
                <w:shd w:val="clear" w:color="auto" w:fill="FFFFFF"/>
              </w:rPr>
              <w:t xml:space="preserve">; </w:t>
            </w:r>
          </w:p>
          <w:p w14:paraId="1E7E21FC" w14:textId="037E8AEC" w:rsidR="00074E9C" w:rsidRPr="002470CD" w:rsidRDefault="00074E9C" w:rsidP="005E1FE1">
            <w:pPr>
              <w:spacing w:after="0" w:line="240" w:lineRule="auto"/>
              <w:ind w:left="57" w:right="113"/>
              <w:jc w:val="both"/>
              <w:rPr>
                <w:rFonts w:ascii="Times New Roman" w:hAnsi="Times New Roman" w:cs="Times New Roman"/>
                <w:sz w:val="23"/>
                <w:szCs w:val="23"/>
                <w:shd w:val="clear" w:color="auto" w:fill="FFFFFF"/>
              </w:rPr>
            </w:pPr>
            <w:r w:rsidRPr="002470CD">
              <w:rPr>
                <w:rFonts w:ascii="Times New Roman" w:hAnsi="Times New Roman" w:cs="Times New Roman"/>
                <w:sz w:val="23"/>
                <w:szCs w:val="23"/>
                <w:shd w:val="clear" w:color="auto" w:fill="FFFFFF"/>
              </w:rPr>
              <w:t>3. ņemot vērā, ka</w:t>
            </w:r>
            <w:r w:rsidR="00215CC5" w:rsidRPr="002470CD">
              <w:rPr>
                <w:rFonts w:ascii="Times New Roman" w:hAnsi="Times New Roman" w:cs="Times New Roman"/>
                <w:sz w:val="23"/>
                <w:szCs w:val="23"/>
                <w:shd w:val="clear" w:color="auto" w:fill="FFFFFF"/>
              </w:rPr>
              <w:t xml:space="preserve"> </w:t>
            </w:r>
            <w:r w:rsidRPr="002470CD">
              <w:rPr>
                <w:rFonts w:ascii="Times New Roman" w:hAnsi="Times New Roman" w:cs="Times New Roman"/>
                <w:sz w:val="23"/>
                <w:szCs w:val="23"/>
                <w:shd w:val="clear" w:color="auto" w:fill="FFFFFF"/>
              </w:rPr>
              <w:t>pirmā līmeņa profesionālā kvalifikācijas ieguve sniedz teorētisko un praktisko sagatavotību, kas dod iespēju veikt vienkāršus uzdevumus noteiktā praktiskās darbības sfērā</w:t>
            </w:r>
            <w:r w:rsidR="00215CC5" w:rsidRPr="002470CD">
              <w:rPr>
                <w:rFonts w:ascii="Times New Roman" w:hAnsi="Times New Roman" w:cs="Times New Roman"/>
                <w:sz w:val="23"/>
                <w:szCs w:val="23"/>
                <w:shd w:val="clear" w:color="auto" w:fill="FFFFFF"/>
              </w:rPr>
              <w:t xml:space="preserve"> (piemēram, palīgstrādnieks, konditora palīgs, tirdzniecības zāles darbinieks), kas bieži vien ir nepietiekoši, lai iekārtotos darba tirgū, ir nepieciešams izdarīt izņēmumu attiecībā uz atkārtotas iesaistes ierobežojumu 12 mēnešus jauniešiem, kas līdzšinēji ieguvuši pirmā līmeņa profesionālo kvalifikāciju, tādējādi dodot iespēju šiem jauniešiem pilnveidot zināšanas un iegūt profesionālo kvalifikāciju, kas atkal veicina to iespējas iekārtoties darbā</w:t>
            </w:r>
            <w:r w:rsidR="00E2147D" w:rsidRPr="002470CD">
              <w:rPr>
                <w:rFonts w:ascii="Times New Roman" w:hAnsi="Times New Roman" w:cs="Times New Roman"/>
                <w:sz w:val="23"/>
                <w:szCs w:val="23"/>
                <w:shd w:val="clear" w:color="auto" w:fill="FFFFFF"/>
              </w:rPr>
              <w:t xml:space="preserve"> (MK noteikumu projekta 4.punkts)</w:t>
            </w:r>
            <w:r w:rsidR="00215CC5" w:rsidRPr="002470CD">
              <w:rPr>
                <w:rFonts w:ascii="Times New Roman" w:hAnsi="Times New Roman" w:cs="Times New Roman"/>
                <w:sz w:val="23"/>
                <w:szCs w:val="23"/>
                <w:shd w:val="clear" w:color="auto" w:fill="FFFFFF"/>
              </w:rPr>
              <w:t>;</w:t>
            </w:r>
          </w:p>
          <w:p w14:paraId="75DD8E4F" w14:textId="28A438AE" w:rsidR="00C77C47" w:rsidRPr="001E1768" w:rsidRDefault="00074E9C" w:rsidP="005E1FE1">
            <w:pPr>
              <w:spacing w:after="0" w:line="240" w:lineRule="auto"/>
              <w:ind w:left="57" w:right="113"/>
              <w:jc w:val="both"/>
              <w:rPr>
                <w:rFonts w:ascii="Times New Roman" w:hAnsi="Times New Roman" w:cs="Times New Roman"/>
                <w:sz w:val="23"/>
                <w:szCs w:val="23"/>
                <w:shd w:val="clear" w:color="auto" w:fill="FFFFFF"/>
              </w:rPr>
            </w:pPr>
            <w:r w:rsidRPr="002470CD">
              <w:rPr>
                <w:rFonts w:ascii="Times New Roman" w:hAnsi="Times New Roman" w:cs="Times New Roman"/>
                <w:sz w:val="23"/>
                <w:szCs w:val="23"/>
                <w:shd w:val="clear" w:color="auto" w:fill="FFFFFF"/>
              </w:rPr>
              <w:t>4</w:t>
            </w:r>
            <w:r w:rsidR="00C77C47" w:rsidRPr="002470CD">
              <w:rPr>
                <w:rFonts w:ascii="Times New Roman" w:hAnsi="Times New Roman" w:cs="Times New Roman"/>
                <w:sz w:val="23"/>
                <w:szCs w:val="23"/>
                <w:shd w:val="clear" w:color="auto" w:fill="FFFFFF"/>
              </w:rPr>
              <w:t>.</w:t>
            </w:r>
            <w:r w:rsidR="00701723" w:rsidRPr="002470CD">
              <w:rPr>
                <w:rFonts w:ascii="Times New Roman" w:hAnsi="Times New Roman" w:cs="Times New Roman"/>
                <w:sz w:val="23"/>
                <w:szCs w:val="23"/>
                <w:shd w:val="clear" w:color="auto" w:fill="FFFFFF"/>
              </w:rPr>
              <w:t xml:space="preserve"> </w:t>
            </w:r>
            <w:r w:rsidR="00680325" w:rsidRPr="002470CD">
              <w:rPr>
                <w:rFonts w:ascii="Times New Roman" w:hAnsi="Times New Roman" w:cs="Times New Roman"/>
                <w:sz w:val="23"/>
                <w:szCs w:val="23"/>
                <w:shd w:val="clear" w:color="auto" w:fill="FFFFFF"/>
              </w:rPr>
              <w:t>a</w:t>
            </w:r>
            <w:r w:rsidR="00701723" w:rsidRPr="002470CD">
              <w:rPr>
                <w:rFonts w:ascii="Times New Roman" w:hAnsi="Times New Roman" w:cs="Times New Roman"/>
                <w:sz w:val="23"/>
                <w:szCs w:val="23"/>
                <w:shd w:val="clear" w:color="auto" w:fill="FFFFFF"/>
              </w:rPr>
              <w:t>tbilstoši Eiropas Komisijas Eiropas Sociālā fonda tematiskajā dokumentā “Norādījumi par Jaunatnes nodarbinātības iniciatīvas īstenošanu”</w:t>
            </w:r>
            <w:r w:rsidR="00C77C47" w:rsidRPr="002470CD">
              <w:rPr>
                <w:rFonts w:ascii="Times New Roman" w:hAnsi="Times New Roman" w:cs="Times New Roman"/>
                <w:sz w:val="23"/>
                <w:szCs w:val="23"/>
                <w:shd w:val="clear" w:color="auto" w:fill="FFFFFF"/>
              </w:rPr>
              <w:t xml:space="preserve"> </w:t>
            </w:r>
            <w:r w:rsidR="00701723" w:rsidRPr="002470CD">
              <w:rPr>
                <w:rFonts w:ascii="Times New Roman" w:hAnsi="Times New Roman" w:cs="Times New Roman"/>
                <w:sz w:val="23"/>
                <w:szCs w:val="23"/>
                <w:shd w:val="clear" w:color="auto" w:fill="FFFFFF"/>
              </w:rPr>
              <w:t xml:space="preserve">noteiktajam </w:t>
            </w:r>
            <w:r w:rsidR="00680325" w:rsidRPr="002470CD">
              <w:rPr>
                <w:rFonts w:ascii="Times New Roman" w:hAnsi="Times New Roman" w:cs="Times New Roman"/>
                <w:sz w:val="23"/>
                <w:szCs w:val="23"/>
                <w:shd w:val="clear" w:color="auto" w:fill="FFFFFF"/>
              </w:rPr>
              <w:t>nepieciešams papildināt</w:t>
            </w:r>
            <w:r w:rsidR="00701723" w:rsidRPr="002470CD">
              <w:rPr>
                <w:rFonts w:ascii="Times New Roman" w:hAnsi="Times New Roman" w:cs="Times New Roman"/>
                <w:sz w:val="23"/>
                <w:szCs w:val="23"/>
                <w:shd w:val="clear" w:color="auto" w:fill="FFFFFF"/>
              </w:rPr>
              <w:t xml:space="preserve">, ka darbības </w:t>
            </w:r>
            <w:r w:rsidR="00701723" w:rsidRPr="002470CD">
              <w:rPr>
                <w:rFonts w:ascii="Times New Roman" w:hAnsi="Times New Roman" w:cs="Times New Roman"/>
                <w:bCs/>
                <w:sz w:val="23"/>
                <w:szCs w:val="23"/>
                <w:shd w:val="clear" w:color="auto" w:fill="FFFFFF"/>
              </w:rPr>
              <w:t xml:space="preserve">programmas “Izaugsme un nodarbinātība” 7.2.1.specifiskā atbalsta mērķa “Palielināt nodarbinātībā, izglītībā vai apmācībās neiesaistītu jauniešu nodarbinātību un izglītības ieguvi Jauniešu garantijas ietvaros” </w:t>
            </w:r>
            <w:r w:rsidR="00701723" w:rsidRPr="002470CD">
              <w:rPr>
                <w:rFonts w:ascii="Times New Roman" w:hAnsi="Times New Roman" w:cs="Times New Roman"/>
                <w:sz w:val="23"/>
                <w:szCs w:val="23"/>
                <w:shd w:val="clear" w:color="auto" w:fill="FFFFFF"/>
              </w:rPr>
              <w:t>pasākumos var iesaistīt arī jauniešus, k</w:t>
            </w:r>
            <w:r w:rsidR="00A4769A" w:rsidRPr="002470CD">
              <w:rPr>
                <w:rFonts w:ascii="Times New Roman" w:hAnsi="Times New Roman" w:cs="Times New Roman"/>
                <w:sz w:val="23"/>
                <w:szCs w:val="23"/>
                <w:shd w:val="clear" w:color="auto" w:fill="FFFFFF"/>
              </w:rPr>
              <w:t>uri</w:t>
            </w:r>
            <w:r w:rsidR="00701723" w:rsidRPr="002470CD">
              <w:rPr>
                <w:rFonts w:ascii="Times New Roman" w:hAnsi="Times New Roman" w:cs="Times New Roman"/>
                <w:sz w:val="23"/>
                <w:szCs w:val="23"/>
                <w:shd w:val="clear" w:color="auto" w:fill="FFFFFF"/>
              </w:rPr>
              <w:t xml:space="preserve"> atbilst</w:t>
            </w:r>
            <w:r w:rsidR="00701723" w:rsidRPr="002470CD">
              <w:rPr>
                <w:rFonts w:ascii="Times New Roman" w:hAnsi="Times New Roman" w:cs="Times New Roman"/>
                <w:bCs/>
                <w:sz w:val="23"/>
                <w:szCs w:val="23"/>
                <w:shd w:val="clear" w:color="auto" w:fill="FFFFFF"/>
              </w:rPr>
              <w:t xml:space="preserve"> MK noteikum</w:t>
            </w:r>
            <w:r w:rsidR="00680325" w:rsidRPr="002470CD">
              <w:rPr>
                <w:rFonts w:ascii="Times New Roman" w:hAnsi="Times New Roman" w:cs="Times New Roman"/>
                <w:bCs/>
                <w:sz w:val="23"/>
                <w:szCs w:val="23"/>
                <w:shd w:val="clear" w:color="auto" w:fill="FFFFFF"/>
              </w:rPr>
              <w:t>os</w:t>
            </w:r>
            <w:r w:rsidR="00701723" w:rsidRPr="002470CD">
              <w:rPr>
                <w:rFonts w:ascii="Times New Roman" w:hAnsi="Times New Roman" w:cs="Times New Roman"/>
                <w:bCs/>
                <w:sz w:val="23"/>
                <w:szCs w:val="23"/>
                <w:shd w:val="clear" w:color="auto" w:fill="FFFFFF"/>
              </w:rPr>
              <w:t xml:space="preserve"> Nr.207</w:t>
            </w:r>
            <w:r w:rsidR="00701723" w:rsidRPr="002470CD">
              <w:rPr>
                <w:rFonts w:ascii="Times New Roman" w:hAnsi="Times New Roman" w:cs="Times New Roman"/>
                <w:sz w:val="23"/>
                <w:szCs w:val="23"/>
                <w:shd w:val="clear" w:color="auto" w:fill="FFFFFF"/>
              </w:rPr>
              <w:t xml:space="preserve"> </w:t>
            </w:r>
            <w:r w:rsidR="003E021B" w:rsidRPr="002470CD">
              <w:rPr>
                <w:rFonts w:ascii="Times New Roman" w:hAnsi="Times New Roman" w:cs="Times New Roman"/>
                <w:sz w:val="23"/>
                <w:szCs w:val="23"/>
                <w:shd w:val="clear" w:color="auto" w:fill="FFFFFF"/>
              </w:rPr>
              <w:t xml:space="preserve">noteiktajiem </w:t>
            </w:r>
            <w:r w:rsidR="00701723" w:rsidRPr="002470CD">
              <w:rPr>
                <w:rFonts w:ascii="Times New Roman" w:hAnsi="Times New Roman" w:cs="Times New Roman"/>
                <w:sz w:val="23"/>
                <w:szCs w:val="23"/>
                <w:shd w:val="clear" w:color="auto" w:fill="FFFFFF"/>
              </w:rPr>
              <w:t xml:space="preserve">mērķa grupas iesaistes kritērijiem un papildus dalībai </w:t>
            </w:r>
            <w:r w:rsidR="003E021B" w:rsidRPr="002470CD">
              <w:rPr>
                <w:rFonts w:ascii="Times New Roman" w:hAnsi="Times New Roman" w:cs="Times New Roman"/>
                <w:sz w:val="23"/>
                <w:szCs w:val="23"/>
                <w:shd w:val="clear" w:color="auto" w:fill="FFFFFF"/>
              </w:rPr>
              <w:t xml:space="preserve">pasākumu </w:t>
            </w:r>
            <w:r w:rsidR="00701723" w:rsidRPr="002470CD">
              <w:rPr>
                <w:rFonts w:ascii="Times New Roman" w:hAnsi="Times New Roman" w:cs="Times New Roman"/>
                <w:sz w:val="23"/>
                <w:szCs w:val="23"/>
                <w:shd w:val="clear" w:color="auto" w:fill="FFFFFF"/>
              </w:rPr>
              <w:t>atbalstāmajās darbībās mācas vakarskolā</w:t>
            </w:r>
            <w:r w:rsidR="00964124">
              <w:rPr>
                <w:rFonts w:ascii="Times New Roman" w:hAnsi="Times New Roman" w:cs="Times New Roman"/>
                <w:sz w:val="23"/>
                <w:szCs w:val="23"/>
                <w:shd w:val="clear" w:color="auto" w:fill="FFFFFF"/>
              </w:rPr>
              <w:t xml:space="preserve"> vai </w:t>
            </w:r>
            <w:r w:rsidR="00964124" w:rsidRPr="001E1768">
              <w:rPr>
                <w:rFonts w:ascii="Times New Roman" w:hAnsi="Times New Roman" w:cs="Times New Roman"/>
                <w:sz w:val="23"/>
                <w:szCs w:val="23"/>
                <w:shd w:val="clear" w:color="auto" w:fill="FFFFFF"/>
              </w:rPr>
              <w:t>tālmācībā</w:t>
            </w:r>
            <w:r w:rsidR="0063788B" w:rsidRPr="001E1768">
              <w:rPr>
                <w:rFonts w:ascii="Times New Roman" w:hAnsi="Times New Roman" w:cs="Times New Roman"/>
                <w:sz w:val="23"/>
                <w:szCs w:val="23"/>
                <w:shd w:val="clear" w:color="auto" w:fill="FFFFFF"/>
              </w:rPr>
              <w:t xml:space="preserve"> vidējās izglītības ieguvei</w:t>
            </w:r>
            <w:r w:rsidR="00964124" w:rsidRPr="001E1768">
              <w:rPr>
                <w:rFonts w:ascii="Times New Roman" w:hAnsi="Times New Roman" w:cs="Times New Roman"/>
                <w:sz w:val="23"/>
                <w:szCs w:val="23"/>
                <w:shd w:val="clear" w:color="auto" w:fill="FFFFFF"/>
              </w:rPr>
              <w:t>,</w:t>
            </w:r>
            <w:r w:rsidR="00701723" w:rsidRPr="001E1768">
              <w:rPr>
                <w:rFonts w:ascii="Times New Roman" w:hAnsi="Times New Roman" w:cs="Times New Roman"/>
                <w:sz w:val="23"/>
                <w:szCs w:val="23"/>
                <w:shd w:val="clear" w:color="auto" w:fill="FFFFFF"/>
              </w:rPr>
              <w:t xml:space="preserve"> vai piedalās nepilna laika </w:t>
            </w:r>
            <w:r w:rsidR="00314182" w:rsidRPr="001E1768">
              <w:rPr>
                <w:rFonts w:ascii="Times New Roman" w:hAnsi="Times New Roman" w:cs="Times New Roman"/>
                <w:sz w:val="23"/>
                <w:szCs w:val="23"/>
                <w:shd w:val="clear" w:color="auto" w:fill="FFFFFF"/>
              </w:rPr>
              <w:t>studiju programmās Augstskolu likuma izpratnē</w:t>
            </w:r>
            <w:r w:rsidR="00680325" w:rsidRPr="001E1768">
              <w:rPr>
                <w:rFonts w:ascii="Times New Roman" w:hAnsi="Times New Roman" w:cs="Times New Roman"/>
                <w:sz w:val="23"/>
                <w:szCs w:val="23"/>
                <w:shd w:val="clear" w:color="auto" w:fill="FFFFFF"/>
              </w:rPr>
              <w:t xml:space="preserve"> (MK noteikumu projekta </w:t>
            </w:r>
            <w:r w:rsidR="00E2147D" w:rsidRPr="001E1768">
              <w:rPr>
                <w:rFonts w:ascii="Times New Roman" w:hAnsi="Times New Roman" w:cs="Times New Roman"/>
                <w:sz w:val="23"/>
                <w:szCs w:val="23"/>
                <w:shd w:val="clear" w:color="auto" w:fill="FFFFFF"/>
              </w:rPr>
              <w:t>7</w:t>
            </w:r>
            <w:r w:rsidR="00680325" w:rsidRPr="001E1768">
              <w:rPr>
                <w:rFonts w:ascii="Times New Roman" w:hAnsi="Times New Roman" w:cs="Times New Roman"/>
                <w:sz w:val="23"/>
                <w:szCs w:val="23"/>
                <w:shd w:val="clear" w:color="auto" w:fill="FFFFFF"/>
              </w:rPr>
              <w:t>.punkts)</w:t>
            </w:r>
            <w:r w:rsidR="003E021B" w:rsidRPr="001E1768">
              <w:rPr>
                <w:rFonts w:ascii="Times New Roman" w:hAnsi="Times New Roman" w:cs="Times New Roman"/>
                <w:sz w:val="23"/>
                <w:szCs w:val="23"/>
                <w:shd w:val="clear" w:color="auto" w:fill="FFFFFF"/>
              </w:rPr>
              <w:t>;</w:t>
            </w:r>
          </w:p>
          <w:p w14:paraId="1F478CBA" w14:textId="3912060A" w:rsidR="00C77C47" w:rsidRPr="001E1768" w:rsidRDefault="00074E9C" w:rsidP="005E1FE1">
            <w:pPr>
              <w:spacing w:after="0" w:line="240" w:lineRule="auto"/>
              <w:ind w:left="57" w:right="113"/>
              <w:jc w:val="both"/>
              <w:rPr>
                <w:rFonts w:ascii="Times New Roman" w:hAnsi="Times New Roman" w:cs="Times New Roman"/>
                <w:bCs/>
                <w:sz w:val="23"/>
                <w:szCs w:val="23"/>
                <w:shd w:val="clear" w:color="auto" w:fill="FFFFFF"/>
              </w:rPr>
            </w:pPr>
            <w:r w:rsidRPr="001E1768">
              <w:rPr>
                <w:rFonts w:ascii="Times New Roman" w:hAnsi="Times New Roman" w:cs="Times New Roman"/>
                <w:sz w:val="23"/>
                <w:szCs w:val="23"/>
                <w:shd w:val="clear" w:color="auto" w:fill="FFFFFF"/>
              </w:rPr>
              <w:lastRenderedPageBreak/>
              <w:t>5</w:t>
            </w:r>
            <w:r w:rsidR="00C77C47" w:rsidRPr="001E1768">
              <w:rPr>
                <w:rFonts w:ascii="Times New Roman" w:hAnsi="Times New Roman" w:cs="Times New Roman"/>
                <w:bCs/>
                <w:sz w:val="23"/>
                <w:szCs w:val="23"/>
                <w:shd w:val="clear" w:color="auto" w:fill="FFFFFF"/>
              </w:rPr>
              <w:t>.</w:t>
            </w:r>
            <w:r w:rsidR="00680325" w:rsidRPr="001E1768">
              <w:rPr>
                <w:rFonts w:ascii="Times New Roman" w:hAnsi="Times New Roman" w:cs="Times New Roman"/>
                <w:bCs/>
                <w:sz w:val="23"/>
                <w:szCs w:val="23"/>
                <w:shd w:val="clear" w:color="auto" w:fill="FFFFFF"/>
              </w:rPr>
              <w:t xml:space="preserve">  ir nepieciešams </w:t>
            </w:r>
            <w:r w:rsidR="00DB6EA7" w:rsidRPr="001E1768">
              <w:rPr>
                <w:rFonts w:ascii="Times New Roman" w:hAnsi="Times New Roman" w:cs="Times New Roman"/>
                <w:bCs/>
                <w:sz w:val="23"/>
                <w:szCs w:val="23"/>
                <w:shd w:val="clear" w:color="auto" w:fill="FFFFFF"/>
              </w:rPr>
              <w:t xml:space="preserve">pasākumu </w:t>
            </w:r>
            <w:r w:rsidR="00680325" w:rsidRPr="001E1768">
              <w:rPr>
                <w:rFonts w:ascii="Times New Roman" w:hAnsi="Times New Roman" w:cs="Times New Roman"/>
                <w:bCs/>
                <w:sz w:val="23"/>
                <w:szCs w:val="23"/>
                <w:shd w:val="clear" w:color="auto" w:fill="FFFFFF"/>
              </w:rPr>
              <w:t>sinerģijas nosacījumus papildināt ar nosacījumu, ka papildus dalībai pasākum</w:t>
            </w:r>
            <w:r w:rsidR="00DB6EA7" w:rsidRPr="001E1768">
              <w:rPr>
                <w:rFonts w:ascii="Times New Roman" w:hAnsi="Times New Roman" w:cs="Times New Roman"/>
                <w:bCs/>
                <w:sz w:val="23"/>
                <w:szCs w:val="23"/>
                <w:shd w:val="clear" w:color="auto" w:fill="FFFFFF"/>
              </w:rPr>
              <w:t>ā “Sākotnējās profesionālās izglītības programmu īstenošana Jauniešu garantijas ietvaros”</w:t>
            </w:r>
            <w:r w:rsidR="00680325" w:rsidRPr="001E1768">
              <w:rPr>
                <w:rFonts w:ascii="Times New Roman" w:hAnsi="Times New Roman" w:cs="Times New Roman"/>
                <w:bCs/>
                <w:sz w:val="23"/>
                <w:szCs w:val="23"/>
                <w:shd w:val="clear" w:color="auto" w:fill="FFFFFF"/>
              </w:rPr>
              <w:t>, jaunietis var saņemt atbalstu Eiropas Savienības programmā “Erasmus+: Jaunatne darbībā”</w:t>
            </w:r>
            <w:r w:rsidR="00A36275" w:rsidRPr="001E1768">
              <w:rPr>
                <w:rFonts w:ascii="Times New Roman" w:hAnsi="Times New Roman" w:cs="Times New Roman"/>
                <w:bCs/>
                <w:sz w:val="23"/>
                <w:szCs w:val="23"/>
                <w:shd w:val="clear" w:color="auto" w:fill="FFFFFF"/>
              </w:rPr>
              <w:t xml:space="preserve">, tādējādi uzlabojot jauniešu prasmes un kompetences </w:t>
            </w:r>
            <w:r w:rsidR="00680325" w:rsidRPr="001E1768">
              <w:rPr>
                <w:rFonts w:ascii="Times New Roman" w:hAnsi="Times New Roman" w:cs="Times New Roman"/>
                <w:bCs/>
                <w:sz w:val="23"/>
                <w:szCs w:val="23"/>
                <w:shd w:val="clear" w:color="auto" w:fill="FFFFFF"/>
              </w:rPr>
              <w:t xml:space="preserve">(MK noteikumu projekta </w:t>
            </w:r>
            <w:r w:rsidR="00D10859" w:rsidRPr="001E1768">
              <w:rPr>
                <w:rFonts w:ascii="Times New Roman" w:hAnsi="Times New Roman" w:cs="Times New Roman"/>
                <w:bCs/>
                <w:sz w:val="23"/>
                <w:szCs w:val="23"/>
                <w:shd w:val="clear" w:color="auto" w:fill="FFFFFF"/>
              </w:rPr>
              <w:t>31</w:t>
            </w:r>
            <w:r w:rsidR="00680325" w:rsidRPr="001E1768">
              <w:rPr>
                <w:rFonts w:ascii="Times New Roman" w:hAnsi="Times New Roman" w:cs="Times New Roman"/>
                <w:bCs/>
                <w:sz w:val="23"/>
                <w:szCs w:val="23"/>
                <w:shd w:val="clear" w:color="auto" w:fill="FFFFFF"/>
              </w:rPr>
              <w:t>.punkts);</w:t>
            </w:r>
          </w:p>
          <w:p w14:paraId="6AFD71D6" w14:textId="10072AC7" w:rsidR="002C3010" w:rsidRPr="001E1768" w:rsidRDefault="002C3010" w:rsidP="005E1FE1">
            <w:pPr>
              <w:spacing w:after="0" w:line="240" w:lineRule="auto"/>
              <w:ind w:left="57" w:right="113"/>
              <w:jc w:val="both"/>
              <w:rPr>
                <w:rFonts w:ascii="Times New Roman" w:hAnsi="Times New Roman" w:cs="Times New Roman"/>
                <w:sz w:val="23"/>
                <w:szCs w:val="23"/>
                <w:shd w:val="clear" w:color="auto" w:fill="FFFFFF"/>
              </w:rPr>
            </w:pPr>
            <w:r w:rsidRPr="001E1768">
              <w:rPr>
                <w:rFonts w:ascii="Times New Roman" w:hAnsi="Times New Roman" w:cs="Times New Roman"/>
                <w:sz w:val="23"/>
                <w:szCs w:val="23"/>
                <w:shd w:val="clear" w:color="auto" w:fill="FFFFFF"/>
              </w:rPr>
              <w:t xml:space="preserve">6. lai nodrošinātu efektīvu atbalsta sniegšanu jauniešiem, ir nepieciešams papildināt ar papildu nosacījumiem profesionālās izglītības programmas izglītojamo grupu veidošanai un iespējamām izmaiņām grupas mācību procesa organizēšanas laikā. Šobrīd atbilstoši finansējuma saņēmēja sniegtai informācijai, veidojot izglītojamo grupas </w:t>
            </w:r>
            <w:proofErr w:type="gramStart"/>
            <w:r w:rsidRPr="001E1768">
              <w:rPr>
                <w:rFonts w:ascii="Times New Roman" w:hAnsi="Times New Roman" w:cs="Times New Roman"/>
                <w:sz w:val="23"/>
                <w:szCs w:val="23"/>
                <w:shd w:val="clear" w:color="auto" w:fill="FFFFFF"/>
              </w:rPr>
              <w:t>2015.gada</w:t>
            </w:r>
            <w:proofErr w:type="gramEnd"/>
            <w:r w:rsidRPr="001E1768">
              <w:rPr>
                <w:rFonts w:ascii="Times New Roman" w:hAnsi="Times New Roman" w:cs="Times New Roman"/>
                <w:sz w:val="23"/>
                <w:szCs w:val="23"/>
                <w:shd w:val="clear" w:color="auto" w:fill="FFFFFF"/>
              </w:rPr>
              <w:t xml:space="preserve"> rudens uzņemšanā, ir saņemti 1 109 izglītojamo pieteikumi mācībām, no tiem šobrīd ir izdevies nokomplektēt 19 grupas ar 372 izglītojamiem. Pārējie 737 izglītojamie ir situācijā, ka izglītojamo skaits ir nepietiekams, lai nokomplektētu mācību grupas</w:t>
            </w:r>
            <w:r w:rsidR="00297DB0" w:rsidRPr="001E1768">
              <w:rPr>
                <w:rFonts w:ascii="Times New Roman" w:hAnsi="Times New Roman" w:cs="Times New Roman"/>
                <w:sz w:val="23"/>
                <w:szCs w:val="23"/>
                <w:shd w:val="clear" w:color="auto" w:fill="FFFFFF"/>
              </w:rPr>
              <w:t>. Pēc izglītības iestāžu saņemtās informācijas, atsevišķos gadījumos, to saskaņojot ar izglītības iestādes dibinātāju un ja to pieļauj izglītības programmas specifika, ir iespējams apvienot izglītojamos grupas vai nodrošināt izglītības proce</w:t>
            </w:r>
            <w:r w:rsidR="00693FB9" w:rsidRPr="001E1768">
              <w:rPr>
                <w:rFonts w:ascii="Times New Roman" w:hAnsi="Times New Roman" w:cs="Times New Roman"/>
                <w:sz w:val="23"/>
                <w:szCs w:val="23"/>
                <w:shd w:val="clear" w:color="auto" w:fill="FFFFFF"/>
              </w:rPr>
              <w:t>su ar mazāku izglītojamo skaitu</w:t>
            </w:r>
            <w:r w:rsidR="00297DB0" w:rsidRPr="001E1768">
              <w:rPr>
                <w:rFonts w:ascii="Times New Roman" w:hAnsi="Times New Roman" w:cs="Times New Roman"/>
                <w:sz w:val="23"/>
                <w:szCs w:val="23"/>
                <w:shd w:val="clear" w:color="auto" w:fill="FFFFFF"/>
              </w:rPr>
              <w:t xml:space="preserve"> </w:t>
            </w:r>
            <w:r w:rsidRPr="001E1768">
              <w:rPr>
                <w:rFonts w:ascii="Times New Roman" w:hAnsi="Times New Roman" w:cs="Times New Roman"/>
                <w:sz w:val="23"/>
                <w:szCs w:val="23"/>
                <w:shd w:val="clear" w:color="auto" w:fill="FFFFFF"/>
              </w:rPr>
              <w:t xml:space="preserve">(MK noteikumu projekta </w:t>
            </w:r>
            <w:r w:rsidR="00D10859" w:rsidRPr="001E1768">
              <w:rPr>
                <w:rFonts w:ascii="Times New Roman" w:hAnsi="Times New Roman" w:cs="Times New Roman"/>
                <w:sz w:val="23"/>
                <w:szCs w:val="23"/>
                <w:shd w:val="clear" w:color="auto" w:fill="FFFFFF"/>
              </w:rPr>
              <w:t>36</w:t>
            </w:r>
            <w:r w:rsidR="00B679BE" w:rsidRPr="001E1768">
              <w:rPr>
                <w:rFonts w:ascii="Times New Roman" w:hAnsi="Times New Roman" w:cs="Times New Roman"/>
                <w:sz w:val="23"/>
                <w:szCs w:val="23"/>
                <w:shd w:val="clear" w:color="auto" w:fill="FFFFFF"/>
              </w:rPr>
              <w:t xml:space="preserve">., </w:t>
            </w:r>
            <w:r w:rsidR="00D10859" w:rsidRPr="001E1768">
              <w:rPr>
                <w:rFonts w:ascii="Times New Roman" w:hAnsi="Times New Roman" w:cs="Times New Roman"/>
                <w:sz w:val="23"/>
                <w:szCs w:val="23"/>
                <w:shd w:val="clear" w:color="auto" w:fill="FFFFFF"/>
              </w:rPr>
              <w:t>37</w:t>
            </w:r>
            <w:r w:rsidR="00CE0962" w:rsidRPr="001E1768">
              <w:rPr>
                <w:rFonts w:ascii="Times New Roman" w:hAnsi="Times New Roman" w:cs="Times New Roman"/>
                <w:sz w:val="23"/>
                <w:szCs w:val="23"/>
                <w:shd w:val="clear" w:color="auto" w:fill="FFFFFF"/>
              </w:rPr>
              <w:t xml:space="preserve">. </w:t>
            </w:r>
            <w:r w:rsidR="00E2147D" w:rsidRPr="001E1768">
              <w:rPr>
                <w:rFonts w:ascii="Times New Roman" w:hAnsi="Times New Roman" w:cs="Times New Roman"/>
                <w:sz w:val="23"/>
                <w:szCs w:val="23"/>
                <w:shd w:val="clear" w:color="auto" w:fill="FFFFFF"/>
              </w:rPr>
              <w:t xml:space="preserve">un </w:t>
            </w:r>
            <w:r w:rsidR="00D10859" w:rsidRPr="001E1768">
              <w:rPr>
                <w:rFonts w:ascii="Times New Roman" w:hAnsi="Times New Roman" w:cs="Times New Roman"/>
                <w:sz w:val="23"/>
                <w:szCs w:val="23"/>
                <w:shd w:val="clear" w:color="auto" w:fill="FFFFFF"/>
              </w:rPr>
              <w:t>38</w:t>
            </w:r>
            <w:r w:rsidRPr="001E1768">
              <w:rPr>
                <w:rFonts w:ascii="Times New Roman" w:hAnsi="Times New Roman" w:cs="Times New Roman"/>
                <w:sz w:val="23"/>
                <w:szCs w:val="23"/>
                <w:shd w:val="clear" w:color="auto" w:fill="FFFFFF"/>
              </w:rPr>
              <w:t>.</w:t>
            </w:r>
            <w:r w:rsidR="001E1768" w:rsidRPr="001E1768" w:rsidDel="001E1768">
              <w:rPr>
                <w:rFonts w:ascii="Times New Roman" w:hAnsi="Times New Roman" w:cs="Times New Roman"/>
                <w:sz w:val="23"/>
                <w:szCs w:val="23"/>
                <w:shd w:val="clear" w:color="auto" w:fill="FFFFFF"/>
              </w:rPr>
              <w:t xml:space="preserve"> </w:t>
            </w:r>
            <w:r w:rsidRPr="001E1768">
              <w:rPr>
                <w:rFonts w:ascii="Times New Roman" w:hAnsi="Times New Roman" w:cs="Times New Roman"/>
                <w:sz w:val="23"/>
                <w:szCs w:val="23"/>
                <w:shd w:val="clear" w:color="auto" w:fill="FFFFFF"/>
              </w:rPr>
              <w:t>punkts);</w:t>
            </w:r>
          </w:p>
          <w:p w14:paraId="275AF9C2" w14:textId="5E533480" w:rsidR="00297DB0" w:rsidRPr="001E1768" w:rsidRDefault="002C3010" w:rsidP="005E1FE1">
            <w:pPr>
              <w:spacing w:after="0" w:line="240" w:lineRule="auto"/>
              <w:ind w:left="57" w:right="113"/>
              <w:jc w:val="both"/>
              <w:rPr>
                <w:rFonts w:ascii="Times New Roman" w:hAnsi="Times New Roman" w:cs="Times New Roman"/>
                <w:sz w:val="23"/>
                <w:szCs w:val="23"/>
                <w:shd w:val="clear" w:color="auto" w:fill="FFFFFF"/>
              </w:rPr>
            </w:pPr>
            <w:r w:rsidRPr="001E1768">
              <w:rPr>
                <w:rFonts w:ascii="Times New Roman" w:hAnsi="Times New Roman" w:cs="Times New Roman"/>
                <w:sz w:val="23"/>
                <w:szCs w:val="23"/>
                <w:shd w:val="clear" w:color="auto" w:fill="FFFFFF"/>
              </w:rPr>
              <w:t>7</w:t>
            </w:r>
            <w:r w:rsidR="00680325" w:rsidRPr="001E1768">
              <w:rPr>
                <w:rFonts w:ascii="Times New Roman" w:hAnsi="Times New Roman" w:cs="Times New Roman"/>
                <w:sz w:val="23"/>
                <w:szCs w:val="23"/>
                <w:shd w:val="clear" w:color="auto" w:fill="FFFFFF"/>
              </w:rPr>
              <w:t xml:space="preserve">. </w:t>
            </w:r>
            <w:r w:rsidR="00A36275" w:rsidRPr="001E1768">
              <w:rPr>
                <w:rFonts w:ascii="Times New Roman" w:hAnsi="Times New Roman" w:cs="Times New Roman"/>
                <w:sz w:val="23"/>
                <w:szCs w:val="23"/>
                <w:shd w:val="clear" w:color="auto" w:fill="FFFFFF"/>
              </w:rPr>
              <w:t xml:space="preserve">lai novērstu dažādo normu interpretāciju, ir nepieciešams </w:t>
            </w:r>
            <w:r w:rsidR="00774251" w:rsidRPr="001E1768">
              <w:rPr>
                <w:rFonts w:ascii="Times New Roman" w:hAnsi="Times New Roman" w:cs="Times New Roman"/>
                <w:sz w:val="23"/>
                <w:szCs w:val="23"/>
                <w:shd w:val="clear" w:color="auto" w:fill="FFFFFF"/>
              </w:rPr>
              <w:t>precizēt/</w:t>
            </w:r>
            <w:r w:rsidR="00A36275" w:rsidRPr="001E1768">
              <w:rPr>
                <w:rFonts w:ascii="Times New Roman" w:hAnsi="Times New Roman" w:cs="Times New Roman"/>
                <w:sz w:val="23"/>
                <w:szCs w:val="23"/>
                <w:shd w:val="clear" w:color="auto" w:fill="FFFFFF"/>
              </w:rPr>
              <w:t xml:space="preserve">papildināt pasākumu īstenošanas nosacījumus </w:t>
            </w:r>
            <w:r w:rsidR="00680325" w:rsidRPr="001E1768">
              <w:rPr>
                <w:rFonts w:ascii="Times New Roman" w:hAnsi="Times New Roman" w:cs="Times New Roman"/>
                <w:sz w:val="23"/>
                <w:szCs w:val="23"/>
                <w:shd w:val="clear" w:color="auto" w:fill="FFFFFF"/>
              </w:rPr>
              <w:t xml:space="preserve">(MK noteikumu projekta </w:t>
            </w:r>
            <w:r w:rsidR="00E2147D" w:rsidRPr="001E1768">
              <w:rPr>
                <w:rFonts w:ascii="Times New Roman" w:hAnsi="Times New Roman" w:cs="Times New Roman"/>
                <w:sz w:val="23"/>
                <w:szCs w:val="23"/>
                <w:shd w:val="clear" w:color="auto" w:fill="FFFFFF"/>
              </w:rPr>
              <w:t>3.</w:t>
            </w:r>
            <w:r w:rsidR="00906FB1" w:rsidRPr="001E1768">
              <w:rPr>
                <w:rFonts w:ascii="Times New Roman" w:hAnsi="Times New Roman" w:cs="Times New Roman"/>
                <w:sz w:val="23"/>
                <w:szCs w:val="23"/>
                <w:shd w:val="clear" w:color="auto" w:fill="FFFFFF"/>
              </w:rPr>
              <w:t xml:space="preserve">, </w:t>
            </w:r>
            <w:r w:rsidR="00D10859" w:rsidRPr="001E1768">
              <w:rPr>
                <w:rFonts w:ascii="Times New Roman" w:hAnsi="Times New Roman" w:cs="Times New Roman"/>
                <w:sz w:val="23"/>
                <w:szCs w:val="23"/>
                <w:shd w:val="clear" w:color="auto" w:fill="FFFFFF"/>
              </w:rPr>
              <w:t>25</w:t>
            </w:r>
            <w:r w:rsidR="00073406" w:rsidRPr="001E1768">
              <w:rPr>
                <w:rFonts w:ascii="Times New Roman" w:hAnsi="Times New Roman" w:cs="Times New Roman"/>
                <w:sz w:val="23"/>
                <w:szCs w:val="23"/>
                <w:shd w:val="clear" w:color="auto" w:fill="FFFFFF"/>
              </w:rPr>
              <w:t>.</w:t>
            </w:r>
            <w:r w:rsidR="00314182" w:rsidRPr="001E1768">
              <w:rPr>
                <w:rFonts w:ascii="Times New Roman" w:hAnsi="Times New Roman" w:cs="Times New Roman"/>
                <w:sz w:val="23"/>
                <w:szCs w:val="23"/>
                <w:shd w:val="clear" w:color="auto" w:fill="FFFFFF"/>
              </w:rPr>
              <w:t>,</w:t>
            </w:r>
            <w:r w:rsidR="00073406" w:rsidRPr="001E1768">
              <w:rPr>
                <w:rFonts w:ascii="Times New Roman" w:hAnsi="Times New Roman" w:cs="Times New Roman"/>
                <w:sz w:val="23"/>
                <w:szCs w:val="23"/>
                <w:shd w:val="clear" w:color="auto" w:fill="FFFFFF"/>
              </w:rPr>
              <w:t xml:space="preserve"> </w:t>
            </w:r>
            <w:r w:rsidR="00D10859" w:rsidRPr="001E1768">
              <w:rPr>
                <w:rFonts w:ascii="Times New Roman" w:hAnsi="Times New Roman" w:cs="Times New Roman"/>
                <w:sz w:val="23"/>
                <w:szCs w:val="23"/>
                <w:shd w:val="clear" w:color="auto" w:fill="FFFFFF"/>
              </w:rPr>
              <w:t>27</w:t>
            </w:r>
            <w:r w:rsidR="00645EF1" w:rsidRPr="001E1768">
              <w:rPr>
                <w:rFonts w:ascii="Times New Roman" w:hAnsi="Times New Roman" w:cs="Times New Roman"/>
                <w:sz w:val="23"/>
                <w:szCs w:val="23"/>
                <w:shd w:val="clear" w:color="auto" w:fill="FFFFFF"/>
              </w:rPr>
              <w:t>.</w:t>
            </w:r>
            <w:r w:rsidR="00314182" w:rsidRPr="001E1768">
              <w:rPr>
                <w:rFonts w:ascii="Times New Roman" w:hAnsi="Times New Roman" w:cs="Times New Roman"/>
                <w:sz w:val="23"/>
                <w:szCs w:val="23"/>
                <w:shd w:val="clear" w:color="auto" w:fill="FFFFFF"/>
              </w:rPr>
              <w:t xml:space="preserve"> un </w:t>
            </w:r>
            <w:r w:rsidR="00D10859" w:rsidRPr="001E1768">
              <w:rPr>
                <w:rFonts w:ascii="Times New Roman" w:hAnsi="Times New Roman" w:cs="Times New Roman"/>
                <w:sz w:val="23"/>
                <w:szCs w:val="23"/>
                <w:shd w:val="clear" w:color="auto" w:fill="FFFFFF"/>
              </w:rPr>
              <w:t>33</w:t>
            </w:r>
            <w:r w:rsidR="00314182" w:rsidRPr="001E1768">
              <w:rPr>
                <w:rFonts w:ascii="Times New Roman" w:hAnsi="Times New Roman" w:cs="Times New Roman"/>
                <w:sz w:val="23"/>
                <w:szCs w:val="23"/>
                <w:shd w:val="clear" w:color="auto" w:fill="FFFFFF"/>
              </w:rPr>
              <w:t>.</w:t>
            </w:r>
            <w:r w:rsidR="00E2147D" w:rsidRPr="001E1768">
              <w:rPr>
                <w:rFonts w:ascii="Times New Roman" w:hAnsi="Times New Roman" w:cs="Times New Roman"/>
                <w:sz w:val="23"/>
                <w:szCs w:val="23"/>
                <w:shd w:val="clear" w:color="auto" w:fill="FFFFFF"/>
              </w:rPr>
              <w:t>punkts</w:t>
            </w:r>
            <w:r w:rsidR="00680325" w:rsidRPr="001E1768">
              <w:rPr>
                <w:rFonts w:ascii="Times New Roman" w:hAnsi="Times New Roman" w:cs="Times New Roman"/>
                <w:sz w:val="23"/>
                <w:szCs w:val="23"/>
                <w:shd w:val="clear" w:color="auto" w:fill="FFFFFF"/>
              </w:rPr>
              <w:t>)</w:t>
            </w:r>
            <w:r w:rsidR="00297DB0" w:rsidRPr="001E1768">
              <w:rPr>
                <w:rFonts w:ascii="Times New Roman" w:hAnsi="Times New Roman" w:cs="Times New Roman"/>
                <w:sz w:val="23"/>
                <w:szCs w:val="23"/>
                <w:shd w:val="clear" w:color="auto" w:fill="FFFFFF"/>
              </w:rPr>
              <w:t>, t.sk.:</w:t>
            </w:r>
          </w:p>
          <w:p w14:paraId="062E99AD" w14:textId="019B97D9" w:rsidR="00297DB0" w:rsidRPr="001E1768" w:rsidRDefault="00297DB0" w:rsidP="005E1FE1">
            <w:pPr>
              <w:spacing w:after="0" w:line="240" w:lineRule="auto"/>
              <w:ind w:left="57" w:right="113"/>
              <w:jc w:val="both"/>
              <w:rPr>
                <w:rFonts w:ascii="Times New Roman" w:hAnsi="Times New Roman" w:cs="Times New Roman"/>
                <w:sz w:val="23"/>
                <w:szCs w:val="23"/>
                <w:shd w:val="clear" w:color="auto" w:fill="FFFFFF"/>
              </w:rPr>
            </w:pPr>
            <w:r w:rsidRPr="001E1768">
              <w:rPr>
                <w:rFonts w:ascii="Times New Roman" w:hAnsi="Times New Roman" w:cs="Times New Roman"/>
                <w:sz w:val="23"/>
                <w:szCs w:val="23"/>
                <w:shd w:val="clear" w:color="auto" w:fill="FFFFFF"/>
              </w:rPr>
              <w:t xml:space="preserve">- nosakot, ka piemērotāko profesionālās izglītības programmu Nodarbinātības valsts aģentūras īstenotā projekta gadījumā jaunietim nosaka </w:t>
            </w:r>
            <w:r w:rsidRPr="001E1768">
              <w:rPr>
                <w:rFonts w:ascii="Times New Roman" w:hAnsi="Times New Roman" w:cs="Times New Roman"/>
                <w:bCs/>
                <w:sz w:val="23"/>
                <w:szCs w:val="23"/>
                <w:shd w:val="clear" w:color="auto" w:fill="FFFFFF"/>
              </w:rPr>
              <w:t xml:space="preserve">karjeras konsultants jaunieša profilēšanas un karjeras </w:t>
            </w:r>
            <w:r w:rsidRPr="001E1768">
              <w:rPr>
                <w:rFonts w:ascii="Times New Roman" w:hAnsi="Times New Roman" w:cs="Times New Roman"/>
                <w:sz w:val="23"/>
                <w:szCs w:val="23"/>
                <w:shd w:val="clear" w:color="auto" w:fill="FFFFFF"/>
              </w:rPr>
              <w:t>konsultācijas rezultātā;</w:t>
            </w:r>
          </w:p>
          <w:p w14:paraId="03EADCA1" w14:textId="133D9817" w:rsidR="00A23587" w:rsidRPr="001E1768" w:rsidRDefault="00297DB0" w:rsidP="00593C70">
            <w:pPr>
              <w:spacing w:after="0" w:line="240" w:lineRule="auto"/>
              <w:ind w:left="57" w:right="113"/>
              <w:jc w:val="both"/>
              <w:rPr>
                <w:rFonts w:ascii="Times New Roman" w:hAnsi="Times New Roman" w:cs="Times New Roman"/>
                <w:sz w:val="23"/>
                <w:szCs w:val="23"/>
                <w:shd w:val="clear" w:color="auto" w:fill="FFFFFF"/>
              </w:rPr>
            </w:pPr>
            <w:r w:rsidRPr="001E1768">
              <w:rPr>
                <w:rFonts w:ascii="Times New Roman" w:hAnsi="Times New Roman" w:cs="Times New Roman"/>
                <w:sz w:val="23"/>
                <w:szCs w:val="23"/>
                <w:shd w:val="clear" w:color="auto" w:fill="FFFFFF"/>
              </w:rPr>
              <w:t xml:space="preserve">- </w:t>
            </w:r>
            <w:r w:rsidR="00A23587" w:rsidRPr="001E1768">
              <w:rPr>
                <w:rFonts w:ascii="Times New Roman" w:hAnsi="Times New Roman" w:cs="Times New Roman"/>
                <w:sz w:val="23"/>
                <w:szCs w:val="23"/>
                <w:shd w:val="clear" w:color="auto" w:fill="FFFFFF"/>
              </w:rPr>
              <w:t xml:space="preserve">norādot, ka pedagogu, koordinatoru un grāmatvežu atlīdzības izmaksas tiek plānotas, pamatojoties uz MK </w:t>
            </w:r>
            <w:proofErr w:type="gramStart"/>
            <w:r w:rsidR="00A23587" w:rsidRPr="001E1768">
              <w:rPr>
                <w:rFonts w:ascii="Times New Roman" w:hAnsi="Times New Roman" w:cs="Times New Roman"/>
                <w:sz w:val="23"/>
                <w:szCs w:val="23"/>
                <w:shd w:val="clear" w:color="auto" w:fill="FFFFFF"/>
              </w:rPr>
              <w:t>2009.gada</w:t>
            </w:r>
            <w:proofErr w:type="gramEnd"/>
            <w:r w:rsidR="00A23587" w:rsidRPr="001E1768">
              <w:rPr>
                <w:rFonts w:ascii="Times New Roman" w:hAnsi="Times New Roman" w:cs="Times New Roman"/>
                <w:sz w:val="23"/>
                <w:szCs w:val="23"/>
                <w:shd w:val="clear" w:color="auto" w:fill="FFFFFF"/>
              </w:rPr>
              <w:t xml:space="preserve"> 28.jūlija noteikumiem Nr.836 “Pedagogu darba samaksas noteikumi” un MK 2007.gada 2.oktobra noteikumiem Nr.655 “Noteikumi par profesionālās izglītības programmu īstenošanas izmaksu minimumu uz vienu izglītojamo” (</w:t>
            </w:r>
            <w:r w:rsidR="00593C70" w:rsidRPr="001E1768">
              <w:rPr>
                <w:rFonts w:ascii="Times New Roman" w:hAnsi="Times New Roman" w:cs="Times New Roman"/>
                <w:sz w:val="23"/>
                <w:szCs w:val="23"/>
                <w:shd w:val="clear" w:color="auto" w:fill="FFFFFF"/>
              </w:rPr>
              <w:t>MK noteikumu projektā ietvertie grozījumi neietekmē projektā plānotās izmaksas, tie nodrošina vienotas terminoloģijas lietošanu MK noteikumos Nr.207. Definējot izmaksas pedagogiem un projekta atbalsta personālam (izglītības iestāžu koordinatoriem un grāmatvežiem), MK noteikumi Nr.207 izstrādāti, pamatojoties uz normatīvajiem aktiem par pedagogu darba samaksu un profesionālās izglītības programmu īstenošanas izmaksu minimumu uz vienu izglītojamo, kuros izmantota atšķirīga terminoloģija atlīdzību definēšanai. Attiecīgi ierosinātas izmaiņas nepieciešamas, lai nodrošinātu informācijas nepārprotamību un vienotu pieeju atlīdzību noteikšanai MK noteikumos</w:t>
            </w:r>
            <w:r w:rsidR="00D17FE5" w:rsidRPr="001E1768">
              <w:rPr>
                <w:rFonts w:ascii="Times New Roman" w:hAnsi="Times New Roman" w:cs="Times New Roman"/>
                <w:sz w:val="23"/>
                <w:szCs w:val="23"/>
                <w:shd w:val="clear" w:color="auto" w:fill="FFFFFF"/>
              </w:rPr>
              <w:t>)</w:t>
            </w:r>
            <w:r w:rsidR="00A23587" w:rsidRPr="001E1768">
              <w:rPr>
                <w:rFonts w:ascii="Times New Roman" w:hAnsi="Times New Roman" w:cs="Times New Roman"/>
                <w:sz w:val="23"/>
                <w:szCs w:val="23"/>
                <w:shd w:val="clear" w:color="auto" w:fill="FFFFFF"/>
              </w:rPr>
              <w:t>;</w:t>
            </w:r>
          </w:p>
          <w:p w14:paraId="7F987A67" w14:textId="66A62669" w:rsidR="009670F9" w:rsidRPr="001E1768" w:rsidRDefault="009670F9" w:rsidP="00A23587">
            <w:pPr>
              <w:spacing w:after="0" w:line="240" w:lineRule="auto"/>
              <w:ind w:left="57" w:right="113"/>
              <w:jc w:val="both"/>
              <w:rPr>
                <w:rFonts w:ascii="Times New Roman" w:hAnsi="Times New Roman" w:cs="Times New Roman"/>
                <w:sz w:val="23"/>
                <w:szCs w:val="23"/>
                <w:shd w:val="clear" w:color="auto" w:fill="FFFFFF"/>
              </w:rPr>
            </w:pPr>
            <w:r w:rsidRPr="001E1768">
              <w:rPr>
                <w:rFonts w:ascii="Times New Roman" w:hAnsi="Times New Roman" w:cs="Times New Roman"/>
                <w:sz w:val="23"/>
                <w:szCs w:val="23"/>
                <w:shd w:val="clear" w:color="auto" w:fill="FFFFFF"/>
              </w:rPr>
              <w:t xml:space="preserve">- norādot kopējo atlīdzības apmēru Ieslodzījuma vietu pārvaldes koordinatoram </w:t>
            </w:r>
            <w:proofErr w:type="gramStart"/>
            <w:r w:rsidRPr="001E1768">
              <w:rPr>
                <w:rFonts w:ascii="Times New Roman" w:hAnsi="Times New Roman" w:cs="Times New Roman"/>
                <w:sz w:val="23"/>
                <w:szCs w:val="23"/>
                <w:shd w:val="clear" w:color="auto" w:fill="FFFFFF"/>
              </w:rPr>
              <w:t>(</w:t>
            </w:r>
            <w:proofErr w:type="gramEnd"/>
            <w:r w:rsidR="00593C70" w:rsidRPr="001E1768">
              <w:rPr>
                <w:rFonts w:ascii="Times New Roman" w:hAnsi="Times New Roman" w:cs="Times New Roman"/>
                <w:sz w:val="23"/>
                <w:szCs w:val="23"/>
                <w:shd w:val="clear" w:color="auto" w:fill="FFFFFF"/>
              </w:rPr>
              <w:t xml:space="preserve">t.i., </w:t>
            </w:r>
            <w:r w:rsidR="0015288B" w:rsidRPr="001E1768">
              <w:rPr>
                <w:rFonts w:ascii="Times New Roman" w:hAnsi="Times New Roman" w:cs="Times New Roman"/>
                <w:sz w:val="23"/>
                <w:szCs w:val="23"/>
                <w:shd w:val="clear" w:color="auto" w:fill="FFFFFF"/>
              </w:rPr>
              <w:t xml:space="preserve">Ieslodzījuma vietu pārvaldes koordinatora atlīdzības apmērs netiek precizēts, proti, šobrīd MK noteikumi nosaka atlīdzības par darbu apmēru - septiņi </w:t>
            </w:r>
            <w:proofErr w:type="spellStart"/>
            <w:r w:rsidR="0015288B" w:rsidRPr="001E1768">
              <w:rPr>
                <w:rFonts w:ascii="Times New Roman" w:hAnsi="Times New Roman" w:cs="Times New Roman"/>
                <w:i/>
                <w:sz w:val="23"/>
                <w:szCs w:val="23"/>
                <w:shd w:val="clear" w:color="auto" w:fill="FFFFFF"/>
              </w:rPr>
              <w:t>euro</w:t>
            </w:r>
            <w:proofErr w:type="spellEnd"/>
            <w:r w:rsidR="0015288B" w:rsidRPr="001E1768">
              <w:rPr>
                <w:rFonts w:ascii="Times New Roman" w:hAnsi="Times New Roman" w:cs="Times New Roman"/>
                <w:sz w:val="23"/>
                <w:szCs w:val="23"/>
                <w:shd w:val="clear" w:color="auto" w:fill="FFFFFF"/>
              </w:rPr>
              <w:t xml:space="preserve"> stundā, kā arī paredz papildus segt valsts sociālās apdrošināšanas obligātās iemaksas par atlīdzības par darbu daļu. Lai nodrošinātu informācijas nepārprotamību un vienotu pieeju atlīdzību apmēra noteikšanai MK noteikumos, ar MK noteikumu projektu tiek ierosināts noteikt kopējo Ieslodzījuma vietu pārvaldes koordinatora atlīdzības izmaksu apmēru</w:t>
            </w:r>
            <w:r w:rsidRPr="001E1768">
              <w:rPr>
                <w:rFonts w:ascii="Times New Roman" w:hAnsi="Times New Roman" w:cs="Times New Roman"/>
                <w:sz w:val="23"/>
                <w:szCs w:val="23"/>
                <w:shd w:val="clear" w:color="auto" w:fill="FFFFFF"/>
              </w:rPr>
              <w:t>);</w:t>
            </w:r>
          </w:p>
          <w:p w14:paraId="0E6AAB33" w14:textId="7CEFD279" w:rsidR="00680325" w:rsidRPr="001E1768" w:rsidRDefault="00A23587" w:rsidP="005E1FE1">
            <w:pPr>
              <w:spacing w:after="0" w:line="240" w:lineRule="auto"/>
              <w:ind w:left="57" w:right="113"/>
              <w:jc w:val="both"/>
              <w:rPr>
                <w:rFonts w:ascii="Times New Roman" w:hAnsi="Times New Roman" w:cs="Times New Roman"/>
                <w:sz w:val="23"/>
                <w:szCs w:val="23"/>
                <w:shd w:val="clear" w:color="auto" w:fill="FFFFFF"/>
              </w:rPr>
            </w:pPr>
            <w:r w:rsidRPr="001E1768">
              <w:rPr>
                <w:rFonts w:ascii="Times New Roman" w:hAnsi="Times New Roman" w:cs="Times New Roman"/>
                <w:sz w:val="23"/>
                <w:szCs w:val="23"/>
                <w:shd w:val="clear" w:color="auto" w:fill="FFFFFF"/>
              </w:rPr>
              <w:lastRenderedPageBreak/>
              <w:t xml:space="preserve">- </w:t>
            </w:r>
            <w:r w:rsidR="00437D33" w:rsidRPr="001E1768">
              <w:rPr>
                <w:rFonts w:ascii="Times New Roman" w:hAnsi="Times New Roman" w:cs="Times New Roman"/>
                <w:sz w:val="23"/>
                <w:szCs w:val="23"/>
                <w:shd w:val="clear" w:color="auto" w:fill="FFFFFF"/>
              </w:rPr>
              <w:t xml:space="preserve">norādot, ka jauniešus, kas ir bijuši pilna laika izglītības programmu studenti un iesaistīti projektā līdz </w:t>
            </w:r>
            <w:proofErr w:type="gramStart"/>
            <w:r w:rsidR="00437D33" w:rsidRPr="001E1768">
              <w:rPr>
                <w:rFonts w:ascii="Times New Roman" w:hAnsi="Times New Roman" w:cs="Times New Roman"/>
                <w:sz w:val="23"/>
                <w:szCs w:val="23"/>
                <w:shd w:val="clear" w:color="auto" w:fill="FFFFFF"/>
              </w:rPr>
              <w:t>2014.gada</w:t>
            </w:r>
            <w:proofErr w:type="gramEnd"/>
            <w:r w:rsidR="00437D33" w:rsidRPr="001E1768">
              <w:rPr>
                <w:rFonts w:ascii="Times New Roman" w:hAnsi="Times New Roman" w:cs="Times New Roman"/>
                <w:sz w:val="23"/>
                <w:szCs w:val="23"/>
                <w:shd w:val="clear" w:color="auto" w:fill="FFFFFF"/>
              </w:rPr>
              <w:t xml:space="preserve"> 15.augustam, uzskaita projektā papildus projektam noteiktajiem sasniedzamajiem uzraudzības rādītājiem</w:t>
            </w:r>
            <w:r w:rsidR="00DB6EA7" w:rsidRPr="001E1768">
              <w:rPr>
                <w:rFonts w:ascii="Times New Roman" w:hAnsi="Times New Roman" w:cs="Times New Roman"/>
                <w:sz w:val="23"/>
                <w:szCs w:val="23"/>
                <w:shd w:val="clear" w:color="auto" w:fill="FFFFFF"/>
              </w:rPr>
              <w:t>;</w:t>
            </w:r>
          </w:p>
          <w:p w14:paraId="7A36FBCF" w14:textId="2E2F0EB0" w:rsidR="00906FB1" w:rsidRPr="001E1768" w:rsidRDefault="002C3010" w:rsidP="005E1FE1">
            <w:pPr>
              <w:spacing w:after="0" w:line="240" w:lineRule="auto"/>
              <w:ind w:left="57" w:right="113"/>
              <w:jc w:val="both"/>
              <w:rPr>
                <w:rFonts w:ascii="Times New Roman" w:hAnsi="Times New Roman" w:cs="Times New Roman"/>
                <w:sz w:val="23"/>
                <w:szCs w:val="23"/>
                <w:shd w:val="clear" w:color="auto" w:fill="FFFFFF"/>
              </w:rPr>
            </w:pPr>
            <w:r w:rsidRPr="001E1768">
              <w:rPr>
                <w:rFonts w:ascii="Times New Roman" w:hAnsi="Times New Roman" w:cs="Times New Roman"/>
                <w:sz w:val="23"/>
                <w:szCs w:val="23"/>
                <w:shd w:val="clear" w:color="auto" w:fill="FFFFFF"/>
              </w:rPr>
              <w:t>8</w:t>
            </w:r>
            <w:r w:rsidR="00906FB1" w:rsidRPr="001E1768">
              <w:rPr>
                <w:rFonts w:ascii="Times New Roman" w:hAnsi="Times New Roman" w:cs="Times New Roman"/>
                <w:sz w:val="23"/>
                <w:szCs w:val="23"/>
                <w:shd w:val="clear" w:color="auto" w:fill="FFFFFF"/>
              </w:rPr>
              <w:t>. lai izvairītos no nepieciešamības izmaiņu gadījumā grozīt normatīvos aktus</w:t>
            </w:r>
            <w:r w:rsidR="00314182" w:rsidRPr="001E1768">
              <w:rPr>
                <w:rFonts w:ascii="Times New Roman" w:hAnsi="Times New Roman" w:cs="Times New Roman"/>
                <w:sz w:val="23"/>
                <w:szCs w:val="23"/>
                <w:shd w:val="clear" w:color="auto" w:fill="FFFFFF"/>
              </w:rPr>
              <w:t xml:space="preserve"> attiecībā uz nosacījumiem</w:t>
            </w:r>
            <w:r w:rsidR="00906FB1" w:rsidRPr="001E1768">
              <w:rPr>
                <w:rFonts w:ascii="Times New Roman" w:hAnsi="Times New Roman" w:cs="Times New Roman"/>
                <w:sz w:val="23"/>
                <w:szCs w:val="23"/>
                <w:shd w:val="clear" w:color="auto" w:fill="FFFFFF"/>
              </w:rPr>
              <w:t>, kas ir atrunāti citos normatīvajos aktos</w:t>
            </w:r>
            <w:r w:rsidR="004C27C1" w:rsidRPr="001E1768">
              <w:rPr>
                <w:rFonts w:ascii="Times New Roman" w:hAnsi="Times New Roman" w:cs="Times New Roman"/>
                <w:sz w:val="23"/>
                <w:szCs w:val="23"/>
                <w:shd w:val="clear" w:color="auto" w:fill="FFFFFF"/>
              </w:rPr>
              <w:t xml:space="preserve"> (piemēram, MK </w:t>
            </w:r>
            <w:proofErr w:type="gramStart"/>
            <w:r w:rsidR="004C27C1" w:rsidRPr="001E1768">
              <w:rPr>
                <w:rFonts w:ascii="Times New Roman" w:hAnsi="Times New Roman" w:cs="Times New Roman"/>
                <w:sz w:val="23"/>
                <w:szCs w:val="23"/>
                <w:shd w:val="clear" w:color="auto" w:fill="FFFFFF"/>
              </w:rPr>
              <w:t>2011.gada</w:t>
            </w:r>
            <w:proofErr w:type="gramEnd"/>
            <w:r w:rsidR="004C27C1" w:rsidRPr="001E1768">
              <w:rPr>
                <w:rFonts w:ascii="Times New Roman" w:hAnsi="Times New Roman" w:cs="Times New Roman"/>
                <w:sz w:val="23"/>
                <w:szCs w:val="23"/>
                <w:shd w:val="clear" w:color="auto" w:fill="FFFFFF"/>
              </w:rPr>
              <w:t xml:space="preserve"> 25.janvāra noteikumos Nr.75 “Noteikumi par aktīvo nodarbinātības </w:t>
            </w:r>
            <w:r w:rsidR="004C27C1" w:rsidRPr="001E1768">
              <w:rPr>
                <w:rFonts w:ascii="Times New Roman" w:hAnsi="Times New Roman" w:cs="Times New Roman"/>
                <w:bCs/>
                <w:sz w:val="23"/>
                <w:szCs w:val="23"/>
                <w:shd w:val="clear" w:color="auto" w:fill="FFFFFF"/>
              </w:rPr>
              <w:t>pasākumu un preventīvo bezdarba samazināšanas pasākumu organizēšanas un finansēšanas kārtību un pasākumu īstenotāju izvēles principiem”</w:t>
            </w:r>
            <w:r w:rsidR="004C27C1" w:rsidRPr="001E1768">
              <w:rPr>
                <w:rFonts w:ascii="Times New Roman" w:hAnsi="Times New Roman" w:cs="Times New Roman"/>
                <w:sz w:val="23"/>
                <w:szCs w:val="23"/>
                <w:shd w:val="clear" w:color="auto" w:fill="FFFFFF"/>
              </w:rPr>
              <w:t>)</w:t>
            </w:r>
            <w:r w:rsidR="00906FB1" w:rsidRPr="001E1768">
              <w:rPr>
                <w:rFonts w:ascii="Times New Roman" w:hAnsi="Times New Roman" w:cs="Times New Roman"/>
                <w:sz w:val="23"/>
                <w:szCs w:val="23"/>
                <w:shd w:val="clear" w:color="auto" w:fill="FFFFFF"/>
              </w:rPr>
              <w:t>, svītrotas tiesību normas, kas dublējas</w:t>
            </w:r>
            <w:r w:rsidR="00314182" w:rsidRPr="001E1768">
              <w:rPr>
                <w:rFonts w:ascii="Times New Roman" w:hAnsi="Times New Roman" w:cs="Times New Roman"/>
                <w:sz w:val="23"/>
                <w:szCs w:val="23"/>
                <w:shd w:val="clear" w:color="auto" w:fill="FFFFFF"/>
              </w:rPr>
              <w:t>, vai</w:t>
            </w:r>
            <w:r w:rsidR="00170D6C" w:rsidRPr="001E1768">
              <w:rPr>
                <w:rFonts w:ascii="Times New Roman" w:hAnsi="Times New Roman" w:cs="Times New Roman"/>
                <w:sz w:val="23"/>
                <w:szCs w:val="23"/>
                <w:shd w:val="clear" w:color="auto" w:fill="FFFFFF"/>
              </w:rPr>
              <w:t xml:space="preserve"> nosacījumi papildināti ar atsauci</w:t>
            </w:r>
            <w:r w:rsidR="004C6AE0" w:rsidRPr="001E1768">
              <w:rPr>
                <w:rFonts w:ascii="Times New Roman" w:hAnsi="Times New Roman" w:cs="Times New Roman"/>
                <w:sz w:val="23"/>
                <w:szCs w:val="23"/>
                <w:shd w:val="clear" w:color="auto" w:fill="FFFFFF"/>
              </w:rPr>
              <w:t xml:space="preserve"> uz</w:t>
            </w:r>
            <w:r w:rsidR="00170D6C" w:rsidRPr="001E1768">
              <w:rPr>
                <w:rFonts w:ascii="Times New Roman" w:hAnsi="Times New Roman" w:cs="Times New Roman"/>
                <w:sz w:val="23"/>
                <w:szCs w:val="23"/>
                <w:shd w:val="clear" w:color="auto" w:fill="FFFFFF"/>
              </w:rPr>
              <w:t xml:space="preserve"> </w:t>
            </w:r>
            <w:r w:rsidR="00314182" w:rsidRPr="001E1768">
              <w:rPr>
                <w:rFonts w:ascii="Times New Roman" w:hAnsi="Times New Roman" w:cs="Times New Roman"/>
                <w:sz w:val="23"/>
                <w:szCs w:val="23"/>
                <w:shd w:val="clear" w:color="auto" w:fill="FFFFFF"/>
              </w:rPr>
              <w:t>normatīvajiem aktiem</w:t>
            </w:r>
            <w:r w:rsidR="00170D6C" w:rsidRPr="001E1768">
              <w:rPr>
                <w:rFonts w:ascii="Times New Roman" w:hAnsi="Times New Roman" w:cs="Times New Roman"/>
                <w:sz w:val="23"/>
                <w:szCs w:val="23"/>
                <w:shd w:val="clear" w:color="auto" w:fill="FFFFFF"/>
              </w:rPr>
              <w:t>, atbilstoši kuriem ir plānojamas MK noteikumos norādītās darbības</w:t>
            </w:r>
            <w:r w:rsidR="00906FB1" w:rsidRPr="001E1768">
              <w:rPr>
                <w:rFonts w:ascii="Times New Roman" w:hAnsi="Times New Roman" w:cs="Times New Roman"/>
                <w:sz w:val="23"/>
                <w:szCs w:val="23"/>
                <w:shd w:val="clear" w:color="auto" w:fill="FFFFFF"/>
              </w:rPr>
              <w:t xml:space="preserve"> (MK noteikumu projekta </w:t>
            </w:r>
            <w:r w:rsidR="007B3747" w:rsidRPr="001E1768">
              <w:rPr>
                <w:rFonts w:ascii="Times New Roman" w:hAnsi="Times New Roman" w:cs="Times New Roman"/>
                <w:sz w:val="23"/>
                <w:szCs w:val="23"/>
                <w:shd w:val="clear" w:color="auto" w:fill="FFFFFF"/>
              </w:rPr>
              <w:t>19</w:t>
            </w:r>
            <w:r w:rsidR="00170D6C" w:rsidRPr="001E1768">
              <w:rPr>
                <w:rFonts w:ascii="Times New Roman" w:hAnsi="Times New Roman" w:cs="Times New Roman"/>
                <w:sz w:val="23"/>
                <w:szCs w:val="23"/>
                <w:shd w:val="clear" w:color="auto" w:fill="FFFFFF"/>
              </w:rPr>
              <w:t xml:space="preserve">., </w:t>
            </w:r>
            <w:r w:rsidR="007B3747" w:rsidRPr="001E1768">
              <w:rPr>
                <w:rFonts w:ascii="Times New Roman" w:hAnsi="Times New Roman" w:cs="Times New Roman"/>
                <w:sz w:val="23"/>
                <w:szCs w:val="23"/>
                <w:shd w:val="clear" w:color="auto" w:fill="FFFFFF"/>
              </w:rPr>
              <w:t>20</w:t>
            </w:r>
            <w:r w:rsidR="00170D6C" w:rsidRPr="001E1768">
              <w:rPr>
                <w:rFonts w:ascii="Times New Roman" w:hAnsi="Times New Roman" w:cs="Times New Roman"/>
                <w:sz w:val="23"/>
                <w:szCs w:val="23"/>
                <w:shd w:val="clear" w:color="auto" w:fill="FFFFFF"/>
              </w:rPr>
              <w:t xml:space="preserve">., </w:t>
            </w:r>
            <w:r w:rsidR="007B3747" w:rsidRPr="001E1768">
              <w:rPr>
                <w:rFonts w:ascii="Times New Roman" w:hAnsi="Times New Roman" w:cs="Times New Roman"/>
                <w:sz w:val="23"/>
                <w:szCs w:val="23"/>
                <w:shd w:val="clear" w:color="auto" w:fill="FFFFFF"/>
              </w:rPr>
              <w:t>32</w:t>
            </w:r>
            <w:r w:rsidR="00170D6C" w:rsidRPr="001E1768">
              <w:rPr>
                <w:rFonts w:ascii="Times New Roman" w:hAnsi="Times New Roman" w:cs="Times New Roman"/>
                <w:sz w:val="23"/>
                <w:szCs w:val="23"/>
                <w:shd w:val="clear" w:color="auto" w:fill="FFFFFF"/>
              </w:rPr>
              <w:t xml:space="preserve">. un </w:t>
            </w:r>
            <w:r w:rsidR="007B3747" w:rsidRPr="001E1768">
              <w:rPr>
                <w:rFonts w:ascii="Times New Roman" w:hAnsi="Times New Roman" w:cs="Times New Roman"/>
                <w:sz w:val="23"/>
                <w:szCs w:val="23"/>
                <w:shd w:val="clear" w:color="auto" w:fill="FFFFFF"/>
              </w:rPr>
              <w:t>39</w:t>
            </w:r>
            <w:r w:rsidR="00906FB1" w:rsidRPr="001E1768">
              <w:rPr>
                <w:rFonts w:ascii="Times New Roman" w:hAnsi="Times New Roman" w:cs="Times New Roman"/>
                <w:sz w:val="23"/>
                <w:szCs w:val="23"/>
                <w:shd w:val="clear" w:color="auto" w:fill="FFFFFF"/>
              </w:rPr>
              <w:t>.punkts);</w:t>
            </w:r>
          </w:p>
          <w:p w14:paraId="477BA47E" w14:textId="7B23F9B2" w:rsidR="00B679BE" w:rsidRPr="001E1768" w:rsidRDefault="00B679BE" w:rsidP="005E1FE1">
            <w:pPr>
              <w:spacing w:after="0" w:line="240" w:lineRule="auto"/>
              <w:ind w:left="57" w:right="113"/>
              <w:jc w:val="both"/>
              <w:rPr>
                <w:rFonts w:ascii="Times New Roman" w:hAnsi="Times New Roman" w:cs="Times New Roman"/>
                <w:sz w:val="23"/>
                <w:szCs w:val="23"/>
                <w:shd w:val="clear" w:color="auto" w:fill="FFFFFF"/>
              </w:rPr>
            </w:pPr>
            <w:r w:rsidRPr="001E1768">
              <w:rPr>
                <w:rFonts w:ascii="Times New Roman" w:hAnsi="Times New Roman" w:cs="Times New Roman"/>
                <w:sz w:val="23"/>
                <w:szCs w:val="23"/>
                <w:shd w:val="clear" w:color="auto" w:fill="FFFFFF"/>
              </w:rPr>
              <w:t xml:space="preserve">9.  </w:t>
            </w:r>
            <w:r w:rsidRPr="001E1768">
              <w:rPr>
                <w:rFonts w:ascii="Times New Roman" w:hAnsi="Times New Roman" w:cs="Times New Roman"/>
                <w:color w:val="000000"/>
                <w:sz w:val="23"/>
                <w:szCs w:val="23"/>
              </w:rPr>
              <w:t xml:space="preserve"> </w:t>
            </w:r>
            <w:r w:rsidRPr="001E1768">
              <w:rPr>
                <w:rFonts w:ascii="Times New Roman" w:hAnsi="Times New Roman" w:cs="Times New Roman"/>
                <w:sz w:val="23"/>
                <w:szCs w:val="23"/>
                <w:shd w:val="clear" w:color="auto" w:fill="FFFFFF"/>
              </w:rPr>
              <w:t xml:space="preserve">lai nodrošinātu, ka atbalstāmajā darbībā “pirmās darba pieredzes jaunietim ieguve” un “subsidētās darba vietas jauniešiem bezdarbniekiem (pasākumi noteiktām personu grupām)” kā darba vadītāji var tikt piesaistītas arī pašnodarbinātas personas (t.i., svītrots ikmēneša dotācijas izmaksas veids jauniešu darba vadītājam) (MK noteikumu projekta </w:t>
            </w:r>
            <w:r w:rsidR="007B3747" w:rsidRPr="001E1768">
              <w:rPr>
                <w:rFonts w:ascii="Times New Roman" w:hAnsi="Times New Roman" w:cs="Times New Roman"/>
                <w:sz w:val="23"/>
                <w:szCs w:val="23"/>
                <w:shd w:val="clear" w:color="auto" w:fill="FFFFFF"/>
              </w:rPr>
              <w:t>21</w:t>
            </w:r>
            <w:r w:rsidR="00170D6C" w:rsidRPr="001E1768">
              <w:rPr>
                <w:rFonts w:ascii="Times New Roman" w:hAnsi="Times New Roman" w:cs="Times New Roman"/>
                <w:sz w:val="23"/>
                <w:szCs w:val="23"/>
                <w:shd w:val="clear" w:color="auto" w:fill="FFFFFF"/>
              </w:rPr>
              <w:t xml:space="preserve">. un </w:t>
            </w:r>
            <w:r w:rsidR="007B3747" w:rsidRPr="001E1768">
              <w:rPr>
                <w:rFonts w:ascii="Times New Roman" w:hAnsi="Times New Roman" w:cs="Times New Roman"/>
                <w:sz w:val="23"/>
                <w:szCs w:val="23"/>
                <w:shd w:val="clear" w:color="auto" w:fill="FFFFFF"/>
              </w:rPr>
              <w:t>22</w:t>
            </w:r>
            <w:r w:rsidRPr="001E1768">
              <w:rPr>
                <w:rFonts w:ascii="Times New Roman" w:hAnsi="Times New Roman" w:cs="Times New Roman"/>
                <w:sz w:val="23"/>
                <w:szCs w:val="23"/>
                <w:shd w:val="clear" w:color="auto" w:fill="FFFFFF"/>
              </w:rPr>
              <w:t>.punkts);</w:t>
            </w:r>
          </w:p>
          <w:p w14:paraId="77D388C4" w14:textId="6CBF1F63" w:rsidR="00297DB0" w:rsidRPr="001E1768" w:rsidRDefault="00B679BE" w:rsidP="00074E9C">
            <w:pPr>
              <w:spacing w:after="0" w:line="240" w:lineRule="auto"/>
              <w:ind w:left="57" w:right="113"/>
              <w:jc w:val="both"/>
              <w:rPr>
                <w:rFonts w:ascii="Times New Roman" w:hAnsi="Times New Roman" w:cs="Times New Roman"/>
                <w:sz w:val="23"/>
                <w:szCs w:val="23"/>
                <w:shd w:val="clear" w:color="auto" w:fill="FFFFFF"/>
              </w:rPr>
            </w:pPr>
            <w:r w:rsidRPr="001E1768">
              <w:rPr>
                <w:rFonts w:ascii="Times New Roman" w:hAnsi="Times New Roman" w:cs="Times New Roman"/>
                <w:sz w:val="23"/>
                <w:szCs w:val="23"/>
                <w:shd w:val="clear" w:color="auto" w:fill="FFFFFF"/>
              </w:rPr>
              <w:t>10</w:t>
            </w:r>
            <w:r w:rsidR="00680325" w:rsidRPr="001E1768">
              <w:rPr>
                <w:rFonts w:ascii="Times New Roman" w:hAnsi="Times New Roman" w:cs="Times New Roman"/>
                <w:sz w:val="23"/>
                <w:szCs w:val="23"/>
                <w:shd w:val="clear" w:color="auto" w:fill="FFFFFF"/>
              </w:rPr>
              <w:t>.</w:t>
            </w:r>
            <w:r w:rsidR="00C77C47" w:rsidRPr="001E1768">
              <w:rPr>
                <w:rFonts w:ascii="Times New Roman" w:hAnsi="Times New Roman" w:cs="Times New Roman"/>
                <w:sz w:val="23"/>
                <w:szCs w:val="23"/>
                <w:shd w:val="clear" w:color="auto" w:fill="FFFFFF"/>
              </w:rPr>
              <w:t xml:space="preserve"> </w:t>
            </w:r>
            <w:r w:rsidR="00680325" w:rsidRPr="001E1768">
              <w:rPr>
                <w:rFonts w:ascii="Times New Roman" w:hAnsi="Times New Roman" w:cs="Times New Roman"/>
                <w:sz w:val="23"/>
                <w:szCs w:val="23"/>
                <w:shd w:val="clear" w:color="auto" w:fill="FFFFFF"/>
              </w:rPr>
              <w:t>v</w:t>
            </w:r>
            <w:r w:rsidR="00C77C47" w:rsidRPr="001E1768">
              <w:rPr>
                <w:rFonts w:ascii="Times New Roman" w:hAnsi="Times New Roman" w:cs="Times New Roman"/>
                <w:sz w:val="23"/>
                <w:szCs w:val="23"/>
                <w:shd w:val="clear" w:color="auto" w:fill="FFFFFF"/>
              </w:rPr>
              <w:t>ienlaikus MK noteikumu projekt</w:t>
            </w:r>
            <w:r w:rsidR="00680325" w:rsidRPr="001E1768">
              <w:rPr>
                <w:rFonts w:ascii="Times New Roman" w:hAnsi="Times New Roman" w:cs="Times New Roman"/>
                <w:sz w:val="23"/>
                <w:szCs w:val="23"/>
                <w:shd w:val="clear" w:color="auto" w:fill="FFFFFF"/>
              </w:rPr>
              <w:t>u</w:t>
            </w:r>
            <w:r w:rsidR="00C77C47" w:rsidRPr="001E1768">
              <w:rPr>
                <w:rFonts w:ascii="Times New Roman" w:hAnsi="Times New Roman" w:cs="Times New Roman"/>
                <w:sz w:val="23"/>
                <w:szCs w:val="23"/>
                <w:shd w:val="clear" w:color="auto" w:fill="FFFFFF"/>
              </w:rPr>
              <w:t xml:space="preserve"> </w:t>
            </w:r>
            <w:r w:rsidR="00680325" w:rsidRPr="001E1768">
              <w:rPr>
                <w:rFonts w:ascii="Times New Roman" w:hAnsi="Times New Roman" w:cs="Times New Roman"/>
                <w:sz w:val="23"/>
                <w:szCs w:val="23"/>
                <w:shd w:val="clear" w:color="auto" w:fill="FFFFFF"/>
              </w:rPr>
              <w:t>ir nepieciešams precizēt</w:t>
            </w:r>
            <w:r w:rsidR="00C77C47" w:rsidRPr="001E1768">
              <w:rPr>
                <w:rFonts w:ascii="Times New Roman" w:hAnsi="Times New Roman" w:cs="Times New Roman"/>
                <w:sz w:val="23"/>
                <w:szCs w:val="23"/>
                <w:shd w:val="clear" w:color="auto" w:fill="FFFFFF"/>
              </w:rPr>
              <w:t xml:space="preserve"> atbilstoši iebildumiem un priekšlikumiem, kas saņemti saskaņošanas procesā par citiem MK noteikumu projektiem par Labklājības ministrijas pārziņā esošo specifisko atbalsta mērķu īstenošanu</w:t>
            </w:r>
            <w:r w:rsidR="00AB4AEE" w:rsidRPr="001E1768">
              <w:rPr>
                <w:rFonts w:ascii="Times New Roman" w:hAnsi="Times New Roman" w:cs="Times New Roman"/>
                <w:sz w:val="23"/>
                <w:szCs w:val="23"/>
                <w:shd w:val="clear" w:color="auto" w:fill="FFFFFF"/>
              </w:rPr>
              <w:t xml:space="preserve"> (piemēram, šādi iebildumi/precizējumi ir iestrādāti arī Labklājības ministrijas izstrādātajos MK </w:t>
            </w:r>
            <w:proofErr w:type="gramStart"/>
            <w:r w:rsidR="00AB4AEE" w:rsidRPr="001E1768">
              <w:rPr>
                <w:rFonts w:ascii="Times New Roman" w:hAnsi="Times New Roman" w:cs="Times New Roman"/>
                <w:sz w:val="23"/>
                <w:szCs w:val="23"/>
                <w:shd w:val="clear" w:color="auto" w:fill="FFFFFF"/>
              </w:rPr>
              <w:t>2014.gada</w:t>
            </w:r>
            <w:proofErr w:type="gramEnd"/>
            <w:r w:rsidR="00AB4AEE" w:rsidRPr="001E1768">
              <w:rPr>
                <w:rFonts w:ascii="Times New Roman" w:hAnsi="Times New Roman" w:cs="Times New Roman"/>
                <w:sz w:val="23"/>
                <w:szCs w:val="23"/>
                <w:shd w:val="clear" w:color="auto" w:fill="FFFFFF"/>
              </w:rPr>
              <w:t xml:space="preserve"> 23.decembra noteikumos Nr.835 “Darbības programmas “Izaugsme un nodarbinātība” 9.1.1.specifiskā atbalsta mērķa “Palielināt nelabvēlīgākā situācijā esošu bezdarbnieku iekļaušanos darba tirgū” 9.1.1.1.pasākuma “Subsidētās darbavietas nelabvēlīgākā situācijā esošiem bezdarbniekiem” īstenošanas noteikumi”, MK 2015.gada 30.jūnija noteikumos Nr.352 “Darbības programmas “Izaugsme un nodarbinātība” 9.1.4.specifiskā atbalsta mērķa “Palielināt diskriminācijas riskiem pakļauto iedzīvotāju integrāciju sabiedrībā un darba tirgū” 9.1.4.1.pasākuma “Profesionālā rehabilitācija” īstenošanas noteikumi” un MK 2015.gada 7.jūlija noteikumos Nr.386 “Darbības programmas “Izaugsme un nodarbinātība” 9.1.4.specifiskā atbalsta mērķa “Palielināt diskriminācijas riskiem pakļauto iedzīvotāju integrāciju sabiedrībā un darba tirgū” 9.1.4.1.pasākuma “Profesionālā rehabilitācija” īstenošanas noteikumi”)</w:t>
            </w:r>
            <w:r w:rsidR="00680325" w:rsidRPr="001E1768">
              <w:rPr>
                <w:rFonts w:ascii="Times New Roman" w:hAnsi="Times New Roman" w:cs="Times New Roman"/>
                <w:sz w:val="23"/>
                <w:szCs w:val="23"/>
                <w:shd w:val="clear" w:color="auto" w:fill="FFFFFF"/>
              </w:rPr>
              <w:t xml:space="preserve"> (MK noteikumu projekta </w:t>
            </w:r>
            <w:r w:rsidR="007B3747" w:rsidRPr="001E1768">
              <w:rPr>
                <w:rFonts w:ascii="Times New Roman" w:hAnsi="Times New Roman" w:cs="Times New Roman"/>
                <w:sz w:val="23"/>
                <w:szCs w:val="23"/>
                <w:shd w:val="clear" w:color="auto" w:fill="FFFFFF"/>
              </w:rPr>
              <w:t>18</w:t>
            </w:r>
            <w:r w:rsidR="00680325" w:rsidRPr="001E1768">
              <w:rPr>
                <w:rFonts w:ascii="Times New Roman" w:hAnsi="Times New Roman" w:cs="Times New Roman"/>
                <w:sz w:val="23"/>
                <w:szCs w:val="23"/>
                <w:shd w:val="clear" w:color="auto" w:fill="FFFFFF"/>
              </w:rPr>
              <w:t xml:space="preserve">., </w:t>
            </w:r>
            <w:r w:rsidR="007B3747" w:rsidRPr="001E1768">
              <w:rPr>
                <w:rFonts w:ascii="Times New Roman" w:hAnsi="Times New Roman" w:cs="Times New Roman"/>
                <w:sz w:val="23"/>
                <w:szCs w:val="23"/>
                <w:shd w:val="clear" w:color="auto" w:fill="FFFFFF"/>
              </w:rPr>
              <w:t>29</w:t>
            </w:r>
            <w:r w:rsidR="00680325" w:rsidRPr="001E1768">
              <w:rPr>
                <w:rFonts w:ascii="Times New Roman" w:hAnsi="Times New Roman" w:cs="Times New Roman"/>
                <w:sz w:val="23"/>
                <w:szCs w:val="23"/>
                <w:shd w:val="clear" w:color="auto" w:fill="FFFFFF"/>
              </w:rPr>
              <w:t xml:space="preserve">., </w:t>
            </w:r>
            <w:r w:rsidR="007B3747" w:rsidRPr="001E1768">
              <w:rPr>
                <w:rFonts w:ascii="Times New Roman" w:hAnsi="Times New Roman" w:cs="Times New Roman"/>
                <w:sz w:val="23"/>
                <w:szCs w:val="23"/>
                <w:shd w:val="clear" w:color="auto" w:fill="FFFFFF"/>
              </w:rPr>
              <w:t>30</w:t>
            </w:r>
            <w:r w:rsidR="00680325" w:rsidRPr="001E1768">
              <w:rPr>
                <w:rFonts w:ascii="Times New Roman" w:hAnsi="Times New Roman" w:cs="Times New Roman"/>
                <w:sz w:val="23"/>
                <w:szCs w:val="23"/>
                <w:shd w:val="clear" w:color="auto" w:fill="FFFFFF"/>
              </w:rPr>
              <w:t xml:space="preserve">., </w:t>
            </w:r>
            <w:r w:rsidR="007B3747" w:rsidRPr="001E1768">
              <w:rPr>
                <w:rFonts w:ascii="Times New Roman" w:hAnsi="Times New Roman" w:cs="Times New Roman"/>
                <w:sz w:val="23"/>
                <w:szCs w:val="23"/>
                <w:shd w:val="clear" w:color="auto" w:fill="FFFFFF"/>
              </w:rPr>
              <w:t>39</w:t>
            </w:r>
            <w:r w:rsidR="00680325" w:rsidRPr="001E1768">
              <w:rPr>
                <w:rFonts w:ascii="Times New Roman" w:hAnsi="Times New Roman" w:cs="Times New Roman"/>
                <w:sz w:val="23"/>
                <w:szCs w:val="23"/>
                <w:shd w:val="clear" w:color="auto" w:fill="FFFFFF"/>
              </w:rPr>
              <w:t xml:space="preserve">. un </w:t>
            </w:r>
            <w:r w:rsidR="007B3747" w:rsidRPr="001E1768">
              <w:rPr>
                <w:rFonts w:ascii="Times New Roman" w:hAnsi="Times New Roman" w:cs="Times New Roman"/>
                <w:sz w:val="23"/>
                <w:szCs w:val="23"/>
                <w:shd w:val="clear" w:color="auto" w:fill="FFFFFF"/>
              </w:rPr>
              <w:t>43</w:t>
            </w:r>
            <w:r w:rsidR="00680325" w:rsidRPr="001E1768">
              <w:rPr>
                <w:rFonts w:ascii="Times New Roman" w:hAnsi="Times New Roman" w:cs="Times New Roman"/>
                <w:sz w:val="23"/>
                <w:szCs w:val="23"/>
                <w:shd w:val="clear" w:color="auto" w:fill="FFFFFF"/>
              </w:rPr>
              <w:t>.punkts)</w:t>
            </w:r>
            <w:r w:rsidR="00297DB0" w:rsidRPr="001E1768">
              <w:rPr>
                <w:rFonts w:ascii="Times New Roman" w:hAnsi="Times New Roman" w:cs="Times New Roman"/>
                <w:sz w:val="23"/>
                <w:szCs w:val="23"/>
                <w:shd w:val="clear" w:color="auto" w:fill="FFFFFF"/>
              </w:rPr>
              <w:t>, t.sk.:</w:t>
            </w:r>
          </w:p>
          <w:p w14:paraId="78D71808" w14:textId="77777777" w:rsidR="00297DB0" w:rsidRPr="001E1768" w:rsidRDefault="00297DB0" w:rsidP="00297DB0">
            <w:pPr>
              <w:spacing w:after="0" w:line="240" w:lineRule="auto"/>
              <w:ind w:left="57" w:right="113"/>
              <w:jc w:val="both"/>
              <w:rPr>
                <w:rFonts w:ascii="Times New Roman" w:hAnsi="Times New Roman" w:cs="Times New Roman"/>
                <w:sz w:val="23"/>
                <w:szCs w:val="23"/>
                <w:shd w:val="clear" w:color="auto" w:fill="FFFFFF"/>
              </w:rPr>
            </w:pPr>
            <w:r w:rsidRPr="001E1768">
              <w:rPr>
                <w:rFonts w:ascii="Times New Roman" w:hAnsi="Times New Roman" w:cs="Times New Roman"/>
                <w:sz w:val="23"/>
                <w:szCs w:val="23"/>
                <w:shd w:val="clear" w:color="auto" w:fill="FFFFFF"/>
              </w:rPr>
              <w:t>- lai nodrošinātu tiesību normas nepārprotamību, atbalstāmā darbība “projekta vadība” papildināta ar vārdiem “un īstenošanas nodrošināšana”, kā arī ietverts papildinājums, ka, plānojot netiešās izmaksas, tām tiek piemērota vienotā likme. Vienlaikus atbilstoši normatīvajiem aktiem nodokļu jomā redakcionāli precizēts, ka pievienotās vērtības nodokļa izmaksas ir attiecināmās izmaksas, ja tās nav “atgūstamas”;</w:t>
            </w:r>
          </w:p>
          <w:p w14:paraId="507B963F" w14:textId="384AC496" w:rsidR="00D53088" w:rsidRPr="001E1768" w:rsidRDefault="00297DB0" w:rsidP="00297DB0">
            <w:pPr>
              <w:spacing w:after="0" w:line="240" w:lineRule="auto"/>
              <w:ind w:left="57" w:right="113"/>
              <w:jc w:val="both"/>
              <w:rPr>
                <w:rFonts w:ascii="Times New Roman" w:hAnsi="Times New Roman" w:cs="Times New Roman"/>
                <w:sz w:val="23"/>
                <w:szCs w:val="23"/>
                <w:shd w:val="clear" w:color="auto" w:fill="FFFFFF"/>
              </w:rPr>
            </w:pPr>
            <w:r w:rsidRPr="001E1768">
              <w:rPr>
                <w:rFonts w:ascii="Times New Roman" w:hAnsi="Times New Roman" w:cs="Times New Roman"/>
                <w:sz w:val="23"/>
                <w:szCs w:val="23"/>
                <w:shd w:val="clear" w:color="auto" w:fill="FFFFFF"/>
              </w:rPr>
              <w:t>- papildināts ar nosacījumu, ka valsts atbalstu nepiešķir arī gadījumos, kad saimnieciskās darbības veicējs</w:t>
            </w:r>
            <w:r w:rsidR="00A46782" w:rsidRPr="001E1768">
              <w:rPr>
                <w:rFonts w:ascii="Times New Roman" w:hAnsi="Times New Roman" w:cs="Times New Roman"/>
                <w:sz w:val="23"/>
                <w:szCs w:val="23"/>
                <w:shd w:val="clear" w:color="auto" w:fill="FFFFFF"/>
              </w:rPr>
              <w:t xml:space="preserve"> atbilst</w:t>
            </w:r>
            <w:r w:rsidRPr="001E1768">
              <w:rPr>
                <w:rFonts w:ascii="Times New Roman" w:hAnsi="Times New Roman" w:cs="Times New Roman"/>
                <w:sz w:val="23"/>
                <w:szCs w:val="23"/>
                <w:shd w:val="clear" w:color="auto" w:fill="FFFFFF"/>
              </w:rPr>
              <w:t xml:space="preserve"> normatīvajos aktos maksātnespējas jomā noteiktiem kritērijiem, lai tam pēc kreditoru pieprasījuma piemērotu kolektīvu maksātnespējas procedūru, kā arī papildināts ar nosacījumu, ka finansējuma saņēmēji uzkrāj datus par šāda horizontālā principa “Vienlīdzīgas iespējas” horizontālā rādītāja sasniegšanu: “Specifiskus pakalpojumus saņēmušās personas ar invaliditāti (darbavietu pielāgošana, ergoterapeita, surdotulka pakalpojumi, specia</w:t>
            </w:r>
            <w:r w:rsidR="007B3747" w:rsidRPr="001E1768">
              <w:rPr>
                <w:rFonts w:ascii="Times New Roman" w:hAnsi="Times New Roman" w:cs="Times New Roman"/>
                <w:sz w:val="23"/>
                <w:szCs w:val="23"/>
                <w:shd w:val="clear" w:color="auto" w:fill="FFFFFF"/>
              </w:rPr>
              <w:t>lizētā transporta pakalpojumi)”;</w:t>
            </w:r>
          </w:p>
          <w:p w14:paraId="27647DFE" w14:textId="381675D1" w:rsidR="007B3747" w:rsidRPr="001E1768" w:rsidRDefault="007B3747" w:rsidP="00297DB0">
            <w:pPr>
              <w:spacing w:after="0" w:line="240" w:lineRule="auto"/>
              <w:ind w:left="57" w:right="113"/>
              <w:jc w:val="both"/>
              <w:rPr>
                <w:rFonts w:ascii="Times New Roman" w:hAnsi="Times New Roman" w:cs="Times New Roman"/>
                <w:sz w:val="23"/>
                <w:szCs w:val="23"/>
                <w:shd w:val="clear" w:color="auto" w:fill="FFFFFF"/>
              </w:rPr>
            </w:pPr>
            <w:r w:rsidRPr="001E1768">
              <w:rPr>
                <w:rFonts w:ascii="Times New Roman" w:hAnsi="Times New Roman" w:cs="Times New Roman"/>
                <w:sz w:val="23"/>
                <w:szCs w:val="23"/>
                <w:shd w:val="clear" w:color="auto" w:fill="FFFFFF"/>
              </w:rPr>
              <w:lastRenderedPageBreak/>
              <w:t xml:space="preserve">- papildināts ar </w:t>
            </w:r>
            <w:r w:rsidR="00611E71" w:rsidRPr="001E1768">
              <w:rPr>
                <w:rFonts w:ascii="Times New Roman" w:hAnsi="Times New Roman" w:cs="Times New Roman"/>
                <w:sz w:val="23"/>
                <w:szCs w:val="23"/>
                <w:shd w:val="clear" w:color="auto" w:fill="FFFFFF"/>
              </w:rPr>
              <w:t>pienākumu</w:t>
            </w:r>
            <w:r w:rsidRPr="001E1768">
              <w:rPr>
                <w:rFonts w:ascii="Times New Roman" w:hAnsi="Times New Roman" w:cs="Times New Roman"/>
                <w:sz w:val="23"/>
                <w:szCs w:val="23"/>
                <w:shd w:val="clear" w:color="auto" w:fill="FFFFFF"/>
              </w:rPr>
              <w:t xml:space="preserve"> finansējuma saņēm</w:t>
            </w:r>
            <w:r w:rsidR="00611E71" w:rsidRPr="001E1768">
              <w:rPr>
                <w:rFonts w:ascii="Times New Roman" w:hAnsi="Times New Roman" w:cs="Times New Roman"/>
                <w:sz w:val="23"/>
                <w:szCs w:val="23"/>
                <w:shd w:val="clear" w:color="auto" w:fill="FFFFFF"/>
              </w:rPr>
              <w:t>ējam</w:t>
            </w:r>
            <w:r w:rsidRPr="001E1768">
              <w:rPr>
                <w:rFonts w:ascii="Times New Roman" w:hAnsi="Times New Roman" w:cs="Times New Roman"/>
                <w:sz w:val="23"/>
                <w:szCs w:val="23"/>
                <w:shd w:val="clear" w:color="auto" w:fill="FFFFFF"/>
              </w:rPr>
              <w:t xml:space="preserve"> </w:t>
            </w:r>
            <w:r w:rsidR="00611E71" w:rsidRPr="001E1768">
              <w:rPr>
                <w:rFonts w:ascii="Times New Roman" w:hAnsi="Times New Roman" w:cs="Times New Roman"/>
                <w:bCs/>
                <w:iCs/>
                <w:sz w:val="23"/>
                <w:szCs w:val="23"/>
                <w:shd w:val="clear" w:color="auto" w:fill="FFFFFF"/>
              </w:rPr>
              <w:t>uzkrāt un vienu reizi gadā iesniegt</w:t>
            </w:r>
            <w:r w:rsidRPr="001E1768">
              <w:rPr>
                <w:rFonts w:ascii="Times New Roman" w:hAnsi="Times New Roman" w:cs="Times New Roman"/>
                <w:bCs/>
                <w:iCs/>
                <w:sz w:val="23"/>
                <w:szCs w:val="23"/>
                <w:shd w:val="clear" w:color="auto" w:fill="FFFFFF"/>
              </w:rPr>
              <w:t xml:space="preserve"> sadarbības iestādē apkopotus datus par Eiropas Parlamenta un Padomes </w:t>
            </w:r>
            <w:proofErr w:type="gramStart"/>
            <w:r w:rsidRPr="001E1768">
              <w:rPr>
                <w:rFonts w:ascii="Times New Roman" w:hAnsi="Times New Roman" w:cs="Times New Roman"/>
                <w:bCs/>
                <w:iCs/>
                <w:sz w:val="23"/>
                <w:szCs w:val="23"/>
                <w:shd w:val="clear" w:color="auto" w:fill="FFFFFF"/>
              </w:rPr>
              <w:t>2013.gada</w:t>
            </w:r>
            <w:proofErr w:type="gramEnd"/>
            <w:r w:rsidRPr="001E1768">
              <w:rPr>
                <w:rFonts w:ascii="Times New Roman" w:hAnsi="Times New Roman" w:cs="Times New Roman"/>
                <w:bCs/>
                <w:iCs/>
                <w:sz w:val="23"/>
                <w:szCs w:val="23"/>
                <w:shd w:val="clear" w:color="auto" w:fill="FFFFFF"/>
              </w:rPr>
              <w:t xml:space="preserve"> 17.decembra Regulas (ES) Nr.1304/2013 par Eiropas Sociālo fondu un ar ko atceļ Padomes Regulu (EK) Nr.1081/2006 (Eiropas Savienības Oficiālais Vēstnesis, 2013.gada 20.decembris, </w:t>
            </w:r>
            <w:proofErr w:type="spellStart"/>
            <w:r w:rsidRPr="001E1768">
              <w:rPr>
                <w:rFonts w:ascii="Times New Roman" w:hAnsi="Times New Roman" w:cs="Times New Roman"/>
                <w:bCs/>
                <w:iCs/>
                <w:sz w:val="23"/>
                <w:szCs w:val="23"/>
                <w:shd w:val="clear" w:color="auto" w:fill="FFFFFF"/>
              </w:rPr>
              <w:t>Nr.</w:t>
            </w:r>
            <w:r w:rsidRPr="001E1768">
              <w:rPr>
                <w:rFonts w:ascii="Times New Roman" w:hAnsi="Times New Roman" w:cs="Times New Roman"/>
                <w:sz w:val="23"/>
                <w:szCs w:val="23"/>
                <w:shd w:val="clear" w:color="auto" w:fill="FFFFFF"/>
              </w:rPr>
              <w:t>L</w:t>
            </w:r>
            <w:proofErr w:type="spellEnd"/>
            <w:r w:rsidRPr="001E1768">
              <w:rPr>
                <w:rFonts w:ascii="Times New Roman" w:hAnsi="Times New Roman" w:cs="Times New Roman"/>
                <w:sz w:val="23"/>
                <w:szCs w:val="23"/>
                <w:shd w:val="clear" w:color="auto" w:fill="FFFFFF"/>
              </w:rPr>
              <w:t xml:space="preserve"> 347/470</w:t>
            </w:r>
            <w:r w:rsidRPr="001E1768">
              <w:rPr>
                <w:rFonts w:ascii="Times New Roman" w:hAnsi="Times New Roman" w:cs="Times New Roman"/>
                <w:bCs/>
                <w:iCs/>
                <w:sz w:val="23"/>
                <w:szCs w:val="23"/>
                <w:shd w:val="clear" w:color="auto" w:fill="FFFFFF"/>
              </w:rPr>
              <w:t>) (turpmāk – Eiropas Parlamenta un Padomes regula Nr.1304/2013) 1.pielikumā ietvertajiem kopējiem tūlītējiem rezultātu rādītājiem</w:t>
            </w:r>
            <w:r w:rsidR="00F417CC" w:rsidRPr="001E1768">
              <w:rPr>
                <w:rFonts w:ascii="Times New Roman" w:hAnsi="Times New Roman" w:cs="Times New Roman"/>
                <w:bCs/>
                <w:iCs/>
                <w:sz w:val="23"/>
                <w:szCs w:val="23"/>
                <w:shd w:val="clear" w:color="auto" w:fill="FFFFFF"/>
              </w:rPr>
              <w:t xml:space="preserve"> un</w:t>
            </w:r>
            <w:r w:rsidRPr="001E1768">
              <w:rPr>
                <w:rFonts w:ascii="Times New Roman" w:hAnsi="Times New Roman" w:cs="Times New Roman"/>
                <w:bCs/>
                <w:iCs/>
                <w:sz w:val="23"/>
                <w:szCs w:val="23"/>
                <w:shd w:val="clear" w:color="auto" w:fill="FFFFFF"/>
              </w:rPr>
              <w:t xml:space="preserve"> kopējiem ilgtermiņa rezultātu rādītājiem.</w:t>
            </w:r>
          </w:p>
          <w:p w14:paraId="3D006EC4" w14:textId="77777777" w:rsidR="00593C70" w:rsidRPr="001E1768" w:rsidRDefault="00593C70" w:rsidP="00297DB0">
            <w:pPr>
              <w:spacing w:after="0" w:line="240" w:lineRule="auto"/>
              <w:ind w:left="57" w:right="113"/>
              <w:jc w:val="both"/>
              <w:rPr>
                <w:rFonts w:ascii="Times New Roman" w:hAnsi="Times New Roman" w:cs="Times New Roman"/>
                <w:sz w:val="23"/>
                <w:szCs w:val="23"/>
                <w:shd w:val="clear" w:color="auto" w:fill="FFFFFF"/>
              </w:rPr>
            </w:pPr>
          </w:p>
          <w:p w14:paraId="08060640" w14:textId="6F4CB4C0" w:rsidR="009A2DA9" w:rsidRPr="001E1768" w:rsidRDefault="00593C70" w:rsidP="00D7757F">
            <w:pPr>
              <w:spacing w:after="0" w:line="240" w:lineRule="auto"/>
              <w:ind w:left="57" w:right="113"/>
              <w:jc w:val="both"/>
              <w:rPr>
                <w:rFonts w:ascii="Times New Roman" w:hAnsi="Times New Roman" w:cs="Times New Roman"/>
                <w:bCs/>
                <w:sz w:val="23"/>
                <w:szCs w:val="23"/>
                <w:shd w:val="clear" w:color="auto" w:fill="FFFFFF"/>
              </w:rPr>
            </w:pPr>
            <w:r w:rsidRPr="001E1768">
              <w:rPr>
                <w:rFonts w:ascii="Times New Roman" w:hAnsi="Times New Roman" w:cs="Times New Roman"/>
                <w:sz w:val="23"/>
                <w:szCs w:val="23"/>
                <w:shd w:val="clear" w:color="auto" w:fill="FFFFFF"/>
              </w:rPr>
              <w:t>Papildus atbilstoši</w:t>
            </w:r>
            <w:r w:rsidR="00A4769A" w:rsidRPr="001E1768">
              <w:rPr>
                <w:rFonts w:ascii="Times New Roman" w:hAnsi="Times New Roman" w:cs="Times New Roman"/>
                <w:sz w:val="23"/>
                <w:szCs w:val="23"/>
                <w:shd w:val="clear" w:color="auto" w:fill="FFFFFF"/>
              </w:rPr>
              <w:t xml:space="preserve"> </w:t>
            </w:r>
            <w:proofErr w:type="gramStart"/>
            <w:r w:rsidR="00A4769A" w:rsidRPr="001E1768">
              <w:rPr>
                <w:rFonts w:ascii="Times New Roman" w:hAnsi="Times New Roman" w:cs="Times New Roman"/>
                <w:sz w:val="23"/>
                <w:szCs w:val="23"/>
                <w:shd w:val="clear" w:color="auto" w:fill="FFFFFF"/>
              </w:rPr>
              <w:t>2015.gada</w:t>
            </w:r>
            <w:proofErr w:type="gramEnd"/>
            <w:r w:rsidR="00A4769A" w:rsidRPr="001E1768">
              <w:rPr>
                <w:rFonts w:ascii="Times New Roman" w:hAnsi="Times New Roman" w:cs="Times New Roman"/>
                <w:sz w:val="23"/>
                <w:szCs w:val="23"/>
                <w:shd w:val="clear" w:color="auto" w:fill="FFFFFF"/>
              </w:rPr>
              <w:t xml:space="preserve"> 18.augustā </w:t>
            </w:r>
            <w:r w:rsidRPr="001E1768">
              <w:rPr>
                <w:rFonts w:ascii="Times New Roman" w:hAnsi="Times New Roman" w:cs="Times New Roman"/>
                <w:sz w:val="23"/>
                <w:szCs w:val="23"/>
                <w:shd w:val="clear" w:color="auto" w:fill="FFFFFF"/>
              </w:rPr>
              <w:t xml:space="preserve">starpministriju sanāksmē par Labklājības ministrijas virzīto MK informatīvo ziņojumu “Par Jauniešu garantijas īstenošanas progresu 2014.gadā”, kurā piedalījās Finanšu ministrijas, Labklājības ministrijas un Izglītības un zinātnes ministrija, </w:t>
            </w:r>
            <w:r w:rsidR="00867C1B" w:rsidRPr="001E1768">
              <w:rPr>
                <w:rFonts w:ascii="Times New Roman" w:hAnsi="Times New Roman" w:cs="Times New Roman"/>
                <w:sz w:val="23"/>
                <w:szCs w:val="23"/>
                <w:shd w:val="clear" w:color="auto" w:fill="FFFFFF"/>
              </w:rPr>
              <w:t xml:space="preserve">un 2015.gada 18.septembrī </w:t>
            </w:r>
            <w:r w:rsidR="00FB566F" w:rsidRPr="001E1768">
              <w:rPr>
                <w:rFonts w:ascii="Times New Roman" w:hAnsi="Times New Roman" w:cs="Times New Roman"/>
                <w:sz w:val="23"/>
                <w:szCs w:val="23"/>
                <w:shd w:val="clear" w:color="auto" w:fill="FFFFFF"/>
              </w:rPr>
              <w:t xml:space="preserve">Briselē </w:t>
            </w:r>
            <w:r w:rsidR="00867C1B" w:rsidRPr="001E1768">
              <w:rPr>
                <w:rFonts w:ascii="Times New Roman" w:hAnsi="Times New Roman" w:cs="Times New Roman"/>
                <w:sz w:val="23"/>
                <w:szCs w:val="23"/>
                <w:shd w:val="clear" w:color="auto" w:fill="FFFFFF"/>
              </w:rPr>
              <w:t xml:space="preserve">sanāksmē ar Eiropas Komisiju </w:t>
            </w:r>
            <w:r w:rsidRPr="001E1768">
              <w:rPr>
                <w:rFonts w:ascii="Times New Roman" w:hAnsi="Times New Roman" w:cs="Times New Roman"/>
                <w:sz w:val="23"/>
                <w:szCs w:val="23"/>
                <w:shd w:val="clear" w:color="auto" w:fill="FFFFFF"/>
              </w:rPr>
              <w:t xml:space="preserve">panāktai vienošanai precizēts MK noteikumu projekts, paredzot, ka </w:t>
            </w:r>
            <w:r w:rsidR="00735655" w:rsidRPr="001E1768">
              <w:rPr>
                <w:rFonts w:ascii="Times New Roman" w:hAnsi="Times New Roman" w:cs="Times New Roman"/>
                <w:sz w:val="23"/>
                <w:szCs w:val="23"/>
                <w:shd w:val="clear" w:color="auto" w:fill="FFFFFF"/>
              </w:rPr>
              <w:t>atbalstu</w:t>
            </w:r>
            <w:r w:rsidR="007B3747" w:rsidRPr="001E1768">
              <w:rPr>
                <w:rFonts w:ascii="Times New Roman" w:hAnsi="Times New Roman" w:cs="Times New Roman"/>
                <w:sz w:val="23"/>
                <w:szCs w:val="23"/>
                <w:shd w:val="clear" w:color="auto" w:fill="FFFFFF"/>
              </w:rPr>
              <w:t xml:space="preserve"> nodarbinātiem jauniešiem</w:t>
            </w:r>
            <w:r w:rsidR="00735655" w:rsidRPr="001E1768">
              <w:rPr>
                <w:rFonts w:ascii="Times New Roman" w:hAnsi="Times New Roman" w:cs="Times New Roman"/>
                <w:sz w:val="23"/>
                <w:szCs w:val="23"/>
                <w:shd w:val="clear" w:color="auto" w:fill="FFFFFF"/>
              </w:rPr>
              <w:t xml:space="preserve"> sniegt </w:t>
            </w:r>
            <w:r w:rsidR="00735655" w:rsidRPr="001E1768">
              <w:rPr>
                <w:rFonts w:ascii="Times New Roman" w:hAnsi="Times New Roman" w:cs="Times New Roman"/>
                <w:bCs/>
                <w:sz w:val="23"/>
                <w:szCs w:val="23"/>
                <w:shd w:val="clear" w:color="auto" w:fill="FFFFFF"/>
              </w:rPr>
              <w:t xml:space="preserve"> pasākumā “Sākotnējās profesionālās izglītības programmu īstenošana Jauniešu garantijas ietvaros”</w:t>
            </w:r>
            <w:r w:rsidR="00176D05" w:rsidRPr="001E1768">
              <w:rPr>
                <w:rFonts w:ascii="Times New Roman" w:hAnsi="Times New Roman" w:cs="Times New Roman"/>
                <w:bCs/>
                <w:sz w:val="23"/>
                <w:szCs w:val="23"/>
                <w:shd w:val="clear" w:color="auto" w:fill="FFFFFF"/>
              </w:rPr>
              <w:t xml:space="preserve"> (MK noteikumu projekta 1., 2., 6., 8., 9., 10., </w:t>
            </w:r>
            <w:r w:rsidR="007B3747" w:rsidRPr="001E1768">
              <w:rPr>
                <w:rFonts w:ascii="Times New Roman" w:hAnsi="Times New Roman" w:cs="Times New Roman"/>
                <w:bCs/>
                <w:sz w:val="23"/>
                <w:szCs w:val="23"/>
                <w:shd w:val="clear" w:color="auto" w:fill="FFFFFF"/>
              </w:rPr>
              <w:t>11., 12</w:t>
            </w:r>
            <w:r w:rsidR="00176D05" w:rsidRPr="001E1768">
              <w:rPr>
                <w:rFonts w:ascii="Times New Roman" w:hAnsi="Times New Roman" w:cs="Times New Roman"/>
                <w:bCs/>
                <w:sz w:val="23"/>
                <w:szCs w:val="23"/>
                <w:shd w:val="clear" w:color="auto" w:fill="FFFFFF"/>
              </w:rPr>
              <w:t xml:space="preserve">., </w:t>
            </w:r>
            <w:r w:rsidR="007B3747" w:rsidRPr="001E1768">
              <w:rPr>
                <w:rFonts w:ascii="Times New Roman" w:hAnsi="Times New Roman" w:cs="Times New Roman"/>
                <w:bCs/>
                <w:sz w:val="23"/>
                <w:szCs w:val="23"/>
                <w:shd w:val="clear" w:color="auto" w:fill="FFFFFF"/>
              </w:rPr>
              <w:t>13</w:t>
            </w:r>
            <w:r w:rsidR="00176D05" w:rsidRPr="001E1768">
              <w:rPr>
                <w:rFonts w:ascii="Times New Roman" w:hAnsi="Times New Roman" w:cs="Times New Roman"/>
                <w:bCs/>
                <w:sz w:val="23"/>
                <w:szCs w:val="23"/>
                <w:shd w:val="clear" w:color="auto" w:fill="FFFFFF"/>
              </w:rPr>
              <w:t xml:space="preserve">., </w:t>
            </w:r>
            <w:r w:rsidR="007B3747" w:rsidRPr="001E1768">
              <w:rPr>
                <w:rFonts w:ascii="Times New Roman" w:hAnsi="Times New Roman" w:cs="Times New Roman"/>
                <w:bCs/>
                <w:sz w:val="23"/>
                <w:szCs w:val="23"/>
                <w:shd w:val="clear" w:color="auto" w:fill="FFFFFF"/>
              </w:rPr>
              <w:t>14</w:t>
            </w:r>
            <w:r w:rsidR="00176D05" w:rsidRPr="001E1768">
              <w:rPr>
                <w:rFonts w:ascii="Times New Roman" w:hAnsi="Times New Roman" w:cs="Times New Roman"/>
                <w:bCs/>
                <w:sz w:val="23"/>
                <w:szCs w:val="23"/>
                <w:shd w:val="clear" w:color="auto" w:fill="FFFFFF"/>
              </w:rPr>
              <w:t xml:space="preserve">., </w:t>
            </w:r>
            <w:r w:rsidR="007B3747" w:rsidRPr="001E1768">
              <w:rPr>
                <w:rFonts w:ascii="Times New Roman" w:hAnsi="Times New Roman" w:cs="Times New Roman"/>
                <w:bCs/>
                <w:sz w:val="23"/>
                <w:szCs w:val="23"/>
                <w:shd w:val="clear" w:color="auto" w:fill="FFFFFF"/>
              </w:rPr>
              <w:t>15</w:t>
            </w:r>
            <w:r w:rsidR="00176D05" w:rsidRPr="001E1768">
              <w:rPr>
                <w:rFonts w:ascii="Times New Roman" w:hAnsi="Times New Roman" w:cs="Times New Roman"/>
                <w:bCs/>
                <w:sz w:val="23"/>
                <w:szCs w:val="23"/>
                <w:shd w:val="clear" w:color="auto" w:fill="FFFFFF"/>
              </w:rPr>
              <w:t xml:space="preserve">., </w:t>
            </w:r>
            <w:r w:rsidR="007B3747" w:rsidRPr="001E1768">
              <w:rPr>
                <w:rFonts w:ascii="Times New Roman" w:hAnsi="Times New Roman" w:cs="Times New Roman"/>
                <w:bCs/>
                <w:sz w:val="23"/>
                <w:szCs w:val="23"/>
                <w:shd w:val="clear" w:color="auto" w:fill="FFFFFF"/>
              </w:rPr>
              <w:t>16</w:t>
            </w:r>
            <w:r w:rsidR="00176D05" w:rsidRPr="001E1768">
              <w:rPr>
                <w:rFonts w:ascii="Times New Roman" w:hAnsi="Times New Roman" w:cs="Times New Roman"/>
                <w:bCs/>
                <w:sz w:val="23"/>
                <w:szCs w:val="23"/>
                <w:shd w:val="clear" w:color="auto" w:fill="FFFFFF"/>
              </w:rPr>
              <w:t xml:space="preserve">., </w:t>
            </w:r>
            <w:r w:rsidR="007B3747" w:rsidRPr="001E1768">
              <w:rPr>
                <w:rFonts w:ascii="Times New Roman" w:hAnsi="Times New Roman" w:cs="Times New Roman"/>
                <w:bCs/>
                <w:sz w:val="23"/>
                <w:szCs w:val="23"/>
                <w:shd w:val="clear" w:color="auto" w:fill="FFFFFF"/>
              </w:rPr>
              <w:t>17</w:t>
            </w:r>
            <w:r w:rsidR="00176D05" w:rsidRPr="001E1768">
              <w:rPr>
                <w:rFonts w:ascii="Times New Roman" w:hAnsi="Times New Roman" w:cs="Times New Roman"/>
                <w:bCs/>
                <w:sz w:val="23"/>
                <w:szCs w:val="23"/>
                <w:shd w:val="clear" w:color="auto" w:fill="FFFFFF"/>
              </w:rPr>
              <w:t xml:space="preserve">., </w:t>
            </w:r>
            <w:r w:rsidR="007B3747" w:rsidRPr="001E1768">
              <w:rPr>
                <w:rFonts w:ascii="Times New Roman" w:hAnsi="Times New Roman" w:cs="Times New Roman"/>
                <w:bCs/>
                <w:sz w:val="23"/>
                <w:szCs w:val="23"/>
                <w:shd w:val="clear" w:color="auto" w:fill="FFFFFF"/>
              </w:rPr>
              <w:t>24</w:t>
            </w:r>
            <w:r w:rsidR="00176D05" w:rsidRPr="001E1768">
              <w:rPr>
                <w:rFonts w:ascii="Times New Roman" w:hAnsi="Times New Roman" w:cs="Times New Roman"/>
                <w:bCs/>
                <w:sz w:val="23"/>
                <w:szCs w:val="23"/>
                <w:shd w:val="clear" w:color="auto" w:fill="FFFFFF"/>
              </w:rPr>
              <w:t xml:space="preserve">., </w:t>
            </w:r>
            <w:r w:rsidR="007B3747" w:rsidRPr="001E1768">
              <w:rPr>
                <w:rFonts w:ascii="Times New Roman" w:hAnsi="Times New Roman" w:cs="Times New Roman"/>
                <w:bCs/>
                <w:sz w:val="23"/>
                <w:szCs w:val="23"/>
                <w:shd w:val="clear" w:color="auto" w:fill="FFFFFF"/>
              </w:rPr>
              <w:t>26</w:t>
            </w:r>
            <w:r w:rsidR="00176D05" w:rsidRPr="001E1768">
              <w:rPr>
                <w:rFonts w:ascii="Times New Roman" w:hAnsi="Times New Roman" w:cs="Times New Roman"/>
                <w:bCs/>
                <w:sz w:val="23"/>
                <w:szCs w:val="23"/>
                <w:shd w:val="clear" w:color="auto" w:fill="FFFFFF"/>
              </w:rPr>
              <w:t xml:space="preserve">., </w:t>
            </w:r>
            <w:r w:rsidR="007B3747" w:rsidRPr="001E1768">
              <w:rPr>
                <w:rFonts w:ascii="Times New Roman" w:hAnsi="Times New Roman" w:cs="Times New Roman"/>
                <w:bCs/>
                <w:sz w:val="23"/>
                <w:szCs w:val="23"/>
                <w:shd w:val="clear" w:color="auto" w:fill="FFFFFF"/>
              </w:rPr>
              <w:t>28</w:t>
            </w:r>
            <w:r w:rsidR="00176D05" w:rsidRPr="001E1768">
              <w:rPr>
                <w:rFonts w:ascii="Times New Roman" w:hAnsi="Times New Roman" w:cs="Times New Roman"/>
                <w:bCs/>
                <w:sz w:val="23"/>
                <w:szCs w:val="23"/>
                <w:shd w:val="clear" w:color="auto" w:fill="FFFFFF"/>
              </w:rPr>
              <w:t xml:space="preserve">., </w:t>
            </w:r>
            <w:r w:rsidR="007B3747" w:rsidRPr="001E1768">
              <w:rPr>
                <w:rFonts w:ascii="Times New Roman" w:hAnsi="Times New Roman" w:cs="Times New Roman"/>
                <w:bCs/>
                <w:sz w:val="23"/>
                <w:szCs w:val="23"/>
                <w:shd w:val="clear" w:color="auto" w:fill="FFFFFF"/>
              </w:rPr>
              <w:t>34</w:t>
            </w:r>
            <w:r w:rsidR="00176D05" w:rsidRPr="001E1768">
              <w:rPr>
                <w:rFonts w:ascii="Times New Roman" w:hAnsi="Times New Roman" w:cs="Times New Roman"/>
                <w:bCs/>
                <w:sz w:val="23"/>
                <w:szCs w:val="23"/>
                <w:shd w:val="clear" w:color="auto" w:fill="FFFFFF"/>
              </w:rPr>
              <w:t xml:space="preserve">., </w:t>
            </w:r>
            <w:r w:rsidR="007B3747" w:rsidRPr="001E1768">
              <w:rPr>
                <w:rFonts w:ascii="Times New Roman" w:hAnsi="Times New Roman" w:cs="Times New Roman"/>
                <w:bCs/>
                <w:sz w:val="23"/>
                <w:szCs w:val="23"/>
                <w:shd w:val="clear" w:color="auto" w:fill="FFFFFF"/>
              </w:rPr>
              <w:t>35</w:t>
            </w:r>
            <w:r w:rsidR="00176D05" w:rsidRPr="001E1768">
              <w:rPr>
                <w:rFonts w:ascii="Times New Roman" w:hAnsi="Times New Roman" w:cs="Times New Roman"/>
                <w:bCs/>
                <w:sz w:val="23"/>
                <w:szCs w:val="23"/>
                <w:shd w:val="clear" w:color="auto" w:fill="FFFFFF"/>
              </w:rPr>
              <w:t xml:space="preserve">., </w:t>
            </w:r>
            <w:r w:rsidR="007B3747" w:rsidRPr="001E1768">
              <w:rPr>
                <w:rFonts w:ascii="Times New Roman" w:hAnsi="Times New Roman" w:cs="Times New Roman"/>
                <w:bCs/>
                <w:sz w:val="23"/>
                <w:szCs w:val="23"/>
                <w:shd w:val="clear" w:color="auto" w:fill="FFFFFF"/>
              </w:rPr>
              <w:t>39</w:t>
            </w:r>
            <w:r w:rsidR="00176D05" w:rsidRPr="001E1768">
              <w:rPr>
                <w:rFonts w:ascii="Times New Roman" w:hAnsi="Times New Roman" w:cs="Times New Roman"/>
                <w:bCs/>
                <w:sz w:val="23"/>
                <w:szCs w:val="23"/>
                <w:shd w:val="clear" w:color="auto" w:fill="FFFFFF"/>
              </w:rPr>
              <w:t xml:space="preserve">. un </w:t>
            </w:r>
            <w:r w:rsidR="007B3747" w:rsidRPr="001E1768">
              <w:rPr>
                <w:rFonts w:ascii="Times New Roman" w:hAnsi="Times New Roman" w:cs="Times New Roman"/>
                <w:bCs/>
                <w:sz w:val="23"/>
                <w:szCs w:val="23"/>
                <w:shd w:val="clear" w:color="auto" w:fill="FFFFFF"/>
              </w:rPr>
              <w:t>44</w:t>
            </w:r>
            <w:r w:rsidR="00176D05" w:rsidRPr="001E1768">
              <w:rPr>
                <w:rFonts w:ascii="Times New Roman" w:hAnsi="Times New Roman" w:cs="Times New Roman"/>
                <w:bCs/>
                <w:sz w:val="23"/>
                <w:szCs w:val="23"/>
                <w:shd w:val="clear" w:color="auto" w:fill="FFFFFF"/>
              </w:rPr>
              <w:t>.punkts)</w:t>
            </w:r>
            <w:r w:rsidR="00735655" w:rsidRPr="001E1768">
              <w:rPr>
                <w:rFonts w:ascii="Times New Roman" w:hAnsi="Times New Roman" w:cs="Times New Roman"/>
                <w:bCs/>
                <w:sz w:val="23"/>
                <w:szCs w:val="23"/>
                <w:shd w:val="clear" w:color="auto" w:fill="FFFFFF"/>
              </w:rPr>
              <w:t xml:space="preserve">. Attiecīgi izmaksas, kas Valsts izglītības attīstības aģentūrai ir radušās, minēto mērķgrupu iesaistot sākotnējās profesionālās izglītības programmās no </w:t>
            </w:r>
            <w:proofErr w:type="gramStart"/>
            <w:r w:rsidR="00735655" w:rsidRPr="001E1768">
              <w:rPr>
                <w:rFonts w:ascii="Times New Roman" w:hAnsi="Times New Roman" w:cs="Times New Roman"/>
                <w:bCs/>
                <w:sz w:val="23"/>
                <w:szCs w:val="23"/>
                <w:shd w:val="clear" w:color="auto" w:fill="FFFFFF"/>
              </w:rPr>
              <w:t>2014.gada</w:t>
            </w:r>
            <w:proofErr w:type="gramEnd"/>
            <w:r w:rsidR="00735655" w:rsidRPr="001E1768">
              <w:rPr>
                <w:rFonts w:ascii="Times New Roman" w:hAnsi="Times New Roman" w:cs="Times New Roman"/>
                <w:bCs/>
                <w:sz w:val="23"/>
                <w:szCs w:val="23"/>
                <w:shd w:val="clear" w:color="auto" w:fill="FFFFFF"/>
              </w:rPr>
              <w:t xml:space="preserve"> septembra, kā arī izmaksas, kas nepieciešamas, lai nodrošinātu </w:t>
            </w:r>
            <w:r w:rsidR="00EE5AFA" w:rsidRPr="001E1768">
              <w:rPr>
                <w:rFonts w:ascii="Times New Roman" w:hAnsi="Times New Roman" w:cs="Times New Roman"/>
                <w:bCs/>
                <w:sz w:val="23"/>
                <w:szCs w:val="23"/>
                <w:shd w:val="clear" w:color="auto" w:fill="FFFFFF"/>
              </w:rPr>
              <w:t xml:space="preserve">turpmāku </w:t>
            </w:r>
            <w:r w:rsidR="00735655" w:rsidRPr="001E1768">
              <w:rPr>
                <w:rFonts w:ascii="Times New Roman" w:hAnsi="Times New Roman" w:cs="Times New Roman"/>
                <w:bCs/>
                <w:sz w:val="23"/>
                <w:szCs w:val="23"/>
                <w:shd w:val="clear" w:color="auto" w:fill="FFFFFF"/>
              </w:rPr>
              <w:t>nodarbināto jauniešu iesaisti</w:t>
            </w:r>
            <w:r w:rsidR="00EE5AFA" w:rsidRPr="001E1768">
              <w:rPr>
                <w:rFonts w:ascii="Times New Roman" w:hAnsi="Times New Roman" w:cs="Times New Roman"/>
                <w:bCs/>
                <w:sz w:val="23"/>
                <w:szCs w:val="23"/>
                <w:shd w:val="clear" w:color="auto" w:fill="FFFFFF"/>
              </w:rPr>
              <w:t xml:space="preserve"> pasākumā “Sākotnējās profesionālās izglītības programmu īstenošana Jauniešu garantijas ietvaros”</w:t>
            </w:r>
            <w:r w:rsidR="00735655" w:rsidRPr="001E1768">
              <w:rPr>
                <w:rFonts w:ascii="Times New Roman" w:hAnsi="Times New Roman" w:cs="Times New Roman"/>
                <w:bCs/>
                <w:sz w:val="23"/>
                <w:szCs w:val="23"/>
                <w:shd w:val="clear" w:color="auto" w:fill="FFFFFF"/>
              </w:rPr>
              <w:t xml:space="preserve">, kopumā 3 258 896 </w:t>
            </w:r>
            <w:proofErr w:type="spellStart"/>
            <w:r w:rsidR="00735655" w:rsidRPr="001E1768">
              <w:rPr>
                <w:rFonts w:ascii="Times New Roman" w:hAnsi="Times New Roman" w:cs="Times New Roman"/>
                <w:bCs/>
                <w:i/>
                <w:sz w:val="23"/>
                <w:szCs w:val="23"/>
                <w:shd w:val="clear" w:color="auto" w:fill="FFFFFF"/>
              </w:rPr>
              <w:t>euro</w:t>
            </w:r>
            <w:proofErr w:type="spellEnd"/>
            <w:r w:rsidR="00735655" w:rsidRPr="001E1768">
              <w:rPr>
                <w:rFonts w:ascii="Times New Roman" w:hAnsi="Times New Roman" w:cs="Times New Roman"/>
                <w:sz w:val="24"/>
                <w:szCs w:val="24"/>
              </w:rPr>
              <w:t xml:space="preserve"> </w:t>
            </w:r>
            <w:r w:rsidR="00735655" w:rsidRPr="001E1768">
              <w:rPr>
                <w:rFonts w:ascii="Times New Roman" w:hAnsi="Times New Roman" w:cs="Times New Roman"/>
                <w:bCs/>
                <w:sz w:val="23"/>
                <w:szCs w:val="23"/>
                <w:shd w:val="clear" w:color="auto" w:fill="FFFFFF"/>
              </w:rPr>
              <w:t>apmērā</w:t>
            </w:r>
            <w:r w:rsidR="009A2DA9" w:rsidRPr="001E1768">
              <w:rPr>
                <w:rFonts w:ascii="Times New Roman" w:hAnsi="Times New Roman" w:cs="Times New Roman"/>
                <w:bCs/>
                <w:sz w:val="23"/>
                <w:szCs w:val="23"/>
                <w:shd w:val="clear" w:color="auto" w:fill="FFFFFF"/>
              </w:rPr>
              <w:t xml:space="preserve"> </w:t>
            </w:r>
            <w:r w:rsidR="009A2DA9" w:rsidRPr="001E1768">
              <w:rPr>
                <w:rFonts w:ascii="Helv" w:hAnsi="Helv" w:cs="Helv"/>
                <w:color w:val="000000"/>
                <w:sz w:val="20"/>
                <w:szCs w:val="20"/>
              </w:rPr>
              <w:t xml:space="preserve"> </w:t>
            </w:r>
            <w:r w:rsidR="009A2DA9" w:rsidRPr="001E1768">
              <w:rPr>
                <w:rFonts w:ascii="Times New Roman" w:hAnsi="Times New Roman" w:cs="Times New Roman"/>
                <w:bCs/>
                <w:sz w:val="23"/>
                <w:szCs w:val="23"/>
                <w:shd w:val="clear" w:color="auto" w:fill="FFFFFF"/>
              </w:rPr>
              <w:t>(līdz finansējuma pārdalei no 8.prioritātes</w:t>
            </w:r>
            <w:r w:rsidR="007B3747" w:rsidRPr="001E1768">
              <w:rPr>
                <w:rFonts w:ascii="Times New Roman" w:hAnsi="Times New Roman" w:cs="Times New Roman"/>
                <w:bCs/>
                <w:sz w:val="23"/>
                <w:szCs w:val="23"/>
                <w:shd w:val="clear" w:color="auto" w:fill="FFFFFF"/>
              </w:rPr>
              <w:t xml:space="preserve"> </w:t>
            </w:r>
            <w:r w:rsidR="007B3747" w:rsidRPr="001E1768">
              <w:rPr>
                <w:rFonts w:ascii="Times New Roman" w:hAnsi="Times New Roman" w:cs="Times New Roman"/>
                <w:sz w:val="23"/>
                <w:szCs w:val="23"/>
                <w:shd w:val="clear" w:color="auto" w:fill="FFFFFF"/>
              </w:rPr>
              <w:t>“Izglītība, prasmes un mūžizglītība”</w:t>
            </w:r>
            <w:r w:rsidR="009A2DA9" w:rsidRPr="001E1768">
              <w:rPr>
                <w:rFonts w:ascii="Times New Roman" w:hAnsi="Times New Roman" w:cs="Times New Roman"/>
                <w:bCs/>
                <w:sz w:val="23"/>
                <w:szCs w:val="23"/>
                <w:shd w:val="clear" w:color="auto" w:fill="FFFFFF"/>
              </w:rPr>
              <w:t>)</w:t>
            </w:r>
            <w:r w:rsidR="00735655" w:rsidRPr="001E1768">
              <w:rPr>
                <w:rFonts w:ascii="Times New Roman" w:hAnsi="Times New Roman" w:cs="Times New Roman"/>
                <w:bCs/>
                <w:sz w:val="23"/>
                <w:szCs w:val="23"/>
                <w:shd w:val="clear" w:color="auto" w:fill="FFFFFF"/>
              </w:rPr>
              <w:t xml:space="preserve"> plānots segt no Eiropas Sociālā fonda</w:t>
            </w:r>
            <w:r w:rsidR="00B679BE" w:rsidRPr="001E1768">
              <w:rPr>
                <w:rFonts w:ascii="Times New Roman" w:hAnsi="Times New Roman" w:cs="Times New Roman"/>
                <w:bCs/>
                <w:sz w:val="23"/>
                <w:szCs w:val="23"/>
                <w:shd w:val="clear" w:color="auto" w:fill="FFFFFF"/>
              </w:rPr>
              <w:t xml:space="preserve"> (turpmāk – ESF)</w:t>
            </w:r>
            <w:r w:rsidR="00735655" w:rsidRPr="001E1768">
              <w:rPr>
                <w:rFonts w:ascii="Times New Roman" w:hAnsi="Times New Roman" w:cs="Times New Roman"/>
                <w:bCs/>
                <w:sz w:val="23"/>
                <w:szCs w:val="23"/>
                <w:shd w:val="clear" w:color="auto" w:fill="FFFFFF"/>
              </w:rPr>
              <w:t xml:space="preserve"> finansējuma un valsts budžeta līdzfinansējuma, pārdalot no pieejamajiem finanšu līdzekļiem 7.2.1.specifiskā atbalsta mērķa “Palielināt nodarbinātībā, izglītībā vai apmācībās neiesaistītu jauniešu nodarbinātību un izglītības ieguvi Jauniešu garantijas ietvaros” pasākuma “Jauniešu garantijas īstenošana pēc 2018.gada” ietvaros</w:t>
            </w:r>
            <w:r w:rsidR="009E63DB" w:rsidRPr="001E1768">
              <w:rPr>
                <w:rFonts w:ascii="Times New Roman" w:hAnsi="Times New Roman" w:cs="Times New Roman"/>
                <w:bCs/>
                <w:sz w:val="23"/>
                <w:szCs w:val="23"/>
                <w:shd w:val="clear" w:color="auto" w:fill="FFFFFF"/>
              </w:rPr>
              <w:t>.</w:t>
            </w:r>
            <w:r w:rsidR="00D7757F" w:rsidRPr="001E1768">
              <w:rPr>
                <w:rFonts w:ascii="Times New Roman" w:hAnsi="Times New Roman" w:cs="Times New Roman"/>
                <w:bCs/>
                <w:sz w:val="23"/>
                <w:szCs w:val="23"/>
                <w:shd w:val="clear" w:color="auto" w:fill="FFFFFF"/>
              </w:rPr>
              <w:t xml:space="preserve">  </w:t>
            </w:r>
          </w:p>
          <w:p w14:paraId="117C7B59" w14:textId="1C372F8F" w:rsidR="009A2DA9" w:rsidRPr="001E1768" w:rsidRDefault="009A2DA9" w:rsidP="009A2DA9">
            <w:pPr>
              <w:spacing w:after="0" w:line="240" w:lineRule="auto"/>
              <w:ind w:left="57" w:right="113"/>
              <w:jc w:val="both"/>
              <w:rPr>
                <w:rFonts w:ascii="Times New Roman" w:hAnsi="Times New Roman" w:cs="Times New Roman"/>
                <w:bCs/>
                <w:sz w:val="23"/>
                <w:szCs w:val="23"/>
                <w:shd w:val="clear" w:color="auto" w:fill="FFFFFF"/>
              </w:rPr>
            </w:pPr>
            <w:r w:rsidRPr="001E1768">
              <w:rPr>
                <w:rFonts w:ascii="Times New Roman" w:hAnsi="Times New Roman" w:cs="Times New Roman"/>
                <w:bCs/>
                <w:sz w:val="23"/>
                <w:szCs w:val="23"/>
                <w:shd w:val="clear" w:color="auto" w:fill="FFFFFF"/>
              </w:rPr>
              <w:t xml:space="preserve">Daļu pasākumam “Jauniešu garantijas īstenošana pēc </w:t>
            </w:r>
            <w:proofErr w:type="gramStart"/>
            <w:r w:rsidRPr="001E1768">
              <w:rPr>
                <w:rFonts w:ascii="Times New Roman" w:hAnsi="Times New Roman" w:cs="Times New Roman"/>
                <w:bCs/>
                <w:sz w:val="23"/>
                <w:szCs w:val="23"/>
                <w:shd w:val="clear" w:color="auto" w:fill="FFFFFF"/>
              </w:rPr>
              <w:t>2018.gada</w:t>
            </w:r>
            <w:proofErr w:type="gramEnd"/>
            <w:r w:rsidRPr="001E1768">
              <w:rPr>
                <w:rFonts w:ascii="Times New Roman" w:hAnsi="Times New Roman" w:cs="Times New Roman"/>
                <w:bCs/>
                <w:sz w:val="23"/>
                <w:szCs w:val="23"/>
                <w:shd w:val="clear" w:color="auto" w:fill="FFFFFF"/>
              </w:rPr>
              <w:t xml:space="preserve">” pieejamā finansējuma - 2 380 141 </w:t>
            </w:r>
            <w:proofErr w:type="spellStart"/>
            <w:r w:rsidRPr="001E1768">
              <w:rPr>
                <w:rFonts w:ascii="Times New Roman" w:hAnsi="Times New Roman" w:cs="Times New Roman"/>
                <w:bCs/>
                <w:i/>
                <w:sz w:val="23"/>
                <w:szCs w:val="23"/>
                <w:shd w:val="clear" w:color="auto" w:fill="FFFFFF"/>
              </w:rPr>
              <w:t>euro</w:t>
            </w:r>
            <w:proofErr w:type="spellEnd"/>
            <w:r w:rsidRPr="001E1768">
              <w:rPr>
                <w:rFonts w:ascii="Times New Roman" w:hAnsi="Times New Roman" w:cs="Times New Roman"/>
                <w:bCs/>
                <w:sz w:val="23"/>
                <w:szCs w:val="23"/>
                <w:shd w:val="clear" w:color="auto" w:fill="FFFFFF"/>
              </w:rPr>
              <w:t xml:space="preserve"> apmērā plānots novirzīt, lai kompensētu šobrīd projektā iesaistīto nodarbināto jauniešu izdevumu segšanai, proti, 1-gadīgajās un 1,5-gadīgajās profesionālajās programmās 2014.septembrī un 2015.gada janvārī un februārī iesaistīto 726 nodarbināto jauniešu izdevumu segšanai 2 373 804 </w:t>
            </w:r>
            <w:proofErr w:type="spellStart"/>
            <w:r w:rsidRPr="001E1768">
              <w:rPr>
                <w:rFonts w:ascii="Times New Roman" w:hAnsi="Times New Roman" w:cs="Times New Roman"/>
                <w:bCs/>
                <w:i/>
                <w:sz w:val="23"/>
                <w:szCs w:val="23"/>
                <w:shd w:val="clear" w:color="auto" w:fill="FFFFFF"/>
              </w:rPr>
              <w:t>euro</w:t>
            </w:r>
            <w:proofErr w:type="spellEnd"/>
            <w:r w:rsidRPr="001E1768">
              <w:rPr>
                <w:rFonts w:ascii="Times New Roman" w:hAnsi="Times New Roman" w:cs="Times New Roman"/>
                <w:bCs/>
                <w:sz w:val="23"/>
                <w:szCs w:val="23"/>
                <w:shd w:val="clear" w:color="auto" w:fill="FFFFFF"/>
              </w:rPr>
              <w:t xml:space="preserve"> apmērā un ieslodzījuma vietās esošo 96 nodarbināto jauniešu iesaistes karjeras konsultācijās izdevumu segšanai 6 337 </w:t>
            </w:r>
            <w:proofErr w:type="spellStart"/>
            <w:r w:rsidRPr="001E1768">
              <w:rPr>
                <w:rFonts w:ascii="Times New Roman" w:hAnsi="Times New Roman" w:cs="Times New Roman"/>
                <w:bCs/>
                <w:i/>
                <w:sz w:val="23"/>
                <w:szCs w:val="23"/>
                <w:shd w:val="clear" w:color="auto" w:fill="FFFFFF"/>
              </w:rPr>
              <w:t>euro</w:t>
            </w:r>
            <w:proofErr w:type="spellEnd"/>
            <w:r w:rsidRPr="001E1768">
              <w:rPr>
                <w:rFonts w:ascii="Times New Roman" w:hAnsi="Times New Roman" w:cs="Times New Roman"/>
                <w:bCs/>
                <w:sz w:val="23"/>
                <w:szCs w:val="23"/>
                <w:shd w:val="clear" w:color="auto" w:fill="FFFFFF"/>
              </w:rPr>
              <w:t xml:space="preserve"> apmērā. </w:t>
            </w:r>
          </w:p>
          <w:p w14:paraId="639CEFC5" w14:textId="6A660BAC" w:rsidR="002470CD" w:rsidRPr="001E1768" w:rsidRDefault="009A2DA9" w:rsidP="00D7757F">
            <w:pPr>
              <w:spacing w:after="0" w:line="240" w:lineRule="auto"/>
              <w:ind w:left="57" w:right="113"/>
              <w:jc w:val="both"/>
              <w:rPr>
                <w:rFonts w:ascii="Times New Roman" w:hAnsi="Times New Roman" w:cs="Times New Roman"/>
                <w:bCs/>
                <w:sz w:val="23"/>
                <w:szCs w:val="23"/>
                <w:shd w:val="clear" w:color="auto" w:fill="FFFFFF"/>
              </w:rPr>
            </w:pPr>
            <w:r w:rsidRPr="001E1768">
              <w:rPr>
                <w:rFonts w:ascii="Times New Roman" w:hAnsi="Times New Roman" w:cs="Times New Roman"/>
                <w:bCs/>
                <w:sz w:val="23"/>
                <w:szCs w:val="23"/>
                <w:shd w:val="clear" w:color="auto" w:fill="FFFFFF"/>
              </w:rPr>
              <w:t xml:space="preserve">Atlikušo pasākuma “Jauniešu garantijas īstenošana pēc </w:t>
            </w:r>
            <w:proofErr w:type="gramStart"/>
            <w:r w:rsidRPr="001E1768">
              <w:rPr>
                <w:rFonts w:ascii="Times New Roman" w:hAnsi="Times New Roman" w:cs="Times New Roman"/>
                <w:bCs/>
                <w:sz w:val="23"/>
                <w:szCs w:val="23"/>
                <w:shd w:val="clear" w:color="auto" w:fill="FFFFFF"/>
              </w:rPr>
              <w:t>2018.gada</w:t>
            </w:r>
            <w:proofErr w:type="gramEnd"/>
            <w:r w:rsidRPr="001E1768">
              <w:rPr>
                <w:rFonts w:ascii="Times New Roman" w:hAnsi="Times New Roman" w:cs="Times New Roman"/>
                <w:bCs/>
                <w:sz w:val="23"/>
                <w:szCs w:val="23"/>
                <w:shd w:val="clear" w:color="auto" w:fill="FFFFFF"/>
              </w:rPr>
              <w:t xml:space="preserve">” finansējumu 878 755 </w:t>
            </w:r>
            <w:proofErr w:type="spellStart"/>
            <w:r w:rsidRPr="001E1768">
              <w:rPr>
                <w:rFonts w:ascii="Times New Roman" w:hAnsi="Times New Roman" w:cs="Times New Roman"/>
                <w:bCs/>
                <w:i/>
                <w:sz w:val="23"/>
                <w:szCs w:val="23"/>
                <w:shd w:val="clear" w:color="auto" w:fill="FFFFFF"/>
              </w:rPr>
              <w:t>euro</w:t>
            </w:r>
            <w:proofErr w:type="spellEnd"/>
            <w:r w:rsidRPr="001E1768">
              <w:rPr>
                <w:rFonts w:ascii="Times New Roman" w:hAnsi="Times New Roman" w:cs="Times New Roman"/>
                <w:bCs/>
                <w:sz w:val="23"/>
                <w:szCs w:val="23"/>
                <w:shd w:val="clear" w:color="auto" w:fill="FFFFFF"/>
              </w:rPr>
              <w:t xml:space="preserve"> apmērā plānots novirzīt, lai nodrošinātu atbalstu nodarbinātajiem jauniešiem 2015.gada rudens uzņemšanai. </w:t>
            </w:r>
            <w:r w:rsidR="002470CD" w:rsidRPr="001E1768">
              <w:rPr>
                <w:rFonts w:ascii="Times New Roman" w:hAnsi="Times New Roman" w:cs="Times New Roman"/>
                <w:bCs/>
                <w:sz w:val="23"/>
                <w:szCs w:val="23"/>
                <w:shd w:val="clear" w:color="auto" w:fill="FFFFFF"/>
              </w:rPr>
              <w:t xml:space="preserve"> Pēc Valsts izglītības attīstības aģentūras projekta sniegtās informācijas minētā finansējuma ietvaros atbalstu varētu sniegt un papildus 1-gadīgajās un 1,5-gadīgajās profesionālajās programmās uzņemt 240 nodarbinātos jauniešus. Savukārt par turpmāk nepieciešamo finansējumu nodarbināto jauniešu uzņemšanai un iesaistei 2016., 2017. un </w:t>
            </w:r>
            <w:proofErr w:type="gramStart"/>
            <w:r w:rsidR="002470CD" w:rsidRPr="001E1768">
              <w:rPr>
                <w:rFonts w:ascii="Times New Roman" w:hAnsi="Times New Roman" w:cs="Times New Roman"/>
                <w:bCs/>
                <w:sz w:val="23"/>
                <w:szCs w:val="23"/>
                <w:shd w:val="clear" w:color="auto" w:fill="FFFFFF"/>
              </w:rPr>
              <w:t>2018.gadā</w:t>
            </w:r>
            <w:proofErr w:type="gramEnd"/>
            <w:r w:rsidR="002470CD" w:rsidRPr="001E1768">
              <w:rPr>
                <w:rFonts w:ascii="Times New Roman" w:hAnsi="Times New Roman" w:cs="Times New Roman"/>
                <w:bCs/>
                <w:sz w:val="23"/>
                <w:szCs w:val="23"/>
                <w:shd w:val="clear" w:color="auto" w:fill="FFFFFF"/>
              </w:rPr>
              <w:t xml:space="preserve"> plānots novirzīt no 8.prioritārā virziena.</w:t>
            </w:r>
          </w:p>
          <w:p w14:paraId="54A628D2" w14:textId="16A73674" w:rsidR="00593C70" w:rsidRPr="001E1768" w:rsidRDefault="007B1731" w:rsidP="00D7757F">
            <w:pPr>
              <w:spacing w:after="0" w:line="240" w:lineRule="auto"/>
              <w:ind w:left="57" w:right="113"/>
              <w:jc w:val="both"/>
            </w:pPr>
            <w:r w:rsidRPr="001E1768">
              <w:rPr>
                <w:rFonts w:ascii="Times New Roman" w:hAnsi="Times New Roman" w:cs="Times New Roman"/>
                <w:bCs/>
                <w:sz w:val="23"/>
                <w:szCs w:val="23"/>
                <w:shd w:val="clear" w:color="auto" w:fill="FFFFFF"/>
              </w:rPr>
              <w:t>S</w:t>
            </w:r>
            <w:r w:rsidR="00D7757F" w:rsidRPr="001E1768">
              <w:rPr>
                <w:rFonts w:ascii="Times New Roman" w:hAnsi="Times New Roman" w:cs="Times New Roman"/>
                <w:bCs/>
                <w:sz w:val="23"/>
                <w:szCs w:val="23"/>
                <w:shd w:val="clear" w:color="auto" w:fill="FFFFFF"/>
              </w:rPr>
              <w:t xml:space="preserve">askaņā ar Valsts izglītības attīstības aģentūras projekta datiem, liels daudzums potenciālo dalībnieku, iepriekš interesējoties par iespējām iesaistīties 1-gadīgajās un 1,5-gadīgajās profesionālās izglītības programmās, </w:t>
            </w:r>
            <w:r w:rsidR="00D7757F" w:rsidRPr="001E1768">
              <w:rPr>
                <w:rFonts w:ascii="Times New Roman" w:hAnsi="Times New Roman" w:cs="Times New Roman"/>
                <w:bCs/>
                <w:sz w:val="23"/>
                <w:szCs w:val="23"/>
                <w:shd w:val="clear" w:color="auto" w:fill="FFFFFF"/>
              </w:rPr>
              <w:lastRenderedPageBreak/>
              <w:t>vairākkārtīgi ir norādījuši, ka nevar iesaistīties mācībās, jo mērķstipendijas apjoms 70-115 </w:t>
            </w:r>
            <w:proofErr w:type="spellStart"/>
            <w:r w:rsidR="00D7757F" w:rsidRPr="001E1768">
              <w:rPr>
                <w:rFonts w:ascii="Times New Roman" w:hAnsi="Times New Roman" w:cs="Times New Roman"/>
                <w:bCs/>
                <w:i/>
                <w:sz w:val="23"/>
                <w:szCs w:val="23"/>
                <w:shd w:val="clear" w:color="auto" w:fill="FFFFFF"/>
              </w:rPr>
              <w:t>euro</w:t>
            </w:r>
            <w:proofErr w:type="spellEnd"/>
            <w:r w:rsidR="00D7757F" w:rsidRPr="001E1768">
              <w:rPr>
                <w:rFonts w:ascii="Times New Roman" w:hAnsi="Times New Roman" w:cs="Times New Roman"/>
                <w:bCs/>
                <w:sz w:val="23"/>
                <w:szCs w:val="23"/>
                <w:shd w:val="clear" w:color="auto" w:fill="FFFFFF"/>
              </w:rPr>
              <w:t xml:space="preserve"> apmērā ir nepietiekams ikmēneša iztikas nodrošināšanai, jo daudzos gadījumos jauniešiem vecumā līdz 29 gadiem jāpalīdz savai ģimenei. Līdz ar to bieži </w:t>
            </w:r>
            <w:r w:rsidRPr="001E1768">
              <w:rPr>
                <w:rFonts w:ascii="Times New Roman" w:hAnsi="Times New Roman" w:cs="Times New Roman"/>
                <w:bCs/>
                <w:sz w:val="23"/>
                <w:szCs w:val="23"/>
                <w:shd w:val="clear" w:color="auto" w:fill="FFFFFF"/>
              </w:rPr>
              <w:t>veidojas</w:t>
            </w:r>
            <w:r w:rsidR="00D7757F" w:rsidRPr="001E1768">
              <w:rPr>
                <w:rFonts w:ascii="Times New Roman" w:hAnsi="Times New Roman" w:cs="Times New Roman"/>
                <w:bCs/>
                <w:sz w:val="23"/>
                <w:szCs w:val="23"/>
                <w:shd w:val="clear" w:color="auto" w:fill="FFFFFF"/>
              </w:rPr>
              <w:t xml:space="preserve"> situācijas, ka izglītojamais, kas tiek iesaistīts pasākumā “Sākotnējās profesionālās izglītības programmu īstenošana Jauniešu garantijas ietvaros”</w:t>
            </w:r>
            <w:r w:rsidR="00FB566F" w:rsidRPr="001E1768">
              <w:rPr>
                <w:rFonts w:ascii="Times New Roman" w:hAnsi="Times New Roman" w:cs="Times New Roman"/>
                <w:bCs/>
                <w:sz w:val="23"/>
                <w:szCs w:val="23"/>
                <w:shd w:val="clear" w:color="auto" w:fill="FFFFFF"/>
              </w:rPr>
              <w:t>,</w:t>
            </w:r>
            <w:r w:rsidR="00D7757F" w:rsidRPr="001E1768">
              <w:rPr>
                <w:rFonts w:ascii="Times New Roman" w:hAnsi="Times New Roman" w:cs="Times New Roman"/>
                <w:bCs/>
                <w:sz w:val="23"/>
                <w:szCs w:val="23"/>
                <w:shd w:val="clear" w:color="auto" w:fill="FFFFFF"/>
              </w:rPr>
              <w:t xml:space="preserve"> strādā (no mācībām brīvajā laikā, piemēram, nepiemērotos mazkvalificētos darbos, jo viņam nav piemērotās kvalifikācijas).</w:t>
            </w:r>
            <w:r w:rsidR="00D7757F" w:rsidRPr="001E1768">
              <w:t> </w:t>
            </w:r>
          </w:p>
          <w:p w14:paraId="32D25299" w14:textId="2CF40AFF" w:rsidR="007B3747" w:rsidRPr="001E1768" w:rsidRDefault="007B3747" w:rsidP="00D7757F">
            <w:pPr>
              <w:spacing w:after="0" w:line="240" w:lineRule="auto"/>
              <w:ind w:left="57" w:right="113"/>
              <w:jc w:val="both"/>
              <w:rPr>
                <w:rFonts w:ascii="Times New Roman" w:hAnsi="Times New Roman" w:cs="Times New Roman"/>
              </w:rPr>
            </w:pPr>
            <w:r w:rsidRPr="001E1768">
              <w:rPr>
                <w:rFonts w:ascii="Times New Roman" w:hAnsi="Times New Roman" w:cs="Times New Roman"/>
              </w:rPr>
              <w:t>Attiecīgi MK noteikumu projekts papildināts ar informāciju, ka:</w:t>
            </w:r>
          </w:p>
          <w:p w14:paraId="49737E1B" w14:textId="67DAB3B4" w:rsidR="007B3747" w:rsidRPr="001E1768" w:rsidRDefault="007B3747" w:rsidP="00D7757F">
            <w:pPr>
              <w:spacing w:after="0" w:line="240" w:lineRule="auto"/>
              <w:ind w:left="57" w:right="113"/>
              <w:jc w:val="both"/>
              <w:rPr>
                <w:rFonts w:ascii="Times New Roman" w:hAnsi="Times New Roman" w:cs="Times New Roman"/>
              </w:rPr>
            </w:pPr>
            <w:r w:rsidRPr="001E1768">
              <w:rPr>
                <w:rFonts w:ascii="Times New Roman" w:hAnsi="Times New Roman" w:cs="Times New Roman"/>
              </w:rPr>
              <w:t xml:space="preserve">- </w:t>
            </w:r>
            <w:r w:rsidR="00611E71" w:rsidRPr="001E1768">
              <w:rPr>
                <w:rFonts w:ascii="Times New Roman" w:hAnsi="Times New Roman" w:cs="Times New Roman"/>
              </w:rPr>
              <w:t xml:space="preserve">par sasniedzamajiem uzraudzības rādītājiem, t.i., iznākuma rādītāju “nodarbinātas personas (atbalstu saņēmušie, dalību uzsākušie)”, kas ir aprēķināts, ņemot vērā līdzšinēji 1-gadīgajās un 1,5-gadīgajās profesionālajās programmās 2014.septembrī un </w:t>
            </w:r>
            <w:proofErr w:type="gramStart"/>
            <w:r w:rsidR="00611E71" w:rsidRPr="001E1768">
              <w:rPr>
                <w:rFonts w:ascii="Times New Roman" w:hAnsi="Times New Roman" w:cs="Times New Roman"/>
              </w:rPr>
              <w:t>2015.gada</w:t>
            </w:r>
            <w:proofErr w:type="gramEnd"/>
            <w:r w:rsidR="00611E71" w:rsidRPr="001E1768">
              <w:rPr>
                <w:rFonts w:ascii="Times New Roman" w:hAnsi="Times New Roman" w:cs="Times New Roman"/>
              </w:rPr>
              <w:t xml:space="preserve"> janvārī un februārī iesaistīto 726 nodarbināto jauniešu skaitu, kā arī Valsts izglītības attīstības aģentūras sniegto informāciju, ka </w:t>
            </w:r>
            <w:r w:rsidR="00EE5AFA" w:rsidRPr="001E1768">
              <w:rPr>
                <w:rFonts w:ascii="Times New Roman" w:hAnsi="Times New Roman" w:cs="Times New Roman"/>
              </w:rPr>
              <w:t>pieejamā finansējuma ietvaros</w:t>
            </w:r>
            <w:r w:rsidR="00611E71" w:rsidRPr="001E1768">
              <w:rPr>
                <w:rFonts w:ascii="Times New Roman" w:hAnsi="Times New Roman" w:cs="Times New Roman"/>
              </w:rPr>
              <w:t xml:space="preserve">  atbalstu varētu sniegt un papildus 1-gadīgajās un 1,5-gadīgajās profesionālajās programmās uzņemt </w:t>
            </w:r>
            <w:r w:rsidR="00EE5AFA" w:rsidRPr="001E1768">
              <w:rPr>
                <w:rFonts w:ascii="Times New Roman" w:hAnsi="Times New Roman" w:cs="Times New Roman"/>
              </w:rPr>
              <w:t xml:space="preserve">vēl </w:t>
            </w:r>
            <w:r w:rsidR="00611E71" w:rsidRPr="001E1768">
              <w:rPr>
                <w:rFonts w:ascii="Times New Roman" w:hAnsi="Times New Roman" w:cs="Times New Roman"/>
              </w:rPr>
              <w:t xml:space="preserve">240 nodarbinātos jauniešus, un rezultāta rādītāju “kvalifikāciju ieguvušie nodarbināti dalībnieki tūlīt pēc dalības apmācībās”, kas savukārt ir aprēķināts, ņemot vērā informāciju par jau kvalifikāciju ieguvušiem nodarbinātiem jauniešiem, kas pabeiguši 2014.gada septembrī </w:t>
            </w:r>
            <w:r w:rsidR="0063788B" w:rsidRPr="001E1768">
              <w:rPr>
                <w:rFonts w:ascii="Times New Roman" w:hAnsi="Times New Roman" w:cs="Times New Roman"/>
              </w:rPr>
              <w:t xml:space="preserve"> uzsāktās </w:t>
            </w:r>
            <w:r w:rsidR="00611E71" w:rsidRPr="001E1768">
              <w:rPr>
                <w:rFonts w:ascii="Times New Roman" w:hAnsi="Times New Roman" w:cs="Times New Roman"/>
              </w:rPr>
              <w:t xml:space="preserve">mācības 1-gadīgās programmas un </w:t>
            </w:r>
            <w:r w:rsidR="0063788B" w:rsidRPr="001E1768">
              <w:rPr>
                <w:rFonts w:ascii="Times New Roman" w:hAnsi="Times New Roman" w:cs="Times New Roman"/>
              </w:rPr>
              <w:t xml:space="preserve"> jau </w:t>
            </w:r>
            <w:r w:rsidR="00611E71" w:rsidRPr="001E1768">
              <w:rPr>
                <w:rFonts w:ascii="Times New Roman" w:hAnsi="Times New Roman" w:cs="Times New Roman"/>
              </w:rPr>
              <w:t>ieguvuši kvalifikāciju š.g. jūnijā, kā arī Valsts izglītības attīstības aģentūras sniegto informāciju attiecībā uz prognozējamo kvalifikāciju ieguvušajiem skaitu</w:t>
            </w:r>
            <w:r w:rsidR="0063788B" w:rsidRPr="001E1768">
              <w:rPr>
                <w:rFonts w:ascii="Times New Roman" w:hAnsi="Times New Roman" w:cs="Times New Roman"/>
              </w:rPr>
              <w:t xml:space="preserve"> (indikatīvi 70-80%</w:t>
            </w:r>
            <w:r w:rsidR="00A45097" w:rsidRPr="001E1768">
              <w:rPr>
                <w:rFonts w:ascii="Times New Roman" w:hAnsi="Times New Roman" w:cs="Times New Roman"/>
              </w:rPr>
              <w:t xml:space="preserve"> no mācības uzsākušajiem</w:t>
            </w:r>
            <w:r w:rsidR="0063788B" w:rsidRPr="001E1768">
              <w:rPr>
                <w:rFonts w:ascii="Times New Roman" w:hAnsi="Times New Roman" w:cs="Times New Roman"/>
              </w:rPr>
              <w:t>)</w:t>
            </w:r>
            <w:r w:rsidR="00611E71" w:rsidRPr="001E1768">
              <w:rPr>
                <w:rFonts w:ascii="Times New Roman" w:hAnsi="Times New Roman" w:cs="Times New Roman"/>
              </w:rPr>
              <w:t>;</w:t>
            </w:r>
          </w:p>
          <w:p w14:paraId="300F755C" w14:textId="09264BDB" w:rsidR="00611E71" w:rsidRPr="001E1768" w:rsidRDefault="00611E71" w:rsidP="00D7757F">
            <w:pPr>
              <w:spacing w:after="0" w:line="240" w:lineRule="auto"/>
              <w:ind w:left="57" w:right="113"/>
              <w:jc w:val="both"/>
              <w:rPr>
                <w:rFonts w:ascii="Times New Roman" w:hAnsi="Times New Roman" w:cs="Times New Roman"/>
              </w:rPr>
            </w:pPr>
            <w:r w:rsidRPr="001E1768">
              <w:rPr>
                <w:rFonts w:ascii="Times New Roman" w:hAnsi="Times New Roman" w:cs="Times New Roman"/>
              </w:rPr>
              <w:t xml:space="preserve">- ieslodzījuma vietās esošos nodarbinātos jauniešus, kas iesaistīti karjeras konsultācijās </w:t>
            </w:r>
            <w:r w:rsidRPr="001E1768">
              <w:rPr>
                <w:rFonts w:ascii="Times New Roman" w:hAnsi="Times New Roman" w:cs="Times New Roman"/>
                <w:bCs/>
              </w:rPr>
              <w:t xml:space="preserve">līdz </w:t>
            </w:r>
            <w:proofErr w:type="gramStart"/>
            <w:r w:rsidRPr="001E1768">
              <w:rPr>
                <w:rFonts w:ascii="Times New Roman" w:hAnsi="Times New Roman" w:cs="Times New Roman"/>
                <w:bCs/>
              </w:rPr>
              <w:t>2015.gada</w:t>
            </w:r>
            <w:proofErr w:type="gramEnd"/>
            <w:r w:rsidRPr="001E1768">
              <w:rPr>
                <w:rFonts w:ascii="Times New Roman" w:hAnsi="Times New Roman" w:cs="Times New Roman"/>
                <w:bCs/>
              </w:rPr>
              <w:t xml:space="preserve"> 1.jūnijam (t.i., brīdis, kad L</w:t>
            </w:r>
            <w:r w:rsidR="00A45097" w:rsidRPr="001E1768">
              <w:rPr>
                <w:rFonts w:ascii="Times New Roman" w:hAnsi="Times New Roman" w:cs="Times New Roman"/>
                <w:bCs/>
              </w:rPr>
              <w:t>abklājības ministrija</w:t>
            </w:r>
            <w:r w:rsidRPr="001E1768">
              <w:rPr>
                <w:rFonts w:ascii="Times New Roman" w:hAnsi="Times New Roman" w:cs="Times New Roman"/>
                <w:bCs/>
              </w:rPr>
              <w:t xml:space="preserve"> kā atbildīgā iestāde ir lūgusi Valsts izglītības attīstības aģentūru nodrošināt, ka līdz tiks panākta vienošanās ar Eiropas Komisiju par turpmākajām rīcībām neiesaistīt neatbilstošas mērķa grupas dalībniekus projekta atbalstāmajās darbībās),</w:t>
            </w:r>
            <w:r w:rsidRPr="001E1768">
              <w:rPr>
                <w:rFonts w:ascii="Times New Roman" w:hAnsi="Times New Roman" w:cs="Times New Roman"/>
              </w:rPr>
              <w:t xml:space="preserve"> uzskaita projektā papildu MK noteikumu Nr.207 5.punktā noteiktajiem rādītājiem – tādējādi nodrošinot vienotu pieeju informācijas uzkrāšanai projektā (proti, līdzīgi kā otrā šī specifiskā atbalsta mērķa pasākumā attiecībā uz informācijas par veiktajām izmaksām par pilna laika studentiem, kas iesaistīti līdz 2014.gada 15.augustam, ņemot vērā, ka turpmāk nav plānots šādu jauniešu iesaiste projektā – iepriekš veikto izmaksu un sasniegto rādītāju uzskaiti nodrošina projektā nodalīti papildus projektā noteiktajiem sasniedzamajiem uzraudzības rādītājiem).</w:t>
            </w:r>
          </w:p>
          <w:p w14:paraId="303FD9A9" w14:textId="77777777" w:rsidR="004C27C1" w:rsidRPr="001833ED" w:rsidRDefault="004C27C1" w:rsidP="00297DB0">
            <w:pPr>
              <w:spacing w:after="0" w:line="240" w:lineRule="auto"/>
              <w:ind w:left="57" w:right="113"/>
              <w:jc w:val="both"/>
              <w:rPr>
                <w:rFonts w:ascii="Times New Roman" w:hAnsi="Times New Roman" w:cs="Times New Roman"/>
                <w:sz w:val="23"/>
                <w:szCs w:val="23"/>
                <w:shd w:val="clear" w:color="auto" w:fill="FFFFFF"/>
              </w:rPr>
            </w:pPr>
          </w:p>
          <w:p w14:paraId="5C82043D" w14:textId="4845D759" w:rsidR="004C27C1" w:rsidRPr="001833ED" w:rsidRDefault="004C27C1" w:rsidP="00297DB0">
            <w:pPr>
              <w:spacing w:after="0" w:line="240" w:lineRule="auto"/>
              <w:ind w:left="57" w:right="113"/>
              <w:jc w:val="both"/>
              <w:rPr>
                <w:rFonts w:ascii="Times New Roman" w:hAnsi="Times New Roman" w:cs="Times New Roman"/>
                <w:color w:val="000000"/>
                <w:sz w:val="23"/>
                <w:szCs w:val="23"/>
              </w:rPr>
            </w:pPr>
            <w:r w:rsidRPr="001833ED">
              <w:rPr>
                <w:rFonts w:ascii="Times New Roman" w:hAnsi="Times New Roman" w:cs="Times New Roman"/>
                <w:color w:val="000000"/>
                <w:sz w:val="23"/>
                <w:szCs w:val="23"/>
              </w:rPr>
              <w:t>Ar MK noteikumu projektu ierosinātās izmaiņas neietekmē šobrīd specifiskā atbalsta mērķa ietvaros izsludināto projektu iesniegumu atlasi.</w:t>
            </w:r>
          </w:p>
        </w:tc>
      </w:tr>
      <w:tr w:rsidR="00CC1A56" w:rsidRPr="00074E9C" w14:paraId="430D5B1D" w14:textId="77777777" w:rsidTr="00BF61A3">
        <w:trPr>
          <w:trHeight w:val="476"/>
        </w:trPr>
        <w:tc>
          <w:tcPr>
            <w:tcW w:w="224" w:type="pct"/>
          </w:tcPr>
          <w:p w14:paraId="510678D3" w14:textId="5C1621F0" w:rsidR="00CC1A56" w:rsidRPr="00074E9C" w:rsidRDefault="00CC1A56" w:rsidP="005E1FE1">
            <w:pPr>
              <w:pStyle w:val="naiskr"/>
              <w:spacing w:before="0" w:beforeAutospacing="0" w:after="0" w:afterAutospacing="0"/>
              <w:ind w:left="57" w:right="57"/>
              <w:jc w:val="center"/>
              <w:rPr>
                <w:sz w:val="23"/>
                <w:szCs w:val="23"/>
              </w:rPr>
            </w:pPr>
            <w:r w:rsidRPr="00074E9C">
              <w:rPr>
                <w:sz w:val="23"/>
                <w:szCs w:val="23"/>
              </w:rPr>
              <w:lastRenderedPageBreak/>
              <w:t>3.</w:t>
            </w:r>
          </w:p>
        </w:tc>
        <w:tc>
          <w:tcPr>
            <w:tcW w:w="1024" w:type="pct"/>
          </w:tcPr>
          <w:p w14:paraId="0056287A" w14:textId="77777777" w:rsidR="00CC1A56" w:rsidRPr="00074E9C" w:rsidRDefault="00CC1A56" w:rsidP="005E1FE1">
            <w:pPr>
              <w:pStyle w:val="naiskr"/>
              <w:spacing w:before="0" w:beforeAutospacing="0" w:after="0" w:afterAutospacing="0"/>
              <w:ind w:left="57" w:right="57"/>
              <w:rPr>
                <w:sz w:val="23"/>
                <w:szCs w:val="23"/>
              </w:rPr>
            </w:pPr>
            <w:r w:rsidRPr="00074E9C">
              <w:rPr>
                <w:sz w:val="23"/>
                <w:szCs w:val="23"/>
              </w:rPr>
              <w:t>Projekta izstrādē iesaistītās institūcijas</w:t>
            </w:r>
          </w:p>
        </w:tc>
        <w:tc>
          <w:tcPr>
            <w:tcW w:w="3752" w:type="pct"/>
          </w:tcPr>
          <w:p w14:paraId="045B7111" w14:textId="06A1B377" w:rsidR="00382F6F" w:rsidRPr="00074E9C" w:rsidRDefault="005E1FE1" w:rsidP="005E1FE1">
            <w:pPr>
              <w:spacing w:after="0" w:line="240" w:lineRule="auto"/>
              <w:ind w:left="57" w:right="113"/>
              <w:jc w:val="both"/>
              <w:rPr>
                <w:rFonts w:ascii="Times New Roman" w:hAnsi="Times New Roman" w:cs="Times New Roman"/>
                <w:sz w:val="23"/>
                <w:szCs w:val="23"/>
                <w:shd w:val="clear" w:color="auto" w:fill="FFFFFF"/>
              </w:rPr>
            </w:pPr>
            <w:r w:rsidRPr="00074E9C">
              <w:rPr>
                <w:rFonts w:ascii="Times New Roman" w:hAnsi="Times New Roman" w:cs="Times New Roman"/>
                <w:sz w:val="23"/>
                <w:szCs w:val="23"/>
                <w:shd w:val="clear" w:color="auto" w:fill="FFFFFF"/>
              </w:rPr>
              <w:t>MK noteikumu projekts šo jomu neskar.</w:t>
            </w:r>
          </w:p>
        </w:tc>
      </w:tr>
      <w:tr w:rsidR="00CC1A56" w:rsidRPr="00074E9C" w14:paraId="3888F858" w14:textId="77777777" w:rsidTr="00BF61A3">
        <w:tc>
          <w:tcPr>
            <w:tcW w:w="224" w:type="pct"/>
          </w:tcPr>
          <w:p w14:paraId="726D49C0" w14:textId="0CB86B9C" w:rsidR="00CC1A56" w:rsidRPr="00074E9C" w:rsidRDefault="00CC1A56" w:rsidP="005E1FE1">
            <w:pPr>
              <w:pStyle w:val="naiskr"/>
              <w:spacing w:before="0" w:beforeAutospacing="0" w:after="0" w:afterAutospacing="0"/>
              <w:ind w:left="57" w:right="57"/>
              <w:jc w:val="center"/>
              <w:rPr>
                <w:sz w:val="23"/>
                <w:szCs w:val="23"/>
              </w:rPr>
            </w:pPr>
            <w:r w:rsidRPr="00074E9C">
              <w:rPr>
                <w:sz w:val="23"/>
                <w:szCs w:val="23"/>
              </w:rPr>
              <w:t>4.</w:t>
            </w:r>
          </w:p>
        </w:tc>
        <w:tc>
          <w:tcPr>
            <w:tcW w:w="1024" w:type="pct"/>
          </w:tcPr>
          <w:p w14:paraId="65B3391E" w14:textId="77777777" w:rsidR="00CC1A56" w:rsidRPr="00074E9C" w:rsidRDefault="00CC1A56" w:rsidP="005E1FE1">
            <w:pPr>
              <w:pStyle w:val="naiskr"/>
              <w:spacing w:before="0" w:beforeAutospacing="0" w:after="0" w:afterAutospacing="0"/>
              <w:ind w:left="57" w:right="57"/>
              <w:rPr>
                <w:sz w:val="23"/>
                <w:szCs w:val="23"/>
              </w:rPr>
            </w:pPr>
            <w:r w:rsidRPr="00074E9C">
              <w:rPr>
                <w:sz w:val="23"/>
                <w:szCs w:val="23"/>
              </w:rPr>
              <w:t>Cita informācija</w:t>
            </w:r>
          </w:p>
        </w:tc>
        <w:tc>
          <w:tcPr>
            <w:tcW w:w="3752" w:type="pct"/>
          </w:tcPr>
          <w:p w14:paraId="27A3232B" w14:textId="230FC775" w:rsidR="00AB321F" w:rsidRPr="00074E9C" w:rsidRDefault="005E1FE1" w:rsidP="005E1FE1">
            <w:pPr>
              <w:spacing w:after="0" w:line="240" w:lineRule="auto"/>
              <w:ind w:left="57" w:right="113"/>
              <w:jc w:val="both"/>
              <w:rPr>
                <w:rFonts w:ascii="Times New Roman" w:hAnsi="Times New Roman" w:cs="Times New Roman"/>
                <w:color w:val="000000"/>
                <w:sz w:val="23"/>
                <w:szCs w:val="23"/>
              </w:rPr>
            </w:pPr>
            <w:r w:rsidRPr="00074E9C">
              <w:rPr>
                <w:rFonts w:ascii="Times New Roman" w:hAnsi="Times New Roman" w:cs="Times New Roman"/>
                <w:sz w:val="23"/>
                <w:szCs w:val="23"/>
                <w:shd w:val="clear" w:color="auto" w:fill="FFFFFF"/>
              </w:rPr>
              <w:t>Nav.</w:t>
            </w:r>
          </w:p>
        </w:tc>
      </w:tr>
    </w:tbl>
    <w:p w14:paraId="1A4D22BE" w14:textId="77777777" w:rsidR="00F21E42" w:rsidRPr="00C564CA" w:rsidRDefault="00F21E42" w:rsidP="005E1FE1">
      <w:pPr>
        <w:spacing w:after="0" w:line="240" w:lineRule="auto"/>
        <w:rPr>
          <w:rFonts w:ascii="Times New Roman" w:hAnsi="Times New Roman" w:cs="Times New Roman"/>
          <w:sz w:val="16"/>
          <w:szCs w:val="16"/>
          <w:highlight w:val="yellow"/>
        </w:rPr>
      </w:pPr>
    </w:p>
    <w:tbl>
      <w:tblPr>
        <w:tblpPr w:leftFromText="180" w:rightFromText="180" w:vertAnchor="text" w:horzAnchor="margin" w:tblpXSpec="center" w:tblpY="11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1974"/>
        <w:gridCol w:w="7229"/>
      </w:tblGrid>
      <w:tr w:rsidR="00CC1A56" w:rsidRPr="00074E9C" w14:paraId="0320F7F7" w14:textId="77777777" w:rsidTr="0089655E">
        <w:trPr>
          <w:trHeight w:val="556"/>
        </w:trPr>
        <w:tc>
          <w:tcPr>
            <w:tcW w:w="9634" w:type="dxa"/>
            <w:gridSpan w:val="3"/>
            <w:vAlign w:val="center"/>
          </w:tcPr>
          <w:p w14:paraId="5D20C248" w14:textId="77777777" w:rsidR="00CC1A56" w:rsidRPr="00074E9C" w:rsidRDefault="00CC1A56" w:rsidP="005E1FE1">
            <w:pPr>
              <w:pStyle w:val="naisnod"/>
              <w:spacing w:before="0" w:beforeAutospacing="0" w:after="0" w:afterAutospacing="0"/>
              <w:ind w:left="57" w:right="57"/>
              <w:jc w:val="center"/>
              <w:rPr>
                <w:b/>
                <w:sz w:val="23"/>
                <w:szCs w:val="23"/>
              </w:rPr>
            </w:pPr>
            <w:r w:rsidRPr="00074E9C">
              <w:rPr>
                <w:b/>
                <w:sz w:val="23"/>
                <w:szCs w:val="23"/>
              </w:rPr>
              <w:t>II. Tiesību akta projekta ietekme uz sabiedrību, tautsaimniecības attīstību</w:t>
            </w:r>
          </w:p>
          <w:p w14:paraId="4CCA2CAE" w14:textId="77777777" w:rsidR="00CC1A56" w:rsidRPr="00074E9C" w:rsidRDefault="00CC1A56" w:rsidP="005E1FE1">
            <w:pPr>
              <w:pStyle w:val="naisnod"/>
              <w:spacing w:before="0" w:beforeAutospacing="0" w:after="0" w:afterAutospacing="0"/>
              <w:ind w:left="57" w:right="57"/>
              <w:jc w:val="center"/>
              <w:rPr>
                <w:b/>
                <w:sz w:val="23"/>
                <w:szCs w:val="23"/>
              </w:rPr>
            </w:pPr>
            <w:r w:rsidRPr="00074E9C">
              <w:rPr>
                <w:b/>
                <w:sz w:val="23"/>
                <w:szCs w:val="23"/>
              </w:rPr>
              <w:t>un administratīvo slogu</w:t>
            </w:r>
          </w:p>
        </w:tc>
      </w:tr>
      <w:tr w:rsidR="00CC1A56" w:rsidRPr="00074E9C" w14:paraId="7690B02F" w14:textId="77777777" w:rsidTr="00BF61A3">
        <w:trPr>
          <w:trHeight w:val="467"/>
        </w:trPr>
        <w:tc>
          <w:tcPr>
            <w:tcW w:w="431" w:type="dxa"/>
          </w:tcPr>
          <w:p w14:paraId="22D56FA9" w14:textId="77777777" w:rsidR="00CC1A56" w:rsidRPr="00074E9C" w:rsidRDefault="00CC1A56" w:rsidP="005E1FE1">
            <w:pPr>
              <w:pStyle w:val="naiskr"/>
              <w:spacing w:before="0" w:beforeAutospacing="0" w:after="0" w:afterAutospacing="0"/>
              <w:ind w:left="57" w:right="57"/>
              <w:jc w:val="both"/>
              <w:rPr>
                <w:sz w:val="23"/>
                <w:szCs w:val="23"/>
              </w:rPr>
            </w:pPr>
            <w:r w:rsidRPr="00074E9C">
              <w:rPr>
                <w:sz w:val="23"/>
                <w:szCs w:val="23"/>
              </w:rPr>
              <w:t>1.</w:t>
            </w:r>
          </w:p>
        </w:tc>
        <w:tc>
          <w:tcPr>
            <w:tcW w:w="1974" w:type="dxa"/>
          </w:tcPr>
          <w:p w14:paraId="71297153" w14:textId="77777777" w:rsidR="00CC1A56" w:rsidRPr="00074E9C" w:rsidRDefault="00CC1A56" w:rsidP="005E1FE1">
            <w:pPr>
              <w:pStyle w:val="naiskr"/>
              <w:spacing w:before="0" w:beforeAutospacing="0" w:after="0" w:afterAutospacing="0"/>
              <w:ind w:left="57" w:right="57"/>
              <w:rPr>
                <w:sz w:val="23"/>
                <w:szCs w:val="23"/>
              </w:rPr>
            </w:pPr>
            <w:r w:rsidRPr="00074E9C">
              <w:rPr>
                <w:sz w:val="23"/>
                <w:szCs w:val="23"/>
              </w:rPr>
              <w:t>Sabiedrības mērķgrupas, kuras tiesiskais regulējums ietekmē vai varētu ietekmēt</w:t>
            </w:r>
          </w:p>
        </w:tc>
        <w:tc>
          <w:tcPr>
            <w:tcW w:w="7229" w:type="dxa"/>
          </w:tcPr>
          <w:p w14:paraId="2A07D0F8" w14:textId="77777777" w:rsidR="00D7757F" w:rsidRDefault="00774251" w:rsidP="00D7757F">
            <w:pPr>
              <w:shd w:val="clear" w:color="auto" w:fill="FFFFFF"/>
              <w:spacing w:after="0" w:line="240" w:lineRule="auto"/>
              <w:ind w:left="57" w:right="113"/>
              <w:jc w:val="both"/>
              <w:rPr>
                <w:rFonts w:ascii="Times New Roman" w:hAnsi="Times New Roman" w:cs="Times New Roman"/>
                <w:sz w:val="23"/>
                <w:szCs w:val="23"/>
              </w:rPr>
            </w:pPr>
            <w:bookmarkStart w:id="1" w:name="p21"/>
            <w:bookmarkEnd w:id="1"/>
            <w:r w:rsidRPr="00074E9C">
              <w:rPr>
                <w:rFonts w:ascii="Times New Roman" w:hAnsi="Times New Roman" w:cs="Times New Roman"/>
                <w:sz w:val="23"/>
                <w:szCs w:val="23"/>
              </w:rPr>
              <w:t>Mērķa grupa</w:t>
            </w:r>
            <w:r w:rsidR="00D7757F">
              <w:rPr>
                <w:rFonts w:ascii="Times New Roman" w:hAnsi="Times New Roman" w:cs="Times New Roman"/>
                <w:sz w:val="23"/>
                <w:szCs w:val="23"/>
              </w:rPr>
              <w:t>:</w:t>
            </w:r>
          </w:p>
          <w:p w14:paraId="04E12320" w14:textId="0951FBAD" w:rsidR="00CC1A56" w:rsidRPr="00FC7DBC" w:rsidRDefault="00D7757F" w:rsidP="00D7757F">
            <w:pPr>
              <w:shd w:val="clear" w:color="auto" w:fill="FFFFFF"/>
              <w:spacing w:after="0" w:line="240" w:lineRule="auto"/>
              <w:ind w:left="57" w:right="113"/>
              <w:jc w:val="both"/>
              <w:rPr>
                <w:rFonts w:ascii="Times New Roman" w:hAnsi="Times New Roman" w:cs="Times New Roman"/>
                <w:sz w:val="23"/>
                <w:szCs w:val="23"/>
              </w:rPr>
            </w:pPr>
            <w:r>
              <w:rPr>
                <w:rFonts w:ascii="Times New Roman" w:hAnsi="Times New Roman" w:cs="Times New Roman"/>
                <w:sz w:val="23"/>
                <w:szCs w:val="23"/>
              </w:rPr>
              <w:t>-</w:t>
            </w:r>
            <w:r w:rsidR="00774251" w:rsidRPr="00074E9C">
              <w:rPr>
                <w:rFonts w:ascii="Times New Roman" w:hAnsi="Times New Roman" w:cs="Times New Roman"/>
                <w:sz w:val="23"/>
                <w:szCs w:val="23"/>
              </w:rPr>
              <w:t xml:space="preserve"> jaunieši, kuri nemācās un nav nodarbināti līdz 29 gadu vecumam (ieskaitot), prioritāri atbalstu sniedzot mērķa grupai vecumā 15–24 gadi (ieskaitot). Atbilstoši Nodarbinātības valsts aģentūras statistikas datiem </w:t>
            </w:r>
            <w:r w:rsidR="00506B4C" w:rsidRPr="002470CD">
              <w:rPr>
                <w:rFonts w:ascii="Times New Roman" w:hAnsi="Times New Roman" w:cs="Times New Roman"/>
                <w:sz w:val="23"/>
                <w:szCs w:val="23"/>
              </w:rPr>
              <w:t xml:space="preserve">2015.gada jūlija beigās 16 098 jeb 20,0% no bezdarbnieku kopskaita bija jaunieši </w:t>
            </w:r>
            <w:r w:rsidR="00506B4C" w:rsidRPr="002470CD">
              <w:rPr>
                <w:rFonts w:ascii="Times New Roman" w:hAnsi="Times New Roman" w:cs="Times New Roman"/>
                <w:sz w:val="23"/>
                <w:szCs w:val="23"/>
              </w:rPr>
              <w:lastRenderedPageBreak/>
              <w:t>bezdarbnieki vecumā no 15 līdz 29 gadiem. Savukārt 7 032 jeb 8,7% no bezdarbnieku kopskaita bija bezdarbnieki vecumā no 15 līdz 24 gadiem</w:t>
            </w:r>
            <w:r w:rsidR="007B1731" w:rsidRPr="002470CD">
              <w:rPr>
                <w:rFonts w:ascii="Times New Roman" w:hAnsi="Times New Roman" w:cs="Times New Roman"/>
                <w:sz w:val="23"/>
                <w:szCs w:val="23"/>
              </w:rPr>
              <w:t>;</w:t>
            </w:r>
          </w:p>
          <w:p w14:paraId="5DED6035" w14:textId="0BCCAC29" w:rsidR="00D7757F" w:rsidRPr="00D7757F" w:rsidRDefault="00D7757F" w:rsidP="00D7757F">
            <w:pPr>
              <w:shd w:val="clear" w:color="auto" w:fill="FFFFFF"/>
              <w:spacing w:after="0" w:line="240" w:lineRule="auto"/>
              <w:ind w:left="57" w:right="113"/>
              <w:jc w:val="both"/>
              <w:rPr>
                <w:rFonts w:ascii="Times New Roman" w:hAnsi="Times New Roman" w:cs="Times New Roman"/>
                <w:b/>
                <w:sz w:val="23"/>
                <w:szCs w:val="23"/>
              </w:rPr>
            </w:pPr>
            <w:r w:rsidRPr="00FC7DBC">
              <w:rPr>
                <w:rFonts w:ascii="Times New Roman" w:hAnsi="Times New Roman" w:cs="Times New Roman"/>
                <w:sz w:val="23"/>
                <w:szCs w:val="23"/>
              </w:rPr>
              <w:t>- nodarbināti jaunieši līdz 29 gadu vecumam (ieskaitot) (saskaņā ar</w:t>
            </w:r>
            <w:r w:rsidRPr="00FC7DBC">
              <w:t xml:space="preserve"> </w:t>
            </w:r>
            <w:r w:rsidRPr="00FC7DBC">
              <w:rPr>
                <w:rFonts w:ascii="Times New Roman" w:hAnsi="Times New Roman" w:cs="Times New Roman"/>
                <w:sz w:val="23"/>
                <w:szCs w:val="23"/>
              </w:rPr>
              <w:t xml:space="preserve">Valsts izglītības attīstības aģentūras </w:t>
            </w:r>
            <w:r w:rsidR="007B1731" w:rsidRPr="00FC7DBC">
              <w:rPr>
                <w:rFonts w:ascii="Times New Roman" w:hAnsi="Times New Roman" w:cs="Times New Roman"/>
                <w:sz w:val="23"/>
                <w:szCs w:val="23"/>
              </w:rPr>
              <w:t xml:space="preserve">īstenotā </w:t>
            </w:r>
            <w:r w:rsidRPr="00FC7DBC">
              <w:rPr>
                <w:rFonts w:ascii="Times New Roman" w:hAnsi="Times New Roman" w:cs="Times New Roman"/>
                <w:sz w:val="23"/>
                <w:szCs w:val="23"/>
              </w:rPr>
              <w:t xml:space="preserve">pasākuma “Sākotnējās profesionālās izglītības programmu īstenošana Jauniešu garantijas ietvaros” projekta datiem šādu jauniešu īpatsvars īstenotā </w:t>
            </w:r>
            <w:r w:rsidR="007B1731" w:rsidRPr="00FC7DBC">
              <w:rPr>
                <w:rFonts w:ascii="Times New Roman" w:hAnsi="Times New Roman" w:cs="Times New Roman"/>
                <w:sz w:val="23"/>
                <w:szCs w:val="23"/>
              </w:rPr>
              <w:t xml:space="preserve">projekta </w:t>
            </w:r>
            <w:r w:rsidRPr="00FC7DBC">
              <w:rPr>
                <w:rFonts w:ascii="Times New Roman" w:hAnsi="Times New Roman" w:cs="Times New Roman"/>
                <w:sz w:val="23"/>
                <w:szCs w:val="23"/>
              </w:rPr>
              <w:t>kopējā dalībnieku skaitā sastāda aptuveni 24%).</w:t>
            </w:r>
          </w:p>
        </w:tc>
      </w:tr>
      <w:tr w:rsidR="00CC1A56" w:rsidRPr="00074E9C" w14:paraId="6F8CAE29" w14:textId="77777777" w:rsidTr="00BF61A3">
        <w:trPr>
          <w:trHeight w:val="523"/>
        </w:trPr>
        <w:tc>
          <w:tcPr>
            <w:tcW w:w="431" w:type="dxa"/>
          </w:tcPr>
          <w:p w14:paraId="27C40099" w14:textId="77777777" w:rsidR="00CC1A56" w:rsidRPr="00074E9C" w:rsidRDefault="00CC1A56" w:rsidP="005E1FE1">
            <w:pPr>
              <w:pStyle w:val="naiskr"/>
              <w:spacing w:before="0" w:beforeAutospacing="0" w:after="0" w:afterAutospacing="0"/>
              <w:ind w:left="57" w:right="57"/>
              <w:jc w:val="both"/>
              <w:rPr>
                <w:sz w:val="23"/>
                <w:szCs w:val="23"/>
              </w:rPr>
            </w:pPr>
            <w:r w:rsidRPr="00074E9C">
              <w:rPr>
                <w:sz w:val="23"/>
                <w:szCs w:val="23"/>
              </w:rPr>
              <w:lastRenderedPageBreak/>
              <w:t>2.</w:t>
            </w:r>
          </w:p>
        </w:tc>
        <w:tc>
          <w:tcPr>
            <w:tcW w:w="1974" w:type="dxa"/>
          </w:tcPr>
          <w:p w14:paraId="2557BB6F" w14:textId="77777777" w:rsidR="00CC1A56" w:rsidRPr="00074E9C" w:rsidRDefault="00CC1A56" w:rsidP="005E1FE1">
            <w:pPr>
              <w:pStyle w:val="naiskr"/>
              <w:spacing w:before="0" w:beforeAutospacing="0" w:after="0" w:afterAutospacing="0"/>
              <w:ind w:left="57" w:right="57"/>
              <w:rPr>
                <w:sz w:val="23"/>
                <w:szCs w:val="23"/>
              </w:rPr>
            </w:pPr>
            <w:r w:rsidRPr="00074E9C">
              <w:rPr>
                <w:sz w:val="23"/>
                <w:szCs w:val="23"/>
              </w:rPr>
              <w:t>Tiesiskā regulējuma ietekme uz tautsaimniecību un administratīvo slogu</w:t>
            </w:r>
          </w:p>
        </w:tc>
        <w:tc>
          <w:tcPr>
            <w:tcW w:w="7229" w:type="dxa"/>
          </w:tcPr>
          <w:p w14:paraId="31BE6099" w14:textId="7E2368CD" w:rsidR="004F135B" w:rsidRPr="00074E9C" w:rsidRDefault="005E1FE1" w:rsidP="00DB6EA7">
            <w:pPr>
              <w:shd w:val="clear" w:color="auto" w:fill="FFFFFF"/>
              <w:spacing w:after="0" w:line="240" w:lineRule="auto"/>
              <w:ind w:left="57" w:right="113"/>
              <w:jc w:val="both"/>
              <w:rPr>
                <w:rFonts w:ascii="Times New Roman" w:hAnsi="Times New Roman" w:cs="Times New Roman"/>
                <w:sz w:val="23"/>
                <w:szCs w:val="23"/>
                <w:lang w:eastAsia="lv-LV"/>
              </w:rPr>
            </w:pPr>
            <w:r w:rsidRPr="00074E9C">
              <w:rPr>
                <w:rFonts w:ascii="Times New Roman" w:hAnsi="Times New Roman" w:cs="Times New Roman"/>
                <w:sz w:val="23"/>
                <w:szCs w:val="23"/>
              </w:rPr>
              <w:t xml:space="preserve">Kopumā sabiedrības grupām MK noteikumu projekta tiesiskais regulējums nemaina tiesības un pienākumus, kā arī veicamās darbības. </w:t>
            </w:r>
          </w:p>
        </w:tc>
      </w:tr>
      <w:tr w:rsidR="00CC1A56" w:rsidRPr="00074E9C" w14:paraId="61914012" w14:textId="77777777" w:rsidTr="00BF61A3">
        <w:trPr>
          <w:trHeight w:val="523"/>
        </w:trPr>
        <w:tc>
          <w:tcPr>
            <w:tcW w:w="431" w:type="dxa"/>
          </w:tcPr>
          <w:p w14:paraId="03026045" w14:textId="77777777" w:rsidR="00CC1A56" w:rsidRPr="00074E9C" w:rsidRDefault="00CC1A56" w:rsidP="005E1FE1">
            <w:pPr>
              <w:pStyle w:val="naiskr"/>
              <w:spacing w:before="0" w:beforeAutospacing="0" w:after="0" w:afterAutospacing="0"/>
              <w:ind w:left="57" w:right="57"/>
              <w:jc w:val="both"/>
              <w:rPr>
                <w:sz w:val="23"/>
                <w:szCs w:val="23"/>
              </w:rPr>
            </w:pPr>
            <w:r w:rsidRPr="00074E9C">
              <w:rPr>
                <w:sz w:val="23"/>
                <w:szCs w:val="23"/>
              </w:rPr>
              <w:t>3.</w:t>
            </w:r>
          </w:p>
        </w:tc>
        <w:tc>
          <w:tcPr>
            <w:tcW w:w="1974" w:type="dxa"/>
          </w:tcPr>
          <w:p w14:paraId="0D33F6D5" w14:textId="77777777" w:rsidR="00CC1A56" w:rsidRPr="00074E9C" w:rsidRDefault="00CC1A56" w:rsidP="005E1FE1">
            <w:pPr>
              <w:pStyle w:val="naiskr"/>
              <w:spacing w:before="0" w:beforeAutospacing="0" w:after="0" w:afterAutospacing="0"/>
              <w:ind w:left="57" w:right="57"/>
              <w:rPr>
                <w:sz w:val="23"/>
                <w:szCs w:val="23"/>
              </w:rPr>
            </w:pPr>
            <w:r w:rsidRPr="00074E9C">
              <w:rPr>
                <w:sz w:val="23"/>
                <w:szCs w:val="23"/>
              </w:rPr>
              <w:t>Administratīvo izmaksu monetārs novērtējums</w:t>
            </w:r>
          </w:p>
        </w:tc>
        <w:tc>
          <w:tcPr>
            <w:tcW w:w="7229" w:type="dxa"/>
          </w:tcPr>
          <w:p w14:paraId="1D9112F7" w14:textId="23B316E0" w:rsidR="00CC1A56" w:rsidRPr="00074E9C" w:rsidRDefault="005E1FE1" w:rsidP="005E1FE1">
            <w:pPr>
              <w:shd w:val="clear" w:color="auto" w:fill="FFFFFF"/>
              <w:spacing w:after="0" w:line="240" w:lineRule="auto"/>
              <w:ind w:left="57" w:right="113"/>
              <w:jc w:val="both"/>
              <w:rPr>
                <w:rFonts w:ascii="Times New Roman" w:hAnsi="Times New Roman" w:cs="Times New Roman"/>
                <w:sz w:val="23"/>
                <w:szCs w:val="23"/>
              </w:rPr>
            </w:pPr>
            <w:r w:rsidRPr="00074E9C">
              <w:rPr>
                <w:rFonts w:ascii="Times New Roman" w:hAnsi="Times New Roman" w:cs="Times New Roman"/>
                <w:sz w:val="23"/>
                <w:szCs w:val="23"/>
              </w:rPr>
              <w:t>MK noteikumu projekts šo jomu neskar.</w:t>
            </w:r>
          </w:p>
        </w:tc>
      </w:tr>
      <w:tr w:rsidR="00CC1A56" w:rsidRPr="00074E9C" w14:paraId="474C7997" w14:textId="77777777" w:rsidTr="00BF61A3">
        <w:trPr>
          <w:trHeight w:val="357"/>
        </w:trPr>
        <w:tc>
          <w:tcPr>
            <w:tcW w:w="431" w:type="dxa"/>
          </w:tcPr>
          <w:p w14:paraId="1C53E5E5" w14:textId="77777777" w:rsidR="00CC1A56" w:rsidRPr="00074E9C" w:rsidRDefault="00CC1A56" w:rsidP="005E1FE1">
            <w:pPr>
              <w:pStyle w:val="naiskr"/>
              <w:spacing w:before="0" w:beforeAutospacing="0" w:after="0" w:afterAutospacing="0"/>
              <w:ind w:left="57" w:right="57"/>
              <w:jc w:val="both"/>
              <w:rPr>
                <w:sz w:val="23"/>
                <w:szCs w:val="23"/>
              </w:rPr>
            </w:pPr>
            <w:r w:rsidRPr="00074E9C">
              <w:rPr>
                <w:sz w:val="23"/>
                <w:szCs w:val="23"/>
              </w:rPr>
              <w:t>4.</w:t>
            </w:r>
          </w:p>
        </w:tc>
        <w:tc>
          <w:tcPr>
            <w:tcW w:w="1974" w:type="dxa"/>
          </w:tcPr>
          <w:p w14:paraId="59A73AD6" w14:textId="77777777" w:rsidR="00CC1A56" w:rsidRPr="00074E9C" w:rsidRDefault="00CC1A56" w:rsidP="005E1FE1">
            <w:pPr>
              <w:pStyle w:val="naiskr"/>
              <w:spacing w:before="0" w:beforeAutospacing="0" w:after="0" w:afterAutospacing="0"/>
              <w:ind w:left="57" w:right="57"/>
              <w:rPr>
                <w:sz w:val="23"/>
                <w:szCs w:val="23"/>
              </w:rPr>
            </w:pPr>
            <w:r w:rsidRPr="00074E9C">
              <w:rPr>
                <w:sz w:val="23"/>
                <w:szCs w:val="23"/>
              </w:rPr>
              <w:t>Cita informācija</w:t>
            </w:r>
          </w:p>
        </w:tc>
        <w:tc>
          <w:tcPr>
            <w:tcW w:w="7229" w:type="dxa"/>
          </w:tcPr>
          <w:p w14:paraId="7F8909DE" w14:textId="77777777" w:rsidR="00CC1A56" w:rsidRPr="00074E9C" w:rsidRDefault="007F44BF" w:rsidP="005E1FE1">
            <w:pPr>
              <w:shd w:val="clear" w:color="auto" w:fill="FFFFFF"/>
              <w:spacing w:after="0" w:line="240" w:lineRule="auto"/>
              <w:ind w:left="57" w:right="113"/>
              <w:jc w:val="both"/>
              <w:rPr>
                <w:rFonts w:ascii="Times New Roman" w:hAnsi="Times New Roman" w:cs="Times New Roman"/>
                <w:sz w:val="23"/>
                <w:szCs w:val="23"/>
              </w:rPr>
            </w:pPr>
            <w:r w:rsidRPr="00074E9C">
              <w:rPr>
                <w:rFonts w:ascii="Times New Roman" w:hAnsi="Times New Roman" w:cs="Times New Roman"/>
                <w:sz w:val="23"/>
                <w:szCs w:val="23"/>
              </w:rPr>
              <w:t>Nav.</w:t>
            </w:r>
          </w:p>
        </w:tc>
      </w:tr>
    </w:tbl>
    <w:p w14:paraId="3CC3F9D2" w14:textId="77777777" w:rsidR="00AB4AEE" w:rsidRPr="00C564CA" w:rsidRDefault="00AB4AEE" w:rsidP="00AB4AEE">
      <w:pPr>
        <w:spacing w:after="0" w:line="240" w:lineRule="auto"/>
        <w:rPr>
          <w:rFonts w:ascii="Times New Roman" w:hAnsi="Times New Roman" w:cs="Times New Roman"/>
          <w:color w:val="000000"/>
          <w:sz w:val="16"/>
          <w:szCs w:val="16"/>
        </w:rPr>
      </w:pPr>
    </w:p>
    <w:tbl>
      <w:tblPr>
        <w:tblW w:w="5318"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260"/>
        <w:gridCol w:w="1671"/>
        <w:gridCol w:w="1446"/>
        <w:gridCol w:w="1185"/>
        <w:gridCol w:w="1315"/>
        <w:gridCol w:w="1754"/>
      </w:tblGrid>
      <w:tr w:rsidR="0015288B" w:rsidRPr="00B679BE" w14:paraId="139FB347" w14:textId="77777777" w:rsidTr="0015288B">
        <w:trPr>
          <w:trHeight w:val="360"/>
          <w:jc w:val="center"/>
        </w:trPr>
        <w:tc>
          <w:tcPr>
            <w:tcW w:w="9631" w:type="dxa"/>
            <w:gridSpan w:val="6"/>
            <w:tcBorders>
              <w:top w:val="outset" w:sz="6" w:space="0" w:color="414142"/>
              <w:left w:val="outset" w:sz="6" w:space="0" w:color="414142"/>
              <w:bottom w:val="outset" w:sz="6" w:space="0" w:color="414142"/>
              <w:right w:val="outset" w:sz="6" w:space="0" w:color="414142"/>
            </w:tcBorders>
            <w:vAlign w:val="center"/>
            <w:hideMark/>
          </w:tcPr>
          <w:p w14:paraId="5DA4BAD0" w14:textId="77777777" w:rsidR="0015288B" w:rsidRPr="00B679BE" w:rsidRDefault="0015288B" w:rsidP="0015288B">
            <w:pPr>
              <w:spacing w:after="0" w:line="240" w:lineRule="auto"/>
              <w:jc w:val="center"/>
              <w:rPr>
                <w:rFonts w:ascii="Times New Roman" w:hAnsi="Times New Roman" w:cs="Times New Roman"/>
                <w:b/>
                <w:bCs/>
                <w:color w:val="000000"/>
                <w:sz w:val="23"/>
                <w:szCs w:val="23"/>
              </w:rPr>
            </w:pPr>
            <w:r w:rsidRPr="00B679BE">
              <w:rPr>
                <w:rFonts w:ascii="Times New Roman" w:hAnsi="Times New Roman" w:cs="Times New Roman"/>
                <w:b/>
                <w:bCs/>
                <w:color w:val="000000"/>
                <w:sz w:val="23"/>
                <w:szCs w:val="23"/>
              </w:rPr>
              <w:t>III. Tiesību akta projekta ietekme uz valsts budžetu un pašvaldību budžetiem</w:t>
            </w:r>
          </w:p>
        </w:tc>
      </w:tr>
      <w:tr w:rsidR="0015288B" w:rsidRPr="00B679BE" w14:paraId="45A52FED" w14:textId="77777777" w:rsidTr="00BF61A3">
        <w:trPr>
          <w:jc w:val="center"/>
        </w:trPr>
        <w:tc>
          <w:tcPr>
            <w:tcW w:w="2260" w:type="dxa"/>
            <w:vMerge w:val="restart"/>
            <w:tcBorders>
              <w:top w:val="outset" w:sz="6" w:space="0" w:color="414142"/>
              <w:left w:val="outset" w:sz="6" w:space="0" w:color="414142"/>
              <w:bottom w:val="outset" w:sz="6" w:space="0" w:color="414142"/>
              <w:right w:val="outset" w:sz="6" w:space="0" w:color="414142"/>
            </w:tcBorders>
            <w:vAlign w:val="center"/>
            <w:hideMark/>
          </w:tcPr>
          <w:p w14:paraId="70AD6BFA" w14:textId="77777777" w:rsidR="0015288B" w:rsidRPr="00B679BE" w:rsidRDefault="0015288B" w:rsidP="0015288B">
            <w:pPr>
              <w:spacing w:after="0" w:line="240" w:lineRule="auto"/>
              <w:jc w:val="center"/>
              <w:rPr>
                <w:rFonts w:ascii="Times New Roman" w:hAnsi="Times New Roman" w:cs="Times New Roman"/>
                <w:b/>
                <w:bCs/>
                <w:color w:val="000000"/>
                <w:sz w:val="23"/>
                <w:szCs w:val="23"/>
              </w:rPr>
            </w:pPr>
            <w:r w:rsidRPr="00B679BE">
              <w:rPr>
                <w:rFonts w:ascii="Times New Roman" w:hAnsi="Times New Roman" w:cs="Times New Roman"/>
                <w:b/>
                <w:bCs/>
                <w:color w:val="000000"/>
                <w:sz w:val="23"/>
                <w:szCs w:val="23"/>
              </w:rPr>
              <w:t>Rādītāji</w:t>
            </w:r>
          </w:p>
        </w:tc>
        <w:tc>
          <w:tcPr>
            <w:tcW w:w="3117"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48145712" w14:textId="77777777" w:rsidR="0015288B" w:rsidRPr="00B679BE" w:rsidRDefault="0015288B" w:rsidP="0015288B">
            <w:pPr>
              <w:spacing w:after="0" w:line="240" w:lineRule="auto"/>
              <w:jc w:val="center"/>
              <w:rPr>
                <w:rFonts w:ascii="Times New Roman" w:hAnsi="Times New Roman" w:cs="Times New Roman"/>
                <w:b/>
                <w:bCs/>
                <w:color w:val="000000"/>
                <w:sz w:val="23"/>
                <w:szCs w:val="23"/>
              </w:rPr>
            </w:pPr>
            <w:r w:rsidRPr="00B679BE">
              <w:rPr>
                <w:rFonts w:ascii="Times New Roman" w:hAnsi="Times New Roman" w:cs="Times New Roman"/>
                <w:b/>
                <w:bCs/>
                <w:color w:val="000000"/>
                <w:sz w:val="23"/>
                <w:szCs w:val="23"/>
              </w:rPr>
              <w:t>2015.</w:t>
            </w:r>
          </w:p>
        </w:tc>
        <w:tc>
          <w:tcPr>
            <w:tcW w:w="4254" w:type="dxa"/>
            <w:gridSpan w:val="3"/>
            <w:tcBorders>
              <w:top w:val="outset" w:sz="6" w:space="0" w:color="414142"/>
              <w:left w:val="outset" w:sz="6" w:space="0" w:color="414142"/>
              <w:bottom w:val="single" w:sz="4" w:space="0" w:color="auto"/>
              <w:right w:val="outset" w:sz="6" w:space="0" w:color="414142"/>
            </w:tcBorders>
            <w:vAlign w:val="center"/>
            <w:hideMark/>
          </w:tcPr>
          <w:p w14:paraId="4F5D341E" w14:textId="77777777" w:rsidR="0015288B" w:rsidRPr="00B679BE" w:rsidRDefault="0015288B" w:rsidP="0015288B">
            <w:pPr>
              <w:spacing w:after="0" w:line="240" w:lineRule="auto"/>
              <w:jc w:val="center"/>
              <w:rPr>
                <w:rFonts w:ascii="Times New Roman" w:hAnsi="Times New Roman" w:cs="Times New Roman"/>
                <w:color w:val="000000"/>
                <w:sz w:val="23"/>
                <w:szCs w:val="23"/>
              </w:rPr>
            </w:pPr>
            <w:r w:rsidRPr="00B679BE">
              <w:rPr>
                <w:rFonts w:ascii="Times New Roman" w:hAnsi="Times New Roman" w:cs="Times New Roman"/>
                <w:color w:val="000000"/>
                <w:sz w:val="23"/>
                <w:szCs w:val="23"/>
              </w:rPr>
              <w:t>Turpmākie trīs gadi (</w:t>
            </w:r>
            <w:proofErr w:type="spellStart"/>
            <w:r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w:t>
            </w:r>
          </w:p>
        </w:tc>
      </w:tr>
      <w:tr w:rsidR="0015288B" w:rsidRPr="00B679BE" w14:paraId="343CD829" w14:textId="77777777" w:rsidTr="00BF61A3">
        <w:trPr>
          <w:jc w:val="center"/>
        </w:trPr>
        <w:tc>
          <w:tcPr>
            <w:tcW w:w="2260" w:type="dxa"/>
            <w:vMerge/>
            <w:tcBorders>
              <w:top w:val="outset" w:sz="6" w:space="0" w:color="414142"/>
              <w:left w:val="outset" w:sz="6" w:space="0" w:color="414142"/>
              <w:bottom w:val="outset" w:sz="6" w:space="0" w:color="414142"/>
              <w:right w:val="outset" w:sz="6" w:space="0" w:color="414142"/>
            </w:tcBorders>
            <w:vAlign w:val="center"/>
            <w:hideMark/>
          </w:tcPr>
          <w:p w14:paraId="6D2C6672" w14:textId="77777777" w:rsidR="0015288B" w:rsidRPr="00B679BE" w:rsidRDefault="0015288B" w:rsidP="0015288B">
            <w:pPr>
              <w:spacing w:after="0" w:line="240" w:lineRule="auto"/>
              <w:jc w:val="center"/>
              <w:rPr>
                <w:rFonts w:ascii="Times New Roman" w:hAnsi="Times New Roman" w:cs="Times New Roman"/>
                <w:b/>
                <w:bCs/>
                <w:color w:val="000000"/>
                <w:sz w:val="23"/>
                <w:szCs w:val="23"/>
              </w:rPr>
            </w:pPr>
          </w:p>
        </w:tc>
        <w:tc>
          <w:tcPr>
            <w:tcW w:w="3117" w:type="dxa"/>
            <w:gridSpan w:val="2"/>
            <w:vMerge/>
            <w:tcBorders>
              <w:top w:val="outset" w:sz="6" w:space="0" w:color="414142"/>
              <w:left w:val="outset" w:sz="6" w:space="0" w:color="414142"/>
              <w:bottom w:val="outset" w:sz="6" w:space="0" w:color="414142"/>
              <w:right w:val="single" w:sz="4" w:space="0" w:color="auto"/>
            </w:tcBorders>
            <w:vAlign w:val="center"/>
            <w:hideMark/>
          </w:tcPr>
          <w:p w14:paraId="5B630AF7" w14:textId="77777777" w:rsidR="0015288B" w:rsidRPr="00B679BE" w:rsidRDefault="0015288B" w:rsidP="0015288B">
            <w:pPr>
              <w:spacing w:after="0" w:line="240" w:lineRule="auto"/>
              <w:jc w:val="center"/>
              <w:rPr>
                <w:rFonts w:ascii="Times New Roman" w:hAnsi="Times New Roman" w:cs="Times New Roman"/>
                <w:b/>
                <w:bCs/>
                <w:color w:val="000000"/>
                <w:sz w:val="23"/>
                <w:szCs w:val="23"/>
              </w:rPr>
            </w:pPr>
          </w:p>
        </w:tc>
        <w:tc>
          <w:tcPr>
            <w:tcW w:w="1185" w:type="dxa"/>
            <w:tcBorders>
              <w:top w:val="single" w:sz="4" w:space="0" w:color="auto"/>
              <w:left w:val="single" w:sz="4" w:space="0" w:color="auto"/>
              <w:bottom w:val="single" w:sz="4" w:space="0" w:color="auto"/>
              <w:right w:val="single" w:sz="4" w:space="0" w:color="auto"/>
            </w:tcBorders>
            <w:vAlign w:val="center"/>
            <w:hideMark/>
          </w:tcPr>
          <w:p w14:paraId="01A880C6" w14:textId="77777777" w:rsidR="0015288B" w:rsidRPr="00B679BE" w:rsidRDefault="0015288B" w:rsidP="0015288B">
            <w:pPr>
              <w:spacing w:after="0" w:line="240" w:lineRule="auto"/>
              <w:jc w:val="center"/>
              <w:rPr>
                <w:rFonts w:ascii="Times New Roman" w:hAnsi="Times New Roman" w:cs="Times New Roman"/>
                <w:b/>
                <w:i/>
                <w:color w:val="000000"/>
                <w:sz w:val="23"/>
                <w:szCs w:val="23"/>
                <w:lang w:val="en-US"/>
              </w:rPr>
            </w:pPr>
            <w:r w:rsidRPr="00B679BE">
              <w:rPr>
                <w:rFonts w:ascii="Times New Roman" w:hAnsi="Times New Roman" w:cs="Times New Roman"/>
                <w:b/>
                <w:bCs/>
                <w:color w:val="000000"/>
                <w:sz w:val="23"/>
                <w:szCs w:val="23"/>
                <w:lang w:val="en-US"/>
              </w:rPr>
              <w:t>2016.</w:t>
            </w:r>
          </w:p>
        </w:tc>
        <w:tc>
          <w:tcPr>
            <w:tcW w:w="1315" w:type="dxa"/>
            <w:tcBorders>
              <w:top w:val="single" w:sz="4" w:space="0" w:color="auto"/>
              <w:left w:val="single" w:sz="4" w:space="0" w:color="auto"/>
              <w:bottom w:val="single" w:sz="4" w:space="0" w:color="auto"/>
              <w:right w:val="single" w:sz="4" w:space="0" w:color="auto"/>
            </w:tcBorders>
            <w:vAlign w:val="center"/>
            <w:hideMark/>
          </w:tcPr>
          <w:p w14:paraId="3860D3A4" w14:textId="77777777" w:rsidR="0015288B" w:rsidRPr="00B679BE" w:rsidRDefault="0015288B" w:rsidP="0015288B">
            <w:pPr>
              <w:spacing w:after="0" w:line="240" w:lineRule="auto"/>
              <w:jc w:val="center"/>
              <w:rPr>
                <w:rFonts w:ascii="Times New Roman" w:hAnsi="Times New Roman" w:cs="Times New Roman"/>
                <w:b/>
                <w:i/>
                <w:color w:val="000000"/>
                <w:sz w:val="23"/>
                <w:szCs w:val="23"/>
                <w:lang w:val="en-US"/>
              </w:rPr>
            </w:pPr>
            <w:r w:rsidRPr="00B679BE">
              <w:rPr>
                <w:rFonts w:ascii="Times New Roman" w:hAnsi="Times New Roman" w:cs="Times New Roman"/>
                <w:b/>
                <w:bCs/>
                <w:color w:val="000000"/>
                <w:sz w:val="23"/>
                <w:szCs w:val="23"/>
                <w:lang w:val="en-US"/>
              </w:rPr>
              <w:t>2017.</w:t>
            </w:r>
          </w:p>
        </w:tc>
        <w:tc>
          <w:tcPr>
            <w:tcW w:w="1754" w:type="dxa"/>
            <w:tcBorders>
              <w:top w:val="single" w:sz="4" w:space="0" w:color="auto"/>
              <w:left w:val="single" w:sz="4" w:space="0" w:color="auto"/>
              <w:bottom w:val="single" w:sz="4" w:space="0" w:color="auto"/>
              <w:right w:val="single" w:sz="4" w:space="0" w:color="auto"/>
            </w:tcBorders>
            <w:vAlign w:val="center"/>
            <w:hideMark/>
          </w:tcPr>
          <w:p w14:paraId="75A41EC1" w14:textId="77777777" w:rsidR="0015288B" w:rsidRPr="00B679BE" w:rsidRDefault="0015288B" w:rsidP="0015288B">
            <w:pPr>
              <w:spacing w:after="0" w:line="240" w:lineRule="auto"/>
              <w:jc w:val="center"/>
              <w:rPr>
                <w:rFonts w:ascii="Times New Roman" w:hAnsi="Times New Roman" w:cs="Times New Roman"/>
                <w:b/>
                <w:i/>
                <w:color w:val="000000"/>
                <w:sz w:val="23"/>
                <w:szCs w:val="23"/>
                <w:lang w:val="en-US"/>
              </w:rPr>
            </w:pPr>
            <w:r w:rsidRPr="00B679BE">
              <w:rPr>
                <w:rFonts w:ascii="Times New Roman" w:hAnsi="Times New Roman" w:cs="Times New Roman"/>
                <w:b/>
                <w:bCs/>
                <w:color w:val="000000"/>
                <w:sz w:val="23"/>
                <w:szCs w:val="23"/>
                <w:lang w:val="en-US"/>
              </w:rPr>
              <w:t>2018.</w:t>
            </w:r>
          </w:p>
        </w:tc>
      </w:tr>
      <w:tr w:rsidR="0015288B" w:rsidRPr="00B679BE" w14:paraId="3FBCB123" w14:textId="77777777" w:rsidTr="00BF61A3">
        <w:trPr>
          <w:jc w:val="center"/>
        </w:trPr>
        <w:tc>
          <w:tcPr>
            <w:tcW w:w="2260" w:type="dxa"/>
            <w:vMerge/>
            <w:tcBorders>
              <w:top w:val="outset" w:sz="6" w:space="0" w:color="414142"/>
              <w:left w:val="outset" w:sz="6" w:space="0" w:color="414142"/>
              <w:bottom w:val="outset" w:sz="6" w:space="0" w:color="414142"/>
              <w:right w:val="outset" w:sz="6" w:space="0" w:color="414142"/>
            </w:tcBorders>
            <w:vAlign w:val="center"/>
            <w:hideMark/>
          </w:tcPr>
          <w:p w14:paraId="1D3D7516" w14:textId="77777777" w:rsidR="0015288B" w:rsidRPr="00B679BE" w:rsidRDefault="0015288B" w:rsidP="0015288B">
            <w:pPr>
              <w:spacing w:after="0" w:line="240" w:lineRule="auto"/>
              <w:jc w:val="center"/>
              <w:rPr>
                <w:rFonts w:ascii="Times New Roman" w:hAnsi="Times New Roman" w:cs="Times New Roman"/>
                <w:b/>
                <w:bCs/>
                <w:color w:val="000000"/>
                <w:sz w:val="23"/>
                <w:szCs w:val="23"/>
              </w:rPr>
            </w:pPr>
          </w:p>
        </w:tc>
        <w:tc>
          <w:tcPr>
            <w:tcW w:w="1671" w:type="dxa"/>
            <w:tcBorders>
              <w:top w:val="outset" w:sz="6" w:space="0" w:color="414142"/>
              <w:left w:val="outset" w:sz="6" w:space="0" w:color="414142"/>
              <w:bottom w:val="outset" w:sz="6" w:space="0" w:color="414142"/>
              <w:right w:val="outset" w:sz="6" w:space="0" w:color="414142"/>
            </w:tcBorders>
            <w:vAlign w:val="center"/>
            <w:hideMark/>
          </w:tcPr>
          <w:p w14:paraId="59C19ED0" w14:textId="77777777" w:rsidR="0015288B" w:rsidRPr="00B679BE" w:rsidRDefault="0015288B" w:rsidP="0015288B">
            <w:pPr>
              <w:spacing w:after="0" w:line="240" w:lineRule="auto"/>
              <w:jc w:val="center"/>
              <w:rPr>
                <w:rFonts w:ascii="Times New Roman" w:hAnsi="Times New Roman" w:cs="Times New Roman"/>
                <w:color w:val="000000"/>
                <w:sz w:val="23"/>
                <w:szCs w:val="23"/>
              </w:rPr>
            </w:pPr>
            <w:r w:rsidRPr="00B679BE">
              <w:rPr>
                <w:rFonts w:ascii="Times New Roman" w:hAnsi="Times New Roman" w:cs="Times New Roman"/>
                <w:color w:val="000000"/>
                <w:sz w:val="23"/>
                <w:szCs w:val="23"/>
              </w:rPr>
              <w:t>saskaņā ar valsts budžetu kārtējam gadam</w:t>
            </w:r>
          </w:p>
        </w:tc>
        <w:tc>
          <w:tcPr>
            <w:tcW w:w="1446" w:type="dxa"/>
            <w:tcBorders>
              <w:top w:val="outset" w:sz="6" w:space="0" w:color="414142"/>
              <w:left w:val="outset" w:sz="6" w:space="0" w:color="414142"/>
              <w:bottom w:val="outset" w:sz="6" w:space="0" w:color="414142"/>
              <w:right w:val="outset" w:sz="6" w:space="0" w:color="414142"/>
            </w:tcBorders>
            <w:vAlign w:val="center"/>
            <w:hideMark/>
          </w:tcPr>
          <w:p w14:paraId="73F678E3" w14:textId="77777777" w:rsidR="0015288B" w:rsidRPr="00B679BE" w:rsidRDefault="0015288B" w:rsidP="0015288B">
            <w:pPr>
              <w:spacing w:after="0" w:line="240" w:lineRule="auto"/>
              <w:jc w:val="center"/>
              <w:rPr>
                <w:rFonts w:ascii="Times New Roman" w:hAnsi="Times New Roman" w:cs="Times New Roman"/>
                <w:color w:val="000000"/>
                <w:sz w:val="23"/>
                <w:szCs w:val="23"/>
              </w:rPr>
            </w:pPr>
            <w:r w:rsidRPr="00B679BE">
              <w:rPr>
                <w:rFonts w:ascii="Times New Roman" w:hAnsi="Times New Roman" w:cs="Times New Roman"/>
                <w:color w:val="000000"/>
                <w:sz w:val="23"/>
                <w:szCs w:val="23"/>
              </w:rPr>
              <w:t>izmaiņas kārtējā gadā, salīdzinot ar valsts budžetu kārtējam gadam</w:t>
            </w:r>
          </w:p>
        </w:tc>
        <w:tc>
          <w:tcPr>
            <w:tcW w:w="1185" w:type="dxa"/>
            <w:tcBorders>
              <w:top w:val="single" w:sz="4" w:space="0" w:color="auto"/>
              <w:left w:val="outset" w:sz="6" w:space="0" w:color="414142"/>
              <w:bottom w:val="outset" w:sz="6" w:space="0" w:color="414142"/>
              <w:right w:val="outset" w:sz="6" w:space="0" w:color="414142"/>
            </w:tcBorders>
            <w:vAlign w:val="center"/>
            <w:hideMark/>
          </w:tcPr>
          <w:p w14:paraId="518888CF" w14:textId="77777777" w:rsidR="0015288B" w:rsidRPr="00B679BE" w:rsidRDefault="0015288B" w:rsidP="0015288B">
            <w:pPr>
              <w:spacing w:after="0" w:line="240" w:lineRule="auto"/>
              <w:jc w:val="center"/>
              <w:rPr>
                <w:rFonts w:ascii="Times New Roman" w:hAnsi="Times New Roman" w:cs="Times New Roman"/>
                <w:color w:val="000000"/>
                <w:sz w:val="23"/>
                <w:szCs w:val="23"/>
              </w:rPr>
            </w:pPr>
            <w:r w:rsidRPr="00B679BE">
              <w:rPr>
                <w:rFonts w:ascii="Times New Roman" w:hAnsi="Times New Roman" w:cs="Times New Roman"/>
                <w:color w:val="000000"/>
                <w:sz w:val="23"/>
                <w:szCs w:val="23"/>
              </w:rPr>
              <w:t>izmaiņas, salīdzinot ar kārtējo (n) gadu</w:t>
            </w:r>
          </w:p>
        </w:tc>
        <w:tc>
          <w:tcPr>
            <w:tcW w:w="1315" w:type="dxa"/>
            <w:tcBorders>
              <w:top w:val="single" w:sz="4" w:space="0" w:color="auto"/>
              <w:left w:val="outset" w:sz="6" w:space="0" w:color="414142"/>
              <w:bottom w:val="outset" w:sz="6" w:space="0" w:color="414142"/>
              <w:right w:val="outset" w:sz="6" w:space="0" w:color="414142"/>
            </w:tcBorders>
            <w:vAlign w:val="center"/>
            <w:hideMark/>
          </w:tcPr>
          <w:p w14:paraId="7DF56036" w14:textId="77777777" w:rsidR="0015288B" w:rsidRPr="00B679BE" w:rsidRDefault="0015288B" w:rsidP="0015288B">
            <w:pPr>
              <w:spacing w:after="0" w:line="240" w:lineRule="auto"/>
              <w:jc w:val="center"/>
              <w:rPr>
                <w:rFonts w:ascii="Times New Roman" w:hAnsi="Times New Roman" w:cs="Times New Roman"/>
                <w:color w:val="000000"/>
                <w:sz w:val="23"/>
                <w:szCs w:val="23"/>
              </w:rPr>
            </w:pPr>
            <w:r w:rsidRPr="00B679BE">
              <w:rPr>
                <w:rFonts w:ascii="Times New Roman" w:hAnsi="Times New Roman" w:cs="Times New Roman"/>
                <w:color w:val="000000"/>
                <w:sz w:val="23"/>
                <w:szCs w:val="23"/>
              </w:rPr>
              <w:t>izmaiņas, salīdzinot ar kārtējo (n) gadu</w:t>
            </w:r>
          </w:p>
        </w:tc>
        <w:tc>
          <w:tcPr>
            <w:tcW w:w="1754" w:type="dxa"/>
            <w:tcBorders>
              <w:top w:val="single" w:sz="4" w:space="0" w:color="auto"/>
              <w:left w:val="outset" w:sz="6" w:space="0" w:color="414142"/>
              <w:bottom w:val="outset" w:sz="6" w:space="0" w:color="414142"/>
              <w:right w:val="outset" w:sz="6" w:space="0" w:color="414142"/>
            </w:tcBorders>
            <w:vAlign w:val="center"/>
            <w:hideMark/>
          </w:tcPr>
          <w:p w14:paraId="4978F0DA" w14:textId="77777777" w:rsidR="0015288B" w:rsidRPr="00B679BE" w:rsidRDefault="0015288B" w:rsidP="0015288B">
            <w:pPr>
              <w:spacing w:after="0" w:line="240" w:lineRule="auto"/>
              <w:jc w:val="center"/>
              <w:rPr>
                <w:rFonts w:ascii="Times New Roman" w:hAnsi="Times New Roman" w:cs="Times New Roman"/>
                <w:color w:val="000000"/>
                <w:sz w:val="23"/>
                <w:szCs w:val="23"/>
              </w:rPr>
            </w:pPr>
            <w:r w:rsidRPr="00B679BE">
              <w:rPr>
                <w:rFonts w:ascii="Times New Roman" w:hAnsi="Times New Roman" w:cs="Times New Roman"/>
                <w:color w:val="000000"/>
                <w:sz w:val="23"/>
                <w:szCs w:val="23"/>
              </w:rPr>
              <w:t>izmaiņas, salīdzinot ar kārtējo (n) gadu</w:t>
            </w:r>
          </w:p>
        </w:tc>
      </w:tr>
      <w:tr w:rsidR="0015288B" w:rsidRPr="00B679BE" w14:paraId="74E01808" w14:textId="77777777" w:rsidTr="00BF61A3">
        <w:trPr>
          <w:jc w:val="center"/>
        </w:trPr>
        <w:tc>
          <w:tcPr>
            <w:tcW w:w="2260" w:type="dxa"/>
            <w:tcBorders>
              <w:top w:val="outset" w:sz="6" w:space="0" w:color="414142"/>
              <w:left w:val="outset" w:sz="6" w:space="0" w:color="414142"/>
              <w:bottom w:val="outset" w:sz="6" w:space="0" w:color="414142"/>
              <w:right w:val="outset" w:sz="6" w:space="0" w:color="414142"/>
            </w:tcBorders>
            <w:vAlign w:val="center"/>
            <w:hideMark/>
          </w:tcPr>
          <w:p w14:paraId="44E472AB" w14:textId="77777777" w:rsidR="0015288B" w:rsidRPr="00B679BE" w:rsidRDefault="0015288B" w:rsidP="0015288B">
            <w:pPr>
              <w:spacing w:after="0" w:line="240" w:lineRule="auto"/>
              <w:jc w:val="center"/>
              <w:rPr>
                <w:rFonts w:ascii="Times New Roman" w:hAnsi="Times New Roman" w:cs="Times New Roman"/>
                <w:color w:val="000000"/>
                <w:sz w:val="23"/>
                <w:szCs w:val="23"/>
              </w:rPr>
            </w:pPr>
            <w:r w:rsidRPr="00B679BE">
              <w:rPr>
                <w:rFonts w:ascii="Times New Roman" w:hAnsi="Times New Roman" w:cs="Times New Roman"/>
                <w:color w:val="000000"/>
                <w:sz w:val="23"/>
                <w:szCs w:val="23"/>
              </w:rPr>
              <w:t>1</w:t>
            </w:r>
          </w:p>
        </w:tc>
        <w:tc>
          <w:tcPr>
            <w:tcW w:w="1671" w:type="dxa"/>
            <w:tcBorders>
              <w:top w:val="outset" w:sz="6" w:space="0" w:color="414142"/>
              <w:left w:val="outset" w:sz="6" w:space="0" w:color="414142"/>
              <w:bottom w:val="single" w:sz="4" w:space="0" w:color="auto"/>
              <w:right w:val="outset" w:sz="6" w:space="0" w:color="414142"/>
            </w:tcBorders>
            <w:vAlign w:val="center"/>
            <w:hideMark/>
          </w:tcPr>
          <w:p w14:paraId="0B0FD3A1" w14:textId="77777777" w:rsidR="0015288B" w:rsidRPr="00B679BE" w:rsidRDefault="0015288B" w:rsidP="0015288B">
            <w:pPr>
              <w:spacing w:after="0" w:line="240" w:lineRule="auto"/>
              <w:jc w:val="center"/>
              <w:rPr>
                <w:rFonts w:ascii="Times New Roman" w:hAnsi="Times New Roman" w:cs="Times New Roman"/>
                <w:color w:val="000000"/>
                <w:sz w:val="23"/>
                <w:szCs w:val="23"/>
              </w:rPr>
            </w:pPr>
            <w:r w:rsidRPr="00B679BE">
              <w:rPr>
                <w:rFonts w:ascii="Times New Roman" w:hAnsi="Times New Roman" w:cs="Times New Roman"/>
                <w:color w:val="000000"/>
                <w:sz w:val="23"/>
                <w:szCs w:val="23"/>
              </w:rPr>
              <w:t>2</w:t>
            </w:r>
          </w:p>
        </w:tc>
        <w:tc>
          <w:tcPr>
            <w:tcW w:w="1446" w:type="dxa"/>
            <w:tcBorders>
              <w:top w:val="outset" w:sz="6" w:space="0" w:color="414142"/>
              <w:left w:val="outset" w:sz="6" w:space="0" w:color="414142"/>
              <w:bottom w:val="single" w:sz="4" w:space="0" w:color="auto"/>
              <w:right w:val="outset" w:sz="6" w:space="0" w:color="414142"/>
            </w:tcBorders>
            <w:vAlign w:val="center"/>
            <w:hideMark/>
          </w:tcPr>
          <w:p w14:paraId="7936823B" w14:textId="77777777" w:rsidR="0015288B" w:rsidRPr="00B679BE" w:rsidRDefault="0015288B" w:rsidP="0015288B">
            <w:pPr>
              <w:spacing w:after="0" w:line="240" w:lineRule="auto"/>
              <w:jc w:val="center"/>
              <w:rPr>
                <w:rFonts w:ascii="Times New Roman" w:hAnsi="Times New Roman" w:cs="Times New Roman"/>
                <w:color w:val="000000"/>
                <w:sz w:val="23"/>
                <w:szCs w:val="23"/>
              </w:rPr>
            </w:pPr>
            <w:r w:rsidRPr="00B679BE">
              <w:rPr>
                <w:rFonts w:ascii="Times New Roman" w:hAnsi="Times New Roman" w:cs="Times New Roman"/>
                <w:color w:val="000000"/>
                <w:sz w:val="23"/>
                <w:szCs w:val="23"/>
              </w:rPr>
              <w:t>3</w:t>
            </w:r>
          </w:p>
        </w:tc>
        <w:tc>
          <w:tcPr>
            <w:tcW w:w="1185" w:type="dxa"/>
            <w:tcBorders>
              <w:top w:val="outset" w:sz="6" w:space="0" w:color="414142"/>
              <w:left w:val="outset" w:sz="6" w:space="0" w:color="414142"/>
              <w:bottom w:val="single" w:sz="4" w:space="0" w:color="auto"/>
              <w:right w:val="outset" w:sz="6" w:space="0" w:color="414142"/>
            </w:tcBorders>
            <w:vAlign w:val="center"/>
            <w:hideMark/>
          </w:tcPr>
          <w:p w14:paraId="3B2EFADC" w14:textId="77777777" w:rsidR="0015288B" w:rsidRPr="00B679BE" w:rsidRDefault="0015288B" w:rsidP="0015288B">
            <w:pPr>
              <w:spacing w:after="0" w:line="240" w:lineRule="auto"/>
              <w:jc w:val="center"/>
              <w:rPr>
                <w:rFonts w:ascii="Times New Roman" w:hAnsi="Times New Roman" w:cs="Times New Roman"/>
                <w:color w:val="000000"/>
                <w:sz w:val="23"/>
                <w:szCs w:val="23"/>
              </w:rPr>
            </w:pPr>
            <w:r w:rsidRPr="00B679BE">
              <w:rPr>
                <w:rFonts w:ascii="Times New Roman" w:hAnsi="Times New Roman" w:cs="Times New Roman"/>
                <w:color w:val="000000"/>
                <w:sz w:val="23"/>
                <w:szCs w:val="23"/>
              </w:rPr>
              <w:t>4</w:t>
            </w:r>
          </w:p>
        </w:tc>
        <w:tc>
          <w:tcPr>
            <w:tcW w:w="1315" w:type="dxa"/>
            <w:tcBorders>
              <w:top w:val="outset" w:sz="6" w:space="0" w:color="414142"/>
              <w:left w:val="outset" w:sz="6" w:space="0" w:color="414142"/>
              <w:bottom w:val="single" w:sz="4" w:space="0" w:color="auto"/>
              <w:right w:val="outset" w:sz="6" w:space="0" w:color="414142"/>
            </w:tcBorders>
            <w:vAlign w:val="center"/>
            <w:hideMark/>
          </w:tcPr>
          <w:p w14:paraId="145A9348" w14:textId="77777777" w:rsidR="0015288B" w:rsidRPr="00B679BE" w:rsidRDefault="0015288B" w:rsidP="0015288B">
            <w:pPr>
              <w:spacing w:after="0" w:line="240" w:lineRule="auto"/>
              <w:jc w:val="center"/>
              <w:rPr>
                <w:rFonts w:ascii="Times New Roman" w:hAnsi="Times New Roman" w:cs="Times New Roman"/>
                <w:color w:val="000000"/>
                <w:sz w:val="23"/>
                <w:szCs w:val="23"/>
              </w:rPr>
            </w:pPr>
            <w:r w:rsidRPr="00B679BE">
              <w:rPr>
                <w:rFonts w:ascii="Times New Roman" w:hAnsi="Times New Roman" w:cs="Times New Roman"/>
                <w:color w:val="000000"/>
                <w:sz w:val="23"/>
                <w:szCs w:val="23"/>
              </w:rPr>
              <w:t>5</w:t>
            </w:r>
          </w:p>
        </w:tc>
        <w:tc>
          <w:tcPr>
            <w:tcW w:w="1754" w:type="dxa"/>
            <w:tcBorders>
              <w:top w:val="outset" w:sz="6" w:space="0" w:color="414142"/>
              <w:left w:val="outset" w:sz="6" w:space="0" w:color="414142"/>
              <w:bottom w:val="single" w:sz="4" w:space="0" w:color="auto"/>
              <w:right w:val="outset" w:sz="6" w:space="0" w:color="414142"/>
            </w:tcBorders>
            <w:vAlign w:val="center"/>
            <w:hideMark/>
          </w:tcPr>
          <w:p w14:paraId="71D0DDF6" w14:textId="77777777" w:rsidR="0015288B" w:rsidRPr="00B679BE" w:rsidRDefault="0015288B" w:rsidP="0015288B">
            <w:pPr>
              <w:spacing w:after="0" w:line="240" w:lineRule="auto"/>
              <w:jc w:val="center"/>
              <w:rPr>
                <w:rFonts w:ascii="Times New Roman" w:hAnsi="Times New Roman" w:cs="Times New Roman"/>
                <w:color w:val="000000"/>
                <w:sz w:val="23"/>
                <w:szCs w:val="23"/>
              </w:rPr>
            </w:pPr>
            <w:r w:rsidRPr="00B679BE">
              <w:rPr>
                <w:rFonts w:ascii="Times New Roman" w:hAnsi="Times New Roman" w:cs="Times New Roman"/>
                <w:color w:val="000000"/>
                <w:sz w:val="23"/>
                <w:szCs w:val="23"/>
              </w:rPr>
              <w:t>6</w:t>
            </w:r>
          </w:p>
        </w:tc>
      </w:tr>
      <w:tr w:rsidR="0015288B" w:rsidRPr="00B679BE" w14:paraId="6A70A089" w14:textId="77777777" w:rsidTr="00BF61A3">
        <w:trPr>
          <w:jc w:val="center"/>
        </w:trPr>
        <w:tc>
          <w:tcPr>
            <w:tcW w:w="2260" w:type="dxa"/>
            <w:tcBorders>
              <w:top w:val="outset" w:sz="6" w:space="0" w:color="414142"/>
              <w:left w:val="outset" w:sz="6" w:space="0" w:color="414142"/>
              <w:bottom w:val="outset" w:sz="6" w:space="0" w:color="414142"/>
              <w:right w:val="single" w:sz="4" w:space="0" w:color="auto"/>
            </w:tcBorders>
            <w:hideMark/>
          </w:tcPr>
          <w:p w14:paraId="5406D9E0" w14:textId="77777777" w:rsidR="0015288B" w:rsidRPr="00B679BE" w:rsidRDefault="0015288B" w:rsidP="0015288B">
            <w:pPr>
              <w:spacing w:after="0" w:line="240" w:lineRule="auto"/>
              <w:rPr>
                <w:rFonts w:ascii="Times New Roman" w:hAnsi="Times New Roman" w:cs="Times New Roman"/>
                <w:color w:val="000000"/>
                <w:sz w:val="23"/>
                <w:szCs w:val="23"/>
              </w:rPr>
            </w:pPr>
            <w:r w:rsidRPr="00B679BE">
              <w:rPr>
                <w:rFonts w:ascii="Times New Roman" w:hAnsi="Times New Roman" w:cs="Times New Roman"/>
                <w:color w:val="000000"/>
                <w:sz w:val="23"/>
                <w:szCs w:val="23"/>
              </w:rPr>
              <w:t xml:space="preserve">1. Budžeta ieņēmumi: </w:t>
            </w:r>
          </w:p>
          <w:p w14:paraId="25E140AA" w14:textId="77777777" w:rsidR="0015288B" w:rsidRPr="00B679BE" w:rsidRDefault="0015288B" w:rsidP="0015288B">
            <w:pPr>
              <w:spacing w:after="0" w:line="240" w:lineRule="auto"/>
              <w:rPr>
                <w:rFonts w:ascii="Times New Roman" w:hAnsi="Times New Roman" w:cs="Times New Roman"/>
                <w:color w:val="000000"/>
                <w:sz w:val="23"/>
                <w:szCs w:val="23"/>
              </w:rPr>
            </w:pPr>
            <w:r w:rsidRPr="00B679BE">
              <w:rPr>
                <w:rFonts w:ascii="Times New Roman" w:hAnsi="Times New Roman" w:cs="Times New Roman"/>
                <w:color w:val="000000"/>
                <w:sz w:val="23"/>
                <w:szCs w:val="23"/>
              </w:rPr>
              <w:t>1.1. valsts pamatbudžets, tai skaitā ieņēmumi no maksas pakalpojumiem un citi pašu ieņēmumi</w:t>
            </w:r>
          </w:p>
          <w:p w14:paraId="4D7A8EE0" w14:textId="77777777" w:rsidR="0015288B" w:rsidRPr="00B679BE" w:rsidRDefault="0015288B" w:rsidP="0015288B">
            <w:pPr>
              <w:spacing w:after="0" w:line="240" w:lineRule="auto"/>
              <w:rPr>
                <w:rFonts w:ascii="Times New Roman" w:hAnsi="Times New Roman" w:cs="Times New Roman"/>
                <w:color w:val="000000"/>
                <w:sz w:val="23"/>
                <w:szCs w:val="23"/>
              </w:rPr>
            </w:pPr>
            <w:r w:rsidRPr="00B679BE">
              <w:rPr>
                <w:rFonts w:ascii="Times New Roman" w:hAnsi="Times New Roman" w:cs="Times New Roman"/>
                <w:color w:val="000000"/>
                <w:sz w:val="23"/>
                <w:szCs w:val="23"/>
              </w:rPr>
              <w:t>1.2. valsts speciālais budžets</w:t>
            </w:r>
          </w:p>
          <w:p w14:paraId="71C80E66" w14:textId="77777777" w:rsidR="0015288B" w:rsidRPr="00B679BE" w:rsidRDefault="0015288B" w:rsidP="0015288B">
            <w:pPr>
              <w:spacing w:after="0" w:line="240" w:lineRule="auto"/>
              <w:rPr>
                <w:rFonts w:ascii="Times New Roman" w:hAnsi="Times New Roman" w:cs="Times New Roman"/>
                <w:color w:val="000000"/>
                <w:sz w:val="23"/>
                <w:szCs w:val="23"/>
              </w:rPr>
            </w:pPr>
            <w:r w:rsidRPr="00B679BE">
              <w:rPr>
                <w:rFonts w:ascii="Times New Roman" w:hAnsi="Times New Roman" w:cs="Times New Roman"/>
                <w:color w:val="000000"/>
                <w:sz w:val="23"/>
                <w:szCs w:val="23"/>
              </w:rPr>
              <w:t>1.3. pašvaldību budžets</w:t>
            </w:r>
          </w:p>
        </w:tc>
        <w:tc>
          <w:tcPr>
            <w:tcW w:w="1671" w:type="dxa"/>
            <w:tcBorders>
              <w:top w:val="single" w:sz="4" w:space="0" w:color="auto"/>
              <w:left w:val="single" w:sz="4" w:space="0" w:color="auto"/>
              <w:bottom w:val="single" w:sz="4" w:space="0" w:color="auto"/>
              <w:right w:val="single" w:sz="4" w:space="0" w:color="auto"/>
            </w:tcBorders>
            <w:vAlign w:val="center"/>
          </w:tcPr>
          <w:p w14:paraId="22DD55E5" w14:textId="1A2C0FF1" w:rsidR="0015288B" w:rsidRPr="00B679BE" w:rsidRDefault="00B679BE" w:rsidP="001603A4">
            <w:pPr>
              <w:spacing w:after="0" w:line="240" w:lineRule="auto"/>
              <w:jc w:val="center"/>
              <w:rPr>
                <w:rFonts w:ascii="Times New Roman" w:hAnsi="Times New Roman" w:cs="Times New Roman"/>
                <w:color w:val="000000"/>
                <w:sz w:val="23"/>
                <w:szCs w:val="23"/>
                <w:lang w:val="en-US"/>
              </w:rPr>
            </w:pPr>
            <w:r w:rsidRPr="00B679BE">
              <w:rPr>
                <w:rFonts w:ascii="Times New Roman" w:hAnsi="Times New Roman" w:cs="Times New Roman"/>
                <w:color w:val="000000"/>
                <w:sz w:val="23"/>
                <w:szCs w:val="23"/>
                <w:lang w:val="en-US"/>
              </w:rPr>
              <w:t>12 295 20</w:t>
            </w:r>
            <w:r w:rsidR="001603A4">
              <w:rPr>
                <w:rFonts w:ascii="Times New Roman" w:hAnsi="Times New Roman" w:cs="Times New Roman"/>
                <w:color w:val="000000"/>
                <w:sz w:val="23"/>
                <w:szCs w:val="23"/>
                <w:lang w:val="en-US"/>
              </w:rPr>
              <w:t>4</w:t>
            </w:r>
          </w:p>
        </w:tc>
        <w:tc>
          <w:tcPr>
            <w:tcW w:w="1446" w:type="dxa"/>
            <w:tcBorders>
              <w:top w:val="single" w:sz="4" w:space="0" w:color="auto"/>
              <w:left w:val="single" w:sz="4" w:space="0" w:color="auto"/>
              <w:bottom w:val="single" w:sz="4" w:space="0" w:color="auto"/>
              <w:right w:val="single" w:sz="4" w:space="0" w:color="auto"/>
            </w:tcBorders>
            <w:vAlign w:val="center"/>
          </w:tcPr>
          <w:p w14:paraId="2034E8F7" w14:textId="4D395C18" w:rsidR="0015288B" w:rsidRPr="00B679BE" w:rsidRDefault="00B679BE" w:rsidP="00B679BE">
            <w:pPr>
              <w:spacing w:after="0" w:line="240" w:lineRule="auto"/>
              <w:jc w:val="center"/>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3 275 881</w:t>
            </w:r>
          </w:p>
        </w:tc>
        <w:tc>
          <w:tcPr>
            <w:tcW w:w="1185" w:type="dxa"/>
            <w:tcBorders>
              <w:top w:val="single" w:sz="4" w:space="0" w:color="auto"/>
              <w:left w:val="single" w:sz="4" w:space="0" w:color="auto"/>
              <w:bottom w:val="single" w:sz="4" w:space="0" w:color="auto"/>
              <w:right w:val="single" w:sz="4" w:space="0" w:color="auto"/>
            </w:tcBorders>
            <w:vAlign w:val="center"/>
          </w:tcPr>
          <w:p w14:paraId="28DA1D1B" w14:textId="35EFBA06" w:rsidR="0015288B" w:rsidRPr="00B679BE" w:rsidRDefault="00B679BE" w:rsidP="001603A4">
            <w:pPr>
              <w:spacing w:after="0" w:line="240" w:lineRule="auto"/>
              <w:jc w:val="center"/>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4 066 76</w:t>
            </w:r>
            <w:r w:rsidR="001603A4">
              <w:rPr>
                <w:rFonts w:ascii="Times New Roman" w:hAnsi="Times New Roman" w:cs="Times New Roman"/>
                <w:color w:val="000000"/>
                <w:sz w:val="23"/>
                <w:szCs w:val="23"/>
                <w:lang w:val="en-US"/>
              </w:rPr>
              <w:t>2</w:t>
            </w:r>
          </w:p>
        </w:tc>
        <w:tc>
          <w:tcPr>
            <w:tcW w:w="1315" w:type="dxa"/>
            <w:tcBorders>
              <w:top w:val="single" w:sz="4" w:space="0" w:color="auto"/>
              <w:left w:val="single" w:sz="4" w:space="0" w:color="auto"/>
              <w:bottom w:val="single" w:sz="4" w:space="0" w:color="auto"/>
              <w:right w:val="single" w:sz="4" w:space="0" w:color="auto"/>
            </w:tcBorders>
            <w:vAlign w:val="center"/>
          </w:tcPr>
          <w:p w14:paraId="529B5253" w14:textId="37C6D394" w:rsidR="0015288B" w:rsidRPr="00B679BE" w:rsidRDefault="00B679BE" w:rsidP="001603A4">
            <w:pPr>
              <w:spacing w:after="0" w:line="240" w:lineRule="auto"/>
              <w:jc w:val="center"/>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3 864 18</w:t>
            </w:r>
            <w:r w:rsidR="001603A4">
              <w:rPr>
                <w:rFonts w:ascii="Times New Roman" w:hAnsi="Times New Roman" w:cs="Times New Roman"/>
                <w:color w:val="000000"/>
                <w:sz w:val="23"/>
                <w:szCs w:val="23"/>
                <w:lang w:val="en-US"/>
              </w:rPr>
              <w:t>2</w:t>
            </w:r>
          </w:p>
        </w:tc>
        <w:tc>
          <w:tcPr>
            <w:tcW w:w="1754" w:type="dxa"/>
            <w:tcBorders>
              <w:top w:val="single" w:sz="4" w:space="0" w:color="auto"/>
              <w:left w:val="single" w:sz="4" w:space="0" w:color="auto"/>
              <w:bottom w:val="single" w:sz="4" w:space="0" w:color="auto"/>
              <w:right w:val="single" w:sz="4" w:space="0" w:color="auto"/>
            </w:tcBorders>
            <w:vAlign w:val="center"/>
          </w:tcPr>
          <w:p w14:paraId="2BB218DD" w14:textId="7B4D0995" w:rsidR="0015288B" w:rsidRPr="00B679BE" w:rsidRDefault="00B679BE" w:rsidP="001603A4">
            <w:pPr>
              <w:spacing w:after="0" w:line="240" w:lineRule="auto"/>
              <w:jc w:val="center"/>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-4 351 57</w:t>
            </w:r>
            <w:r w:rsidR="001603A4">
              <w:rPr>
                <w:rFonts w:ascii="Times New Roman" w:hAnsi="Times New Roman" w:cs="Times New Roman"/>
                <w:color w:val="000000"/>
                <w:sz w:val="23"/>
                <w:szCs w:val="23"/>
                <w:lang w:val="en-US"/>
              </w:rPr>
              <w:t>8</w:t>
            </w:r>
          </w:p>
        </w:tc>
      </w:tr>
      <w:tr w:rsidR="0015288B" w:rsidRPr="00B679BE" w14:paraId="6061439B" w14:textId="77777777" w:rsidTr="00BF61A3">
        <w:trPr>
          <w:jc w:val="center"/>
        </w:trPr>
        <w:tc>
          <w:tcPr>
            <w:tcW w:w="2260" w:type="dxa"/>
            <w:tcBorders>
              <w:top w:val="outset" w:sz="6" w:space="0" w:color="414142"/>
              <w:left w:val="outset" w:sz="6" w:space="0" w:color="414142"/>
              <w:bottom w:val="outset" w:sz="6" w:space="0" w:color="414142"/>
              <w:right w:val="single" w:sz="4" w:space="0" w:color="auto"/>
            </w:tcBorders>
            <w:hideMark/>
          </w:tcPr>
          <w:p w14:paraId="7DCBA831" w14:textId="77777777" w:rsidR="0015288B" w:rsidRPr="00B679BE" w:rsidRDefault="0015288B" w:rsidP="0015288B">
            <w:pPr>
              <w:spacing w:after="0" w:line="240" w:lineRule="auto"/>
              <w:rPr>
                <w:rFonts w:ascii="Times New Roman" w:hAnsi="Times New Roman" w:cs="Times New Roman"/>
                <w:color w:val="000000"/>
                <w:sz w:val="23"/>
                <w:szCs w:val="23"/>
              </w:rPr>
            </w:pPr>
            <w:r w:rsidRPr="00B679BE">
              <w:rPr>
                <w:rFonts w:ascii="Times New Roman" w:hAnsi="Times New Roman" w:cs="Times New Roman"/>
                <w:color w:val="000000"/>
                <w:sz w:val="23"/>
                <w:szCs w:val="23"/>
              </w:rPr>
              <w:t xml:space="preserve">2. Budžeta izdevumi: </w:t>
            </w:r>
          </w:p>
          <w:p w14:paraId="09006CBF" w14:textId="77777777" w:rsidR="0015288B" w:rsidRPr="00B679BE" w:rsidRDefault="0015288B" w:rsidP="0015288B">
            <w:pPr>
              <w:spacing w:after="0" w:line="240" w:lineRule="auto"/>
              <w:rPr>
                <w:rFonts w:ascii="Times New Roman" w:hAnsi="Times New Roman" w:cs="Times New Roman"/>
                <w:color w:val="000000"/>
                <w:sz w:val="23"/>
                <w:szCs w:val="23"/>
              </w:rPr>
            </w:pPr>
            <w:r w:rsidRPr="00B679BE">
              <w:rPr>
                <w:rFonts w:ascii="Times New Roman" w:hAnsi="Times New Roman" w:cs="Times New Roman"/>
                <w:color w:val="000000"/>
                <w:sz w:val="23"/>
                <w:szCs w:val="23"/>
              </w:rPr>
              <w:t>2.1. valsts pamatbudžets</w:t>
            </w:r>
          </w:p>
          <w:p w14:paraId="7058821F" w14:textId="77777777" w:rsidR="0015288B" w:rsidRPr="00B679BE" w:rsidRDefault="0015288B" w:rsidP="0015288B">
            <w:pPr>
              <w:spacing w:after="0" w:line="240" w:lineRule="auto"/>
              <w:rPr>
                <w:rFonts w:ascii="Times New Roman" w:hAnsi="Times New Roman" w:cs="Times New Roman"/>
                <w:color w:val="000000"/>
                <w:sz w:val="23"/>
                <w:szCs w:val="23"/>
              </w:rPr>
            </w:pPr>
            <w:r w:rsidRPr="00B679BE">
              <w:rPr>
                <w:rFonts w:ascii="Times New Roman" w:hAnsi="Times New Roman" w:cs="Times New Roman"/>
                <w:color w:val="000000"/>
                <w:sz w:val="23"/>
                <w:szCs w:val="23"/>
              </w:rPr>
              <w:t>2.2. valsts speciālais budžets</w:t>
            </w:r>
          </w:p>
          <w:p w14:paraId="0E84DBF2" w14:textId="77777777" w:rsidR="0015288B" w:rsidRPr="00B679BE" w:rsidRDefault="0015288B" w:rsidP="0015288B">
            <w:pPr>
              <w:spacing w:after="0" w:line="240" w:lineRule="auto"/>
              <w:rPr>
                <w:rFonts w:ascii="Times New Roman" w:hAnsi="Times New Roman" w:cs="Times New Roman"/>
                <w:color w:val="000000"/>
                <w:sz w:val="23"/>
                <w:szCs w:val="23"/>
              </w:rPr>
            </w:pPr>
            <w:r w:rsidRPr="00B679BE">
              <w:rPr>
                <w:rFonts w:ascii="Times New Roman" w:hAnsi="Times New Roman" w:cs="Times New Roman"/>
                <w:color w:val="000000"/>
                <w:sz w:val="23"/>
                <w:szCs w:val="23"/>
              </w:rPr>
              <w:t>2.3. pašvaldību budžets</w:t>
            </w:r>
          </w:p>
        </w:tc>
        <w:tc>
          <w:tcPr>
            <w:tcW w:w="1671" w:type="dxa"/>
            <w:tcBorders>
              <w:top w:val="single" w:sz="4" w:space="0" w:color="auto"/>
              <w:left w:val="single" w:sz="4" w:space="0" w:color="auto"/>
              <w:bottom w:val="single" w:sz="4" w:space="0" w:color="auto"/>
              <w:right w:val="single" w:sz="4" w:space="0" w:color="auto"/>
            </w:tcBorders>
            <w:vAlign w:val="center"/>
          </w:tcPr>
          <w:p w14:paraId="19F68FFC" w14:textId="3EA6C277" w:rsidR="0015288B" w:rsidRPr="00B679BE" w:rsidRDefault="00B679BE" w:rsidP="00B679BE">
            <w:pPr>
              <w:spacing w:after="0" w:line="240" w:lineRule="auto"/>
              <w:jc w:val="center"/>
              <w:rPr>
                <w:rFonts w:ascii="Times New Roman" w:hAnsi="Times New Roman" w:cs="Times New Roman"/>
                <w:color w:val="000000"/>
                <w:sz w:val="23"/>
                <w:szCs w:val="23"/>
                <w:lang w:val="en-US"/>
              </w:rPr>
            </w:pPr>
            <w:r w:rsidRPr="00B679BE">
              <w:rPr>
                <w:rFonts w:ascii="Times New Roman" w:hAnsi="Times New Roman" w:cs="Times New Roman"/>
                <w:color w:val="000000"/>
                <w:sz w:val="23"/>
                <w:szCs w:val="23"/>
                <w:lang w:val="en-US"/>
              </w:rPr>
              <w:t>13 325 542</w:t>
            </w:r>
          </w:p>
        </w:tc>
        <w:tc>
          <w:tcPr>
            <w:tcW w:w="1446" w:type="dxa"/>
            <w:tcBorders>
              <w:top w:val="single" w:sz="4" w:space="0" w:color="auto"/>
              <w:left w:val="single" w:sz="4" w:space="0" w:color="auto"/>
              <w:bottom w:val="single" w:sz="4" w:space="0" w:color="auto"/>
              <w:right w:val="single" w:sz="4" w:space="0" w:color="auto"/>
            </w:tcBorders>
            <w:vAlign w:val="center"/>
          </w:tcPr>
          <w:p w14:paraId="22FE6B73" w14:textId="2F91107D" w:rsidR="0015288B" w:rsidRPr="00B679BE" w:rsidRDefault="00B679BE" w:rsidP="00B679BE">
            <w:pPr>
              <w:spacing w:after="0" w:line="240" w:lineRule="auto"/>
              <w:jc w:val="center"/>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3 550 400</w:t>
            </w:r>
          </w:p>
        </w:tc>
        <w:tc>
          <w:tcPr>
            <w:tcW w:w="1185" w:type="dxa"/>
            <w:tcBorders>
              <w:top w:val="single" w:sz="4" w:space="0" w:color="auto"/>
              <w:left w:val="single" w:sz="4" w:space="0" w:color="auto"/>
              <w:bottom w:val="single" w:sz="4" w:space="0" w:color="auto"/>
              <w:right w:val="single" w:sz="4" w:space="0" w:color="auto"/>
            </w:tcBorders>
            <w:vAlign w:val="center"/>
          </w:tcPr>
          <w:p w14:paraId="156CD766" w14:textId="4E68D9EF" w:rsidR="0015288B" w:rsidRPr="00B679BE" w:rsidRDefault="00B679BE" w:rsidP="00B679BE">
            <w:pPr>
              <w:spacing w:after="0" w:line="240" w:lineRule="auto"/>
              <w:jc w:val="center"/>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4 199 132</w:t>
            </w:r>
          </w:p>
        </w:tc>
        <w:tc>
          <w:tcPr>
            <w:tcW w:w="1315" w:type="dxa"/>
            <w:tcBorders>
              <w:top w:val="single" w:sz="4" w:space="0" w:color="auto"/>
              <w:left w:val="single" w:sz="4" w:space="0" w:color="auto"/>
              <w:bottom w:val="single" w:sz="4" w:space="0" w:color="auto"/>
              <w:right w:val="single" w:sz="4" w:space="0" w:color="auto"/>
            </w:tcBorders>
            <w:vAlign w:val="center"/>
          </w:tcPr>
          <w:p w14:paraId="0B901583" w14:textId="5DB742E1" w:rsidR="0015288B" w:rsidRPr="00B679BE" w:rsidRDefault="00B679BE" w:rsidP="00B679BE">
            <w:pPr>
              <w:spacing w:after="0" w:line="240" w:lineRule="auto"/>
              <w:jc w:val="center"/>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3 973 303</w:t>
            </w:r>
          </w:p>
        </w:tc>
        <w:tc>
          <w:tcPr>
            <w:tcW w:w="1754" w:type="dxa"/>
            <w:tcBorders>
              <w:top w:val="single" w:sz="4" w:space="0" w:color="auto"/>
              <w:left w:val="single" w:sz="4" w:space="0" w:color="auto"/>
              <w:bottom w:val="single" w:sz="4" w:space="0" w:color="auto"/>
              <w:right w:val="single" w:sz="4" w:space="0" w:color="auto"/>
            </w:tcBorders>
            <w:vAlign w:val="center"/>
          </w:tcPr>
          <w:p w14:paraId="3195F192" w14:textId="2DFB2FC6" w:rsidR="0015288B" w:rsidRPr="00B679BE" w:rsidRDefault="00B679BE" w:rsidP="00B679BE">
            <w:pPr>
              <w:spacing w:after="0" w:line="240" w:lineRule="auto"/>
              <w:jc w:val="center"/>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-4 854 047</w:t>
            </w:r>
          </w:p>
        </w:tc>
      </w:tr>
      <w:tr w:rsidR="0015288B" w:rsidRPr="00B679BE" w14:paraId="0C8E5F25" w14:textId="77777777" w:rsidTr="00BF61A3">
        <w:trPr>
          <w:jc w:val="center"/>
        </w:trPr>
        <w:tc>
          <w:tcPr>
            <w:tcW w:w="2260" w:type="dxa"/>
            <w:tcBorders>
              <w:top w:val="outset" w:sz="6" w:space="0" w:color="414142"/>
              <w:left w:val="outset" w:sz="6" w:space="0" w:color="414142"/>
              <w:bottom w:val="outset" w:sz="6" w:space="0" w:color="414142"/>
              <w:right w:val="single" w:sz="4" w:space="0" w:color="auto"/>
            </w:tcBorders>
            <w:hideMark/>
          </w:tcPr>
          <w:p w14:paraId="0E6B7BC9" w14:textId="77777777" w:rsidR="0015288B" w:rsidRPr="00B679BE" w:rsidRDefault="0015288B" w:rsidP="0015288B">
            <w:pPr>
              <w:spacing w:after="0" w:line="240" w:lineRule="auto"/>
              <w:rPr>
                <w:rFonts w:ascii="Times New Roman" w:hAnsi="Times New Roman" w:cs="Times New Roman"/>
                <w:color w:val="000000"/>
                <w:sz w:val="23"/>
                <w:szCs w:val="23"/>
              </w:rPr>
            </w:pPr>
            <w:r w:rsidRPr="00B679BE">
              <w:rPr>
                <w:rFonts w:ascii="Times New Roman" w:hAnsi="Times New Roman" w:cs="Times New Roman"/>
                <w:color w:val="000000"/>
                <w:sz w:val="23"/>
                <w:szCs w:val="23"/>
              </w:rPr>
              <w:t>3. Finansiālā ietekme:</w:t>
            </w:r>
          </w:p>
          <w:p w14:paraId="4C7885C4" w14:textId="77777777" w:rsidR="0015288B" w:rsidRPr="00B679BE" w:rsidRDefault="0015288B" w:rsidP="0015288B">
            <w:pPr>
              <w:spacing w:after="0" w:line="240" w:lineRule="auto"/>
              <w:rPr>
                <w:rFonts w:ascii="Times New Roman" w:hAnsi="Times New Roman" w:cs="Times New Roman"/>
                <w:color w:val="000000"/>
                <w:sz w:val="23"/>
                <w:szCs w:val="23"/>
              </w:rPr>
            </w:pPr>
            <w:r w:rsidRPr="00B679BE">
              <w:rPr>
                <w:rFonts w:ascii="Times New Roman" w:hAnsi="Times New Roman" w:cs="Times New Roman"/>
                <w:color w:val="000000"/>
                <w:sz w:val="23"/>
                <w:szCs w:val="23"/>
              </w:rPr>
              <w:t>3.1. valsts pamatbudžets</w:t>
            </w:r>
          </w:p>
          <w:p w14:paraId="46B08F70" w14:textId="77777777" w:rsidR="0015288B" w:rsidRPr="00B679BE" w:rsidRDefault="0015288B" w:rsidP="0015288B">
            <w:pPr>
              <w:spacing w:after="0" w:line="240" w:lineRule="auto"/>
              <w:rPr>
                <w:rFonts w:ascii="Times New Roman" w:hAnsi="Times New Roman" w:cs="Times New Roman"/>
                <w:color w:val="000000"/>
                <w:sz w:val="23"/>
                <w:szCs w:val="23"/>
              </w:rPr>
            </w:pPr>
            <w:r w:rsidRPr="00B679BE">
              <w:rPr>
                <w:rFonts w:ascii="Times New Roman" w:hAnsi="Times New Roman" w:cs="Times New Roman"/>
                <w:color w:val="000000"/>
                <w:sz w:val="23"/>
                <w:szCs w:val="23"/>
              </w:rPr>
              <w:t>3.2. speciālais budžets</w:t>
            </w:r>
          </w:p>
          <w:p w14:paraId="7E7B905A" w14:textId="77777777" w:rsidR="0015288B" w:rsidRPr="00B679BE" w:rsidRDefault="0015288B" w:rsidP="0015288B">
            <w:pPr>
              <w:spacing w:after="0" w:line="240" w:lineRule="auto"/>
              <w:rPr>
                <w:rFonts w:ascii="Times New Roman" w:hAnsi="Times New Roman" w:cs="Times New Roman"/>
                <w:color w:val="000000"/>
                <w:sz w:val="23"/>
                <w:szCs w:val="23"/>
              </w:rPr>
            </w:pPr>
            <w:r w:rsidRPr="00B679BE">
              <w:rPr>
                <w:rFonts w:ascii="Times New Roman" w:hAnsi="Times New Roman" w:cs="Times New Roman"/>
                <w:color w:val="000000"/>
                <w:sz w:val="23"/>
                <w:szCs w:val="23"/>
              </w:rPr>
              <w:t>3.3. pašvaldību budžets</w:t>
            </w:r>
          </w:p>
        </w:tc>
        <w:tc>
          <w:tcPr>
            <w:tcW w:w="1671" w:type="dxa"/>
            <w:tcBorders>
              <w:top w:val="single" w:sz="4" w:space="0" w:color="auto"/>
              <w:left w:val="single" w:sz="4" w:space="0" w:color="auto"/>
              <w:bottom w:val="single" w:sz="4" w:space="0" w:color="auto"/>
              <w:right w:val="single" w:sz="4" w:space="0" w:color="auto"/>
            </w:tcBorders>
            <w:vAlign w:val="center"/>
          </w:tcPr>
          <w:p w14:paraId="655DD6A3" w14:textId="7EB71B01" w:rsidR="0015288B" w:rsidRPr="00B679BE" w:rsidRDefault="00B679BE" w:rsidP="001603A4">
            <w:pPr>
              <w:spacing w:after="0" w:line="240" w:lineRule="auto"/>
              <w:jc w:val="center"/>
              <w:rPr>
                <w:rFonts w:ascii="Times New Roman" w:hAnsi="Times New Roman" w:cs="Times New Roman"/>
                <w:color w:val="000000"/>
                <w:sz w:val="23"/>
                <w:szCs w:val="23"/>
                <w:lang w:val="en-US"/>
              </w:rPr>
            </w:pPr>
            <w:r w:rsidRPr="00B679BE">
              <w:rPr>
                <w:rFonts w:ascii="Times New Roman" w:hAnsi="Times New Roman" w:cs="Times New Roman"/>
                <w:color w:val="000000"/>
                <w:sz w:val="23"/>
                <w:szCs w:val="23"/>
                <w:lang w:val="en-US"/>
              </w:rPr>
              <w:t>-1 030 33</w:t>
            </w:r>
            <w:r w:rsidR="001603A4">
              <w:rPr>
                <w:rFonts w:ascii="Times New Roman" w:hAnsi="Times New Roman" w:cs="Times New Roman"/>
                <w:color w:val="000000"/>
                <w:sz w:val="23"/>
                <w:szCs w:val="23"/>
                <w:lang w:val="en-US"/>
              </w:rPr>
              <w:t>8</w:t>
            </w:r>
          </w:p>
        </w:tc>
        <w:tc>
          <w:tcPr>
            <w:tcW w:w="1446" w:type="dxa"/>
            <w:tcBorders>
              <w:top w:val="single" w:sz="4" w:space="0" w:color="auto"/>
              <w:left w:val="single" w:sz="4" w:space="0" w:color="auto"/>
              <w:bottom w:val="single" w:sz="4" w:space="0" w:color="auto"/>
              <w:right w:val="single" w:sz="4" w:space="0" w:color="auto"/>
            </w:tcBorders>
            <w:vAlign w:val="center"/>
          </w:tcPr>
          <w:p w14:paraId="5C00147D" w14:textId="6B325164" w:rsidR="0015288B" w:rsidRPr="00B679BE" w:rsidRDefault="00B679BE" w:rsidP="00B679BE">
            <w:pPr>
              <w:spacing w:after="0" w:line="240" w:lineRule="auto"/>
              <w:jc w:val="center"/>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-274 519</w:t>
            </w:r>
          </w:p>
        </w:tc>
        <w:tc>
          <w:tcPr>
            <w:tcW w:w="1185" w:type="dxa"/>
            <w:tcBorders>
              <w:top w:val="single" w:sz="4" w:space="0" w:color="auto"/>
              <w:left w:val="single" w:sz="4" w:space="0" w:color="auto"/>
              <w:bottom w:val="single" w:sz="4" w:space="0" w:color="auto"/>
              <w:right w:val="single" w:sz="4" w:space="0" w:color="auto"/>
            </w:tcBorders>
            <w:vAlign w:val="center"/>
          </w:tcPr>
          <w:p w14:paraId="0A1EE11F" w14:textId="156AB7BE" w:rsidR="0015288B" w:rsidRPr="00B679BE" w:rsidRDefault="00B679BE" w:rsidP="001603A4">
            <w:pPr>
              <w:spacing w:after="0" w:line="240" w:lineRule="auto"/>
              <w:jc w:val="center"/>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-132 37</w:t>
            </w:r>
            <w:r w:rsidR="001603A4">
              <w:rPr>
                <w:rFonts w:ascii="Times New Roman" w:hAnsi="Times New Roman" w:cs="Times New Roman"/>
                <w:color w:val="000000"/>
                <w:sz w:val="23"/>
                <w:szCs w:val="23"/>
                <w:lang w:val="en-US"/>
              </w:rPr>
              <w:t>0</w:t>
            </w:r>
          </w:p>
        </w:tc>
        <w:tc>
          <w:tcPr>
            <w:tcW w:w="1315" w:type="dxa"/>
            <w:tcBorders>
              <w:top w:val="single" w:sz="4" w:space="0" w:color="auto"/>
              <w:left w:val="single" w:sz="4" w:space="0" w:color="auto"/>
              <w:bottom w:val="single" w:sz="4" w:space="0" w:color="auto"/>
              <w:right w:val="single" w:sz="4" w:space="0" w:color="auto"/>
            </w:tcBorders>
            <w:vAlign w:val="center"/>
          </w:tcPr>
          <w:p w14:paraId="5DAF1057" w14:textId="2B9F23EC" w:rsidR="0015288B" w:rsidRPr="00B679BE" w:rsidRDefault="00B679BE" w:rsidP="001603A4">
            <w:pPr>
              <w:spacing w:after="0" w:line="240" w:lineRule="auto"/>
              <w:jc w:val="center"/>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-109 12</w:t>
            </w:r>
            <w:r w:rsidR="001603A4">
              <w:rPr>
                <w:rFonts w:ascii="Times New Roman" w:hAnsi="Times New Roman" w:cs="Times New Roman"/>
                <w:color w:val="000000"/>
                <w:sz w:val="23"/>
                <w:szCs w:val="23"/>
                <w:lang w:val="en-US"/>
              </w:rPr>
              <w:t>1</w:t>
            </w:r>
          </w:p>
        </w:tc>
        <w:tc>
          <w:tcPr>
            <w:tcW w:w="1754" w:type="dxa"/>
            <w:tcBorders>
              <w:top w:val="single" w:sz="4" w:space="0" w:color="auto"/>
              <w:left w:val="single" w:sz="4" w:space="0" w:color="auto"/>
              <w:bottom w:val="single" w:sz="4" w:space="0" w:color="auto"/>
              <w:right w:val="single" w:sz="4" w:space="0" w:color="auto"/>
            </w:tcBorders>
            <w:vAlign w:val="center"/>
          </w:tcPr>
          <w:p w14:paraId="2012CEA5" w14:textId="1B9682E8" w:rsidR="0015288B" w:rsidRPr="00B679BE" w:rsidRDefault="00B679BE" w:rsidP="001603A4">
            <w:pPr>
              <w:spacing w:after="0" w:line="240" w:lineRule="auto"/>
              <w:jc w:val="center"/>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502 46</w:t>
            </w:r>
            <w:r w:rsidR="001603A4">
              <w:rPr>
                <w:rFonts w:ascii="Times New Roman" w:hAnsi="Times New Roman" w:cs="Times New Roman"/>
                <w:color w:val="000000"/>
                <w:sz w:val="23"/>
                <w:szCs w:val="23"/>
                <w:lang w:val="en-US"/>
              </w:rPr>
              <w:t>9</w:t>
            </w:r>
          </w:p>
        </w:tc>
      </w:tr>
      <w:tr w:rsidR="0015288B" w:rsidRPr="00B679BE" w14:paraId="242A4824" w14:textId="77777777" w:rsidTr="00BF61A3">
        <w:trPr>
          <w:jc w:val="center"/>
        </w:trPr>
        <w:tc>
          <w:tcPr>
            <w:tcW w:w="2260" w:type="dxa"/>
            <w:tcBorders>
              <w:top w:val="outset" w:sz="6" w:space="0" w:color="414142"/>
              <w:left w:val="outset" w:sz="6" w:space="0" w:color="414142"/>
              <w:bottom w:val="outset" w:sz="6" w:space="0" w:color="414142"/>
              <w:right w:val="single" w:sz="4" w:space="0" w:color="auto"/>
            </w:tcBorders>
            <w:hideMark/>
          </w:tcPr>
          <w:p w14:paraId="4CE4C1B1" w14:textId="77777777" w:rsidR="0015288B" w:rsidRPr="00B679BE" w:rsidRDefault="0015288B" w:rsidP="0015288B">
            <w:pPr>
              <w:spacing w:after="0" w:line="240" w:lineRule="auto"/>
              <w:rPr>
                <w:rFonts w:ascii="Times New Roman" w:hAnsi="Times New Roman" w:cs="Times New Roman"/>
                <w:color w:val="000000"/>
                <w:sz w:val="23"/>
                <w:szCs w:val="23"/>
              </w:rPr>
            </w:pPr>
            <w:r w:rsidRPr="00B679BE">
              <w:rPr>
                <w:rFonts w:ascii="Times New Roman" w:hAnsi="Times New Roman" w:cs="Times New Roman"/>
                <w:color w:val="000000"/>
                <w:sz w:val="23"/>
                <w:szCs w:val="23"/>
              </w:rPr>
              <w:lastRenderedPageBreak/>
              <w:t>4. Finanšu līdzekļi papildu izdevumu finansēšanai (kompensējošu izdevumu samazinājumu norāda ar "+" zīmi)</w:t>
            </w:r>
          </w:p>
        </w:tc>
        <w:tc>
          <w:tcPr>
            <w:tcW w:w="1671" w:type="dxa"/>
            <w:tcBorders>
              <w:top w:val="single" w:sz="4" w:space="0" w:color="auto"/>
              <w:left w:val="single" w:sz="4" w:space="0" w:color="auto"/>
              <w:bottom w:val="single" w:sz="4" w:space="0" w:color="auto"/>
              <w:right w:val="single" w:sz="4" w:space="0" w:color="auto"/>
            </w:tcBorders>
            <w:vAlign w:val="center"/>
            <w:hideMark/>
          </w:tcPr>
          <w:p w14:paraId="7EE7866D" w14:textId="77777777" w:rsidR="0015288B" w:rsidRPr="00B679BE" w:rsidRDefault="0015288B" w:rsidP="00B679BE">
            <w:pPr>
              <w:spacing w:after="0" w:line="240" w:lineRule="auto"/>
              <w:jc w:val="center"/>
              <w:rPr>
                <w:rFonts w:ascii="Times New Roman" w:hAnsi="Times New Roman" w:cs="Times New Roman"/>
                <w:color w:val="000000"/>
                <w:sz w:val="23"/>
                <w:szCs w:val="23"/>
                <w:lang w:val="en-US"/>
              </w:rPr>
            </w:pPr>
            <w:r w:rsidRPr="00B679BE">
              <w:rPr>
                <w:rFonts w:ascii="Times New Roman" w:hAnsi="Times New Roman" w:cs="Times New Roman"/>
                <w:color w:val="000000"/>
                <w:sz w:val="23"/>
                <w:szCs w:val="23"/>
                <w:lang w:val="en-US"/>
              </w:rPr>
              <w:t>N/A</w:t>
            </w:r>
          </w:p>
        </w:tc>
        <w:tc>
          <w:tcPr>
            <w:tcW w:w="1446" w:type="dxa"/>
            <w:tcBorders>
              <w:top w:val="single" w:sz="4" w:space="0" w:color="auto"/>
              <w:left w:val="single" w:sz="4" w:space="0" w:color="auto"/>
              <w:bottom w:val="single" w:sz="4" w:space="0" w:color="auto"/>
              <w:right w:val="single" w:sz="4" w:space="0" w:color="auto"/>
            </w:tcBorders>
            <w:vAlign w:val="center"/>
            <w:hideMark/>
          </w:tcPr>
          <w:p w14:paraId="131D0FB7" w14:textId="77777777" w:rsidR="0015288B" w:rsidRPr="00B679BE" w:rsidRDefault="0015288B" w:rsidP="00B679BE">
            <w:pPr>
              <w:spacing w:after="0" w:line="240" w:lineRule="auto"/>
              <w:jc w:val="center"/>
              <w:rPr>
                <w:rFonts w:ascii="Times New Roman" w:hAnsi="Times New Roman" w:cs="Times New Roman"/>
                <w:color w:val="000000"/>
                <w:sz w:val="23"/>
                <w:szCs w:val="23"/>
                <w:lang w:val="en-US"/>
              </w:rPr>
            </w:pPr>
            <w:r w:rsidRPr="00B679BE">
              <w:rPr>
                <w:rFonts w:ascii="Times New Roman" w:hAnsi="Times New Roman" w:cs="Times New Roman"/>
                <w:color w:val="000000"/>
                <w:sz w:val="23"/>
                <w:szCs w:val="23"/>
                <w:lang w:val="en-US"/>
              </w:rPr>
              <w:t>N/A</w:t>
            </w:r>
          </w:p>
        </w:tc>
        <w:tc>
          <w:tcPr>
            <w:tcW w:w="1185" w:type="dxa"/>
            <w:tcBorders>
              <w:top w:val="single" w:sz="4" w:space="0" w:color="auto"/>
              <w:left w:val="single" w:sz="4" w:space="0" w:color="auto"/>
              <w:bottom w:val="single" w:sz="4" w:space="0" w:color="auto"/>
              <w:right w:val="single" w:sz="4" w:space="0" w:color="auto"/>
            </w:tcBorders>
            <w:vAlign w:val="center"/>
            <w:hideMark/>
          </w:tcPr>
          <w:p w14:paraId="5CF0ACBB" w14:textId="77777777" w:rsidR="0015288B" w:rsidRPr="00B679BE" w:rsidRDefault="0015288B" w:rsidP="00B679BE">
            <w:pPr>
              <w:spacing w:after="0" w:line="240" w:lineRule="auto"/>
              <w:jc w:val="center"/>
              <w:rPr>
                <w:rFonts w:ascii="Times New Roman" w:hAnsi="Times New Roman" w:cs="Times New Roman"/>
                <w:color w:val="000000"/>
                <w:sz w:val="23"/>
                <w:szCs w:val="23"/>
                <w:lang w:val="en-US"/>
              </w:rPr>
            </w:pPr>
            <w:r w:rsidRPr="00B679BE">
              <w:rPr>
                <w:rFonts w:ascii="Times New Roman" w:hAnsi="Times New Roman" w:cs="Times New Roman"/>
                <w:color w:val="000000"/>
                <w:sz w:val="23"/>
                <w:szCs w:val="23"/>
                <w:lang w:val="en-US"/>
              </w:rPr>
              <w:t>N/A</w:t>
            </w:r>
          </w:p>
        </w:tc>
        <w:tc>
          <w:tcPr>
            <w:tcW w:w="1315" w:type="dxa"/>
            <w:tcBorders>
              <w:top w:val="single" w:sz="4" w:space="0" w:color="auto"/>
              <w:left w:val="single" w:sz="4" w:space="0" w:color="auto"/>
              <w:bottom w:val="single" w:sz="4" w:space="0" w:color="auto"/>
              <w:right w:val="single" w:sz="4" w:space="0" w:color="auto"/>
            </w:tcBorders>
            <w:vAlign w:val="center"/>
            <w:hideMark/>
          </w:tcPr>
          <w:p w14:paraId="181F6631" w14:textId="77777777" w:rsidR="0015288B" w:rsidRPr="00B679BE" w:rsidRDefault="0015288B" w:rsidP="00B679BE">
            <w:pPr>
              <w:spacing w:after="0" w:line="240" w:lineRule="auto"/>
              <w:jc w:val="center"/>
              <w:rPr>
                <w:rFonts w:ascii="Times New Roman" w:hAnsi="Times New Roman" w:cs="Times New Roman"/>
                <w:color w:val="000000"/>
                <w:sz w:val="23"/>
                <w:szCs w:val="23"/>
                <w:lang w:val="en-US"/>
              </w:rPr>
            </w:pPr>
            <w:r w:rsidRPr="00B679BE">
              <w:rPr>
                <w:rFonts w:ascii="Times New Roman" w:hAnsi="Times New Roman" w:cs="Times New Roman"/>
                <w:color w:val="000000"/>
                <w:sz w:val="23"/>
                <w:szCs w:val="23"/>
                <w:lang w:val="en-US"/>
              </w:rPr>
              <w:t>N/A</w:t>
            </w:r>
          </w:p>
        </w:tc>
        <w:tc>
          <w:tcPr>
            <w:tcW w:w="1754" w:type="dxa"/>
            <w:tcBorders>
              <w:top w:val="single" w:sz="4" w:space="0" w:color="auto"/>
              <w:left w:val="single" w:sz="4" w:space="0" w:color="auto"/>
              <w:bottom w:val="single" w:sz="4" w:space="0" w:color="auto"/>
              <w:right w:val="single" w:sz="4" w:space="0" w:color="auto"/>
            </w:tcBorders>
            <w:vAlign w:val="center"/>
            <w:hideMark/>
          </w:tcPr>
          <w:p w14:paraId="07A01AA1" w14:textId="77777777" w:rsidR="0015288B" w:rsidRPr="00B679BE" w:rsidRDefault="0015288B" w:rsidP="00B679BE">
            <w:pPr>
              <w:spacing w:after="0" w:line="240" w:lineRule="auto"/>
              <w:jc w:val="center"/>
              <w:rPr>
                <w:rFonts w:ascii="Times New Roman" w:hAnsi="Times New Roman" w:cs="Times New Roman"/>
                <w:color w:val="000000"/>
                <w:sz w:val="23"/>
                <w:szCs w:val="23"/>
                <w:lang w:val="en-US"/>
              </w:rPr>
            </w:pPr>
            <w:r w:rsidRPr="00B679BE">
              <w:rPr>
                <w:rFonts w:ascii="Times New Roman" w:hAnsi="Times New Roman" w:cs="Times New Roman"/>
                <w:color w:val="000000"/>
                <w:sz w:val="23"/>
                <w:szCs w:val="23"/>
                <w:lang w:val="en-US"/>
              </w:rPr>
              <w:t>N/A</w:t>
            </w:r>
          </w:p>
        </w:tc>
      </w:tr>
      <w:tr w:rsidR="0015288B" w:rsidRPr="00B679BE" w14:paraId="59F42759" w14:textId="77777777" w:rsidTr="00BF61A3">
        <w:trPr>
          <w:jc w:val="center"/>
        </w:trPr>
        <w:tc>
          <w:tcPr>
            <w:tcW w:w="2260" w:type="dxa"/>
            <w:tcBorders>
              <w:top w:val="outset" w:sz="6" w:space="0" w:color="414142"/>
              <w:left w:val="outset" w:sz="6" w:space="0" w:color="414142"/>
              <w:bottom w:val="outset" w:sz="6" w:space="0" w:color="414142"/>
              <w:right w:val="single" w:sz="4" w:space="0" w:color="auto"/>
            </w:tcBorders>
            <w:hideMark/>
          </w:tcPr>
          <w:p w14:paraId="051E42A8" w14:textId="77777777" w:rsidR="0015288B" w:rsidRPr="00B679BE" w:rsidRDefault="0015288B" w:rsidP="0015288B">
            <w:pPr>
              <w:spacing w:after="0" w:line="240" w:lineRule="auto"/>
              <w:rPr>
                <w:rFonts w:ascii="Times New Roman" w:hAnsi="Times New Roman" w:cs="Times New Roman"/>
                <w:color w:val="000000"/>
                <w:sz w:val="23"/>
                <w:szCs w:val="23"/>
              </w:rPr>
            </w:pPr>
            <w:r w:rsidRPr="00B679BE">
              <w:rPr>
                <w:rFonts w:ascii="Times New Roman" w:hAnsi="Times New Roman" w:cs="Times New Roman"/>
                <w:color w:val="000000"/>
                <w:sz w:val="23"/>
                <w:szCs w:val="23"/>
              </w:rPr>
              <w:t>5. Precizēta finansiālā ietekme:</w:t>
            </w:r>
          </w:p>
          <w:p w14:paraId="74EFD5A2" w14:textId="77777777" w:rsidR="0015288B" w:rsidRPr="00B679BE" w:rsidRDefault="0015288B" w:rsidP="0015288B">
            <w:pPr>
              <w:spacing w:after="0" w:line="240" w:lineRule="auto"/>
              <w:rPr>
                <w:rFonts w:ascii="Times New Roman" w:hAnsi="Times New Roman" w:cs="Times New Roman"/>
                <w:color w:val="000000"/>
                <w:sz w:val="23"/>
                <w:szCs w:val="23"/>
              </w:rPr>
            </w:pPr>
            <w:r w:rsidRPr="00B679BE">
              <w:rPr>
                <w:rFonts w:ascii="Times New Roman" w:hAnsi="Times New Roman" w:cs="Times New Roman"/>
                <w:color w:val="000000"/>
                <w:sz w:val="23"/>
                <w:szCs w:val="23"/>
              </w:rPr>
              <w:t>5.1. valsts pamatbudžets</w:t>
            </w:r>
          </w:p>
          <w:p w14:paraId="2FE3A74E" w14:textId="77777777" w:rsidR="0015288B" w:rsidRPr="00B679BE" w:rsidRDefault="0015288B" w:rsidP="0015288B">
            <w:pPr>
              <w:spacing w:after="0" w:line="240" w:lineRule="auto"/>
              <w:rPr>
                <w:rFonts w:ascii="Times New Roman" w:hAnsi="Times New Roman" w:cs="Times New Roman"/>
                <w:color w:val="000000"/>
                <w:sz w:val="23"/>
                <w:szCs w:val="23"/>
              </w:rPr>
            </w:pPr>
            <w:r w:rsidRPr="00B679BE">
              <w:rPr>
                <w:rFonts w:ascii="Times New Roman" w:hAnsi="Times New Roman" w:cs="Times New Roman"/>
                <w:color w:val="000000"/>
                <w:sz w:val="23"/>
                <w:szCs w:val="23"/>
              </w:rPr>
              <w:t>5.2. speciālais budžets</w:t>
            </w:r>
          </w:p>
          <w:p w14:paraId="4B963420" w14:textId="77777777" w:rsidR="0015288B" w:rsidRPr="00B679BE" w:rsidRDefault="0015288B" w:rsidP="0015288B">
            <w:pPr>
              <w:spacing w:after="0" w:line="240" w:lineRule="auto"/>
              <w:rPr>
                <w:rFonts w:ascii="Times New Roman" w:hAnsi="Times New Roman" w:cs="Times New Roman"/>
                <w:color w:val="000000"/>
                <w:sz w:val="23"/>
                <w:szCs w:val="23"/>
              </w:rPr>
            </w:pPr>
            <w:r w:rsidRPr="00B679BE">
              <w:rPr>
                <w:rFonts w:ascii="Times New Roman" w:hAnsi="Times New Roman" w:cs="Times New Roman"/>
                <w:color w:val="000000"/>
                <w:sz w:val="23"/>
                <w:szCs w:val="23"/>
              </w:rPr>
              <w:t>5.3. pašvaldību budžets</w:t>
            </w:r>
          </w:p>
        </w:tc>
        <w:tc>
          <w:tcPr>
            <w:tcW w:w="1671" w:type="dxa"/>
            <w:tcBorders>
              <w:top w:val="single" w:sz="4" w:space="0" w:color="auto"/>
              <w:left w:val="single" w:sz="4" w:space="0" w:color="auto"/>
              <w:bottom w:val="single" w:sz="4" w:space="0" w:color="auto"/>
              <w:right w:val="single" w:sz="4" w:space="0" w:color="auto"/>
            </w:tcBorders>
            <w:vAlign w:val="center"/>
            <w:hideMark/>
          </w:tcPr>
          <w:p w14:paraId="5C5A92D4" w14:textId="77777777" w:rsidR="0015288B" w:rsidRPr="00B679BE" w:rsidRDefault="0015288B" w:rsidP="00B679BE">
            <w:pPr>
              <w:spacing w:after="0" w:line="240" w:lineRule="auto"/>
              <w:jc w:val="center"/>
              <w:rPr>
                <w:rFonts w:ascii="Times New Roman" w:hAnsi="Times New Roman" w:cs="Times New Roman"/>
                <w:color w:val="000000"/>
                <w:sz w:val="23"/>
                <w:szCs w:val="23"/>
                <w:lang w:val="en-US"/>
              </w:rPr>
            </w:pPr>
            <w:r w:rsidRPr="00B679BE">
              <w:rPr>
                <w:rFonts w:ascii="Times New Roman" w:hAnsi="Times New Roman" w:cs="Times New Roman"/>
                <w:color w:val="000000"/>
                <w:sz w:val="23"/>
                <w:szCs w:val="23"/>
                <w:lang w:val="en-US"/>
              </w:rPr>
              <w:t>N/A</w:t>
            </w:r>
          </w:p>
        </w:tc>
        <w:tc>
          <w:tcPr>
            <w:tcW w:w="1446" w:type="dxa"/>
            <w:tcBorders>
              <w:top w:val="single" w:sz="4" w:space="0" w:color="auto"/>
              <w:left w:val="single" w:sz="4" w:space="0" w:color="auto"/>
              <w:bottom w:val="single" w:sz="4" w:space="0" w:color="auto"/>
              <w:right w:val="single" w:sz="4" w:space="0" w:color="auto"/>
            </w:tcBorders>
            <w:vAlign w:val="center"/>
            <w:hideMark/>
          </w:tcPr>
          <w:p w14:paraId="19BFBBBD" w14:textId="77777777" w:rsidR="0015288B" w:rsidRPr="00B679BE" w:rsidRDefault="0015288B" w:rsidP="00B679BE">
            <w:pPr>
              <w:spacing w:after="0" w:line="240" w:lineRule="auto"/>
              <w:jc w:val="center"/>
              <w:rPr>
                <w:rFonts w:ascii="Times New Roman" w:hAnsi="Times New Roman" w:cs="Times New Roman"/>
                <w:color w:val="000000"/>
                <w:sz w:val="23"/>
                <w:szCs w:val="23"/>
                <w:lang w:val="en-US"/>
              </w:rPr>
            </w:pPr>
            <w:r w:rsidRPr="00B679BE">
              <w:rPr>
                <w:rFonts w:ascii="Times New Roman" w:hAnsi="Times New Roman" w:cs="Times New Roman"/>
                <w:color w:val="000000"/>
                <w:sz w:val="23"/>
                <w:szCs w:val="23"/>
                <w:lang w:val="en-US"/>
              </w:rPr>
              <w:t>N/A</w:t>
            </w:r>
          </w:p>
        </w:tc>
        <w:tc>
          <w:tcPr>
            <w:tcW w:w="1185" w:type="dxa"/>
            <w:tcBorders>
              <w:top w:val="single" w:sz="4" w:space="0" w:color="auto"/>
              <w:left w:val="single" w:sz="4" w:space="0" w:color="auto"/>
              <w:bottom w:val="single" w:sz="4" w:space="0" w:color="auto"/>
              <w:right w:val="single" w:sz="4" w:space="0" w:color="auto"/>
            </w:tcBorders>
            <w:vAlign w:val="center"/>
            <w:hideMark/>
          </w:tcPr>
          <w:p w14:paraId="6B920AA3" w14:textId="77777777" w:rsidR="0015288B" w:rsidRPr="00B679BE" w:rsidRDefault="0015288B" w:rsidP="00B679BE">
            <w:pPr>
              <w:spacing w:after="0" w:line="240" w:lineRule="auto"/>
              <w:jc w:val="center"/>
              <w:rPr>
                <w:rFonts w:ascii="Times New Roman" w:hAnsi="Times New Roman" w:cs="Times New Roman"/>
                <w:color w:val="000000"/>
                <w:sz w:val="23"/>
                <w:szCs w:val="23"/>
              </w:rPr>
            </w:pPr>
            <w:r w:rsidRPr="00B679BE">
              <w:rPr>
                <w:rFonts w:ascii="Times New Roman" w:hAnsi="Times New Roman" w:cs="Times New Roman"/>
                <w:color w:val="000000"/>
                <w:sz w:val="23"/>
                <w:szCs w:val="23"/>
              </w:rPr>
              <w:t>N/A</w:t>
            </w:r>
          </w:p>
        </w:tc>
        <w:tc>
          <w:tcPr>
            <w:tcW w:w="1315" w:type="dxa"/>
            <w:tcBorders>
              <w:top w:val="single" w:sz="4" w:space="0" w:color="auto"/>
              <w:left w:val="single" w:sz="4" w:space="0" w:color="auto"/>
              <w:bottom w:val="single" w:sz="4" w:space="0" w:color="auto"/>
              <w:right w:val="single" w:sz="4" w:space="0" w:color="auto"/>
            </w:tcBorders>
            <w:vAlign w:val="center"/>
            <w:hideMark/>
          </w:tcPr>
          <w:p w14:paraId="5CAF0C45" w14:textId="77777777" w:rsidR="0015288B" w:rsidRPr="00B679BE" w:rsidRDefault="0015288B" w:rsidP="00B679BE">
            <w:pPr>
              <w:spacing w:after="0" w:line="240" w:lineRule="auto"/>
              <w:jc w:val="center"/>
              <w:rPr>
                <w:rFonts w:ascii="Times New Roman" w:hAnsi="Times New Roman" w:cs="Times New Roman"/>
                <w:color w:val="000000"/>
                <w:sz w:val="23"/>
                <w:szCs w:val="23"/>
              </w:rPr>
            </w:pPr>
            <w:r w:rsidRPr="00B679BE">
              <w:rPr>
                <w:rFonts w:ascii="Times New Roman" w:hAnsi="Times New Roman" w:cs="Times New Roman"/>
                <w:color w:val="000000"/>
                <w:sz w:val="23"/>
                <w:szCs w:val="23"/>
              </w:rPr>
              <w:t>N/A</w:t>
            </w:r>
          </w:p>
        </w:tc>
        <w:tc>
          <w:tcPr>
            <w:tcW w:w="1754" w:type="dxa"/>
            <w:tcBorders>
              <w:top w:val="single" w:sz="4" w:space="0" w:color="auto"/>
              <w:left w:val="single" w:sz="4" w:space="0" w:color="auto"/>
              <w:bottom w:val="single" w:sz="4" w:space="0" w:color="auto"/>
              <w:right w:val="single" w:sz="4" w:space="0" w:color="auto"/>
            </w:tcBorders>
            <w:vAlign w:val="center"/>
            <w:hideMark/>
          </w:tcPr>
          <w:p w14:paraId="4276930D" w14:textId="77777777" w:rsidR="0015288B" w:rsidRPr="00B679BE" w:rsidRDefault="0015288B" w:rsidP="00B679BE">
            <w:pPr>
              <w:spacing w:after="0" w:line="240" w:lineRule="auto"/>
              <w:jc w:val="center"/>
              <w:rPr>
                <w:rFonts w:ascii="Times New Roman" w:hAnsi="Times New Roman" w:cs="Times New Roman"/>
                <w:color w:val="000000"/>
                <w:sz w:val="23"/>
                <w:szCs w:val="23"/>
              </w:rPr>
            </w:pPr>
            <w:r w:rsidRPr="00B679BE">
              <w:rPr>
                <w:rFonts w:ascii="Times New Roman" w:hAnsi="Times New Roman" w:cs="Times New Roman"/>
                <w:color w:val="000000"/>
                <w:sz w:val="23"/>
                <w:szCs w:val="23"/>
              </w:rPr>
              <w:t>N/A</w:t>
            </w:r>
          </w:p>
        </w:tc>
      </w:tr>
      <w:tr w:rsidR="0015288B" w:rsidRPr="00B679BE" w14:paraId="20DD5E2C" w14:textId="77777777" w:rsidTr="00BF61A3">
        <w:trPr>
          <w:jc w:val="center"/>
        </w:trPr>
        <w:tc>
          <w:tcPr>
            <w:tcW w:w="2260" w:type="dxa"/>
            <w:tcBorders>
              <w:top w:val="outset" w:sz="6" w:space="0" w:color="414142"/>
              <w:left w:val="outset" w:sz="6" w:space="0" w:color="414142"/>
              <w:bottom w:val="outset" w:sz="6" w:space="0" w:color="414142"/>
              <w:right w:val="single" w:sz="4" w:space="0" w:color="auto"/>
            </w:tcBorders>
            <w:hideMark/>
          </w:tcPr>
          <w:p w14:paraId="06966211" w14:textId="77777777" w:rsidR="0015288B" w:rsidRPr="00B679BE" w:rsidRDefault="0015288B" w:rsidP="0015288B">
            <w:pPr>
              <w:spacing w:after="0" w:line="240" w:lineRule="auto"/>
              <w:rPr>
                <w:rFonts w:ascii="Times New Roman" w:hAnsi="Times New Roman" w:cs="Times New Roman"/>
                <w:b/>
                <w:color w:val="000000"/>
                <w:sz w:val="23"/>
                <w:szCs w:val="23"/>
              </w:rPr>
            </w:pPr>
            <w:r w:rsidRPr="00B679BE">
              <w:rPr>
                <w:rFonts w:ascii="Times New Roman" w:hAnsi="Times New Roman" w:cs="Times New Roman"/>
                <w:b/>
                <w:color w:val="000000"/>
                <w:sz w:val="23"/>
                <w:szCs w:val="23"/>
              </w:rPr>
              <w:t xml:space="preserve">6. Detalizēts ieņēmumu un izdevumu aprēķins (ja nepieciešams, detalizētu ieņēmumu un izdevumu aprēķinu var pievienot anotācijas pielikumā): </w:t>
            </w:r>
          </w:p>
          <w:p w14:paraId="523CECC2" w14:textId="77777777" w:rsidR="0015288B" w:rsidRPr="00B679BE" w:rsidRDefault="0015288B" w:rsidP="0015288B">
            <w:pPr>
              <w:spacing w:after="0" w:line="240" w:lineRule="auto"/>
              <w:rPr>
                <w:rFonts w:ascii="Times New Roman" w:hAnsi="Times New Roman" w:cs="Times New Roman"/>
                <w:b/>
                <w:color w:val="000000"/>
                <w:sz w:val="23"/>
                <w:szCs w:val="23"/>
              </w:rPr>
            </w:pPr>
            <w:r w:rsidRPr="00B679BE">
              <w:rPr>
                <w:rFonts w:ascii="Times New Roman" w:hAnsi="Times New Roman" w:cs="Times New Roman"/>
                <w:b/>
                <w:color w:val="000000"/>
                <w:sz w:val="23"/>
                <w:szCs w:val="23"/>
              </w:rPr>
              <w:t>6.1. detalizēts ieņēmumu aprēķins</w:t>
            </w:r>
          </w:p>
          <w:p w14:paraId="0653AC5E" w14:textId="77777777" w:rsidR="0015288B" w:rsidRPr="00B679BE" w:rsidRDefault="0015288B" w:rsidP="0015288B">
            <w:pPr>
              <w:spacing w:after="0" w:line="240" w:lineRule="auto"/>
              <w:rPr>
                <w:rFonts w:ascii="Times New Roman" w:hAnsi="Times New Roman" w:cs="Times New Roman"/>
                <w:b/>
                <w:color w:val="000000"/>
                <w:sz w:val="23"/>
                <w:szCs w:val="23"/>
              </w:rPr>
            </w:pPr>
            <w:r w:rsidRPr="00B679BE">
              <w:rPr>
                <w:rFonts w:ascii="Times New Roman" w:hAnsi="Times New Roman" w:cs="Times New Roman"/>
                <w:b/>
                <w:color w:val="000000"/>
                <w:sz w:val="23"/>
                <w:szCs w:val="23"/>
              </w:rPr>
              <w:t>6.2. detalizēts izdevumu aprēķins</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5308361D" w14:textId="0E9D831A" w:rsidR="0015288B" w:rsidRDefault="00B679BE" w:rsidP="00B679BE">
            <w:pPr>
              <w:spacing w:after="0" w:line="240" w:lineRule="auto"/>
              <w:jc w:val="both"/>
              <w:rPr>
                <w:rFonts w:ascii="Times New Roman" w:hAnsi="Times New Roman" w:cs="Times New Roman"/>
                <w:color w:val="000000"/>
                <w:sz w:val="23"/>
                <w:szCs w:val="23"/>
              </w:rPr>
            </w:pPr>
            <w:r w:rsidRPr="00B679BE">
              <w:rPr>
                <w:rFonts w:ascii="Times New Roman" w:hAnsi="Times New Roman" w:cs="Times New Roman"/>
                <w:color w:val="000000"/>
                <w:sz w:val="23"/>
                <w:szCs w:val="23"/>
              </w:rPr>
              <w:t xml:space="preserve">Darbības programmas “Izaugsme un nodarbinātība” </w:t>
            </w:r>
            <w:r w:rsidRPr="00B679BE">
              <w:rPr>
                <w:rFonts w:ascii="Times New Roman" w:hAnsi="Times New Roman" w:cs="Times New Roman"/>
                <w:bCs/>
                <w:color w:val="000000"/>
                <w:sz w:val="23"/>
                <w:szCs w:val="23"/>
              </w:rPr>
              <w:t xml:space="preserve">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w:t>
            </w:r>
            <w:r w:rsidR="0015288B" w:rsidRPr="00B679BE">
              <w:rPr>
                <w:rFonts w:ascii="Times New Roman" w:hAnsi="Times New Roman" w:cs="Times New Roman"/>
                <w:color w:val="000000"/>
                <w:sz w:val="23"/>
                <w:szCs w:val="23"/>
              </w:rPr>
              <w:t xml:space="preserve">projektiem </w:t>
            </w:r>
            <w:r w:rsidRPr="00B679BE">
              <w:rPr>
                <w:rFonts w:ascii="Times New Roman" w:hAnsi="Times New Roman" w:cs="Times New Roman"/>
                <w:bCs/>
                <w:color w:val="000000"/>
                <w:sz w:val="23"/>
                <w:szCs w:val="23"/>
              </w:rPr>
              <w:t>pieejamais kopējais attiecināmais finansējums ir 66 657 699 </w:t>
            </w:r>
            <w:proofErr w:type="spellStart"/>
            <w:r w:rsidRPr="00B679BE">
              <w:rPr>
                <w:rFonts w:ascii="Times New Roman" w:hAnsi="Times New Roman" w:cs="Times New Roman"/>
                <w:bCs/>
                <w:i/>
                <w:iCs/>
                <w:color w:val="000000"/>
                <w:sz w:val="23"/>
                <w:szCs w:val="23"/>
              </w:rPr>
              <w:t>euro</w:t>
            </w:r>
            <w:proofErr w:type="spellEnd"/>
            <w:r w:rsidRPr="00B679BE">
              <w:rPr>
                <w:rFonts w:ascii="Times New Roman" w:hAnsi="Times New Roman" w:cs="Times New Roman"/>
                <w:bCs/>
                <w:color w:val="000000"/>
                <w:sz w:val="23"/>
                <w:szCs w:val="23"/>
              </w:rPr>
              <w:t>, tai skaitā Eiropas Savienības budžeta speciālais piešķīrums Jauniešu nodarbinātības iniciatīvas (turpmāk - JNI) finansēšanai – 29 010 639 </w:t>
            </w:r>
            <w:proofErr w:type="spellStart"/>
            <w:r w:rsidRPr="00B679BE">
              <w:rPr>
                <w:rFonts w:ascii="Times New Roman" w:hAnsi="Times New Roman" w:cs="Times New Roman"/>
                <w:bCs/>
                <w:i/>
                <w:iCs/>
                <w:color w:val="000000"/>
                <w:sz w:val="23"/>
                <w:szCs w:val="23"/>
              </w:rPr>
              <w:t>euro</w:t>
            </w:r>
            <w:proofErr w:type="spellEnd"/>
            <w:r w:rsidRPr="00B679BE">
              <w:rPr>
                <w:rFonts w:ascii="Times New Roman" w:hAnsi="Times New Roman" w:cs="Times New Roman"/>
                <w:bCs/>
                <w:color w:val="000000"/>
                <w:sz w:val="23"/>
                <w:szCs w:val="23"/>
              </w:rPr>
              <w:t>, ESF finansējums – 32 000 00</w:t>
            </w:r>
            <w:r w:rsidR="001603A4">
              <w:rPr>
                <w:rFonts w:ascii="Times New Roman" w:hAnsi="Times New Roman" w:cs="Times New Roman"/>
                <w:bCs/>
                <w:color w:val="000000"/>
                <w:sz w:val="23"/>
                <w:szCs w:val="23"/>
              </w:rPr>
              <w:t>0</w:t>
            </w:r>
            <w:r w:rsidRPr="00B679BE">
              <w:rPr>
                <w:rFonts w:ascii="Times New Roman" w:hAnsi="Times New Roman" w:cs="Times New Roman"/>
                <w:bCs/>
                <w:color w:val="000000"/>
                <w:sz w:val="23"/>
                <w:szCs w:val="23"/>
              </w:rPr>
              <w:t> </w:t>
            </w:r>
            <w:proofErr w:type="spellStart"/>
            <w:r w:rsidRPr="00B679BE">
              <w:rPr>
                <w:rFonts w:ascii="Times New Roman" w:hAnsi="Times New Roman" w:cs="Times New Roman"/>
                <w:bCs/>
                <w:i/>
                <w:iCs/>
                <w:color w:val="000000"/>
                <w:sz w:val="23"/>
                <w:szCs w:val="23"/>
              </w:rPr>
              <w:t>euro</w:t>
            </w:r>
            <w:proofErr w:type="spellEnd"/>
            <w:r w:rsidRPr="00B679BE">
              <w:rPr>
                <w:rFonts w:ascii="Times New Roman" w:hAnsi="Times New Roman" w:cs="Times New Roman"/>
                <w:bCs/>
                <w:color w:val="000000"/>
                <w:sz w:val="23"/>
                <w:szCs w:val="23"/>
              </w:rPr>
              <w:t>, valsts budžeta līdzfinansējums – 4 503 48</w:t>
            </w:r>
            <w:r w:rsidR="001603A4">
              <w:rPr>
                <w:rFonts w:ascii="Times New Roman" w:hAnsi="Times New Roman" w:cs="Times New Roman"/>
                <w:bCs/>
                <w:color w:val="000000"/>
                <w:sz w:val="23"/>
                <w:szCs w:val="23"/>
              </w:rPr>
              <w:t>7</w:t>
            </w:r>
            <w:r w:rsidRPr="00B679BE">
              <w:rPr>
                <w:rFonts w:ascii="Times New Roman" w:hAnsi="Times New Roman" w:cs="Times New Roman"/>
                <w:bCs/>
                <w:color w:val="000000"/>
                <w:sz w:val="23"/>
                <w:szCs w:val="23"/>
              </w:rPr>
              <w:t> </w:t>
            </w:r>
            <w:proofErr w:type="spellStart"/>
            <w:r w:rsidRPr="00B679BE">
              <w:rPr>
                <w:rFonts w:ascii="Times New Roman" w:hAnsi="Times New Roman" w:cs="Times New Roman"/>
                <w:bCs/>
                <w:i/>
                <w:iCs/>
                <w:color w:val="000000"/>
                <w:sz w:val="23"/>
                <w:szCs w:val="23"/>
              </w:rPr>
              <w:t>euro</w:t>
            </w:r>
            <w:proofErr w:type="spellEnd"/>
            <w:r w:rsidRPr="00B679BE">
              <w:rPr>
                <w:rFonts w:ascii="Times New Roman" w:hAnsi="Times New Roman" w:cs="Times New Roman"/>
                <w:bCs/>
                <w:color w:val="000000"/>
                <w:sz w:val="23"/>
                <w:szCs w:val="23"/>
              </w:rPr>
              <w:t> un privātais līdzfinansējums – 1 143 573 </w:t>
            </w:r>
            <w:proofErr w:type="spellStart"/>
            <w:r w:rsidRPr="00B679BE">
              <w:rPr>
                <w:rFonts w:ascii="Times New Roman" w:hAnsi="Times New Roman" w:cs="Times New Roman"/>
                <w:bCs/>
                <w:i/>
                <w:iCs/>
                <w:color w:val="000000"/>
                <w:sz w:val="23"/>
                <w:szCs w:val="23"/>
              </w:rPr>
              <w:t>euro</w:t>
            </w:r>
            <w:proofErr w:type="spellEnd"/>
            <w:r w:rsidR="0015288B" w:rsidRPr="00B679BE">
              <w:rPr>
                <w:rFonts w:ascii="Times New Roman" w:hAnsi="Times New Roman" w:cs="Times New Roman"/>
                <w:color w:val="000000"/>
                <w:sz w:val="23"/>
                <w:szCs w:val="23"/>
              </w:rPr>
              <w:t xml:space="preserve">. Budžeta ieņēmumi ir finansējuma ESF un JNI finansējuma daļa. Attiecināmajām izmaksām, kas saistītas ar </w:t>
            </w:r>
            <w:r w:rsidRPr="00B679BE">
              <w:rPr>
                <w:rFonts w:ascii="Times New Roman" w:hAnsi="Times New Roman" w:cs="Times New Roman"/>
                <w:color w:val="000000"/>
                <w:sz w:val="23"/>
                <w:szCs w:val="23"/>
              </w:rPr>
              <w:t>nodarbinātu jauniešu</w:t>
            </w:r>
            <w:r w:rsidR="0015288B" w:rsidRPr="00B679BE">
              <w:rPr>
                <w:rFonts w:ascii="Times New Roman" w:hAnsi="Times New Roman" w:cs="Times New Roman"/>
                <w:color w:val="000000"/>
                <w:sz w:val="23"/>
                <w:szCs w:val="23"/>
              </w:rPr>
              <w:t xml:space="preserve"> iesaistīšanu pasākumos un publicitātes pasākumu izmaksām ESF līdzfinansējums nepārsniedz 85</w:t>
            </w:r>
            <w:r w:rsidRPr="00B679BE">
              <w:rPr>
                <w:rFonts w:ascii="Times New Roman" w:hAnsi="Times New Roman" w:cs="Times New Roman"/>
                <w:color w:val="000000"/>
                <w:sz w:val="23"/>
                <w:szCs w:val="23"/>
              </w:rPr>
              <w:t xml:space="preserve"> procentus</w:t>
            </w:r>
            <w:r w:rsidR="0015288B" w:rsidRPr="00B679BE">
              <w:rPr>
                <w:rFonts w:ascii="Times New Roman" w:hAnsi="Times New Roman" w:cs="Times New Roman"/>
                <w:color w:val="000000"/>
                <w:sz w:val="23"/>
                <w:szCs w:val="23"/>
              </w:rPr>
              <w:t xml:space="preserve"> no izmaksām. </w:t>
            </w:r>
            <w:r w:rsidRPr="00B679BE">
              <w:rPr>
                <w:rFonts w:ascii="Times New Roman" w:hAnsi="Times New Roman" w:cs="Times New Roman"/>
                <w:color w:val="000000"/>
                <w:sz w:val="23"/>
                <w:szCs w:val="23"/>
              </w:rPr>
              <w:t>Kopumā</w:t>
            </w:r>
            <w:r w:rsidR="0015288B" w:rsidRPr="00B679BE">
              <w:rPr>
                <w:rFonts w:ascii="Times New Roman" w:hAnsi="Times New Roman" w:cs="Times New Roman"/>
                <w:color w:val="000000"/>
                <w:sz w:val="23"/>
                <w:szCs w:val="23"/>
              </w:rPr>
              <w:t xml:space="preserve"> attiecināmajām izmaksām </w:t>
            </w:r>
            <w:r w:rsidRPr="00B679BE">
              <w:rPr>
                <w:rFonts w:ascii="Times New Roman" w:hAnsi="Times New Roman" w:cs="Times New Roman"/>
                <w:color w:val="000000"/>
                <w:sz w:val="23"/>
                <w:szCs w:val="23"/>
              </w:rPr>
              <w:t>JNI finansēšanai nepārsniedz 43,52 procentus no specifiskā atbalsta kopējā attiecināmā finansējuma, un maksimālais attiecināmais ESF finansējuma apmērs nepārsniedz 48,01 procentus no specifiskā atbalsta kopējā attiecināmā finansējuma</w:t>
            </w:r>
            <w:r w:rsidR="0015288B" w:rsidRPr="00B679BE">
              <w:rPr>
                <w:rFonts w:ascii="Times New Roman" w:hAnsi="Times New Roman" w:cs="Times New Roman"/>
                <w:color w:val="000000"/>
                <w:sz w:val="23"/>
                <w:szCs w:val="23"/>
              </w:rPr>
              <w:t xml:space="preserve">. </w:t>
            </w:r>
          </w:p>
          <w:p w14:paraId="0D888902" w14:textId="77777777" w:rsidR="001860EE" w:rsidRDefault="001860EE" w:rsidP="00B679BE">
            <w:pPr>
              <w:spacing w:after="0" w:line="240" w:lineRule="auto"/>
              <w:jc w:val="both"/>
              <w:rPr>
                <w:rFonts w:ascii="Times New Roman" w:hAnsi="Times New Roman" w:cs="Times New Roman"/>
                <w:color w:val="000000"/>
                <w:sz w:val="23"/>
                <w:szCs w:val="23"/>
              </w:rPr>
            </w:pPr>
          </w:p>
          <w:p w14:paraId="49FCDC5B" w14:textId="49BBA53B" w:rsidR="001860EE" w:rsidRPr="00B679BE" w:rsidRDefault="001860EE" w:rsidP="00B679BE">
            <w:pPr>
              <w:spacing w:after="0" w:line="240" w:lineRule="auto"/>
              <w:jc w:val="both"/>
              <w:rPr>
                <w:rFonts w:ascii="Times New Roman" w:hAnsi="Times New Roman" w:cs="Times New Roman"/>
                <w:color w:val="000000"/>
                <w:sz w:val="23"/>
                <w:szCs w:val="23"/>
              </w:rPr>
            </w:pPr>
            <w:r w:rsidRPr="001860EE">
              <w:rPr>
                <w:rFonts w:ascii="Times New Roman" w:hAnsi="Times New Roman" w:cs="Times New Roman"/>
                <w:color w:val="000000"/>
                <w:sz w:val="23"/>
                <w:szCs w:val="23"/>
              </w:rPr>
              <w:t xml:space="preserve">Saskaņā ar </w:t>
            </w:r>
            <w:r>
              <w:rPr>
                <w:rFonts w:ascii="Times New Roman" w:hAnsi="Times New Roman" w:cs="Times New Roman"/>
                <w:color w:val="000000"/>
                <w:sz w:val="23"/>
                <w:szCs w:val="23"/>
              </w:rPr>
              <w:t>darbības programmas “Izaugsme un nodarbinātība”</w:t>
            </w:r>
            <w:r w:rsidRPr="001860EE">
              <w:rPr>
                <w:rFonts w:ascii="Times New Roman" w:hAnsi="Times New Roman" w:cs="Times New Roman"/>
                <w:color w:val="000000"/>
                <w:sz w:val="23"/>
                <w:szCs w:val="23"/>
              </w:rPr>
              <w:t xml:space="preserve"> noteikto 7.prioritārajam virziena “Nodarbinātība un darbaspēka mobilitāte” ESF piešķīrumam paredzama finansējuma rezerve ir 6 616</w:t>
            </w:r>
            <w:r>
              <w:rPr>
                <w:rFonts w:ascii="Times New Roman" w:hAnsi="Times New Roman" w:cs="Times New Roman"/>
                <w:color w:val="000000"/>
                <w:sz w:val="23"/>
                <w:szCs w:val="23"/>
              </w:rPr>
              <w:t> </w:t>
            </w:r>
            <w:r w:rsidRPr="001860EE">
              <w:rPr>
                <w:rFonts w:ascii="Times New Roman" w:hAnsi="Times New Roman" w:cs="Times New Roman"/>
                <w:color w:val="000000"/>
                <w:sz w:val="23"/>
                <w:szCs w:val="23"/>
              </w:rPr>
              <w:t>521</w:t>
            </w:r>
            <w:r>
              <w:rPr>
                <w:rFonts w:ascii="Times New Roman" w:hAnsi="Times New Roman" w:cs="Times New Roman"/>
                <w:color w:val="000000"/>
                <w:sz w:val="23"/>
                <w:szCs w:val="23"/>
              </w:rPr>
              <w:t xml:space="preserve"> </w:t>
            </w:r>
            <w:proofErr w:type="spellStart"/>
            <w:r>
              <w:rPr>
                <w:rFonts w:ascii="Times New Roman" w:hAnsi="Times New Roman" w:cs="Times New Roman"/>
                <w:i/>
                <w:color w:val="000000"/>
                <w:sz w:val="23"/>
                <w:szCs w:val="23"/>
              </w:rPr>
              <w:t>euro</w:t>
            </w:r>
            <w:proofErr w:type="spellEnd"/>
            <w:r w:rsidRPr="001860EE">
              <w:rPr>
                <w:rFonts w:ascii="Times New Roman" w:hAnsi="Times New Roman" w:cs="Times New Roman"/>
                <w:color w:val="000000"/>
                <w:sz w:val="23"/>
                <w:szCs w:val="23"/>
              </w:rPr>
              <w:t xml:space="preserve"> apmērā. Rezervi paredzēts nodrošināt no 7.1.1.</w:t>
            </w:r>
            <w:r>
              <w:rPr>
                <w:rFonts w:ascii="Times New Roman" w:hAnsi="Times New Roman" w:cs="Times New Roman"/>
                <w:color w:val="000000"/>
                <w:sz w:val="23"/>
                <w:szCs w:val="23"/>
              </w:rPr>
              <w:t>specifiskā atbalsta mērķa</w:t>
            </w:r>
            <w:r w:rsidRPr="001860EE">
              <w:rPr>
                <w:rFonts w:ascii="Times New Roman" w:hAnsi="Times New Roman" w:cs="Times New Roman"/>
                <w:color w:val="000000"/>
                <w:sz w:val="23"/>
                <w:szCs w:val="23"/>
              </w:rPr>
              <w:t xml:space="preserve"> “</w:t>
            </w:r>
            <w:r w:rsidRPr="001860EE">
              <w:rPr>
                <w:rFonts w:ascii="Times New Roman" w:hAnsi="Times New Roman" w:cs="Times New Roman"/>
                <w:bCs/>
                <w:color w:val="000000"/>
                <w:sz w:val="23"/>
                <w:szCs w:val="23"/>
              </w:rPr>
              <w:t>Paaugstināt bezdarbnieku kvalifikāciju un prasmes atbilstoši darba tirgus pieprasījumam</w:t>
            </w:r>
            <w:r w:rsidRPr="001860EE">
              <w:rPr>
                <w:rFonts w:ascii="Times New Roman" w:hAnsi="Times New Roman" w:cs="Times New Roman"/>
                <w:color w:val="000000"/>
                <w:sz w:val="23"/>
                <w:szCs w:val="23"/>
              </w:rPr>
              <w:t>” 3 846</w:t>
            </w:r>
            <w:r>
              <w:rPr>
                <w:rFonts w:ascii="Times New Roman" w:hAnsi="Times New Roman" w:cs="Times New Roman"/>
                <w:color w:val="000000"/>
                <w:sz w:val="23"/>
                <w:szCs w:val="23"/>
              </w:rPr>
              <w:t> </w:t>
            </w:r>
            <w:r w:rsidRPr="001860EE">
              <w:rPr>
                <w:rFonts w:ascii="Times New Roman" w:hAnsi="Times New Roman" w:cs="Times New Roman"/>
                <w:color w:val="000000"/>
                <w:sz w:val="23"/>
                <w:szCs w:val="23"/>
              </w:rPr>
              <w:t>460</w:t>
            </w:r>
            <w:r>
              <w:rPr>
                <w:rFonts w:ascii="Times New Roman" w:hAnsi="Times New Roman" w:cs="Times New Roman"/>
                <w:color w:val="000000"/>
                <w:sz w:val="23"/>
                <w:szCs w:val="23"/>
              </w:rPr>
              <w:t xml:space="preserve"> </w:t>
            </w:r>
            <w:proofErr w:type="spellStart"/>
            <w:r>
              <w:rPr>
                <w:rFonts w:ascii="Times New Roman" w:hAnsi="Times New Roman" w:cs="Times New Roman"/>
                <w:i/>
                <w:color w:val="000000"/>
                <w:sz w:val="23"/>
                <w:szCs w:val="23"/>
              </w:rPr>
              <w:t>euro</w:t>
            </w:r>
            <w:proofErr w:type="spellEnd"/>
            <w:r w:rsidRPr="001860EE">
              <w:rPr>
                <w:rFonts w:ascii="Times New Roman" w:hAnsi="Times New Roman" w:cs="Times New Roman"/>
                <w:color w:val="000000"/>
                <w:sz w:val="23"/>
                <w:szCs w:val="23"/>
              </w:rPr>
              <w:t xml:space="preserve"> apmērā, </w:t>
            </w:r>
            <w:r>
              <w:rPr>
                <w:rFonts w:ascii="Times New Roman" w:hAnsi="Times New Roman" w:cs="Times New Roman"/>
                <w:color w:val="000000"/>
                <w:sz w:val="23"/>
                <w:szCs w:val="23"/>
              </w:rPr>
              <w:t xml:space="preserve">bet </w:t>
            </w:r>
            <w:proofErr w:type="spellStart"/>
            <w:r>
              <w:rPr>
                <w:rFonts w:ascii="Times New Roman" w:hAnsi="Times New Roman" w:cs="Times New Roman"/>
                <w:color w:val="000000"/>
                <w:sz w:val="23"/>
                <w:szCs w:val="23"/>
              </w:rPr>
              <w:t>līdzšinēji</w:t>
            </w:r>
            <w:proofErr w:type="spellEnd"/>
            <w:r>
              <w:rPr>
                <w:rFonts w:ascii="Times New Roman" w:hAnsi="Times New Roman" w:cs="Times New Roman"/>
                <w:color w:val="000000"/>
                <w:sz w:val="23"/>
                <w:szCs w:val="23"/>
              </w:rPr>
              <w:t xml:space="preserve"> plānoto rezervi </w:t>
            </w:r>
            <w:r w:rsidRPr="001860EE">
              <w:rPr>
                <w:rFonts w:ascii="Times New Roman" w:hAnsi="Times New Roman" w:cs="Times New Roman"/>
                <w:color w:val="000000"/>
                <w:sz w:val="23"/>
                <w:szCs w:val="23"/>
              </w:rPr>
              <w:t>7.2.1.</w:t>
            </w:r>
            <w:r>
              <w:rPr>
                <w:rFonts w:ascii="Times New Roman" w:hAnsi="Times New Roman" w:cs="Times New Roman"/>
                <w:color w:val="000000"/>
                <w:sz w:val="23"/>
                <w:szCs w:val="23"/>
              </w:rPr>
              <w:t>speciskā atbalsta mērķa</w:t>
            </w:r>
            <w:r w:rsidRPr="001860EE">
              <w:rPr>
                <w:rFonts w:ascii="Times New Roman" w:hAnsi="Times New Roman" w:cs="Times New Roman"/>
                <w:color w:val="000000"/>
                <w:sz w:val="23"/>
                <w:szCs w:val="23"/>
              </w:rPr>
              <w:t xml:space="preserve"> pasākum</w:t>
            </w:r>
            <w:r>
              <w:rPr>
                <w:rFonts w:ascii="Times New Roman" w:hAnsi="Times New Roman" w:cs="Times New Roman"/>
                <w:color w:val="000000"/>
                <w:sz w:val="23"/>
                <w:szCs w:val="23"/>
              </w:rPr>
              <w:t>a</w:t>
            </w:r>
            <w:r w:rsidRPr="001860EE">
              <w:rPr>
                <w:rFonts w:ascii="Times New Roman" w:hAnsi="Times New Roman" w:cs="Times New Roman"/>
                <w:color w:val="000000"/>
                <w:sz w:val="23"/>
                <w:szCs w:val="23"/>
              </w:rPr>
              <w:t xml:space="preserve"> “Jauniešu garantijas pasākumu īstenošana pēc 2018.gada” </w:t>
            </w:r>
            <w:r>
              <w:rPr>
                <w:rFonts w:ascii="Times New Roman" w:hAnsi="Times New Roman" w:cs="Times New Roman"/>
                <w:color w:val="000000"/>
                <w:sz w:val="23"/>
                <w:szCs w:val="23"/>
              </w:rPr>
              <w:t xml:space="preserve">ietvaros </w:t>
            </w:r>
            <w:r w:rsidRPr="001860EE">
              <w:rPr>
                <w:rFonts w:ascii="Times New Roman" w:hAnsi="Times New Roman" w:cs="Times New Roman"/>
                <w:color w:val="000000"/>
                <w:sz w:val="23"/>
                <w:szCs w:val="23"/>
              </w:rPr>
              <w:t xml:space="preserve">2 770 061 </w:t>
            </w:r>
            <w:proofErr w:type="spellStart"/>
            <w:r>
              <w:rPr>
                <w:rFonts w:ascii="Times New Roman" w:hAnsi="Times New Roman" w:cs="Times New Roman"/>
                <w:i/>
                <w:color w:val="000000"/>
                <w:sz w:val="23"/>
                <w:szCs w:val="23"/>
              </w:rPr>
              <w:t>euro</w:t>
            </w:r>
            <w:proofErr w:type="spellEnd"/>
            <w:r>
              <w:rPr>
                <w:rFonts w:ascii="Times New Roman" w:hAnsi="Times New Roman" w:cs="Times New Roman"/>
                <w:i/>
                <w:color w:val="000000"/>
                <w:sz w:val="23"/>
                <w:szCs w:val="23"/>
              </w:rPr>
              <w:t xml:space="preserve"> </w:t>
            </w:r>
            <w:r>
              <w:rPr>
                <w:rFonts w:ascii="Times New Roman" w:hAnsi="Times New Roman" w:cs="Times New Roman"/>
                <w:color w:val="000000"/>
                <w:sz w:val="23"/>
                <w:szCs w:val="23"/>
              </w:rPr>
              <w:t xml:space="preserve">apmērā nodrošināt no </w:t>
            </w:r>
            <w:r w:rsidRPr="001860EE">
              <w:rPr>
                <w:rFonts w:ascii="Times New Roman" w:hAnsi="Times New Roman" w:cs="Times New Roman"/>
                <w:color w:val="000000"/>
                <w:sz w:val="23"/>
                <w:szCs w:val="23"/>
              </w:rPr>
              <w:t>7.3.2.</w:t>
            </w:r>
            <w:r>
              <w:rPr>
                <w:rFonts w:ascii="Times New Roman" w:hAnsi="Times New Roman" w:cs="Times New Roman"/>
                <w:color w:val="000000"/>
                <w:sz w:val="23"/>
                <w:szCs w:val="23"/>
              </w:rPr>
              <w:t>specifiskā atbalsta mērķa “</w:t>
            </w:r>
            <w:r w:rsidRPr="001860EE">
              <w:rPr>
                <w:rFonts w:ascii="Times New Roman" w:hAnsi="Times New Roman" w:cs="Times New Roman"/>
                <w:color w:val="000000"/>
                <w:sz w:val="23"/>
                <w:szCs w:val="23"/>
              </w:rPr>
              <w:t>Paildzināt gados vecāku nodarbināto darbspēju saglabāšanu un nodarbinātību”</w:t>
            </w:r>
            <w:r>
              <w:rPr>
                <w:rFonts w:ascii="Times New Roman" w:hAnsi="Times New Roman" w:cs="Times New Roman"/>
                <w:color w:val="000000"/>
                <w:sz w:val="23"/>
                <w:szCs w:val="23"/>
              </w:rPr>
              <w:t>.</w:t>
            </w:r>
          </w:p>
          <w:p w14:paraId="7D10D790" w14:textId="77777777" w:rsidR="0015288B" w:rsidRPr="00B679BE" w:rsidRDefault="0015288B" w:rsidP="0015288B">
            <w:pPr>
              <w:spacing w:after="0" w:line="240" w:lineRule="auto"/>
              <w:rPr>
                <w:rFonts w:ascii="Times New Roman" w:hAnsi="Times New Roman" w:cs="Times New Roman"/>
                <w:color w:val="000000"/>
                <w:sz w:val="23"/>
                <w:szCs w:val="23"/>
              </w:rPr>
            </w:pPr>
          </w:p>
          <w:p w14:paraId="23E6BDE8" w14:textId="77777777" w:rsidR="0015288B" w:rsidRPr="00B679BE" w:rsidRDefault="0015288B" w:rsidP="00B679BE">
            <w:pPr>
              <w:spacing w:after="0" w:line="240" w:lineRule="auto"/>
              <w:jc w:val="both"/>
              <w:rPr>
                <w:rFonts w:ascii="Times New Roman" w:hAnsi="Times New Roman" w:cs="Times New Roman"/>
                <w:color w:val="000000"/>
                <w:sz w:val="23"/>
                <w:szCs w:val="23"/>
              </w:rPr>
            </w:pPr>
            <w:r w:rsidRPr="00B679BE">
              <w:rPr>
                <w:rFonts w:ascii="Times New Roman" w:hAnsi="Times New Roman" w:cs="Times New Roman"/>
                <w:color w:val="000000"/>
                <w:sz w:val="23"/>
                <w:szCs w:val="23"/>
              </w:rPr>
              <w:t>Budžeta izdevumi ir kopējie projekta ieviešanai nepieciešamie publiskā finansējuma līdzekļi attiecīgajā gadā.</w:t>
            </w:r>
          </w:p>
          <w:p w14:paraId="13C2A448" w14:textId="77777777" w:rsidR="0015288B" w:rsidRPr="00B679BE" w:rsidRDefault="0015288B" w:rsidP="0015288B">
            <w:pPr>
              <w:spacing w:after="0" w:line="240" w:lineRule="auto"/>
              <w:rPr>
                <w:rFonts w:ascii="Times New Roman" w:hAnsi="Times New Roman" w:cs="Times New Roman"/>
                <w:color w:val="000000"/>
                <w:sz w:val="23"/>
                <w:szCs w:val="23"/>
              </w:rPr>
            </w:pPr>
          </w:p>
          <w:p w14:paraId="2D25154E" w14:textId="27B4222A" w:rsidR="0015288B" w:rsidRPr="00B679BE" w:rsidRDefault="0015288B" w:rsidP="0015288B">
            <w:pPr>
              <w:spacing w:after="0" w:line="240" w:lineRule="auto"/>
              <w:rPr>
                <w:rFonts w:ascii="Times New Roman" w:hAnsi="Times New Roman" w:cs="Times New Roman"/>
                <w:color w:val="000000"/>
                <w:sz w:val="23"/>
                <w:szCs w:val="23"/>
                <w:u w:val="single"/>
              </w:rPr>
            </w:pPr>
            <w:r w:rsidRPr="00B679BE">
              <w:rPr>
                <w:rFonts w:ascii="Times New Roman" w:hAnsi="Times New Roman" w:cs="Times New Roman"/>
                <w:color w:val="000000"/>
                <w:sz w:val="23"/>
                <w:szCs w:val="23"/>
                <w:u w:val="single"/>
              </w:rPr>
              <w:t>1.pasākumam (</w:t>
            </w:r>
            <w:r w:rsidR="00B679BE">
              <w:rPr>
                <w:rFonts w:ascii="Times New Roman" w:hAnsi="Times New Roman" w:cs="Times New Roman"/>
                <w:color w:val="000000"/>
                <w:sz w:val="23"/>
                <w:szCs w:val="23"/>
                <w:u w:val="single"/>
              </w:rPr>
              <w:t>Nodarbinātības valsts aģentūra</w:t>
            </w:r>
            <w:r w:rsidRPr="00B679BE">
              <w:rPr>
                <w:rFonts w:ascii="Times New Roman" w:hAnsi="Times New Roman" w:cs="Times New Roman"/>
                <w:color w:val="000000"/>
                <w:sz w:val="23"/>
                <w:szCs w:val="23"/>
                <w:u w:val="single"/>
              </w:rPr>
              <w:t>)</w:t>
            </w:r>
          </w:p>
          <w:p w14:paraId="02AF1F31" w14:textId="02068726" w:rsidR="0015288B" w:rsidRPr="00B679BE" w:rsidRDefault="00B679BE" w:rsidP="00B679BE">
            <w:pPr>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P</w:t>
            </w:r>
            <w:r w:rsidRPr="00B679BE">
              <w:rPr>
                <w:rFonts w:ascii="Times New Roman" w:hAnsi="Times New Roman" w:cs="Times New Roman"/>
                <w:color w:val="000000"/>
                <w:sz w:val="23"/>
                <w:szCs w:val="23"/>
              </w:rPr>
              <w:t xml:space="preserve">asākumam </w:t>
            </w:r>
            <w:r>
              <w:rPr>
                <w:rFonts w:ascii="Times New Roman" w:hAnsi="Times New Roman" w:cs="Times New Roman"/>
                <w:color w:val="000000"/>
                <w:sz w:val="23"/>
                <w:szCs w:val="23"/>
              </w:rPr>
              <w:t>“</w:t>
            </w:r>
            <w:r w:rsidRPr="00B679BE">
              <w:rPr>
                <w:rFonts w:ascii="Times New Roman" w:hAnsi="Times New Roman" w:cs="Times New Roman"/>
                <w:color w:val="000000"/>
                <w:sz w:val="23"/>
                <w:szCs w:val="23"/>
              </w:rPr>
              <w:t>Aktīvās darba tirgus politikas pasākumu īstenošana jauniešu bezdarbnieku nodarbinātības veicināšanai</w:t>
            </w:r>
            <w:r>
              <w:rPr>
                <w:rFonts w:ascii="Times New Roman" w:hAnsi="Times New Roman" w:cs="Times New Roman"/>
                <w:color w:val="000000"/>
                <w:sz w:val="23"/>
                <w:szCs w:val="23"/>
              </w:rPr>
              <w:t>”</w:t>
            </w:r>
            <w:r w:rsidRPr="00B679BE">
              <w:rPr>
                <w:rFonts w:ascii="Times New Roman" w:hAnsi="Times New Roman" w:cs="Times New Roman"/>
                <w:color w:val="000000"/>
                <w:sz w:val="23"/>
                <w:szCs w:val="23"/>
              </w:rPr>
              <w:t xml:space="preserve"> pieejamais kopējais attiecināmais finansējums ir 33 977 162 </w:t>
            </w:r>
            <w:proofErr w:type="spellStart"/>
            <w:r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xml:space="preserve">, tai skaitā </w:t>
            </w:r>
            <w:r>
              <w:rPr>
                <w:rFonts w:ascii="Times New Roman" w:hAnsi="Times New Roman" w:cs="Times New Roman"/>
                <w:color w:val="000000"/>
                <w:sz w:val="23"/>
                <w:szCs w:val="23"/>
              </w:rPr>
              <w:t>JNI</w:t>
            </w:r>
            <w:r w:rsidRPr="00B679BE">
              <w:rPr>
                <w:rFonts w:ascii="Times New Roman" w:hAnsi="Times New Roman" w:cs="Times New Roman"/>
                <w:color w:val="000000"/>
                <w:sz w:val="23"/>
                <w:szCs w:val="23"/>
              </w:rPr>
              <w:t xml:space="preserve"> finansēšanai – 15 515 561 </w:t>
            </w:r>
            <w:proofErr w:type="spellStart"/>
            <w:r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xml:space="preserve">, </w:t>
            </w:r>
            <w:r>
              <w:rPr>
                <w:rFonts w:ascii="Times New Roman" w:hAnsi="Times New Roman" w:cs="Times New Roman"/>
                <w:color w:val="000000"/>
                <w:sz w:val="23"/>
                <w:szCs w:val="23"/>
              </w:rPr>
              <w:lastRenderedPageBreak/>
              <w:t>ESF</w:t>
            </w:r>
            <w:r w:rsidRPr="00B679BE">
              <w:rPr>
                <w:rFonts w:ascii="Times New Roman" w:hAnsi="Times New Roman" w:cs="Times New Roman"/>
                <w:color w:val="000000"/>
                <w:sz w:val="23"/>
                <w:szCs w:val="23"/>
              </w:rPr>
              <w:t xml:space="preserve"> finansējums – 15 692 361 </w:t>
            </w:r>
            <w:proofErr w:type="spellStart"/>
            <w:r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valsts budžeta līdzfinansējums – 1 625 667 </w:t>
            </w:r>
            <w:proofErr w:type="spellStart"/>
            <w:r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un privātais līdzfinansējums</w:t>
            </w:r>
            <w:r w:rsidR="00EE19FD">
              <w:rPr>
                <w:rFonts w:ascii="Times New Roman" w:hAnsi="Times New Roman" w:cs="Times New Roman"/>
                <w:color w:val="000000"/>
                <w:sz w:val="23"/>
                <w:szCs w:val="23"/>
              </w:rPr>
              <w:t xml:space="preserve"> </w:t>
            </w:r>
            <w:r w:rsidRPr="00B679BE">
              <w:rPr>
                <w:rFonts w:ascii="Times New Roman" w:hAnsi="Times New Roman" w:cs="Times New Roman"/>
                <w:color w:val="000000"/>
                <w:sz w:val="23"/>
                <w:szCs w:val="23"/>
              </w:rPr>
              <w:t>– 1 143 573 </w:t>
            </w:r>
            <w:proofErr w:type="spellStart"/>
            <w:r w:rsidRPr="00B679BE">
              <w:rPr>
                <w:rFonts w:ascii="Times New Roman" w:hAnsi="Times New Roman" w:cs="Times New Roman"/>
                <w:i/>
                <w:iCs/>
                <w:color w:val="000000"/>
                <w:sz w:val="23"/>
                <w:szCs w:val="23"/>
              </w:rPr>
              <w:t>euro</w:t>
            </w:r>
            <w:proofErr w:type="spellEnd"/>
            <w:r w:rsidR="0015288B" w:rsidRPr="00B679BE">
              <w:rPr>
                <w:rFonts w:ascii="Times New Roman" w:hAnsi="Times New Roman" w:cs="Times New Roman"/>
                <w:color w:val="000000"/>
                <w:sz w:val="23"/>
                <w:szCs w:val="23"/>
              </w:rPr>
              <w:t>.</w:t>
            </w:r>
          </w:p>
          <w:p w14:paraId="134C43B7" w14:textId="09EF6D90" w:rsidR="0015288B" w:rsidRPr="00B679BE" w:rsidRDefault="0015288B" w:rsidP="00B679BE">
            <w:pPr>
              <w:spacing w:after="0" w:line="240" w:lineRule="auto"/>
              <w:jc w:val="both"/>
              <w:rPr>
                <w:rFonts w:ascii="Times New Roman" w:hAnsi="Times New Roman" w:cs="Times New Roman"/>
                <w:color w:val="000000"/>
                <w:sz w:val="23"/>
                <w:szCs w:val="23"/>
              </w:rPr>
            </w:pPr>
            <w:r w:rsidRPr="00B679BE">
              <w:rPr>
                <w:rFonts w:ascii="Times New Roman" w:hAnsi="Times New Roman" w:cs="Times New Roman"/>
                <w:color w:val="000000"/>
                <w:sz w:val="23"/>
                <w:szCs w:val="23"/>
              </w:rPr>
              <w:t>Finanšu līdzekļi pasākuma</w:t>
            </w:r>
            <w:r w:rsidR="00B679BE">
              <w:rPr>
                <w:rFonts w:ascii="Times New Roman" w:hAnsi="Times New Roman" w:cs="Times New Roman"/>
                <w:color w:val="000000"/>
                <w:sz w:val="23"/>
                <w:szCs w:val="23"/>
              </w:rPr>
              <w:t xml:space="preserve"> </w:t>
            </w:r>
            <w:r w:rsidR="00B679BE" w:rsidRPr="00B679BE">
              <w:rPr>
                <w:rFonts w:ascii="Times New Roman" w:hAnsi="Times New Roman" w:cs="Times New Roman"/>
                <w:bCs/>
                <w:color w:val="000000"/>
                <w:sz w:val="23"/>
                <w:szCs w:val="23"/>
              </w:rPr>
              <w:t xml:space="preserve">“Aktīvās darba tirgus politikas pasākumu īstenošana jauniešu bezdarbnieku nodarbinātības veicināšanai” </w:t>
            </w:r>
            <w:r w:rsidRPr="00B679BE">
              <w:rPr>
                <w:rFonts w:ascii="Times New Roman" w:hAnsi="Times New Roman" w:cs="Times New Roman"/>
                <w:color w:val="000000"/>
                <w:sz w:val="23"/>
                <w:szCs w:val="23"/>
              </w:rPr>
              <w:t>ieviešanai plānoti L</w:t>
            </w:r>
            <w:r w:rsidR="00B679BE">
              <w:rPr>
                <w:rFonts w:ascii="Times New Roman" w:hAnsi="Times New Roman" w:cs="Times New Roman"/>
                <w:color w:val="000000"/>
                <w:sz w:val="23"/>
                <w:szCs w:val="23"/>
              </w:rPr>
              <w:t>abklājības ministrijas</w:t>
            </w:r>
            <w:r w:rsidRPr="00B679BE">
              <w:rPr>
                <w:rFonts w:ascii="Times New Roman" w:hAnsi="Times New Roman" w:cs="Times New Roman"/>
                <w:color w:val="000000"/>
                <w:sz w:val="23"/>
                <w:szCs w:val="23"/>
              </w:rPr>
              <w:t xml:space="preserve"> budžeta apakšprogrammā 63.07.00 “Eiropas Sociālā fonda (ESF) īstenotie projekti labklājības nozarē (2014-2020)”</w:t>
            </w:r>
            <w:r w:rsidR="00B679BE">
              <w:rPr>
                <w:rFonts w:ascii="Times New Roman" w:hAnsi="Times New Roman" w:cs="Times New Roman"/>
                <w:color w:val="000000"/>
                <w:sz w:val="23"/>
                <w:szCs w:val="23"/>
              </w:rPr>
              <w:t>.</w:t>
            </w:r>
          </w:p>
          <w:p w14:paraId="6FCE7DB3" w14:textId="77777777" w:rsidR="0015288B" w:rsidRPr="00B679BE" w:rsidRDefault="0015288B" w:rsidP="0015288B">
            <w:pPr>
              <w:spacing w:after="0" w:line="240" w:lineRule="auto"/>
              <w:rPr>
                <w:rFonts w:ascii="Times New Roman" w:hAnsi="Times New Roman" w:cs="Times New Roman"/>
                <w:color w:val="000000"/>
                <w:sz w:val="23"/>
                <w:szCs w:val="23"/>
              </w:rPr>
            </w:pPr>
          </w:p>
          <w:p w14:paraId="5FB9320A" w14:textId="225F0511" w:rsidR="0015288B" w:rsidRPr="00B679BE" w:rsidRDefault="0015288B" w:rsidP="00EE19FD">
            <w:pPr>
              <w:spacing w:after="0" w:line="240" w:lineRule="auto"/>
              <w:jc w:val="both"/>
              <w:rPr>
                <w:rFonts w:ascii="Times New Roman" w:hAnsi="Times New Roman" w:cs="Times New Roman"/>
                <w:color w:val="000000"/>
                <w:sz w:val="23"/>
                <w:szCs w:val="23"/>
              </w:rPr>
            </w:pPr>
            <w:r w:rsidRPr="00B679BE">
              <w:rPr>
                <w:rFonts w:ascii="Times New Roman" w:hAnsi="Times New Roman" w:cs="Times New Roman"/>
                <w:color w:val="000000"/>
                <w:sz w:val="23"/>
                <w:szCs w:val="23"/>
              </w:rPr>
              <w:t>2014.gadā kopējais apgūtais finansējums 3 160</w:t>
            </w:r>
            <w:r w:rsidR="00EE19FD">
              <w:rPr>
                <w:rFonts w:ascii="Times New Roman" w:hAnsi="Times New Roman" w:cs="Times New Roman"/>
                <w:color w:val="000000"/>
                <w:sz w:val="23"/>
                <w:szCs w:val="23"/>
              </w:rPr>
              <w:t> </w:t>
            </w:r>
            <w:r w:rsidRPr="00B679BE">
              <w:rPr>
                <w:rFonts w:ascii="Times New Roman" w:hAnsi="Times New Roman" w:cs="Times New Roman"/>
                <w:color w:val="000000"/>
                <w:sz w:val="23"/>
                <w:szCs w:val="23"/>
              </w:rPr>
              <w:t>474</w:t>
            </w:r>
            <w:r w:rsidR="00EE19FD">
              <w:rPr>
                <w:rFonts w:ascii="Times New Roman" w:hAnsi="Times New Roman" w:cs="Times New Roman"/>
                <w:color w:val="000000"/>
                <w:sz w:val="23"/>
                <w:szCs w:val="23"/>
              </w:rPr>
              <w:t xml:space="preserve"> </w:t>
            </w:r>
            <w:proofErr w:type="spellStart"/>
            <w:r w:rsidR="00EE19FD"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no tā publiskais finansējums 3 079</w:t>
            </w:r>
            <w:r w:rsidR="00EE19FD">
              <w:rPr>
                <w:rFonts w:ascii="Times New Roman" w:hAnsi="Times New Roman" w:cs="Times New Roman"/>
                <w:color w:val="000000"/>
                <w:sz w:val="23"/>
                <w:szCs w:val="23"/>
              </w:rPr>
              <w:t> </w:t>
            </w:r>
            <w:r w:rsidRPr="00B679BE">
              <w:rPr>
                <w:rFonts w:ascii="Times New Roman" w:hAnsi="Times New Roman" w:cs="Times New Roman"/>
                <w:color w:val="000000"/>
                <w:sz w:val="23"/>
                <w:szCs w:val="23"/>
              </w:rPr>
              <w:t>202</w:t>
            </w:r>
            <w:r w:rsidR="00EE19FD">
              <w:rPr>
                <w:rFonts w:ascii="Times New Roman" w:hAnsi="Times New Roman" w:cs="Times New Roman"/>
                <w:color w:val="000000"/>
                <w:sz w:val="23"/>
                <w:szCs w:val="23"/>
              </w:rPr>
              <w:t xml:space="preserve"> </w:t>
            </w:r>
            <w:proofErr w:type="spellStart"/>
            <w:r w:rsidR="00EE19FD"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tai skaitā ESF finansējums 1 469</w:t>
            </w:r>
            <w:r w:rsidR="00EE19FD">
              <w:rPr>
                <w:rFonts w:ascii="Times New Roman" w:hAnsi="Times New Roman" w:cs="Times New Roman"/>
                <w:color w:val="000000"/>
                <w:sz w:val="23"/>
                <w:szCs w:val="23"/>
              </w:rPr>
              <w:t> </w:t>
            </w:r>
            <w:r w:rsidRPr="00B679BE">
              <w:rPr>
                <w:rFonts w:ascii="Times New Roman" w:hAnsi="Times New Roman" w:cs="Times New Roman"/>
                <w:color w:val="000000"/>
                <w:sz w:val="23"/>
                <w:szCs w:val="23"/>
              </w:rPr>
              <w:t>256</w:t>
            </w:r>
            <w:r w:rsidR="00EE19FD">
              <w:rPr>
                <w:rFonts w:ascii="Times New Roman" w:hAnsi="Times New Roman" w:cs="Times New Roman"/>
                <w:color w:val="000000"/>
                <w:sz w:val="23"/>
                <w:szCs w:val="23"/>
              </w:rPr>
              <w:t xml:space="preserve"> </w:t>
            </w:r>
            <w:proofErr w:type="spellStart"/>
            <w:r w:rsidR="00EE19FD"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JNI finansējums 1 469</w:t>
            </w:r>
            <w:r w:rsidR="00EE19FD">
              <w:rPr>
                <w:rFonts w:ascii="Times New Roman" w:hAnsi="Times New Roman" w:cs="Times New Roman"/>
                <w:color w:val="000000"/>
                <w:sz w:val="23"/>
                <w:szCs w:val="23"/>
              </w:rPr>
              <w:t> </w:t>
            </w:r>
            <w:r w:rsidRPr="00B679BE">
              <w:rPr>
                <w:rFonts w:ascii="Times New Roman" w:hAnsi="Times New Roman" w:cs="Times New Roman"/>
                <w:color w:val="000000"/>
                <w:sz w:val="23"/>
                <w:szCs w:val="23"/>
              </w:rPr>
              <w:t>256</w:t>
            </w:r>
            <w:r w:rsidR="00EE19FD">
              <w:rPr>
                <w:rFonts w:ascii="Times New Roman" w:hAnsi="Times New Roman" w:cs="Times New Roman"/>
                <w:color w:val="000000"/>
                <w:sz w:val="23"/>
                <w:szCs w:val="23"/>
              </w:rPr>
              <w:t xml:space="preserve"> </w:t>
            </w:r>
            <w:proofErr w:type="spellStart"/>
            <w:r w:rsidR="00EE19FD"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xml:space="preserve"> un valsts budžeta finansējums 140</w:t>
            </w:r>
            <w:r w:rsidR="00EE19FD">
              <w:rPr>
                <w:rFonts w:ascii="Times New Roman" w:hAnsi="Times New Roman" w:cs="Times New Roman"/>
                <w:color w:val="000000"/>
                <w:sz w:val="23"/>
                <w:szCs w:val="23"/>
              </w:rPr>
              <w:t> </w:t>
            </w:r>
            <w:r w:rsidRPr="00B679BE">
              <w:rPr>
                <w:rFonts w:ascii="Times New Roman" w:hAnsi="Times New Roman" w:cs="Times New Roman"/>
                <w:color w:val="000000"/>
                <w:sz w:val="23"/>
                <w:szCs w:val="23"/>
              </w:rPr>
              <w:t>690</w:t>
            </w:r>
            <w:r w:rsidR="00EE19FD">
              <w:rPr>
                <w:rFonts w:ascii="Times New Roman" w:hAnsi="Times New Roman" w:cs="Times New Roman"/>
                <w:color w:val="000000"/>
                <w:sz w:val="23"/>
                <w:szCs w:val="23"/>
              </w:rPr>
              <w:t xml:space="preserve"> </w:t>
            </w:r>
            <w:proofErr w:type="spellStart"/>
            <w:r w:rsidR="00EE19FD"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xml:space="preserve"> un privātais līdzfinansējums 81 272 </w:t>
            </w:r>
            <w:proofErr w:type="spellStart"/>
            <w:r w:rsidR="00EE19FD"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xml:space="preserve">. </w:t>
            </w:r>
          </w:p>
          <w:p w14:paraId="5EC186C4" w14:textId="092D13AA" w:rsidR="0015288B" w:rsidRPr="00B679BE" w:rsidRDefault="0015288B" w:rsidP="00EE19FD">
            <w:pPr>
              <w:spacing w:after="0" w:line="240" w:lineRule="auto"/>
              <w:jc w:val="both"/>
              <w:rPr>
                <w:rFonts w:ascii="Times New Roman" w:hAnsi="Times New Roman" w:cs="Times New Roman"/>
                <w:color w:val="000000"/>
                <w:sz w:val="23"/>
                <w:szCs w:val="23"/>
              </w:rPr>
            </w:pPr>
            <w:r w:rsidRPr="00B679BE">
              <w:rPr>
                <w:rFonts w:ascii="Times New Roman" w:hAnsi="Times New Roman" w:cs="Times New Roman"/>
                <w:color w:val="000000"/>
                <w:sz w:val="23"/>
                <w:szCs w:val="23"/>
              </w:rPr>
              <w:t xml:space="preserve">2015.gadam indikatīvi kopējās izmaksas plānotas 7 506 993 </w:t>
            </w:r>
            <w:proofErr w:type="spellStart"/>
            <w:r w:rsidR="00EE19FD" w:rsidRPr="00B679BE">
              <w:rPr>
                <w:rFonts w:ascii="Times New Roman" w:hAnsi="Times New Roman" w:cs="Times New Roman"/>
                <w:i/>
                <w:iCs/>
                <w:color w:val="000000"/>
                <w:sz w:val="23"/>
                <w:szCs w:val="23"/>
              </w:rPr>
              <w:t>euro</w:t>
            </w:r>
            <w:proofErr w:type="spellEnd"/>
            <w:r w:rsidR="00EE19FD" w:rsidRPr="00B679BE">
              <w:rPr>
                <w:rFonts w:ascii="Times New Roman" w:hAnsi="Times New Roman" w:cs="Times New Roman"/>
                <w:color w:val="000000"/>
                <w:sz w:val="23"/>
                <w:szCs w:val="23"/>
              </w:rPr>
              <w:t xml:space="preserve"> </w:t>
            </w:r>
            <w:r w:rsidRPr="00B679BE">
              <w:rPr>
                <w:rFonts w:ascii="Times New Roman" w:hAnsi="Times New Roman" w:cs="Times New Roman"/>
                <w:color w:val="000000"/>
                <w:sz w:val="23"/>
                <w:szCs w:val="23"/>
              </w:rPr>
              <w:t>apmērā, no tā publiskais finansējums 7 195</w:t>
            </w:r>
            <w:r w:rsidR="00EE19FD">
              <w:rPr>
                <w:rFonts w:ascii="Times New Roman" w:hAnsi="Times New Roman" w:cs="Times New Roman"/>
                <w:color w:val="000000"/>
                <w:sz w:val="23"/>
                <w:szCs w:val="23"/>
              </w:rPr>
              <w:t> </w:t>
            </w:r>
            <w:r w:rsidRPr="00B679BE">
              <w:rPr>
                <w:rFonts w:ascii="Times New Roman" w:hAnsi="Times New Roman" w:cs="Times New Roman"/>
                <w:color w:val="000000"/>
                <w:sz w:val="23"/>
                <w:szCs w:val="23"/>
              </w:rPr>
              <w:t>977</w:t>
            </w:r>
            <w:r w:rsidR="00EE19FD">
              <w:rPr>
                <w:rFonts w:ascii="Times New Roman" w:hAnsi="Times New Roman" w:cs="Times New Roman"/>
                <w:color w:val="000000"/>
                <w:sz w:val="23"/>
                <w:szCs w:val="23"/>
              </w:rPr>
              <w:t xml:space="preserve"> </w:t>
            </w:r>
            <w:proofErr w:type="spellStart"/>
            <w:r w:rsidR="00EE19FD" w:rsidRPr="00B679BE">
              <w:rPr>
                <w:rFonts w:ascii="Times New Roman" w:hAnsi="Times New Roman" w:cs="Times New Roman"/>
                <w:i/>
                <w:iCs/>
                <w:color w:val="000000"/>
                <w:sz w:val="23"/>
                <w:szCs w:val="23"/>
              </w:rPr>
              <w:t>euro</w:t>
            </w:r>
            <w:proofErr w:type="spellEnd"/>
            <w:r w:rsidR="00EE19FD">
              <w:rPr>
                <w:rFonts w:ascii="Times New Roman" w:hAnsi="Times New Roman" w:cs="Times New Roman"/>
                <w:color w:val="000000"/>
                <w:sz w:val="23"/>
                <w:szCs w:val="23"/>
              </w:rPr>
              <w:t>, tai skaitā ESF finansējums</w:t>
            </w:r>
            <w:r w:rsidRPr="00B679BE">
              <w:rPr>
                <w:rFonts w:ascii="Times New Roman" w:hAnsi="Times New Roman" w:cs="Times New Roman"/>
                <w:color w:val="000000"/>
                <w:sz w:val="23"/>
                <w:szCs w:val="23"/>
              </w:rPr>
              <w:t xml:space="preserve"> 3 499</w:t>
            </w:r>
            <w:r w:rsidR="00EE19FD">
              <w:rPr>
                <w:rFonts w:ascii="Times New Roman" w:hAnsi="Times New Roman" w:cs="Times New Roman"/>
                <w:color w:val="000000"/>
                <w:sz w:val="23"/>
                <w:szCs w:val="23"/>
              </w:rPr>
              <w:t> </w:t>
            </w:r>
            <w:r w:rsidRPr="00B679BE">
              <w:rPr>
                <w:rFonts w:ascii="Times New Roman" w:hAnsi="Times New Roman" w:cs="Times New Roman"/>
                <w:color w:val="000000"/>
                <w:sz w:val="23"/>
                <w:szCs w:val="23"/>
              </w:rPr>
              <w:t>576</w:t>
            </w:r>
            <w:r w:rsidR="00EE19FD">
              <w:rPr>
                <w:rFonts w:ascii="Times New Roman" w:hAnsi="Times New Roman" w:cs="Times New Roman"/>
                <w:color w:val="000000"/>
                <w:sz w:val="23"/>
                <w:szCs w:val="23"/>
              </w:rPr>
              <w:t xml:space="preserve"> </w:t>
            </w:r>
            <w:proofErr w:type="spellStart"/>
            <w:r w:rsidR="00EE19FD"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JNI finansējums 3 352</w:t>
            </w:r>
            <w:r w:rsidR="00EE19FD">
              <w:rPr>
                <w:rFonts w:ascii="Times New Roman" w:hAnsi="Times New Roman" w:cs="Times New Roman"/>
                <w:color w:val="000000"/>
                <w:sz w:val="23"/>
                <w:szCs w:val="23"/>
              </w:rPr>
              <w:t> </w:t>
            </w:r>
            <w:r w:rsidRPr="00B679BE">
              <w:rPr>
                <w:rFonts w:ascii="Times New Roman" w:hAnsi="Times New Roman" w:cs="Times New Roman"/>
                <w:color w:val="000000"/>
                <w:sz w:val="23"/>
                <w:szCs w:val="23"/>
              </w:rPr>
              <w:t>526</w:t>
            </w:r>
            <w:r w:rsidR="00EE19FD">
              <w:rPr>
                <w:rFonts w:ascii="Times New Roman" w:hAnsi="Times New Roman" w:cs="Times New Roman"/>
                <w:color w:val="000000"/>
                <w:sz w:val="23"/>
                <w:szCs w:val="23"/>
              </w:rPr>
              <w:t xml:space="preserve"> </w:t>
            </w:r>
            <w:proofErr w:type="spellStart"/>
            <w:r w:rsidR="00EE19FD"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xml:space="preserve"> un valsts budžeta finansējums 343 875 </w:t>
            </w:r>
            <w:proofErr w:type="spellStart"/>
            <w:r w:rsidR="00EE19FD" w:rsidRPr="00B679BE">
              <w:rPr>
                <w:rFonts w:ascii="Times New Roman" w:hAnsi="Times New Roman" w:cs="Times New Roman"/>
                <w:i/>
                <w:iCs/>
                <w:color w:val="000000"/>
                <w:sz w:val="23"/>
                <w:szCs w:val="23"/>
              </w:rPr>
              <w:t>euro</w:t>
            </w:r>
            <w:proofErr w:type="spellEnd"/>
            <w:r w:rsidR="00EE19FD" w:rsidRPr="00B679BE">
              <w:rPr>
                <w:rFonts w:ascii="Times New Roman" w:hAnsi="Times New Roman" w:cs="Times New Roman"/>
                <w:color w:val="000000"/>
                <w:sz w:val="23"/>
                <w:szCs w:val="23"/>
              </w:rPr>
              <w:t xml:space="preserve"> </w:t>
            </w:r>
            <w:r w:rsidR="00EE19FD">
              <w:rPr>
                <w:rFonts w:ascii="Times New Roman" w:hAnsi="Times New Roman" w:cs="Times New Roman"/>
                <w:color w:val="000000"/>
                <w:sz w:val="23"/>
                <w:szCs w:val="23"/>
              </w:rPr>
              <w:t xml:space="preserve"> </w:t>
            </w:r>
            <w:r w:rsidRPr="00B679BE">
              <w:rPr>
                <w:rFonts w:ascii="Times New Roman" w:hAnsi="Times New Roman" w:cs="Times New Roman"/>
                <w:color w:val="000000"/>
                <w:sz w:val="23"/>
                <w:szCs w:val="23"/>
              </w:rPr>
              <w:t>un privātais līdzfinansējums 311</w:t>
            </w:r>
            <w:r w:rsidR="00EE19FD">
              <w:rPr>
                <w:rFonts w:ascii="Times New Roman" w:hAnsi="Times New Roman" w:cs="Times New Roman"/>
                <w:color w:val="000000"/>
                <w:sz w:val="23"/>
                <w:szCs w:val="23"/>
              </w:rPr>
              <w:t> </w:t>
            </w:r>
            <w:r w:rsidRPr="00B679BE">
              <w:rPr>
                <w:rFonts w:ascii="Times New Roman" w:hAnsi="Times New Roman" w:cs="Times New Roman"/>
                <w:color w:val="000000"/>
                <w:sz w:val="23"/>
                <w:szCs w:val="23"/>
              </w:rPr>
              <w:t>016</w:t>
            </w:r>
            <w:r w:rsidR="00EE19FD">
              <w:rPr>
                <w:rFonts w:ascii="Times New Roman" w:hAnsi="Times New Roman" w:cs="Times New Roman"/>
                <w:color w:val="000000"/>
                <w:sz w:val="23"/>
                <w:szCs w:val="23"/>
              </w:rPr>
              <w:t xml:space="preserve"> </w:t>
            </w:r>
            <w:proofErr w:type="spellStart"/>
            <w:r w:rsidR="00EE19FD"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Saskaņā ar likumprojektu “Par valsts budžetu 2015.gadam” projekta ieviešanai 2015.gadā paredzēts finansējums 6 209</w:t>
            </w:r>
            <w:r w:rsidR="00EE19FD">
              <w:rPr>
                <w:rFonts w:ascii="Times New Roman" w:hAnsi="Times New Roman" w:cs="Times New Roman"/>
                <w:color w:val="000000"/>
                <w:sz w:val="23"/>
                <w:szCs w:val="23"/>
              </w:rPr>
              <w:t> </w:t>
            </w:r>
            <w:r w:rsidRPr="00B679BE">
              <w:rPr>
                <w:rFonts w:ascii="Times New Roman" w:hAnsi="Times New Roman" w:cs="Times New Roman"/>
                <w:color w:val="000000"/>
                <w:sz w:val="23"/>
                <w:szCs w:val="23"/>
              </w:rPr>
              <w:t>386</w:t>
            </w:r>
            <w:r w:rsidR="00EE19FD">
              <w:rPr>
                <w:rFonts w:ascii="Times New Roman" w:hAnsi="Times New Roman" w:cs="Times New Roman"/>
                <w:color w:val="000000"/>
                <w:sz w:val="23"/>
                <w:szCs w:val="23"/>
              </w:rPr>
              <w:t xml:space="preserve"> </w:t>
            </w:r>
            <w:proofErr w:type="spellStart"/>
            <w:r w:rsidR="00EE19FD"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xml:space="preserve"> apmērā un tas ir par 1 297 607 </w:t>
            </w:r>
            <w:proofErr w:type="spellStart"/>
            <w:r w:rsidR="00EE19FD" w:rsidRPr="00B679BE">
              <w:rPr>
                <w:rFonts w:ascii="Times New Roman" w:hAnsi="Times New Roman" w:cs="Times New Roman"/>
                <w:i/>
                <w:iCs/>
                <w:color w:val="000000"/>
                <w:sz w:val="23"/>
                <w:szCs w:val="23"/>
              </w:rPr>
              <w:t>euro</w:t>
            </w:r>
            <w:proofErr w:type="spellEnd"/>
            <w:r w:rsidR="00EE19FD" w:rsidRPr="00B679BE">
              <w:rPr>
                <w:rFonts w:ascii="Times New Roman" w:hAnsi="Times New Roman" w:cs="Times New Roman"/>
                <w:color w:val="000000"/>
                <w:sz w:val="23"/>
                <w:szCs w:val="23"/>
              </w:rPr>
              <w:t xml:space="preserve"> </w:t>
            </w:r>
            <w:r w:rsidRPr="00B679BE">
              <w:rPr>
                <w:rFonts w:ascii="Times New Roman" w:hAnsi="Times New Roman" w:cs="Times New Roman"/>
                <w:color w:val="000000"/>
                <w:sz w:val="23"/>
                <w:szCs w:val="23"/>
              </w:rPr>
              <w:t xml:space="preserve">mazāk kā nepieciešams projekta ieviešanai 2015.gadā. Pēc projekta </w:t>
            </w:r>
            <w:r w:rsidR="00EB0654">
              <w:rPr>
                <w:rFonts w:ascii="Times New Roman" w:hAnsi="Times New Roman" w:cs="Times New Roman"/>
                <w:color w:val="000000"/>
                <w:sz w:val="23"/>
                <w:szCs w:val="23"/>
              </w:rPr>
              <w:t xml:space="preserve">iesnieguma </w:t>
            </w:r>
            <w:r w:rsidRPr="00B679BE">
              <w:rPr>
                <w:rFonts w:ascii="Times New Roman" w:hAnsi="Times New Roman" w:cs="Times New Roman"/>
                <w:color w:val="000000"/>
                <w:sz w:val="23"/>
                <w:szCs w:val="23"/>
              </w:rPr>
              <w:t>apstiprināšanas</w:t>
            </w:r>
            <w:r w:rsidR="00C564CA">
              <w:rPr>
                <w:rFonts w:ascii="Times New Roman" w:hAnsi="Times New Roman" w:cs="Times New Roman"/>
                <w:color w:val="000000"/>
                <w:sz w:val="23"/>
                <w:szCs w:val="23"/>
              </w:rPr>
              <w:t>, ja būs nepieciešams,</w:t>
            </w:r>
            <w:r w:rsidRPr="00B679BE">
              <w:rPr>
                <w:rFonts w:ascii="Times New Roman" w:hAnsi="Times New Roman" w:cs="Times New Roman"/>
                <w:color w:val="000000"/>
                <w:sz w:val="23"/>
                <w:szCs w:val="23"/>
              </w:rPr>
              <w:t xml:space="preserve"> L</w:t>
            </w:r>
            <w:r w:rsidR="00EE19FD">
              <w:rPr>
                <w:rFonts w:ascii="Times New Roman" w:hAnsi="Times New Roman" w:cs="Times New Roman"/>
                <w:color w:val="000000"/>
                <w:sz w:val="23"/>
                <w:szCs w:val="23"/>
              </w:rPr>
              <w:t xml:space="preserve">abklājības ministrija </w:t>
            </w:r>
            <w:r w:rsidRPr="00B679BE">
              <w:rPr>
                <w:rFonts w:ascii="Times New Roman" w:hAnsi="Times New Roman" w:cs="Times New Roman"/>
                <w:color w:val="000000"/>
                <w:sz w:val="23"/>
                <w:szCs w:val="23"/>
              </w:rPr>
              <w:t xml:space="preserve">normatīvajos aktos noteiktajā kārtībā sagatavos un iesniegs </w:t>
            </w:r>
            <w:r w:rsidR="00EE19FD">
              <w:rPr>
                <w:rFonts w:ascii="Times New Roman" w:hAnsi="Times New Roman" w:cs="Times New Roman"/>
                <w:color w:val="000000"/>
                <w:sz w:val="23"/>
                <w:szCs w:val="23"/>
              </w:rPr>
              <w:t>Finanšu ministrijai</w:t>
            </w:r>
            <w:r w:rsidRPr="00B679BE">
              <w:rPr>
                <w:rFonts w:ascii="Times New Roman" w:hAnsi="Times New Roman" w:cs="Times New Roman"/>
                <w:color w:val="000000"/>
                <w:sz w:val="23"/>
                <w:szCs w:val="23"/>
              </w:rPr>
              <w:t xml:space="preserve"> līdzekļu pieprasījumu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415C04F0" w14:textId="6148B32A" w:rsidR="0015288B" w:rsidRPr="00B679BE" w:rsidRDefault="0015288B" w:rsidP="00EE19FD">
            <w:pPr>
              <w:spacing w:after="0" w:line="240" w:lineRule="auto"/>
              <w:jc w:val="both"/>
              <w:rPr>
                <w:rFonts w:ascii="Times New Roman" w:hAnsi="Times New Roman" w:cs="Times New Roman"/>
                <w:color w:val="000000"/>
                <w:sz w:val="23"/>
                <w:szCs w:val="23"/>
              </w:rPr>
            </w:pPr>
            <w:r w:rsidRPr="00B679BE">
              <w:rPr>
                <w:rFonts w:ascii="Times New Roman" w:hAnsi="Times New Roman" w:cs="Times New Roman"/>
                <w:color w:val="000000"/>
                <w:sz w:val="23"/>
                <w:szCs w:val="23"/>
              </w:rPr>
              <w:t xml:space="preserve">2016.gadam kopējās izmaksas plānotas 9 260 928 </w:t>
            </w:r>
            <w:proofErr w:type="spellStart"/>
            <w:r w:rsidR="00EE19FD" w:rsidRPr="00B679BE">
              <w:rPr>
                <w:rFonts w:ascii="Times New Roman" w:hAnsi="Times New Roman" w:cs="Times New Roman"/>
                <w:i/>
                <w:iCs/>
                <w:color w:val="000000"/>
                <w:sz w:val="23"/>
                <w:szCs w:val="23"/>
              </w:rPr>
              <w:t>euro</w:t>
            </w:r>
            <w:proofErr w:type="spellEnd"/>
            <w:r w:rsidR="00EE19FD" w:rsidRPr="00B679BE">
              <w:rPr>
                <w:rFonts w:ascii="Times New Roman" w:hAnsi="Times New Roman" w:cs="Times New Roman"/>
                <w:color w:val="000000"/>
                <w:sz w:val="23"/>
                <w:szCs w:val="23"/>
              </w:rPr>
              <w:t xml:space="preserve"> </w:t>
            </w:r>
            <w:r w:rsidRPr="00B679BE">
              <w:rPr>
                <w:rFonts w:ascii="Times New Roman" w:hAnsi="Times New Roman" w:cs="Times New Roman"/>
                <w:color w:val="000000"/>
                <w:sz w:val="23"/>
                <w:szCs w:val="23"/>
              </w:rPr>
              <w:t>apmērā, no tā publiskais finansējums 8 973</w:t>
            </w:r>
            <w:r w:rsidR="00EE19FD">
              <w:rPr>
                <w:rFonts w:ascii="Times New Roman" w:hAnsi="Times New Roman" w:cs="Times New Roman"/>
                <w:color w:val="000000"/>
                <w:sz w:val="23"/>
                <w:szCs w:val="23"/>
              </w:rPr>
              <w:t> </w:t>
            </w:r>
            <w:r w:rsidRPr="00B679BE">
              <w:rPr>
                <w:rFonts w:ascii="Times New Roman" w:hAnsi="Times New Roman" w:cs="Times New Roman"/>
                <w:color w:val="000000"/>
                <w:sz w:val="23"/>
                <w:szCs w:val="23"/>
              </w:rPr>
              <w:t>040</w:t>
            </w:r>
            <w:r w:rsidR="00EE19FD">
              <w:rPr>
                <w:rFonts w:ascii="Times New Roman" w:hAnsi="Times New Roman" w:cs="Times New Roman"/>
                <w:color w:val="000000"/>
                <w:sz w:val="23"/>
                <w:szCs w:val="23"/>
              </w:rPr>
              <w:t xml:space="preserve"> </w:t>
            </w:r>
            <w:proofErr w:type="spellStart"/>
            <w:r w:rsidR="00EE19FD"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tai skaitā ESF finansējums 4 260</w:t>
            </w:r>
            <w:r w:rsidR="00EE19FD">
              <w:rPr>
                <w:rFonts w:ascii="Times New Roman" w:hAnsi="Times New Roman" w:cs="Times New Roman"/>
                <w:color w:val="000000"/>
                <w:sz w:val="23"/>
                <w:szCs w:val="23"/>
              </w:rPr>
              <w:t> </w:t>
            </w:r>
            <w:r w:rsidRPr="00B679BE">
              <w:rPr>
                <w:rFonts w:ascii="Times New Roman" w:hAnsi="Times New Roman" w:cs="Times New Roman"/>
                <w:color w:val="000000"/>
                <w:sz w:val="23"/>
                <w:szCs w:val="23"/>
              </w:rPr>
              <w:t>879</w:t>
            </w:r>
            <w:r w:rsidR="00EE19FD">
              <w:rPr>
                <w:rFonts w:ascii="Times New Roman" w:hAnsi="Times New Roman" w:cs="Times New Roman"/>
                <w:color w:val="000000"/>
                <w:sz w:val="23"/>
                <w:szCs w:val="23"/>
              </w:rPr>
              <w:t xml:space="preserve"> </w:t>
            </w:r>
            <w:proofErr w:type="spellStart"/>
            <w:r w:rsidR="00EE19FD"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JNI finansējums 4 248</w:t>
            </w:r>
            <w:r w:rsidR="00EE19FD">
              <w:rPr>
                <w:rFonts w:ascii="Times New Roman" w:hAnsi="Times New Roman" w:cs="Times New Roman"/>
                <w:color w:val="000000"/>
                <w:sz w:val="23"/>
                <w:szCs w:val="23"/>
              </w:rPr>
              <w:t> </w:t>
            </w:r>
            <w:r w:rsidRPr="00B679BE">
              <w:rPr>
                <w:rFonts w:ascii="Times New Roman" w:hAnsi="Times New Roman" w:cs="Times New Roman"/>
                <w:color w:val="000000"/>
                <w:sz w:val="23"/>
                <w:szCs w:val="23"/>
              </w:rPr>
              <w:t>129</w:t>
            </w:r>
            <w:r w:rsidR="00EE19FD">
              <w:rPr>
                <w:rFonts w:ascii="Times New Roman" w:hAnsi="Times New Roman" w:cs="Times New Roman"/>
                <w:color w:val="000000"/>
                <w:sz w:val="23"/>
                <w:szCs w:val="23"/>
              </w:rPr>
              <w:t xml:space="preserve"> </w:t>
            </w:r>
            <w:proofErr w:type="spellStart"/>
            <w:r w:rsidR="00EE19FD"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xml:space="preserve"> un valsts budžeta finansējums 464</w:t>
            </w:r>
            <w:r w:rsidR="00EE19FD">
              <w:rPr>
                <w:rFonts w:ascii="Times New Roman" w:hAnsi="Times New Roman" w:cs="Times New Roman"/>
                <w:color w:val="000000"/>
                <w:sz w:val="23"/>
                <w:szCs w:val="23"/>
              </w:rPr>
              <w:t> </w:t>
            </w:r>
            <w:r w:rsidRPr="00B679BE">
              <w:rPr>
                <w:rFonts w:ascii="Times New Roman" w:hAnsi="Times New Roman" w:cs="Times New Roman"/>
                <w:color w:val="000000"/>
                <w:sz w:val="23"/>
                <w:szCs w:val="23"/>
              </w:rPr>
              <w:t>032</w:t>
            </w:r>
            <w:r w:rsidR="00EE19FD">
              <w:rPr>
                <w:rFonts w:ascii="Times New Roman" w:hAnsi="Times New Roman" w:cs="Times New Roman"/>
                <w:color w:val="000000"/>
                <w:sz w:val="23"/>
                <w:szCs w:val="23"/>
              </w:rPr>
              <w:t xml:space="preserve"> </w:t>
            </w:r>
            <w:proofErr w:type="spellStart"/>
            <w:r w:rsidR="00EE19FD"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xml:space="preserve"> un privātais līdzfinansējums 287</w:t>
            </w:r>
            <w:r w:rsidR="00EE19FD">
              <w:rPr>
                <w:rFonts w:ascii="Times New Roman" w:hAnsi="Times New Roman" w:cs="Times New Roman"/>
                <w:color w:val="000000"/>
                <w:sz w:val="23"/>
                <w:szCs w:val="23"/>
              </w:rPr>
              <w:t> </w:t>
            </w:r>
            <w:r w:rsidRPr="00B679BE">
              <w:rPr>
                <w:rFonts w:ascii="Times New Roman" w:hAnsi="Times New Roman" w:cs="Times New Roman"/>
                <w:color w:val="000000"/>
                <w:sz w:val="23"/>
                <w:szCs w:val="23"/>
              </w:rPr>
              <w:t>888</w:t>
            </w:r>
            <w:r w:rsidR="00EE19FD">
              <w:rPr>
                <w:rFonts w:ascii="Times New Roman" w:hAnsi="Times New Roman" w:cs="Times New Roman"/>
                <w:color w:val="000000"/>
                <w:sz w:val="23"/>
                <w:szCs w:val="23"/>
              </w:rPr>
              <w:t xml:space="preserve"> </w:t>
            </w:r>
            <w:proofErr w:type="spellStart"/>
            <w:r w:rsidR="00EE19FD"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Likumā “Par vidēja termiņa budžeta ietvaru 2015., 2016. un 2017.gadam” 2016.gadam projekta ieviešanai paredzēts finansējums indikatīvi 6 614</w:t>
            </w:r>
            <w:r w:rsidR="00EE19FD">
              <w:rPr>
                <w:rFonts w:ascii="Times New Roman" w:hAnsi="Times New Roman" w:cs="Times New Roman"/>
                <w:color w:val="000000"/>
                <w:sz w:val="23"/>
                <w:szCs w:val="23"/>
              </w:rPr>
              <w:t> </w:t>
            </w:r>
            <w:r w:rsidRPr="00B679BE">
              <w:rPr>
                <w:rFonts w:ascii="Times New Roman" w:hAnsi="Times New Roman" w:cs="Times New Roman"/>
                <w:color w:val="000000"/>
                <w:sz w:val="23"/>
                <w:szCs w:val="23"/>
              </w:rPr>
              <w:t>101</w:t>
            </w:r>
            <w:r w:rsidR="00EE19FD">
              <w:rPr>
                <w:rFonts w:ascii="Times New Roman" w:hAnsi="Times New Roman" w:cs="Times New Roman"/>
                <w:color w:val="000000"/>
                <w:sz w:val="23"/>
                <w:szCs w:val="23"/>
              </w:rPr>
              <w:t xml:space="preserve"> </w:t>
            </w:r>
            <w:proofErr w:type="spellStart"/>
            <w:r w:rsidR="00EE19FD"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xml:space="preserve"> apmērā un tas ir par 2 646</w:t>
            </w:r>
            <w:r w:rsidR="00EE19FD">
              <w:rPr>
                <w:rFonts w:ascii="Times New Roman" w:hAnsi="Times New Roman" w:cs="Times New Roman"/>
                <w:color w:val="000000"/>
                <w:sz w:val="23"/>
                <w:szCs w:val="23"/>
              </w:rPr>
              <w:t> </w:t>
            </w:r>
            <w:r w:rsidRPr="00B679BE">
              <w:rPr>
                <w:rFonts w:ascii="Times New Roman" w:hAnsi="Times New Roman" w:cs="Times New Roman"/>
                <w:color w:val="000000"/>
                <w:sz w:val="23"/>
                <w:szCs w:val="23"/>
              </w:rPr>
              <w:t>827</w:t>
            </w:r>
            <w:r w:rsidR="00EE19FD">
              <w:rPr>
                <w:rFonts w:ascii="Times New Roman" w:hAnsi="Times New Roman" w:cs="Times New Roman"/>
                <w:color w:val="000000"/>
                <w:sz w:val="23"/>
                <w:szCs w:val="23"/>
              </w:rPr>
              <w:t xml:space="preserve"> </w:t>
            </w:r>
            <w:proofErr w:type="spellStart"/>
            <w:r w:rsidR="00EE19FD"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xml:space="preserve"> mazāk kā nepieciešams projekta ieviešanai 2016.gadā. Trūkstošais finansējums tiks iekļauts 2016.gada bāzē pēc projekta apstiprināšanas.</w:t>
            </w:r>
          </w:p>
          <w:p w14:paraId="02364F12" w14:textId="63E90F1C" w:rsidR="0015288B" w:rsidRPr="00B679BE" w:rsidRDefault="0015288B" w:rsidP="00EE19FD">
            <w:pPr>
              <w:spacing w:after="0" w:line="240" w:lineRule="auto"/>
              <w:jc w:val="both"/>
              <w:rPr>
                <w:rFonts w:ascii="Times New Roman" w:hAnsi="Times New Roman" w:cs="Times New Roman"/>
                <w:color w:val="000000"/>
                <w:sz w:val="23"/>
                <w:szCs w:val="23"/>
              </w:rPr>
            </w:pPr>
            <w:r w:rsidRPr="00B679BE">
              <w:rPr>
                <w:rFonts w:ascii="Times New Roman" w:hAnsi="Times New Roman" w:cs="Times New Roman"/>
                <w:color w:val="000000"/>
                <w:sz w:val="23"/>
                <w:szCs w:val="23"/>
              </w:rPr>
              <w:t>2017. gadam kopējās izmaksas plānotas 9 260</w:t>
            </w:r>
            <w:r w:rsidR="00EE19FD">
              <w:rPr>
                <w:rFonts w:ascii="Times New Roman" w:hAnsi="Times New Roman" w:cs="Times New Roman"/>
                <w:color w:val="000000"/>
                <w:sz w:val="23"/>
                <w:szCs w:val="23"/>
              </w:rPr>
              <w:t> </w:t>
            </w:r>
            <w:r w:rsidRPr="00B679BE">
              <w:rPr>
                <w:rFonts w:ascii="Times New Roman" w:hAnsi="Times New Roman" w:cs="Times New Roman"/>
                <w:color w:val="000000"/>
                <w:sz w:val="23"/>
                <w:szCs w:val="23"/>
              </w:rPr>
              <w:t>928</w:t>
            </w:r>
            <w:r w:rsidR="00EE19FD">
              <w:rPr>
                <w:rFonts w:ascii="Times New Roman" w:hAnsi="Times New Roman" w:cs="Times New Roman"/>
                <w:color w:val="000000"/>
                <w:sz w:val="23"/>
                <w:szCs w:val="23"/>
              </w:rPr>
              <w:t xml:space="preserve"> </w:t>
            </w:r>
            <w:proofErr w:type="spellStart"/>
            <w:r w:rsidR="00EE19FD"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xml:space="preserve"> apmērā, no tā publiskais finansējums 8 973</w:t>
            </w:r>
            <w:r w:rsidR="00EE19FD">
              <w:rPr>
                <w:rFonts w:ascii="Times New Roman" w:hAnsi="Times New Roman" w:cs="Times New Roman"/>
                <w:color w:val="000000"/>
                <w:sz w:val="23"/>
                <w:szCs w:val="23"/>
              </w:rPr>
              <w:t> </w:t>
            </w:r>
            <w:r w:rsidRPr="00B679BE">
              <w:rPr>
                <w:rFonts w:ascii="Times New Roman" w:hAnsi="Times New Roman" w:cs="Times New Roman"/>
                <w:color w:val="000000"/>
                <w:sz w:val="23"/>
                <w:szCs w:val="23"/>
              </w:rPr>
              <w:t>040</w:t>
            </w:r>
            <w:r w:rsidR="00EE19FD">
              <w:rPr>
                <w:rFonts w:ascii="Times New Roman" w:hAnsi="Times New Roman" w:cs="Times New Roman"/>
                <w:color w:val="000000"/>
                <w:sz w:val="23"/>
                <w:szCs w:val="23"/>
              </w:rPr>
              <w:t xml:space="preserve"> </w:t>
            </w:r>
            <w:proofErr w:type="spellStart"/>
            <w:r w:rsidR="00EE19FD"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tai skaitā ESF finansējums 4 260</w:t>
            </w:r>
            <w:r w:rsidR="00EE19FD">
              <w:rPr>
                <w:rFonts w:ascii="Times New Roman" w:hAnsi="Times New Roman" w:cs="Times New Roman"/>
                <w:color w:val="000000"/>
                <w:sz w:val="23"/>
                <w:szCs w:val="23"/>
              </w:rPr>
              <w:t> </w:t>
            </w:r>
            <w:r w:rsidRPr="00B679BE">
              <w:rPr>
                <w:rFonts w:ascii="Times New Roman" w:hAnsi="Times New Roman" w:cs="Times New Roman"/>
                <w:color w:val="000000"/>
                <w:sz w:val="23"/>
                <w:szCs w:val="23"/>
              </w:rPr>
              <w:t>879</w:t>
            </w:r>
            <w:r w:rsidR="00EE19FD">
              <w:rPr>
                <w:rFonts w:ascii="Times New Roman" w:hAnsi="Times New Roman" w:cs="Times New Roman"/>
                <w:color w:val="000000"/>
                <w:sz w:val="23"/>
                <w:szCs w:val="23"/>
              </w:rPr>
              <w:t xml:space="preserve"> </w:t>
            </w:r>
            <w:proofErr w:type="spellStart"/>
            <w:r w:rsidR="00EE19FD"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JNI finansējums 4 248</w:t>
            </w:r>
            <w:r w:rsidR="00EE19FD">
              <w:rPr>
                <w:rFonts w:ascii="Times New Roman" w:hAnsi="Times New Roman" w:cs="Times New Roman"/>
                <w:color w:val="000000"/>
                <w:sz w:val="23"/>
                <w:szCs w:val="23"/>
              </w:rPr>
              <w:t> </w:t>
            </w:r>
            <w:r w:rsidRPr="00B679BE">
              <w:rPr>
                <w:rFonts w:ascii="Times New Roman" w:hAnsi="Times New Roman" w:cs="Times New Roman"/>
                <w:color w:val="000000"/>
                <w:sz w:val="23"/>
                <w:szCs w:val="23"/>
              </w:rPr>
              <w:t>129</w:t>
            </w:r>
            <w:r w:rsidR="00EE19FD">
              <w:rPr>
                <w:rFonts w:ascii="Times New Roman" w:hAnsi="Times New Roman" w:cs="Times New Roman"/>
                <w:color w:val="000000"/>
                <w:sz w:val="23"/>
                <w:szCs w:val="23"/>
              </w:rPr>
              <w:t xml:space="preserve"> </w:t>
            </w:r>
            <w:proofErr w:type="spellStart"/>
            <w:r w:rsidR="00EE19FD"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xml:space="preserve"> un valsts budžeta finansējums 464</w:t>
            </w:r>
            <w:r w:rsidR="00EE19FD">
              <w:rPr>
                <w:rFonts w:ascii="Times New Roman" w:hAnsi="Times New Roman" w:cs="Times New Roman"/>
                <w:color w:val="000000"/>
                <w:sz w:val="23"/>
                <w:szCs w:val="23"/>
              </w:rPr>
              <w:t> </w:t>
            </w:r>
            <w:r w:rsidRPr="00B679BE">
              <w:rPr>
                <w:rFonts w:ascii="Times New Roman" w:hAnsi="Times New Roman" w:cs="Times New Roman"/>
                <w:color w:val="000000"/>
                <w:sz w:val="23"/>
                <w:szCs w:val="23"/>
              </w:rPr>
              <w:t>032</w:t>
            </w:r>
            <w:r w:rsidR="00EE19FD">
              <w:rPr>
                <w:rFonts w:ascii="Times New Roman" w:hAnsi="Times New Roman" w:cs="Times New Roman"/>
                <w:color w:val="000000"/>
                <w:sz w:val="23"/>
                <w:szCs w:val="23"/>
              </w:rPr>
              <w:t xml:space="preserve"> </w:t>
            </w:r>
            <w:proofErr w:type="spellStart"/>
            <w:r w:rsidR="00EE19FD"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xml:space="preserve"> un privātais līdzfinansējums 287</w:t>
            </w:r>
            <w:r w:rsidR="00EE19FD">
              <w:rPr>
                <w:rFonts w:ascii="Times New Roman" w:hAnsi="Times New Roman" w:cs="Times New Roman"/>
                <w:color w:val="000000"/>
                <w:sz w:val="23"/>
                <w:szCs w:val="23"/>
              </w:rPr>
              <w:t> </w:t>
            </w:r>
            <w:r w:rsidRPr="00B679BE">
              <w:rPr>
                <w:rFonts w:ascii="Times New Roman" w:hAnsi="Times New Roman" w:cs="Times New Roman"/>
                <w:color w:val="000000"/>
                <w:sz w:val="23"/>
                <w:szCs w:val="23"/>
              </w:rPr>
              <w:t>888</w:t>
            </w:r>
            <w:r w:rsidR="00EE19FD">
              <w:rPr>
                <w:rFonts w:ascii="Times New Roman" w:hAnsi="Times New Roman" w:cs="Times New Roman"/>
                <w:color w:val="000000"/>
                <w:sz w:val="23"/>
                <w:szCs w:val="23"/>
              </w:rPr>
              <w:t xml:space="preserve"> </w:t>
            </w:r>
            <w:proofErr w:type="spellStart"/>
            <w:r w:rsidR="00EE19FD"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xml:space="preserve">. </w:t>
            </w:r>
            <w:bookmarkStart w:id="2" w:name="OLE_LINK1"/>
            <w:bookmarkStart w:id="3" w:name="OLE_LINK2"/>
            <w:r w:rsidRPr="00B679BE">
              <w:rPr>
                <w:rFonts w:ascii="Times New Roman" w:hAnsi="Times New Roman" w:cs="Times New Roman"/>
                <w:color w:val="000000"/>
                <w:sz w:val="23"/>
                <w:szCs w:val="23"/>
              </w:rPr>
              <w:t xml:space="preserve">Likumā “Par vidēja termiņa budžeta ietvaru 2015., 2016. un 2017.gadam” </w:t>
            </w:r>
            <w:bookmarkEnd w:id="2"/>
            <w:bookmarkEnd w:id="3"/>
            <w:r w:rsidRPr="00B679BE">
              <w:rPr>
                <w:rFonts w:ascii="Times New Roman" w:hAnsi="Times New Roman" w:cs="Times New Roman"/>
                <w:color w:val="000000"/>
                <w:sz w:val="23"/>
                <w:szCs w:val="23"/>
              </w:rPr>
              <w:t>2017.gadam projekta ieviešanai paredzēts finansējums indikatīvi 6 614</w:t>
            </w:r>
            <w:r w:rsidR="00EE19FD">
              <w:rPr>
                <w:rFonts w:ascii="Times New Roman" w:hAnsi="Times New Roman" w:cs="Times New Roman"/>
                <w:color w:val="000000"/>
                <w:sz w:val="23"/>
                <w:szCs w:val="23"/>
              </w:rPr>
              <w:t> </w:t>
            </w:r>
            <w:r w:rsidRPr="00B679BE">
              <w:rPr>
                <w:rFonts w:ascii="Times New Roman" w:hAnsi="Times New Roman" w:cs="Times New Roman"/>
                <w:color w:val="000000"/>
                <w:sz w:val="23"/>
                <w:szCs w:val="23"/>
              </w:rPr>
              <w:t>101</w:t>
            </w:r>
            <w:r w:rsidR="00EE19FD">
              <w:rPr>
                <w:rFonts w:ascii="Times New Roman" w:hAnsi="Times New Roman" w:cs="Times New Roman"/>
                <w:color w:val="000000"/>
                <w:sz w:val="23"/>
                <w:szCs w:val="23"/>
              </w:rPr>
              <w:t xml:space="preserve"> </w:t>
            </w:r>
            <w:proofErr w:type="spellStart"/>
            <w:r w:rsidR="00EE19FD"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xml:space="preserve"> apmērā un tas ir indikatīvi par 2 646</w:t>
            </w:r>
            <w:r w:rsidR="00EE19FD">
              <w:rPr>
                <w:rFonts w:ascii="Times New Roman" w:hAnsi="Times New Roman" w:cs="Times New Roman"/>
                <w:color w:val="000000"/>
                <w:sz w:val="23"/>
                <w:szCs w:val="23"/>
              </w:rPr>
              <w:t> </w:t>
            </w:r>
            <w:r w:rsidRPr="00B679BE">
              <w:rPr>
                <w:rFonts w:ascii="Times New Roman" w:hAnsi="Times New Roman" w:cs="Times New Roman"/>
                <w:color w:val="000000"/>
                <w:sz w:val="23"/>
                <w:szCs w:val="23"/>
              </w:rPr>
              <w:t>827</w:t>
            </w:r>
            <w:r w:rsidR="00EE19FD">
              <w:rPr>
                <w:rFonts w:ascii="Times New Roman" w:hAnsi="Times New Roman" w:cs="Times New Roman"/>
                <w:color w:val="000000"/>
                <w:sz w:val="23"/>
                <w:szCs w:val="23"/>
              </w:rPr>
              <w:t xml:space="preserve"> </w:t>
            </w:r>
            <w:proofErr w:type="spellStart"/>
            <w:r w:rsidR="00EE19FD"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xml:space="preserve"> mazāk kā nepieciešams projekta ieviešanai 2017. gadā. Trūkstošais finansējums tiks iekļauts 2017.gada bāzē pēc projekta apstiprināšanas.</w:t>
            </w:r>
          </w:p>
          <w:p w14:paraId="78841DE2" w14:textId="73735152" w:rsidR="0015288B" w:rsidRPr="00B679BE" w:rsidRDefault="0015288B" w:rsidP="00EE19FD">
            <w:pPr>
              <w:spacing w:after="0" w:line="240" w:lineRule="auto"/>
              <w:jc w:val="both"/>
              <w:rPr>
                <w:rFonts w:ascii="Times New Roman" w:hAnsi="Times New Roman" w:cs="Times New Roman"/>
                <w:color w:val="000000"/>
                <w:sz w:val="23"/>
                <w:szCs w:val="23"/>
              </w:rPr>
            </w:pPr>
            <w:r w:rsidRPr="00B679BE">
              <w:rPr>
                <w:rFonts w:ascii="Times New Roman" w:hAnsi="Times New Roman" w:cs="Times New Roman"/>
                <w:color w:val="000000"/>
                <w:sz w:val="23"/>
                <w:szCs w:val="23"/>
              </w:rPr>
              <w:t xml:space="preserve">2018.gadam kopējās izmaksas plānotas 4 787 839 </w:t>
            </w:r>
            <w:proofErr w:type="spellStart"/>
            <w:r w:rsidR="00EE19FD" w:rsidRPr="00B679BE">
              <w:rPr>
                <w:rFonts w:ascii="Times New Roman" w:hAnsi="Times New Roman" w:cs="Times New Roman"/>
                <w:i/>
                <w:iCs/>
                <w:color w:val="000000"/>
                <w:sz w:val="23"/>
                <w:szCs w:val="23"/>
              </w:rPr>
              <w:t>euro</w:t>
            </w:r>
            <w:proofErr w:type="spellEnd"/>
            <w:r w:rsidR="00EE19FD" w:rsidRPr="00B679BE">
              <w:rPr>
                <w:rFonts w:ascii="Times New Roman" w:hAnsi="Times New Roman" w:cs="Times New Roman"/>
                <w:color w:val="000000"/>
                <w:sz w:val="23"/>
                <w:szCs w:val="23"/>
              </w:rPr>
              <w:t xml:space="preserve"> </w:t>
            </w:r>
            <w:r w:rsidRPr="00B679BE">
              <w:rPr>
                <w:rFonts w:ascii="Times New Roman" w:hAnsi="Times New Roman" w:cs="Times New Roman"/>
                <w:color w:val="000000"/>
                <w:sz w:val="23"/>
                <w:szCs w:val="23"/>
              </w:rPr>
              <w:t>apmērā, no tā publiskais finansējums 4 612</w:t>
            </w:r>
            <w:r w:rsidR="00EE19FD">
              <w:rPr>
                <w:rFonts w:ascii="Times New Roman" w:hAnsi="Times New Roman" w:cs="Times New Roman"/>
                <w:color w:val="000000"/>
                <w:sz w:val="23"/>
                <w:szCs w:val="23"/>
              </w:rPr>
              <w:t> </w:t>
            </w:r>
            <w:r w:rsidRPr="00B679BE">
              <w:rPr>
                <w:rFonts w:ascii="Times New Roman" w:hAnsi="Times New Roman" w:cs="Times New Roman"/>
                <w:color w:val="000000"/>
                <w:sz w:val="23"/>
                <w:szCs w:val="23"/>
              </w:rPr>
              <w:t>330</w:t>
            </w:r>
            <w:r w:rsidR="00EE19FD">
              <w:rPr>
                <w:rFonts w:ascii="Times New Roman" w:hAnsi="Times New Roman" w:cs="Times New Roman"/>
                <w:color w:val="000000"/>
                <w:sz w:val="23"/>
                <w:szCs w:val="23"/>
              </w:rPr>
              <w:t xml:space="preserve"> </w:t>
            </w:r>
            <w:proofErr w:type="spellStart"/>
            <w:r w:rsidR="00EE19FD"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tai skaitā ESF finansējums 2 201</w:t>
            </w:r>
            <w:r w:rsidR="00EE19FD">
              <w:rPr>
                <w:rFonts w:ascii="Times New Roman" w:hAnsi="Times New Roman" w:cs="Times New Roman"/>
                <w:color w:val="000000"/>
                <w:sz w:val="23"/>
                <w:szCs w:val="23"/>
              </w:rPr>
              <w:t> </w:t>
            </w:r>
            <w:r w:rsidRPr="00B679BE">
              <w:rPr>
                <w:rFonts w:ascii="Times New Roman" w:hAnsi="Times New Roman" w:cs="Times New Roman"/>
                <w:color w:val="000000"/>
                <w:sz w:val="23"/>
                <w:szCs w:val="23"/>
              </w:rPr>
              <w:t>771</w:t>
            </w:r>
            <w:r w:rsidR="00EE19FD">
              <w:rPr>
                <w:rFonts w:ascii="Times New Roman" w:hAnsi="Times New Roman" w:cs="Times New Roman"/>
                <w:color w:val="000000"/>
                <w:sz w:val="23"/>
                <w:szCs w:val="23"/>
              </w:rPr>
              <w:t xml:space="preserve"> </w:t>
            </w:r>
            <w:proofErr w:type="spellStart"/>
            <w:r w:rsidR="00EE19FD"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JNI finansējums 2 197</w:t>
            </w:r>
            <w:r w:rsidR="00EE19FD">
              <w:rPr>
                <w:rFonts w:ascii="Times New Roman" w:hAnsi="Times New Roman" w:cs="Times New Roman"/>
                <w:color w:val="000000"/>
                <w:sz w:val="23"/>
                <w:szCs w:val="23"/>
              </w:rPr>
              <w:t> </w:t>
            </w:r>
            <w:r w:rsidRPr="00B679BE">
              <w:rPr>
                <w:rFonts w:ascii="Times New Roman" w:hAnsi="Times New Roman" w:cs="Times New Roman"/>
                <w:color w:val="000000"/>
                <w:sz w:val="23"/>
                <w:szCs w:val="23"/>
              </w:rPr>
              <w:t>521</w:t>
            </w:r>
            <w:r w:rsidR="00EE19FD">
              <w:rPr>
                <w:rFonts w:ascii="Times New Roman" w:hAnsi="Times New Roman" w:cs="Times New Roman"/>
                <w:color w:val="000000"/>
                <w:sz w:val="23"/>
                <w:szCs w:val="23"/>
              </w:rPr>
              <w:t xml:space="preserve"> </w:t>
            </w:r>
            <w:proofErr w:type="spellStart"/>
            <w:r w:rsidR="00EE19FD"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xml:space="preserve"> un valsts budžeta finansējums 213</w:t>
            </w:r>
            <w:r w:rsidR="00EE19FD">
              <w:rPr>
                <w:rFonts w:ascii="Times New Roman" w:hAnsi="Times New Roman" w:cs="Times New Roman"/>
                <w:color w:val="000000"/>
                <w:sz w:val="23"/>
                <w:szCs w:val="23"/>
              </w:rPr>
              <w:t> </w:t>
            </w:r>
            <w:r w:rsidRPr="00B679BE">
              <w:rPr>
                <w:rFonts w:ascii="Times New Roman" w:hAnsi="Times New Roman" w:cs="Times New Roman"/>
                <w:color w:val="000000"/>
                <w:sz w:val="23"/>
                <w:szCs w:val="23"/>
              </w:rPr>
              <w:t>038</w:t>
            </w:r>
            <w:r w:rsidR="00EE19FD">
              <w:rPr>
                <w:rFonts w:ascii="Times New Roman" w:hAnsi="Times New Roman" w:cs="Times New Roman"/>
                <w:color w:val="000000"/>
                <w:sz w:val="23"/>
                <w:szCs w:val="23"/>
              </w:rPr>
              <w:t xml:space="preserve"> </w:t>
            </w:r>
            <w:proofErr w:type="spellStart"/>
            <w:r w:rsidR="00EE19FD"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xml:space="preserve"> un privātais līdzfinansējums 175</w:t>
            </w:r>
            <w:r w:rsidR="00EE19FD">
              <w:rPr>
                <w:rFonts w:ascii="Times New Roman" w:hAnsi="Times New Roman" w:cs="Times New Roman"/>
                <w:color w:val="000000"/>
                <w:sz w:val="23"/>
                <w:szCs w:val="23"/>
              </w:rPr>
              <w:t> </w:t>
            </w:r>
            <w:r w:rsidRPr="00B679BE">
              <w:rPr>
                <w:rFonts w:ascii="Times New Roman" w:hAnsi="Times New Roman" w:cs="Times New Roman"/>
                <w:color w:val="000000"/>
                <w:sz w:val="23"/>
                <w:szCs w:val="23"/>
              </w:rPr>
              <w:t>509</w:t>
            </w:r>
            <w:r w:rsidR="00EE19FD">
              <w:rPr>
                <w:rFonts w:ascii="Times New Roman" w:hAnsi="Times New Roman" w:cs="Times New Roman"/>
                <w:color w:val="000000"/>
                <w:sz w:val="23"/>
                <w:szCs w:val="23"/>
              </w:rPr>
              <w:t xml:space="preserve"> </w:t>
            </w:r>
            <w:proofErr w:type="spellStart"/>
            <w:r w:rsidR="00EE19FD"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xml:space="preserve">. 2018.gadam projekta ieviešanai paredzēts finansējums indikatīvi 4 035 944 </w:t>
            </w:r>
            <w:proofErr w:type="spellStart"/>
            <w:r w:rsidR="00EE19FD" w:rsidRPr="00B679BE">
              <w:rPr>
                <w:rFonts w:ascii="Times New Roman" w:hAnsi="Times New Roman" w:cs="Times New Roman"/>
                <w:i/>
                <w:iCs/>
                <w:color w:val="000000"/>
                <w:sz w:val="23"/>
                <w:szCs w:val="23"/>
              </w:rPr>
              <w:t>euro</w:t>
            </w:r>
            <w:proofErr w:type="spellEnd"/>
            <w:r w:rsidR="00EE19FD" w:rsidRPr="00B679BE">
              <w:rPr>
                <w:rFonts w:ascii="Times New Roman" w:hAnsi="Times New Roman" w:cs="Times New Roman"/>
                <w:color w:val="000000"/>
                <w:sz w:val="23"/>
                <w:szCs w:val="23"/>
              </w:rPr>
              <w:t xml:space="preserve"> </w:t>
            </w:r>
            <w:r w:rsidRPr="00B679BE">
              <w:rPr>
                <w:rFonts w:ascii="Times New Roman" w:hAnsi="Times New Roman" w:cs="Times New Roman"/>
                <w:color w:val="000000"/>
                <w:sz w:val="23"/>
                <w:szCs w:val="23"/>
              </w:rPr>
              <w:t xml:space="preserve">apmērā un tas ir indikatīvi par 751 895 </w:t>
            </w:r>
            <w:proofErr w:type="spellStart"/>
            <w:r w:rsidR="00EE19FD" w:rsidRPr="00B679BE">
              <w:rPr>
                <w:rFonts w:ascii="Times New Roman" w:hAnsi="Times New Roman" w:cs="Times New Roman"/>
                <w:i/>
                <w:iCs/>
                <w:color w:val="000000"/>
                <w:sz w:val="23"/>
                <w:szCs w:val="23"/>
              </w:rPr>
              <w:t>euro</w:t>
            </w:r>
            <w:proofErr w:type="spellEnd"/>
            <w:r w:rsidR="00EE19FD" w:rsidRPr="00B679BE">
              <w:rPr>
                <w:rFonts w:ascii="Times New Roman" w:hAnsi="Times New Roman" w:cs="Times New Roman"/>
                <w:color w:val="000000"/>
                <w:sz w:val="23"/>
                <w:szCs w:val="23"/>
              </w:rPr>
              <w:t xml:space="preserve"> </w:t>
            </w:r>
            <w:r w:rsidRPr="00B679BE">
              <w:rPr>
                <w:rFonts w:ascii="Times New Roman" w:hAnsi="Times New Roman" w:cs="Times New Roman"/>
                <w:color w:val="000000"/>
                <w:sz w:val="23"/>
                <w:szCs w:val="23"/>
              </w:rPr>
              <w:t>mazāk kā nepieciešams projekta ieviešanai 2018.gadā. Trūkstošais finansējums tiks iekļauts 2018.gada bāzē pēc projekta apstiprināšanas.</w:t>
            </w:r>
          </w:p>
          <w:p w14:paraId="7F7B57B8" w14:textId="77777777" w:rsidR="0015288B" w:rsidRPr="00B679BE" w:rsidRDefault="0015288B" w:rsidP="0015288B">
            <w:pPr>
              <w:spacing w:after="0" w:line="240" w:lineRule="auto"/>
              <w:rPr>
                <w:rFonts w:ascii="Times New Roman" w:hAnsi="Times New Roman" w:cs="Times New Roman"/>
                <w:color w:val="000000"/>
                <w:sz w:val="23"/>
                <w:szCs w:val="23"/>
              </w:rPr>
            </w:pPr>
          </w:p>
          <w:p w14:paraId="39E11EE9" w14:textId="69CE2EBF" w:rsidR="0015288B" w:rsidRPr="00B679BE" w:rsidRDefault="0015288B" w:rsidP="0015288B">
            <w:pPr>
              <w:spacing w:after="0" w:line="240" w:lineRule="auto"/>
              <w:rPr>
                <w:rFonts w:ascii="Times New Roman" w:hAnsi="Times New Roman" w:cs="Times New Roman"/>
                <w:color w:val="000000"/>
                <w:sz w:val="23"/>
                <w:szCs w:val="23"/>
                <w:u w:val="single"/>
              </w:rPr>
            </w:pPr>
            <w:r w:rsidRPr="00B679BE">
              <w:rPr>
                <w:rFonts w:ascii="Times New Roman" w:hAnsi="Times New Roman" w:cs="Times New Roman"/>
                <w:color w:val="000000"/>
                <w:sz w:val="23"/>
                <w:szCs w:val="23"/>
                <w:u w:val="single"/>
              </w:rPr>
              <w:t>2.pasākumam (</w:t>
            </w:r>
            <w:r w:rsidR="00EE19FD">
              <w:rPr>
                <w:rFonts w:ascii="Times New Roman" w:hAnsi="Times New Roman" w:cs="Times New Roman"/>
                <w:color w:val="000000"/>
                <w:sz w:val="23"/>
                <w:szCs w:val="23"/>
                <w:u w:val="single"/>
              </w:rPr>
              <w:t>Valsts izglītības un attīstības aģentūra</w:t>
            </w:r>
            <w:r w:rsidRPr="00B679BE">
              <w:rPr>
                <w:rFonts w:ascii="Times New Roman" w:hAnsi="Times New Roman" w:cs="Times New Roman"/>
                <w:color w:val="000000"/>
                <w:sz w:val="23"/>
                <w:szCs w:val="23"/>
                <w:u w:val="single"/>
              </w:rPr>
              <w:t>)</w:t>
            </w:r>
          </w:p>
          <w:p w14:paraId="0C6BAE3C" w14:textId="527B1EF5" w:rsidR="0015288B" w:rsidRPr="00EE19FD" w:rsidRDefault="00EE19FD" w:rsidP="00EE19FD">
            <w:pPr>
              <w:spacing w:after="0" w:line="240" w:lineRule="auto"/>
              <w:jc w:val="both"/>
              <w:rPr>
                <w:rFonts w:ascii="Times New Roman" w:hAnsi="Times New Roman" w:cs="Times New Roman"/>
                <w:i/>
                <w:color w:val="000000"/>
                <w:sz w:val="23"/>
                <w:szCs w:val="23"/>
              </w:rPr>
            </w:pPr>
            <w:r w:rsidRPr="00EE19FD">
              <w:rPr>
                <w:rFonts w:ascii="Times New Roman" w:hAnsi="Times New Roman" w:cs="Times New Roman"/>
                <w:bCs/>
                <w:color w:val="000000"/>
                <w:sz w:val="23"/>
                <w:szCs w:val="23"/>
              </w:rPr>
              <w:lastRenderedPageBreak/>
              <w:t>Pasākumam “Sākotnējās profesionālās izglītības programmu īstenošana Jauniešu garantijas ietvaros” pieejamais kopējais attiecināmais finansējums ir 32 680 537 </w:t>
            </w:r>
            <w:proofErr w:type="spellStart"/>
            <w:r w:rsidRPr="00EE19FD">
              <w:rPr>
                <w:rFonts w:ascii="Times New Roman" w:hAnsi="Times New Roman" w:cs="Times New Roman"/>
                <w:bCs/>
                <w:i/>
                <w:iCs/>
                <w:color w:val="000000"/>
                <w:sz w:val="23"/>
                <w:szCs w:val="23"/>
              </w:rPr>
              <w:t>euro</w:t>
            </w:r>
            <w:proofErr w:type="spellEnd"/>
            <w:r w:rsidRPr="00EE19FD">
              <w:rPr>
                <w:rFonts w:ascii="Times New Roman" w:hAnsi="Times New Roman" w:cs="Times New Roman"/>
                <w:bCs/>
                <w:color w:val="000000"/>
                <w:sz w:val="23"/>
                <w:szCs w:val="23"/>
              </w:rPr>
              <w:t>, tai skaitā JNI finansēšanai – 13 495 078 </w:t>
            </w:r>
            <w:proofErr w:type="spellStart"/>
            <w:r w:rsidRPr="00EE19FD">
              <w:rPr>
                <w:rFonts w:ascii="Times New Roman" w:hAnsi="Times New Roman" w:cs="Times New Roman"/>
                <w:bCs/>
                <w:i/>
                <w:iCs/>
                <w:color w:val="000000"/>
                <w:sz w:val="23"/>
                <w:szCs w:val="23"/>
              </w:rPr>
              <w:t>euro</w:t>
            </w:r>
            <w:proofErr w:type="spellEnd"/>
            <w:r w:rsidRPr="00EE19FD">
              <w:rPr>
                <w:rFonts w:ascii="Times New Roman" w:hAnsi="Times New Roman" w:cs="Times New Roman"/>
                <w:bCs/>
                <w:color w:val="000000"/>
                <w:sz w:val="23"/>
                <w:szCs w:val="23"/>
              </w:rPr>
              <w:t>, ESF finansējums – 16 307 6</w:t>
            </w:r>
            <w:r w:rsidR="001860EE">
              <w:rPr>
                <w:rFonts w:ascii="Times New Roman" w:hAnsi="Times New Roman" w:cs="Times New Roman"/>
                <w:bCs/>
                <w:color w:val="000000"/>
                <w:sz w:val="23"/>
                <w:szCs w:val="23"/>
              </w:rPr>
              <w:t>39</w:t>
            </w:r>
            <w:r w:rsidRPr="00EE19FD">
              <w:rPr>
                <w:rFonts w:ascii="Times New Roman" w:hAnsi="Times New Roman" w:cs="Times New Roman"/>
                <w:bCs/>
                <w:color w:val="000000"/>
                <w:sz w:val="23"/>
                <w:szCs w:val="23"/>
              </w:rPr>
              <w:t> </w:t>
            </w:r>
            <w:proofErr w:type="spellStart"/>
            <w:r w:rsidRPr="00EE19FD">
              <w:rPr>
                <w:rFonts w:ascii="Times New Roman" w:hAnsi="Times New Roman" w:cs="Times New Roman"/>
                <w:bCs/>
                <w:i/>
                <w:iCs/>
                <w:color w:val="000000"/>
                <w:sz w:val="23"/>
                <w:szCs w:val="23"/>
              </w:rPr>
              <w:t>euro</w:t>
            </w:r>
            <w:proofErr w:type="spellEnd"/>
            <w:r w:rsidRPr="00EE19FD">
              <w:rPr>
                <w:rFonts w:ascii="Times New Roman" w:hAnsi="Times New Roman" w:cs="Times New Roman"/>
                <w:bCs/>
                <w:color w:val="000000"/>
                <w:sz w:val="23"/>
                <w:szCs w:val="23"/>
              </w:rPr>
              <w:t> un valsts budžeta līdzfinansējums – 2 877 8</w:t>
            </w:r>
            <w:r w:rsidR="001860EE">
              <w:rPr>
                <w:rFonts w:ascii="Times New Roman" w:hAnsi="Times New Roman" w:cs="Times New Roman"/>
                <w:bCs/>
                <w:color w:val="000000"/>
                <w:sz w:val="23"/>
                <w:szCs w:val="23"/>
              </w:rPr>
              <w:t>20</w:t>
            </w:r>
            <w:r w:rsidRPr="00EE19FD">
              <w:rPr>
                <w:rFonts w:ascii="Times New Roman" w:hAnsi="Times New Roman" w:cs="Times New Roman"/>
                <w:bCs/>
                <w:color w:val="000000"/>
                <w:sz w:val="23"/>
                <w:szCs w:val="23"/>
              </w:rPr>
              <w:t> </w:t>
            </w:r>
            <w:proofErr w:type="spellStart"/>
            <w:r w:rsidRPr="00EE19FD">
              <w:rPr>
                <w:rFonts w:ascii="Times New Roman" w:hAnsi="Times New Roman" w:cs="Times New Roman"/>
                <w:bCs/>
                <w:i/>
                <w:iCs/>
                <w:color w:val="000000"/>
                <w:sz w:val="23"/>
                <w:szCs w:val="23"/>
              </w:rPr>
              <w:t>euro</w:t>
            </w:r>
            <w:proofErr w:type="spellEnd"/>
            <w:r w:rsidR="0015288B" w:rsidRPr="00EE19FD">
              <w:rPr>
                <w:rFonts w:ascii="Times New Roman" w:hAnsi="Times New Roman" w:cs="Times New Roman"/>
                <w:i/>
                <w:color w:val="000000"/>
                <w:sz w:val="23"/>
                <w:szCs w:val="23"/>
              </w:rPr>
              <w:t>.</w:t>
            </w:r>
          </w:p>
          <w:p w14:paraId="1A07E241" w14:textId="5E76A6D0" w:rsidR="0015288B" w:rsidRPr="00B679BE" w:rsidRDefault="0015288B" w:rsidP="00EE19FD">
            <w:pPr>
              <w:spacing w:after="0" w:line="240" w:lineRule="auto"/>
              <w:jc w:val="both"/>
              <w:rPr>
                <w:rFonts w:ascii="Times New Roman" w:hAnsi="Times New Roman" w:cs="Times New Roman"/>
                <w:color w:val="000000"/>
                <w:sz w:val="23"/>
                <w:szCs w:val="23"/>
              </w:rPr>
            </w:pPr>
            <w:r w:rsidRPr="00B679BE">
              <w:rPr>
                <w:rFonts w:ascii="Times New Roman" w:hAnsi="Times New Roman" w:cs="Times New Roman"/>
                <w:color w:val="000000"/>
                <w:sz w:val="23"/>
                <w:szCs w:val="23"/>
              </w:rPr>
              <w:t xml:space="preserve">Finanšu līdzekļi </w:t>
            </w:r>
            <w:r w:rsidR="00EE19FD">
              <w:rPr>
                <w:rFonts w:ascii="Times New Roman" w:hAnsi="Times New Roman" w:cs="Times New Roman"/>
                <w:color w:val="000000"/>
                <w:sz w:val="23"/>
                <w:szCs w:val="23"/>
              </w:rPr>
              <w:t xml:space="preserve">pasākuma </w:t>
            </w:r>
            <w:r w:rsidR="00EE19FD" w:rsidRPr="00EE19FD">
              <w:rPr>
                <w:rFonts w:ascii="Times New Roman" w:hAnsi="Times New Roman" w:cs="Times New Roman"/>
                <w:bCs/>
                <w:color w:val="000000"/>
                <w:sz w:val="23"/>
                <w:szCs w:val="23"/>
              </w:rPr>
              <w:t xml:space="preserve">“Sākotnējās profesionālās izglītības programmu īstenošana Jauniešu garantijas ietvaros” </w:t>
            </w:r>
            <w:r w:rsidRPr="00B679BE">
              <w:rPr>
                <w:rFonts w:ascii="Times New Roman" w:hAnsi="Times New Roman" w:cs="Times New Roman"/>
                <w:color w:val="000000"/>
                <w:sz w:val="23"/>
                <w:szCs w:val="23"/>
              </w:rPr>
              <w:t xml:space="preserve">ieviešanai plānoti </w:t>
            </w:r>
            <w:r w:rsidR="00EE19FD">
              <w:rPr>
                <w:rFonts w:ascii="Times New Roman" w:hAnsi="Times New Roman" w:cs="Times New Roman"/>
                <w:color w:val="000000"/>
                <w:sz w:val="23"/>
                <w:szCs w:val="23"/>
              </w:rPr>
              <w:t>Izglītības un zinātnes ministrijas</w:t>
            </w:r>
            <w:r w:rsidRPr="00B679BE">
              <w:rPr>
                <w:rFonts w:ascii="Times New Roman" w:hAnsi="Times New Roman" w:cs="Times New Roman"/>
                <w:color w:val="000000"/>
                <w:sz w:val="23"/>
                <w:szCs w:val="23"/>
              </w:rPr>
              <w:t xml:space="preserve"> budžeta apakšprogrammā 63.08.00 “Eiropas Sociālā fonda (ESF) projekti (2014-2020)”.</w:t>
            </w:r>
          </w:p>
          <w:p w14:paraId="3B7FA2C4" w14:textId="77777777" w:rsidR="0015288B" w:rsidRPr="00B679BE" w:rsidRDefault="0015288B" w:rsidP="0015288B">
            <w:pPr>
              <w:spacing w:after="0" w:line="240" w:lineRule="auto"/>
              <w:rPr>
                <w:rFonts w:ascii="Times New Roman" w:hAnsi="Times New Roman" w:cs="Times New Roman"/>
                <w:color w:val="000000"/>
                <w:sz w:val="23"/>
                <w:szCs w:val="23"/>
              </w:rPr>
            </w:pPr>
          </w:p>
          <w:p w14:paraId="2A941A29" w14:textId="0B51DF3A" w:rsidR="0015288B" w:rsidRPr="00B679BE" w:rsidRDefault="0015288B" w:rsidP="00EB0654">
            <w:pPr>
              <w:spacing w:after="0" w:line="240" w:lineRule="auto"/>
              <w:jc w:val="both"/>
              <w:rPr>
                <w:rFonts w:ascii="Times New Roman" w:hAnsi="Times New Roman" w:cs="Times New Roman"/>
                <w:color w:val="000000"/>
                <w:sz w:val="23"/>
                <w:szCs w:val="23"/>
              </w:rPr>
            </w:pPr>
            <w:r w:rsidRPr="00B679BE">
              <w:rPr>
                <w:rFonts w:ascii="Times New Roman" w:hAnsi="Times New Roman" w:cs="Times New Roman"/>
                <w:color w:val="000000"/>
                <w:sz w:val="23"/>
                <w:szCs w:val="23"/>
              </w:rPr>
              <w:t xml:space="preserve">2014.gadā kopējais apgūtais finansējums </w:t>
            </w:r>
            <w:r w:rsidR="00EB0654">
              <w:rPr>
                <w:rFonts w:ascii="Times New Roman" w:hAnsi="Times New Roman" w:cs="Times New Roman"/>
                <w:color w:val="000000"/>
                <w:sz w:val="23"/>
                <w:szCs w:val="23"/>
              </w:rPr>
              <w:t xml:space="preserve">2 263 968 </w:t>
            </w:r>
            <w:proofErr w:type="spellStart"/>
            <w:r w:rsidR="00EB0654"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xml:space="preserve">, tai skaitā ESF finansējums </w:t>
            </w:r>
            <w:r w:rsidR="00EB0654">
              <w:rPr>
                <w:rFonts w:ascii="Times New Roman" w:hAnsi="Times New Roman" w:cs="Times New Roman"/>
                <w:color w:val="000000"/>
                <w:sz w:val="23"/>
                <w:szCs w:val="23"/>
              </w:rPr>
              <w:t xml:space="preserve">1 290 973 </w:t>
            </w:r>
            <w:proofErr w:type="spellStart"/>
            <w:r w:rsidR="00EB0654"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xml:space="preserve">, JNI finansējums </w:t>
            </w:r>
            <w:r w:rsidR="00EB0654">
              <w:rPr>
                <w:rFonts w:ascii="Times New Roman" w:hAnsi="Times New Roman" w:cs="Times New Roman"/>
                <w:color w:val="000000"/>
                <w:sz w:val="23"/>
                <w:szCs w:val="23"/>
              </w:rPr>
              <w:t xml:space="preserve">745 091 </w:t>
            </w:r>
            <w:proofErr w:type="spellStart"/>
            <w:r w:rsidR="00EB0654"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xml:space="preserve"> un valsts budžeta finansējums </w:t>
            </w:r>
            <w:r w:rsidR="00EB0654">
              <w:rPr>
                <w:rFonts w:ascii="Times New Roman" w:hAnsi="Times New Roman" w:cs="Times New Roman"/>
                <w:color w:val="000000"/>
                <w:sz w:val="23"/>
                <w:szCs w:val="23"/>
              </w:rPr>
              <w:t xml:space="preserve">227 904 </w:t>
            </w:r>
            <w:proofErr w:type="spellStart"/>
            <w:r w:rsidR="00EB0654"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xml:space="preserve">. </w:t>
            </w:r>
          </w:p>
          <w:p w14:paraId="0EBC7263" w14:textId="7AB74C0F" w:rsidR="0015288B" w:rsidRPr="00B679BE" w:rsidRDefault="0015288B" w:rsidP="00EB0654">
            <w:pPr>
              <w:spacing w:after="0" w:line="240" w:lineRule="auto"/>
              <w:jc w:val="both"/>
              <w:rPr>
                <w:rFonts w:ascii="Times New Roman" w:hAnsi="Times New Roman" w:cs="Times New Roman"/>
                <w:color w:val="000000"/>
                <w:sz w:val="23"/>
                <w:szCs w:val="23"/>
              </w:rPr>
            </w:pPr>
            <w:r w:rsidRPr="00B679BE">
              <w:rPr>
                <w:rFonts w:ascii="Times New Roman" w:hAnsi="Times New Roman" w:cs="Times New Roman"/>
                <w:color w:val="000000"/>
                <w:sz w:val="23"/>
                <w:szCs w:val="23"/>
              </w:rPr>
              <w:t xml:space="preserve">2015.gadam indikatīvi kopējās izmaksas plānotas </w:t>
            </w:r>
            <w:r w:rsidR="00EB0654">
              <w:rPr>
                <w:rFonts w:ascii="Times New Roman" w:hAnsi="Times New Roman" w:cs="Times New Roman"/>
                <w:color w:val="000000"/>
                <w:sz w:val="23"/>
                <w:szCs w:val="23"/>
              </w:rPr>
              <w:t xml:space="preserve">9 679 965 </w:t>
            </w:r>
            <w:proofErr w:type="spellStart"/>
            <w:r w:rsidR="00EB0654"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xml:space="preserve"> apmērā, tai skaitā ESF finansējums </w:t>
            </w:r>
            <w:r w:rsidR="00EB0654">
              <w:rPr>
                <w:rFonts w:ascii="Times New Roman" w:hAnsi="Times New Roman" w:cs="Times New Roman"/>
                <w:color w:val="000000"/>
                <w:sz w:val="23"/>
                <w:szCs w:val="23"/>
              </w:rPr>
              <w:t>5 449 11</w:t>
            </w:r>
            <w:r w:rsidR="001603A4">
              <w:rPr>
                <w:rFonts w:ascii="Times New Roman" w:hAnsi="Times New Roman" w:cs="Times New Roman"/>
                <w:color w:val="000000"/>
                <w:sz w:val="23"/>
                <w:szCs w:val="23"/>
              </w:rPr>
              <w:t>0</w:t>
            </w:r>
            <w:r w:rsidR="00EB0654" w:rsidRPr="00B679BE">
              <w:rPr>
                <w:rFonts w:ascii="Times New Roman" w:hAnsi="Times New Roman" w:cs="Times New Roman"/>
                <w:i/>
                <w:iCs/>
                <w:color w:val="000000"/>
                <w:sz w:val="23"/>
                <w:szCs w:val="23"/>
              </w:rPr>
              <w:t xml:space="preserve"> </w:t>
            </w:r>
            <w:proofErr w:type="spellStart"/>
            <w:r w:rsidR="00EB0654"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xml:space="preserve">, JNI finansējums </w:t>
            </w:r>
            <w:r w:rsidR="00EB0654">
              <w:rPr>
                <w:rFonts w:ascii="Times New Roman" w:hAnsi="Times New Roman" w:cs="Times New Roman"/>
                <w:color w:val="000000"/>
                <w:sz w:val="23"/>
                <w:szCs w:val="23"/>
              </w:rPr>
              <w:t xml:space="preserve">3 269 873 </w:t>
            </w:r>
            <w:proofErr w:type="spellStart"/>
            <w:r w:rsidR="00EB0654"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xml:space="preserve"> un valsts budžeta finansējums </w:t>
            </w:r>
            <w:r w:rsidR="00EB0654">
              <w:rPr>
                <w:rFonts w:ascii="Times New Roman" w:hAnsi="Times New Roman" w:cs="Times New Roman"/>
                <w:color w:val="000000"/>
                <w:sz w:val="23"/>
                <w:szCs w:val="23"/>
              </w:rPr>
              <w:t>960 98</w:t>
            </w:r>
            <w:r w:rsidR="001603A4">
              <w:rPr>
                <w:rFonts w:ascii="Times New Roman" w:hAnsi="Times New Roman" w:cs="Times New Roman"/>
                <w:color w:val="000000"/>
                <w:sz w:val="23"/>
                <w:szCs w:val="23"/>
              </w:rPr>
              <w:t>2</w:t>
            </w:r>
            <w:r w:rsidR="00EB0654">
              <w:rPr>
                <w:rFonts w:ascii="Times New Roman" w:hAnsi="Times New Roman" w:cs="Times New Roman"/>
                <w:color w:val="000000"/>
                <w:sz w:val="23"/>
                <w:szCs w:val="23"/>
              </w:rPr>
              <w:t xml:space="preserve"> </w:t>
            </w:r>
            <w:proofErr w:type="spellStart"/>
            <w:r w:rsidR="00EB0654"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Saskaņā ar likumprojektu “Par valsts budžetu 2015.gadam” projekta ieviešanai 2015.gadā paredzēts finansējums 7 116</w:t>
            </w:r>
            <w:r w:rsidR="00EB0654">
              <w:rPr>
                <w:rFonts w:ascii="Times New Roman" w:hAnsi="Times New Roman" w:cs="Times New Roman"/>
                <w:color w:val="000000"/>
                <w:sz w:val="23"/>
                <w:szCs w:val="23"/>
              </w:rPr>
              <w:t> </w:t>
            </w:r>
            <w:r w:rsidRPr="00B679BE">
              <w:rPr>
                <w:rFonts w:ascii="Times New Roman" w:hAnsi="Times New Roman" w:cs="Times New Roman"/>
                <w:color w:val="000000"/>
                <w:sz w:val="23"/>
                <w:szCs w:val="23"/>
              </w:rPr>
              <w:t>156</w:t>
            </w:r>
            <w:r w:rsidR="00EB0654">
              <w:rPr>
                <w:rFonts w:ascii="Times New Roman" w:hAnsi="Times New Roman" w:cs="Times New Roman"/>
                <w:color w:val="000000"/>
                <w:sz w:val="23"/>
                <w:szCs w:val="23"/>
              </w:rPr>
              <w:t xml:space="preserve"> </w:t>
            </w:r>
            <w:proofErr w:type="spellStart"/>
            <w:r w:rsidR="00EB0654"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xml:space="preserve"> apmērā un tas ir indikatīvi par </w:t>
            </w:r>
            <w:r w:rsidR="00EB0654">
              <w:rPr>
                <w:rFonts w:ascii="Times New Roman" w:hAnsi="Times New Roman" w:cs="Times New Roman"/>
                <w:color w:val="000000"/>
                <w:sz w:val="23"/>
                <w:szCs w:val="23"/>
              </w:rPr>
              <w:t>2 563 809</w:t>
            </w:r>
            <w:r w:rsidRPr="00B679BE">
              <w:rPr>
                <w:rFonts w:ascii="Times New Roman" w:hAnsi="Times New Roman" w:cs="Times New Roman"/>
                <w:color w:val="000000"/>
                <w:sz w:val="23"/>
                <w:szCs w:val="23"/>
              </w:rPr>
              <w:t xml:space="preserve"> </w:t>
            </w:r>
            <w:proofErr w:type="spellStart"/>
            <w:r w:rsidR="00EB0654" w:rsidRPr="00B679BE">
              <w:rPr>
                <w:rFonts w:ascii="Times New Roman" w:hAnsi="Times New Roman" w:cs="Times New Roman"/>
                <w:i/>
                <w:iCs/>
                <w:color w:val="000000"/>
                <w:sz w:val="23"/>
                <w:szCs w:val="23"/>
              </w:rPr>
              <w:t>euro</w:t>
            </w:r>
            <w:proofErr w:type="spellEnd"/>
            <w:r w:rsidR="00EB0654" w:rsidRPr="00B679BE">
              <w:rPr>
                <w:rFonts w:ascii="Times New Roman" w:hAnsi="Times New Roman" w:cs="Times New Roman"/>
                <w:color w:val="000000"/>
                <w:sz w:val="23"/>
                <w:szCs w:val="23"/>
              </w:rPr>
              <w:t xml:space="preserve"> </w:t>
            </w:r>
            <w:r w:rsidRPr="00B679BE">
              <w:rPr>
                <w:rFonts w:ascii="Times New Roman" w:hAnsi="Times New Roman" w:cs="Times New Roman"/>
                <w:color w:val="000000"/>
                <w:sz w:val="23"/>
                <w:szCs w:val="23"/>
              </w:rPr>
              <w:t xml:space="preserve">mazāk kā nepieciešams projekta ieviešanai 2015.gadā. Pēc projekta </w:t>
            </w:r>
            <w:r w:rsidR="00C564CA">
              <w:rPr>
                <w:rFonts w:ascii="Times New Roman" w:hAnsi="Times New Roman" w:cs="Times New Roman"/>
                <w:color w:val="000000"/>
                <w:sz w:val="23"/>
                <w:szCs w:val="23"/>
              </w:rPr>
              <w:t>iesnieguma</w:t>
            </w:r>
            <w:r w:rsidRPr="00B679BE">
              <w:rPr>
                <w:rFonts w:ascii="Times New Roman" w:hAnsi="Times New Roman" w:cs="Times New Roman"/>
                <w:color w:val="000000"/>
                <w:sz w:val="23"/>
                <w:szCs w:val="23"/>
              </w:rPr>
              <w:t xml:space="preserve"> apstiprināšanas</w:t>
            </w:r>
            <w:r w:rsidR="00C564CA">
              <w:rPr>
                <w:rFonts w:ascii="Times New Roman" w:hAnsi="Times New Roman" w:cs="Times New Roman"/>
                <w:color w:val="000000"/>
                <w:sz w:val="23"/>
                <w:szCs w:val="23"/>
              </w:rPr>
              <w:t>, ja būs nepieciešams,</w:t>
            </w:r>
            <w:r w:rsidRPr="00B679BE">
              <w:rPr>
                <w:rFonts w:ascii="Times New Roman" w:hAnsi="Times New Roman" w:cs="Times New Roman"/>
                <w:color w:val="000000"/>
                <w:sz w:val="23"/>
                <w:szCs w:val="23"/>
              </w:rPr>
              <w:t xml:space="preserve"> </w:t>
            </w:r>
            <w:r w:rsidR="00EB0654">
              <w:rPr>
                <w:rFonts w:ascii="Times New Roman" w:hAnsi="Times New Roman" w:cs="Times New Roman"/>
                <w:color w:val="000000"/>
                <w:sz w:val="23"/>
                <w:szCs w:val="23"/>
              </w:rPr>
              <w:t>Izglītības un zinātnes ministrija</w:t>
            </w:r>
            <w:r w:rsidRPr="00B679BE">
              <w:rPr>
                <w:rFonts w:ascii="Times New Roman" w:hAnsi="Times New Roman" w:cs="Times New Roman"/>
                <w:color w:val="000000"/>
                <w:sz w:val="23"/>
                <w:szCs w:val="23"/>
              </w:rPr>
              <w:t xml:space="preserve"> normatīvajos aktos noteiktajā kārtībā sagatavos un iesniegs </w:t>
            </w:r>
            <w:r w:rsidR="00EB0654">
              <w:rPr>
                <w:rFonts w:ascii="Times New Roman" w:hAnsi="Times New Roman" w:cs="Times New Roman"/>
                <w:color w:val="000000"/>
                <w:sz w:val="23"/>
                <w:szCs w:val="23"/>
              </w:rPr>
              <w:t>Finanšu ministrijai</w:t>
            </w:r>
            <w:r w:rsidRPr="00B679BE">
              <w:rPr>
                <w:rFonts w:ascii="Times New Roman" w:hAnsi="Times New Roman" w:cs="Times New Roman"/>
                <w:color w:val="000000"/>
                <w:sz w:val="23"/>
                <w:szCs w:val="23"/>
              </w:rPr>
              <w:t xml:space="preserve"> līdzekļu pieprasījumu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6E7CEB1F" w14:textId="294DFBE4" w:rsidR="0015288B" w:rsidRPr="00B679BE" w:rsidRDefault="0015288B" w:rsidP="00EB0654">
            <w:pPr>
              <w:spacing w:after="0" w:line="240" w:lineRule="auto"/>
              <w:jc w:val="both"/>
              <w:rPr>
                <w:rFonts w:ascii="Times New Roman" w:hAnsi="Times New Roman" w:cs="Times New Roman"/>
                <w:color w:val="000000"/>
                <w:sz w:val="23"/>
                <w:szCs w:val="23"/>
              </w:rPr>
            </w:pPr>
            <w:r w:rsidRPr="00B679BE">
              <w:rPr>
                <w:rFonts w:ascii="Times New Roman" w:hAnsi="Times New Roman" w:cs="Times New Roman"/>
                <w:color w:val="000000"/>
                <w:sz w:val="23"/>
                <w:szCs w:val="23"/>
              </w:rPr>
              <w:t xml:space="preserve">2016.gadam indikatīvi kopējās izmaksas plānotas </w:t>
            </w:r>
            <w:r w:rsidR="00EB0654">
              <w:rPr>
                <w:rFonts w:ascii="Times New Roman" w:hAnsi="Times New Roman" w:cs="Times New Roman"/>
                <w:color w:val="000000"/>
                <w:sz w:val="23"/>
                <w:szCs w:val="23"/>
              </w:rPr>
              <w:t xml:space="preserve">8 551 634 </w:t>
            </w:r>
            <w:proofErr w:type="spellStart"/>
            <w:r w:rsidR="00EB0654"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xml:space="preserve"> apmērā, tai skaitā ESF finansējums </w:t>
            </w:r>
            <w:r w:rsidR="00EB0654">
              <w:rPr>
                <w:rFonts w:ascii="Times New Roman" w:hAnsi="Times New Roman" w:cs="Times New Roman"/>
                <w:color w:val="000000"/>
                <w:sz w:val="23"/>
                <w:szCs w:val="23"/>
              </w:rPr>
              <w:t xml:space="preserve">3 963 825 </w:t>
            </w:r>
            <w:proofErr w:type="spellStart"/>
            <w:r w:rsidR="00EB0654"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xml:space="preserve">, JNI finansējums </w:t>
            </w:r>
            <w:r w:rsidR="00EB0654">
              <w:rPr>
                <w:rFonts w:ascii="Times New Roman" w:hAnsi="Times New Roman" w:cs="Times New Roman"/>
                <w:color w:val="000000"/>
                <w:sz w:val="23"/>
                <w:szCs w:val="23"/>
              </w:rPr>
              <w:t xml:space="preserve">3 889 133 </w:t>
            </w:r>
            <w:proofErr w:type="spellStart"/>
            <w:r w:rsidR="00EB0654"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xml:space="preserve"> un valsts budžeta finansējums </w:t>
            </w:r>
            <w:r w:rsidR="00EB0654">
              <w:rPr>
                <w:rFonts w:ascii="Times New Roman" w:hAnsi="Times New Roman" w:cs="Times New Roman"/>
                <w:color w:val="000000"/>
                <w:sz w:val="23"/>
                <w:szCs w:val="23"/>
              </w:rPr>
              <w:t xml:space="preserve">698 676 </w:t>
            </w:r>
            <w:proofErr w:type="spellStart"/>
            <w:r w:rsidR="00EB0654"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Likumā “Par vidēja termiņa budžeta ietvaru 2015., 2016. un 2017.gadam” 2016.gadam projekta īstenošanai paredzēts finansējums indikatīvi 6 916</w:t>
            </w:r>
            <w:r w:rsidR="00EB0654">
              <w:rPr>
                <w:rFonts w:ascii="Times New Roman" w:hAnsi="Times New Roman" w:cs="Times New Roman"/>
                <w:color w:val="000000"/>
                <w:sz w:val="23"/>
                <w:szCs w:val="23"/>
              </w:rPr>
              <w:t> </w:t>
            </w:r>
            <w:r w:rsidRPr="00B679BE">
              <w:rPr>
                <w:rFonts w:ascii="Times New Roman" w:hAnsi="Times New Roman" w:cs="Times New Roman"/>
                <w:color w:val="000000"/>
                <w:sz w:val="23"/>
                <w:szCs w:val="23"/>
              </w:rPr>
              <w:t>102</w:t>
            </w:r>
            <w:r w:rsidR="00EB0654">
              <w:rPr>
                <w:rFonts w:ascii="Times New Roman" w:hAnsi="Times New Roman" w:cs="Times New Roman"/>
                <w:color w:val="000000"/>
                <w:sz w:val="23"/>
                <w:szCs w:val="23"/>
              </w:rPr>
              <w:t xml:space="preserve"> </w:t>
            </w:r>
            <w:proofErr w:type="spellStart"/>
            <w:r w:rsidR="00EB0654"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xml:space="preserve"> apmērā un tas ir indikatīvi par </w:t>
            </w:r>
            <w:r w:rsidR="00EB0654">
              <w:rPr>
                <w:rFonts w:ascii="Times New Roman" w:hAnsi="Times New Roman" w:cs="Times New Roman"/>
                <w:color w:val="000000"/>
                <w:sz w:val="23"/>
                <w:szCs w:val="23"/>
              </w:rPr>
              <w:t xml:space="preserve">1 635 532 </w:t>
            </w:r>
            <w:proofErr w:type="spellStart"/>
            <w:r w:rsidR="00EB0654"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xml:space="preserve"> mazāk kā nepieciešams projekta ieviešanai 2016.gadā. Trūkstošais finansējums tiks iekļauts 2016.gada bāzē pēc projekta apstiprināšanas.</w:t>
            </w:r>
          </w:p>
          <w:p w14:paraId="4954F614" w14:textId="219B92EB" w:rsidR="0015288B" w:rsidRPr="00B679BE" w:rsidRDefault="0015288B" w:rsidP="00EB0654">
            <w:pPr>
              <w:spacing w:after="0" w:line="240" w:lineRule="auto"/>
              <w:jc w:val="both"/>
              <w:rPr>
                <w:rFonts w:ascii="Times New Roman" w:hAnsi="Times New Roman" w:cs="Times New Roman"/>
                <w:color w:val="000000"/>
                <w:sz w:val="23"/>
                <w:szCs w:val="23"/>
              </w:rPr>
            </w:pPr>
            <w:r w:rsidRPr="00B679BE">
              <w:rPr>
                <w:rFonts w:ascii="Times New Roman" w:hAnsi="Times New Roman" w:cs="Times New Roman"/>
                <w:color w:val="000000"/>
                <w:sz w:val="23"/>
                <w:szCs w:val="23"/>
              </w:rPr>
              <w:t xml:space="preserve">2017.gadam indikatīvi kopējās izmaksas plānotas 8 325 805 </w:t>
            </w:r>
            <w:proofErr w:type="spellStart"/>
            <w:r w:rsidR="00EB0654" w:rsidRPr="00B679BE">
              <w:rPr>
                <w:rFonts w:ascii="Times New Roman" w:hAnsi="Times New Roman" w:cs="Times New Roman"/>
                <w:i/>
                <w:iCs/>
                <w:color w:val="000000"/>
                <w:sz w:val="23"/>
                <w:szCs w:val="23"/>
              </w:rPr>
              <w:t>euro</w:t>
            </w:r>
            <w:proofErr w:type="spellEnd"/>
            <w:r w:rsidR="00EB0654" w:rsidRPr="00B679BE">
              <w:rPr>
                <w:rFonts w:ascii="Times New Roman" w:hAnsi="Times New Roman" w:cs="Times New Roman"/>
                <w:color w:val="000000"/>
                <w:sz w:val="23"/>
                <w:szCs w:val="23"/>
              </w:rPr>
              <w:t xml:space="preserve"> </w:t>
            </w:r>
            <w:r w:rsidRPr="00B679BE">
              <w:rPr>
                <w:rFonts w:ascii="Times New Roman" w:hAnsi="Times New Roman" w:cs="Times New Roman"/>
                <w:color w:val="000000"/>
                <w:sz w:val="23"/>
                <w:szCs w:val="23"/>
              </w:rPr>
              <w:t>apmērā, tai skaitā ESF finansējums 3 831</w:t>
            </w:r>
            <w:r w:rsidR="00EB0654">
              <w:rPr>
                <w:rFonts w:ascii="Times New Roman" w:hAnsi="Times New Roman" w:cs="Times New Roman"/>
                <w:color w:val="000000"/>
                <w:sz w:val="23"/>
                <w:szCs w:val="23"/>
              </w:rPr>
              <w:t> </w:t>
            </w:r>
            <w:r w:rsidRPr="00B679BE">
              <w:rPr>
                <w:rFonts w:ascii="Times New Roman" w:hAnsi="Times New Roman" w:cs="Times New Roman"/>
                <w:color w:val="000000"/>
                <w:sz w:val="23"/>
                <w:szCs w:val="23"/>
              </w:rPr>
              <w:t>564</w:t>
            </w:r>
            <w:r w:rsidR="00EB0654">
              <w:rPr>
                <w:rFonts w:ascii="Times New Roman" w:hAnsi="Times New Roman" w:cs="Times New Roman"/>
                <w:color w:val="000000"/>
                <w:sz w:val="23"/>
                <w:szCs w:val="23"/>
              </w:rPr>
              <w:t xml:space="preserve"> </w:t>
            </w:r>
            <w:proofErr w:type="spellStart"/>
            <w:r w:rsidR="00EB0654"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xml:space="preserve">, JNI finansējums 3 818 814 </w:t>
            </w:r>
            <w:proofErr w:type="spellStart"/>
            <w:r w:rsidR="00EB0654" w:rsidRPr="00B679BE">
              <w:rPr>
                <w:rFonts w:ascii="Times New Roman" w:hAnsi="Times New Roman" w:cs="Times New Roman"/>
                <w:i/>
                <w:iCs/>
                <w:color w:val="000000"/>
                <w:sz w:val="23"/>
                <w:szCs w:val="23"/>
              </w:rPr>
              <w:t>euro</w:t>
            </w:r>
            <w:proofErr w:type="spellEnd"/>
            <w:r w:rsidR="00EB0654" w:rsidRPr="00B679BE">
              <w:rPr>
                <w:rFonts w:ascii="Times New Roman" w:hAnsi="Times New Roman" w:cs="Times New Roman"/>
                <w:color w:val="000000"/>
                <w:sz w:val="23"/>
                <w:szCs w:val="23"/>
              </w:rPr>
              <w:t xml:space="preserve"> </w:t>
            </w:r>
            <w:r w:rsidR="00EB0654">
              <w:rPr>
                <w:rFonts w:ascii="Times New Roman" w:hAnsi="Times New Roman" w:cs="Times New Roman"/>
                <w:color w:val="000000"/>
                <w:sz w:val="23"/>
                <w:szCs w:val="23"/>
              </w:rPr>
              <w:t xml:space="preserve"> </w:t>
            </w:r>
            <w:r w:rsidRPr="00B679BE">
              <w:rPr>
                <w:rFonts w:ascii="Times New Roman" w:hAnsi="Times New Roman" w:cs="Times New Roman"/>
                <w:color w:val="000000"/>
                <w:sz w:val="23"/>
                <w:szCs w:val="23"/>
              </w:rPr>
              <w:t>un valsts budžeta finansējums 675</w:t>
            </w:r>
            <w:r w:rsidR="00EB0654">
              <w:rPr>
                <w:rFonts w:ascii="Times New Roman" w:hAnsi="Times New Roman" w:cs="Times New Roman"/>
                <w:color w:val="000000"/>
                <w:sz w:val="23"/>
                <w:szCs w:val="23"/>
              </w:rPr>
              <w:t> </w:t>
            </w:r>
            <w:r w:rsidRPr="00B679BE">
              <w:rPr>
                <w:rFonts w:ascii="Times New Roman" w:hAnsi="Times New Roman" w:cs="Times New Roman"/>
                <w:color w:val="000000"/>
                <w:sz w:val="23"/>
                <w:szCs w:val="23"/>
              </w:rPr>
              <w:t>427</w:t>
            </w:r>
            <w:r w:rsidR="00EB0654">
              <w:rPr>
                <w:rFonts w:ascii="Times New Roman" w:hAnsi="Times New Roman" w:cs="Times New Roman"/>
                <w:color w:val="000000"/>
                <w:sz w:val="23"/>
                <w:szCs w:val="23"/>
              </w:rPr>
              <w:t xml:space="preserve"> </w:t>
            </w:r>
            <w:proofErr w:type="spellStart"/>
            <w:r w:rsidR="00EB0654" w:rsidRPr="00B679BE">
              <w:rPr>
                <w:rFonts w:ascii="Times New Roman" w:hAnsi="Times New Roman" w:cs="Times New Roman"/>
                <w:i/>
                <w:iCs/>
                <w:color w:val="000000"/>
                <w:sz w:val="23"/>
                <w:szCs w:val="23"/>
              </w:rPr>
              <w:t>euro</w:t>
            </w:r>
            <w:proofErr w:type="spellEnd"/>
            <w:r w:rsidR="00EB0654">
              <w:rPr>
                <w:rFonts w:ascii="Times New Roman" w:hAnsi="Times New Roman" w:cs="Times New Roman"/>
                <w:i/>
                <w:iCs/>
                <w:color w:val="000000"/>
                <w:sz w:val="23"/>
                <w:szCs w:val="23"/>
              </w:rPr>
              <w:t>.</w:t>
            </w:r>
            <w:r w:rsidRPr="00B679BE">
              <w:rPr>
                <w:rFonts w:ascii="Times New Roman" w:hAnsi="Times New Roman" w:cs="Times New Roman"/>
                <w:color w:val="000000"/>
                <w:sz w:val="23"/>
                <w:szCs w:val="23"/>
              </w:rPr>
              <w:t xml:space="preserve"> Likumā “Par vidēja termiņa budžeta ietvaru 2015., 2016. un 2017.gadam” 2017.gadam projekta īstenošanai paredzēts finansējums indikatīvi 6 810</w:t>
            </w:r>
            <w:r w:rsidR="00EB0654">
              <w:rPr>
                <w:rFonts w:ascii="Times New Roman" w:hAnsi="Times New Roman" w:cs="Times New Roman"/>
                <w:color w:val="000000"/>
                <w:sz w:val="23"/>
                <w:szCs w:val="23"/>
              </w:rPr>
              <w:t> </w:t>
            </w:r>
            <w:r w:rsidRPr="00B679BE">
              <w:rPr>
                <w:rFonts w:ascii="Times New Roman" w:hAnsi="Times New Roman" w:cs="Times New Roman"/>
                <w:color w:val="000000"/>
                <w:sz w:val="23"/>
                <w:szCs w:val="23"/>
              </w:rPr>
              <w:t>805</w:t>
            </w:r>
            <w:r w:rsidR="00EB0654">
              <w:rPr>
                <w:rFonts w:ascii="Times New Roman" w:hAnsi="Times New Roman" w:cs="Times New Roman"/>
                <w:color w:val="000000"/>
                <w:sz w:val="23"/>
                <w:szCs w:val="23"/>
              </w:rPr>
              <w:t xml:space="preserve"> </w:t>
            </w:r>
            <w:proofErr w:type="spellStart"/>
            <w:r w:rsidR="00EB0654"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xml:space="preserve"> apmērā un tas ir indikatīvi par 1 515</w:t>
            </w:r>
            <w:r w:rsidR="00EB0654">
              <w:rPr>
                <w:rFonts w:ascii="Times New Roman" w:hAnsi="Times New Roman" w:cs="Times New Roman"/>
                <w:color w:val="000000"/>
                <w:sz w:val="23"/>
                <w:szCs w:val="23"/>
              </w:rPr>
              <w:t> </w:t>
            </w:r>
            <w:r w:rsidRPr="00B679BE">
              <w:rPr>
                <w:rFonts w:ascii="Times New Roman" w:hAnsi="Times New Roman" w:cs="Times New Roman"/>
                <w:color w:val="000000"/>
                <w:sz w:val="23"/>
                <w:szCs w:val="23"/>
              </w:rPr>
              <w:t>000</w:t>
            </w:r>
            <w:r w:rsidR="00EB0654">
              <w:rPr>
                <w:rFonts w:ascii="Times New Roman" w:hAnsi="Times New Roman" w:cs="Times New Roman"/>
                <w:color w:val="000000"/>
                <w:sz w:val="23"/>
                <w:szCs w:val="23"/>
              </w:rPr>
              <w:t xml:space="preserve"> </w:t>
            </w:r>
            <w:proofErr w:type="spellStart"/>
            <w:r w:rsidR="00EB0654"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xml:space="preserve"> mazāk kā nepieciešams projekta ieviešanai 2017.gadā. Trūkstošais finansējums tiks iekļauts 2017.gada bāzē pēc projekta apstiprināšanas.</w:t>
            </w:r>
          </w:p>
          <w:p w14:paraId="5B7133CE" w14:textId="602DA1D1" w:rsidR="0015288B" w:rsidRPr="00B679BE" w:rsidRDefault="0015288B" w:rsidP="000B2F86">
            <w:pPr>
              <w:spacing w:after="0" w:line="240" w:lineRule="auto"/>
              <w:jc w:val="both"/>
              <w:rPr>
                <w:rFonts w:ascii="Times New Roman" w:hAnsi="Times New Roman" w:cs="Times New Roman"/>
                <w:color w:val="000000"/>
                <w:sz w:val="23"/>
                <w:szCs w:val="23"/>
              </w:rPr>
            </w:pPr>
            <w:r w:rsidRPr="00B679BE">
              <w:rPr>
                <w:rFonts w:ascii="Times New Roman" w:hAnsi="Times New Roman" w:cs="Times New Roman"/>
                <w:color w:val="000000"/>
                <w:sz w:val="23"/>
                <w:szCs w:val="23"/>
              </w:rPr>
              <w:t xml:space="preserve">2018.gadam indikatīvi kopējās izmaksas plānotas </w:t>
            </w:r>
            <w:r w:rsidR="000B2F86" w:rsidRPr="00506B4C">
              <w:rPr>
                <w:rFonts w:ascii="Times New Roman" w:hAnsi="Times New Roman" w:cs="Times New Roman"/>
                <w:color w:val="000000"/>
                <w:sz w:val="23"/>
                <w:szCs w:val="23"/>
              </w:rPr>
              <w:t>3 859 165</w:t>
            </w:r>
            <w:r w:rsidRPr="00506B4C">
              <w:rPr>
                <w:rFonts w:ascii="Times New Roman" w:hAnsi="Times New Roman" w:cs="Times New Roman"/>
                <w:color w:val="000000"/>
                <w:sz w:val="23"/>
                <w:szCs w:val="23"/>
              </w:rPr>
              <w:t xml:space="preserve"> </w:t>
            </w:r>
            <w:proofErr w:type="spellStart"/>
            <w:r w:rsidR="00EB0654" w:rsidRPr="00506B4C">
              <w:rPr>
                <w:rFonts w:ascii="Times New Roman" w:hAnsi="Times New Roman" w:cs="Times New Roman"/>
                <w:i/>
                <w:iCs/>
                <w:color w:val="000000"/>
                <w:sz w:val="23"/>
                <w:szCs w:val="23"/>
              </w:rPr>
              <w:t>euro</w:t>
            </w:r>
            <w:proofErr w:type="spellEnd"/>
            <w:r w:rsidR="00EB0654" w:rsidRPr="00506B4C">
              <w:rPr>
                <w:rFonts w:ascii="Times New Roman" w:hAnsi="Times New Roman" w:cs="Times New Roman"/>
                <w:color w:val="000000"/>
                <w:sz w:val="23"/>
                <w:szCs w:val="23"/>
              </w:rPr>
              <w:t xml:space="preserve"> </w:t>
            </w:r>
            <w:r w:rsidRPr="00506B4C">
              <w:rPr>
                <w:rFonts w:ascii="Times New Roman" w:hAnsi="Times New Roman" w:cs="Times New Roman"/>
                <w:color w:val="000000"/>
                <w:sz w:val="23"/>
                <w:szCs w:val="23"/>
              </w:rPr>
              <w:t xml:space="preserve">apmērā, tai skaitā ESF finansējums </w:t>
            </w:r>
            <w:r w:rsidR="000B2F86" w:rsidRPr="00506B4C">
              <w:rPr>
                <w:rFonts w:ascii="Times New Roman" w:hAnsi="Times New Roman" w:cs="Times New Roman"/>
                <w:color w:val="000000"/>
                <w:sz w:val="23"/>
                <w:szCs w:val="23"/>
              </w:rPr>
              <w:t>1 772 167</w:t>
            </w:r>
            <w:r w:rsidR="00EB0654">
              <w:rPr>
                <w:rFonts w:ascii="Times New Roman" w:hAnsi="Times New Roman" w:cs="Times New Roman"/>
                <w:color w:val="000000"/>
                <w:sz w:val="23"/>
                <w:szCs w:val="23"/>
              </w:rPr>
              <w:t xml:space="preserve"> </w:t>
            </w:r>
            <w:proofErr w:type="spellStart"/>
            <w:r w:rsidR="00EB0654" w:rsidRPr="00B679BE">
              <w:rPr>
                <w:rFonts w:ascii="Times New Roman" w:hAnsi="Times New Roman" w:cs="Times New Roman"/>
                <w:i/>
                <w:iCs/>
                <w:color w:val="000000"/>
                <w:sz w:val="23"/>
                <w:szCs w:val="23"/>
              </w:rPr>
              <w:t>euro</w:t>
            </w:r>
            <w:proofErr w:type="spellEnd"/>
            <w:r w:rsidR="00EB0654">
              <w:rPr>
                <w:rFonts w:ascii="Times New Roman" w:hAnsi="Times New Roman" w:cs="Times New Roman"/>
                <w:color w:val="000000"/>
                <w:sz w:val="23"/>
                <w:szCs w:val="23"/>
              </w:rPr>
              <w:t>, JNI finansējums</w:t>
            </w:r>
            <w:r w:rsidRPr="00B679BE">
              <w:rPr>
                <w:rFonts w:ascii="Times New Roman" w:hAnsi="Times New Roman" w:cs="Times New Roman"/>
                <w:color w:val="000000"/>
                <w:sz w:val="23"/>
                <w:szCs w:val="23"/>
              </w:rPr>
              <w:t xml:space="preserve"> 1 772</w:t>
            </w:r>
            <w:r w:rsidR="00EB0654">
              <w:rPr>
                <w:rFonts w:ascii="Times New Roman" w:hAnsi="Times New Roman" w:cs="Times New Roman"/>
                <w:color w:val="000000"/>
                <w:sz w:val="23"/>
                <w:szCs w:val="23"/>
              </w:rPr>
              <w:t> </w:t>
            </w:r>
            <w:r w:rsidRPr="00B679BE">
              <w:rPr>
                <w:rFonts w:ascii="Times New Roman" w:hAnsi="Times New Roman" w:cs="Times New Roman"/>
                <w:color w:val="000000"/>
                <w:sz w:val="23"/>
                <w:szCs w:val="23"/>
              </w:rPr>
              <w:t>167</w:t>
            </w:r>
            <w:r w:rsidR="00EB0654">
              <w:rPr>
                <w:rFonts w:ascii="Times New Roman" w:hAnsi="Times New Roman" w:cs="Times New Roman"/>
                <w:color w:val="000000"/>
                <w:sz w:val="23"/>
                <w:szCs w:val="23"/>
              </w:rPr>
              <w:t xml:space="preserve"> </w:t>
            </w:r>
            <w:proofErr w:type="spellStart"/>
            <w:r w:rsidR="00EB0654"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xml:space="preserve"> un valsts budžeta finansējums </w:t>
            </w:r>
            <w:r w:rsidR="00EB0654">
              <w:rPr>
                <w:rFonts w:ascii="Times New Roman" w:hAnsi="Times New Roman" w:cs="Times New Roman"/>
                <w:color w:val="000000"/>
                <w:sz w:val="23"/>
                <w:szCs w:val="23"/>
              </w:rPr>
              <w:t xml:space="preserve">314 831 </w:t>
            </w:r>
            <w:proofErr w:type="spellStart"/>
            <w:r w:rsidR="00EB0654"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2018.gadam projekta īstenošanai paredzēts finansējums indikatīvi 3 859</w:t>
            </w:r>
            <w:r w:rsidR="00067D79">
              <w:rPr>
                <w:rFonts w:ascii="Times New Roman" w:hAnsi="Times New Roman" w:cs="Times New Roman"/>
                <w:color w:val="000000"/>
                <w:sz w:val="23"/>
                <w:szCs w:val="23"/>
              </w:rPr>
              <w:t> </w:t>
            </w:r>
            <w:r w:rsidRPr="00B679BE">
              <w:rPr>
                <w:rFonts w:ascii="Times New Roman" w:hAnsi="Times New Roman" w:cs="Times New Roman"/>
                <w:color w:val="000000"/>
                <w:sz w:val="23"/>
                <w:szCs w:val="23"/>
              </w:rPr>
              <w:t>165</w:t>
            </w:r>
            <w:r w:rsidR="00067D79">
              <w:rPr>
                <w:rFonts w:ascii="Times New Roman" w:hAnsi="Times New Roman" w:cs="Times New Roman"/>
                <w:color w:val="000000"/>
                <w:sz w:val="23"/>
                <w:szCs w:val="23"/>
              </w:rPr>
              <w:t xml:space="preserve"> </w:t>
            </w:r>
            <w:proofErr w:type="spellStart"/>
            <w:r w:rsidR="00067D79" w:rsidRPr="00B679BE">
              <w:rPr>
                <w:rFonts w:ascii="Times New Roman" w:hAnsi="Times New Roman" w:cs="Times New Roman"/>
                <w:i/>
                <w:iCs/>
                <w:color w:val="000000"/>
                <w:sz w:val="23"/>
                <w:szCs w:val="23"/>
              </w:rPr>
              <w:t>euro</w:t>
            </w:r>
            <w:proofErr w:type="spellEnd"/>
            <w:r w:rsidRPr="00B679BE">
              <w:rPr>
                <w:rFonts w:ascii="Times New Roman" w:hAnsi="Times New Roman" w:cs="Times New Roman"/>
                <w:color w:val="000000"/>
                <w:sz w:val="23"/>
                <w:szCs w:val="23"/>
              </w:rPr>
              <w:t xml:space="preserve"> apmērā</w:t>
            </w:r>
            <w:r w:rsidR="000B2F86">
              <w:rPr>
                <w:rFonts w:ascii="Times New Roman" w:hAnsi="Times New Roman" w:cs="Times New Roman"/>
                <w:color w:val="000000"/>
                <w:sz w:val="23"/>
                <w:szCs w:val="23"/>
              </w:rPr>
              <w:t>.</w:t>
            </w:r>
          </w:p>
        </w:tc>
      </w:tr>
      <w:tr w:rsidR="0015288B" w:rsidRPr="0015288B" w14:paraId="1D9639A5" w14:textId="77777777" w:rsidTr="00BF61A3">
        <w:trPr>
          <w:trHeight w:val="555"/>
          <w:jc w:val="center"/>
        </w:trPr>
        <w:tc>
          <w:tcPr>
            <w:tcW w:w="2260" w:type="dxa"/>
            <w:tcBorders>
              <w:top w:val="outset" w:sz="6" w:space="0" w:color="414142"/>
              <w:left w:val="outset" w:sz="6" w:space="0" w:color="414142"/>
              <w:bottom w:val="outset" w:sz="6" w:space="0" w:color="414142"/>
              <w:right w:val="outset" w:sz="6" w:space="0" w:color="414142"/>
            </w:tcBorders>
            <w:hideMark/>
          </w:tcPr>
          <w:p w14:paraId="67728CE2" w14:textId="77777777" w:rsidR="0015288B" w:rsidRPr="00B679BE" w:rsidRDefault="0015288B" w:rsidP="0015288B">
            <w:pPr>
              <w:spacing w:after="0" w:line="240" w:lineRule="auto"/>
              <w:rPr>
                <w:rFonts w:ascii="Times New Roman" w:hAnsi="Times New Roman" w:cs="Times New Roman"/>
                <w:b/>
                <w:color w:val="000000"/>
                <w:sz w:val="23"/>
                <w:szCs w:val="23"/>
              </w:rPr>
            </w:pPr>
            <w:r w:rsidRPr="00B679BE">
              <w:rPr>
                <w:rFonts w:ascii="Times New Roman" w:hAnsi="Times New Roman" w:cs="Times New Roman"/>
                <w:b/>
                <w:color w:val="000000"/>
                <w:sz w:val="23"/>
                <w:szCs w:val="23"/>
              </w:rPr>
              <w:lastRenderedPageBreak/>
              <w:t>7. Cita informācija</w:t>
            </w:r>
          </w:p>
        </w:tc>
        <w:tc>
          <w:tcPr>
            <w:tcW w:w="7371" w:type="dxa"/>
            <w:gridSpan w:val="5"/>
            <w:tcBorders>
              <w:top w:val="single" w:sz="4" w:space="0" w:color="auto"/>
              <w:left w:val="outset" w:sz="6" w:space="0" w:color="414142"/>
              <w:bottom w:val="outset" w:sz="6" w:space="0" w:color="414142"/>
              <w:right w:val="outset" w:sz="6" w:space="0" w:color="414142"/>
            </w:tcBorders>
          </w:tcPr>
          <w:p w14:paraId="18C01FF2" w14:textId="7058B53E" w:rsidR="0015288B" w:rsidRPr="0015288B" w:rsidRDefault="0015288B" w:rsidP="0015288B">
            <w:pPr>
              <w:spacing w:after="0" w:line="240" w:lineRule="auto"/>
              <w:rPr>
                <w:rFonts w:ascii="Times New Roman" w:hAnsi="Times New Roman" w:cs="Times New Roman"/>
                <w:color w:val="000000"/>
                <w:sz w:val="23"/>
                <w:szCs w:val="23"/>
              </w:rPr>
            </w:pPr>
            <w:r w:rsidRPr="00B679BE">
              <w:rPr>
                <w:rFonts w:ascii="Times New Roman" w:hAnsi="Times New Roman" w:cs="Times New Roman"/>
                <w:color w:val="000000"/>
                <w:sz w:val="23"/>
                <w:szCs w:val="23"/>
              </w:rPr>
              <w:t>Norādītais pasākumu finansējuma sadalījums pa gadiem ir indikatīvs un var mainīties pēc projektu apstiprināšanas.</w:t>
            </w:r>
          </w:p>
        </w:tc>
      </w:tr>
    </w:tbl>
    <w:p w14:paraId="7C59DEA5" w14:textId="77777777" w:rsidR="0015288B" w:rsidRPr="00C564CA" w:rsidRDefault="0015288B" w:rsidP="00AB4AEE">
      <w:pPr>
        <w:spacing w:after="0" w:line="240" w:lineRule="auto"/>
        <w:rPr>
          <w:rFonts w:ascii="Times New Roman" w:hAnsi="Times New Roman" w:cs="Times New Roman"/>
          <w:color w:val="000000"/>
          <w:sz w:val="16"/>
          <w:szCs w:val="16"/>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843"/>
        <w:gridCol w:w="7371"/>
      </w:tblGrid>
      <w:tr w:rsidR="00AB4AEE" w:rsidRPr="0026423E" w14:paraId="3A27CD5E" w14:textId="77777777" w:rsidTr="00AB4AEE">
        <w:tc>
          <w:tcPr>
            <w:tcW w:w="9640" w:type="dxa"/>
            <w:gridSpan w:val="3"/>
            <w:tcBorders>
              <w:top w:val="single" w:sz="4" w:space="0" w:color="auto"/>
              <w:left w:val="single" w:sz="4" w:space="0" w:color="auto"/>
              <w:bottom w:val="single" w:sz="4" w:space="0" w:color="auto"/>
              <w:right w:val="single" w:sz="4" w:space="0" w:color="auto"/>
            </w:tcBorders>
            <w:hideMark/>
          </w:tcPr>
          <w:p w14:paraId="4553C7E1" w14:textId="77777777" w:rsidR="00AB4AEE" w:rsidRPr="0026423E" w:rsidRDefault="00AB4AEE" w:rsidP="0026423E">
            <w:pPr>
              <w:tabs>
                <w:tab w:val="left" w:pos="495"/>
                <w:tab w:val="center" w:pos="4782"/>
              </w:tabs>
              <w:spacing w:after="0" w:line="240" w:lineRule="auto"/>
              <w:rPr>
                <w:rFonts w:ascii="Times New Roman" w:hAnsi="Times New Roman" w:cs="Times New Roman"/>
                <w:b/>
                <w:color w:val="000000"/>
                <w:sz w:val="23"/>
                <w:szCs w:val="23"/>
              </w:rPr>
            </w:pPr>
            <w:r w:rsidRPr="0026423E">
              <w:rPr>
                <w:rFonts w:ascii="Times New Roman" w:hAnsi="Times New Roman" w:cs="Times New Roman"/>
                <w:b/>
                <w:color w:val="000000"/>
                <w:sz w:val="23"/>
                <w:szCs w:val="23"/>
              </w:rPr>
              <w:tab/>
            </w:r>
            <w:r w:rsidRPr="0026423E">
              <w:rPr>
                <w:rFonts w:ascii="Times New Roman" w:hAnsi="Times New Roman" w:cs="Times New Roman"/>
                <w:b/>
                <w:color w:val="000000"/>
                <w:sz w:val="23"/>
                <w:szCs w:val="23"/>
              </w:rPr>
              <w:tab/>
              <w:t>V. Tiesību akta projekta atbilstība Latvijas Republikas starptautiskajām saistībām</w:t>
            </w:r>
          </w:p>
        </w:tc>
      </w:tr>
      <w:tr w:rsidR="00AB4AEE" w:rsidRPr="0026423E" w14:paraId="6825225B" w14:textId="77777777" w:rsidTr="00BF61A3">
        <w:tc>
          <w:tcPr>
            <w:tcW w:w="426" w:type="dxa"/>
            <w:tcBorders>
              <w:top w:val="single" w:sz="4" w:space="0" w:color="auto"/>
              <w:left w:val="single" w:sz="4" w:space="0" w:color="auto"/>
              <w:bottom w:val="single" w:sz="4" w:space="0" w:color="auto"/>
              <w:right w:val="single" w:sz="4" w:space="0" w:color="auto"/>
            </w:tcBorders>
            <w:hideMark/>
          </w:tcPr>
          <w:p w14:paraId="23FE65B1" w14:textId="77777777" w:rsidR="00AB4AEE" w:rsidRPr="0026423E" w:rsidRDefault="00AB4AEE" w:rsidP="0026423E">
            <w:pPr>
              <w:spacing w:after="0" w:line="240" w:lineRule="auto"/>
              <w:jc w:val="center"/>
              <w:rPr>
                <w:rFonts w:ascii="Times New Roman" w:hAnsi="Times New Roman" w:cs="Times New Roman"/>
                <w:color w:val="000000"/>
                <w:sz w:val="23"/>
                <w:szCs w:val="23"/>
              </w:rPr>
            </w:pPr>
            <w:r w:rsidRPr="0026423E">
              <w:rPr>
                <w:rFonts w:ascii="Times New Roman" w:hAnsi="Times New Roman" w:cs="Times New Roman"/>
                <w:color w:val="000000"/>
                <w:sz w:val="23"/>
                <w:szCs w:val="23"/>
              </w:rPr>
              <w:lastRenderedPageBreak/>
              <w:t>1.</w:t>
            </w:r>
          </w:p>
        </w:tc>
        <w:tc>
          <w:tcPr>
            <w:tcW w:w="1843" w:type="dxa"/>
            <w:tcBorders>
              <w:top w:val="single" w:sz="4" w:space="0" w:color="auto"/>
              <w:left w:val="single" w:sz="4" w:space="0" w:color="auto"/>
              <w:bottom w:val="single" w:sz="4" w:space="0" w:color="auto"/>
              <w:right w:val="single" w:sz="4" w:space="0" w:color="auto"/>
            </w:tcBorders>
            <w:hideMark/>
          </w:tcPr>
          <w:p w14:paraId="71900945" w14:textId="77777777" w:rsidR="00AB4AEE" w:rsidRPr="0026423E" w:rsidRDefault="00AB4AEE" w:rsidP="0026423E">
            <w:pPr>
              <w:tabs>
                <w:tab w:val="left" w:pos="2628"/>
              </w:tabs>
              <w:spacing w:after="0" w:line="240" w:lineRule="auto"/>
              <w:rPr>
                <w:rFonts w:ascii="Times New Roman" w:hAnsi="Times New Roman" w:cs="Times New Roman"/>
                <w:iCs/>
                <w:color w:val="000000"/>
                <w:sz w:val="23"/>
                <w:szCs w:val="23"/>
              </w:rPr>
            </w:pPr>
            <w:r w:rsidRPr="0026423E">
              <w:rPr>
                <w:rFonts w:ascii="Times New Roman" w:hAnsi="Times New Roman" w:cs="Times New Roman"/>
                <w:color w:val="000000"/>
                <w:sz w:val="23"/>
                <w:szCs w:val="23"/>
              </w:rPr>
              <w:t>Saistības pret Eiropas Savienību</w:t>
            </w:r>
          </w:p>
        </w:tc>
        <w:tc>
          <w:tcPr>
            <w:tcW w:w="7371" w:type="dxa"/>
            <w:tcBorders>
              <w:top w:val="single" w:sz="4" w:space="0" w:color="auto"/>
              <w:left w:val="single" w:sz="4" w:space="0" w:color="auto"/>
              <w:bottom w:val="single" w:sz="4" w:space="0" w:color="auto"/>
              <w:right w:val="single" w:sz="4" w:space="0" w:color="auto"/>
            </w:tcBorders>
            <w:hideMark/>
          </w:tcPr>
          <w:p w14:paraId="3DC09154" w14:textId="07E45769" w:rsidR="00AB4AEE" w:rsidRPr="0026423E" w:rsidRDefault="00AB4AEE" w:rsidP="0026423E">
            <w:pPr>
              <w:pStyle w:val="naiskr"/>
              <w:tabs>
                <w:tab w:val="left" w:pos="2628"/>
              </w:tabs>
              <w:spacing w:before="0" w:beforeAutospacing="0" w:after="0" w:afterAutospacing="0"/>
              <w:jc w:val="both"/>
              <w:rPr>
                <w:color w:val="000000"/>
                <w:sz w:val="23"/>
                <w:szCs w:val="23"/>
                <w:lang w:eastAsia="en-US"/>
              </w:rPr>
            </w:pPr>
            <w:r w:rsidRPr="0026423E">
              <w:rPr>
                <w:color w:val="000000"/>
                <w:sz w:val="23"/>
                <w:szCs w:val="23"/>
                <w:lang w:eastAsia="en-US"/>
              </w:rPr>
              <w:t xml:space="preserve">MK noteikumu projekts paredz, ka </w:t>
            </w:r>
            <w:r w:rsidR="0026423E" w:rsidRPr="0026423E">
              <w:rPr>
                <w:color w:val="000000"/>
                <w:sz w:val="23"/>
                <w:szCs w:val="23"/>
                <w:lang w:eastAsia="en-US"/>
              </w:rPr>
              <w:t xml:space="preserve">atbalstu izmaksām, kas </w:t>
            </w:r>
            <w:r w:rsidR="0026423E" w:rsidRPr="0026423E">
              <w:rPr>
                <w:bCs/>
                <w:color w:val="000000"/>
                <w:sz w:val="23"/>
                <w:szCs w:val="23"/>
                <w:lang w:eastAsia="en-US"/>
              </w:rPr>
              <w:t xml:space="preserve">saistītas ar iekārtu un aprīkojuma iegādi, kā arī tehnisko palīglīdzekļu izgatavošanu un iegādi </w:t>
            </w:r>
            <w:r w:rsidR="0026423E" w:rsidRPr="0026423E">
              <w:rPr>
                <w:color w:val="000000"/>
                <w:sz w:val="23"/>
                <w:szCs w:val="23"/>
                <w:lang w:eastAsia="en-US"/>
              </w:rPr>
              <w:t xml:space="preserve">atbalstāmo darbību “profesionālā apmācība, pārkvalifikācija, kvalifikācijas paaugstināšana” un “neformālās izglītības programmu apguve” ietvaros </w:t>
            </w:r>
            <w:r w:rsidR="0026423E" w:rsidRPr="0026423E">
              <w:rPr>
                <w:bCs/>
                <w:color w:val="000000"/>
                <w:sz w:val="23"/>
                <w:szCs w:val="23"/>
                <w:lang w:eastAsia="en-US"/>
              </w:rPr>
              <w:t>minētās mācību vietas pielāgošanai</w:t>
            </w:r>
            <w:r w:rsidRPr="0026423E">
              <w:rPr>
                <w:color w:val="000000"/>
                <w:sz w:val="23"/>
                <w:szCs w:val="23"/>
                <w:lang w:eastAsia="en-US"/>
              </w:rPr>
              <w:t xml:space="preserve"> N</w:t>
            </w:r>
            <w:r w:rsidR="00A46782">
              <w:rPr>
                <w:color w:val="000000"/>
                <w:sz w:val="23"/>
                <w:szCs w:val="23"/>
                <w:lang w:eastAsia="en-US"/>
              </w:rPr>
              <w:t>odarbinātības valsts aģentūra</w:t>
            </w:r>
            <w:r w:rsidRPr="0026423E">
              <w:rPr>
                <w:color w:val="000000"/>
                <w:sz w:val="23"/>
                <w:szCs w:val="23"/>
                <w:lang w:eastAsia="en-US"/>
              </w:rPr>
              <w:t xml:space="preserve"> sniedz saskaņā ar:</w:t>
            </w:r>
          </w:p>
          <w:p w14:paraId="1F9427B2" w14:textId="77777777" w:rsidR="00AB4AEE" w:rsidRPr="0026423E" w:rsidRDefault="00AB4AEE" w:rsidP="0026423E">
            <w:pPr>
              <w:pStyle w:val="naiskr"/>
              <w:tabs>
                <w:tab w:val="left" w:pos="2628"/>
              </w:tabs>
              <w:spacing w:before="0" w:beforeAutospacing="0" w:after="0" w:afterAutospacing="0"/>
              <w:jc w:val="both"/>
              <w:rPr>
                <w:color w:val="000000"/>
                <w:sz w:val="23"/>
                <w:szCs w:val="23"/>
                <w:lang w:eastAsia="en-US"/>
              </w:rPr>
            </w:pPr>
            <w:r w:rsidRPr="0026423E">
              <w:rPr>
                <w:color w:val="000000"/>
                <w:sz w:val="23"/>
                <w:szCs w:val="23"/>
                <w:lang w:eastAsia="en-US"/>
              </w:rPr>
              <w:t xml:space="preserve">1) </w:t>
            </w:r>
            <w:r w:rsidRPr="0026423E">
              <w:rPr>
                <w:bCs/>
                <w:color w:val="000000"/>
                <w:sz w:val="23"/>
                <w:szCs w:val="23"/>
                <w:lang w:eastAsia="en-US"/>
              </w:rPr>
              <w:t xml:space="preserve">Komisijas 2013.gada 18.decembra Regulu (ES) Nr.1407/2013 par Līguma par ES darbību 107. un 108.panta piemērošanu </w:t>
            </w:r>
            <w:proofErr w:type="spellStart"/>
            <w:r w:rsidRPr="0026423E">
              <w:rPr>
                <w:bCs/>
                <w:i/>
                <w:color w:val="000000"/>
                <w:sz w:val="23"/>
                <w:szCs w:val="23"/>
                <w:lang w:eastAsia="en-US"/>
              </w:rPr>
              <w:t>de</w:t>
            </w:r>
            <w:proofErr w:type="spellEnd"/>
            <w:r w:rsidRPr="0026423E">
              <w:rPr>
                <w:bCs/>
                <w:i/>
                <w:color w:val="000000"/>
                <w:sz w:val="23"/>
                <w:szCs w:val="23"/>
                <w:lang w:eastAsia="en-US"/>
              </w:rPr>
              <w:t xml:space="preserve"> </w:t>
            </w:r>
            <w:proofErr w:type="spellStart"/>
            <w:r w:rsidRPr="0026423E">
              <w:rPr>
                <w:bCs/>
                <w:i/>
                <w:color w:val="000000"/>
                <w:sz w:val="23"/>
                <w:szCs w:val="23"/>
                <w:lang w:eastAsia="en-US"/>
              </w:rPr>
              <w:t>minimis</w:t>
            </w:r>
            <w:proofErr w:type="spellEnd"/>
            <w:r w:rsidRPr="0026423E">
              <w:rPr>
                <w:bCs/>
                <w:color w:val="000000"/>
                <w:sz w:val="23"/>
                <w:szCs w:val="23"/>
                <w:lang w:eastAsia="en-US"/>
              </w:rPr>
              <w:t xml:space="preserve"> atbalstam (ES Oficiālais Vēstnesis, 2013.gada 24.decembris, </w:t>
            </w:r>
            <w:proofErr w:type="spellStart"/>
            <w:r w:rsidRPr="0026423E">
              <w:rPr>
                <w:bCs/>
                <w:color w:val="000000"/>
                <w:sz w:val="23"/>
                <w:szCs w:val="23"/>
                <w:lang w:eastAsia="en-US"/>
              </w:rPr>
              <w:t>Nr.L</w:t>
            </w:r>
            <w:proofErr w:type="spellEnd"/>
            <w:r w:rsidRPr="0026423E">
              <w:rPr>
                <w:bCs/>
                <w:color w:val="000000"/>
                <w:sz w:val="23"/>
                <w:szCs w:val="23"/>
                <w:lang w:eastAsia="en-US"/>
              </w:rPr>
              <w:t xml:space="preserve"> 352/1) (turpmāk </w:t>
            </w:r>
            <w:r w:rsidRPr="0026423E">
              <w:rPr>
                <w:color w:val="000000"/>
                <w:sz w:val="23"/>
                <w:szCs w:val="23"/>
                <w:lang w:eastAsia="en-US"/>
              </w:rPr>
              <w:t>–</w:t>
            </w:r>
            <w:r w:rsidRPr="0026423E">
              <w:rPr>
                <w:bCs/>
                <w:color w:val="000000"/>
                <w:sz w:val="23"/>
                <w:szCs w:val="23"/>
                <w:lang w:eastAsia="en-US"/>
              </w:rPr>
              <w:t xml:space="preserve"> Komisijas regula Nr.1407/2013)</w:t>
            </w:r>
            <w:r w:rsidRPr="0026423E">
              <w:rPr>
                <w:color w:val="000000"/>
                <w:sz w:val="23"/>
                <w:szCs w:val="23"/>
                <w:lang w:eastAsia="en-US"/>
              </w:rPr>
              <w:t>;</w:t>
            </w:r>
          </w:p>
          <w:p w14:paraId="11C3ABE3" w14:textId="77777777" w:rsidR="00AB4AEE" w:rsidRPr="0026423E" w:rsidRDefault="00AB4AEE" w:rsidP="0026423E">
            <w:pPr>
              <w:pStyle w:val="naiskr"/>
              <w:tabs>
                <w:tab w:val="left" w:pos="2628"/>
              </w:tabs>
              <w:spacing w:before="0" w:beforeAutospacing="0" w:after="0" w:afterAutospacing="0"/>
              <w:jc w:val="both"/>
              <w:rPr>
                <w:color w:val="000000"/>
                <w:sz w:val="23"/>
                <w:szCs w:val="23"/>
                <w:lang w:eastAsia="en-US"/>
              </w:rPr>
            </w:pPr>
            <w:r w:rsidRPr="0026423E">
              <w:rPr>
                <w:color w:val="000000"/>
                <w:sz w:val="23"/>
                <w:szCs w:val="23"/>
                <w:lang w:eastAsia="en-US"/>
              </w:rPr>
              <w:t xml:space="preserve">2) </w:t>
            </w:r>
            <w:r w:rsidRPr="0026423E">
              <w:rPr>
                <w:bCs/>
                <w:color w:val="000000"/>
                <w:sz w:val="23"/>
                <w:szCs w:val="23"/>
                <w:lang w:eastAsia="en-US"/>
              </w:rPr>
              <w:t xml:space="preserve">Komisijas 2014.gada 27.jūnija Regulu (EK) Nr.717/2014 par Līguma par ES darbību 107. un 108.panta piemērošanu </w:t>
            </w:r>
            <w:proofErr w:type="spellStart"/>
            <w:r w:rsidRPr="0026423E">
              <w:rPr>
                <w:bCs/>
                <w:i/>
                <w:color w:val="000000"/>
                <w:sz w:val="23"/>
                <w:szCs w:val="23"/>
                <w:lang w:eastAsia="en-US"/>
              </w:rPr>
              <w:t>de</w:t>
            </w:r>
            <w:proofErr w:type="spellEnd"/>
            <w:r w:rsidRPr="0026423E">
              <w:rPr>
                <w:bCs/>
                <w:i/>
                <w:color w:val="000000"/>
                <w:sz w:val="23"/>
                <w:szCs w:val="23"/>
                <w:lang w:eastAsia="en-US"/>
              </w:rPr>
              <w:t xml:space="preserve"> </w:t>
            </w:r>
            <w:proofErr w:type="spellStart"/>
            <w:r w:rsidRPr="0026423E">
              <w:rPr>
                <w:bCs/>
                <w:i/>
                <w:color w:val="000000"/>
                <w:sz w:val="23"/>
                <w:szCs w:val="23"/>
                <w:lang w:eastAsia="en-US"/>
              </w:rPr>
              <w:t>minimis</w:t>
            </w:r>
            <w:proofErr w:type="spellEnd"/>
            <w:r w:rsidRPr="0026423E">
              <w:rPr>
                <w:bCs/>
                <w:color w:val="000000"/>
                <w:sz w:val="23"/>
                <w:szCs w:val="23"/>
                <w:lang w:eastAsia="en-US"/>
              </w:rPr>
              <w:t xml:space="preserve"> atbalstam zvejniecības un akvakultūras nozarē (ES Oficiālais Vēstnesis, 2014.gada 28.jūnijs, </w:t>
            </w:r>
            <w:proofErr w:type="spellStart"/>
            <w:r w:rsidRPr="0026423E">
              <w:rPr>
                <w:bCs/>
                <w:color w:val="000000"/>
                <w:sz w:val="23"/>
                <w:szCs w:val="23"/>
                <w:lang w:eastAsia="en-US"/>
              </w:rPr>
              <w:t>Nr.L</w:t>
            </w:r>
            <w:proofErr w:type="spellEnd"/>
            <w:r w:rsidRPr="0026423E">
              <w:rPr>
                <w:bCs/>
                <w:color w:val="000000"/>
                <w:sz w:val="23"/>
                <w:szCs w:val="23"/>
                <w:lang w:eastAsia="en-US"/>
              </w:rPr>
              <w:t xml:space="preserve"> 190/45) (turpmāk </w:t>
            </w:r>
            <w:r w:rsidRPr="0026423E">
              <w:rPr>
                <w:color w:val="000000"/>
                <w:sz w:val="23"/>
                <w:szCs w:val="23"/>
                <w:lang w:eastAsia="en-US"/>
              </w:rPr>
              <w:t>–</w:t>
            </w:r>
            <w:r w:rsidRPr="0026423E">
              <w:rPr>
                <w:bCs/>
                <w:color w:val="000000"/>
                <w:sz w:val="23"/>
                <w:szCs w:val="23"/>
                <w:lang w:eastAsia="en-US"/>
              </w:rPr>
              <w:t xml:space="preserve"> Komisijas regula Nr.717/2014) </w:t>
            </w:r>
            <w:r w:rsidRPr="0026423E">
              <w:rPr>
                <w:color w:val="000000"/>
                <w:sz w:val="23"/>
                <w:szCs w:val="23"/>
                <w:lang w:eastAsia="en-US"/>
              </w:rPr>
              <w:t xml:space="preserve">(attiecībā uz saimnieciskās darbības veicējiem, kuri darbojas zivsaimniecības nozarē saskaņā ar </w:t>
            </w:r>
            <w:r w:rsidRPr="0026423E">
              <w:rPr>
                <w:bCs/>
                <w:color w:val="000000"/>
                <w:sz w:val="23"/>
                <w:szCs w:val="23"/>
                <w:lang w:eastAsia="en-US"/>
              </w:rPr>
              <w:t>Eiropas Parlamenta un Padomes 2013.gada 11.decembra Regulu (ES) Nr.1379/2013 par zvejas un akvakultūras produktu tirgu kopīgo organizāciju</w:t>
            </w:r>
            <w:r w:rsidRPr="0026423E">
              <w:rPr>
                <w:color w:val="000000"/>
                <w:sz w:val="23"/>
                <w:szCs w:val="23"/>
                <w:lang w:eastAsia="en-US"/>
              </w:rPr>
              <w:t xml:space="preserve"> </w:t>
            </w:r>
            <w:r w:rsidRPr="0026423E">
              <w:rPr>
                <w:bCs/>
                <w:color w:val="000000"/>
                <w:sz w:val="23"/>
                <w:szCs w:val="23"/>
                <w:lang w:eastAsia="en-US"/>
              </w:rPr>
              <w:t xml:space="preserve">un ar ko groza Padomes Regulas (EK) Nr.1184/2006 un (EK) Nr.1224/2009 un atceļ Padomes Regulu (EK) Nr. 104/2000 (turpmāk - </w:t>
            </w:r>
            <w:r w:rsidRPr="0026423E">
              <w:rPr>
                <w:color w:val="000000"/>
                <w:sz w:val="23"/>
                <w:szCs w:val="23"/>
                <w:lang w:eastAsia="en-US"/>
              </w:rPr>
              <w:t>Eiropas Parlamenta un Padomes regulu Nr.1379/2013));</w:t>
            </w:r>
          </w:p>
          <w:p w14:paraId="251A9CFE" w14:textId="77777777" w:rsidR="00AB4AEE" w:rsidRDefault="00AB4AEE" w:rsidP="0026423E">
            <w:pPr>
              <w:pStyle w:val="naiskr"/>
              <w:tabs>
                <w:tab w:val="left" w:pos="2628"/>
              </w:tabs>
              <w:spacing w:before="0" w:beforeAutospacing="0" w:after="0" w:afterAutospacing="0"/>
              <w:jc w:val="both"/>
              <w:rPr>
                <w:color w:val="000000"/>
                <w:sz w:val="23"/>
                <w:szCs w:val="23"/>
                <w:lang w:eastAsia="en-US"/>
              </w:rPr>
            </w:pPr>
            <w:r w:rsidRPr="0026423E">
              <w:rPr>
                <w:color w:val="000000"/>
                <w:sz w:val="23"/>
                <w:szCs w:val="23"/>
                <w:lang w:eastAsia="en-US"/>
              </w:rPr>
              <w:t xml:space="preserve">3) </w:t>
            </w:r>
            <w:r w:rsidRPr="0026423E">
              <w:rPr>
                <w:bCs/>
                <w:color w:val="000000"/>
                <w:sz w:val="23"/>
                <w:szCs w:val="23"/>
                <w:lang w:eastAsia="en-US"/>
              </w:rPr>
              <w:t xml:space="preserve">Komisijas 2013.gada 18.decembra Regulu (ES) Nr. 1408/2013 par Līguma par ES darbību 107. un 108.panta piemērošanu </w:t>
            </w:r>
            <w:proofErr w:type="spellStart"/>
            <w:r w:rsidRPr="0026423E">
              <w:rPr>
                <w:bCs/>
                <w:i/>
                <w:color w:val="000000"/>
                <w:sz w:val="23"/>
                <w:szCs w:val="23"/>
                <w:lang w:eastAsia="en-US"/>
              </w:rPr>
              <w:t>de</w:t>
            </w:r>
            <w:proofErr w:type="spellEnd"/>
            <w:r w:rsidRPr="0026423E">
              <w:rPr>
                <w:bCs/>
                <w:i/>
                <w:color w:val="000000"/>
                <w:sz w:val="23"/>
                <w:szCs w:val="23"/>
                <w:lang w:eastAsia="en-US"/>
              </w:rPr>
              <w:t xml:space="preserve"> </w:t>
            </w:r>
            <w:proofErr w:type="spellStart"/>
            <w:r w:rsidRPr="0026423E">
              <w:rPr>
                <w:bCs/>
                <w:i/>
                <w:color w:val="000000"/>
                <w:sz w:val="23"/>
                <w:szCs w:val="23"/>
                <w:lang w:eastAsia="en-US"/>
              </w:rPr>
              <w:t>minimis</w:t>
            </w:r>
            <w:proofErr w:type="spellEnd"/>
            <w:r w:rsidRPr="0026423E">
              <w:rPr>
                <w:bCs/>
                <w:color w:val="000000"/>
                <w:sz w:val="23"/>
                <w:szCs w:val="23"/>
                <w:lang w:eastAsia="en-US"/>
              </w:rPr>
              <w:t xml:space="preserve"> atbalstam lauksaimniecības nozarē (ES Oficiālais Vēstnesis, 2013.gada 24.decembris, </w:t>
            </w:r>
            <w:proofErr w:type="spellStart"/>
            <w:r w:rsidRPr="0026423E">
              <w:rPr>
                <w:bCs/>
                <w:color w:val="000000"/>
                <w:sz w:val="23"/>
                <w:szCs w:val="23"/>
                <w:lang w:eastAsia="en-US"/>
              </w:rPr>
              <w:t>Nr.L</w:t>
            </w:r>
            <w:proofErr w:type="spellEnd"/>
            <w:r w:rsidRPr="0026423E">
              <w:rPr>
                <w:bCs/>
                <w:color w:val="000000"/>
                <w:sz w:val="23"/>
                <w:szCs w:val="23"/>
                <w:lang w:eastAsia="en-US"/>
              </w:rPr>
              <w:t xml:space="preserve"> 352/9) (turpmāk </w:t>
            </w:r>
            <w:r w:rsidRPr="0026423E">
              <w:rPr>
                <w:color w:val="000000"/>
                <w:sz w:val="23"/>
                <w:szCs w:val="23"/>
                <w:lang w:eastAsia="en-US"/>
              </w:rPr>
              <w:t>–</w:t>
            </w:r>
            <w:r w:rsidRPr="0026423E">
              <w:rPr>
                <w:bCs/>
                <w:color w:val="000000"/>
                <w:sz w:val="23"/>
                <w:szCs w:val="23"/>
                <w:lang w:eastAsia="en-US"/>
              </w:rPr>
              <w:t xml:space="preserve"> Komisijas regula Nr.1408/2013)</w:t>
            </w:r>
            <w:r w:rsidRPr="0026423E">
              <w:rPr>
                <w:color w:val="000000"/>
                <w:sz w:val="23"/>
                <w:szCs w:val="23"/>
                <w:lang w:eastAsia="en-US"/>
              </w:rPr>
              <w:t xml:space="preserve"> (attiecībā uz saimnieciskās darbības veicējiem, kuri darbojas lauksaimniecības produktu ražošanas nozarē).</w:t>
            </w:r>
          </w:p>
          <w:p w14:paraId="1AA5DD3D" w14:textId="268DEDBD" w:rsidR="00581C63" w:rsidRPr="001E1768" w:rsidRDefault="00581C63" w:rsidP="00F417CC">
            <w:pPr>
              <w:pStyle w:val="naiskr"/>
              <w:tabs>
                <w:tab w:val="left" w:pos="2628"/>
              </w:tabs>
              <w:spacing w:before="0" w:beforeAutospacing="0" w:after="0" w:afterAutospacing="0"/>
              <w:jc w:val="both"/>
              <w:rPr>
                <w:color w:val="000000"/>
                <w:sz w:val="23"/>
                <w:szCs w:val="23"/>
                <w:lang w:eastAsia="en-US"/>
              </w:rPr>
            </w:pPr>
            <w:r w:rsidRPr="001E1768">
              <w:rPr>
                <w:color w:val="000000"/>
                <w:sz w:val="23"/>
                <w:szCs w:val="23"/>
                <w:lang w:eastAsia="en-US"/>
              </w:rPr>
              <w:t xml:space="preserve">Vienlaikus MK noteikumu projekts paredz </w:t>
            </w:r>
            <w:r w:rsidRPr="001E1768">
              <w:rPr>
                <w:sz w:val="23"/>
                <w:szCs w:val="23"/>
                <w:shd w:val="clear" w:color="auto" w:fill="FFFFFF"/>
              </w:rPr>
              <w:t xml:space="preserve">pienākumu finansējuma saņēmējam </w:t>
            </w:r>
            <w:r w:rsidRPr="001E1768">
              <w:rPr>
                <w:bCs/>
                <w:iCs/>
                <w:sz w:val="23"/>
                <w:szCs w:val="23"/>
                <w:shd w:val="clear" w:color="auto" w:fill="FFFFFF"/>
              </w:rPr>
              <w:t xml:space="preserve">uzkrāt un vienu reizi gadā iesniegt sadarbības iestādē apkopotus datus </w:t>
            </w:r>
            <w:proofErr w:type="gramStart"/>
            <w:r w:rsidRPr="001E1768">
              <w:rPr>
                <w:bCs/>
                <w:iCs/>
                <w:sz w:val="23"/>
                <w:szCs w:val="23"/>
                <w:shd w:val="clear" w:color="auto" w:fill="FFFFFF"/>
              </w:rPr>
              <w:t>par Eiropas Parlamenta un Padomes</w:t>
            </w:r>
            <w:proofErr w:type="gramEnd"/>
            <w:r w:rsidRPr="001E1768">
              <w:rPr>
                <w:bCs/>
                <w:iCs/>
                <w:sz w:val="23"/>
                <w:szCs w:val="23"/>
                <w:shd w:val="clear" w:color="auto" w:fill="FFFFFF"/>
              </w:rPr>
              <w:t xml:space="preserve"> regulas Nr.1304/2013 1.pielikumā ietvertajiem kopējiem tūlītējiem rezultātu rādītājiem</w:t>
            </w:r>
            <w:r w:rsidR="00F417CC" w:rsidRPr="001E1768">
              <w:rPr>
                <w:bCs/>
                <w:iCs/>
                <w:sz w:val="23"/>
                <w:szCs w:val="23"/>
                <w:shd w:val="clear" w:color="auto" w:fill="FFFFFF"/>
              </w:rPr>
              <w:t xml:space="preserve"> un</w:t>
            </w:r>
            <w:r w:rsidRPr="001E1768">
              <w:rPr>
                <w:bCs/>
                <w:iCs/>
                <w:sz w:val="23"/>
                <w:szCs w:val="23"/>
                <w:shd w:val="clear" w:color="auto" w:fill="FFFFFF"/>
              </w:rPr>
              <w:t xml:space="preserve"> kopējiem ilgtermiņa rezultātu rādītājiem.</w:t>
            </w:r>
          </w:p>
        </w:tc>
      </w:tr>
      <w:tr w:rsidR="00AB4AEE" w:rsidRPr="0026423E" w14:paraId="5D18E255" w14:textId="77777777" w:rsidTr="00BF61A3">
        <w:tc>
          <w:tcPr>
            <w:tcW w:w="426" w:type="dxa"/>
            <w:tcBorders>
              <w:top w:val="single" w:sz="4" w:space="0" w:color="auto"/>
              <w:left w:val="single" w:sz="4" w:space="0" w:color="auto"/>
              <w:bottom w:val="single" w:sz="4" w:space="0" w:color="auto"/>
              <w:right w:val="single" w:sz="4" w:space="0" w:color="auto"/>
            </w:tcBorders>
            <w:hideMark/>
          </w:tcPr>
          <w:p w14:paraId="73A3FBE9" w14:textId="77777777" w:rsidR="00AB4AEE" w:rsidRPr="0026423E" w:rsidRDefault="00AB4AEE" w:rsidP="0026423E">
            <w:pPr>
              <w:spacing w:after="0" w:line="240" w:lineRule="auto"/>
              <w:jc w:val="center"/>
              <w:rPr>
                <w:rFonts w:ascii="Times New Roman" w:hAnsi="Times New Roman" w:cs="Times New Roman"/>
                <w:color w:val="000000"/>
                <w:sz w:val="23"/>
                <w:szCs w:val="23"/>
              </w:rPr>
            </w:pPr>
            <w:r w:rsidRPr="0026423E">
              <w:rPr>
                <w:rFonts w:ascii="Times New Roman" w:hAnsi="Times New Roman" w:cs="Times New Roman"/>
                <w:color w:val="000000"/>
                <w:sz w:val="23"/>
                <w:szCs w:val="23"/>
              </w:rPr>
              <w:t>2.</w:t>
            </w:r>
          </w:p>
        </w:tc>
        <w:tc>
          <w:tcPr>
            <w:tcW w:w="1843" w:type="dxa"/>
            <w:tcBorders>
              <w:top w:val="single" w:sz="4" w:space="0" w:color="auto"/>
              <w:left w:val="single" w:sz="4" w:space="0" w:color="auto"/>
              <w:bottom w:val="single" w:sz="4" w:space="0" w:color="auto"/>
              <w:right w:val="single" w:sz="4" w:space="0" w:color="auto"/>
            </w:tcBorders>
            <w:hideMark/>
          </w:tcPr>
          <w:p w14:paraId="75040756" w14:textId="77777777" w:rsidR="00AB4AEE" w:rsidRPr="0026423E" w:rsidRDefault="00AB4AEE" w:rsidP="0026423E">
            <w:pPr>
              <w:tabs>
                <w:tab w:val="left" w:pos="2628"/>
              </w:tabs>
              <w:spacing w:after="0" w:line="240" w:lineRule="auto"/>
              <w:rPr>
                <w:rFonts w:ascii="Times New Roman" w:hAnsi="Times New Roman" w:cs="Times New Roman"/>
                <w:iCs/>
                <w:color w:val="000000"/>
                <w:sz w:val="23"/>
                <w:szCs w:val="23"/>
              </w:rPr>
            </w:pPr>
            <w:r w:rsidRPr="0026423E">
              <w:rPr>
                <w:rFonts w:ascii="Times New Roman" w:hAnsi="Times New Roman" w:cs="Times New Roman"/>
                <w:color w:val="000000"/>
                <w:sz w:val="23"/>
                <w:szCs w:val="23"/>
              </w:rPr>
              <w:t>Citas starptautiskās saistības</w:t>
            </w:r>
          </w:p>
        </w:tc>
        <w:tc>
          <w:tcPr>
            <w:tcW w:w="7371" w:type="dxa"/>
            <w:tcBorders>
              <w:top w:val="single" w:sz="4" w:space="0" w:color="auto"/>
              <w:left w:val="single" w:sz="4" w:space="0" w:color="auto"/>
              <w:bottom w:val="single" w:sz="4" w:space="0" w:color="auto"/>
              <w:right w:val="single" w:sz="4" w:space="0" w:color="auto"/>
            </w:tcBorders>
            <w:hideMark/>
          </w:tcPr>
          <w:p w14:paraId="369A6B73" w14:textId="77777777" w:rsidR="00AB4AEE" w:rsidRPr="0026423E" w:rsidRDefault="00AB4AEE" w:rsidP="0026423E">
            <w:pPr>
              <w:pStyle w:val="naiskr"/>
              <w:tabs>
                <w:tab w:val="left" w:pos="2628"/>
              </w:tabs>
              <w:spacing w:before="0" w:beforeAutospacing="0" w:after="0" w:afterAutospacing="0"/>
              <w:jc w:val="both"/>
              <w:rPr>
                <w:iCs/>
                <w:color w:val="000000"/>
                <w:sz w:val="23"/>
                <w:szCs w:val="23"/>
                <w:lang w:eastAsia="en-US"/>
              </w:rPr>
            </w:pPr>
            <w:r w:rsidRPr="0026423E">
              <w:rPr>
                <w:iCs/>
                <w:color w:val="000000"/>
                <w:sz w:val="23"/>
                <w:szCs w:val="23"/>
                <w:lang w:eastAsia="en-US"/>
              </w:rPr>
              <w:t>MK noteikumu projekts šo jomu neskar.</w:t>
            </w:r>
          </w:p>
        </w:tc>
      </w:tr>
      <w:tr w:rsidR="00AB4AEE" w:rsidRPr="0026423E" w14:paraId="0D924FA9" w14:textId="77777777" w:rsidTr="00BF61A3">
        <w:tc>
          <w:tcPr>
            <w:tcW w:w="426" w:type="dxa"/>
            <w:tcBorders>
              <w:top w:val="single" w:sz="4" w:space="0" w:color="auto"/>
              <w:left w:val="single" w:sz="4" w:space="0" w:color="auto"/>
              <w:bottom w:val="single" w:sz="4" w:space="0" w:color="auto"/>
              <w:right w:val="single" w:sz="4" w:space="0" w:color="auto"/>
            </w:tcBorders>
            <w:hideMark/>
          </w:tcPr>
          <w:p w14:paraId="1EAFC2A1" w14:textId="77777777" w:rsidR="00AB4AEE" w:rsidRPr="0026423E" w:rsidRDefault="00AB4AEE" w:rsidP="0026423E">
            <w:pPr>
              <w:spacing w:after="0" w:line="240" w:lineRule="auto"/>
              <w:jc w:val="center"/>
              <w:rPr>
                <w:rFonts w:ascii="Times New Roman" w:hAnsi="Times New Roman" w:cs="Times New Roman"/>
                <w:color w:val="000000"/>
                <w:sz w:val="23"/>
                <w:szCs w:val="23"/>
              </w:rPr>
            </w:pPr>
            <w:r w:rsidRPr="0026423E">
              <w:rPr>
                <w:rFonts w:ascii="Times New Roman" w:hAnsi="Times New Roman" w:cs="Times New Roman"/>
                <w:color w:val="000000"/>
                <w:sz w:val="23"/>
                <w:szCs w:val="23"/>
              </w:rPr>
              <w:t>3.</w:t>
            </w:r>
          </w:p>
        </w:tc>
        <w:tc>
          <w:tcPr>
            <w:tcW w:w="1843" w:type="dxa"/>
            <w:tcBorders>
              <w:top w:val="single" w:sz="4" w:space="0" w:color="auto"/>
              <w:left w:val="single" w:sz="4" w:space="0" w:color="auto"/>
              <w:bottom w:val="single" w:sz="4" w:space="0" w:color="auto"/>
              <w:right w:val="single" w:sz="4" w:space="0" w:color="auto"/>
            </w:tcBorders>
            <w:hideMark/>
          </w:tcPr>
          <w:p w14:paraId="57CA559B" w14:textId="77777777" w:rsidR="00AB4AEE" w:rsidRPr="0026423E" w:rsidRDefault="00AB4AEE" w:rsidP="0026423E">
            <w:pPr>
              <w:tabs>
                <w:tab w:val="left" w:pos="2628"/>
              </w:tabs>
              <w:spacing w:after="0" w:line="240" w:lineRule="auto"/>
              <w:rPr>
                <w:rFonts w:ascii="Times New Roman" w:hAnsi="Times New Roman" w:cs="Times New Roman"/>
                <w:color w:val="000000"/>
                <w:sz w:val="23"/>
                <w:szCs w:val="23"/>
              </w:rPr>
            </w:pPr>
            <w:r w:rsidRPr="0026423E">
              <w:rPr>
                <w:rFonts w:ascii="Times New Roman" w:hAnsi="Times New Roman" w:cs="Times New Roman"/>
                <w:color w:val="000000"/>
                <w:sz w:val="23"/>
                <w:szCs w:val="23"/>
              </w:rPr>
              <w:t>Cita informācija</w:t>
            </w:r>
          </w:p>
        </w:tc>
        <w:tc>
          <w:tcPr>
            <w:tcW w:w="7371" w:type="dxa"/>
            <w:tcBorders>
              <w:top w:val="single" w:sz="4" w:space="0" w:color="auto"/>
              <w:left w:val="single" w:sz="4" w:space="0" w:color="auto"/>
              <w:bottom w:val="single" w:sz="4" w:space="0" w:color="auto"/>
              <w:right w:val="single" w:sz="4" w:space="0" w:color="auto"/>
            </w:tcBorders>
            <w:hideMark/>
          </w:tcPr>
          <w:p w14:paraId="08430137" w14:textId="77777777" w:rsidR="00AB4AEE" w:rsidRPr="0026423E" w:rsidRDefault="00AB4AEE" w:rsidP="0026423E">
            <w:pPr>
              <w:pStyle w:val="naiskr"/>
              <w:tabs>
                <w:tab w:val="left" w:pos="2628"/>
              </w:tabs>
              <w:spacing w:before="0" w:beforeAutospacing="0" w:after="0" w:afterAutospacing="0"/>
              <w:jc w:val="both"/>
              <w:rPr>
                <w:iCs/>
                <w:color w:val="000000"/>
                <w:sz w:val="23"/>
                <w:szCs w:val="23"/>
                <w:lang w:eastAsia="en-US"/>
              </w:rPr>
            </w:pPr>
            <w:r w:rsidRPr="0026423E">
              <w:rPr>
                <w:color w:val="000000"/>
                <w:sz w:val="23"/>
                <w:szCs w:val="23"/>
                <w:lang w:eastAsia="en-US"/>
              </w:rPr>
              <w:t>Nav.</w:t>
            </w:r>
          </w:p>
        </w:tc>
      </w:tr>
    </w:tbl>
    <w:p w14:paraId="4106AE1B" w14:textId="77777777" w:rsidR="00AB4AEE" w:rsidRPr="00C564CA" w:rsidRDefault="00AB4AEE" w:rsidP="00AB4AEE">
      <w:pPr>
        <w:spacing w:after="0" w:line="240" w:lineRule="auto"/>
        <w:jc w:val="center"/>
        <w:rPr>
          <w:rFonts w:ascii="Times New Roman" w:hAnsi="Times New Roman" w:cs="Times New Roman"/>
          <w:color w:val="000000"/>
          <w:sz w:val="16"/>
          <w:szCs w:val="16"/>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681"/>
        <w:gridCol w:w="2034"/>
        <w:gridCol w:w="2502"/>
      </w:tblGrid>
      <w:tr w:rsidR="00AB4AEE" w14:paraId="42882F21" w14:textId="77777777" w:rsidTr="00AB4AEE">
        <w:tc>
          <w:tcPr>
            <w:tcW w:w="9640" w:type="dxa"/>
            <w:gridSpan w:val="4"/>
            <w:tcBorders>
              <w:top w:val="single" w:sz="4" w:space="0" w:color="auto"/>
              <w:left w:val="single" w:sz="4" w:space="0" w:color="auto"/>
              <w:bottom w:val="single" w:sz="4" w:space="0" w:color="auto"/>
              <w:right w:val="single" w:sz="4" w:space="0" w:color="auto"/>
            </w:tcBorders>
            <w:hideMark/>
          </w:tcPr>
          <w:p w14:paraId="385225FD" w14:textId="77777777" w:rsidR="00AB4AEE" w:rsidRPr="0026423E" w:rsidRDefault="00AB4AEE" w:rsidP="0026423E">
            <w:pPr>
              <w:pStyle w:val="naisnod"/>
              <w:spacing w:before="0" w:beforeAutospacing="0" w:after="0" w:afterAutospacing="0"/>
              <w:jc w:val="center"/>
              <w:rPr>
                <w:color w:val="000000"/>
                <w:sz w:val="23"/>
                <w:szCs w:val="23"/>
                <w:lang w:eastAsia="en-US"/>
              </w:rPr>
            </w:pPr>
            <w:r w:rsidRPr="0026423E">
              <w:rPr>
                <w:b/>
                <w:color w:val="000000"/>
                <w:sz w:val="23"/>
                <w:szCs w:val="23"/>
                <w:lang w:eastAsia="en-US"/>
              </w:rPr>
              <w:t>1.tabula. Tiesību akta projekta atbilstība ES tiesību aktiem</w:t>
            </w:r>
          </w:p>
        </w:tc>
      </w:tr>
      <w:tr w:rsidR="00AB4AEE" w14:paraId="2386EDB6" w14:textId="77777777" w:rsidTr="00AB4AEE">
        <w:tc>
          <w:tcPr>
            <w:tcW w:w="2423" w:type="dxa"/>
            <w:tcBorders>
              <w:top w:val="single" w:sz="4" w:space="0" w:color="auto"/>
              <w:left w:val="single" w:sz="4" w:space="0" w:color="auto"/>
              <w:bottom w:val="single" w:sz="4" w:space="0" w:color="auto"/>
              <w:right w:val="single" w:sz="4" w:space="0" w:color="auto"/>
            </w:tcBorders>
            <w:hideMark/>
          </w:tcPr>
          <w:p w14:paraId="7D84E51E" w14:textId="77777777" w:rsidR="00AB4AEE" w:rsidRPr="0026423E" w:rsidRDefault="00AB4AEE" w:rsidP="0026423E">
            <w:pPr>
              <w:spacing w:after="0" w:line="240" w:lineRule="auto"/>
              <w:rPr>
                <w:rFonts w:ascii="Times New Roman" w:hAnsi="Times New Roman" w:cs="Times New Roman"/>
                <w:color w:val="000000"/>
                <w:sz w:val="23"/>
                <w:szCs w:val="23"/>
              </w:rPr>
            </w:pPr>
            <w:r w:rsidRPr="0026423E">
              <w:rPr>
                <w:rFonts w:ascii="Times New Roman" w:hAnsi="Times New Roman" w:cs="Times New Roman"/>
                <w:color w:val="000000"/>
                <w:sz w:val="23"/>
                <w:szCs w:val="23"/>
              </w:rPr>
              <w:t>Attiecīgā ES tiesību akta datums, numurs un nosaukums</w:t>
            </w:r>
          </w:p>
        </w:tc>
        <w:tc>
          <w:tcPr>
            <w:tcW w:w="7217" w:type="dxa"/>
            <w:gridSpan w:val="3"/>
            <w:tcBorders>
              <w:top w:val="single" w:sz="4" w:space="0" w:color="auto"/>
              <w:left w:val="single" w:sz="4" w:space="0" w:color="auto"/>
              <w:bottom w:val="single" w:sz="4" w:space="0" w:color="auto"/>
              <w:right w:val="single" w:sz="4" w:space="0" w:color="auto"/>
            </w:tcBorders>
            <w:hideMark/>
          </w:tcPr>
          <w:p w14:paraId="6E56B1D2" w14:textId="77777777" w:rsidR="00AB4AEE" w:rsidRPr="0026423E" w:rsidRDefault="00AB4AEE" w:rsidP="0026423E">
            <w:pPr>
              <w:pStyle w:val="naiskr"/>
              <w:tabs>
                <w:tab w:val="left" w:pos="2628"/>
              </w:tabs>
              <w:spacing w:before="0" w:beforeAutospacing="0" w:after="0" w:afterAutospacing="0"/>
              <w:jc w:val="both"/>
              <w:rPr>
                <w:color w:val="000000"/>
                <w:sz w:val="23"/>
                <w:szCs w:val="23"/>
                <w:lang w:eastAsia="en-US"/>
              </w:rPr>
            </w:pPr>
            <w:r w:rsidRPr="0026423E">
              <w:rPr>
                <w:color w:val="000000"/>
                <w:sz w:val="23"/>
                <w:szCs w:val="23"/>
                <w:lang w:eastAsia="en-US"/>
              </w:rPr>
              <w:t>1) Komisijas regula Nr.1407/2013;</w:t>
            </w:r>
          </w:p>
          <w:p w14:paraId="0EF0C44C" w14:textId="77777777" w:rsidR="00AB4AEE" w:rsidRPr="0026423E" w:rsidRDefault="00AB4AEE" w:rsidP="0026423E">
            <w:pPr>
              <w:pStyle w:val="naiskr"/>
              <w:tabs>
                <w:tab w:val="left" w:pos="2628"/>
              </w:tabs>
              <w:spacing w:before="0" w:beforeAutospacing="0" w:after="0" w:afterAutospacing="0"/>
              <w:jc w:val="both"/>
              <w:rPr>
                <w:color w:val="000000"/>
                <w:sz w:val="23"/>
                <w:szCs w:val="23"/>
                <w:lang w:eastAsia="en-US"/>
              </w:rPr>
            </w:pPr>
            <w:r w:rsidRPr="0026423E">
              <w:rPr>
                <w:color w:val="000000"/>
                <w:sz w:val="23"/>
                <w:szCs w:val="23"/>
                <w:lang w:eastAsia="en-US"/>
              </w:rPr>
              <w:t>2) Komisijas regula Nr.717/2014;</w:t>
            </w:r>
          </w:p>
          <w:p w14:paraId="45A74697" w14:textId="77777777" w:rsidR="00AB4AEE" w:rsidRPr="0026423E" w:rsidRDefault="00AB4AEE" w:rsidP="0026423E">
            <w:pPr>
              <w:pStyle w:val="naiskr"/>
              <w:tabs>
                <w:tab w:val="left" w:pos="2628"/>
              </w:tabs>
              <w:spacing w:before="0" w:beforeAutospacing="0" w:after="0" w:afterAutospacing="0"/>
              <w:jc w:val="both"/>
              <w:rPr>
                <w:color w:val="000000"/>
                <w:sz w:val="23"/>
                <w:szCs w:val="23"/>
                <w:lang w:eastAsia="en-US"/>
              </w:rPr>
            </w:pPr>
            <w:r w:rsidRPr="0026423E">
              <w:rPr>
                <w:color w:val="000000"/>
                <w:sz w:val="23"/>
                <w:szCs w:val="23"/>
                <w:lang w:eastAsia="en-US"/>
              </w:rPr>
              <w:t>3) Eiropas Parlamenta un Padomes regula Nr.1379/2013;</w:t>
            </w:r>
          </w:p>
          <w:p w14:paraId="5F9EF804" w14:textId="77777777" w:rsidR="00AB4AEE" w:rsidRDefault="00AB4AEE" w:rsidP="0026423E">
            <w:pPr>
              <w:pStyle w:val="naiskr"/>
              <w:tabs>
                <w:tab w:val="left" w:pos="2628"/>
              </w:tabs>
              <w:spacing w:before="0" w:beforeAutospacing="0" w:after="0" w:afterAutospacing="0"/>
              <w:jc w:val="both"/>
              <w:rPr>
                <w:color w:val="000000"/>
                <w:sz w:val="23"/>
                <w:szCs w:val="23"/>
                <w:lang w:eastAsia="en-US"/>
              </w:rPr>
            </w:pPr>
            <w:r w:rsidRPr="0026423E">
              <w:rPr>
                <w:color w:val="000000"/>
                <w:sz w:val="23"/>
                <w:szCs w:val="23"/>
                <w:lang w:eastAsia="en-US"/>
              </w:rPr>
              <w:t>4</w:t>
            </w:r>
            <w:r w:rsidR="00581C63">
              <w:rPr>
                <w:color w:val="000000"/>
                <w:sz w:val="23"/>
                <w:szCs w:val="23"/>
                <w:lang w:eastAsia="en-US"/>
              </w:rPr>
              <w:t>) Komisijas regula Nr.1408/2013;</w:t>
            </w:r>
          </w:p>
          <w:p w14:paraId="3D4BE46D" w14:textId="399B27C7" w:rsidR="00581C63" w:rsidRPr="0026423E" w:rsidRDefault="00581C63" w:rsidP="00581C63">
            <w:pPr>
              <w:pStyle w:val="naiskr"/>
              <w:tabs>
                <w:tab w:val="left" w:pos="2628"/>
              </w:tabs>
              <w:spacing w:before="0" w:beforeAutospacing="0" w:after="0" w:afterAutospacing="0"/>
              <w:jc w:val="both"/>
              <w:rPr>
                <w:color w:val="000000"/>
                <w:sz w:val="23"/>
                <w:szCs w:val="23"/>
                <w:lang w:eastAsia="en-US"/>
              </w:rPr>
            </w:pPr>
            <w:r>
              <w:rPr>
                <w:color w:val="000000"/>
                <w:sz w:val="23"/>
                <w:szCs w:val="23"/>
                <w:lang w:eastAsia="en-US"/>
              </w:rPr>
              <w:t xml:space="preserve">5) </w:t>
            </w:r>
            <w:r w:rsidRPr="001E1768">
              <w:rPr>
                <w:bCs/>
                <w:iCs/>
                <w:sz w:val="23"/>
                <w:szCs w:val="23"/>
                <w:shd w:val="clear" w:color="auto" w:fill="FFFFFF"/>
              </w:rPr>
              <w:t>Eiropas Parlamenta un Padomes regulas Nr.1304/2013 1.pielikums.</w:t>
            </w:r>
          </w:p>
        </w:tc>
      </w:tr>
      <w:tr w:rsidR="00AB4AEE" w14:paraId="2A2898D3" w14:textId="77777777" w:rsidTr="00FC7DBC">
        <w:tc>
          <w:tcPr>
            <w:tcW w:w="2423" w:type="dxa"/>
            <w:tcBorders>
              <w:top w:val="single" w:sz="4" w:space="0" w:color="auto"/>
              <w:left w:val="single" w:sz="4" w:space="0" w:color="auto"/>
              <w:bottom w:val="single" w:sz="4" w:space="0" w:color="auto"/>
              <w:right w:val="single" w:sz="4" w:space="0" w:color="auto"/>
            </w:tcBorders>
            <w:hideMark/>
          </w:tcPr>
          <w:p w14:paraId="0A5A16DE" w14:textId="709DAD88" w:rsidR="00AB4AEE" w:rsidRPr="0026423E" w:rsidRDefault="00AB4AEE" w:rsidP="0026423E">
            <w:pPr>
              <w:spacing w:after="0" w:line="240" w:lineRule="auto"/>
              <w:jc w:val="center"/>
              <w:rPr>
                <w:rFonts w:ascii="Times New Roman" w:hAnsi="Times New Roman" w:cs="Times New Roman"/>
                <w:color w:val="000000"/>
                <w:sz w:val="23"/>
                <w:szCs w:val="23"/>
              </w:rPr>
            </w:pPr>
            <w:r w:rsidRPr="0026423E">
              <w:rPr>
                <w:rFonts w:ascii="Times New Roman" w:hAnsi="Times New Roman" w:cs="Times New Roman"/>
                <w:color w:val="000000"/>
                <w:sz w:val="23"/>
                <w:szCs w:val="23"/>
              </w:rPr>
              <w:t>A</w:t>
            </w:r>
          </w:p>
        </w:tc>
        <w:tc>
          <w:tcPr>
            <w:tcW w:w="2681" w:type="dxa"/>
            <w:tcBorders>
              <w:top w:val="single" w:sz="4" w:space="0" w:color="auto"/>
              <w:left w:val="single" w:sz="4" w:space="0" w:color="auto"/>
              <w:bottom w:val="single" w:sz="4" w:space="0" w:color="auto"/>
              <w:right w:val="single" w:sz="4" w:space="0" w:color="auto"/>
            </w:tcBorders>
            <w:hideMark/>
          </w:tcPr>
          <w:p w14:paraId="3D2BFB85" w14:textId="77777777" w:rsidR="00AB4AEE" w:rsidRPr="0026423E" w:rsidRDefault="00AB4AEE" w:rsidP="0026423E">
            <w:pPr>
              <w:spacing w:after="0" w:line="240" w:lineRule="auto"/>
              <w:jc w:val="center"/>
              <w:rPr>
                <w:rFonts w:ascii="Times New Roman" w:hAnsi="Times New Roman" w:cs="Times New Roman"/>
                <w:color w:val="000000"/>
                <w:sz w:val="23"/>
                <w:szCs w:val="23"/>
              </w:rPr>
            </w:pPr>
            <w:r w:rsidRPr="0026423E">
              <w:rPr>
                <w:rFonts w:ascii="Times New Roman" w:hAnsi="Times New Roman" w:cs="Times New Roman"/>
                <w:color w:val="000000"/>
                <w:sz w:val="23"/>
                <w:szCs w:val="23"/>
              </w:rPr>
              <w:t>B</w:t>
            </w:r>
          </w:p>
        </w:tc>
        <w:tc>
          <w:tcPr>
            <w:tcW w:w="2034" w:type="dxa"/>
            <w:tcBorders>
              <w:top w:val="single" w:sz="4" w:space="0" w:color="auto"/>
              <w:left w:val="single" w:sz="4" w:space="0" w:color="auto"/>
              <w:bottom w:val="single" w:sz="4" w:space="0" w:color="auto"/>
              <w:right w:val="single" w:sz="4" w:space="0" w:color="auto"/>
            </w:tcBorders>
            <w:hideMark/>
          </w:tcPr>
          <w:p w14:paraId="5B5CF1FC" w14:textId="77777777" w:rsidR="00AB4AEE" w:rsidRPr="0026423E" w:rsidRDefault="00AB4AEE" w:rsidP="0026423E">
            <w:pPr>
              <w:spacing w:after="0" w:line="240" w:lineRule="auto"/>
              <w:jc w:val="center"/>
              <w:rPr>
                <w:rFonts w:ascii="Times New Roman" w:hAnsi="Times New Roman" w:cs="Times New Roman"/>
                <w:color w:val="000000"/>
                <w:sz w:val="23"/>
                <w:szCs w:val="23"/>
              </w:rPr>
            </w:pPr>
            <w:r w:rsidRPr="0026423E">
              <w:rPr>
                <w:rFonts w:ascii="Times New Roman" w:hAnsi="Times New Roman" w:cs="Times New Roman"/>
                <w:color w:val="000000"/>
                <w:sz w:val="23"/>
                <w:szCs w:val="23"/>
              </w:rPr>
              <w:t>C</w:t>
            </w:r>
          </w:p>
        </w:tc>
        <w:tc>
          <w:tcPr>
            <w:tcW w:w="2502" w:type="dxa"/>
            <w:tcBorders>
              <w:top w:val="single" w:sz="4" w:space="0" w:color="auto"/>
              <w:left w:val="single" w:sz="4" w:space="0" w:color="auto"/>
              <w:bottom w:val="single" w:sz="4" w:space="0" w:color="auto"/>
              <w:right w:val="single" w:sz="4" w:space="0" w:color="auto"/>
            </w:tcBorders>
            <w:hideMark/>
          </w:tcPr>
          <w:p w14:paraId="17BC3421" w14:textId="77777777" w:rsidR="00AB4AEE" w:rsidRPr="0026423E" w:rsidRDefault="00AB4AEE" w:rsidP="0026423E">
            <w:pPr>
              <w:spacing w:after="0" w:line="240" w:lineRule="auto"/>
              <w:jc w:val="center"/>
              <w:rPr>
                <w:rFonts w:ascii="Times New Roman" w:hAnsi="Times New Roman" w:cs="Times New Roman"/>
                <w:color w:val="000000"/>
                <w:sz w:val="23"/>
                <w:szCs w:val="23"/>
              </w:rPr>
            </w:pPr>
            <w:r w:rsidRPr="0026423E">
              <w:rPr>
                <w:rFonts w:ascii="Times New Roman" w:hAnsi="Times New Roman" w:cs="Times New Roman"/>
                <w:color w:val="000000"/>
                <w:sz w:val="23"/>
                <w:szCs w:val="23"/>
              </w:rPr>
              <w:t>D</w:t>
            </w:r>
          </w:p>
        </w:tc>
      </w:tr>
      <w:tr w:rsidR="00AB4AEE" w14:paraId="0311598E" w14:textId="77777777" w:rsidTr="00FC7DBC">
        <w:tc>
          <w:tcPr>
            <w:tcW w:w="2423" w:type="dxa"/>
            <w:tcBorders>
              <w:top w:val="single" w:sz="4" w:space="0" w:color="auto"/>
              <w:left w:val="single" w:sz="4" w:space="0" w:color="auto"/>
              <w:bottom w:val="single" w:sz="4" w:space="0" w:color="auto"/>
              <w:right w:val="single" w:sz="4" w:space="0" w:color="auto"/>
            </w:tcBorders>
            <w:hideMark/>
          </w:tcPr>
          <w:p w14:paraId="727BB163" w14:textId="1AD5DA42" w:rsidR="00AB4AEE" w:rsidRPr="0026423E" w:rsidRDefault="00AB4AEE" w:rsidP="004C3050">
            <w:pPr>
              <w:spacing w:after="0" w:line="240" w:lineRule="auto"/>
              <w:jc w:val="center"/>
              <w:rPr>
                <w:rFonts w:ascii="Times New Roman" w:hAnsi="Times New Roman" w:cs="Times New Roman"/>
                <w:color w:val="000000"/>
                <w:sz w:val="23"/>
                <w:szCs w:val="23"/>
              </w:rPr>
            </w:pPr>
            <w:r w:rsidRPr="0026423E">
              <w:rPr>
                <w:rFonts w:ascii="Times New Roman" w:hAnsi="Times New Roman" w:cs="Times New Roman"/>
                <w:color w:val="000000"/>
                <w:sz w:val="23"/>
                <w:szCs w:val="23"/>
              </w:rPr>
              <w:t>Attiecīgā ES tiesību akta panta numurs (uzskaitot katru tiesību akta vienību – pantu, daļu, punktu, apakšpunktu)</w:t>
            </w:r>
          </w:p>
        </w:tc>
        <w:tc>
          <w:tcPr>
            <w:tcW w:w="2681" w:type="dxa"/>
            <w:tcBorders>
              <w:top w:val="single" w:sz="4" w:space="0" w:color="auto"/>
              <w:left w:val="single" w:sz="4" w:space="0" w:color="auto"/>
              <w:bottom w:val="single" w:sz="4" w:space="0" w:color="auto"/>
              <w:right w:val="single" w:sz="4" w:space="0" w:color="auto"/>
            </w:tcBorders>
            <w:hideMark/>
          </w:tcPr>
          <w:p w14:paraId="0E5121E6" w14:textId="77777777" w:rsidR="00AB4AEE" w:rsidRPr="0026423E" w:rsidRDefault="00AB4AEE" w:rsidP="00A46782">
            <w:pPr>
              <w:spacing w:after="0" w:line="240" w:lineRule="auto"/>
              <w:jc w:val="center"/>
              <w:rPr>
                <w:rFonts w:ascii="Times New Roman" w:hAnsi="Times New Roman" w:cs="Times New Roman"/>
                <w:color w:val="000000"/>
                <w:sz w:val="23"/>
                <w:szCs w:val="23"/>
              </w:rPr>
            </w:pPr>
            <w:r w:rsidRPr="0026423E">
              <w:rPr>
                <w:rFonts w:ascii="Times New Roman" w:hAnsi="Times New Roman" w:cs="Times New Roman"/>
                <w:color w:val="000000"/>
                <w:sz w:val="23"/>
                <w:szCs w:val="23"/>
              </w:rPr>
              <w:t>Projekta vienība, kas pārņem vai ievieš katru šīs tabulas A ailē minēto ES tiesību akta vienību, vai tiesību akts, kur attiecīgā ES tiesību akta vienība pārņemta vai ieviesta</w:t>
            </w:r>
          </w:p>
        </w:tc>
        <w:tc>
          <w:tcPr>
            <w:tcW w:w="2034" w:type="dxa"/>
            <w:tcBorders>
              <w:top w:val="single" w:sz="4" w:space="0" w:color="auto"/>
              <w:left w:val="single" w:sz="4" w:space="0" w:color="auto"/>
              <w:bottom w:val="single" w:sz="4" w:space="0" w:color="auto"/>
              <w:right w:val="single" w:sz="4" w:space="0" w:color="auto"/>
            </w:tcBorders>
            <w:hideMark/>
          </w:tcPr>
          <w:p w14:paraId="598E1CA4" w14:textId="77777777" w:rsidR="00AB4AEE" w:rsidRPr="0026423E" w:rsidRDefault="00AB4AEE" w:rsidP="00A46782">
            <w:pPr>
              <w:pStyle w:val="naiskr"/>
              <w:spacing w:before="0" w:beforeAutospacing="0" w:after="0" w:afterAutospacing="0"/>
              <w:jc w:val="center"/>
              <w:rPr>
                <w:color w:val="000000"/>
                <w:sz w:val="23"/>
                <w:szCs w:val="23"/>
                <w:lang w:eastAsia="en-US"/>
              </w:rPr>
            </w:pPr>
            <w:r w:rsidRPr="0026423E">
              <w:rPr>
                <w:color w:val="000000"/>
                <w:sz w:val="23"/>
                <w:szCs w:val="23"/>
                <w:lang w:eastAsia="en-US"/>
              </w:rPr>
              <w:t>Informācija par to, vai šīs tabulas A ailē minētās ES tiesību akta vienības tiek pārņemtas vai ieviestas pilnībā vai daļēji.</w:t>
            </w:r>
          </w:p>
          <w:p w14:paraId="3BEDA03C" w14:textId="77777777" w:rsidR="00AB4AEE" w:rsidRPr="0026423E" w:rsidRDefault="00AB4AEE" w:rsidP="00A46782">
            <w:pPr>
              <w:pStyle w:val="naiskr"/>
              <w:spacing w:before="0" w:beforeAutospacing="0" w:after="0" w:afterAutospacing="0"/>
              <w:jc w:val="center"/>
              <w:rPr>
                <w:color w:val="000000"/>
                <w:sz w:val="23"/>
                <w:szCs w:val="23"/>
                <w:lang w:eastAsia="en-US"/>
              </w:rPr>
            </w:pPr>
            <w:r w:rsidRPr="0026423E">
              <w:rPr>
                <w:color w:val="000000"/>
                <w:sz w:val="23"/>
                <w:szCs w:val="23"/>
                <w:lang w:eastAsia="en-US"/>
              </w:rPr>
              <w:lastRenderedPageBreak/>
              <w:t>Ja attiecīgā ES tiesību akta vienība tiek pārņemta vai ieviesta daļēji, – sniedz attiecīgu skaidrojumu, kā arī precīzi norāda, kad un kādā veidā ES tiesību akta vienība tiks pārņemta vai ieviesta pilnībā.</w:t>
            </w:r>
          </w:p>
          <w:p w14:paraId="262903C7" w14:textId="77777777" w:rsidR="00AB4AEE" w:rsidRPr="0026423E" w:rsidRDefault="00AB4AEE" w:rsidP="00A46782">
            <w:pPr>
              <w:spacing w:after="0" w:line="240" w:lineRule="auto"/>
              <w:jc w:val="center"/>
              <w:rPr>
                <w:rFonts w:ascii="Times New Roman" w:hAnsi="Times New Roman" w:cs="Times New Roman"/>
                <w:color w:val="000000"/>
                <w:sz w:val="23"/>
                <w:szCs w:val="23"/>
              </w:rPr>
            </w:pPr>
            <w:r w:rsidRPr="0026423E">
              <w:rPr>
                <w:rFonts w:ascii="Times New Roman" w:hAnsi="Times New Roman" w:cs="Times New Roman"/>
                <w:color w:val="000000"/>
                <w:sz w:val="23"/>
                <w:szCs w:val="23"/>
              </w:rPr>
              <w:t>Norāda institūciju, kas ir atbildīga par šo saistību izpildi pilnībā</w:t>
            </w:r>
          </w:p>
        </w:tc>
        <w:tc>
          <w:tcPr>
            <w:tcW w:w="2502" w:type="dxa"/>
            <w:tcBorders>
              <w:top w:val="single" w:sz="4" w:space="0" w:color="auto"/>
              <w:left w:val="single" w:sz="4" w:space="0" w:color="auto"/>
              <w:bottom w:val="single" w:sz="4" w:space="0" w:color="auto"/>
              <w:right w:val="single" w:sz="4" w:space="0" w:color="auto"/>
            </w:tcBorders>
            <w:hideMark/>
          </w:tcPr>
          <w:p w14:paraId="0E82A4F0" w14:textId="77777777" w:rsidR="00AB4AEE" w:rsidRPr="0026423E" w:rsidRDefault="00AB4AEE" w:rsidP="00A46782">
            <w:pPr>
              <w:pStyle w:val="naiskr"/>
              <w:spacing w:before="0" w:beforeAutospacing="0" w:after="0" w:afterAutospacing="0"/>
              <w:jc w:val="center"/>
              <w:rPr>
                <w:color w:val="000000"/>
                <w:sz w:val="23"/>
                <w:szCs w:val="23"/>
                <w:lang w:eastAsia="en-US"/>
              </w:rPr>
            </w:pPr>
            <w:r w:rsidRPr="0026423E">
              <w:rPr>
                <w:color w:val="000000"/>
                <w:sz w:val="23"/>
                <w:szCs w:val="23"/>
                <w:lang w:eastAsia="en-US"/>
              </w:rPr>
              <w:lastRenderedPageBreak/>
              <w:t>Informācija par to, vai šīs tabulas B ailē minētās projekta vienības paredz stingrākas prasības nekā šīs tabulas A ailē minētās ES tiesību akta vienības.</w:t>
            </w:r>
          </w:p>
          <w:p w14:paraId="44FE5524" w14:textId="77777777" w:rsidR="00AB4AEE" w:rsidRPr="0026423E" w:rsidRDefault="00AB4AEE" w:rsidP="00A46782">
            <w:pPr>
              <w:pStyle w:val="naiskr"/>
              <w:spacing w:before="0" w:beforeAutospacing="0" w:after="0" w:afterAutospacing="0"/>
              <w:jc w:val="center"/>
              <w:rPr>
                <w:color w:val="000000"/>
                <w:sz w:val="23"/>
                <w:szCs w:val="23"/>
                <w:lang w:eastAsia="en-US"/>
              </w:rPr>
            </w:pPr>
            <w:r w:rsidRPr="0026423E">
              <w:rPr>
                <w:color w:val="000000"/>
                <w:sz w:val="23"/>
                <w:szCs w:val="23"/>
                <w:lang w:eastAsia="en-US"/>
              </w:rPr>
              <w:lastRenderedPageBreak/>
              <w:t>Ja projekts satur stingrākas prasības nekā attiecīgais ES tiesību akts, – norāda pamatojumu un samērīgumu.</w:t>
            </w:r>
          </w:p>
          <w:p w14:paraId="6C152AA1" w14:textId="77777777" w:rsidR="00AB4AEE" w:rsidRPr="0026423E" w:rsidRDefault="00AB4AEE" w:rsidP="00A46782">
            <w:pPr>
              <w:spacing w:after="0" w:line="240" w:lineRule="auto"/>
              <w:jc w:val="center"/>
              <w:rPr>
                <w:rFonts w:ascii="Times New Roman" w:hAnsi="Times New Roman" w:cs="Times New Roman"/>
                <w:color w:val="000000"/>
                <w:sz w:val="23"/>
                <w:szCs w:val="23"/>
              </w:rPr>
            </w:pPr>
            <w:r w:rsidRPr="0026423E">
              <w:rPr>
                <w:rFonts w:ascii="Times New Roman" w:hAnsi="Times New Roman" w:cs="Times New Roman"/>
                <w:color w:val="000000"/>
                <w:sz w:val="23"/>
                <w:szCs w:val="23"/>
              </w:rPr>
              <w:t>Norāda iespējamās alternatīvas (t.sk. alternatīvas, kas neparedz tiesiskā regulējuma izstrādi) – kādos gadījumos būtu iespējams izvairīties no stingrāku prasību noteikšanas, nekā paredzēts attiecīgajos ES tiesību aktos</w:t>
            </w:r>
          </w:p>
        </w:tc>
      </w:tr>
      <w:tr w:rsidR="00AB4AEE" w14:paraId="42924029" w14:textId="77777777" w:rsidTr="00FC7DBC">
        <w:tc>
          <w:tcPr>
            <w:tcW w:w="2423" w:type="dxa"/>
            <w:tcBorders>
              <w:top w:val="single" w:sz="4" w:space="0" w:color="auto"/>
              <w:left w:val="single" w:sz="4" w:space="0" w:color="auto"/>
              <w:bottom w:val="single" w:sz="4" w:space="0" w:color="auto"/>
              <w:right w:val="single" w:sz="4" w:space="0" w:color="auto"/>
            </w:tcBorders>
            <w:hideMark/>
          </w:tcPr>
          <w:p w14:paraId="4BA541D3" w14:textId="5E705A21" w:rsidR="00AB4AEE" w:rsidRPr="0026423E" w:rsidRDefault="00AB4AEE" w:rsidP="0026423E">
            <w:pPr>
              <w:pStyle w:val="naiskr"/>
              <w:spacing w:before="0" w:beforeAutospacing="0" w:after="0" w:afterAutospacing="0"/>
              <w:rPr>
                <w:color w:val="000000"/>
                <w:sz w:val="23"/>
                <w:szCs w:val="23"/>
                <w:lang w:eastAsia="en-US"/>
              </w:rPr>
            </w:pPr>
            <w:r w:rsidRPr="0026423E">
              <w:rPr>
                <w:color w:val="000000"/>
                <w:sz w:val="23"/>
                <w:szCs w:val="23"/>
                <w:lang w:eastAsia="en-US"/>
              </w:rPr>
              <w:lastRenderedPageBreak/>
              <w:t>Komisijas regulas Nr.1407/2013</w:t>
            </w:r>
            <w:r w:rsidR="00614C1E" w:rsidRPr="0026423E">
              <w:rPr>
                <w:color w:val="000000"/>
                <w:sz w:val="23"/>
                <w:szCs w:val="23"/>
                <w:lang w:eastAsia="en-US"/>
              </w:rPr>
              <w:t xml:space="preserve"> </w:t>
            </w:r>
            <w:r w:rsidRPr="0026423E">
              <w:rPr>
                <w:color w:val="000000"/>
                <w:sz w:val="23"/>
                <w:szCs w:val="23"/>
                <w:lang w:eastAsia="en-US"/>
              </w:rPr>
              <w:t>1.panta 1.punkts</w:t>
            </w:r>
          </w:p>
        </w:tc>
        <w:tc>
          <w:tcPr>
            <w:tcW w:w="2681" w:type="dxa"/>
            <w:tcBorders>
              <w:top w:val="single" w:sz="4" w:space="0" w:color="auto"/>
              <w:left w:val="single" w:sz="4" w:space="0" w:color="auto"/>
              <w:bottom w:val="single" w:sz="4" w:space="0" w:color="auto"/>
              <w:right w:val="single" w:sz="4" w:space="0" w:color="auto"/>
            </w:tcBorders>
            <w:hideMark/>
          </w:tcPr>
          <w:p w14:paraId="1DDB2010" w14:textId="1C94E9CC" w:rsidR="00AB4AEE" w:rsidRPr="002470CD" w:rsidRDefault="00AB4AEE" w:rsidP="00461C16">
            <w:pPr>
              <w:spacing w:after="0" w:line="240" w:lineRule="auto"/>
              <w:jc w:val="center"/>
              <w:rPr>
                <w:rFonts w:ascii="Times New Roman" w:hAnsi="Times New Roman" w:cs="Times New Roman"/>
                <w:iCs/>
                <w:color w:val="000000"/>
                <w:sz w:val="23"/>
                <w:szCs w:val="23"/>
              </w:rPr>
            </w:pPr>
            <w:r w:rsidRPr="002470CD">
              <w:rPr>
                <w:rFonts w:ascii="Times New Roman" w:hAnsi="Times New Roman" w:cs="Times New Roman"/>
                <w:iCs/>
                <w:color w:val="000000"/>
                <w:sz w:val="23"/>
                <w:szCs w:val="23"/>
              </w:rPr>
              <w:t xml:space="preserve">MK noteikumu projekta </w:t>
            </w:r>
            <w:r w:rsidR="007B3747" w:rsidRPr="002470CD">
              <w:rPr>
                <w:rFonts w:ascii="Times New Roman" w:hAnsi="Times New Roman" w:cs="Times New Roman"/>
                <w:iCs/>
                <w:color w:val="000000"/>
                <w:sz w:val="23"/>
                <w:szCs w:val="23"/>
              </w:rPr>
              <w:t>4</w:t>
            </w:r>
            <w:r w:rsidR="007B3747">
              <w:rPr>
                <w:rFonts w:ascii="Times New Roman" w:hAnsi="Times New Roman" w:cs="Times New Roman"/>
                <w:iCs/>
                <w:color w:val="000000"/>
                <w:sz w:val="23"/>
                <w:szCs w:val="23"/>
              </w:rPr>
              <w:t>2</w:t>
            </w:r>
            <w:r w:rsidRPr="002470CD">
              <w:rPr>
                <w:rFonts w:ascii="Times New Roman" w:hAnsi="Times New Roman" w:cs="Times New Roman"/>
                <w:iCs/>
                <w:color w:val="000000"/>
                <w:sz w:val="23"/>
                <w:szCs w:val="23"/>
              </w:rPr>
              <w:t>.</w:t>
            </w:r>
            <w:r w:rsidR="00614C1E" w:rsidRPr="002470CD">
              <w:rPr>
                <w:rFonts w:ascii="Times New Roman" w:hAnsi="Times New Roman" w:cs="Times New Roman"/>
                <w:iCs/>
                <w:color w:val="000000"/>
                <w:sz w:val="23"/>
                <w:szCs w:val="23"/>
              </w:rPr>
              <w:t xml:space="preserve"> un </w:t>
            </w:r>
            <w:r w:rsidR="007B3747" w:rsidRPr="002470CD">
              <w:rPr>
                <w:rFonts w:ascii="Times New Roman" w:hAnsi="Times New Roman" w:cs="Times New Roman"/>
                <w:iCs/>
                <w:color w:val="000000"/>
                <w:sz w:val="23"/>
                <w:szCs w:val="23"/>
              </w:rPr>
              <w:t>4</w:t>
            </w:r>
            <w:r w:rsidR="007B3747">
              <w:rPr>
                <w:rFonts w:ascii="Times New Roman" w:hAnsi="Times New Roman" w:cs="Times New Roman"/>
                <w:iCs/>
                <w:color w:val="000000"/>
                <w:sz w:val="23"/>
                <w:szCs w:val="23"/>
              </w:rPr>
              <w:t>3</w:t>
            </w:r>
            <w:r w:rsidR="00614C1E" w:rsidRPr="002470CD">
              <w:rPr>
                <w:rFonts w:ascii="Times New Roman" w:hAnsi="Times New Roman" w:cs="Times New Roman"/>
                <w:iCs/>
                <w:color w:val="000000"/>
                <w:sz w:val="23"/>
                <w:szCs w:val="23"/>
              </w:rPr>
              <w:t>.</w:t>
            </w:r>
            <w:r w:rsidRPr="002470CD">
              <w:rPr>
                <w:rFonts w:ascii="Times New Roman" w:hAnsi="Times New Roman" w:cs="Times New Roman"/>
                <w:iCs/>
                <w:color w:val="000000"/>
                <w:sz w:val="23"/>
                <w:szCs w:val="23"/>
              </w:rPr>
              <w:t xml:space="preserve">punkts </w:t>
            </w:r>
          </w:p>
        </w:tc>
        <w:tc>
          <w:tcPr>
            <w:tcW w:w="2034" w:type="dxa"/>
            <w:tcBorders>
              <w:top w:val="single" w:sz="4" w:space="0" w:color="auto"/>
              <w:left w:val="single" w:sz="4" w:space="0" w:color="auto"/>
              <w:bottom w:val="single" w:sz="4" w:space="0" w:color="auto"/>
              <w:right w:val="single" w:sz="4" w:space="0" w:color="auto"/>
            </w:tcBorders>
            <w:vAlign w:val="center"/>
            <w:hideMark/>
          </w:tcPr>
          <w:p w14:paraId="7A69B936" w14:textId="77777777" w:rsidR="00AB4AEE" w:rsidRPr="00FC7DBC" w:rsidRDefault="00AB4AEE" w:rsidP="0026423E">
            <w:pPr>
              <w:spacing w:after="0" w:line="240" w:lineRule="auto"/>
              <w:jc w:val="center"/>
              <w:rPr>
                <w:rFonts w:ascii="Times New Roman" w:hAnsi="Times New Roman" w:cs="Times New Roman"/>
                <w:iCs/>
                <w:color w:val="000000"/>
                <w:sz w:val="23"/>
                <w:szCs w:val="23"/>
              </w:rPr>
            </w:pPr>
            <w:r w:rsidRPr="00FC7DBC">
              <w:rPr>
                <w:rFonts w:ascii="Times New Roman" w:hAnsi="Times New Roman" w:cs="Times New Roman"/>
                <w:iCs/>
                <w:color w:val="000000"/>
                <w:sz w:val="23"/>
                <w:szCs w:val="23"/>
              </w:rPr>
              <w:t>Vienība tiek ieviesta pilnībā.</w:t>
            </w:r>
          </w:p>
        </w:tc>
        <w:tc>
          <w:tcPr>
            <w:tcW w:w="2502" w:type="dxa"/>
            <w:tcBorders>
              <w:top w:val="single" w:sz="4" w:space="0" w:color="auto"/>
              <w:left w:val="single" w:sz="4" w:space="0" w:color="auto"/>
              <w:bottom w:val="single" w:sz="4" w:space="0" w:color="auto"/>
              <w:right w:val="single" w:sz="4" w:space="0" w:color="auto"/>
            </w:tcBorders>
            <w:hideMark/>
          </w:tcPr>
          <w:p w14:paraId="44F33DAF" w14:textId="77777777" w:rsidR="00AB4AEE" w:rsidRPr="00FC7DBC" w:rsidRDefault="00AB4AEE" w:rsidP="0026423E">
            <w:pPr>
              <w:spacing w:after="0" w:line="240" w:lineRule="auto"/>
              <w:jc w:val="center"/>
              <w:rPr>
                <w:rFonts w:ascii="Times New Roman" w:hAnsi="Times New Roman" w:cs="Times New Roman"/>
                <w:iCs/>
                <w:color w:val="000000"/>
                <w:sz w:val="23"/>
                <w:szCs w:val="23"/>
              </w:rPr>
            </w:pPr>
            <w:r w:rsidRPr="00FC7DBC">
              <w:rPr>
                <w:rFonts w:ascii="Times New Roman" w:hAnsi="Times New Roman" w:cs="Times New Roman"/>
                <w:iCs/>
                <w:color w:val="000000"/>
                <w:sz w:val="23"/>
                <w:szCs w:val="23"/>
              </w:rPr>
              <w:t>Netiek paredzētas stingrākas prasības.</w:t>
            </w:r>
          </w:p>
        </w:tc>
      </w:tr>
      <w:tr w:rsidR="00AB4AEE" w14:paraId="6F673659" w14:textId="77777777" w:rsidTr="00FC7DBC">
        <w:tc>
          <w:tcPr>
            <w:tcW w:w="2423" w:type="dxa"/>
            <w:tcBorders>
              <w:top w:val="single" w:sz="4" w:space="0" w:color="auto"/>
              <w:left w:val="single" w:sz="4" w:space="0" w:color="auto"/>
              <w:bottom w:val="single" w:sz="4" w:space="0" w:color="auto"/>
              <w:right w:val="single" w:sz="4" w:space="0" w:color="auto"/>
            </w:tcBorders>
            <w:hideMark/>
          </w:tcPr>
          <w:p w14:paraId="7FB439B6" w14:textId="77777777" w:rsidR="00AB4AEE" w:rsidRPr="0026423E" w:rsidRDefault="00AB4AEE" w:rsidP="0026423E">
            <w:pPr>
              <w:pStyle w:val="naiskr"/>
              <w:spacing w:before="0" w:beforeAutospacing="0" w:after="0" w:afterAutospacing="0"/>
              <w:rPr>
                <w:color w:val="000000"/>
                <w:sz w:val="23"/>
                <w:szCs w:val="23"/>
                <w:lang w:eastAsia="en-US"/>
              </w:rPr>
            </w:pPr>
            <w:r w:rsidRPr="0026423E">
              <w:rPr>
                <w:color w:val="000000"/>
                <w:sz w:val="23"/>
                <w:szCs w:val="23"/>
                <w:lang w:eastAsia="en-US"/>
              </w:rPr>
              <w:t>Komisijas regulas Nr.717/2014 1.panta 1.punkts</w:t>
            </w:r>
          </w:p>
        </w:tc>
        <w:tc>
          <w:tcPr>
            <w:tcW w:w="2681" w:type="dxa"/>
            <w:tcBorders>
              <w:top w:val="single" w:sz="4" w:space="0" w:color="auto"/>
              <w:left w:val="single" w:sz="4" w:space="0" w:color="auto"/>
              <w:bottom w:val="single" w:sz="4" w:space="0" w:color="auto"/>
              <w:right w:val="single" w:sz="4" w:space="0" w:color="auto"/>
            </w:tcBorders>
            <w:hideMark/>
          </w:tcPr>
          <w:p w14:paraId="4016ECA2" w14:textId="17DA01D1" w:rsidR="00AB4AEE" w:rsidRPr="002470CD" w:rsidRDefault="00506B4C" w:rsidP="00461C16">
            <w:pPr>
              <w:spacing w:after="0" w:line="240" w:lineRule="auto"/>
              <w:jc w:val="center"/>
              <w:rPr>
                <w:rFonts w:ascii="Times New Roman" w:hAnsi="Times New Roman" w:cs="Times New Roman"/>
                <w:iCs/>
                <w:color w:val="000000"/>
                <w:sz w:val="23"/>
                <w:szCs w:val="23"/>
              </w:rPr>
            </w:pPr>
            <w:r w:rsidRPr="002470CD">
              <w:rPr>
                <w:rFonts w:ascii="Times New Roman" w:hAnsi="Times New Roman" w:cs="Times New Roman"/>
                <w:iCs/>
                <w:color w:val="000000"/>
                <w:sz w:val="23"/>
                <w:szCs w:val="23"/>
              </w:rPr>
              <w:t xml:space="preserve">MK noteikumu projekta </w:t>
            </w:r>
            <w:r w:rsidR="007B3747" w:rsidRPr="002470CD">
              <w:rPr>
                <w:rFonts w:ascii="Times New Roman" w:hAnsi="Times New Roman" w:cs="Times New Roman"/>
                <w:iCs/>
                <w:color w:val="000000"/>
                <w:sz w:val="23"/>
                <w:szCs w:val="23"/>
              </w:rPr>
              <w:t>4</w:t>
            </w:r>
            <w:r w:rsidR="007B3747">
              <w:rPr>
                <w:rFonts w:ascii="Times New Roman" w:hAnsi="Times New Roman" w:cs="Times New Roman"/>
                <w:iCs/>
                <w:color w:val="000000"/>
                <w:sz w:val="23"/>
                <w:szCs w:val="23"/>
              </w:rPr>
              <w:t>2</w:t>
            </w:r>
            <w:r w:rsidRPr="002470CD">
              <w:rPr>
                <w:rFonts w:ascii="Times New Roman" w:hAnsi="Times New Roman" w:cs="Times New Roman"/>
                <w:iCs/>
                <w:color w:val="000000"/>
                <w:sz w:val="23"/>
                <w:szCs w:val="23"/>
              </w:rPr>
              <w:t xml:space="preserve">. un </w:t>
            </w:r>
            <w:r w:rsidR="007B3747" w:rsidRPr="002470CD">
              <w:rPr>
                <w:rFonts w:ascii="Times New Roman" w:hAnsi="Times New Roman" w:cs="Times New Roman"/>
                <w:iCs/>
                <w:color w:val="000000"/>
                <w:sz w:val="23"/>
                <w:szCs w:val="23"/>
              </w:rPr>
              <w:t>4</w:t>
            </w:r>
            <w:r w:rsidR="007B3747">
              <w:rPr>
                <w:rFonts w:ascii="Times New Roman" w:hAnsi="Times New Roman" w:cs="Times New Roman"/>
                <w:iCs/>
                <w:color w:val="000000"/>
                <w:sz w:val="23"/>
                <w:szCs w:val="23"/>
              </w:rPr>
              <w:t>3</w:t>
            </w:r>
            <w:r w:rsidRPr="002470CD">
              <w:rPr>
                <w:rFonts w:ascii="Times New Roman" w:hAnsi="Times New Roman" w:cs="Times New Roman"/>
                <w:iCs/>
                <w:color w:val="000000"/>
                <w:sz w:val="23"/>
                <w:szCs w:val="23"/>
              </w:rPr>
              <w:t>.punkts</w:t>
            </w:r>
          </w:p>
        </w:tc>
        <w:tc>
          <w:tcPr>
            <w:tcW w:w="2034" w:type="dxa"/>
            <w:tcBorders>
              <w:top w:val="single" w:sz="4" w:space="0" w:color="auto"/>
              <w:left w:val="single" w:sz="4" w:space="0" w:color="auto"/>
              <w:bottom w:val="single" w:sz="4" w:space="0" w:color="auto"/>
              <w:right w:val="single" w:sz="4" w:space="0" w:color="auto"/>
            </w:tcBorders>
            <w:vAlign w:val="center"/>
            <w:hideMark/>
          </w:tcPr>
          <w:p w14:paraId="4A80E3E2" w14:textId="77777777" w:rsidR="00AB4AEE" w:rsidRPr="00FC7DBC" w:rsidRDefault="00AB4AEE" w:rsidP="0026423E">
            <w:pPr>
              <w:spacing w:after="0" w:line="240" w:lineRule="auto"/>
              <w:jc w:val="center"/>
              <w:rPr>
                <w:rFonts w:ascii="Times New Roman" w:hAnsi="Times New Roman" w:cs="Times New Roman"/>
                <w:iCs/>
                <w:color w:val="000000"/>
                <w:sz w:val="23"/>
                <w:szCs w:val="23"/>
              </w:rPr>
            </w:pPr>
            <w:r w:rsidRPr="00FC7DBC">
              <w:rPr>
                <w:rFonts w:ascii="Times New Roman" w:hAnsi="Times New Roman" w:cs="Times New Roman"/>
                <w:iCs/>
                <w:color w:val="000000"/>
                <w:sz w:val="23"/>
                <w:szCs w:val="23"/>
              </w:rPr>
              <w:t>Vienība tiek ieviesta pilnībā.</w:t>
            </w:r>
          </w:p>
        </w:tc>
        <w:tc>
          <w:tcPr>
            <w:tcW w:w="2502" w:type="dxa"/>
            <w:tcBorders>
              <w:top w:val="single" w:sz="4" w:space="0" w:color="auto"/>
              <w:left w:val="single" w:sz="4" w:space="0" w:color="auto"/>
              <w:bottom w:val="single" w:sz="4" w:space="0" w:color="auto"/>
              <w:right w:val="single" w:sz="4" w:space="0" w:color="auto"/>
            </w:tcBorders>
            <w:hideMark/>
          </w:tcPr>
          <w:p w14:paraId="4DB3378F" w14:textId="77777777" w:rsidR="00AB4AEE" w:rsidRPr="00FC7DBC" w:rsidRDefault="00AB4AEE" w:rsidP="0026423E">
            <w:pPr>
              <w:spacing w:after="0" w:line="240" w:lineRule="auto"/>
              <w:jc w:val="center"/>
              <w:rPr>
                <w:rFonts w:ascii="Times New Roman" w:hAnsi="Times New Roman" w:cs="Times New Roman"/>
                <w:iCs/>
                <w:color w:val="000000"/>
                <w:sz w:val="23"/>
                <w:szCs w:val="23"/>
              </w:rPr>
            </w:pPr>
            <w:r w:rsidRPr="00FC7DBC">
              <w:rPr>
                <w:rFonts w:ascii="Times New Roman" w:hAnsi="Times New Roman" w:cs="Times New Roman"/>
                <w:iCs/>
                <w:color w:val="000000"/>
                <w:sz w:val="23"/>
                <w:szCs w:val="23"/>
              </w:rPr>
              <w:t>Netiek paredzētas stingrākas prasības.</w:t>
            </w:r>
          </w:p>
        </w:tc>
      </w:tr>
      <w:tr w:rsidR="00AB4AEE" w14:paraId="11FDBF8C" w14:textId="77777777" w:rsidTr="00FC7DBC">
        <w:tc>
          <w:tcPr>
            <w:tcW w:w="2423" w:type="dxa"/>
            <w:tcBorders>
              <w:top w:val="single" w:sz="4" w:space="0" w:color="auto"/>
              <w:left w:val="single" w:sz="4" w:space="0" w:color="auto"/>
              <w:bottom w:val="single" w:sz="4" w:space="0" w:color="auto"/>
              <w:right w:val="single" w:sz="4" w:space="0" w:color="auto"/>
            </w:tcBorders>
            <w:hideMark/>
          </w:tcPr>
          <w:p w14:paraId="659CE685" w14:textId="77777777" w:rsidR="00AB4AEE" w:rsidRPr="0026423E" w:rsidRDefault="00AB4AEE" w:rsidP="0026423E">
            <w:pPr>
              <w:pStyle w:val="naiskr"/>
              <w:spacing w:before="0" w:beforeAutospacing="0" w:after="0" w:afterAutospacing="0"/>
              <w:rPr>
                <w:color w:val="000000"/>
                <w:sz w:val="23"/>
                <w:szCs w:val="23"/>
                <w:lang w:eastAsia="en-US"/>
              </w:rPr>
            </w:pPr>
            <w:r w:rsidRPr="0026423E">
              <w:rPr>
                <w:color w:val="000000"/>
                <w:sz w:val="23"/>
                <w:szCs w:val="23"/>
                <w:lang w:eastAsia="en-US"/>
              </w:rPr>
              <w:t>Komisijas regulas Nr.1408/2013 1.panta 1.punkts</w:t>
            </w:r>
          </w:p>
        </w:tc>
        <w:tc>
          <w:tcPr>
            <w:tcW w:w="2681" w:type="dxa"/>
            <w:tcBorders>
              <w:top w:val="single" w:sz="4" w:space="0" w:color="auto"/>
              <w:left w:val="single" w:sz="4" w:space="0" w:color="auto"/>
              <w:bottom w:val="single" w:sz="4" w:space="0" w:color="auto"/>
              <w:right w:val="single" w:sz="4" w:space="0" w:color="auto"/>
            </w:tcBorders>
            <w:hideMark/>
          </w:tcPr>
          <w:p w14:paraId="4F4475A0" w14:textId="22E77F43" w:rsidR="00AB4AEE" w:rsidRPr="002470CD" w:rsidRDefault="001E1768" w:rsidP="001E1768">
            <w:pPr>
              <w:spacing w:after="0" w:line="240" w:lineRule="auto"/>
              <w:jc w:val="center"/>
              <w:rPr>
                <w:rFonts w:ascii="Times New Roman" w:hAnsi="Times New Roman" w:cs="Times New Roman"/>
                <w:iCs/>
                <w:color w:val="000000"/>
                <w:sz w:val="23"/>
                <w:szCs w:val="23"/>
              </w:rPr>
            </w:pPr>
            <w:r w:rsidRPr="002470CD">
              <w:rPr>
                <w:rFonts w:ascii="Times New Roman" w:hAnsi="Times New Roman" w:cs="Times New Roman"/>
                <w:iCs/>
                <w:color w:val="000000"/>
                <w:sz w:val="23"/>
                <w:szCs w:val="23"/>
              </w:rPr>
              <w:t>MK noteikumu projekta 4</w:t>
            </w:r>
            <w:r>
              <w:rPr>
                <w:rFonts w:ascii="Times New Roman" w:hAnsi="Times New Roman" w:cs="Times New Roman"/>
                <w:iCs/>
                <w:color w:val="000000"/>
                <w:sz w:val="23"/>
                <w:szCs w:val="23"/>
              </w:rPr>
              <w:t>2</w:t>
            </w:r>
            <w:r w:rsidRPr="002470CD">
              <w:rPr>
                <w:rFonts w:ascii="Times New Roman" w:hAnsi="Times New Roman" w:cs="Times New Roman"/>
                <w:iCs/>
                <w:color w:val="000000"/>
                <w:sz w:val="23"/>
                <w:szCs w:val="23"/>
              </w:rPr>
              <w:t>. un 4</w:t>
            </w:r>
            <w:r>
              <w:rPr>
                <w:rFonts w:ascii="Times New Roman" w:hAnsi="Times New Roman" w:cs="Times New Roman"/>
                <w:iCs/>
                <w:color w:val="000000"/>
                <w:sz w:val="23"/>
                <w:szCs w:val="23"/>
              </w:rPr>
              <w:t>3</w:t>
            </w:r>
            <w:r w:rsidRPr="002470CD">
              <w:rPr>
                <w:rFonts w:ascii="Times New Roman" w:hAnsi="Times New Roman" w:cs="Times New Roman"/>
                <w:iCs/>
                <w:color w:val="000000"/>
                <w:sz w:val="23"/>
                <w:szCs w:val="23"/>
              </w:rPr>
              <w:t>.punkts</w:t>
            </w:r>
          </w:p>
        </w:tc>
        <w:tc>
          <w:tcPr>
            <w:tcW w:w="2034" w:type="dxa"/>
            <w:tcBorders>
              <w:top w:val="single" w:sz="4" w:space="0" w:color="auto"/>
              <w:left w:val="single" w:sz="4" w:space="0" w:color="auto"/>
              <w:bottom w:val="single" w:sz="4" w:space="0" w:color="auto"/>
              <w:right w:val="single" w:sz="4" w:space="0" w:color="auto"/>
            </w:tcBorders>
            <w:vAlign w:val="center"/>
            <w:hideMark/>
          </w:tcPr>
          <w:p w14:paraId="106157E4" w14:textId="77777777" w:rsidR="00AB4AEE" w:rsidRPr="00FC7DBC" w:rsidRDefault="00AB4AEE" w:rsidP="0026423E">
            <w:pPr>
              <w:spacing w:after="0" w:line="240" w:lineRule="auto"/>
              <w:jc w:val="center"/>
              <w:rPr>
                <w:rFonts w:ascii="Times New Roman" w:hAnsi="Times New Roman" w:cs="Times New Roman"/>
                <w:iCs/>
                <w:color w:val="000000"/>
                <w:sz w:val="23"/>
                <w:szCs w:val="23"/>
              </w:rPr>
            </w:pPr>
            <w:r w:rsidRPr="00FC7DBC">
              <w:rPr>
                <w:rFonts w:ascii="Times New Roman" w:hAnsi="Times New Roman" w:cs="Times New Roman"/>
                <w:iCs/>
                <w:color w:val="000000"/>
                <w:sz w:val="23"/>
                <w:szCs w:val="23"/>
              </w:rPr>
              <w:t>Vienība tiek ieviesta pilnībā.</w:t>
            </w:r>
          </w:p>
        </w:tc>
        <w:tc>
          <w:tcPr>
            <w:tcW w:w="2502" w:type="dxa"/>
            <w:tcBorders>
              <w:top w:val="single" w:sz="4" w:space="0" w:color="auto"/>
              <w:left w:val="single" w:sz="4" w:space="0" w:color="auto"/>
              <w:bottom w:val="single" w:sz="4" w:space="0" w:color="auto"/>
              <w:right w:val="single" w:sz="4" w:space="0" w:color="auto"/>
            </w:tcBorders>
            <w:hideMark/>
          </w:tcPr>
          <w:p w14:paraId="0175745D" w14:textId="77777777" w:rsidR="00AB4AEE" w:rsidRPr="00FC7DBC" w:rsidRDefault="00AB4AEE" w:rsidP="0026423E">
            <w:pPr>
              <w:spacing w:after="0" w:line="240" w:lineRule="auto"/>
              <w:jc w:val="center"/>
              <w:rPr>
                <w:rFonts w:ascii="Times New Roman" w:hAnsi="Times New Roman" w:cs="Times New Roman"/>
                <w:iCs/>
                <w:color w:val="000000"/>
                <w:sz w:val="23"/>
                <w:szCs w:val="23"/>
              </w:rPr>
            </w:pPr>
            <w:r w:rsidRPr="00FC7DBC">
              <w:rPr>
                <w:rFonts w:ascii="Times New Roman" w:hAnsi="Times New Roman" w:cs="Times New Roman"/>
                <w:iCs/>
                <w:color w:val="000000"/>
                <w:sz w:val="23"/>
                <w:szCs w:val="23"/>
              </w:rPr>
              <w:t>Netiek paredzētas stingrākas prasības.</w:t>
            </w:r>
          </w:p>
        </w:tc>
      </w:tr>
      <w:tr w:rsidR="00AB4AEE" w14:paraId="382698DA" w14:textId="77777777" w:rsidTr="00FC7DBC">
        <w:tc>
          <w:tcPr>
            <w:tcW w:w="2423" w:type="dxa"/>
            <w:tcBorders>
              <w:top w:val="single" w:sz="4" w:space="0" w:color="auto"/>
              <w:left w:val="single" w:sz="4" w:space="0" w:color="auto"/>
              <w:bottom w:val="single" w:sz="4" w:space="0" w:color="auto"/>
              <w:right w:val="single" w:sz="4" w:space="0" w:color="auto"/>
            </w:tcBorders>
            <w:hideMark/>
          </w:tcPr>
          <w:p w14:paraId="4EAA1455" w14:textId="77777777" w:rsidR="00AB4AEE" w:rsidRPr="0026423E" w:rsidRDefault="00AB4AEE" w:rsidP="0026423E">
            <w:pPr>
              <w:pStyle w:val="naiskr"/>
              <w:spacing w:before="0" w:beforeAutospacing="0" w:after="0" w:afterAutospacing="0"/>
              <w:rPr>
                <w:color w:val="000000"/>
                <w:sz w:val="23"/>
                <w:szCs w:val="23"/>
                <w:lang w:eastAsia="en-US"/>
              </w:rPr>
            </w:pPr>
            <w:r w:rsidRPr="0026423E">
              <w:rPr>
                <w:color w:val="000000"/>
                <w:sz w:val="23"/>
                <w:szCs w:val="23"/>
                <w:lang w:eastAsia="en-US"/>
              </w:rPr>
              <w:t xml:space="preserve">Komisijas regulas Nr.1407/2013 2.panta 2.punkts; 3.panta 2.punkts </w:t>
            </w:r>
          </w:p>
        </w:tc>
        <w:tc>
          <w:tcPr>
            <w:tcW w:w="2681" w:type="dxa"/>
            <w:tcBorders>
              <w:top w:val="single" w:sz="4" w:space="0" w:color="auto"/>
              <w:left w:val="single" w:sz="4" w:space="0" w:color="auto"/>
              <w:bottom w:val="single" w:sz="4" w:space="0" w:color="auto"/>
              <w:right w:val="single" w:sz="4" w:space="0" w:color="auto"/>
            </w:tcBorders>
            <w:hideMark/>
          </w:tcPr>
          <w:p w14:paraId="6DDAE83D" w14:textId="21846613" w:rsidR="00AB4AEE" w:rsidRPr="002470CD" w:rsidRDefault="00AB4AEE" w:rsidP="00461C16">
            <w:pPr>
              <w:spacing w:after="0" w:line="240" w:lineRule="auto"/>
              <w:jc w:val="center"/>
              <w:rPr>
                <w:rFonts w:ascii="Times New Roman" w:hAnsi="Times New Roman" w:cs="Times New Roman"/>
                <w:iCs/>
                <w:color w:val="000000"/>
                <w:sz w:val="23"/>
                <w:szCs w:val="23"/>
              </w:rPr>
            </w:pPr>
            <w:r w:rsidRPr="002470CD">
              <w:rPr>
                <w:rFonts w:ascii="Times New Roman" w:hAnsi="Times New Roman" w:cs="Times New Roman"/>
                <w:iCs/>
                <w:color w:val="000000"/>
                <w:sz w:val="23"/>
                <w:szCs w:val="23"/>
              </w:rPr>
              <w:t xml:space="preserve">MK noteikumu projekta </w:t>
            </w:r>
            <w:r w:rsidR="007B3747" w:rsidRPr="002470CD">
              <w:rPr>
                <w:rFonts w:ascii="Times New Roman" w:hAnsi="Times New Roman" w:cs="Times New Roman"/>
                <w:iCs/>
                <w:color w:val="000000"/>
                <w:sz w:val="23"/>
                <w:szCs w:val="23"/>
              </w:rPr>
              <w:t>4</w:t>
            </w:r>
            <w:r w:rsidR="007B3747">
              <w:rPr>
                <w:rFonts w:ascii="Times New Roman" w:hAnsi="Times New Roman" w:cs="Times New Roman"/>
                <w:iCs/>
                <w:color w:val="000000"/>
                <w:sz w:val="23"/>
                <w:szCs w:val="23"/>
              </w:rPr>
              <w:t>2</w:t>
            </w:r>
            <w:r w:rsidRPr="002470CD">
              <w:rPr>
                <w:rFonts w:ascii="Times New Roman" w:hAnsi="Times New Roman" w:cs="Times New Roman"/>
                <w:iCs/>
                <w:color w:val="000000"/>
                <w:sz w:val="23"/>
                <w:szCs w:val="23"/>
              </w:rPr>
              <w:t>.punkts</w:t>
            </w:r>
          </w:p>
        </w:tc>
        <w:tc>
          <w:tcPr>
            <w:tcW w:w="2034" w:type="dxa"/>
            <w:tcBorders>
              <w:top w:val="single" w:sz="4" w:space="0" w:color="auto"/>
              <w:left w:val="single" w:sz="4" w:space="0" w:color="auto"/>
              <w:bottom w:val="single" w:sz="4" w:space="0" w:color="auto"/>
              <w:right w:val="single" w:sz="4" w:space="0" w:color="auto"/>
            </w:tcBorders>
            <w:hideMark/>
          </w:tcPr>
          <w:p w14:paraId="020C6F24" w14:textId="77777777" w:rsidR="00AB4AEE" w:rsidRPr="00FC7DBC" w:rsidRDefault="00AB4AEE" w:rsidP="0026423E">
            <w:pPr>
              <w:spacing w:after="0" w:line="240" w:lineRule="auto"/>
              <w:jc w:val="center"/>
              <w:rPr>
                <w:rFonts w:ascii="Times New Roman" w:hAnsi="Times New Roman" w:cs="Times New Roman"/>
                <w:iCs/>
                <w:color w:val="000000"/>
                <w:sz w:val="23"/>
                <w:szCs w:val="23"/>
              </w:rPr>
            </w:pPr>
            <w:r w:rsidRPr="00FC7DBC">
              <w:rPr>
                <w:rFonts w:ascii="Times New Roman" w:hAnsi="Times New Roman" w:cs="Times New Roman"/>
                <w:iCs/>
                <w:color w:val="000000"/>
                <w:sz w:val="23"/>
                <w:szCs w:val="23"/>
              </w:rPr>
              <w:t>Vienība tiek ieviesta pilnībā.</w:t>
            </w:r>
          </w:p>
        </w:tc>
        <w:tc>
          <w:tcPr>
            <w:tcW w:w="2502" w:type="dxa"/>
            <w:tcBorders>
              <w:top w:val="single" w:sz="4" w:space="0" w:color="auto"/>
              <w:left w:val="single" w:sz="4" w:space="0" w:color="auto"/>
              <w:bottom w:val="single" w:sz="4" w:space="0" w:color="auto"/>
              <w:right w:val="single" w:sz="4" w:space="0" w:color="auto"/>
            </w:tcBorders>
            <w:hideMark/>
          </w:tcPr>
          <w:p w14:paraId="321058AC" w14:textId="77777777" w:rsidR="00AB4AEE" w:rsidRPr="00FC7DBC" w:rsidRDefault="00AB4AEE" w:rsidP="0026423E">
            <w:pPr>
              <w:spacing w:after="0" w:line="240" w:lineRule="auto"/>
              <w:jc w:val="center"/>
              <w:rPr>
                <w:rFonts w:ascii="Times New Roman" w:hAnsi="Times New Roman" w:cs="Times New Roman"/>
                <w:iCs/>
                <w:color w:val="000000"/>
                <w:sz w:val="23"/>
                <w:szCs w:val="23"/>
              </w:rPr>
            </w:pPr>
            <w:r w:rsidRPr="00FC7DBC">
              <w:rPr>
                <w:rFonts w:ascii="Times New Roman" w:hAnsi="Times New Roman" w:cs="Times New Roman"/>
                <w:iCs/>
                <w:color w:val="000000"/>
                <w:sz w:val="23"/>
                <w:szCs w:val="23"/>
              </w:rPr>
              <w:t>Netiek paredzētas stingrākas prasības.</w:t>
            </w:r>
          </w:p>
        </w:tc>
      </w:tr>
      <w:tr w:rsidR="00AB4AEE" w14:paraId="7AADD5B5" w14:textId="77777777" w:rsidTr="00FC7DBC">
        <w:tc>
          <w:tcPr>
            <w:tcW w:w="2423" w:type="dxa"/>
            <w:tcBorders>
              <w:top w:val="single" w:sz="4" w:space="0" w:color="auto"/>
              <w:left w:val="single" w:sz="4" w:space="0" w:color="auto"/>
              <w:bottom w:val="single" w:sz="4" w:space="0" w:color="auto"/>
              <w:right w:val="single" w:sz="4" w:space="0" w:color="auto"/>
            </w:tcBorders>
            <w:hideMark/>
          </w:tcPr>
          <w:p w14:paraId="3BC2AFEC" w14:textId="77777777" w:rsidR="00AB4AEE" w:rsidRPr="0026423E" w:rsidRDefault="00AB4AEE" w:rsidP="0026423E">
            <w:pPr>
              <w:pStyle w:val="naiskr"/>
              <w:spacing w:before="0" w:beforeAutospacing="0" w:after="0" w:afterAutospacing="0"/>
              <w:rPr>
                <w:color w:val="000000"/>
                <w:sz w:val="23"/>
                <w:szCs w:val="23"/>
                <w:lang w:eastAsia="en-US"/>
              </w:rPr>
            </w:pPr>
            <w:r w:rsidRPr="0026423E">
              <w:rPr>
                <w:color w:val="000000"/>
                <w:sz w:val="23"/>
                <w:szCs w:val="23"/>
                <w:lang w:eastAsia="en-US"/>
              </w:rPr>
              <w:t xml:space="preserve">Komisijas regulas Nr.717/2007 </w:t>
            </w:r>
          </w:p>
          <w:p w14:paraId="36E3CA93" w14:textId="77777777" w:rsidR="00AB4AEE" w:rsidRPr="0026423E" w:rsidRDefault="00AB4AEE" w:rsidP="0026423E">
            <w:pPr>
              <w:pStyle w:val="naiskr"/>
              <w:spacing w:before="0" w:beforeAutospacing="0" w:after="0" w:afterAutospacing="0"/>
              <w:rPr>
                <w:color w:val="000000"/>
                <w:sz w:val="23"/>
                <w:szCs w:val="23"/>
                <w:lang w:eastAsia="en-US"/>
              </w:rPr>
            </w:pPr>
            <w:r w:rsidRPr="0026423E">
              <w:rPr>
                <w:color w:val="000000"/>
                <w:sz w:val="23"/>
                <w:szCs w:val="23"/>
                <w:lang w:eastAsia="en-US"/>
              </w:rPr>
              <w:t>2.panta 2.punkts; 3.panta 2.punkts</w:t>
            </w:r>
          </w:p>
        </w:tc>
        <w:tc>
          <w:tcPr>
            <w:tcW w:w="2681" w:type="dxa"/>
            <w:tcBorders>
              <w:top w:val="single" w:sz="4" w:space="0" w:color="auto"/>
              <w:left w:val="single" w:sz="4" w:space="0" w:color="auto"/>
              <w:bottom w:val="single" w:sz="4" w:space="0" w:color="auto"/>
              <w:right w:val="single" w:sz="4" w:space="0" w:color="auto"/>
            </w:tcBorders>
            <w:hideMark/>
          </w:tcPr>
          <w:p w14:paraId="5BDF3B13" w14:textId="7A0E5180" w:rsidR="00AB4AEE" w:rsidRPr="002470CD" w:rsidRDefault="001E1768" w:rsidP="001E1768">
            <w:pPr>
              <w:spacing w:after="0" w:line="240" w:lineRule="auto"/>
              <w:jc w:val="center"/>
              <w:rPr>
                <w:rFonts w:ascii="Times New Roman" w:hAnsi="Times New Roman" w:cs="Times New Roman"/>
                <w:iCs/>
                <w:color w:val="000000"/>
                <w:sz w:val="23"/>
                <w:szCs w:val="23"/>
              </w:rPr>
            </w:pPr>
            <w:r w:rsidRPr="001E1768">
              <w:rPr>
                <w:rFonts w:ascii="Times New Roman" w:hAnsi="Times New Roman" w:cs="Times New Roman"/>
                <w:iCs/>
                <w:color w:val="000000"/>
                <w:sz w:val="23"/>
                <w:szCs w:val="23"/>
              </w:rPr>
              <w:t>MK noteikumu projekta 42.punkts</w:t>
            </w:r>
          </w:p>
        </w:tc>
        <w:tc>
          <w:tcPr>
            <w:tcW w:w="2034" w:type="dxa"/>
            <w:tcBorders>
              <w:top w:val="single" w:sz="4" w:space="0" w:color="auto"/>
              <w:left w:val="single" w:sz="4" w:space="0" w:color="auto"/>
              <w:bottom w:val="single" w:sz="4" w:space="0" w:color="auto"/>
              <w:right w:val="single" w:sz="4" w:space="0" w:color="auto"/>
            </w:tcBorders>
            <w:hideMark/>
          </w:tcPr>
          <w:p w14:paraId="1DEA214B" w14:textId="77777777" w:rsidR="00AB4AEE" w:rsidRPr="00FC7DBC" w:rsidRDefault="00AB4AEE" w:rsidP="0026423E">
            <w:pPr>
              <w:spacing w:after="0" w:line="240" w:lineRule="auto"/>
              <w:jc w:val="center"/>
              <w:rPr>
                <w:rFonts w:ascii="Times New Roman" w:hAnsi="Times New Roman" w:cs="Times New Roman"/>
                <w:iCs/>
                <w:color w:val="000000"/>
                <w:sz w:val="23"/>
                <w:szCs w:val="23"/>
              </w:rPr>
            </w:pPr>
            <w:r w:rsidRPr="00FC7DBC">
              <w:rPr>
                <w:rFonts w:ascii="Times New Roman" w:hAnsi="Times New Roman" w:cs="Times New Roman"/>
                <w:iCs/>
                <w:color w:val="000000"/>
                <w:sz w:val="23"/>
                <w:szCs w:val="23"/>
              </w:rPr>
              <w:t>Vienība tiek ieviesta pilnībā.</w:t>
            </w:r>
          </w:p>
        </w:tc>
        <w:tc>
          <w:tcPr>
            <w:tcW w:w="2502" w:type="dxa"/>
            <w:tcBorders>
              <w:top w:val="single" w:sz="4" w:space="0" w:color="auto"/>
              <w:left w:val="single" w:sz="4" w:space="0" w:color="auto"/>
              <w:bottom w:val="single" w:sz="4" w:space="0" w:color="auto"/>
              <w:right w:val="single" w:sz="4" w:space="0" w:color="auto"/>
            </w:tcBorders>
            <w:hideMark/>
          </w:tcPr>
          <w:p w14:paraId="3A0C0879" w14:textId="77777777" w:rsidR="00AB4AEE" w:rsidRPr="00FC7DBC" w:rsidRDefault="00AB4AEE" w:rsidP="0026423E">
            <w:pPr>
              <w:spacing w:after="0" w:line="240" w:lineRule="auto"/>
              <w:jc w:val="center"/>
              <w:rPr>
                <w:rFonts w:ascii="Times New Roman" w:hAnsi="Times New Roman" w:cs="Times New Roman"/>
                <w:iCs/>
                <w:color w:val="000000"/>
                <w:sz w:val="23"/>
                <w:szCs w:val="23"/>
              </w:rPr>
            </w:pPr>
            <w:r w:rsidRPr="00FC7DBC">
              <w:rPr>
                <w:rFonts w:ascii="Times New Roman" w:hAnsi="Times New Roman" w:cs="Times New Roman"/>
                <w:iCs/>
                <w:color w:val="000000"/>
                <w:sz w:val="23"/>
                <w:szCs w:val="23"/>
              </w:rPr>
              <w:t>Netiek paredzētas stingrākas prasības.</w:t>
            </w:r>
          </w:p>
        </w:tc>
      </w:tr>
      <w:tr w:rsidR="00AB4AEE" w14:paraId="0E1270B3" w14:textId="77777777" w:rsidTr="00FC7DBC">
        <w:tc>
          <w:tcPr>
            <w:tcW w:w="2423" w:type="dxa"/>
            <w:tcBorders>
              <w:top w:val="single" w:sz="4" w:space="0" w:color="auto"/>
              <w:left w:val="single" w:sz="4" w:space="0" w:color="auto"/>
              <w:bottom w:val="single" w:sz="4" w:space="0" w:color="auto"/>
              <w:right w:val="single" w:sz="4" w:space="0" w:color="auto"/>
            </w:tcBorders>
            <w:hideMark/>
          </w:tcPr>
          <w:p w14:paraId="79EC7317" w14:textId="77777777" w:rsidR="00AB4AEE" w:rsidRPr="0026423E" w:rsidRDefault="00AB4AEE" w:rsidP="0026423E">
            <w:pPr>
              <w:pStyle w:val="naiskr"/>
              <w:spacing w:before="0" w:beforeAutospacing="0" w:after="0" w:afterAutospacing="0"/>
              <w:rPr>
                <w:color w:val="000000"/>
                <w:sz w:val="23"/>
                <w:szCs w:val="23"/>
                <w:lang w:eastAsia="en-US"/>
              </w:rPr>
            </w:pPr>
            <w:r w:rsidRPr="0026423E">
              <w:rPr>
                <w:color w:val="000000"/>
                <w:sz w:val="23"/>
                <w:szCs w:val="23"/>
                <w:lang w:eastAsia="en-US"/>
              </w:rPr>
              <w:t>Eiropas Parlamenta un Padomes regulas Nr.1379/2013 1.pants</w:t>
            </w:r>
          </w:p>
        </w:tc>
        <w:tc>
          <w:tcPr>
            <w:tcW w:w="2681" w:type="dxa"/>
            <w:tcBorders>
              <w:top w:val="single" w:sz="4" w:space="0" w:color="auto"/>
              <w:left w:val="single" w:sz="4" w:space="0" w:color="auto"/>
              <w:bottom w:val="single" w:sz="4" w:space="0" w:color="auto"/>
              <w:right w:val="single" w:sz="4" w:space="0" w:color="auto"/>
            </w:tcBorders>
            <w:hideMark/>
          </w:tcPr>
          <w:p w14:paraId="7F0840BF" w14:textId="3E8B566C" w:rsidR="00AB4AEE" w:rsidRPr="002470CD" w:rsidRDefault="001E1768" w:rsidP="001E1768">
            <w:pPr>
              <w:spacing w:after="0" w:line="240" w:lineRule="auto"/>
              <w:jc w:val="center"/>
              <w:rPr>
                <w:rFonts w:ascii="Times New Roman" w:hAnsi="Times New Roman" w:cs="Times New Roman"/>
                <w:iCs/>
                <w:color w:val="000000"/>
                <w:sz w:val="23"/>
                <w:szCs w:val="23"/>
              </w:rPr>
            </w:pPr>
            <w:r w:rsidRPr="002470CD">
              <w:rPr>
                <w:rFonts w:ascii="Times New Roman" w:hAnsi="Times New Roman" w:cs="Times New Roman"/>
                <w:iCs/>
                <w:color w:val="000000"/>
                <w:sz w:val="23"/>
                <w:szCs w:val="23"/>
              </w:rPr>
              <w:t>MK noteikumu projekta 4</w:t>
            </w:r>
            <w:r>
              <w:rPr>
                <w:rFonts w:ascii="Times New Roman" w:hAnsi="Times New Roman" w:cs="Times New Roman"/>
                <w:iCs/>
                <w:color w:val="000000"/>
                <w:sz w:val="23"/>
                <w:szCs w:val="23"/>
              </w:rPr>
              <w:t>2</w:t>
            </w:r>
            <w:r w:rsidRPr="002470CD">
              <w:rPr>
                <w:rFonts w:ascii="Times New Roman" w:hAnsi="Times New Roman" w:cs="Times New Roman"/>
                <w:iCs/>
                <w:color w:val="000000"/>
                <w:sz w:val="23"/>
                <w:szCs w:val="23"/>
              </w:rPr>
              <w:t>.punkts</w:t>
            </w:r>
          </w:p>
        </w:tc>
        <w:tc>
          <w:tcPr>
            <w:tcW w:w="2034" w:type="dxa"/>
            <w:tcBorders>
              <w:top w:val="single" w:sz="4" w:space="0" w:color="auto"/>
              <w:left w:val="single" w:sz="4" w:space="0" w:color="auto"/>
              <w:bottom w:val="single" w:sz="4" w:space="0" w:color="auto"/>
              <w:right w:val="single" w:sz="4" w:space="0" w:color="auto"/>
            </w:tcBorders>
            <w:hideMark/>
          </w:tcPr>
          <w:p w14:paraId="7AA8E847" w14:textId="77777777" w:rsidR="00AB4AEE" w:rsidRPr="00FC7DBC" w:rsidRDefault="00AB4AEE" w:rsidP="0026423E">
            <w:pPr>
              <w:spacing w:after="0" w:line="240" w:lineRule="auto"/>
              <w:jc w:val="center"/>
              <w:rPr>
                <w:rFonts w:ascii="Times New Roman" w:hAnsi="Times New Roman" w:cs="Times New Roman"/>
                <w:iCs/>
                <w:color w:val="000000"/>
                <w:sz w:val="23"/>
                <w:szCs w:val="23"/>
              </w:rPr>
            </w:pPr>
            <w:r w:rsidRPr="00FC7DBC">
              <w:rPr>
                <w:rFonts w:ascii="Times New Roman" w:hAnsi="Times New Roman" w:cs="Times New Roman"/>
                <w:iCs/>
                <w:color w:val="000000"/>
                <w:sz w:val="23"/>
                <w:szCs w:val="23"/>
              </w:rPr>
              <w:t>Vienība tiek ieviesta pilnībā.</w:t>
            </w:r>
          </w:p>
        </w:tc>
        <w:tc>
          <w:tcPr>
            <w:tcW w:w="2502" w:type="dxa"/>
            <w:tcBorders>
              <w:top w:val="single" w:sz="4" w:space="0" w:color="auto"/>
              <w:left w:val="single" w:sz="4" w:space="0" w:color="auto"/>
              <w:bottom w:val="single" w:sz="4" w:space="0" w:color="auto"/>
              <w:right w:val="single" w:sz="4" w:space="0" w:color="auto"/>
            </w:tcBorders>
            <w:hideMark/>
          </w:tcPr>
          <w:p w14:paraId="3CE3E69A" w14:textId="77777777" w:rsidR="00AB4AEE" w:rsidRPr="00FC7DBC" w:rsidRDefault="00AB4AEE" w:rsidP="0026423E">
            <w:pPr>
              <w:spacing w:after="0" w:line="240" w:lineRule="auto"/>
              <w:jc w:val="center"/>
              <w:rPr>
                <w:rFonts w:ascii="Times New Roman" w:hAnsi="Times New Roman" w:cs="Times New Roman"/>
                <w:iCs/>
                <w:color w:val="000000"/>
                <w:sz w:val="23"/>
                <w:szCs w:val="23"/>
              </w:rPr>
            </w:pPr>
            <w:r w:rsidRPr="00FC7DBC">
              <w:rPr>
                <w:rFonts w:ascii="Times New Roman" w:hAnsi="Times New Roman" w:cs="Times New Roman"/>
                <w:iCs/>
                <w:color w:val="000000"/>
                <w:sz w:val="23"/>
                <w:szCs w:val="23"/>
              </w:rPr>
              <w:t>Netiek paredzētas stingrākas prasības.</w:t>
            </w:r>
          </w:p>
        </w:tc>
      </w:tr>
      <w:tr w:rsidR="00AB4AEE" w14:paraId="3625E5D3" w14:textId="77777777" w:rsidTr="00FC7DBC">
        <w:tc>
          <w:tcPr>
            <w:tcW w:w="2423" w:type="dxa"/>
            <w:tcBorders>
              <w:top w:val="single" w:sz="4" w:space="0" w:color="auto"/>
              <w:left w:val="single" w:sz="4" w:space="0" w:color="auto"/>
              <w:bottom w:val="single" w:sz="4" w:space="0" w:color="auto"/>
              <w:right w:val="single" w:sz="4" w:space="0" w:color="auto"/>
            </w:tcBorders>
            <w:vAlign w:val="center"/>
            <w:hideMark/>
          </w:tcPr>
          <w:p w14:paraId="747A32D4" w14:textId="77777777" w:rsidR="00AB4AEE" w:rsidRPr="0026423E" w:rsidRDefault="00AB4AEE" w:rsidP="0026423E">
            <w:pPr>
              <w:pStyle w:val="naiskr"/>
              <w:spacing w:before="0" w:beforeAutospacing="0" w:after="0" w:afterAutospacing="0"/>
              <w:rPr>
                <w:color w:val="000000"/>
                <w:sz w:val="23"/>
                <w:szCs w:val="23"/>
                <w:lang w:eastAsia="en-US"/>
              </w:rPr>
            </w:pPr>
            <w:r w:rsidRPr="0026423E">
              <w:rPr>
                <w:color w:val="000000"/>
                <w:sz w:val="23"/>
                <w:szCs w:val="23"/>
                <w:lang w:eastAsia="en-US"/>
              </w:rPr>
              <w:t>Komisijas regulas Nr.1408/2013 2.panta 2.punkts, 3.panta 2.punkts</w:t>
            </w:r>
          </w:p>
        </w:tc>
        <w:tc>
          <w:tcPr>
            <w:tcW w:w="2681" w:type="dxa"/>
            <w:tcBorders>
              <w:top w:val="single" w:sz="4" w:space="0" w:color="auto"/>
              <w:left w:val="single" w:sz="4" w:space="0" w:color="auto"/>
              <w:bottom w:val="single" w:sz="4" w:space="0" w:color="auto"/>
              <w:right w:val="single" w:sz="4" w:space="0" w:color="auto"/>
            </w:tcBorders>
            <w:hideMark/>
          </w:tcPr>
          <w:p w14:paraId="0EFCEAE0" w14:textId="6607802A" w:rsidR="00AB4AEE" w:rsidRPr="002470CD" w:rsidRDefault="001E1768" w:rsidP="001E1768">
            <w:pPr>
              <w:spacing w:after="0" w:line="240" w:lineRule="auto"/>
              <w:jc w:val="center"/>
              <w:rPr>
                <w:rFonts w:ascii="Times New Roman" w:hAnsi="Times New Roman" w:cs="Times New Roman"/>
                <w:iCs/>
                <w:color w:val="000000"/>
                <w:sz w:val="23"/>
                <w:szCs w:val="23"/>
              </w:rPr>
            </w:pPr>
            <w:r w:rsidRPr="002470CD">
              <w:rPr>
                <w:rFonts w:ascii="Times New Roman" w:hAnsi="Times New Roman" w:cs="Times New Roman"/>
                <w:iCs/>
                <w:color w:val="000000"/>
                <w:sz w:val="23"/>
                <w:szCs w:val="23"/>
              </w:rPr>
              <w:t>MK noteikumu projekta 4</w:t>
            </w:r>
            <w:r>
              <w:rPr>
                <w:rFonts w:ascii="Times New Roman" w:hAnsi="Times New Roman" w:cs="Times New Roman"/>
                <w:iCs/>
                <w:color w:val="000000"/>
                <w:sz w:val="23"/>
                <w:szCs w:val="23"/>
              </w:rPr>
              <w:t>2</w:t>
            </w:r>
            <w:r w:rsidRPr="002470CD">
              <w:rPr>
                <w:rFonts w:ascii="Times New Roman" w:hAnsi="Times New Roman" w:cs="Times New Roman"/>
                <w:iCs/>
                <w:color w:val="000000"/>
                <w:sz w:val="23"/>
                <w:szCs w:val="23"/>
              </w:rPr>
              <w:t>.punkts</w:t>
            </w:r>
          </w:p>
        </w:tc>
        <w:tc>
          <w:tcPr>
            <w:tcW w:w="2034" w:type="dxa"/>
            <w:tcBorders>
              <w:top w:val="single" w:sz="4" w:space="0" w:color="auto"/>
              <w:left w:val="single" w:sz="4" w:space="0" w:color="auto"/>
              <w:bottom w:val="single" w:sz="4" w:space="0" w:color="auto"/>
              <w:right w:val="single" w:sz="4" w:space="0" w:color="auto"/>
            </w:tcBorders>
            <w:hideMark/>
          </w:tcPr>
          <w:p w14:paraId="17CB5098" w14:textId="77777777" w:rsidR="00AB4AEE" w:rsidRPr="00FC7DBC" w:rsidRDefault="00AB4AEE" w:rsidP="0026423E">
            <w:pPr>
              <w:spacing w:after="0" w:line="240" w:lineRule="auto"/>
              <w:jc w:val="center"/>
              <w:rPr>
                <w:rFonts w:ascii="Times New Roman" w:hAnsi="Times New Roman" w:cs="Times New Roman"/>
                <w:color w:val="000000"/>
                <w:sz w:val="23"/>
                <w:szCs w:val="23"/>
              </w:rPr>
            </w:pPr>
            <w:r w:rsidRPr="00FC7DBC">
              <w:rPr>
                <w:rFonts w:ascii="Times New Roman" w:hAnsi="Times New Roman" w:cs="Times New Roman"/>
                <w:iCs/>
                <w:color w:val="000000"/>
                <w:sz w:val="23"/>
                <w:szCs w:val="23"/>
              </w:rPr>
              <w:t>Vienība tiek ieviesta pilnībā.</w:t>
            </w:r>
          </w:p>
        </w:tc>
        <w:tc>
          <w:tcPr>
            <w:tcW w:w="2502" w:type="dxa"/>
            <w:tcBorders>
              <w:top w:val="single" w:sz="4" w:space="0" w:color="auto"/>
              <w:left w:val="single" w:sz="4" w:space="0" w:color="auto"/>
              <w:bottom w:val="single" w:sz="4" w:space="0" w:color="auto"/>
              <w:right w:val="single" w:sz="4" w:space="0" w:color="auto"/>
            </w:tcBorders>
            <w:hideMark/>
          </w:tcPr>
          <w:p w14:paraId="6DDF9A0D" w14:textId="77777777" w:rsidR="00AB4AEE" w:rsidRPr="00FC7DBC" w:rsidRDefault="00AB4AEE" w:rsidP="0026423E">
            <w:pPr>
              <w:spacing w:after="0" w:line="240" w:lineRule="auto"/>
              <w:jc w:val="center"/>
              <w:rPr>
                <w:rFonts w:ascii="Times New Roman" w:hAnsi="Times New Roman" w:cs="Times New Roman"/>
                <w:iCs/>
                <w:color w:val="000000"/>
                <w:sz w:val="23"/>
                <w:szCs w:val="23"/>
              </w:rPr>
            </w:pPr>
            <w:r w:rsidRPr="00FC7DBC">
              <w:rPr>
                <w:rFonts w:ascii="Times New Roman" w:hAnsi="Times New Roman" w:cs="Times New Roman"/>
                <w:iCs/>
                <w:color w:val="000000"/>
                <w:sz w:val="23"/>
                <w:szCs w:val="23"/>
              </w:rPr>
              <w:t>Netiek paredzētas stingrākas prasības.</w:t>
            </w:r>
          </w:p>
        </w:tc>
      </w:tr>
      <w:tr w:rsidR="00AB4AEE" w14:paraId="0413CA89" w14:textId="77777777" w:rsidTr="00FC7DBC">
        <w:tc>
          <w:tcPr>
            <w:tcW w:w="2423" w:type="dxa"/>
            <w:tcBorders>
              <w:top w:val="single" w:sz="4" w:space="0" w:color="auto"/>
              <w:left w:val="single" w:sz="4" w:space="0" w:color="auto"/>
              <w:bottom w:val="single" w:sz="4" w:space="0" w:color="auto"/>
              <w:right w:val="single" w:sz="4" w:space="0" w:color="auto"/>
            </w:tcBorders>
            <w:hideMark/>
          </w:tcPr>
          <w:p w14:paraId="66EEA84A" w14:textId="77777777" w:rsidR="00AB4AEE" w:rsidRPr="0026423E" w:rsidRDefault="00AB4AEE" w:rsidP="0026423E">
            <w:pPr>
              <w:pStyle w:val="naiskr"/>
              <w:spacing w:before="0" w:beforeAutospacing="0" w:after="0" w:afterAutospacing="0"/>
              <w:rPr>
                <w:color w:val="000000"/>
                <w:sz w:val="23"/>
                <w:szCs w:val="23"/>
                <w:lang w:eastAsia="en-US"/>
              </w:rPr>
            </w:pPr>
            <w:r w:rsidRPr="0026423E">
              <w:rPr>
                <w:bCs/>
                <w:color w:val="000000"/>
                <w:sz w:val="23"/>
                <w:szCs w:val="23"/>
                <w:lang w:eastAsia="en-US"/>
              </w:rPr>
              <w:t>Komisijas regulas Nr.1407/2013 3.panta 2.punkts, 5.panta 1. un 2.punkts</w:t>
            </w:r>
          </w:p>
        </w:tc>
        <w:tc>
          <w:tcPr>
            <w:tcW w:w="2681" w:type="dxa"/>
            <w:tcBorders>
              <w:top w:val="single" w:sz="4" w:space="0" w:color="auto"/>
              <w:left w:val="single" w:sz="4" w:space="0" w:color="auto"/>
              <w:bottom w:val="single" w:sz="4" w:space="0" w:color="auto"/>
              <w:right w:val="single" w:sz="4" w:space="0" w:color="auto"/>
            </w:tcBorders>
            <w:hideMark/>
          </w:tcPr>
          <w:p w14:paraId="6CBB1A83" w14:textId="42B1D9A0" w:rsidR="00AB4AEE" w:rsidRPr="002470CD" w:rsidRDefault="001E1768" w:rsidP="001E1768">
            <w:pPr>
              <w:spacing w:after="0" w:line="240" w:lineRule="auto"/>
              <w:jc w:val="center"/>
              <w:rPr>
                <w:rFonts w:ascii="Times New Roman" w:hAnsi="Times New Roman" w:cs="Times New Roman"/>
                <w:iCs/>
                <w:color w:val="000000"/>
                <w:sz w:val="23"/>
                <w:szCs w:val="23"/>
              </w:rPr>
            </w:pPr>
            <w:r w:rsidRPr="002470CD">
              <w:rPr>
                <w:rFonts w:ascii="Times New Roman" w:hAnsi="Times New Roman" w:cs="Times New Roman"/>
                <w:iCs/>
                <w:color w:val="000000"/>
                <w:sz w:val="23"/>
                <w:szCs w:val="23"/>
              </w:rPr>
              <w:t>MK noteikumu projekta 4</w:t>
            </w:r>
            <w:r>
              <w:rPr>
                <w:rFonts w:ascii="Times New Roman" w:hAnsi="Times New Roman" w:cs="Times New Roman"/>
                <w:iCs/>
                <w:color w:val="000000"/>
                <w:sz w:val="23"/>
                <w:szCs w:val="23"/>
              </w:rPr>
              <w:t>2</w:t>
            </w:r>
            <w:r w:rsidRPr="002470CD">
              <w:rPr>
                <w:rFonts w:ascii="Times New Roman" w:hAnsi="Times New Roman" w:cs="Times New Roman"/>
                <w:iCs/>
                <w:color w:val="000000"/>
                <w:sz w:val="23"/>
                <w:szCs w:val="23"/>
              </w:rPr>
              <w:t>.punkts</w:t>
            </w:r>
          </w:p>
        </w:tc>
        <w:tc>
          <w:tcPr>
            <w:tcW w:w="2034" w:type="dxa"/>
            <w:tcBorders>
              <w:top w:val="single" w:sz="4" w:space="0" w:color="auto"/>
              <w:left w:val="single" w:sz="4" w:space="0" w:color="auto"/>
              <w:bottom w:val="single" w:sz="4" w:space="0" w:color="auto"/>
              <w:right w:val="single" w:sz="4" w:space="0" w:color="auto"/>
            </w:tcBorders>
            <w:hideMark/>
          </w:tcPr>
          <w:p w14:paraId="60F5088D" w14:textId="77777777" w:rsidR="00AB4AEE" w:rsidRPr="00FC7DBC" w:rsidRDefault="00AB4AEE" w:rsidP="0026423E">
            <w:pPr>
              <w:spacing w:after="0" w:line="240" w:lineRule="auto"/>
              <w:jc w:val="center"/>
              <w:rPr>
                <w:rFonts w:ascii="Times New Roman" w:hAnsi="Times New Roman" w:cs="Times New Roman"/>
                <w:iCs/>
                <w:color w:val="000000"/>
                <w:sz w:val="23"/>
                <w:szCs w:val="23"/>
              </w:rPr>
            </w:pPr>
            <w:r w:rsidRPr="00FC7DBC">
              <w:rPr>
                <w:rFonts w:ascii="Times New Roman" w:hAnsi="Times New Roman" w:cs="Times New Roman"/>
                <w:iCs/>
                <w:color w:val="000000"/>
                <w:sz w:val="23"/>
                <w:szCs w:val="23"/>
              </w:rPr>
              <w:t>Vienība tiek ieviesta pilnībā.</w:t>
            </w:r>
          </w:p>
        </w:tc>
        <w:tc>
          <w:tcPr>
            <w:tcW w:w="2502" w:type="dxa"/>
            <w:tcBorders>
              <w:top w:val="single" w:sz="4" w:space="0" w:color="auto"/>
              <w:left w:val="single" w:sz="4" w:space="0" w:color="auto"/>
              <w:bottom w:val="single" w:sz="4" w:space="0" w:color="auto"/>
              <w:right w:val="single" w:sz="4" w:space="0" w:color="auto"/>
            </w:tcBorders>
            <w:hideMark/>
          </w:tcPr>
          <w:p w14:paraId="3355F7E5" w14:textId="77777777" w:rsidR="00AB4AEE" w:rsidRPr="00FC7DBC" w:rsidRDefault="00AB4AEE" w:rsidP="0026423E">
            <w:pPr>
              <w:spacing w:after="0" w:line="240" w:lineRule="auto"/>
              <w:jc w:val="center"/>
              <w:rPr>
                <w:rFonts w:ascii="Times New Roman" w:hAnsi="Times New Roman" w:cs="Times New Roman"/>
                <w:iCs/>
                <w:color w:val="000000"/>
                <w:sz w:val="23"/>
                <w:szCs w:val="23"/>
              </w:rPr>
            </w:pPr>
            <w:r w:rsidRPr="00FC7DBC">
              <w:rPr>
                <w:rFonts w:ascii="Times New Roman" w:hAnsi="Times New Roman" w:cs="Times New Roman"/>
                <w:iCs/>
                <w:color w:val="000000"/>
                <w:sz w:val="23"/>
                <w:szCs w:val="23"/>
              </w:rPr>
              <w:t>Netiek paredzētas stingrākas prasības.</w:t>
            </w:r>
          </w:p>
        </w:tc>
      </w:tr>
      <w:tr w:rsidR="00AB4AEE" w14:paraId="578EBF9E" w14:textId="77777777" w:rsidTr="00FC7DBC">
        <w:tc>
          <w:tcPr>
            <w:tcW w:w="2423" w:type="dxa"/>
            <w:tcBorders>
              <w:top w:val="single" w:sz="4" w:space="0" w:color="auto"/>
              <w:left w:val="single" w:sz="4" w:space="0" w:color="auto"/>
              <w:bottom w:val="single" w:sz="4" w:space="0" w:color="auto"/>
              <w:right w:val="single" w:sz="4" w:space="0" w:color="auto"/>
            </w:tcBorders>
            <w:hideMark/>
          </w:tcPr>
          <w:p w14:paraId="064DA20B" w14:textId="77777777" w:rsidR="00AB4AEE" w:rsidRPr="0026423E" w:rsidRDefault="00AB4AEE" w:rsidP="0026423E">
            <w:pPr>
              <w:pStyle w:val="naiskr"/>
              <w:spacing w:before="0" w:beforeAutospacing="0" w:after="0" w:afterAutospacing="0"/>
              <w:rPr>
                <w:bCs/>
                <w:color w:val="000000"/>
                <w:sz w:val="23"/>
                <w:szCs w:val="23"/>
                <w:lang w:eastAsia="en-US"/>
              </w:rPr>
            </w:pPr>
            <w:r w:rsidRPr="0026423E">
              <w:rPr>
                <w:bCs/>
                <w:color w:val="000000"/>
                <w:sz w:val="23"/>
                <w:szCs w:val="23"/>
                <w:lang w:eastAsia="en-US"/>
              </w:rPr>
              <w:t xml:space="preserve">Komisijas regulas Nr.717/2014 3.panta 2.punkts, 5.panta 1., 2. un 3.punkts </w:t>
            </w:r>
          </w:p>
        </w:tc>
        <w:tc>
          <w:tcPr>
            <w:tcW w:w="2681" w:type="dxa"/>
            <w:tcBorders>
              <w:top w:val="single" w:sz="4" w:space="0" w:color="auto"/>
              <w:left w:val="single" w:sz="4" w:space="0" w:color="auto"/>
              <w:bottom w:val="single" w:sz="4" w:space="0" w:color="auto"/>
              <w:right w:val="single" w:sz="4" w:space="0" w:color="auto"/>
            </w:tcBorders>
            <w:hideMark/>
          </w:tcPr>
          <w:p w14:paraId="6B4E4348" w14:textId="007AC062" w:rsidR="00AB4AEE" w:rsidRPr="002470CD" w:rsidRDefault="00506B4C" w:rsidP="001E1768">
            <w:pPr>
              <w:spacing w:after="0" w:line="240" w:lineRule="auto"/>
              <w:jc w:val="center"/>
              <w:rPr>
                <w:rFonts w:ascii="Times New Roman" w:hAnsi="Times New Roman" w:cs="Times New Roman"/>
                <w:iCs/>
                <w:color w:val="000000"/>
                <w:sz w:val="23"/>
                <w:szCs w:val="23"/>
              </w:rPr>
            </w:pPr>
            <w:r w:rsidRPr="002470CD">
              <w:rPr>
                <w:rFonts w:ascii="Times New Roman" w:hAnsi="Times New Roman" w:cs="Times New Roman"/>
                <w:iCs/>
                <w:color w:val="000000"/>
                <w:sz w:val="23"/>
                <w:szCs w:val="23"/>
              </w:rPr>
              <w:t xml:space="preserve">MK noteikumu projekta </w:t>
            </w:r>
            <w:r w:rsidR="007B3747" w:rsidRPr="002470CD">
              <w:rPr>
                <w:rFonts w:ascii="Times New Roman" w:hAnsi="Times New Roman" w:cs="Times New Roman"/>
                <w:iCs/>
                <w:color w:val="000000"/>
                <w:sz w:val="23"/>
                <w:szCs w:val="23"/>
              </w:rPr>
              <w:t>4</w:t>
            </w:r>
            <w:r w:rsidR="007B3747">
              <w:rPr>
                <w:rFonts w:ascii="Times New Roman" w:hAnsi="Times New Roman" w:cs="Times New Roman"/>
                <w:iCs/>
                <w:color w:val="000000"/>
                <w:sz w:val="23"/>
                <w:szCs w:val="23"/>
              </w:rPr>
              <w:t>2</w:t>
            </w:r>
            <w:r w:rsidRPr="002470CD">
              <w:rPr>
                <w:rFonts w:ascii="Times New Roman" w:hAnsi="Times New Roman" w:cs="Times New Roman"/>
                <w:iCs/>
                <w:color w:val="000000"/>
                <w:sz w:val="23"/>
                <w:szCs w:val="23"/>
              </w:rPr>
              <w:t>.</w:t>
            </w:r>
            <w:r w:rsidR="001E1768" w:rsidRPr="002470CD" w:rsidDel="001E1768">
              <w:rPr>
                <w:rFonts w:ascii="Times New Roman" w:hAnsi="Times New Roman" w:cs="Times New Roman"/>
                <w:iCs/>
                <w:color w:val="000000"/>
                <w:sz w:val="23"/>
                <w:szCs w:val="23"/>
              </w:rPr>
              <w:t xml:space="preserve"> </w:t>
            </w:r>
            <w:r w:rsidRPr="002470CD">
              <w:rPr>
                <w:rFonts w:ascii="Times New Roman" w:hAnsi="Times New Roman" w:cs="Times New Roman"/>
                <w:iCs/>
                <w:color w:val="000000"/>
                <w:sz w:val="23"/>
                <w:szCs w:val="23"/>
              </w:rPr>
              <w:t>punkts</w:t>
            </w:r>
          </w:p>
        </w:tc>
        <w:tc>
          <w:tcPr>
            <w:tcW w:w="2034" w:type="dxa"/>
            <w:tcBorders>
              <w:top w:val="single" w:sz="4" w:space="0" w:color="auto"/>
              <w:left w:val="single" w:sz="4" w:space="0" w:color="auto"/>
              <w:bottom w:val="single" w:sz="4" w:space="0" w:color="auto"/>
              <w:right w:val="single" w:sz="4" w:space="0" w:color="auto"/>
            </w:tcBorders>
            <w:hideMark/>
          </w:tcPr>
          <w:p w14:paraId="3477FF58" w14:textId="77777777" w:rsidR="00AB4AEE" w:rsidRPr="00FC7DBC" w:rsidRDefault="00AB4AEE" w:rsidP="0026423E">
            <w:pPr>
              <w:spacing w:after="0" w:line="240" w:lineRule="auto"/>
              <w:jc w:val="center"/>
              <w:rPr>
                <w:rFonts w:ascii="Times New Roman" w:hAnsi="Times New Roman" w:cs="Times New Roman"/>
                <w:iCs/>
                <w:color w:val="000000"/>
                <w:sz w:val="23"/>
                <w:szCs w:val="23"/>
              </w:rPr>
            </w:pPr>
            <w:r w:rsidRPr="00FC7DBC">
              <w:rPr>
                <w:rFonts w:ascii="Times New Roman" w:hAnsi="Times New Roman" w:cs="Times New Roman"/>
                <w:iCs/>
                <w:color w:val="000000"/>
                <w:sz w:val="23"/>
                <w:szCs w:val="23"/>
              </w:rPr>
              <w:t>Vienība tiek ieviesta pilnībā.</w:t>
            </w:r>
          </w:p>
        </w:tc>
        <w:tc>
          <w:tcPr>
            <w:tcW w:w="2502" w:type="dxa"/>
            <w:tcBorders>
              <w:top w:val="single" w:sz="4" w:space="0" w:color="auto"/>
              <w:left w:val="single" w:sz="4" w:space="0" w:color="auto"/>
              <w:bottom w:val="single" w:sz="4" w:space="0" w:color="auto"/>
              <w:right w:val="single" w:sz="4" w:space="0" w:color="auto"/>
            </w:tcBorders>
            <w:hideMark/>
          </w:tcPr>
          <w:p w14:paraId="7A8B92E1" w14:textId="77777777" w:rsidR="00AB4AEE" w:rsidRPr="00FC7DBC" w:rsidRDefault="00AB4AEE" w:rsidP="0026423E">
            <w:pPr>
              <w:spacing w:after="0" w:line="240" w:lineRule="auto"/>
              <w:jc w:val="center"/>
              <w:rPr>
                <w:rFonts w:ascii="Times New Roman" w:hAnsi="Times New Roman" w:cs="Times New Roman"/>
                <w:iCs/>
                <w:color w:val="000000"/>
                <w:sz w:val="23"/>
                <w:szCs w:val="23"/>
              </w:rPr>
            </w:pPr>
            <w:r w:rsidRPr="00FC7DBC">
              <w:rPr>
                <w:rFonts w:ascii="Times New Roman" w:hAnsi="Times New Roman" w:cs="Times New Roman"/>
                <w:iCs/>
                <w:color w:val="000000"/>
                <w:sz w:val="23"/>
                <w:szCs w:val="23"/>
              </w:rPr>
              <w:t>Netiek paredzētas stingrākas prasības.</w:t>
            </w:r>
          </w:p>
        </w:tc>
      </w:tr>
      <w:tr w:rsidR="00AB4AEE" w14:paraId="015E6306" w14:textId="77777777" w:rsidTr="00FC7DBC">
        <w:tc>
          <w:tcPr>
            <w:tcW w:w="2423" w:type="dxa"/>
            <w:tcBorders>
              <w:top w:val="single" w:sz="4" w:space="0" w:color="auto"/>
              <w:left w:val="single" w:sz="4" w:space="0" w:color="auto"/>
              <w:bottom w:val="single" w:sz="4" w:space="0" w:color="auto"/>
              <w:right w:val="single" w:sz="4" w:space="0" w:color="auto"/>
            </w:tcBorders>
            <w:hideMark/>
          </w:tcPr>
          <w:p w14:paraId="1A59F03C" w14:textId="77777777" w:rsidR="00AB4AEE" w:rsidRPr="0026423E" w:rsidRDefault="00AB4AEE" w:rsidP="0026423E">
            <w:pPr>
              <w:pStyle w:val="naiskr"/>
              <w:spacing w:before="0" w:beforeAutospacing="0" w:after="0" w:afterAutospacing="0"/>
              <w:rPr>
                <w:bCs/>
                <w:color w:val="000000"/>
                <w:sz w:val="23"/>
                <w:szCs w:val="23"/>
                <w:lang w:eastAsia="en-US"/>
              </w:rPr>
            </w:pPr>
            <w:r w:rsidRPr="0026423E">
              <w:rPr>
                <w:bCs/>
                <w:color w:val="000000"/>
                <w:sz w:val="23"/>
                <w:szCs w:val="23"/>
                <w:lang w:eastAsia="en-US"/>
              </w:rPr>
              <w:lastRenderedPageBreak/>
              <w:t>Komisijas regulas Nr.1408/2013 3.panta 2.punkts, 5.panta 1., 2. un 3.punkts</w:t>
            </w:r>
          </w:p>
        </w:tc>
        <w:tc>
          <w:tcPr>
            <w:tcW w:w="2681" w:type="dxa"/>
            <w:tcBorders>
              <w:top w:val="single" w:sz="4" w:space="0" w:color="auto"/>
              <w:left w:val="single" w:sz="4" w:space="0" w:color="auto"/>
              <w:bottom w:val="single" w:sz="4" w:space="0" w:color="auto"/>
              <w:right w:val="single" w:sz="4" w:space="0" w:color="auto"/>
            </w:tcBorders>
            <w:hideMark/>
          </w:tcPr>
          <w:p w14:paraId="0761ED7D" w14:textId="41B94BC3" w:rsidR="00AB4AEE" w:rsidRPr="002470CD" w:rsidRDefault="00506B4C" w:rsidP="001E1768">
            <w:pPr>
              <w:spacing w:after="0" w:line="240" w:lineRule="auto"/>
              <w:jc w:val="center"/>
              <w:rPr>
                <w:rFonts w:ascii="Times New Roman" w:hAnsi="Times New Roman" w:cs="Times New Roman"/>
                <w:iCs/>
                <w:color w:val="000000"/>
                <w:sz w:val="23"/>
                <w:szCs w:val="23"/>
              </w:rPr>
            </w:pPr>
            <w:r w:rsidRPr="002470CD">
              <w:rPr>
                <w:rFonts w:ascii="Times New Roman" w:hAnsi="Times New Roman" w:cs="Times New Roman"/>
                <w:iCs/>
                <w:color w:val="000000"/>
                <w:sz w:val="23"/>
                <w:szCs w:val="23"/>
              </w:rPr>
              <w:t xml:space="preserve">MK noteikumu projekta </w:t>
            </w:r>
            <w:r w:rsidR="007B3747" w:rsidRPr="002470CD">
              <w:rPr>
                <w:rFonts w:ascii="Times New Roman" w:hAnsi="Times New Roman" w:cs="Times New Roman"/>
                <w:iCs/>
                <w:color w:val="000000"/>
                <w:sz w:val="23"/>
                <w:szCs w:val="23"/>
              </w:rPr>
              <w:t>4</w:t>
            </w:r>
            <w:r w:rsidR="007B3747">
              <w:rPr>
                <w:rFonts w:ascii="Times New Roman" w:hAnsi="Times New Roman" w:cs="Times New Roman"/>
                <w:iCs/>
                <w:color w:val="000000"/>
                <w:sz w:val="23"/>
                <w:szCs w:val="23"/>
              </w:rPr>
              <w:t>2</w:t>
            </w:r>
            <w:r w:rsidRPr="002470CD">
              <w:rPr>
                <w:rFonts w:ascii="Times New Roman" w:hAnsi="Times New Roman" w:cs="Times New Roman"/>
                <w:iCs/>
                <w:color w:val="000000"/>
                <w:sz w:val="23"/>
                <w:szCs w:val="23"/>
              </w:rPr>
              <w:t>.</w:t>
            </w:r>
            <w:r w:rsidR="001E1768" w:rsidRPr="002470CD" w:rsidDel="001E1768">
              <w:rPr>
                <w:rFonts w:ascii="Times New Roman" w:hAnsi="Times New Roman" w:cs="Times New Roman"/>
                <w:iCs/>
                <w:color w:val="000000"/>
                <w:sz w:val="23"/>
                <w:szCs w:val="23"/>
              </w:rPr>
              <w:t xml:space="preserve"> </w:t>
            </w:r>
            <w:r w:rsidRPr="002470CD">
              <w:rPr>
                <w:rFonts w:ascii="Times New Roman" w:hAnsi="Times New Roman" w:cs="Times New Roman"/>
                <w:iCs/>
                <w:color w:val="000000"/>
                <w:sz w:val="23"/>
                <w:szCs w:val="23"/>
              </w:rPr>
              <w:t>punkts</w:t>
            </w:r>
          </w:p>
        </w:tc>
        <w:tc>
          <w:tcPr>
            <w:tcW w:w="2034" w:type="dxa"/>
            <w:tcBorders>
              <w:top w:val="single" w:sz="4" w:space="0" w:color="auto"/>
              <w:left w:val="single" w:sz="4" w:space="0" w:color="auto"/>
              <w:bottom w:val="single" w:sz="4" w:space="0" w:color="auto"/>
              <w:right w:val="single" w:sz="4" w:space="0" w:color="auto"/>
            </w:tcBorders>
            <w:hideMark/>
          </w:tcPr>
          <w:p w14:paraId="52E09705" w14:textId="77777777" w:rsidR="00AB4AEE" w:rsidRPr="00FC7DBC" w:rsidRDefault="00AB4AEE" w:rsidP="0026423E">
            <w:pPr>
              <w:spacing w:after="0" w:line="240" w:lineRule="auto"/>
              <w:jc w:val="center"/>
              <w:rPr>
                <w:rFonts w:ascii="Times New Roman" w:hAnsi="Times New Roman" w:cs="Times New Roman"/>
                <w:iCs/>
                <w:color w:val="000000"/>
                <w:sz w:val="23"/>
                <w:szCs w:val="23"/>
              </w:rPr>
            </w:pPr>
            <w:r w:rsidRPr="00FC7DBC">
              <w:rPr>
                <w:rFonts w:ascii="Times New Roman" w:hAnsi="Times New Roman" w:cs="Times New Roman"/>
                <w:iCs/>
                <w:color w:val="000000"/>
                <w:sz w:val="23"/>
                <w:szCs w:val="23"/>
              </w:rPr>
              <w:t>Vienība tiek ieviesta pilnībā.</w:t>
            </w:r>
          </w:p>
        </w:tc>
        <w:tc>
          <w:tcPr>
            <w:tcW w:w="2502" w:type="dxa"/>
            <w:tcBorders>
              <w:top w:val="single" w:sz="4" w:space="0" w:color="auto"/>
              <w:left w:val="single" w:sz="4" w:space="0" w:color="auto"/>
              <w:bottom w:val="single" w:sz="4" w:space="0" w:color="auto"/>
              <w:right w:val="single" w:sz="4" w:space="0" w:color="auto"/>
            </w:tcBorders>
            <w:hideMark/>
          </w:tcPr>
          <w:p w14:paraId="0D0E8704" w14:textId="77777777" w:rsidR="00AB4AEE" w:rsidRPr="00FC7DBC" w:rsidRDefault="00AB4AEE" w:rsidP="0026423E">
            <w:pPr>
              <w:spacing w:after="0" w:line="240" w:lineRule="auto"/>
              <w:jc w:val="center"/>
              <w:rPr>
                <w:rFonts w:ascii="Times New Roman" w:hAnsi="Times New Roman" w:cs="Times New Roman"/>
                <w:iCs/>
                <w:color w:val="000000"/>
                <w:sz w:val="23"/>
                <w:szCs w:val="23"/>
              </w:rPr>
            </w:pPr>
            <w:r w:rsidRPr="00FC7DBC">
              <w:rPr>
                <w:rFonts w:ascii="Times New Roman" w:hAnsi="Times New Roman" w:cs="Times New Roman"/>
                <w:iCs/>
                <w:color w:val="000000"/>
                <w:sz w:val="23"/>
                <w:szCs w:val="23"/>
              </w:rPr>
              <w:t>Netiek paredzētas stingrākas prasības.</w:t>
            </w:r>
          </w:p>
        </w:tc>
      </w:tr>
      <w:tr w:rsidR="00581C63" w:rsidRPr="00581C63" w14:paraId="1BE9C337" w14:textId="77777777" w:rsidTr="00FC7DBC">
        <w:tc>
          <w:tcPr>
            <w:tcW w:w="2423" w:type="dxa"/>
            <w:tcBorders>
              <w:top w:val="single" w:sz="4" w:space="0" w:color="auto"/>
              <w:left w:val="single" w:sz="4" w:space="0" w:color="auto"/>
              <w:bottom w:val="single" w:sz="4" w:space="0" w:color="auto"/>
              <w:right w:val="single" w:sz="4" w:space="0" w:color="auto"/>
            </w:tcBorders>
          </w:tcPr>
          <w:p w14:paraId="2A86611E" w14:textId="5C37E34E" w:rsidR="00581C63" w:rsidRPr="001E1768" w:rsidRDefault="00581C63" w:rsidP="00581C63">
            <w:pPr>
              <w:pStyle w:val="naiskr"/>
              <w:spacing w:before="0" w:beforeAutospacing="0" w:after="0" w:afterAutospacing="0"/>
              <w:rPr>
                <w:bCs/>
                <w:color w:val="000000"/>
                <w:sz w:val="23"/>
                <w:szCs w:val="23"/>
                <w:lang w:eastAsia="en-US"/>
              </w:rPr>
            </w:pPr>
            <w:r w:rsidRPr="001E1768">
              <w:rPr>
                <w:bCs/>
                <w:iCs/>
                <w:color w:val="000000"/>
                <w:sz w:val="23"/>
                <w:szCs w:val="23"/>
                <w:lang w:eastAsia="en-US"/>
              </w:rPr>
              <w:t>Eiropas Parlamenta un Padomes regulas Nr.1304/2013 1.pielikums</w:t>
            </w:r>
          </w:p>
        </w:tc>
        <w:tc>
          <w:tcPr>
            <w:tcW w:w="2681" w:type="dxa"/>
            <w:tcBorders>
              <w:top w:val="single" w:sz="4" w:space="0" w:color="auto"/>
              <w:left w:val="single" w:sz="4" w:space="0" w:color="auto"/>
              <w:bottom w:val="single" w:sz="4" w:space="0" w:color="auto"/>
              <w:right w:val="single" w:sz="4" w:space="0" w:color="auto"/>
            </w:tcBorders>
          </w:tcPr>
          <w:p w14:paraId="00489764" w14:textId="1436EADC" w:rsidR="00581C63" w:rsidRPr="001E1768" w:rsidRDefault="00581C63" w:rsidP="001E1768">
            <w:pPr>
              <w:spacing w:after="0" w:line="240" w:lineRule="auto"/>
              <w:jc w:val="center"/>
              <w:rPr>
                <w:rFonts w:ascii="Times New Roman" w:hAnsi="Times New Roman" w:cs="Times New Roman"/>
                <w:iCs/>
                <w:color w:val="000000"/>
                <w:sz w:val="23"/>
                <w:szCs w:val="23"/>
              </w:rPr>
            </w:pPr>
            <w:r w:rsidRPr="001E1768">
              <w:rPr>
                <w:rFonts w:ascii="Times New Roman" w:hAnsi="Times New Roman" w:cs="Times New Roman"/>
                <w:iCs/>
                <w:color w:val="000000"/>
                <w:sz w:val="23"/>
                <w:szCs w:val="23"/>
              </w:rPr>
              <w:t>MK noteikumu projekta 40.</w:t>
            </w:r>
            <w:r w:rsidR="001E1768" w:rsidRPr="001E1768" w:rsidDel="001E1768">
              <w:rPr>
                <w:rFonts w:ascii="Times New Roman" w:hAnsi="Times New Roman" w:cs="Times New Roman"/>
                <w:iCs/>
                <w:color w:val="000000"/>
                <w:sz w:val="23"/>
                <w:szCs w:val="23"/>
              </w:rPr>
              <w:t xml:space="preserve"> </w:t>
            </w:r>
            <w:r w:rsidRPr="001E1768">
              <w:rPr>
                <w:rFonts w:ascii="Times New Roman" w:hAnsi="Times New Roman" w:cs="Times New Roman"/>
                <w:iCs/>
                <w:color w:val="000000"/>
                <w:sz w:val="23"/>
                <w:szCs w:val="23"/>
              </w:rPr>
              <w:t>punkts</w:t>
            </w:r>
          </w:p>
        </w:tc>
        <w:tc>
          <w:tcPr>
            <w:tcW w:w="2034" w:type="dxa"/>
            <w:tcBorders>
              <w:top w:val="single" w:sz="4" w:space="0" w:color="auto"/>
              <w:left w:val="single" w:sz="4" w:space="0" w:color="auto"/>
              <w:bottom w:val="single" w:sz="4" w:space="0" w:color="auto"/>
              <w:right w:val="single" w:sz="4" w:space="0" w:color="auto"/>
            </w:tcBorders>
          </w:tcPr>
          <w:p w14:paraId="7BE4827C" w14:textId="46BF4453" w:rsidR="00581C63" w:rsidRPr="001E1768" w:rsidRDefault="00581C63" w:rsidP="00581C63">
            <w:pPr>
              <w:spacing w:after="0" w:line="240" w:lineRule="auto"/>
              <w:jc w:val="center"/>
              <w:rPr>
                <w:rFonts w:ascii="Times New Roman" w:hAnsi="Times New Roman" w:cs="Times New Roman"/>
                <w:iCs/>
                <w:color w:val="000000"/>
                <w:sz w:val="23"/>
                <w:szCs w:val="23"/>
              </w:rPr>
            </w:pPr>
            <w:r w:rsidRPr="001E1768">
              <w:rPr>
                <w:rFonts w:ascii="Times New Roman" w:hAnsi="Times New Roman" w:cs="Times New Roman"/>
                <w:iCs/>
                <w:color w:val="000000"/>
                <w:sz w:val="23"/>
                <w:szCs w:val="23"/>
              </w:rPr>
              <w:t>Vienība tiek ieviesta pilnībā.</w:t>
            </w:r>
          </w:p>
        </w:tc>
        <w:tc>
          <w:tcPr>
            <w:tcW w:w="2502" w:type="dxa"/>
            <w:tcBorders>
              <w:top w:val="single" w:sz="4" w:space="0" w:color="auto"/>
              <w:left w:val="single" w:sz="4" w:space="0" w:color="auto"/>
              <w:bottom w:val="single" w:sz="4" w:space="0" w:color="auto"/>
              <w:right w:val="single" w:sz="4" w:space="0" w:color="auto"/>
            </w:tcBorders>
          </w:tcPr>
          <w:p w14:paraId="086EC0DE" w14:textId="32AD01E4" w:rsidR="00581C63" w:rsidRPr="001E1768" w:rsidRDefault="00581C63" w:rsidP="00581C63">
            <w:pPr>
              <w:spacing w:after="0" w:line="240" w:lineRule="auto"/>
              <w:jc w:val="center"/>
              <w:rPr>
                <w:rFonts w:ascii="Times New Roman" w:hAnsi="Times New Roman" w:cs="Times New Roman"/>
                <w:iCs/>
                <w:color w:val="000000"/>
                <w:sz w:val="23"/>
                <w:szCs w:val="23"/>
              </w:rPr>
            </w:pPr>
            <w:r w:rsidRPr="001E1768">
              <w:rPr>
                <w:rFonts w:ascii="Times New Roman" w:hAnsi="Times New Roman" w:cs="Times New Roman"/>
                <w:iCs/>
                <w:color w:val="000000"/>
                <w:sz w:val="23"/>
                <w:szCs w:val="23"/>
              </w:rPr>
              <w:t>Netiek paredzētas stingrākas prasības.</w:t>
            </w:r>
          </w:p>
        </w:tc>
      </w:tr>
      <w:tr w:rsidR="00581C63" w14:paraId="4F3098C3" w14:textId="77777777" w:rsidTr="00FC7DBC">
        <w:tc>
          <w:tcPr>
            <w:tcW w:w="5104" w:type="dxa"/>
            <w:gridSpan w:val="2"/>
            <w:tcBorders>
              <w:top w:val="single" w:sz="4" w:space="0" w:color="auto"/>
              <w:left w:val="single" w:sz="4" w:space="0" w:color="auto"/>
              <w:bottom w:val="single" w:sz="4" w:space="0" w:color="auto"/>
              <w:right w:val="single" w:sz="4" w:space="0" w:color="auto"/>
            </w:tcBorders>
            <w:hideMark/>
          </w:tcPr>
          <w:p w14:paraId="1D0983FF" w14:textId="77777777" w:rsidR="00581C63" w:rsidRPr="0026423E" w:rsidRDefault="00581C63" w:rsidP="00581C63">
            <w:pPr>
              <w:spacing w:after="0" w:line="240" w:lineRule="auto"/>
              <w:rPr>
                <w:rFonts w:ascii="Times New Roman" w:hAnsi="Times New Roman" w:cs="Times New Roman"/>
                <w:color w:val="000000"/>
                <w:sz w:val="23"/>
                <w:szCs w:val="23"/>
              </w:rPr>
            </w:pPr>
            <w:r w:rsidRPr="0026423E">
              <w:rPr>
                <w:rFonts w:ascii="Times New Roman" w:hAnsi="Times New Roman" w:cs="Times New Roman"/>
                <w:color w:val="000000"/>
                <w:sz w:val="23"/>
                <w:szCs w:val="23"/>
              </w:rPr>
              <w:t>Kā ir izmantota ES tiesību aktā paredzētā rīcības brīvība dalībvalstij pārņemt vai ieviest noteiktas ES tiesību akta normas?</w:t>
            </w:r>
          </w:p>
          <w:p w14:paraId="11198490" w14:textId="77777777" w:rsidR="00581C63" w:rsidRPr="0026423E" w:rsidRDefault="00581C63" w:rsidP="00581C63">
            <w:pPr>
              <w:spacing w:after="0" w:line="240" w:lineRule="auto"/>
              <w:rPr>
                <w:rFonts w:ascii="Times New Roman" w:hAnsi="Times New Roman" w:cs="Times New Roman"/>
                <w:i/>
                <w:color w:val="000000"/>
                <w:sz w:val="23"/>
                <w:szCs w:val="23"/>
              </w:rPr>
            </w:pPr>
            <w:r w:rsidRPr="0026423E">
              <w:rPr>
                <w:rFonts w:ascii="Times New Roman" w:hAnsi="Times New Roman" w:cs="Times New Roman"/>
                <w:color w:val="000000"/>
                <w:sz w:val="23"/>
                <w:szCs w:val="23"/>
              </w:rPr>
              <w:t>Kādēļ?</w:t>
            </w:r>
          </w:p>
        </w:tc>
        <w:tc>
          <w:tcPr>
            <w:tcW w:w="4536" w:type="dxa"/>
            <w:gridSpan w:val="2"/>
            <w:tcBorders>
              <w:top w:val="single" w:sz="4" w:space="0" w:color="auto"/>
              <w:left w:val="single" w:sz="4" w:space="0" w:color="auto"/>
              <w:bottom w:val="single" w:sz="4" w:space="0" w:color="auto"/>
              <w:right w:val="single" w:sz="4" w:space="0" w:color="auto"/>
            </w:tcBorders>
            <w:hideMark/>
          </w:tcPr>
          <w:p w14:paraId="1AFF4CC3" w14:textId="77777777" w:rsidR="00581C63" w:rsidRPr="0026423E" w:rsidRDefault="00581C63" w:rsidP="00581C63">
            <w:pPr>
              <w:spacing w:after="0" w:line="240" w:lineRule="auto"/>
              <w:rPr>
                <w:rFonts w:ascii="Times New Roman" w:hAnsi="Times New Roman" w:cs="Times New Roman"/>
                <w:color w:val="000000"/>
                <w:sz w:val="23"/>
                <w:szCs w:val="23"/>
              </w:rPr>
            </w:pPr>
            <w:r w:rsidRPr="0026423E">
              <w:rPr>
                <w:rFonts w:ascii="Times New Roman" w:hAnsi="Times New Roman" w:cs="Times New Roman"/>
                <w:iCs/>
                <w:color w:val="000000"/>
                <w:sz w:val="23"/>
                <w:szCs w:val="23"/>
              </w:rPr>
              <w:t>MK noteikumu projekts šo jomu neskar.</w:t>
            </w:r>
          </w:p>
        </w:tc>
      </w:tr>
      <w:tr w:rsidR="00581C63" w14:paraId="074F81C2" w14:textId="77777777" w:rsidTr="00FC7DBC">
        <w:tc>
          <w:tcPr>
            <w:tcW w:w="5104" w:type="dxa"/>
            <w:gridSpan w:val="2"/>
            <w:tcBorders>
              <w:top w:val="single" w:sz="4" w:space="0" w:color="auto"/>
              <w:left w:val="single" w:sz="4" w:space="0" w:color="auto"/>
              <w:bottom w:val="single" w:sz="4" w:space="0" w:color="auto"/>
              <w:right w:val="single" w:sz="4" w:space="0" w:color="auto"/>
            </w:tcBorders>
            <w:hideMark/>
          </w:tcPr>
          <w:p w14:paraId="166150B7" w14:textId="77777777" w:rsidR="00581C63" w:rsidRPr="0026423E" w:rsidRDefault="00581C63" w:rsidP="00581C63">
            <w:pPr>
              <w:spacing w:after="0" w:line="240" w:lineRule="auto"/>
              <w:rPr>
                <w:rFonts w:ascii="Times New Roman" w:hAnsi="Times New Roman" w:cs="Times New Roman"/>
                <w:i/>
                <w:color w:val="000000"/>
                <w:sz w:val="23"/>
                <w:szCs w:val="23"/>
              </w:rPr>
            </w:pPr>
            <w:r w:rsidRPr="0026423E">
              <w:rPr>
                <w:rFonts w:ascii="Times New Roman" w:hAnsi="Times New Roman" w:cs="Times New Roman"/>
                <w:color w:val="000000"/>
                <w:sz w:val="23"/>
                <w:szCs w:val="23"/>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536" w:type="dxa"/>
            <w:gridSpan w:val="2"/>
            <w:tcBorders>
              <w:top w:val="single" w:sz="4" w:space="0" w:color="auto"/>
              <w:left w:val="single" w:sz="4" w:space="0" w:color="auto"/>
              <w:bottom w:val="single" w:sz="4" w:space="0" w:color="auto"/>
              <w:right w:val="single" w:sz="4" w:space="0" w:color="auto"/>
            </w:tcBorders>
            <w:hideMark/>
          </w:tcPr>
          <w:p w14:paraId="2E622C70" w14:textId="77777777" w:rsidR="00581C63" w:rsidRPr="0026423E" w:rsidRDefault="00581C63" w:rsidP="00581C63">
            <w:pPr>
              <w:spacing w:after="0" w:line="240" w:lineRule="auto"/>
              <w:rPr>
                <w:rFonts w:ascii="Times New Roman" w:hAnsi="Times New Roman" w:cs="Times New Roman"/>
                <w:color w:val="000000"/>
                <w:sz w:val="23"/>
                <w:szCs w:val="23"/>
              </w:rPr>
            </w:pPr>
            <w:r w:rsidRPr="0026423E">
              <w:rPr>
                <w:rFonts w:ascii="Times New Roman" w:hAnsi="Times New Roman" w:cs="Times New Roman"/>
                <w:iCs/>
                <w:color w:val="000000"/>
                <w:sz w:val="23"/>
                <w:szCs w:val="23"/>
              </w:rPr>
              <w:t>MK noteikumu projekts šo jomu neskar.</w:t>
            </w:r>
          </w:p>
        </w:tc>
      </w:tr>
      <w:tr w:rsidR="00581C63" w14:paraId="39617E60" w14:textId="77777777" w:rsidTr="00FC7DBC">
        <w:tc>
          <w:tcPr>
            <w:tcW w:w="5104" w:type="dxa"/>
            <w:gridSpan w:val="2"/>
            <w:tcBorders>
              <w:top w:val="single" w:sz="4" w:space="0" w:color="auto"/>
              <w:left w:val="single" w:sz="4" w:space="0" w:color="auto"/>
              <w:bottom w:val="single" w:sz="4" w:space="0" w:color="auto"/>
              <w:right w:val="single" w:sz="4" w:space="0" w:color="auto"/>
            </w:tcBorders>
            <w:hideMark/>
          </w:tcPr>
          <w:p w14:paraId="1031A461" w14:textId="77777777" w:rsidR="00581C63" w:rsidRPr="0026423E" w:rsidRDefault="00581C63" w:rsidP="00581C63">
            <w:pPr>
              <w:pStyle w:val="naiskr"/>
              <w:spacing w:before="0" w:beforeAutospacing="0" w:after="0" w:afterAutospacing="0"/>
              <w:rPr>
                <w:i/>
                <w:color w:val="000000"/>
                <w:sz w:val="23"/>
                <w:szCs w:val="23"/>
                <w:lang w:eastAsia="en-US"/>
              </w:rPr>
            </w:pPr>
            <w:r w:rsidRPr="0026423E">
              <w:rPr>
                <w:color w:val="000000"/>
                <w:sz w:val="23"/>
                <w:szCs w:val="23"/>
                <w:lang w:eastAsia="en-US"/>
              </w:rPr>
              <w:t>Cita informācija</w:t>
            </w:r>
          </w:p>
        </w:tc>
        <w:tc>
          <w:tcPr>
            <w:tcW w:w="4536" w:type="dxa"/>
            <w:gridSpan w:val="2"/>
            <w:tcBorders>
              <w:top w:val="single" w:sz="4" w:space="0" w:color="auto"/>
              <w:left w:val="single" w:sz="4" w:space="0" w:color="auto"/>
              <w:bottom w:val="single" w:sz="4" w:space="0" w:color="auto"/>
              <w:right w:val="single" w:sz="4" w:space="0" w:color="auto"/>
            </w:tcBorders>
            <w:hideMark/>
          </w:tcPr>
          <w:p w14:paraId="5B7BD9DB" w14:textId="77777777" w:rsidR="00581C63" w:rsidRPr="0026423E" w:rsidRDefault="00581C63" w:rsidP="00581C63">
            <w:pPr>
              <w:spacing w:after="0" w:line="240" w:lineRule="auto"/>
              <w:rPr>
                <w:rFonts w:ascii="Times New Roman" w:hAnsi="Times New Roman" w:cs="Times New Roman"/>
                <w:color w:val="000000"/>
                <w:sz w:val="23"/>
                <w:szCs w:val="23"/>
              </w:rPr>
            </w:pPr>
            <w:r w:rsidRPr="0026423E">
              <w:rPr>
                <w:rFonts w:ascii="Times New Roman" w:hAnsi="Times New Roman" w:cs="Times New Roman"/>
                <w:color w:val="000000"/>
                <w:sz w:val="23"/>
                <w:szCs w:val="23"/>
              </w:rPr>
              <w:t>Nav.</w:t>
            </w:r>
          </w:p>
        </w:tc>
      </w:tr>
    </w:tbl>
    <w:p w14:paraId="6C39FE37" w14:textId="77777777" w:rsidR="00AB4AEE" w:rsidRPr="00C564CA" w:rsidRDefault="00AB4AEE" w:rsidP="00AB4AEE">
      <w:pPr>
        <w:spacing w:after="0" w:line="240" w:lineRule="auto"/>
        <w:jc w:val="center"/>
        <w:rPr>
          <w:rFonts w:ascii="Times New Roman" w:hAnsi="Times New Roman" w:cs="Times New Roman"/>
          <w:color w:val="000000"/>
          <w:sz w:val="16"/>
          <w:szCs w:val="16"/>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3096"/>
        <w:gridCol w:w="3160"/>
      </w:tblGrid>
      <w:tr w:rsidR="00AB4AEE" w:rsidRPr="00AB4AEE" w14:paraId="506634C0" w14:textId="77777777" w:rsidTr="00AB4AEE">
        <w:tc>
          <w:tcPr>
            <w:tcW w:w="9640" w:type="dxa"/>
            <w:gridSpan w:val="3"/>
            <w:tcBorders>
              <w:top w:val="single" w:sz="4" w:space="0" w:color="auto"/>
              <w:left w:val="single" w:sz="4" w:space="0" w:color="auto"/>
              <w:bottom w:val="single" w:sz="4" w:space="0" w:color="auto"/>
              <w:right w:val="single" w:sz="4" w:space="0" w:color="auto"/>
            </w:tcBorders>
            <w:hideMark/>
          </w:tcPr>
          <w:p w14:paraId="07DA7FEA" w14:textId="77777777" w:rsidR="00AB4AEE" w:rsidRPr="00AB4AEE" w:rsidRDefault="00AB4AEE">
            <w:pPr>
              <w:pStyle w:val="naisnod"/>
              <w:spacing w:before="0" w:beforeAutospacing="0" w:after="0" w:afterAutospacing="0" w:line="276" w:lineRule="auto"/>
              <w:jc w:val="center"/>
              <w:rPr>
                <w:b/>
                <w:color w:val="000000"/>
                <w:sz w:val="23"/>
                <w:szCs w:val="23"/>
                <w:lang w:eastAsia="en-US"/>
              </w:rPr>
            </w:pPr>
            <w:r w:rsidRPr="00AB4AEE">
              <w:rPr>
                <w:b/>
                <w:color w:val="000000"/>
                <w:sz w:val="23"/>
                <w:szCs w:val="23"/>
                <w:lang w:eastAsia="en-US"/>
              </w:rPr>
              <w:t>2.tabula. Ar tiesību akta projektu uzņemtās saistības, kas izriet no starptautiskajiem tiesību aktiem vai starptautiskas institūcijas vai organizācijas dokumentiem</w:t>
            </w:r>
          </w:p>
          <w:p w14:paraId="6469F844" w14:textId="77777777" w:rsidR="00AB4AEE" w:rsidRPr="00AB4AEE" w:rsidRDefault="00AB4AEE">
            <w:pPr>
              <w:spacing w:after="0" w:line="240" w:lineRule="auto"/>
              <w:jc w:val="center"/>
              <w:rPr>
                <w:rFonts w:ascii="Times New Roman" w:hAnsi="Times New Roman" w:cs="Times New Roman"/>
                <w:color w:val="000000"/>
                <w:sz w:val="23"/>
                <w:szCs w:val="23"/>
              </w:rPr>
            </w:pPr>
            <w:r w:rsidRPr="00AB4AEE">
              <w:rPr>
                <w:rFonts w:ascii="Times New Roman" w:hAnsi="Times New Roman" w:cs="Times New Roman"/>
                <w:b/>
                <w:color w:val="000000"/>
                <w:sz w:val="23"/>
                <w:szCs w:val="23"/>
              </w:rPr>
              <w:t>Pasākumi šo saistību izpildei</w:t>
            </w:r>
          </w:p>
        </w:tc>
      </w:tr>
      <w:tr w:rsidR="00AB4AEE" w14:paraId="5129A196" w14:textId="77777777" w:rsidTr="00AB4AEE">
        <w:tc>
          <w:tcPr>
            <w:tcW w:w="3384" w:type="dxa"/>
            <w:tcBorders>
              <w:top w:val="single" w:sz="4" w:space="0" w:color="auto"/>
              <w:left w:val="single" w:sz="4" w:space="0" w:color="auto"/>
              <w:bottom w:val="single" w:sz="4" w:space="0" w:color="auto"/>
              <w:right w:val="single" w:sz="4" w:space="0" w:color="auto"/>
            </w:tcBorders>
            <w:hideMark/>
          </w:tcPr>
          <w:p w14:paraId="7C0280BD" w14:textId="77777777" w:rsidR="00AB4AEE" w:rsidRPr="00AB4AEE" w:rsidRDefault="00AB4AEE">
            <w:pPr>
              <w:spacing w:after="0" w:line="240" w:lineRule="auto"/>
              <w:rPr>
                <w:rFonts w:ascii="Times New Roman" w:hAnsi="Times New Roman" w:cs="Times New Roman"/>
                <w:sz w:val="23"/>
                <w:szCs w:val="23"/>
              </w:rPr>
            </w:pPr>
            <w:r w:rsidRPr="00AB4AEE">
              <w:rPr>
                <w:rFonts w:ascii="Times New Roman" w:hAnsi="Times New Roman" w:cs="Times New Roman"/>
                <w:sz w:val="23"/>
                <w:szCs w:val="23"/>
              </w:rPr>
              <w:t>Attiecīgā starptautiskā tiesību akta vai starptautiskas institūcijas vai organizācijas dokumenta (turpmāk – starptautiskais dokuments) datums, numurs un nosaukums</w:t>
            </w:r>
          </w:p>
        </w:tc>
        <w:tc>
          <w:tcPr>
            <w:tcW w:w="6256" w:type="dxa"/>
            <w:gridSpan w:val="2"/>
            <w:tcBorders>
              <w:top w:val="single" w:sz="4" w:space="0" w:color="auto"/>
              <w:left w:val="single" w:sz="4" w:space="0" w:color="auto"/>
              <w:bottom w:val="single" w:sz="4" w:space="0" w:color="auto"/>
              <w:right w:val="single" w:sz="4" w:space="0" w:color="auto"/>
            </w:tcBorders>
            <w:hideMark/>
          </w:tcPr>
          <w:p w14:paraId="0711CE72" w14:textId="77777777" w:rsidR="00AB4AEE" w:rsidRPr="00AB4AEE" w:rsidRDefault="00AB4AEE">
            <w:pPr>
              <w:tabs>
                <w:tab w:val="left" w:pos="325"/>
              </w:tabs>
              <w:spacing w:after="0" w:line="240" w:lineRule="auto"/>
              <w:rPr>
                <w:rFonts w:ascii="Times New Roman" w:hAnsi="Times New Roman" w:cs="Times New Roman"/>
                <w:sz w:val="23"/>
                <w:szCs w:val="23"/>
              </w:rPr>
            </w:pPr>
            <w:r w:rsidRPr="00AB4AEE">
              <w:rPr>
                <w:rFonts w:ascii="Times New Roman" w:hAnsi="Times New Roman" w:cs="Times New Roman"/>
                <w:sz w:val="23"/>
                <w:szCs w:val="23"/>
              </w:rPr>
              <w:t>MK noteikumu projekts šo jomu neskar.</w:t>
            </w:r>
          </w:p>
        </w:tc>
      </w:tr>
      <w:tr w:rsidR="00AB4AEE" w14:paraId="3F5B0C1F" w14:textId="77777777" w:rsidTr="00AB4AEE">
        <w:tc>
          <w:tcPr>
            <w:tcW w:w="3384" w:type="dxa"/>
            <w:tcBorders>
              <w:top w:val="single" w:sz="4" w:space="0" w:color="auto"/>
              <w:left w:val="single" w:sz="4" w:space="0" w:color="auto"/>
              <w:bottom w:val="single" w:sz="4" w:space="0" w:color="auto"/>
              <w:right w:val="single" w:sz="4" w:space="0" w:color="auto"/>
            </w:tcBorders>
            <w:hideMark/>
          </w:tcPr>
          <w:p w14:paraId="4528DDD8" w14:textId="77777777" w:rsidR="00AB4AEE" w:rsidRPr="00AB4AEE" w:rsidRDefault="00AB4AEE">
            <w:pPr>
              <w:spacing w:after="0" w:line="240" w:lineRule="auto"/>
              <w:jc w:val="center"/>
              <w:rPr>
                <w:rFonts w:ascii="Times New Roman" w:hAnsi="Times New Roman" w:cs="Times New Roman"/>
                <w:sz w:val="23"/>
                <w:szCs w:val="23"/>
              </w:rPr>
            </w:pPr>
            <w:r w:rsidRPr="00AB4AEE">
              <w:rPr>
                <w:rFonts w:ascii="Times New Roman" w:hAnsi="Times New Roman" w:cs="Times New Roman"/>
                <w:sz w:val="23"/>
                <w:szCs w:val="23"/>
              </w:rPr>
              <w:t>A</w:t>
            </w:r>
          </w:p>
        </w:tc>
        <w:tc>
          <w:tcPr>
            <w:tcW w:w="3096" w:type="dxa"/>
            <w:tcBorders>
              <w:top w:val="single" w:sz="4" w:space="0" w:color="auto"/>
              <w:left w:val="single" w:sz="4" w:space="0" w:color="auto"/>
              <w:bottom w:val="single" w:sz="4" w:space="0" w:color="auto"/>
              <w:right w:val="single" w:sz="4" w:space="0" w:color="auto"/>
            </w:tcBorders>
            <w:hideMark/>
          </w:tcPr>
          <w:p w14:paraId="4BD385F4" w14:textId="77777777" w:rsidR="00AB4AEE" w:rsidRPr="00AB4AEE" w:rsidRDefault="00AB4AEE">
            <w:pPr>
              <w:spacing w:after="0" w:line="240" w:lineRule="auto"/>
              <w:jc w:val="center"/>
              <w:rPr>
                <w:rFonts w:ascii="Times New Roman" w:hAnsi="Times New Roman" w:cs="Times New Roman"/>
                <w:sz w:val="23"/>
                <w:szCs w:val="23"/>
              </w:rPr>
            </w:pPr>
            <w:r w:rsidRPr="00AB4AEE">
              <w:rPr>
                <w:rFonts w:ascii="Times New Roman" w:hAnsi="Times New Roman" w:cs="Times New Roman"/>
                <w:sz w:val="23"/>
                <w:szCs w:val="23"/>
              </w:rPr>
              <w:t>B</w:t>
            </w:r>
          </w:p>
        </w:tc>
        <w:tc>
          <w:tcPr>
            <w:tcW w:w="3160" w:type="dxa"/>
            <w:tcBorders>
              <w:top w:val="single" w:sz="4" w:space="0" w:color="auto"/>
              <w:left w:val="single" w:sz="4" w:space="0" w:color="auto"/>
              <w:bottom w:val="single" w:sz="4" w:space="0" w:color="auto"/>
              <w:right w:val="single" w:sz="4" w:space="0" w:color="auto"/>
            </w:tcBorders>
            <w:hideMark/>
          </w:tcPr>
          <w:p w14:paraId="0CC6BD5B" w14:textId="77777777" w:rsidR="00AB4AEE" w:rsidRPr="00AB4AEE" w:rsidRDefault="00AB4AEE">
            <w:pPr>
              <w:spacing w:after="0" w:line="240" w:lineRule="auto"/>
              <w:jc w:val="center"/>
              <w:rPr>
                <w:rFonts w:ascii="Times New Roman" w:hAnsi="Times New Roman" w:cs="Times New Roman"/>
                <w:sz w:val="23"/>
                <w:szCs w:val="23"/>
              </w:rPr>
            </w:pPr>
            <w:r w:rsidRPr="00AB4AEE">
              <w:rPr>
                <w:rFonts w:ascii="Times New Roman" w:hAnsi="Times New Roman" w:cs="Times New Roman"/>
                <w:sz w:val="23"/>
                <w:szCs w:val="23"/>
              </w:rPr>
              <w:t>C</w:t>
            </w:r>
          </w:p>
        </w:tc>
      </w:tr>
      <w:tr w:rsidR="00AB4AEE" w14:paraId="190BE5BA" w14:textId="77777777" w:rsidTr="00AB4AEE">
        <w:tc>
          <w:tcPr>
            <w:tcW w:w="3384" w:type="dxa"/>
            <w:tcBorders>
              <w:top w:val="single" w:sz="4" w:space="0" w:color="auto"/>
              <w:left w:val="single" w:sz="4" w:space="0" w:color="auto"/>
              <w:bottom w:val="single" w:sz="4" w:space="0" w:color="auto"/>
              <w:right w:val="single" w:sz="4" w:space="0" w:color="auto"/>
            </w:tcBorders>
            <w:hideMark/>
          </w:tcPr>
          <w:p w14:paraId="22ECE6B7" w14:textId="77777777" w:rsidR="00AB4AEE" w:rsidRPr="00AB4AEE" w:rsidRDefault="00AB4AEE" w:rsidP="0026423E">
            <w:pPr>
              <w:pStyle w:val="naiskr"/>
              <w:spacing w:before="0" w:beforeAutospacing="0" w:after="0" w:afterAutospacing="0"/>
              <w:jc w:val="center"/>
              <w:rPr>
                <w:rFonts w:eastAsiaTheme="minorHAnsi"/>
                <w:sz w:val="23"/>
                <w:szCs w:val="23"/>
                <w:lang w:eastAsia="en-US"/>
              </w:rPr>
            </w:pPr>
            <w:r w:rsidRPr="00AB4AEE">
              <w:rPr>
                <w:rFonts w:eastAsiaTheme="minorHAnsi"/>
                <w:sz w:val="23"/>
                <w:szCs w:val="23"/>
                <w:lang w:eastAsia="en-US"/>
              </w:rPr>
              <w:t>Starptautiskās saistības (pēc būtības), kas izriet no norādītā starptautiskā dokumenta.</w:t>
            </w:r>
          </w:p>
          <w:p w14:paraId="755BD212" w14:textId="77777777" w:rsidR="00AB4AEE" w:rsidRPr="00AB4AEE" w:rsidRDefault="00AB4AEE" w:rsidP="0026423E">
            <w:pPr>
              <w:spacing w:after="0" w:line="240" w:lineRule="auto"/>
              <w:jc w:val="center"/>
              <w:rPr>
                <w:rFonts w:ascii="Times New Roman" w:hAnsi="Times New Roman" w:cs="Times New Roman"/>
                <w:sz w:val="23"/>
                <w:szCs w:val="23"/>
              </w:rPr>
            </w:pPr>
            <w:r w:rsidRPr="00AB4AEE">
              <w:rPr>
                <w:rFonts w:ascii="Times New Roman" w:hAnsi="Times New Roman" w:cs="Times New Roman"/>
                <w:sz w:val="23"/>
                <w:szCs w:val="23"/>
              </w:rPr>
              <w:t>Konkrēti veicamie pasākumi vai uzdevumi, kas nepieciešami šo starptautisko saistību izpildei</w:t>
            </w:r>
          </w:p>
        </w:tc>
        <w:tc>
          <w:tcPr>
            <w:tcW w:w="3096" w:type="dxa"/>
            <w:tcBorders>
              <w:top w:val="single" w:sz="4" w:space="0" w:color="auto"/>
              <w:left w:val="single" w:sz="4" w:space="0" w:color="auto"/>
              <w:bottom w:val="single" w:sz="4" w:space="0" w:color="auto"/>
              <w:right w:val="single" w:sz="4" w:space="0" w:color="auto"/>
            </w:tcBorders>
            <w:hideMark/>
          </w:tcPr>
          <w:p w14:paraId="5E96E357" w14:textId="77777777" w:rsidR="00AB4AEE" w:rsidRPr="00AB4AEE" w:rsidRDefault="00AB4AEE" w:rsidP="0026423E">
            <w:pPr>
              <w:spacing w:after="0" w:line="240" w:lineRule="auto"/>
              <w:jc w:val="center"/>
              <w:rPr>
                <w:rFonts w:ascii="Times New Roman" w:hAnsi="Times New Roman" w:cs="Times New Roman"/>
                <w:sz w:val="23"/>
                <w:szCs w:val="23"/>
              </w:rPr>
            </w:pPr>
            <w:r w:rsidRPr="00AB4AEE">
              <w:rPr>
                <w:rFonts w:ascii="Times New Roman" w:hAnsi="Times New Roman" w:cs="Times New Roman"/>
                <w:sz w:val="23"/>
                <w:szCs w:val="23"/>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160" w:type="dxa"/>
            <w:tcBorders>
              <w:top w:val="single" w:sz="4" w:space="0" w:color="auto"/>
              <w:left w:val="single" w:sz="4" w:space="0" w:color="auto"/>
              <w:bottom w:val="single" w:sz="4" w:space="0" w:color="auto"/>
              <w:right w:val="single" w:sz="4" w:space="0" w:color="auto"/>
            </w:tcBorders>
            <w:hideMark/>
          </w:tcPr>
          <w:p w14:paraId="5D9C6289" w14:textId="77777777" w:rsidR="00AB4AEE" w:rsidRPr="00AB4AEE" w:rsidRDefault="00AB4AEE" w:rsidP="0026423E">
            <w:pPr>
              <w:pStyle w:val="naiskr"/>
              <w:spacing w:before="0" w:beforeAutospacing="0" w:after="0" w:afterAutospacing="0"/>
              <w:jc w:val="center"/>
              <w:rPr>
                <w:rFonts w:eastAsiaTheme="minorHAnsi"/>
                <w:sz w:val="23"/>
                <w:szCs w:val="23"/>
                <w:lang w:eastAsia="en-US"/>
              </w:rPr>
            </w:pPr>
            <w:r w:rsidRPr="00AB4AEE">
              <w:rPr>
                <w:rFonts w:eastAsiaTheme="minorHAnsi"/>
                <w:sz w:val="23"/>
                <w:szCs w:val="23"/>
                <w:lang w:eastAsia="en-US"/>
              </w:rPr>
              <w:t>Informācija par to, vai starptautiskās saistības, kas minētas šīs tabulas A ailē, tiek izpildītas pilnībā vai daļēji.</w:t>
            </w:r>
          </w:p>
          <w:p w14:paraId="537D0B1E" w14:textId="77777777" w:rsidR="00AB4AEE" w:rsidRPr="00AB4AEE" w:rsidRDefault="00AB4AEE" w:rsidP="0026423E">
            <w:pPr>
              <w:pStyle w:val="naiskr"/>
              <w:spacing w:before="0" w:beforeAutospacing="0" w:after="0" w:afterAutospacing="0"/>
              <w:jc w:val="center"/>
              <w:rPr>
                <w:rFonts w:eastAsiaTheme="minorHAnsi"/>
                <w:sz w:val="23"/>
                <w:szCs w:val="23"/>
                <w:lang w:eastAsia="en-US"/>
              </w:rPr>
            </w:pPr>
            <w:r w:rsidRPr="00AB4AEE">
              <w:rPr>
                <w:rFonts w:eastAsiaTheme="minorHAnsi"/>
                <w:sz w:val="23"/>
                <w:szCs w:val="23"/>
                <w:lang w:eastAsia="en-US"/>
              </w:rPr>
              <w:t>Ja attiecīgās starptautiskās saistības tiek izpildītas daļēji, sniedz attiecīgu skaidrojumu, kā arī precīzi norāda, kad un kādā veidā starptautiskās saistības tiks izpildītas pilnībā.</w:t>
            </w:r>
          </w:p>
          <w:p w14:paraId="7F206692" w14:textId="77777777" w:rsidR="00AB4AEE" w:rsidRPr="00AB4AEE" w:rsidRDefault="00AB4AEE" w:rsidP="0026423E">
            <w:pPr>
              <w:spacing w:after="0" w:line="240" w:lineRule="auto"/>
              <w:jc w:val="center"/>
              <w:rPr>
                <w:rFonts w:ascii="Times New Roman" w:hAnsi="Times New Roman" w:cs="Times New Roman"/>
                <w:sz w:val="23"/>
                <w:szCs w:val="23"/>
              </w:rPr>
            </w:pPr>
            <w:r w:rsidRPr="00AB4AEE">
              <w:rPr>
                <w:rFonts w:ascii="Times New Roman" w:hAnsi="Times New Roman" w:cs="Times New Roman"/>
                <w:sz w:val="23"/>
                <w:szCs w:val="23"/>
              </w:rPr>
              <w:t>Norāda institūciju, kas ir atbildīga par šo saistību izpildi pilnībā</w:t>
            </w:r>
          </w:p>
        </w:tc>
      </w:tr>
      <w:tr w:rsidR="00AB4AEE" w14:paraId="6D4F7A31" w14:textId="77777777" w:rsidTr="00AB4AEE">
        <w:tc>
          <w:tcPr>
            <w:tcW w:w="3384" w:type="dxa"/>
            <w:tcBorders>
              <w:top w:val="single" w:sz="4" w:space="0" w:color="auto"/>
              <w:left w:val="single" w:sz="4" w:space="0" w:color="auto"/>
              <w:bottom w:val="single" w:sz="4" w:space="0" w:color="auto"/>
              <w:right w:val="single" w:sz="4" w:space="0" w:color="auto"/>
            </w:tcBorders>
            <w:hideMark/>
          </w:tcPr>
          <w:p w14:paraId="7878DF9E" w14:textId="77777777" w:rsidR="00AB4AEE" w:rsidRPr="00AB4AEE" w:rsidRDefault="00AB4AEE">
            <w:pPr>
              <w:spacing w:after="0" w:line="240" w:lineRule="auto"/>
              <w:rPr>
                <w:rFonts w:ascii="Times New Roman" w:hAnsi="Times New Roman" w:cs="Times New Roman"/>
                <w:sz w:val="23"/>
                <w:szCs w:val="23"/>
              </w:rPr>
            </w:pPr>
            <w:r w:rsidRPr="00AB4AEE">
              <w:rPr>
                <w:rFonts w:ascii="Times New Roman" w:hAnsi="Times New Roman" w:cs="Times New Roman"/>
                <w:sz w:val="23"/>
                <w:szCs w:val="23"/>
              </w:rPr>
              <w:t>Noteikumu projekts šo jomu neskar.</w:t>
            </w:r>
          </w:p>
        </w:tc>
        <w:tc>
          <w:tcPr>
            <w:tcW w:w="3096" w:type="dxa"/>
            <w:tcBorders>
              <w:top w:val="single" w:sz="4" w:space="0" w:color="auto"/>
              <w:left w:val="single" w:sz="4" w:space="0" w:color="auto"/>
              <w:bottom w:val="single" w:sz="4" w:space="0" w:color="auto"/>
              <w:right w:val="single" w:sz="4" w:space="0" w:color="auto"/>
            </w:tcBorders>
            <w:hideMark/>
          </w:tcPr>
          <w:p w14:paraId="5027A270" w14:textId="77777777" w:rsidR="00AB4AEE" w:rsidRPr="00AB4AEE" w:rsidRDefault="00AB4AEE">
            <w:pPr>
              <w:spacing w:after="0" w:line="240" w:lineRule="auto"/>
              <w:rPr>
                <w:rFonts w:ascii="Times New Roman" w:hAnsi="Times New Roman" w:cs="Times New Roman"/>
                <w:sz w:val="23"/>
                <w:szCs w:val="23"/>
              </w:rPr>
            </w:pPr>
            <w:r w:rsidRPr="00AB4AEE">
              <w:rPr>
                <w:rFonts w:ascii="Times New Roman" w:hAnsi="Times New Roman" w:cs="Times New Roman"/>
                <w:sz w:val="23"/>
                <w:szCs w:val="23"/>
              </w:rPr>
              <w:t>MK noteikumu projekts šo jomu neskar.</w:t>
            </w:r>
          </w:p>
        </w:tc>
        <w:tc>
          <w:tcPr>
            <w:tcW w:w="3160" w:type="dxa"/>
            <w:tcBorders>
              <w:top w:val="single" w:sz="4" w:space="0" w:color="auto"/>
              <w:left w:val="single" w:sz="4" w:space="0" w:color="auto"/>
              <w:bottom w:val="single" w:sz="4" w:space="0" w:color="auto"/>
              <w:right w:val="single" w:sz="4" w:space="0" w:color="auto"/>
            </w:tcBorders>
            <w:hideMark/>
          </w:tcPr>
          <w:p w14:paraId="1B8F8E36" w14:textId="77777777" w:rsidR="00AB4AEE" w:rsidRPr="00AB4AEE" w:rsidRDefault="00AB4AEE">
            <w:pPr>
              <w:spacing w:after="0" w:line="240" w:lineRule="auto"/>
              <w:rPr>
                <w:rFonts w:ascii="Times New Roman" w:hAnsi="Times New Roman" w:cs="Times New Roman"/>
                <w:sz w:val="23"/>
                <w:szCs w:val="23"/>
              </w:rPr>
            </w:pPr>
            <w:r w:rsidRPr="00AB4AEE">
              <w:rPr>
                <w:rFonts w:ascii="Times New Roman" w:hAnsi="Times New Roman" w:cs="Times New Roman"/>
                <w:sz w:val="23"/>
                <w:szCs w:val="23"/>
              </w:rPr>
              <w:t>MK noteikumu projekts šo jomu neskar.</w:t>
            </w:r>
          </w:p>
        </w:tc>
      </w:tr>
      <w:tr w:rsidR="00AB4AEE" w14:paraId="743CB4DD" w14:textId="77777777" w:rsidTr="00AB4AEE">
        <w:tc>
          <w:tcPr>
            <w:tcW w:w="3384" w:type="dxa"/>
            <w:tcBorders>
              <w:top w:val="single" w:sz="4" w:space="0" w:color="auto"/>
              <w:left w:val="single" w:sz="4" w:space="0" w:color="auto"/>
              <w:bottom w:val="single" w:sz="4" w:space="0" w:color="auto"/>
              <w:right w:val="single" w:sz="4" w:space="0" w:color="auto"/>
            </w:tcBorders>
            <w:hideMark/>
          </w:tcPr>
          <w:p w14:paraId="1D0F9C12" w14:textId="77777777" w:rsidR="00AB4AEE" w:rsidRPr="00AB4AEE" w:rsidRDefault="00AB4AEE">
            <w:pPr>
              <w:spacing w:after="0" w:line="240" w:lineRule="auto"/>
              <w:rPr>
                <w:rFonts w:ascii="Times New Roman" w:hAnsi="Times New Roman" w:cs="Times New Roman"/>
                <w:sz w:val="23"/>
                <w:szCs w:val="23"/>
              </w:rPr>
            </w:pPr>
            <w:r w:rsidRPr="00AB4AEE">
              <w:rPr>
                <w:rFonts w:ascii="Times New Roman" w:hAnsi="Times New Roman" w:cs="Times New Roman"/>
                <w:sz w:val="23"/>
                <w:szCs w:val="23"/>
              </w:rPr>
              <w:t>Vai starptautiskajā dokumentā paredzētās saistības nav pretrunā ar jau esošajām Latvijas Republikas starptautiskajām saistībām</w:t>
            </w:r>
          </w:p>
        </w:tc>
        <w:tc>
          <w:tcPr>
            <w:tcW w:w="6256" w:type="dxa"/>
            <w:gridSpan w:val="2"/>
            <w:tcBorders>
              <w:top w:val="single" w:sz="4" w:space="0" w:color="auto"/>
              <w:left w:val="single" w:sz="4" w:space="0" w:color="auto"/>
              <w:bottom w:val="single" w:sz="4" w:space="0" w:color="auto"/>
              <w:right w:val="single" w:sz="4" w:space="0" w:color="auto"/>
            </w:tcBorders>
            <w:hideMark/>
          </w:tcPr>
          <w:p w14:paraId="7AE31229" w14:textId="77777777" w:rsidR="00AB4AEE" w:rsidRPr="00AB4AEE" w:rsidRDefault="00AB4AEE">
            <w:pPr>
              <w:spacing w:after="0" w:line="240" w:lineRule="auto"/>
              <w:rPr>
                <w:rFonts w:ascii="Times New Roman" w:hAnsi="Times New Roman" w:cs="Times New Roman"/>
                <w:sz w:val="23"/>
                <w:szCs w:val="23"/>
              </w:rPr>
            </w:pPr>
            <w:r w:rsidRPr="00AB4AEE">
              <w:rPr>
                <w:rFonts w:ascii="Times New Roman" w:hAnsi="Times New Roman" w:cs="Times New Roman"/>
                <w:sz w:val="23"/>
                <w:szCs w:val="23"/>
              </w:rPr>
              <w:t>MK noteikumu projekts šo jomu neskar.</w:t>
            </w:r>
          </w:p>
        </w:tc>
      </w:tr>
      <w:tr w:rsidR="00AB4AEE" w14:paraId="7FBA2E92" w14:textId="77777777" w:rsidTr="00AB4AEE">
        <w:tc>
          <w:tcPr>
            <w:tcW w:w="3384" w:type="dxa"/>
            <w:tcBorders>
              <w:top w:val="single" w:sz="4" w:space="0" w:color="auto"/>
              <w:left w:val="single" w:sz="4" w:space="0" w:color="auto"/>
              <w:bottom w:val="single" w:sz="4" w:space="0" w:color="auto"/>
              <w:right w:val="single" w:sz="4" w:space="0" w:color="auto"/>
            </w:tcBorders>
            <w:hideMark/>
          </w:tcPr>
          <w:p w14:paraId="57F379CB" w14:textId="77777777" w:rsidR="00AB4AEE" w:rsidRPr="00AB4AEE" w:rsidRDefault="00AB4AEE">
            <w:pPr>
              <w:spacing w:after="0" w:line="240" w:lineRule="auto"/>
              <w:rPr>
                <w:rFonts w:ascii="Times New Roman" w:hAnsi="Times New Roman" w:cs="Times New Roman"/>
                <w:sz w:val="23"/>
                <w:szCs w:val="23"/>
              </w:rPr>
            </w:pPr>
            <w:r w:rsidRPr="00AB4AEE">
              <w:rPr>
                <w:rFonts w:ascii="Times New Roman" w:hAnsi="Times New Roman" w:cs="Times New Roman"/>
                <w:sz w:val="23"/>
                <w:szCs w:val="23"/>
              </w:rPr>
              <w:lastRenderedPageBreak/>
              <w:t>Cita informācija</w:t>
            </w:r>
          </w:p>
        </w:tc>
        <w:tc>
          <w:tcPr>
            <w:tcW w:w="6256" w:type="dxa"/>
            <w:gridSpan w:val="2"/>
            <w:tcBorders>
              <w:top w:val="single" w:sz="4" w:space="0" w:color="auto"/>
              <w:left w:val="single" w:sz="4" w:space="0" w:color="auto"/>
              <w:bottom w:val="single" w:sz="4" w:space="0" w:color="auto"/>
              <w:right w:val="single" w:sz="4" w:space="0" w:color="auto"/>
            </w:tcBorders>
            <w:hideMark/>
          </w:tcPr>
          <w:p w14:paraId="32945629" w14:textId="77777777" w:rsidR="00AB4AEE" w:rsidRPr="00AB4AEE" w:rsidRDefault="00AB4AEE">
            <w:pPr>
              <w:spacing w:after="0" w:line="240" w:lineRule="auto"/>
              <w:rPr>
                <w:rFonts w:ascii="Times New Roman" w:hAnsi="Times New Roman" w:cs="Times New Roman"/>
                <w:sz w:val="23"/>
                <w:szCs w:val="23"/>
              </w:rPr>
            </w:pPr>
            <w:r w:rsidRPr="00AB4AEE">
              <w:rPr>
                <w:rFonts w:ascii="Times New Roman" w:hAnsi="Times New Roman" w:cs="Times New Roman"/>
                <w:sz w:val="23"/>
                <w:szCs w:val="23"/>
              </w:rPr>
              <w:t>Nav.</w:t>
            </w:r>
          </w:p>
        </w:tc>
      </w:tr>
    </w:tbl>
    <w:p w14:paraId="4E33FC6E" w14:textId="77777777" w:rsidR="00AB4AEE" w:rsidRPr="00C564CA" w:rsidRDefault="00AB4AEE" w:rsidP="005E1FE1">
      <w:pPr>
        <w:spacing w:after="0" w:line="240" w:lineRule="auto"/>
        <w:rPr>
          <w:rFonts w:ascii="Times New Roman" w:hAnsi="Times New Roman" w:cs="Times New Roman"/>
          <w:sz w:val="16"/>
          <w:szCs w:val="16"/>
        </w:rPr>
      </w:pP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3044"/>
        <w:gridCol w:w="6206"/>
      </w:tblGrid>
      <w:tr w:rsidR="00CA0D50" w:rsidRPr="00074E9C" w14:paraId="19766C35" w14:textId="77777777" w:rsidTr="00CA0D50">
        <w:trPr>
          <w:trHeight w:val="421"/>
          <w:jc w:val="center"/>
        </w:trPr>
        <w:tc>
          <w:tcPr>
            <w:tcW w:w="9671" w:type="dxa"/>
            <w:gridSpan w:val="3"/>
            <w:vAlign w:val="center"/>
          </w:tcPr>
          <w:p w14:paraId="6356F15D" w14:textId="77777777" w:rsidR="00CA0D50" w:rsidRPr="00074E9C" w:rsidRDefault="00CA0D50" w:rsidP="00B679BE">
            <w:pPr>
              <w:pStyle w:val="naisnod"/>
              <w:spacing w:before="0" w:beforeAutospacing="0" w:after="0" w:afterAutospacing="0"/>
              <w:ind w:left="57" w:right="57"/>
              <w:jc w:val="center"/>
              <w:rPr>
                <w:rFonts w:eastAsiaTheme="minorHAnsi"/>
                <w:b/>
                <w:sz w:val="23"/>
                <w:szCs w:val="23"/>
                <w:lang w:eastAsia="en-US"/>
              </w:rPr>
            </w:pPr>
            <w:r w:rsidRPr="00074E9C">
              <w:rPr>
                <w:rFonts w:eastAsiaTheme="minorHAnsi"/>
                <w:b/>
                <w:sz w:val="23"/>
                <w:szCs w:val="23"/>
                <w:lang w:eastAsia="en-US"/>
              </w:rPr>
              <w:t>VI. Sabiedrības līdzdalība un komunikācijas aktivitātes</w:t>
            </w:r>
          </w:p>
        </w:tc>
      </w:tr>
      <w:tr w:rsidR="00CA0D50" w:rsidRPr="00074E9C" w14:paraId="1FC09178" w14:textId="77777777" w:rsidTr="00CA0D50">
        <w:trPr>
          <w:trHeight w:val="553"/>
          <w:jc w:val="center"/>
        </w:trPr>
        <w:tc>
          <w:tcPr>
            <w:tcW w:w="421" w:type="dxa"/>
          </w:tcPr>
          <w:p w14:paraId="6F21E48C" w14:textId="77777777" w:rsidR="00CA0D50" w:rsidRPr="00074E9C" w:rsidRDefault="00CA0D50" w:rsidP="00B679BE">
            <w:pPr>
              <w:spacing w:after="0" w:line="240" w:lineRule="auto"/>
              <w:ind w:left="57" w:right="57"/>
              <w:jc w:val="both"/>
              <w:rPr>
                <w:rFonts w:ascii="Times New Roman" w:hAnsi="Times New Roman" w:cs="Times New Roman"/>
                <w:sz w:val="23"/>
                <w:szCs w:val="23"/>
              </w:rPr>
            </w:pPr>
            <w:r w:rsidRPr="00074E9C">
              <w:rPr>
                <w:rFonts w:ascii="Times New Roman" w:hAnsi="Times New Roman" w:cs="Times New Roman"/>
                <w:sz w:val="23"/>
                <w:szCs w:val="23"/>
              </w:rPr>
              <w:t>1.</w:t>
            </w:r>
          </w:p>
        </w:tc>
        <w:tc>
          <w:tcPr>
            <w:tcW w:w="3044" w:type="dxa"/>
          </w:tcPr>
          <w:p w14:paraId="0249D104" w14:textId="77777777" w:rsidR="00CA0D50" w:rsidRPr="00074E9C" w:rsidRDefault="00CA0D50" w:rsidP="00B679BE">
            <w:pPr>
              <w:tabs>
                <w:tab w:val="left" w:pos="170"/>
              </w:tabs>
              <w:spacing w:after="0" w:line="240" w:lineRule="auto"/>
              <w:ind w:left="57" w:right="57"/>
              <w:rPr>
                <w:rFonts w:ascii="Times New Roman" w:hAnsi="Times New Roman" w:cs="Times New Roman"/>
                <w:sz w:val="23"/>
                <w:szCs w:val="23"/>
              </w:rPr>
            </w:pPr>
            <w:r w:rsidRPr="00074E9C">
              <w:rPr>
                <w:rFonts w:ascii="Times New Roman" w:hAnsi="Times New Roman" w:cs="Times New Roman"/>
                <w:sz w:val="23"/>
                <w:szCs w:val="23"/>
              </w:rPr>
              <w:t>Plānotās sabiedrības līdzdalības un komunikācijas aktivitātes saistībā ar projektu</w:t>
            </w:r>
          </w:p>
        </w:tc>
        <w:tc>
          <w:tcPr>
            <w:tcW w:w="6206" w:type="dxa"/>
          </w:tcPr>
          <w:p w14:paraId="64E42732" w14:textId="77777777" w:rsidR="00CA0D50" w:rsidRPr="00074E9C" w:rsidRDefault="00CA0D50" w:rsidP="00B679BE">
            <w:pPr>
              <w:shd w:val="clear" w:color="auto" w:fill="FFFFFF"/>
              <w:spacing w:after="0" w:line="240" w:lineRule="auto"/>
              <w:ind w:left="57" w:right="113"/>
              <w:jc w:val="both"/>
              <w:rPr>
                <w:rFonts w:ascii="Times New Roman" w:hAnsi="Times New Roman" w:cs="Times New Roman"/>
                <w:sz w:val="23"/>
                <w:szCs w:val="23"/>
              </w:rPr>
            </w:pPr>
            <w:bookmarkStart w:id="4" w:name="p61"/>
            <w:bookmarkEnd w:id="4"/>
            <w:r w:rsidRPr="00074E9C">
              <w:rPr>
                <w:rFonts w:ascii="Times New Roman" w:hAnsi="Times New Roman" w:cs="Times New Roman"/>
                <w:sz w:val="23"/>
                <w:szCs w:val="23"/>
              </w:rPr>
              <w:t>MK noteikumu projekts šo jomu neskar.</w:t>
            </w:r>
          </w:p>
        </w:tc>
      </w:tr>
      <w:tr w:rsidR="00CA0D50" w:rsidRPr="00074E9C" w14:paraId="28DCBD95" w14:textId="77777777" w:rsidTr="00CA0D50">
        <w:trPr>
          <w:trHeight w:val="339"/>
          <w:jc w:val="center"/>
        </w:trPr>
        <w:tc>
          <w:tcPr>
            <w:tcW w:w="421" w:type="dxa"/>
          </w:tcPr>
          <w:p w14:paraId="39996D14" w14:textId="77777777" w:rsidR="00CA0D50" w:rsidRPr="00074E9C" w:rsidRDefault="00CA0D50" w:rsidP="00B679BE">
            <w:pPr>
              <w:spacing w:after="0" w:line="240" w:lineRule="auto"/>
              <w:ind w:left="57" w:right="57"/>
              <w:jc w:val="both"/>
              <w:rPr>
                <w:rFonts w:ascii="Times New Roman" w:hAnsi="Times New Roman" w:cs="Times New Roman"/>
                <w:sz w:val="23"/>
                <w:szCs w:val="23"/>
              </w:rPr>
            </w:pPr>
            <w:r w:rsidRPr="00074E9C">
              <w:rPr>
                <w:rFonts w:ascii="Times New Roman" w:hAnsi="Times New Roman" w:cs="Times New Roman"/>
                <w:sz w:val="23"/>
                <w:szCs w:val="23"/>
              </w:rPr>
              <w:t>2.</w:t>
            </w:r>
          </w:p>
        </w:tc>
        <w:tc>
          <w:tcPr>
            <w:tcW w:w="3044" w:type="dxa"/>
          </w:tcPr>
          <w:p w14:paraId="4DFA72DA" w14:textId="77777777" w:rsidR="00CA0D50" w:rsidRPr="00074E9C" w:rsidRDefault="00CA0D50" w:rsidP="00B679BE">
            <w:pPr>
              <w:spacing w:after="0" w:line="240" w:lineRule="auto"/>
              <w:ind w:left="57" w:right="57"/>
              <w:rPr>
                <w:rFonts w:ascii="Times New Roman" w:hAnsi="Times New Roman" w:cs="Times New Roman"/>
                <w:sz w:val="23"/>
                <w:szCs w:val="23"/>
              </w:rPr>
            </w:pPr>
            <w:r w:rsidRPr="00074E9C">
              <w:rPr>
                <w:rFonts w:ascii="Times New Roman" w:hAnsi="Times New Roman" w:cs="Times New Roman"/>
                <w:sz w:val="23"/>
                <w:szCs w:val="23"/>
              </w:rPr>
              <w:t>Sabiedrības līdzdalība projekta izstrādē</w:t>
            </w:r>
          </w:p>
        </w:tc>
        <w:tc>
          <w:tcPr>
            <w:tcW w:w="6206" w:type="dxa"/>
          </w:tcPr>
          <w:p w14:paraId="7672B027" w14:textId="243B6424" w:rsidR="00CA0D50" w:rsidRPr="00074E9C" w:rsidRDefault="00774251" w:rsidP="00B679BE">
            <w:pPr>
              <w:shd w:val="clear" w:color="auto" w:fill="FFFFFF"/>
              <w:spacing w:after="0" w:line="240" w:lineRule="auto"/>
              <w:ind w:left="79" w:right="93"/>
              <w:jc w:val="both"/>
              <w:rPr>
                <w:rFonts w:ascii="Times New Roman" w:hAnsi="Times New Roman" w:cs="Times New Roman"/>
                <w:sz w:val="23"/>
                <w:szCs w:val="23"/>
              </w:rPr>
            </w:pPr>
            <w:bookmarkStart w:id="5" w:name="p62"/>
            <w:bookmarkEnd w:id="5"/>
            <w:r w:rsidRPr="00074E9C">
              <w:rPr>
                <w:rFonts w:ascii="Times New Roman" w:hAnsi="Times New Roman" w:cs="Times New Roman"/>
                <w:sz w:val="23"/>
                <w:szCs w:val="23"/>
              </w:rPr>
              <w:t xml:space="preserve">Sabiedrības līdzdalība MK noteikumu projekta izstrādē tika nodrošināta, ievietojot MK noteikumu projektu Labklājības ministrijas tīmekļa vietnē </w:t>
            </w:r>
            <w:hyperlink r:id="rId8" w:history="1">
              <w:r w:rsidRPr="00074E9C">
                <w:rPr>
                  <w:rFonts w:ascii="Times New Roman" w:hAnsi="Times New Roman" w:cs="Times New Roman"/>
                  <w:sz w:val="23"/>
                  <w:szCs w:val="23"/>
                  <w:u w:val="single"/>
                </w:rPr>
                <w:t>www.lm.gov.lv</w:t>
              </w:r>
            </w:hyperlink>
            <w:r w:rsidRPr="00074E9C">
              <w:rPr>
                <w:rFonts w:ascii="Times New Roman" w:hAnsi="Times New Roman" w:cs="Times New Roman"/>
                <w:sz w:val="23"/>
                <w:szCs w:val="23"/>
              </w:rPr>
              <w:t xml:space="preserve"> un aicinot sabiedrības pārstāvjus sniegt viedokli.</w:t>
            </w:r>
          </w:p>
        </w:tc>
      </w:tr>
      <w:tr w:rsidR="00CA0D50" w:rsidRPr="00074E9C" w14:paraId="3D654853" w14:textId="77777777" w:rsidTr="00CA0D50">
        <w:trPr>
          <w:trHeight w:val="476"/>
          <w:jc w:val="center"/>
        </w:trPr>
        <w:tc>
          <w:tcPr>
            <w:tcW w:w="421" w:type="dxa"/>
          </w:tcPr>
          <w:p w14:paraId="3761C8E2" w14:textId="77777777" w:rsidR="00CA0D50" w:rsidRPr="00074E9C" w:rsidRDefault="00CA0D50" w:rsidP="00B679BE">
            <w:pPr>
              <w:spacing w:after="0" w:line="240" w:lineRule="auto"/>
              <w:ind w:left="57" w:right="57"/>
              <w:jc w:val="both"/>
              <w:rPr>
                <w:rFonts w:ascii="Times New Roman" w:hAnsi="Times New Roman" w:cs="Times New Roman"/>
                <w:sz w:val="23"/>
                <w:szCs w:val="23"/>
              </w:rPr>
            </w:pPr>
            <w:r w:rsidRPr="00074E9C">
              <w:rPr>
                <w:rFonts w:ascii="Times New Roman" w:hAnsi="Times New Roman" w:cs="Times New Roman"/>
                <w:sz w:val="23"/>
                <w:szCs w:val="23"/>
              </w:rPr>
              <w:t>3.</w:t>
            </w:r>
          </w:p>
        </w:tc>
        <w:tc>
          <w:tcPr>
            <w:tcW w:w="3044" w:type="dxa"/>
          </w:tcPr>
          <w:p w14:paraId="3D645214" w14:textId="77777777" w:rsidR="00CA0D50" w:rsidRPr="00074E9C" w:rsidRDefault="00CA0D50" w:rsidP="00B679BE">
            <w:pPr>
              <w:spacing w:after="0" w:line="240" w:lineRule="auto"/>
              <w:ind w:left="57" w:right="57"/>
              <w:rPr>
                <w:rFonts w:ascii="Times New Roman" w:hAnsi="Times New Roman" w:cs="Times New Roman"/>
                <w:sz w:val="23"/>
                <w:szCs w:val="23"/>
              </w:rPr>
            </w:pPr>
            <w:r w:rsidRPr="00074E9C">
              <w:rPr>
                <w:rFonts w:ascii="Times New Roman" w:hAnsi="Times New Roman" w:cs="Times New Roman"/>
                <w:sz w:val="23"/>
                <w:szCs w:val="23"/>
              </w:rPr>
              <w:t>Sabiedrības līdzdalības rezultāti</w:t>
            </w:r>
          </w:p>
        </w:tc>
        <w:tc>
          <w:tcPr>
            <w:tcW w:w="6206" w:type="dxa"/>
          </w:tcPr>
          <w:p w14:paraId="4CADAA26" w14:textId="77777777" w:rsidR="00CA0D50" w:rsidRPr="00074E9C" w:rsidRDefault="00CA0D50" w:rsidP="00B679BE">
            <w:pPr>
              <w:shd w:val="clear" w:color="auto" w:fill="FFFFFF"/>
              <w:spacing w:after="0" w:line="240" w:lineRule="auto"/>
              <w:ind w:left="57" w:right="113"/>
              <w:jc w:val="both"/>
              <w:rPr>
                <w:rFonts w:ascii="Times New Roman" w:hAnsi="Times New Roman" w:cs="Times New Roman"/>
                <w:sz w:val="23"/>
                <w:szCs w:val="23"/>
              </w:rPr>
            </w:pPr>
            <w:r w:rsidRPr="00074E9C">
              <w:rPr>
                <w:rFonts w:ascii="Times New Roman" w:hAnsi="Times New Roman" w:cs="Times New Roman"/>
                <w:sz w:val="23"/>
                <w:szCs w:val="23"/>
              </w:rPr>
              <w:t>Nav.</w:t>
            </w:r>
          </w:p>
        </w:tc>
      </w:tr>
      <w:tr w:rsidR="00CA0D50" w:rsidRPr="00074E9C" w14:paraId="2AD019F3" w14:textId="77777777" w:rsidTr="00CA0D50">
        <w:trPr>
          <w:trHeight w:val="476"/>
          <w:jc w:val="center"/>
        </w:trPr>
        <w:tc>
          <w:tcPr>
            <w:tcW w:w="421" w:type="dxa"/>
          </w:tcPr>
          <w:p w14:paraId="71946DCB" w14:textId="77777777" w:rsidR="00CA0D50" w:rsidRPr="00074E9C" w:rsidRDefault="00CA0D50" w:rsidP="00B679BE">
            <w:pPr>
              <w:spacing w:after="0" w:line="240" w:lineRule="auto"/>
              <w:ind w:left="57" w:right="57"/>
              <w:jc w:val="both"/>
              <w:rPr>
                <w:rFonts w:ascii="Times New Roman" w:hAnsi="Times New Roman" w:cs="Times New Roman"/>
                <w:sz w:val="23"/>
                <w:szCs w:val="23"/>
              </w:rPr>
            </w:pPr>
            <w:r w:rsidRPr="00074E9C">
              <w:rPr>
                <w:rFonts w:ascii="Times New Roman" w:hAnsi="Times New Roman" w:cs="Times New Roman"/>
                <w:sz w:val="23"/>
                <w:szCs w:val="23"/>
              </w:rPr>
              <w:t>4.</w:t>
            </w:r>
          </w:p>
        </w:tc>
        <w:tc>
          <w:tcPr>
            <w:tcW w:w="3044" w:type="dxa"/>
          </w:tcPr>
          <w:p w14:paraId="6644F62F" w14:textId="77777777" w:rsidR="00CA0D50" w:rsidRPr="00074E9C" w:rsidRDefault="00CA0D50" w:rsidP="00B679BE">
            <w:pPr>
              <w:spacing w:after="0" w:line="240" w:lineRule="auto"/>
              <w:ind w:left="57" w:right="57"/>
              <w:rPr>
                <w:rFonts w:ascii="Times New Roman" w:hAnsi="Times New Roman" w:cs="Times New Roman"/>
                <w:sz w:val="23"/>
                <w:szCs w:val="23"/>
              </w:rPr>
            </w:pPr>
            <w:r w:rsidRPr="00074E9C">
              <w:rPr>
                <w:rFonts w:ascii="Times New Roman" w:hAnsi="Times New Roman" w:cs="Times New Roman"/>
                <w:sz w:val="23"/>
                <w:szCs w:val="23"/>
              </w:rPr>
              <w:t>Cita informācija</w:t>
            </w:r>
          </w:p>
        </w:tc>
        <w:tc>
          <w:tcPr>
            <w:tcW w:w="6206" w:type="dxa"/>
          </w:tcPr>
          <w:p w14:paraId="7EA56993" w14:textId="77777777" w:rsidR="00CA0D50" w:rsidRPr="00074E9C" w:rsidRDefault="00CA0D50" w:rsidP="00B679BE">
            <w:pPr>
              <w:spacing w:after="0" w:line="240" w:lineRule="auto"/>
              <w:ind w:left="57" w:right="113"/>
              <w:jc w:val="both"/>
              <w:rPr>
                <w:rFonts w:ascii="Times New Roman" w:hAnsi="Times New Roman" w:cs="Times New Roman"/>
                <w:sz w:val="23"/>
                <w:szCs w:val="23"/>
              </w:rPr>
            </w:pPr>
            <w:r w:rsidRPr="00074E9C">
              <w:rPr>
                <w:rFonts w:ascii="Times New Roman" w:hAnsi="Times New Roman" w:cs="Times New Roman"/>
                <w:sz w:val="23"/>
                <w:szCs w:val="23"/>
              </w:rPr>
              <w:t>Nav.</w:t>
            </w:r>
          </w:p>
        </w:tc>
      </w:tr>
    </w:tbl>
    <w:p w14:paraId="4C07D3D8" w14:textId="77777777" w:rsidR="00CA0D50" w:rsidRPr="00C564CA" w:rsidRDefault="00CA0D50" w:rsidP="005E1FE1">
      <w:pPr>
        <w:spacing w:after="0" w:line="240" w:lineRule="auto"/>
        <w:rPr>
          <w:rFonts w:ascii="Times New Roman" w:hAnsi="Times New Roman" w:cs="Times New Roman"/>
          <w:sz w:val="16"/>
          <w:szCs w:val="16"/>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4110"/>
        <w:gridCol w:w="5134"/>
      </w:tblGrid>
      <w:tr w:rsidR="00CC1A56" w:rsidRPr="00074E9C" w14:paraId="621941AE" w14:textId="77777777" w:rsidTr="0089655E">
        <w:trPr>
          <w:trHeight w:val="381"/>
          <w:jc w:val="center"/>
        </w:trPr>
        <w:tc>
          <w:tcPr>
            <w:tcW w:w="9665" w:type="dxa"/>
            <w:gridSpan w:val="3"/>
            <w:vAlign w:val="center"/>
          </w:tcPr>
          <w:p w14:paraId="5898343F" w14:textId="049142DD" w:rsidR="00CC1A56" w:rsidRPr="00074E9C" w:rsidRDefault="002F7324" w:rsidP="005E1FE1">
            <w:pPr>
              <w:pStyle w:val="naisnod"/>
              <w:spacing w:before="0" w:beforeAutospacing="0" w:after="0" w:afterAutospacing="0"/>
              <w:ind w:left="57" w:right="57"/>
              <w:jc w:val="center"/>
              <w:rPr>
                <w:sz w:val="23"/>
                <w:szCs w:val="23"/>
              </w:rPr>
            </w:pPr>
            <w:r w:rsidRPr="00074E9C">
              <w:rPr>
                <w:b/>
                <w:sz w:val="23"/>
                <w:szCs w:val="23"/>
              </w:rPr>
              <w:t>V</w:t>
            </w:r>
            <w:r w:rsidR="008D0993" w:rsidRPr="00074E9C">
              <w:rPr>
                <w:b/>
                <w:sz w:val="23"/>
                <w:szCs w:val="23"/>
              </w:rPr>
              <w:t>II</w:t>
            </w:r>
            <w:r w:rsidR="00CC1A56" w:rsidRPr="00074E9C">
              <w:rPr>
                <w:b/>
                <w:sz w:val="23"/>
                <w:szCs w:val="23"/>
              </w:rPr>
              <w:t>. Tiesību akta projekta izpildes nodrošināšana un tās ietekme uz institūcijām</w:t>
            </w:r>
          </w:p>
        </w:tc>
      </w:tr>
      <w:tr w:rsidR="00CC1A56" w:rsidRPr="00074E9C" w14:paraId="09EAE2BA" w14:textId="77777777" w:rsidTr="00BF61A3">
        <w:trPr>
          <w:trHeight w:val="427"/>
          <w:jc w:val="center"/>
        </w:trPr>
        <w:tc>
          <w:tcPr>
            <w:tcW w:w="421" w:type="dxa"/>
          </w:tcPr>
          <w:p w14:paraId="7DF9A685" w14:textId="77777777" w:rsidR="00CC1A56" w:rsidRPr="00074E9C" w:rsidRDefault="00CC1A56" w:rsidP="005E1FE1">
            <w:pPr>
              <w:pStyle w:val="naisnod"/>
              <w:spacing w:before="0" w:beforeAutospacing="0" w:after="0" w:afterAutospacing="0"/>
              <w:ind w:left="57" w:right="57"/>
              <w:jc w:val="both"/>
              <w:rPr>
                <w:sz w:val="23"/>
                <w:szCs w:val="23"/>
              </w:rPr>
            </w:pPr>
            <w:r w:rsidRPr="00074E9C">
              <w:rPr>
                <w:sz w:val="23"/>
                <w:szCs w:val="23"/>
              </w:rPr>
              <w:t>1.</w:t>
            </w:r>
          </w:p>
        </w:tc>
        <w:tc>
          <w:tcPr>
            <w:tcW w:w="4110" w:type="dxa"/>
          </w:tcPr>
          <w:p w14:paraId="6D763540" w14:textId="77777777" w:rsidR="00CC1A56" w:rsidRPr="00074E9C" w:rsidRDefault="00CC1A56" w:rsidP="005E1FE1">
            <w:pPr>
              <w:pStyle w:val="naisf"/>
              <w:spacing w:before="0" w:beforeAutospacing="0" w:after="0" w:afterAutospacing="0"/>
              <w:ind w:left="57" w:right="57"/>
              <w:rPr>
                <w:sz w:val="23"/>
                <w:szCs w:val="23"/>
              </w:rPr>
            </w:pPr>
            <w:r w:rsidRPr="00074E9C">
              <w:rPr>
                <w:sz w:val="23"/>
                <w:szCs w:val="23"/>
              </w:rPr>
              <w:t>Projekta izpildē iesaistītās institūcijas</w:t>
            </w:r>
          </w:p>
        </w:tc>
        <w:tc>
          <w:tcPr>
            <w:tcW w:w="5134" w:type="dxa"/>
          </w:tcPr>
          <w:p w14:paraId="6AE5B8AE" w14:textId="167BAD7B" w:rsidR="00CC1A56" w:rsidRPr="00074E9C" w:rsidRDefault="00674496" w:rsidP="00774251">
            <w:pPr>
              <w:shd w:val="clear" w:color="auto" w:fill="FFFFFF"/>
              <w:spacing w:after="0" w:line="240" w:lineRule="auto"/>
              <w:ind w:left="57" w:right="113"/>
              <w:jc w:val="both"/>
              <w:rPr>
                <w:rFonts w:ascii="Times New Roman" w:hAnsi="Times New Roman" w:cs="Times New Roman"/>
                <w:sz w:val="23"/>
                <w:szCs w:val="23"/>
                <w:lang w:eastAsia="lv-LV"/>
              </w:rPr>
            </w:pPr>
            <w:bookmarkStart w:id="6" w:name="p66"/>
            <w:bookmarkStart w:id="7" w:name="p67"/>
            <w:bookmarkStart w:id="8" w:name="p68"/>
            <w:bookmarkStart w:id="9" w:name="p69"/>
            <w:bookmarkEnd w:id="6"/>
            <w:bookmarkEnd w:id="7"/>
            <w:bookmarkEnd w:id="8"/>
            <w:bookmarkEnd w:id="9"/>
            <w:r w:rsidRPr="00074E9C">
              <w:rPr>
                <w:rFonts w:ascii="Times New Roman" w:hAnsi="Times New Roman" w:cs="Times New Roman"/>
                <w:sz w:val="23"/>
                <w:szCs w:val="23"/>
              </w:rPr>
              <w:t xml:space="preserve">Labklājības ministrija kā </w:t>
            </w:r>
            <w:r w:rsidR="00A578DC" w:rsidRPr="00074E9C">
              <w:rPr>
                <w:rFonts w:ascii="Times New Roman" w:hAnsi="Times New Roman" w:cs="Times New Roman"/>
                <w:sz w:val="23"/>
                <w:szCs w:val="23"/>
              </w:rPr>
              <w:t>atbildīgā iestāde</w:t>
            </w:r>
            <w:r w:rsidR="00F21C20" w:rsidRPr="00074E9C">
              <w:rPr>
                <w:rFonts w:ascii="Times New Roman" w:hAnsi="Times New Roman" w:cs="Times New Roman"/>
                <w:sz w:val="23"/>
                <w:szCs w:val="23"/>
              </w:rPr>
              <w:t xml:space="preserve">, </w:t>
            </w:r>
            <w:r w:rsidR="00475EDD" w:rsidRPr="00074E9C">
              <w:rPr>
                <w:rFonts w:ascii="Times New Roman" w:hAnsi="Times New Roman" w:cs="Times New Roman"/>
                <w:sz w:val="23"/>
                <w:szCs w:val="23"/>
              </w:rPr>
              <w:t>Centrālā finanšu un līgumu aģ</w:t>
            </w:r>
            <w:r w:rsidR="00774251" w:rsidRPr="00074E9C">
              <w:rPr>
                <w:rFonts w:ascii="Times New Roman" w:hAnsi="Times New Roman" w:cs="Times New Roman"/>
                <w:sz w:val="23"/>
                <w:szCs w:val="23"/>
              </w:rPr>
              <w:t xml:space="preserve">entūra kā sadarbības iestāde, Nodarbinātības valsts aģentūra un Valsts izglītības attīstības aģentūra </w:t>
            </w:r>
            <w:r w:rsidR="00F21C20" w:rsidRPr="00074E9C">
              <w:rPr>
                <w:rFonts w:ascii="Times New Roman" w:hAnsi="Times New Roman" w:cs="Times New Roman"/>
                <w:sz w:val="23"/>
                <w:szCs w:val="23"/>
              </w:rPr>
              <w:t xml:space="preserve">kā </w:t>
            </w:r>
            <w:r w:rsidR="00774251" w:rsidRPr="00074E9C">
              <w:rPr>
                <w:rFonts w:ascii="Times New Roman" w:hAnsi="Times New Roman" w:cs="Times New Roman"/>
                <w:sz w:val="23"/>
                <w:szCs w:val="23"/>
              </w:rPr>
              <w:t>finansējuma saņēmēji</w:t>
            </w:r>
            <w:r w:rsidR="00F21C20" w:rsidRPr="00074E9C">
              <w:rPr>
                <w:rFonts w:ascii="Times New Roman" w:hAnsi="Times New Roman" w:cs="Times New Roman"/>
                <w:sz w:val="23"/>
                <w:szCs w:val="23"/>
              </w:rPr>
              <w:t>.</w:t>
            </w:r>
          </w:p>
        </w:tc>
      </w:tr>
      <w:tr w:rsidR="00CC1A56" w:rsidRPr="00074E9C" w14:paraId="3510445C" w14:textId="77777777" w:rsidTr="00BF61A3">
        <w:trPr>
          <w:trHeight w:val="463"/>
          <w:jc w:val="center"/>
        </w:trPr>
        <w:tc>
          <w:tcPr>
            <w:tcW w:w="421" w:type="dxa"/>
          </w:tcPr>
          <w:p w14:paraId="1308A242" w14:textId="77777777" w:rsidR="00CC1A56" w:rsidRPr="00074E9C" w:rsidRDefault="00CC1A56" w:rsidP="005E1FE1">
            <w:pPr>
              <w:pStyle w:val="naisnod"/>
              <w:spacing w:before="0" w:beforeAutospacing="0" w:after="0" w:afterAutospacing="0"/>
              <w:ind w:left="57" w:right="57"/>
              <w:jc w:val="both"/>
              <w:rPr>
                <w:sz w:val="23"/>
                <w:szCs w:val="23"/>
              </w:rPr>
            </w:pPr>
            <w:r w:rsidRPr="00074E9C">
              <w:rPr>
                <w:sz w:val="23"/>
                <w:szCs w:val="23"/>
              </w:rPr>
              <w:t>2.</w:t>
            </w:r>
          </w:p>
        </w:tc>
        <w:tc>
          <w:tcPr>
            <w:tcW w:w="4110" w:type="dxa"/>
          </w:tcPr>
          <w:p w14:paraId="4D4589A7" w14:textId="77777777" w:rsidR="00CC1A56" w:rsidRPr="00074E9C" w:rsidRDefault="00CC1A56" w:rsidP="005E1FE1">
            <w:pPr>
              <w:pStyle w:val="naisf"/>
              <w:spacing w:before="0" w:beforeAutospacing="0" w:after="0" w:afterAutospacing="0"/>
              <w:ind w:left="57" w:right="57"/>
              <w:rPr>
                <w:sz w:val="23"/>
                <w:szCs w:val="23"/>
              </w:rPr>
            </w:pPr>
            <w:r w:rsidRPr="00074E9C">
              <w:rPr>
                <w:sz w:val="23"/>
                <w:szCs w:val="23"/>
              </w:rPr>
              <w:t>Projekta izpildes ietekme uz pār</w:t>
            </w:r>
            <w:r w:rsidRPr="00074E9C">
              <w:rPr>
                <w:sz w:val="23"/>
                <w:szCs w:val="23"/>
              </w:rPr>
              <w:softHyphen/>
              <w:t>valdes funkcijām un institucionālo struktūru.</w:t>
            </w:r>
          </w:p>
          <w:p w14:paraId="7FBEB709" w14:textId="77777777" w:rsidR="00CC1A56" w:rsidRPr="00074E9C" w:rsidRDefault="00CC1A56" w:rsidP="005E1FE1">
            <w:pPr>
              <w:pStyle w:val="naisf"/>
              <w:spacing w:before="0" w:beforeAutospacing="0" w:after="0" w:afterAutospacing="0"/>
              <w:ind w:left="57" w:right="57"/>
              <w:rPr>
                <w:sz w:val="23"/>
                <w:szCs w:val="23"/>
              </w:rPr>
            </w:pPr>
            <w:r w:rsidRPr="00074E9C">
              <w:rPr>
                <w:sz w:val="23"/>
                <w:szCs w:val="23"/>
              </w:rPr>
              <w:t>Jaunu institūciju izveide, esošu institūciju likvidācija vai reorga</w:t>
            </w:r>
            <w:r w:rsidRPr="00074E9C">
              <w:rPr>
                <w:sz w:val="23"/>
                <w:szCs w:val="23"/>
              </w:rPr>
              <w:softHyphen/>
              <w:t>nizācija, to ietekme uz institūcijas cilvēkresursiem</w:t>
            </w:r>
          </w:p>
        </w:tc>
        <w:tc>
          <w:tcPr>
            <w:tcW w:w="5134" w:type="dxa"/>
          </w:tcPr>
          <w:p w14:paraId="5280DFA3" w14:textId="77777777" w:rsidR="00CC1A56" w:rsidRPr="00074E9C" w:rsidRDefault="00232033" w:rsidP="005E1FE1">
            <w:pPr>
              <w:shd w:val="clear" w:color="auto" w:fill="FFFFFF"/>
              <w:spacing w:after="0" w:line="240" w:lineRule="auto"/>
              <w:ind w:left="57" w:right="113"/>
              <w:jc w:val="both"/>
              <w:rPr>
                <w:rFonts w:ascii="Times New Roman" w:hAnsi="Times New Roman" w:cs="Times New Roman"/>
                <w:sz w:val="23"/>
                <w:szCs w:val="23"/>
                <w:lang w:eastAsia="lv-LV"/>
              </w:rPr>
            </w:pPr>
            <w:r w:rsidRPr="00074E9C">
              <w:rPr>
                <w:rFonts w:ascii="Times New Roman" w:hAnsi="Times New Roman" w:cs="Times New Roman"/>
                <w:sz w:val="23"/>
                <w:szCs w:val="23"/>
              </w:rPr>
              <w:t xml:space="preserve">MK </w:t>
            </w:r>
            <w:r w:rsidR="00B10319" w:rsidRPr="00074E9C">
              <w:rPr>
                <w:rFonts w:ascii="Times New Roman" w:hAnsi="Times New Roman" w:cs="Times New Roman"/>
                <w:sz w:val="23"/>
                <w:szCs w:val="23"/>
              </w:rPr>
              <w:t>noteikumu</w:t>
            </w:r>
            <w:r w:rsidRPr="00074E9C">
              <w:rPr>
                <w:rFonts w:ascii="Times New Roman" w:hAnsi="Times New Roman" w:cs="Times New Roman"/>
                <w:sz w:val="23"/>
                <w:szCs w:val="23"/>
              </w:rPr>
              <w:t xml:space="preserve"> projekts šo jomu neskar.</w:t>
            </w:r>
          </w:p>
        </w:tc>
      </w:tr>
      <w:tr w:rsidR="00CC1A56" w:rsidRPr="00074E9C" w14:paraId="216C7616" w14:textId="77777777" w:rsidTr="00BF61A3">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4C1B5696" w14:textId="77777777" w:rsidR="00CC1A56" w:rsidRPr="00074E9C" w:rsidRDefault="00CC1A56" w:rsidP="005E1FE1">
            <w:pPr>
              <w:pStyle w:val="naisnod"/>
              <w:spacing w:before="0" w:beforeAutospacing="0" w:after="0" w:afterAutospacing="0"/>
              <w:ind w:left="57" w:right="57"/>
              <w:jc w:val="both"/>
              <w:rPr>
                <w:sz w:val="23"/>
                <w:szCs w:val="23"/>
              </w:rPr>
            </w:pPr>
            <w:r w:rsidRPr="00074E9C">
              <w:rPr>
                <w:sz w:val="23"/>
                <w:szCs w:val="23"/>
              </w:rPr>
              <w:t>3.</w:t>
            </w:r>
          </w:p>
        </w:tc>
        <w:tc>
          <w:tcPr>
            <w:tcW w:w="4110" w:type="dxa"/>
            <w:tcBorders>
              <w:top w:val="single" w:sz="4" w:space="0" w:color="auto"/>
              <w:left w:val="single" w:sz="4" w:space="0" w:color="auto"/>
              <w:bottom w:val="single" w:sz="4" w:space="0" w:color="auto"/>
              <w:right w:val="single" w:sz="4" w:space="0" w:color="auto"/>
            </w:tcBorders>
          </w:tcPr>
          <w:p w14:paraId="4FD5982D" w14:textId="77777777" w:rsidR="00CC1A56" w:rsidRPr="00074E9C" w:rsidRDefault="00CC1A56" w:rsidP="005E1FE1">
            <w:pPr>
              <w:pStyle w:val="naisf"/>
              <w:spacing w:before="0" w:beforeAutospacing="0" w:after="0" w:afterAutospacing="0"/>
              <w:ind w:left="57" w:right="57"/>
              <w:rPr>
                <w:sz w:val="23"/>
                <w:szCs w:val="23"/>
              </w:rPr>
            </w:pPr>
            <w:r w:rsidRPr="00074E9C">
              <w:rPr>
                <w:sz w:val="23"/>
                <w:szCs w:val="23"/>
              </w:rPr>
              <w:t>Cita informācija</w:t>
            </w:r>
          </w:p>
        </w:tc>
        <w:tc>
          <w:tcPr>
            <w:tcW w:w="5134" w:type="dxa"/>
            <w:tcBorders>
              <w:top w:val="single" w:sz="4" w:space="0" w:color="auto"/>
              <w:left w:val="single" w:sz="4" w:space="0" w:color="auto"/>
              <w:bottom w:val="single" w:sz="4" w:space="0" w:color="auto"/>
              <w:right w:val="single" w:sz="4" w:space="0" w:color="auto"/>
            </w:tcBorders>
          </w:tcPr>
          <w:p w14:paraId="503BCE76" w14:textId="77777777" w:rsidR="00CC1A56" w:rsidRPr="00074E9C" w:rsidRDefault="00232033" w:rsidP="005E1FE1">
            <w:pPr>
              <w:spacing w:after="0" w:line="240" w:lineRule="auto"/>
              <w:ind w:left="57" w:right="57"/>
              <w:jc w:val="both"/>
              <w:rPr>
                <w:rFonts w:ascii="Times New Roman" w:hAnsi="Times New Roman" w:cs="Times New Roman"/>
                <w:sz w:val="23"/>
                <w:szCs w:val="23"/>
                <w:lang w:eastAsia="lv-LV"/>
              </w:rPr>
            </w:pPr>
            <w:r w:rsidRPr="00074E9C">
              <w:rPr>
                <w:rFonts w:ascii="Times New Roman" w:hAnsi="Times New Roman" w:cs="Times New Roman"/>
                <w:sz w:val="23"/>
                <w:szCs w:val="23"/>
              </w:rPr>
              <w:t>Nav.</w:t>
            </w:r>
          </w:p>
        </w:tc>
      </w:tr>
    </w:tbl>
    <w:p w14:paraId="1E3D533C" w14:textId="0A75F2C5" w:rsidR="00FD0C6A" w:rsidRPr="00074E9C" w:rsidRDefault="00CA0D50" w:rsidP="00FD0C6A">
      <w:pPr>
        <w:spacing w:after="0" w:line="240" w:lineRule="auto"/>
        <w:rPr>
          <w:rFonts w:ascii="Times New Roman" w:hAnsi="Times New Roman" w:cs="Times New Roman"/>
          <w:sz w:val="23"/>
          <w:szCs w:val="23"/>
        </w:rPr>
      </w:pPr>
      <w:r w:rsidRPr="00074E9C">
        <w:rPr>
          <w:rFonts w:ascii="Times New Roman" w:hAnsi="Times New Roman" w:cs="Times New Roman"/>
          <w:sz w:val="23"/>
          <w:szCs w:val="23"/>
        </w:rPr>
        <w:t xml:space="preserve">Anotācijas </w:t>
      </w:r>
      <w:proofErr w:type="spellStart"/>
      <w:r w:rsidR="00C77C47" w:rsidRPr="00074E9C">
        <w:rPr>
          <w:rFonts w:ascii="Times New Roman" w:hAnsi="Times New Roman" w:cs="Times New Roman"/>
          <w:sz w:val="23"/>
          <w:szCs w:val="23"/>
        </w:rPr>
        <w:t>IV.</w:t>
      </w:r>
      <w:r w:rsidR="00FD0C6A" w:rsidRPr="00074E9C">
        <w:rPr>
          <w:rFonts w:ascii="Times New Roman" w:hAnsi="Times New Roman" w:cs="Times New Roman"/>
          <w:sz w:val="23"/>
          <w:szCs w:val="23"/>
        </w:rPr>
        <w:t>sadaļa</w:t>
      </w:r>
      <w:proofErr w:type="spellEnd"/>
      <w:r w:rsidR="00FD0C6A" w:rsidRPr="00074E9C">
        <w:rPr>
          <w:rFonts w:ascii="Times New Roman" w:hAnsi="Times New Roman" w:cs="Times New Roman"/>
          <w:sz w:val="23"/>
          <w:szCs w:val="23"/>
        </w:rPr>
        <w:t xml:space="preserve"> – MK noteikumu projekts šo jomu neskar.</w:t>
      </w:r>
    </w:p>
    <w:p w14:paraId="33FC019E" w14:textId="77777777" w:rsidR="00581C63" w:rsidRDefault="00581C63" w:rsidP="005E1FE1">
      <w:pPr>
        <w:spacing w:after="0" w:line="240" w:lineRule="auto"/>
        <w:jc w:val="both"/>
        <w:rPr>
          <w:rFonts w:ascii="Times New Roman" w:eastAsia="Times New Roman" w:hAnsi="Times New Roman" w:cs="Times New Roman"/>
          <w:sz w:val="23"/>
          <w:szCs w:val="23"/>
          <w:lang w:eastAsia="lv-LV"/>
        </w:rPr>
      </w:pPr>
    </w:p>
    <w:p w14:paraId="0452B77D" w14:textId="77777777" w:rsidR="00BF61A3" w:rsidRDefault="00BF61A3" w:rsidP="005E1FE1">
      <w:pPr>
        <w:spacing w:after="0" w:line="240" w:lineRule="auto"/>
        <w:jc w:val="both"/>
        <w:rPr>
          <w:rFonts w:ascii="Times New Roman" w:eastAsia="Times New Roman" w:hAnsi="Times New Roman" w:cs="Times New Roman"/>
          <w:sz w:val="23"/>
          <w:szCs w:val="23"/>
          <w:lang w:eastAsia="lv-LV"/>
        </w:rPr>
      </w:pPr>
    </w:p>
    <w:p w14:paraId="7455F7BF" w14:textId="77777777" w:rsidR="00BF61A3" w:rsidRDefault="00BF61A3" w:rsidP="005E1FE1">
      <w:pPr>
        <w:spacing w:after="0" w:line="240" w:lineRule="auto"/>
        <w:jc w:val="both"/>
        <w:rPr>
          <w:rFonts w:ascii="Times New Roman" w:eastAsia="Times New Roman" w:hAnsi="Times New Roman" w:cs="Times New Roman"/>
          <w:sz w:val="23"/>
          <w:szCs w:val="23"/>
          <w:lang w:eastAsia="lv-LV"/>
        </w:rPr>
      </w:pPr>
    </w:p>
    <w:p w14:paraId="40454B17" w14:textId="79F35A57" w:rsidR="00A2311F" w:rsidRPr="00074E9C" w:rsidRDefault="00A2311F" w:rsidP="005E1FE1">
      <w:pPr>
        <w:spacing w:after="0" w:line="240" w:lineRule="auto"/>
        <w:jc w:val="both"/>
        <w:rPr>
          <w:rFonts w:ascii="Times New Roman" w:eastAsia="Times New Roman" w:hAnsi="Times New Roman" w:cs="Times New Roman"/>
          <w:sz w:val="23"/>
          <w:szCs w:val="23"/>
          <w:lang w:eastAsia="lv-LV"/>
        </w:rPr>
      </w:pPr>
      <w:r w:rsidRPr="00074E9C">
        <w:rPr>
          <w:rFonts w:ascii="Times New Roman" w:eastAsia="Times New Roman" w:hAnsi="Times New Roman" w:cs="Times New Roman"/>
          <w:sz w:val="23"/>
          <w:szCs w:val="23"/>
          <w:lang w:eastAsia="lv-LV"/>
        </w:rPr>
        <w:t>Ministru prezidente</w:t>
      </w:r>
      <w:r w:rsidRPr="00074E9C">
        <w:rPr>
          <w:rFonts w:ascii="Times New Roman" w:eastAsia="Times New Roman" w:hAnsi="Times New Roman" w:cs="Times New Roman"/>
          <w:sz w:val="23"/>
          <w:szCs w:val="23"/>
          <w:lang w:eastAsia="lv-LV"/>
        </w:rPr>
        <w:tab/>
      </w:r>
      <w:r w:rsidRPr="00074E9C">
        <w:rPr>
          <w:rFonts w:ascii="Times New Roman" w:eastAsia="Times New Roman" w:hAnsi="Times New Roman" w:cs="Times New Roman"/>
          <w:sz w:val="23"/>
          <w:szCs w:val="23"/>
          <w:lang w:eastAsia="lv-LV"/>
        </w:rPr>
        <w:tab/>
      </w:r>
      <w:r w:rsidRPr="00074E9C">
        <w:rPr>
          <w:rFonts w:ascii="Times New Roman" w:eastAsia="Times New Roman" w:hAnsi="Times New Roman" w:cs="Times New Roman"/>
          <w:sz w:val="23"/>
          <w:szCs w:val="23"/>
          <w:lang w:eastAsia="lv-LV"/>
        </w:rPr>
        <w:tab/>
      </w:r>
      <w:r w:rsidRPr="00074E9C">
        <w:rPr>
          <w:rFonts w:ascii="Times New Roman" w:eastAsia="Times New Roman" w:hAnsi="Times New Roman" w:cs="Times New Roman"/>
          <w:sz w:val="23"/>
          <w:szCs w:val="23"/>
          <w:lang w:eastAsia="lv-LV"/>
        </w:rPr>
        <w:tab/>
      </w:r>
      <w:r w:rsidRPr="00074E9C">
        <w:rPr>
          <w:rFonts w:ascii="Times New Roman" w:eastAsia="Times New Roman" w:hAnsi="Times New Roman" w:cs="Times New Roman"/>
          <w:sz w:val="23"/>
          <w:szCs w:val="23"/>
          <w:lang w:eastAsia="lv-LV"/>
        </w:rPr>
        <w:tab/>
      </w:r>
      <w:r w:rsidRPr="00074E9C">
        <w:rPr>
          <w:rFonts w:ascii="Times New Roman" w:eastAsia="Times New Roman" w:hAnsi="Times New Roman" w:cs="Times New Roman"/>
          <w:sz w:val="23"/>
          <w:szCs w:val="23"/>
          <w:lang w:eastAsia="lv-LV"/>
        </w:rPr>
        <w:tab/>
      </w:r>
      <w:r w:rsidR="0050490E" w:rsidRPr="00074E9C">
        <w:rPr>
          <w:rFonts w:ascii="Times New Roman" w:eastAsia="Times New Roman" w:hAnsi="Times New Roman" w:cs="Times New Roman"/>
          <w:sz w:val="23"/>
          <w:szCs w:val="23"/>
          <w:lang w:eastAsia="lv-LV"/>
        </w:rPr>
        <w:tab/>
      </w:r>
      <w:r w:rsidR="0050490E" w:rsidRPr="00074E9C">
        <w:rPr>
          <w:rFonts w:ascii="Times New Roman" w:eastAsia="Times New Roman" w:hAnsi="Times New Roman" w:cs="Times New Roman"/>
          <w:sz w:val="23"/>
          <w:szCs w:val="23"/>
          <w:lang w:eastAsia="lv-LV"/>
        </w:rPr>
        <w:tab/>
      </w:r>
      <w:r w:rsidRPr="00074E9C">
        <w:rPr>
          <w:rFonts w:ascii="Times New Roman" w:eastAsia="Times New Roman" w:hAnsi="Times New Roman" w:cs="Times New Roman"/>
          <w:sz w:val="23"/>
          <w:szCs w:val="23"/>
          <w:lang w:eastAsia="lv-LV"/>
        </w:rPr>
        <w:t>L.Straujuma</w:t>
      </w:r>
    </w:p>
    <w:p w14:paraId="68EC7897" w14:textId="77777777" w:rsidR="00752263" w:rsidRPr="00C564CA" w:rsidRDefault="00752263" w:rsidP="005E1FE1">
      <w:pPr>
        <w:spacing w:after="0" w:line="240" w:lineRule="auto"/>
        <w:jc w:val="both"/>
        <w:rPr>
          <w:rFonts w:ascii="Times New Roman" w:eastAsia="Times New Roman" w:hAnsi="Times New Roman" w:cs="Times New Roman"/>
          <w:sz w:val="16"/>
          <w:szCs w:val="16"/>
          <w:lang w:eastAsia="lv-LV"/>
        </w:rPr>
      </w:pPr>
    </w:p>
    <w:p w14:paraId="210E4337" w14:textId="77777777" w:rsidR="00BF61A3" w:rsidRDefault="00BF61A3" w:rsidP="005E1FE1">
      <w:pPr>
        <w:spacing w:after="0" w:line="240" w:lineRule="auto"/>
        <w:jc w:val="both"/>
        <w:rPr>
          <w:rFonts w:ascii="Times New Roman" w:eastAsia="Times New Roman" w:hAnsi="Times New Roman" w:cs="Times New Roman"/>
          <w:sz w:val="23"/>
          <w:szCs w:val="23"/>
          <w:lang w:eastAsia="lv-LV"/>
        </w:rPr>
      </w:pPr>
    </w:p>
    <w:p w14:paraId="768A8DE3" w14:textId="07DDAAE1" w:rsidR="00A2311F" w:rsidRPr="00074E9C" w:rsidRDefault="00A2311F" w:rsidP="005E1FE1">
      <w:pPr>
        <w:spacing w:after="0" w:line="240" w:lineRule="auto"/>
        <w:jc w:val="both"/>
        <w:rPr>
          <w:rFonts w:ascii="Times New Roman" w:eastAsia="Times New Roman" w:hAnsi="Times New Roman" w:cs="Times New Roman"/>
          <w:sz w:val="23"/>
          <w:szCs w:val="23"/>
          <w:lang w:eastAsia="lv-LV"/>
        </w:rPr>
      </w:pPr>
      <w:r w:rsidRPr="00074E9C">
        <w:rPr>
          <w:rFonts w:ascii="Times New Roman" w:eastAsia="Times New Roman" w:hAnsi="Times New Roman" w:cs="Times New Roman"/>
          <w:sz w:val="23"/>
          <w:szCs w:val="23"/>
          <w:lang w:eastAsia="lv-LV"/>
        </w:rPr>
        <w:t>Labklājības ministrs</w:t>
      </w:r>
      <w:r w:rsidRPr="00074E9C">
        <w:rPr>
          <w:rFonts w:ascii="Times New Roman" w:eastAsia="Times New Roman" w:hAnsi="Times New Roman" w:cs="Times New Roman"/>
          <w:sz w:val="23"/>
          <w:szCs w:val="23"/>
          <w:lang w:eastAsia="lv-LV"/>
        </w:rPr>
        <w:tab/>
      </w:r>
      <w:r w:rsidRPr="00074E9C">
        <w:rPr>
          <w:rFonts w:ascii="Times New Roman" w:eastAsia="Times New Roman" w:hAnsi="Times New Roman" w:cs="Times New Roman"/>
          <w:sz w:val="23"/>
          <w:szCs w:val="23"/>
          <w:lang w:eastAsia="lv-LV"/>
        </w:rPr>
        <w:tab/>
      </w:r>
      <w:r w:rsidRPr="00074E9C">
        <w:rPr>
          <w:rFonts w:ascii="Times New Roman" w:eastAsia="Times New Roman" w:hAnsi="Times New Roman" w:cs="Times New Roman"/>
          <w:sz w:val="23"/>
          <w:szCs w:val="23"/>
          <w:lang w:eastAsia="lv-LV"/>
        </w:rPr>
        <w:tab/>
      </w:r>
      <w:r w:rsidRPr="00074E9C">
        <w:rPr>
          <w:rFonts w:ascii="Times New Roman" w:eastAsia="Times New Roman" w:hAnsi="Times New Roman" w:cs="Times New Roman"/>
          <w:sz w:val="23"/>
          <w:szCs w:val="23"/>
          <w:lang w:eastAsia="lv-LV"/>
        </w:rPr>
        <w:tab/>
      </w:r>
      <w:r w:rsidRPr="00074E9C">
        <w:rPr>
          <w:rFonts w:ascii="Times New Roman" w:eastAsia="Times New Roman" w:hAnsi="Times New Roman" w:cs="Times New Roman"/>
          <w:sz w:val="23"/>
          <w:szCs w:val="23"/>
          <w:lang w:eastAsia="lv-LV"/>
        </w:rPr>
        <w:tab/>
      </w:r>
      <w:r w:rsidRPr="00074E9C">
        <w:rPr>
          <w:rFonts w:ascii="Times New Roman" w:eastAsia="Times New Roman" w:hAnsi="Times New Roman" w:cs="Times New Roman"/>
          <w:sz w:val="23"/>
          <w:szCs w:val="23"/>
          <w:lang w:eastAsia="lv-LV"/>
        </w:rPr>
        <w:tab/>
      </w:r>
      <w:r w:rsidR="0050490E" w:rsidRPr="00074E9C">
        <w:rPr>
          <w:rFonts w:ascii="Times New Roman" w:eastAsia="Times New Roman" w:hAnsi="Times New Roman" w:cs="Times New Roman"/>
          <w:sz w:val="23"/>
          <w:szCs w:val="23"/>
          <w:lang w:eastAsia="lv-LV"/>
        </w:rPr>
        <w:tab/>
      </w:r>
      <w:r w:rsidR="0050490E" w:rsidRPr="00074E9C">
        <w:rPr>
          <w:rFonts w:ascii="Times New Roman" w:eastAsia="Times New Roman" w:hAnsi="Times New Roman" w:cs="Times New Roman"/>
          <w:sz w:val="23"/>
          <w:szCs w:val="23"/>
          <w:lang w:eastAsia="lv-LV"/>
        </w:rPr>
        <w:tab/>
      </w:r>
      <w:r w:rsidRPr="00074E9C">
        <w:rPr>
          <w:rFonts w:ascii="Times New Roman" w:eastAsia="Times New Roman" w:hAnsi="Times New Roman" w:cs="Times New Roman"/>
          <w:sz w:val="23"/>
          <w:szCs w:val="23"/>
          <w:lang w:eastAsia="lv-LV"/>
        </w:rPr>
        <w:t>U.Augulis</w:t>
      </w:r>
    </w:p>
    <w:p w14:paraId="72FE942F" w14:textId="77777777" w:rsidR="00437D33" w:rsidRDefault="00437D33" w:rsidP="005E1FE1">
      <w:pPr>
        <w:spacing w:after="0" w:line="240" w:lineRule="auto"/>
        <w:rPr>
          <w:rFonts w:ascii="Times New Roman" w:hAnsi="Times New Roman" w:cs="Times New Roman"/>
          <w:sz w:val="16"/>
          <w:szCs w:val="16"/>
        </w:rPr>
      </w:pPr>
    </w:p>
    <w:p w14:paraId="65D6EC1A" w14:textId="77777777" w:rsidR="00581C63" w:rsidRDefault="00581C63" w:rsidP="005E1FE1">
      <w:pPr>
        <w:spacing w:after="0" w:line="240" w:lineRule="auto"/>
        <w:rPr>
          <w:rFonts w:ascii="Times New Roman" w:hAnsi="Times New Roman" w:cs="Times New Roman"/>
          <w:sz w:val="16"/>
          <w:szCs w:val="16"/>
        </w:rPr>
      </w:pPr>
    </w:p>
    <w:p w14:paraId="012C9C42" w14:textId="77777777" w:rsidR="00581C63" w:rsidRDefault="00581C63" w:rsidP="005E1FE1">
      <w:pPr>
        <w:spacing w:after="0" w:line="240" w:lineRule="auto"/>
        <w:rPr>
          <w:rFonts w:ascii="Times New Roman" w:hAnsi="Times New Roman" w:cs="Times New Roman"/>
          <w:sz w:val="16"/>
          <w:szCs w:val="16"/>
        </w:rPr>
      </w:pPr>
    </w:p>
    <w:p w14:paraId="3B354CF4" w14:textId="77777777" w:rsidR="00BF61A3" w:rsidRPr="00C564CA" w:rsidRDefault="00BF61A3" w:rsidP="005E1FE1">
      <w:pPr>
        <w:spacing w:after="0" w:line="240" w:lineRule="auto"/>
        <w:rPr>
          <w:rFonts w:ascii="Times New Roman" w:hAnsi="Times New Roman" w:cs="Times New Roman"/>
          <w:sz w:val="16"/>
          <w:szCs w:val="16"/>
        </w:rPr>
      </w:pPr>
    </w:p>
    <w:p w14:paraId="1CA92988" w14:textId="77777777" w:rsidR="00FB566F" w:rsidRDefault="00FB566F" w:rsidP="005E1FE1">
      <w:pPr>
        <w:spacing w:after="0" w:line="240" w:lineRule="auto"/>
        <w:rPr>
          <w:rFonts w:ascii="Times New Roman" w:hAnsi="Times New Roman" w:cs="Times New Roman"/>
          <w:sz w:val="20"/>
          <w:szCs w:val="20"/>
        </w:rPr>
      </w:pPr>
    </w:p>
    <w:p w14:paraId="5BA88D56" w14:textId="52C810A0" w:rsidR="00D473ED" w:rsidRPr="00FD0C6A" w:rsidRDefault="001E1768" w:rsidP="005E1FE1">
      <w:pPr>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FB566F">
        <w:rPr>
          <w:rFonts w:ascii="Times New Roman" w:hAnsi="Times New Roman" w:cs="Times New Roman"/>
          <w:sz w:val="20"/>
          <w:szCs w:val="20"/>
        </w:rPr>
        <w:t>.09</w:t>
      </w:r>
      <w:r w:rsidR="00EF6FD1">
        <w:rPr>
          <w:rFonts w:ascii="Times New Roman" w:hAnsi="Times New Roman" w:cs="Times New Roman"/>
          <w:sz w:val="20"/>
          <w:szCs w:val="20"/>
        </w:rPr>
        <w:t>.2015</w:t>
      </w:r>
      <w:r w:rsidR="00D473ED" w:rsidRPr="00FD0C6A">
        <w:rPr>
          <w:rFonts w:ascii="Times New Roman" w:hAnsi="Times New Roman" w:cs="Times New Roman"/>
          <w:sz w:val="20"/>
          <w:szCs w:val="20"/>
        </w:rPr>
        <w:t xml:space="preserve">. </w:t>
      </w:r>
      <w:r w:rsidR="00C564CA">
        <w:rPr>
          <w:rFonts w:ascii="Times New Roman" w:hAnsi="Times New Roman" w:cs="Times New Roman"/>
          <w:sz w:val="20"/>
          <w:szCs w:val="20"/>
        </w:rPr>
        <w:t>1</w:t>
      </w:r>
      <w:r w:rsidR="00A45097">
        <w:rPr>
          <w:rFonts w:ascii="Times New Roman" w:hAnsi="Times New Roman" w:cs="Times New Roman"/>
          <w:sz w:val="20"/>
          <w:szCs w:val="20"/>
        </w:rPr>
        <w:t>6</w:t>
      </w:r>
      <w:r w:rsidR="001860EE">
        <w:rPr>
          <w:rFonts w:ascii="Times New Roman" w:hAnsi="Times New Roman" w:cs="Times New Roman"/>
          <w:sz w:val="20"/>
          <w:szCs w:val="20"/>
        </w:rPr>
        <w:t>:</w:t>
      </w:r>
      <w:r>
        <w:rPr>
          <w:rFonts w:ascii="Times New Roman" w:hAnsi="Times New Roman" w:cs="Times New Roman"/>
          <w:sz w:val="20"/>
          <w:szCs w:val="20"/>
        </w:rPr>
        <w:t>5</w:t>
      </w:r>
      <w:r w:rsidR="00461C16">
        <w:rPr>
          <w:rFonts w:ascii="Times New Roman" w:hAnsi="Times New Roman" w:cs="Times New Roman"/>
          <w:sz w:val="20"/>
          <w:szCs w:val="20"/>
        </w:rPr>
        <w:t>3</w:t>
      </w:r>
      <w:bookmarkStart w:id="10" w:name="_GoBack"/>
      <w:bookmarkEnd w:id="10"/>
    </w:p>
    <w:p w14:paraId="6C42FD1F" w14:textId="4970B3CB" w:rsidR="00D473ED" w:rsidRPr="00FD0C6A" w:rsidRDefault="00614C1E" w:rsidP="00774251">
      <w:pPr>
        <w:tabs>
          <w:tab w:val="left" w:pos="400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w:t>
      </w:r>
      <w:r w:rsidR="00581C63">
        <w:rPr>
          <w:rFonts w:ascii="Times New Roman" w:hAnsi="Times New Roman" w:cs="Times New Roman"/>
          <w:sz w:val="20"/>
          <w:szCs w:val="20"/>
        </w:rPr>
        <w:t>9</w:t>
      </w:r>
      <w:r w:rsidR="00461C16">
        <w:rPr>
          <w:rFonts w:ascii="Times New Roman" w:hAnsi="Times New Roman" w:cs="Times New Roman"/>
          <w:sz w:val="20"/>
          <w:szCs w:val="20"/>
        </w:rPr>
        <w:t>50</w:t>
      </w:r>
      <w:r w:rsidR="00774251">
        <w:rPr>
          <w:rFonts w:ascii="Times New Roman" w:hAnsi="Times New Roman" w:cs="Times New Roman"/>
          <w:sz w:val="20"/>
          <w:szCs w:val="20"/>
        </w:rPr>
        <w:tab/>
      </w:r>
    </w:p>
    <w:p w14:paraId="60F58924" w14:textId="337D1565" w:rsidR="00D473ED" w:rsidRPr="00FD0C6A" w:rsidRDefault="008829D4" w:rsidP="005E1FE1">
      <w:pPr>
        <w:spacing w:after="0" w:line="240" w:lineRule="auto"/>
        <w:rPr>
          <w:rFonts w:ascii="Times New Roman" w:hAnsi="Times New Roman" w:cs="Times New Roman"/>
          <w:sz w:val="20"/>
          <w:szCs w:val="20"/>
        </w:rPr>
      </w:pPr>
      <w:proofErr w:type="spellStart"/>
      <w:r w:rsidRPr="00FD0C6A">
        <w:rPr>
          <w:rFonts w:ascii="Times New Roman" w:hAnsi="Times New Roman" w:cs="Times New Roman"/>
          <w:sz w:val="20"/>
          <w:szCs w:val="20"/>
        </w:rPr>
        <w:t>A.Vībe</w:t>
      </w:r>
      <w:proofErr w:type="spellEnd"/>
      <w:r w:rsidR="00D473ED" w:rsidRPr="00FD0C6A">
        <w:rPr>
          <w:rFonts w:ascii="Times New Roman" w:hAnsi="Times New Roman" w:cs="Times New Roman"/>
          <w:sz w:val="20"/>
          <w:szCs w:val="20"/>
        </w:rPr>
        <w:t>, 670216</w:t>
      </w:r>
      <w:r w:rsidRPr="00FD0C6A">
        <w:rPr>
          <w:rFonts w:ascii="Times New Roman" w:hAnsi="Times New Roman" w:cs="Times New Roman"/>
          <w:sz w:val="20"/>
          <w:szCs w:val="20"/>
        </w:rPr>
        <w:t>48</w:t>
      </w:r>
    </w:p>
    <w:p w14:paraId="6F592EBF" w14:textId="338FAD60" w:rsidR="00D473ED" w:rsidRPr="005E1FE1" w:rsidRDefault="00461C16" w:rsidP="00D55AEC">
      <w:pPr>
        <w:spacing w:after="0" w:line="240" w:lineRule="auto"/>
        <w:rPr>
          <w:rFonts w:ascii="Times New Roman" w:hAnsi="Times New Roman" w:cs="Times New Roman"/>
        </w:rPr>
      </w:pPr>
      <w:hyperlink r:id="rId9" w:history="1">
        <w:r w:rsidR="008829D4" w:rsidRPr="00FD0C6A">
          <w:rPr>
            <w:rStyle w:val="Hyperlink"/>
            <w:rFonts w:ascii="Times New Roman" w:hAnsi="Times New Roman" w:cs="Times New Roman"/>
            <w:sz w:val="20"/>
            <w:szCs w:val="20"/>
          </w:rPr>
          <w:t>Anna.Vibe@lm.gov.lv</w:t>
        </w:r>
      </w:hyperlink>
      <w:r w:rsidR="008829D4" w:rsidRPr="00FD0C6A">
        <w:rPr>
          <w:rFonts w:ascii="Times New Roman" w:hAnsi="Times New Roman" w:cs="Times New Roman"/>
          <w:sz w:val="20"/>
          <w:szCs w:val="20"/>
        </w:rPr>
        <w:t xml:space="preserve"> </w:t>
      </w:r>
      <w:r w:rsidR="00B673D4" w:rsidRPr="005E1FE1">
        <w:rPr>
          <w:rFonts w:ascii="Times New Roman" w:hAnsi="Times New Roman" w:cs="Times New Roman"/>
        </w:rPr>
        <w:tab/>
      </w:r>
    </w:p>
    <w:sectPr w:rsidR="00D473ED" w:rsidRPr="005E1FE1" w:rsidSect="00D55AEC">
      <w:headerReference w:type="default" r:id="rId10"/>
      <w:footerReference w:type="default" r:id="rId11"/>
      <w:footerReference w:type="first" r:id="rId12"/>
      <w:pgSz w:w="11906" w:h="16838"/>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3DFAC" w14:textId="77777777" w:rsidR="00611E71" w:rsidRDefault="00611E71" w:rsidP="006D6C82">
      <w:pPr>
        <w:spacing w:after="0" w:line="240" w:lineRule="auto"/>
      </w:pPr>
      <w:r>
        <w:separator/>
      </w:r>
    </w:p>
  </w:endnote>
  <w:endnote w:type="continuationSeparator" w:id="0">
    <w:p w14:paraId="77B92B0E" w14:textId="77777777" w:rsidR="00611E71" w:rsidRDefault="00611E71"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06759" w14:textId="14B6365C" w:rsidR="00611E71" w:rsidRPr="00774251" w:rsidRDefault="00611E71" w:rsidP="002C3010">
    <w:pPr>
      <w:pStyle w:val="Footer"/>
      <w:jc w:val="both"/>
      <w:rPr>
        <w:rFonts w:ascii="Times New Roman" w:eastAsia="Times New Roman" w:hAnsi="Times New Roman" w:cs="Times New Roman"/>
        <w:color w:val="000000" w:themeColor="text1"/>
        <w:sz w:val="20"/>
        <w:szCs w:val="20"/>
        <w:lang w:eastAsia="lv-LV"/>
      </w:rPr>
    </w:pPr>
    <w:r w:rsidRPr="00774251">
      <w:rPr>
        <w:rFonts w:ascii="Times New Roman" w:eastAsia="Times New Roman" w:hAnsi="Times New Roman" w:cs="Times New Roman"/>
        <w:color w:val="000000" w:themeColor="text1"/>
        <w:sz w:val="20"/>
        <w:szCs w:val="20"/>
        <w:lang w:eastAsia="lv-LV"/>
      </w:rPr>
      <w:t>LMAnot_</w:t>
    </w:r>
    <w:r w:rsidR="001E1768">
      <w:rPr>
        <w:rFonts w:ascii="Times New Roman" w:eastAsia="Times New Roman" w:hAnsi="Times New Roman" w:cs="Times New Roman"/>
        <w:color w:val="000000" w:themeColor="text1"/>
        <w:sz w:val="20"/>
        <w:szCs w:val="20"/>
        <w:lang w:eastAsia="lv-LV"/>
      </w:rPr>
      <w:t>30</w:t>
    </w:r>
    <w:r>
      <w:rPr>
        <w:rFonts w:ascii="Times New Roman" w:eastAsia="Times New Roman" w:hAnsi="Times New Roman" w:cs="Times New Roman"/>
        <w:color w:val="000000" w:themeColor="text1"/>
        <w:sz w:val="20"/>
        <w:szCs w:val="20"/>
        <w:lang w:eastAsia="lv-LV"/>
      </w:rPr>
      <w:t>09</w:t>
    </w:r>
    <w:r w:rsidRPr="00774251">
      <w:rPr>
        <w:rFonts w:ascii="Times New Roman" w:eastAsia="Times New Roman" w:hAnsi="Times New Roman" w:cs="Times New Roman"/>
        <w:color w:val="000000" w:themeColor="text1"/>
        <w:sz w:val="20"/>
        <w:szCs w:val="20"/>
        <w:lang w:eastAsia="lv-LV"/>
      </w:rPr>
      <w:t>2015_SAM721groz; Ministru kabineta noteikumu “</w:t>
    </w:r>
    <w:r w:rsidRPr="00774251">
      <w:rPr>
        <w:rFonts w:ascii="Times New Roman" w:eastAsia="Times New Roman" w:hAnsi="Times New Roman" w:cs="Times New Roman"/>
        <w:bCs/>
        <w:color w:val="000000" w:themeColor="text1"/>
        <w:sz w:val="20"/>
        <w:szCs w:val="20"/>
        <w:lang w:eastAsia="lv-LV"/>
      </w:rPr>
      <w:t xml:space="preserve">Grozījumi “Ministru kabineta </w:t>
    </w:r>
    <w:proofErr w:type="gramStart"/>
    <w:r w:rsidRPr="00774251">
      <w:rPr>
        <w:rFonts w:ascii="Times New Roman" w:eastAsia="Times New Roman" w:hAnsi="Times New Roman" w:cs="Times New Roman"/>
        <w:bCs/>
        <w:color w:val="000000" w:themeColor="text1"/>
        <w:sz w:val="20"/>
        <w:szCs w:val="20"/>
        <w:lang w:eastAsia="lv-LV"/>
      </w:rPr>
      <w:t>2015.gada</w:t>
    </w:r>
    <w:proofErr w:type="gramEnd"/>
    <w:r w:rsidRPr="00774251">
      <w:rPr>
        <w:rFonts w:ascii="Times New Roman" w:eastAsia="Times New Roman" w:hAnsi="Times New Roman" w:cs="Times New Roman"/>
        <w:bCs/>
        <w:color w:val="000000" w:themeColor="text1"/>
        <w:sz w:val="20"/>
        <w:szCs w:val="20"/>
        <w:lang w:eastAsia="lv-LV"/>
      </w:rPr>
      <w:t xml:space="preserve"> 28.aprīļa noteikumos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w:t>
    </w:r>
    <w:r w:rsidRPr="00774251">
      <w:rPr>
        <w:rFonts w:ascii="Times New Roman" w:eastAsia="Times New Roman" w:hAnsi="Times New Roman" w:cs="Times New Roman"/>
        <w:color w:val="000000" w:themeColor="text1"/>
        <w:sz w:val="20"/>
        <w:szCs w:val="20"/>
        <w:lang w:eastAsia="lv-LV"/>
      </w:rPr>
      <w:t>projekta</w:t>
    </w:r>
    <w:r w:rsidRPr="00774251">
      <w:rPr>
        <w:rFonts w:ascii="Times New Roman" w:eastAsia="Times New Roman" w:hAnsi="Times New Roman" w:cs="Times New Roman"/>
        <w:bCs/>
        <w:color w:val="000000" w:themeColor="text1"/>
        <w:sz w:val="20"/>
        <w:szCs w:val="20"/>
        <w:lang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FB522" w14:textId="523D1EAE" w:rsidR="00611E71" w:rsidRPr="000521D5" w:rsidRDefault="00611E71" w:rsidP="00EF6FD1">
    <w:pPr>
      <w:tabs>
        <w:tab w:val="center" w:pos="4153"/>
        <w:tab w:val="right" w:pos="8306"/>
      </w:tabs>
      <w:spacing w:after="0" w:line="240" w:lineRule="auto"/>
      <w:jc w:val="both"/>
    </w:pPr>
    <w:r w:rsidRPr="008829D4">
      <w:rPr>
        <w:rFonts w:ascii="Times New Roman" w:eastAsia="Times New Roman" w:hAnsi="Times New Roman" w:cs="Times New Roman"/>
        <w:sz w:val="20"/>
        <w:szCs w:val="20"/>
        <w:lang w:eastAsia="lv-LV"/>
      </w:rPr>
      <w:t>LMAnot_</w:t>
    </w:r>
    <w:r w:rsidR="001E1768">
      <w:rPr>
        <w:rFonts w:ascii="Times New Roman" w:eastAsia="Times New Roman" w:hAnsi="Times New Roman" w:cs="Times New Roman"/>
        <w:sz w:val="20"/>
        <w:szCs w:val="20"/>
        <w:lang w:eastAsia="lv-LV"/>
      </w:rPr>
      <w:t>30</w:t>
    </w:r>
    <w:r>
      <w:rPr>
        <w:rFonts w:ascii="Times New Roman" w:eastAsia="Times New Roman" w:hAnsi="Times New Roman" w:cs="Times New Roman"/>
        <w:sz w:val="20"/>
        <w:szCs w:val="20"/>
        <w:lang w:eastAsia="lv-LV"/>
      </w:rPr>
      <w:t>09</w:t>
    </w:r>
    <w:r w:rsidRPr="00EF6FD1">
      <w:rPr>
        <w:rFonts w:ascii="Times New Roman" w:eastAsia="Times New Roman" w:hAnsi="Times New Roman" w:cs="Times New Roman"/>
        <w:sz w:val="20"/>
        <w:szCs w:val="20"/>
        <w:lang w:eastAsia="lv-LV"/>
      </w:rPr>
      <w:t>2015_SAM7</w:t>
    </w:r>
    <w:r>
      <w:rPr>
        <w:rFonts w:ascii="Times New Roman" w:eastAsia="Times New Roman" w:hAnsi="Times New Roman" w:cs="Times New Roman"/>
        <w:sz w:val="20"/>
        <w:szCs w:val="20"/>
        <w:lang w:eastAsia="lv-LV"/>
      </w:rPr>
      <w:t>2</w:t>
    </w:r>
    <w:r w:rsidRPr="00EF6FD1">
      <w:rPr>
        <w:rFonts w:ascii="Times New Roman" w:eastAsia="Times New Roman" w:hAnsi="Times New Roman" w:cs="Times New Roman"/>
        <w:sz w:val="20"/>
        <w:szCs w:val="20"/>
        <w:lang w:eastAsia="lv-LV"/>
      </w:rPr>
      <w:t xml:space="preserve">1groz; </w:t>
    </w:r>
    <w:r w:rsidRPr="00EF6FD1">
      <w:rPr>
        <w:rFonts w:ascii="Times New Roman" w:hAnsi="Times New Roman"/>
        <w:sz w:val="20"/>
        <w:szCs w:val="20"/>
      </w:rPr>
      <w:t>Ministru kabineta noteikumu “</w:t>
    </w:r>
    <w:r w:rsidRPr="00774251">
      <w:rPr>
        <w:rFonts w:ascii="Times New Roman" w:hAnsi="Times New Roman"/>
        <w:bCs/>
        <w:sz w:val="20"/>
        <w:szCs w:val="20"/>
      </w:rPr>
      <w:t xml:space="preserve">Grozījumi “Ministru kabineta </w:t>
    </w:r>
    <w:proofErr w:type="gramStart"/>
    <w:r w:rsidRPr="00774251">
      <w:rPr>
        <w:rFonts w:ascii="Times New Roman" w:hAnsi="Times New Roman"/>
        <w:bCs/>
        <w:sz w:val="20"/>
        <w:szCs w:val="20"/>
      </w:rPr>
      <w:t>2015.gada</w:t>
    </w:r>
    <w:proofErr w:type="gramEnd"/>
    <w:r w:rsidRPr="00774251">
      <w:rPr>
        <w:rFonts w:ascii="Times New Roman" w:hAnsi="Times New Roman"/>
        <w:bCs/>
        <w:sz w:val="20"/>
        <w:szCs w:val="20"/>
      </w:rPr>
      <w:t xml:space="preserve"> 28.aprīļa noteikumos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r w:rsidRPr="00EF6FD1">
      <w:rPr>
        <w:rFonts w:ascii="Times New Roman" w:hAnsi="Times New Roman"/>
        <w:bCs/>
        <w:sz w:val="20"/>
        <w:szCs w:val="20"/>
      </w:rPr>
      <w:t xml:space="preserve">” </w:t>
    </w:r>
    <w:r w:rsidRPr="00EF6FD1">
      <w:rPr>
        <w:rFonts w:ascii="Times New Roman" w:hAnsi="Times New Roman"/>
        <w:sz w:val="20"/>
        <w:szCs w:val="20"/>
      </w:rPr>
      <w:t>projekta</w:t>
    </w:r>
    <w:r w:rsidRPr="00EF6FD1">
      <w:rPr>
        <w:rFonts w:ascii="Times New Roman" w:hAnsi="Times New Roman"/>
        <w:bCs/>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E8FDF" w14:textId="77777777" w:rsidR="00611E71" w:rsidRDefault="00611E71" w:rsidP="006D6C82">
      <w:pPr>
        <w:spacing w:after="0" w:line="240" w:lineRule="auto"/>
      </w:pPr>
      <w:r>
        <w:separator/>
      </w:r>
    </w:p>
  </w:footnote>
  <w:footnote w:type="continuationSeparator" w:id="0">
    <w:p w14:paraId="76480D04" w14:textId="77777777" w:rsidR="00611E71" w:rsidRDefault="00611E71" w:rsidP="006D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532311"/>
      <w:docPartObj>
        <w:docPartGallery w:val="Page Numbers (Top of Page)"/>
        <w:docPartUnique/>
      </w:docPartObj>
    </w:sdtPr>
    <w:sdtEndPr>
      <w:rPr>
        <w:noProof/>
      </w:rPr>
    </w:sdtEndPr>
    <w:sdtContent>
      <w:p w14:paraId="798729B5" w14:textId="77777777" w:rsidR="00611E71" w:rsidRDefault="00611E71">
        <w:pPr>
          <w:pStyle w:val="Header"/>
          <w:jc w:val="center"/>
        </w:pPr>
        <w:r>
          <w:fldChar w:fldCharType="begin"/>
        </w:r>
        <w:r>
          <w:instrText xml:space="preserve"> PAGE   \* MERGEFORMAT </w:instrText>
        </w:r>
        <w:r>
          <w:fldChar w:fldCharType="separate"/>
        </w:r>
        <w:r w:rsidR="00461C16">
          <w:rPr>
            <w:noProof/>
          </w:rPr>
          <w:t>13</w:t>
        </w:r>
        <w:r>
          <w:rPr>
            <w:noProof/>
          </w:rPr>
          <w:fldChar w:fldCharType="end"/>
        </w:r>
      </w:p>
    </w:sdtContent>
  </w:sdt>
  <w:p w14:paraId="51580ABA" w14:textId="77777777" w:rsidR="00611E71" w:rsidRDefault="00611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8"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0"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1"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6"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7"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8"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9"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6"/>
  </w:num>
  <w:num w:numId="2">
    <w:abstractNumId w:val="5"/>
  </w:num>
  <w:num w:numId="3">
    <w:abstractNumId w:val="8"/>
  </w:num>
  <w:num w:numId="4">
    <w:abstractNumId w:val="18"/>
  </w:num>
  <w:num w:numId="5">
    <w:abstractNumId w:val="15"/>
  </w:num>
  <w:num w:numId="6">
    <w:abstractNumId w:val="2"/>
  </w:num>
  <w:num w:numId="7">
    <w:abstractNumId w:val="17"/>
  </w:num>
  <w:num w:numId="8">
    <w:abstractNumId w:val="10"/>
  </w:num>
  <w:num w:numId="9">
    <w:abstractNumId w:val="0"/>
  </w:num>
  <w:num w:numId="10">
    <w:abstractNumId w:val="9"/>
  </w:num>
  <w:num w:numId="11">
    <w:abstractNumId w:val="16"/>
  </w:num>
  <w:num w:numId="12">
    <w:abstractNumId w:val="11"/>
  </w:num>
  <w:num w:numId="13">
    <w:abstractNumId w:val="19"/>
  </w:num>
  <w:num w:numId="14">
    <w:abstractNumId w:val="7"/>
  </w:num>
  <w:num w:numId="15">
    <w:abstractNumId w:val="4"/>
  </w:num>
  <w:num w:numId="16">
    <w:abstractNumId w:val="3"/>
  </w:num>
  <w:num w:numId="17">
    <w:abstractNumId w:val="1"/>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12B1"/>
    <w:rsid w:val="00002103"/>
    <w:rsid w:val="000024B7"/>
    <w:rsid w:val="00003926"/>
    <w:rsid w:val="0000589D"/>
    <w:rsid w:val="0001267A"/>
    <w:rsid w:val="0001429C"/>
    <w:rsid w:val="00016F2F"/>
    <w:rsid w:val="000178DF"/>
    <w:rsid w:val="000238EE"/>
    <w:rsid w:val="00024E64"/>
    <w:rsid w:val="00025F5B"/>
    <w:rsid w:val="00026A31"/>
    <w:rsid w:val="000318A3"/>
    <w:rsid w:val="00036D4E"/>
    <w:rsid w:val="00037AF1"/>
    <w:rsid w:val="000405B2"/>
    <w:rsid w:val="00041B8A"/>
    <w:rsid w:val="00042BE7"/>
    <w:rsid w:val="00044F12"/>
    <w:rsid w:val="000459D0"/>
    <w:rsid w:val="00047AA5"/>
    <w:rsid w:val="000521D5"/>
    <w:rsid w:val="000541C9"/>
    <w:rsid w:val="000561FB"/>
    <w:rsid w:val="00056D49"/>
    <w:rsid w:val="00056D91"/>
    <w:rsid w:val="00063158"/>
    <w:rsid w:val="000652F8"/>
    <w:rsid w:val="00065E19"/>
    <w:rsid w:val="00066A54"/>
    <w:rsid w:val="00067364"/>
    <w:rsid w:val="00067D79"/>
    <w:rsid w:val="000729E7"/>
    <w:rsid w:val="00073406"/>
    <w:rsid w:val="00073983"/>
    <w:rsid w:val="00074E9C"/>
    <w:rsid w:val="000853C0"/>
    <w:rsid w:val="00090609"/>
    <w:rsid w:val="00093BB9"/>
    <w:rsid w:val="00094F04"/>
    <w:rsid w:val="000A2A2F"/>
    <w:rsid w:val="000A48CD"/>
    <w:rsid w:val="000A50F4"/>
    <w:rsid w:val="000A556B"/>
    <w:rsid w:val="000A6213"/>
    <w:rsid w:val="000A69BD"/>
    <w:rsid w:val="000B2F86"/>
    <w:rsid w:val="000B3753"/>
    <w:rsid w:val="000B6BFA"/>
    <w:rsid w:val="000C042F"/>
    <w:rsid w:val="000C66C8"/>
    <w:rsid w:val="000C6DA7"/>
    <w:rsid w:val="000C77F5"/>
    <w:rsid w:val="000D655A"/>
    <w:rsid w:val="000D6A5D"/>
    <w:rsid w:val="000D7810"/>
    <w:rsid w:val="000E6940"/>
    <w:rsid w:val="000F2C5F"/>
    <w:rsid w:val="000F450E"/>
    <w:rsid w:val="000F734C"/>
    <w:rsid w:val="00101BA8"/>
    <w:rsid w:val="001029C3"/>
    <w:rsid w:val="00103161"/>
    <w:rsid w:val="001037D6"/>
    <w:rsid w:val="0010479A"/>
    <w:rsid w:val="00104D68"/>
    <w:rsid w:val="00107154"/>
    <w:rsid w:val="00110450"/>
    <w:rsid w:val="00114334"/>
    <w:rsid w:val="001144D9"/>
    <w:rsid w:val="0011756F"/>
    <w:rsid w:val="00120927"/>
    <w:rsid w:val="00121551"/>
    <w:rsid w:val="00122C32"/>
    <w:rsid w:val="00124F56"/>
    <w:rsid w:val="00140CF3"/>
    <w:rsid w:val="00151074"/>
    <w:rsid w:val="00151B2A"/>
    <w:rsid w:val="0015288B"/>
    <w:rsid w:val="001603A4"/>
    <w:rsid w:val="00160A74"/>
    <w:rsid w:val="00161A38"/>
    <w:rsid w:val="00162400"/>
    <w:rsid w:val="00162A45"/>
    <w:rsid w:val="0016361D"/>
    <w:rsid w:val="00166E6E"/>
    <w:rsid w:val="00167190"/>
    <w:rsid w:val="001679C6"/>
    <w:rsid w:val="00170D6C"/>
    <w:rsid w:val="001727BC"/>
    <w:rsid w:val="00174E03"/>
    <w:rsid w:val="00176916"/>
    <w:rsid w:val="00176D05"/>
    <w:rsid w:val="001833ED"/>
    <w:rsid w:val="001860EE"/>
    <w:rsid w:val="0018780A"/>
    <w:rsid w:val="00191247"/>
    <w:rsid w:val="00192FAA"/>
    <w:rsid w:val="00193FB1"/>
    <w:rsid w:val="001943F6"/>
    <w:rsid w:val="00195986"/>
    <w:rsid w:val="00197E17"/>
    <w:rsid w:val="001A7327"/>
    <w:rsid w:val="001B0E13"/>
    <w:rsid w:val="001B1214"/>
    <w:rsid w:val="001B3759"/>
    <w:rsid w:val="001B6876"/>
    <w:rsid w:val="001B7660"/>
    <w:rsid w:val="001C3597"/>
    <w:rsid w:val="001C366A"/>
    <w:rsid w:val="001C50E5"/>
    <w:rsid w:val="001C7D4E"/>
    <w:rsid w:val="001E04D8"/>
    <w:rsid w:val="001E1768"/>
    <w:rsid w:val="001E2CBD"/>
    <w:rsid w:val="001E2D9C"/>
    <w:rsid w:val="001E442F"/>
    <w:rsid w:val="001E5DCA"/>
    <w:rsid w:val="001E6208"/>
    <w:rsid w:val="001E645F"/>
    <w:rsid w:val="001F21C4"/>
    <w:rsid w:val="001F41D8"/>
    <w:rsid w:val="001F5194"/>
    <w:rsid w:val="001F792A"/>
    <w:rsid w:val="00204981"/>
    <w:rsid w:val="00206171"/>
    <w:rsid w:val="00210AA3"/>
    <w:rsid w:val="0021153C"/>
    <w:rsid w:val="002123C9"/>
    <w:rsid w:val="002141C0"/>
    <w:rsid w:val="00215CC5"/>
    <w:rsid w:val="00216066"/>
    <w:rsid w:val="0021686B"/>
    <w:rsid w:val="002202EB"/>
    <w:rsid w:val="00220CB7"/>
    <w:rsid w:val="0022527B"/>
    <w:rsid w:val="00232033"/>
    <w:rsid w:val="00235486"/>
    <w:rsid w:val="00246498"/>
    <w:rsid w:val="00246978"/>
    <w:rsid w:val="002470CD"/>
    <w:rsid w:val="0025245B"/>
    <w:rsid w:val="00254049"/>
    <w:rsid w:val="00254F1A"/>
    <w:rsid w:val="002551BF"/>
    <w:rsid w:val="00257C93"/>
    <w:rsid w:val="00260E17"/>
    <w:rsid w:val="00260F04"/>
    <w:rsid w:val="0026423E"/>
    <w:rsid w:val="002665C2"/>
    <w:rsid w:val="0026710C"/>
    <w:rsid w:val="002675CE"/>
    <w:rsid w:val="00270EBE"/>
    <w:rsid w:val="00277744"/>
    <w:rsid w:val="0028094F"/>
    <w:rsid w:val="002874DE"/>
    <w:rsid w:val="0029098B"/>
    <w:rsid w:val="00291D87"/>
    <w:rsid w:val="002938C7"/>
    <w:rsid w:val="00297DB0"/>
    <w:rsid w:val="00297EC2"/>
    <w:rsid w:val="002A161A"/>
    <w:rsid w:val="002A2FE7"/>
    <w:rsid w:val="002A5126"/>
    <w:rsid w:val="002A55E4"/>
    <w:rsid w:val="002B0D05"/>
    <w:rsid w:val="002B1692"/>
    <w:rsid w:val="002B7E3A"/>
    <w:rsid w:val="002C1473"/>
    <w:rsid w:val="002C1581"/>
    <w:rsid w:val="002C1A63"/>
    <w:rsid w:val="002C3010"/>
    <w:rsid w:val="002C45E5"/>
    <w:rsid w:val="002C6E24"/>
    <w:rsid w:val="002C722B"/>
    <w:rsid w:val="002D1F05"/>
    <w:rsid w:val="002D2016"/>
    <w:rsid w:val="002D5017"/>
    <w:rsid w:val="002E284F"/>
    <w:rsid w:val="002E6B41"/>
    <w:rsid w:val="002F2310"/>
    <w:rsid w:val="002F2D45"/>
    <w:rsid w:val="002F70D8"/>
    <w:rsid w:val="002F7324"/>
    <w:rsid w:val="00301B68"/>
    <w:rsid w:val="00301CB2"/>
    <w:rsid w:val="00303FFC"/>
    <w:rsid w:val="003060C0"/>
    <w:rsid w:val="00306DFF"/>
    <w:rsid w:val="00314182"/>
    <w:rsid w:val="00314E0B"/>
    <w:rsid w:val="00314F7C"/>
    <w:rsid w:val="00315AB8"/>
    <w:rsid w:val="00316A8E"/>
    <w:rsid w:val="00320A19"/>
    <w:rsid w:val="00321D39"/>
    <w:rsid w:val="003259BB"/>
    <w:rsid w:val="00326E13"/>
    <w:rsid w:val="00327D5C"/>
    <w:rsid w:val="003352F8"/>
    <w:rsid w:val="00336B3A"/>
    <w:rsid w:val="0034151D"/>
    <w:rsid w:val="00345771"/>
    <w:rsid w:val="003460F3"/>
    <w:rsid w:val="00351DB7"/>
    <w:rsid w:val="00355126"/>
    <w:rsid w:val="0035641C"/>
    <w:rsid w:val="00360CC3"/>
    <w:rsid w:val="00364C7E"/>
    <w:rsid w:val="00364DA7"/>
    <w:rsid w:val="00365B8E"/>
    <w:rsid w:val="00374579"/>
    <w:rsid w:val="003775ED"/>
    <w:rsid w:val="0038217F"/>
    <w:rsid w:val="00382C79"/>
    <w:rsid w:val="00382F6F"/>
    <w:rsid w:val="00384481"/>
    <w:rsid w:val="00384B1F"/>
    <w:rsid w:val="003919EB"/>
    <w:rsid w:val="00392ABD"/>
    <w:rsid w:val="00393677"/>
    <w:rsid w:val="00396161"/>
    <w:rsid w:val="003961D7"/>
    <w:rsid w:val="003A3A21"/>
    <w:rsid w:val="003A4860"/>
    <w:rsid w:val="003A5522"/>
    <w:rsid w:val="003A55C7"/>
    <w:rsid w:val="003A77B7"/>
    <w:rsid w:val="003B0FBE"/>
    <w:rsid w:val="003C0358"/>
    <w:rsid w:val="003C1407"/>
    <w:rsid w:val="003D58F4"/>
    <w:rsid w:val="003D7FCC"/>
    <w:rsid w:val="003E021B"/>
    <w:rsid w:val="003E2523"/>
    <w:rsid w:val="003E2633"/>
    <w:rsid w:val="003E4EA9"/>
    <w:rsid w:val="003E5B4D"/>
    <w:rsid w:val="003F2EE7"/>
    <w:rsid w:val="003F700D"/>
    <w:rsid w:val="003F7723"/>
    <w:rsid w:val="004001DB"/>
    <w:rsid w:val="00403A2F"/>
    <w:rsid w:val="00404002"/>
    <w:rsid w:val="00406DE5"/>
    <w:rsid w:val="00407CC6"/>
    <w:rsid w:val="004118EF"/>
    <w:rsid w:val="00415B33"/>
    <w:rsid w:val="00416790"/>
    <w:rsid w:val="00417496"/>
    <w:rsid w:val="00421B9D"/>
    <w:rsid w:val="0042221E"/>
    <w:rsid w:val="00423467"/>
    <w:rsid w:val="00426289"/>
    <w:rsid w:val="00427093"/>
    <w:rsid w:val="00427EFE"/>
    <w:rsid w:val="00430112"/>
    <w:rsid w:val="0043187B"/>
    <w:rsid w:val="00431F46"/>
    <w:rsid w:val="00432D28"/>
    <w:rsid w:val="00437D33"/>
    <w:rsid w:val="00444D42"/>
    <w:rsid w:val="00445A9C"/>
    <w:rsid w:val="00446630"/>
    <w:rsid w:val="0044755D"/>
    <w:rsid w:val="00450395"/>
    <w:rsid w:val="00451DE5"/>
    <w:rsid w:val="00454771"/>
    <w:rsid w:val="00461C16"/>
    <w:rsid w:val="00462F04"/>
    <w:rsid w:val="00467554"/>
    <w:rsid w:val="00470125"/>
    <w:rsid w:val="00472A75"/>
    <w:rsid w:val="00473FE0"/>
    <w:rsid w:val="00475C8F"/>
    <w:rsid w:val="00475EDD"/>
    <w:rsid w:val="00481F9F"/>
    <w:rsid w:val="004863B9"/>
    <w:rsid w:val="00486A99"/>
    <w:rsid w:val="00486BA1"/>
    <w:rsid w:val="00487C61"/>
    <w:rsid w:val="004A0562"/>
    <w:rsid w:val="004A470F"/>
    <w:rsid w:val="004A51B4"/>
    <w:rsid w:val="004A79B6"/>
    <w:rsid w:val="004B287A"/>
    <w:rsid w:val="004B291A"/>
    <w:rsid w:val="004B4BC8"/>
    <w:rsid w:val="004C0127"/>
    <w:rsid w:val="004C0612"/>
    <w:rsid w:val="004C27C1"/>
    <w:rsid w:val="004C3050"/>
    <w:rsid w:val="004C31E6"/>
    <w:rsid w:val="004C48A0"/>
    <w:rsid w:val="004C55C1"/>
    <w:rsid w:val="004C6AE0"/>
    <w:rsid w:val="004C7840"/>
    <w:rsid w:val="004C7866"/>
    <w:rsid w:val="004C7EB0"/>
    <w:rsid w:val="004D24D9"/>
    <w:rsid w:val="004D2900"/>
    <w:rsid w:val="004D4173"/>
    <w:rsid w:val="004D4A4C"/>
    <w:rsid w:val="004D5618"/>
    <w:rsid w:val="004D5B45"/>
    <w:rsid w:val="004D654A"/>
    <w:rsid w:val="004E03A9"/>
    <w:rsid w:val="004E0703"/>
    <w:rsid w:val="004F135B"/>
    <w:rsid w:val="004F1BD2"/>
    <w:rsid w:val="005007A2"/>
    <w:rsid w:val="0050327A"/>
    <w:rsid w:val="00504183"/>
    <w:rsid w:val="0050490E"/>
    <w:rsid w:val="00506B4C"/>
    <w:rsid w:val="00507BF0"/>
    <w:rsid w:val="00507CBD"/>
    <w:rsid w:val="00512FFB"/>
    <w:rsid w:val="00514C71"/>
    <w:rsid w:val="00514C83"/>
    <w:rsid w:val="00514DDD"/>
    <w:rsid w:val="005253BC"/>
    <w:rsid w:val="005346EE"/>
    <w:rsid w:val="00536377"/>
    <w:rsid w:val="005378C9"/>
    <w:rsid w:val="005404CC"/>
    <w:rsid w:val="00542C3D"/>
    <w:rsid w:val="00543F32"/>
    <w:rsid w:val="00546E12"/>
    <w:rsid w:val="00546E8E"/>
    <w:rsid w:val="00551C08"/>
    <w:rsid w:val="0055242A"/>
    <w:rsid w:val="005550F6"/>
    <w:rsid w:val="005616C0"/>
    <w:rsid w:val="00562D3E"/>
    <w:rsid w:val="00570C5B"/>
    <w:rsid w:val="00571EAA"/>
    <w:rsid w:val="00571FAE"/>
    <w:rsid w:val="00575810"/>
    <w:rsid w:val="00575941"/>
    <w:rsid w:val="005759B6"/>
    <w:rsid w:val="00575CBB"/>
    <w:rsid w:val="00581C63"/>
    <w:rsid w:val="00590E26"/>
    <w:rsid w:val="005913E4"/>
    <w:rsid w:val="005914D9"/>
    <w:rsid w:val="00591BA7"/>
    <w:rsid w:val="005935C2"/>
    <w:rsid w:val="00593C70"/>
    <w:rsid w:val="005A0987"/>
    <w:rsid w:val="005A5C59"/>
    <w:rsid w:val="005A5D2D"/>
    <w:rsid w:val="005A646A"/>
    <w:rsid w:val="005A705B"/>
    <w:rsid w:val="005A7179"/>
    <w:rsid w:val="005B104F"/>
    <w:rsid w:val="005B1977"/>
    <w:rsid w:val="005B1A2E"/>
    <w:rsid w:val="005B4F04"/>
    <w:rsid w:val="005B5313"/>
    <w:rsid w:val="005C3BBF"/>
    <w:rsid w:val="005C5E5B"/>
    <w:rsid w:val="005C718F"/>
    <w:rsid w:val="005D1219"/>
    <w:rsid w:val="005D46AF"/>
    <w:rsid w:val="005D6EC7"/>
    <w:rsid w:val="005E044D"/>
    <w:rsid w:val="005E1FE1"/>
    <w:rsid w:val="005F05CE"/>
    <w:rsid w:val="005F05CF"/>
    <w:rsid w:val="005F0DF3"/>
    <w:rsid w:val="005F403C"/>
    <w:rsid w:val="005F4D8E"/>
    <w:rsid w:val="0060421D"/>
    <w:rsid w:val="00611E71"/>
    <w:rsid w:val="00614C1E"/>
    <w:rsid w:val="00614CDA"/>
    <w:rsid w:val="00615406"/>
    <w:rsid w:val="00620A76"/>
    <w:rsid w:val="006210E5"/>
    <w:rsid w:val="006226FE"/>
    <w:rsid w:val="00622ABE"/>
    <w:rsid w:val="00623238"/>
    <w:rsid w:val="00630B64"/>
    <w:rsid w:val="006318CB"/>
    <w:rsid w:val="0063788B"/>
    <w:rsid w:val="00637E1F"/>
    <w:rsid w:val="006405CA"/>
    <w:rsid w:val="00644079"/>
    <w:rsid w:val="00645815"/>
    <w:rsid w:val="00645EF1"/>
    <w:rsid w:val="00653BCC"/>
    <w:rsid w:val="00654303"/>
    <w:rsid w:val="00657B8C"/>
    <w:rsid w:val="00660D3B"/>
    <w:rsid w:val="00662D55"/>
    <w:rsid w:val="0066392D"/>
    <w:rsid w:val="006673B6"/>
    <w:rsid w:val="0067184D"/>
    <w:rsid w:val="00674496"/>
    <w:rsid w:val="00677B45"/>
    <w:rsid w:val="00680325"/>
    <w:rsid w:val="00682E06"/>
    <w:rsid w:val="006831EC"/>
    <w:rsid w:val="006833BD"/>
    <w:rsid w:val="006838C8"/>
    <w:rsid w:val="006861B4"/>
    <w:rsid w:val="00692D5D"/>
    <w:rsid w:val="00693711"/>
    <w:rsid w:val="00693FB9"/>
    <w:rsid w:val="006952F4"/>
    <w:rsid w:val="006A0788"/>
    <w:rsid w:val="006A0A38"/>
    <w:rsid w:val="006A1F27"/>
    <w:rsid w:val="006A39CA"/>
    <w:rsid w:val="006A4ED1"/>
    <w:rsid w:val="006A7702"/>
    <w:rsid w:val="006B0758"/>
    <w:rsid w:val="006B14E5"/>
    <w:rsid w:val="006B1DFB"/>
    <w:rsid w:val="006B2CAA"/>
    <w:rsid w:val="006B3A87"/>
    <w:rsid w:val="006B602B"/>
    <w:rsid w:val="006B616F"/>
    <w:rsid w:val="006B695D"/>
    <w:rsid w:val="006B7133"/>
    <w:rsid w:val="006C5838"/>
    <w:rsid w:val="006D238F"/>
    <w:rsid w:val="006D4479"/>
    <w:rsid w:val="006D46D1"/>
    <w:rsid w:val="006D47E6"/>
    <w:rsid w:val="006D54BE"/>
    <w:rsid w:val="006D573E"/>
    <w:rsid w:val="006D6C82"/>
    <w:rsid w:val="006E0343"/>
    <w:rsid w:val="006E169E"/>
    <w:rsid w:val="006E2EBF"/>
    <w:rsid w:val="006E3024"/>
    <w:rsid w:val="006E3A88"/>
    <w:rsid w:val="006E775F"/>
    <w:rsid w:val="006F5DBA"/>
    <w:rsid w:val="006F615E"/>
    <w:rsid w:val="006F6735"/>
    <w:rsid w:val="007005A5"/>
    <w:rsid w:val="00701723"/>
    <w:rsid w:val="007032FF"/>
    <w:rsid w:val="007040B5"/>
    <w:rsid w:val="00706A2D"/>
    <w:rsid w:val="00715808"/>
    <w:rsid w:val="00720177"/>
    <w:rsid w:val="00726959"/>
    <w:rsid w:val="00731A91"/>
    <w:rsid w:val="00734D79"/>
    <w:rsid w:val="00735655"/>
    <w:rsid w:val="00741507"/>
    <w:rsid w:val="0074158F"/>
    <w:rsid w:val="00741DC7"/>
    <w:rsid w:val="00746CCE"/>
    <w:rsid w:val="00751459"/>
    <w:rsid w:val="00751A10"/>
    <w:rsid w:val="00752263"/>
    <w:rsid w:val="0075333B"/>
    <w:rsid w:val="0075593F"/>
    <w:rsid w:val="00755D3A"/>
    <w:rsid w:val="00756B14"/>
    <w:rsid w:val="00757CF6"/>
    <w:rsid w:val="00764032"/>
    <w:rsid w:val="00764545"/>
    <w:rsid w:val="00767938"/>
    <w:rsid w:val="0077161A"/>
    <w:rsid w:val="00773E2E"/>
    <w:rsid w:val="00774251"/>
    <w:rsid w:val="0077492B"/>
    <w:rsid w:val="0077641F"/>
    <w:rsid w:val="00780601"/>
    <w:rsid w:val="007831DA"/>
    <w:rsid w:val="00786082"/>
    <w:rsid w:val="007860AA"/>
    <w:rsid w:val="007860F1"/>
    <w:rsid w:val="00791E4E"/>
    <w:rsid w:val="007958D8"/>
    <w:rsid w:val="00797BB6"/>
    <w:rsid w:val="00797F3E"/>
    <w:rsid w:val="007A012A"/>
    <w:rsid w:val="007A1818"/>
    <w:rsid w:val="007A2445"/>
    <w:rsid w:val="007A2906"/>
    <w:rsid w:val="007A2FDE"/>
    <w:rsid w:val="007B1731"/>
    <w:rsid w:val="007B185C"/>
    <w:rsid w:val="007B1908"/>
    <w:rsid w:val="007B3747"/>
    <w:rsid w:val="007B55C1"/>
    <w:rsid w:val="007C397D"/>
    <w:rsid w:val="007C5BDB"/>
    <w:rsid w:val="007D385B"/>
    <w:rsid w:val="007D41A0"/>
    <w:rsid w:val="007E25D2"/>
    <w:rsid w:val="007E29DA"/>
    <w:rsid w:val="007E49EA"/>
    <w:rsid w:val="007F44BF"/>
    <w:rsid w:val="007F57E5"/>
    <w:rsid w:val="007F5F34"/>
    <w:rsid w:val="00803552"/>
    <w:rsid w:val="00804516"/>
    <w:rsid w:val="008148D7"/>
    <w:rsid w:val="00816040"/>
    <w:rsid w:val="0081684E"/>
    <w:rsid w:val="00821757"/>
    <w:rsid w:val="00823F41"/>
    <w:rsid w:val="00824708"/>
    <w:rsid w:val="008260C4"/>
    <w:rsid w:val="00830594"/>
    <w:rsid w:val="00830D8F"/>
    <w:rsid w:val="00830DA8"/>
    <w:rsid w:val="00835248"/>
    <w:rsid w:val="00836EA6"/>
    <w:rsid w:val="0083730F"/>
    <w:rsid w:val="00840B67"/>
    <w:rsid w:val="00841251"/>
    <w:rsid w:val="00843389"/>
    <w:rsid w:val="00843C60"/>
    <w:rsid w:val="008477DE"/>
    <w:rsid w:val="008535EB"/>
    <w:rsid w:val="008557C1"/>
    <w:rsid w:val="00857C5B"/>
    <w:rsid w:val="00860ADE"/>
    <w:rsid w:val="00863CD4"/>
    <w:rsid w:val="00864B01"/>
    <w:rsid w:val="00867C1B"/>
    <w:rsid w:val="0087007F"/>
    <w:rsid w:val="00870319"/>
    <w:rsid w:val="0087043A"/>
    <w:rsid w:val="00874136"/>
    <w:rsid w:val="008745E4"/>
    <w:rsid w:val="00874FAD"/>
    <w:rsid w:val="0087502F"/>
    <w:rsid w:val="008806F3"/>
    <w:rsid w:val="00882510"/>
    <w:rsid w:val="008829D4"/>
    <w:rsid w:val="00883BC7"/>
    <w:rsid w:val="00883FE0"/>
    <w:rsid w:val="00884628"/>
    <w:rsid w:val="00891D72"/>
    <w:rsid w:val="00893F92"/>
    <w:rsid w:val="008948DC"/>
    <w:rsid w:val="00895B1F"/>
    <w:rsid w:val="00895B23"/>
    <w:rsid w:val="0089655E"/>
    <w:rsid w:val="00897E02"/>
    <w:rsid w:val="008A08C8"/>
    <w:rsid w:val="008A10C7"/>
    <w:rsid w:val="008A16D3"/>
    <w:rsid w:val="008A4CB4"/>
    <w:rsid w:val="008A660F"/>
    <w:rsid w:val="008A79E9"/>
    <w:rsid w:val="008B39BD"/>
    <w:rsid w:val="008B4290"/>
    <w:rsid w:val="008B45A6"/>
    <w:rsid w:val="008B6024"/>
    <w:rsid w:val="008C04F8"/>
    <w:rsid w:val="008C4D11"/>
    <w:rsid w:val="008C6D46"/>
    <w:rsid w:val="008C7B33"/>
    <w:rsid w:val="008D0993"/>
    <w:rsid w:val="008D2146"/>
    <w:rsid w:val="008D7EEB"/>
    <w:rsid w:val="008E47D7"/>
    <w:rsid w:val="008F1ACD"/>
    <w:rsid w:val="008F39D3"/>
    <w:rsid w:val="008F6700"/>
    <w:rsid w:val="008F6D8E"/>
    <w:rsid w:val="008F742D"/>
    <w:rsid w:val="009019B3"/>
    <w:rsid w:val="00902AA6"/>
    <w:rsid w:val="00902D3F"/>
    <w:rsid w:val="009034AE"/>
    <w:rsid w:val="0090399E"/>
    <w:rsid w:val="009068BA"/>
    <w:rsid w:val="00906FB1"/>
    <w:rsid w:val="00907C4E"/>
    <w:rsid w:val="00914A21"/>
    <w:rsid w:val="00926154"/>
    <w:rsid w:val="00934634"/>
    <w:rsid w:val="00934686"/>
    <w:rsid w:val="0093520F"/>
    <w:rsid w:val="00935C43"/>
    <w:rsid w:val="00936DF8"/>
    <w:rsid w:val="0094080C"/>
    <w:rsid w:val="009414B3"/>
    <w:rsid w:val="00943D15"/>
    <w:rsid w:val="00944EC0"/>
    <w:rsid w:val="0094618F"/>
    <w:rsid w:val="00946C82"/>
    <w:rsid w:val="00947473"/>
    <w:rsid w:val="009527FB"/>
    <w:rsid w:val="00953C6C"/>
    <w:rsid w:val="00955A21"/>
    <w:rsid w:val="009604AD"/>
    <w:rsid w:val="00962BF1"/>
    <w:rsid w:val="00964124"/>
    <w:rsid w:val="0096465B"/>
    <w:rsid w:val="00965695"/>
    <w:rsid w:val="009661DC"/>
    <w:rsid w:val="009665F6"/>
    <w:rsid w:val="009666DB"/>
    <w:rsid w:val="009670F9"/>
    <w:rsid w:val="00970AEC"/>
    <w:rsid w:val="009711A1"/>
    <w:rsid w:val="009716C7"/>
    <w:rsid w:val="009728D3"/>
    <w:rsid w:val="00973321"/>
    <w:rsid w:val="00974CF0"/>
    <w:rsid w:val="00975BC8"/>
    <w:rsid w:val="00981F38"/>
    <w:rsid w:val="00984E0C"/>
    <w:rsid w:val="009905E8"/>
    <w:rsid w:val="009945CD"/>
    <w:rsid w:val="00994FB5"/>
    <w:rsid w:val="00995B4E"/>
    <w:rsid w:val="009A0679"/>
    <w:rsid w:val="009A23DD"/>
    <w:rsid w:val="009A2DA9"/>
    <w:rsid w:val="009A5F8B"/>
    <w:rsid w:val="009B252C"/>
    <w:rsid w:val="009B4385"/>
    <w:rsid w:val="009B5667"/>
    <w:rsid w:val="009B5EDB"/>
    <w:rsid w:val="009B7605"/>
    <w:rsid w:val="009C0B81"/>
    <w:rsid w:val="009C39B5"/>
    <w:rsid w:val="009C4313"/>
    <w:rsid w:val="009C4BBC"/>
    <w:rsid w:val="009C5386"/>
    <w:rsid w:val="009D7CD8"/>
    <w:rsid w:val="009E12A1"/>
    <w:rsid w:val="009E1A56"/>
    <w:rsid w:val="009E1B92"/>
    <w:rsid w:val="009E5995"/>
    <w:rsid w:val="009E63DB"/>
    <w:rsid w:val="009F029E"/>
    <w:rsid w:val="009F37C9"/>
    <w:rsid w:val="009F3C67"/>
    <w:rsid w:val="009F788A"/>
    <w:rsid w:val="00A01B7A"/>
    <w:rsid w:val="00A02169"/>
    <w:rsid w:val="00A03690"/>
    <w:rsid w:val="00A07A9E"/>
    <w:rsid w:val="00A1504C"/>
    <w:rsid w:val="00A22686"/>
    <w:rsid w:val="00A2311F"/>
    <w:rsid w:val="00A23587"/>
    <w:rsid w:val="00A240CC"/>
    <w:rsid w:val="00A33379"/>
    <w:rsid w:val="00A347F0"/>
    <w:rsid w:val="00A35878"/>
    <w:rsid w:val="00A36275"/>
    <w:rsid w:val="00A37357"/>
    <w:rsid w:val="00A41BAE"/>
    <w:rsid w:val="00A44A57"/>
    <w:rsid w:val="00A45097"/>
    <w:rsid w:val="00A46782"/>
    <w:rsid w:val="00A46FE2"/>
    <w:rsid w:val="00A472BA"/>
    <w:rsid w:val="00A4769A"/>
    <w:rsid w:val="00A578DC"/>
    <w:rsid w:val="00A60497"/>
    <w:rsid w:val="00A60D7E"/>
    <w:rsid w:val="00A65744"/>
    <w:rsid w:val="00A65B55"/>
    <w:rsid w:val="00A6792B"/>
    <w:rsid w:val="00A7043B"/>
    <w:rsid w:val="00A74718"/>
    <w:rsid w:val="00A76ADD"/>
    <w:rsid w:val="00A76F93"/>
    <w:rsid w:val="00A81161"/>
    <w:rsid w:val="00A856F0"/>
    <w:rsid w:val="00A90517"/>
    <w:rsid w:val="00A920FA"/>
    <w:rsid w:val="00A96537"/>
    <w:rsid w:val="00A971FA"/>
    <w:rsid w:val="00AA1E9D"/>
    <w:rsid w:val="00AA222B"/>
    <w:rsid w:val="00AA2AC4"/>
    <w:rsid w:val="00AA5D5A"/>
    <w:rsid w:val="00AB23D6"/>
    <w:rsid w:val="00AB321F"/>
    <w:rsid w:val="00AB4AEE"/>
    <w:rsid w:val="00AB657E"/>
    <w:rsid w:val="00AB7E4F"/>
    <w:rsid w:val="00AC0751"/>
    <w:rsid w:val="00AC0FA8"/>
    <w:rsid w:val="00AC74AE"/>
    <w:rsid w:val="00AD3A61"/>
    <w:rsid w:val="00AD4461"/>
    <w:rsid w:val="00AD4E5B"/>
    <w:rsid w:val="00AD5F44"/>
    <w:rsid w:val="00AE04EE"/>
    <w:rsid w:val="00AE1DC4"/>
    <w:rsid w:val="00AE560C"/>
    <w:rsid w:val="00AE79EF"/>
    <w:rsid w:val="00AF103C"/>
    <w:rsid w:val="00AF467E"/>
    <w:rsid w:val="00AF5F89"/>
    <w:rsid w:val="00AF7185"/>
    <w:rsid w:val="00B006DC"/>
    <w:rsid w:val="00B00F6C"/>
    <w:rsid w:val="00B01639"/>
    <w:rsid w:val="00B04CCD"/>
    <w:rsid w:val="00B10319"/>
    <w:rsid w:val="00B105FC"/>
    <w:rsid w:val="00B11B77"/>
    <w:rsid w:val="00B13677"/>
    <w:rsid w:val="00B14BC8"/>
    <w:rsid w:val="00B20194"/>
    <w:rsid w:val="00B22E4A"/>
    <w:rsid w:val="00B25DB8"/>
    <w:rsid w:val="00B30266"/>
    <w:rsid w:val="00B31B7A"/>
    <w:rsid w:val="00B321EE"/>
    <w:rsid w:val="00B34704"/>
    <w:rsid w:val="00B34D48"/>
    <w:rsid w:val="00B373B3"/>
    <w:rsid w:val="00B42506"/>
    <w:rsid w:val="00B44E41"/>
    <w:rsid w:val="00B46237"/>
    <w:rsid w:val="00B46D66"/>
    <w:rsid w:val="00B5688E"/>
    <w:rsid w:val="00B616E8"/>
    <w:rsid w:val="00B61ABA"/>
    <w:rsid w:val="00B622CB"/>
    <w:rsid w:val="00B6246B"/>
    <w:rsid w:val="00B6455D"/>
    <w:rsid w:val="00B64C54"/>
    <w:rsid w:val="00B6687A"/>
    <w:rsid w:val="00B673D4"/>
    <w:rsid w:val="00B679BE"/>
    <w:rsid w:val="00B67BB5"/>
    <w:rsid w:val="00B74763"/>
    <w:rsid w:val="00B76187"/>
    <w:rsid w:val="00B771AF"/>
    <w:rsid w:val="00B80868"/>
    <w:rsid w:val="00B81498"/>
    <w:rsid w:val="00B81A6C"/>
    <w:rsid w:val="00B8344A"/>
    <w:rsid w:val="00B8482D"/>
    <w:rsid w:val="00B8687D"/>
    <w:rsid w:val="00B90D82"/>
    <w:rsid w:val="00B919EA"/>
    <w:rsid w:val="00B93F3D"/>
    <w:rsid w:val="00B96AE8"/>
    <w:rsid w:val="00B97ACC"/>
    <w:rsid w:val="00BB2CCB"/>
    <w:rsid w:val="00BB357C"/>
    <w:rsid w:val="00BB35A6"/>
    <w:rsid w:val="00BB3EAD"/>
    <w:rsid w:val="00BB4876"/>
    <w:rsid w:val="00BB69B9"/>
    <w:rsid w:val="00BC1631"/>
    <w:rsid w:val="00BC1954"/>
    <w:rsid w:val="00BC1FD7"/>
    <w:rsid w:val="00BC6AD7"/>
    <w:rsid w:val="00BD12FD"/>
    <w:rsid w:val="00BD2109"/>
    <w:rsid w:val="00BD58B7"/>
    <w:rsid w:val="00BD5FC1"/>
    <w:rsid w:val="00BD76EA"/>
    <w:rsid w:val="00BE01BD"/>
    <w:rsid w:val="00BE2E77"/>
    <w:rsid w:val="00BE3615"/>
    <w:rsid w:val="00BE474B"/>
    <w:rsid w:val="00BE4D6D"/>
    <w:rsid w:val="00BE7FA7"/>
    <w:rsid w:val="00BF002F"/>
    <w:rsid w:val="00BF1C90"/>
    <w:rsid w:val="00BF1CAA"/>
    <w:rsid w:val="00BF37CF"/>
    <w:rsid w:val="00BF61A3"/>
    <w:rsid w:val="00BF7058"/>
    <w:rsid w:val="00C072EC"/>
    <w:rsid w:val="00C07C88"/>
    <w:rsid w:val="00C14C5A"/>
    <w:rsid w:val="00C20F59"/>
    <w:rsid w:val="00C24A5B"/>
    <w:rsid w:val="00C24E8B"/>
    <w:rsid w:val="00C26F4E"/>
    <w:rsid w:val="00C27268"/>
    <w:rsid w:val="00C302D7"/>
    <w:rsid w:val="00C43430"/>
    <w:rsid w:val="00C436D9"/>
    <w:rsid w:val="00C475F0"/>
    <w:rsid w:val="00C51095"/>
    <w:rsid w:val="00C521A6"/>
    <w:rsid w:val="00C52A42"/>
    <w:rsid w:val="00C53303"/>
    <w:rsid w:val="00C5332B"/>
    <w:rsid w:val="00C53C19"/>
    <w:rsid w:val="00C541BC"/>
    <w:rsid w:val="00C564CA"/>
    <w:rsid w:val="00C6238D"/>
    <w:rsid w:val="00C63017"/>
    <w:rsid w:val="00C63E56"/>
    <w:rsid w:val="00C64158"/>
    <w:rsid w:val="00C64A63"/>
    <w:rsid w:val="00C664CE"/>
    <w:rsid w:val="00C67A0E"/>
    <w:rsid w:val="00C67AF8"/>
    <w:rsid w:val="00C713D8"/>
    <w:rsid w:val="00C72760"/>
    <w:rsid w:val="00C7617A"/>
    <w:rsid w:val="00C771F7"/>
    <w:rsid w:val="00C77C47"/>
    <w:rsid w:val="00C80769"/>
    <w:rsid w:val="00C81D58"/>
    <w:rsid w:val="00C845E5"/>
    <w:rsid w:val="00C8589F"/>
    <w:rsid w:val="00C87E76"/>
    <w:rsid w:val="00C92466"/>
    <w:rsid w:val="00C96472"/>
    <w:rsid w:val="00CA0D50"/>
    <w:rsid w:val="00CA39D4"/>
    <w:rsid w:val="00CA3BE3"/>
    <w:rsid w:val="00CA668E"/>
    <w:rsid w:val="00CA6864"/>
    <w:rsid w:val="00CA74AB"/>
    <w:rsid w:val="00CA7833"/>
    <w:rsid w:val="00CB1CA0"/>
    <w:rsid w:val="00CB2095"/>
    <w:rsid w:val="00CB26A7"/>
    <w:rsid w:val="00CC1A56"/>
    <w:rsid w:val="00CC7BD9"/>
    <w:rsid w:val="00CD2E50"/>
    <w:rsid w:val="00CD3D07"/>
    <w:rsid w:val="00CD67CD"/>
    <w:rsid w:val="00CE0962"/>
    <w:rsid w:val="00CE197A"/>
    <w:rsid w:val="00CE1E89"/>
    <w:rsid w:val="00CE5F74"/>
    <w:rsid w:val="00CE6517"/>
    <w:rsid w:val="00CE71A7"/>
    <w:rsid w:val="00CF0350"/>
    <w:rsid w:val="00CF13D1"/>
    <w:rsid w:val="00CF1723"/>
    <w:rsid w:val="00CF4EE7"/>
    <w:rsid w:val="00D0364B"/>
    <w:rsid w:val="00D05580"/>
    <w:rsid w:val="00D06691"/>
    <w:rsid w:val="00D074D8"/>
    <w:rsid w:val="00D07EF9"/>
    <w:rsid w:val="00D10859"/>
    <w:rsid w:val="00D17FE5"/>
    <w:rsid w:val="00D21A8F"/>
    <w:rsid w:val="00D22B97"/>
    <w:rsid w:val="00D2367B"/>
    <w:rsid w:val="00D24B46"/>
    <w:rsid w:val="00D31445"/>
    <w:rsid w:val="00D31CB0"/>
    <w:rsid w:val="00D343A0"/>
    <w:rsid w:val="00D37528"/>
    <w:rsid w:val="00D404FE"/>
    <w:rsid w:val="00D40F2E"/>
    <w:rsid w:val="00D428C0"/>
    <w:rsid w:val="00D473ED"/>
    <w:rsid w:val="00D504D3"/>
    <w:rsid w:val="00D52C77"/>
    <w:rsid w:val="00D53088"/>
    <w:rsid w:val="00D530B1"/>
    <w:rsid w:val="00D53B1F"/>
    <w:rsid w:val="00D5496D"/>
    <w:rsid w:val="00D55AEC"/>
    <w:rsid w:val="00D5750F"/>
    <w:rsid w:val="00D61C0C"/>
    <w:rsid w:val="00D61CB4"/>
    <w:rsid w:val="00D67874"/>
    <w:rsid w:val="00D741A3"/>
    <w:rsid w:val="00D74D00"/>
    <w:rsid w:val="00D74F83"/>
    <w:rsid w:val="00D7757F"/>
    <w:rsid w:val="00D77819"/>
    <w:rsid w:val="00D80A27"/>
    <w:rsid w:val="00D81398"/>
    <w:rsid w:val="00D8774F"/>
    <w:rsid w:val="00D90A3F"/>
    <w:rsid w:val="00D93F13"/>
    <w:rsid w:val="00D95EA5"/>
    <w:rsid w:val="00D95FDE"/>
    <w:rsid w:val="00DA3550"/>
    <w:rsid w:val="00DA5407"/>
    <w:rsid w:val="00DB474A"/>
    <w:rsid w:val="00DB4E8D"/>
    <w:rsid w:val="00DB6EA7"/>
    <w:rsid w:val="00DC43E1"/>
    <w:rsid w:val="00DC4BEE"/>
    <w:rsid w:val="00DD00CA"/>
    <w:rsid w:val="00DD1390"/>
    <w:rsid w:val="00DD1F36"/>
    <w:rsid w:val="00DD3888"/>
    <w:rsid w:val="00DD4A0D"/>
    <w:rsid w:val="00DD5A4C"/>
    <w:rsid w:val="00DD5E9C"/>
    <w:rsid w:val="00DD6BB2"/>
    <w:rsid w:val="00DD7A86"/>
    <w:rsid w:val="00DE0F62"/>
    <w:rsid w:val="00DE1693"/>
    <w:rsid w:val="00DE2FFA"/>
    <w:rsid w:val="00DE4A4A"/>
    <w:rsid w:val="00E022DC"/>
    <w:rsid w:val="00E04C89"/>
    <w:rsid w:val="00E055E0"/>
    <w:rsid w:val="00E06DE4"/>
    <w:rsid w:val="00E0751F"/>
    <w:rsid w:val="00E1297A"/>
    <w:rsid w:val="00E139C6"/>
    <w:rsid w:val="00E13C41"/>
    <w:rsid w:val="00E1563C"/>
    <w:rsid w:val="00E20737"/>
    <w:rsid w:val="00E2147D"/>
    <w:rsid w:val="00E21E83"/>
    <w:rsid w:val="00E23CBA"/>
    <w:rsid w:val="00E243BF"/>
    <w:rsid w:val="00E2764C"/>
    <w:rsid w:val="00E31FAF"/>
    <w:rsid w:val="00E3446E"/>
    <w:rsid w:val="00E35333"/>
    <w:rsid w:val="00E421E9"/>
    <w:rsid w:val="00E44861"/>
    <w:rsid w:val="00E46B62"/>
    <w:rsid w:val="00E479F2"/>
    <w:rsid w:val="00E55912"/>
    <w:rsid w:val="00E57D20"/>
    <w:rsid w:val="00E70FE8"/>
    <w:rsid w:val="00E74162"/>
    <w:rsid w:val="00E7560D"/>
    <w:rsid w:val="00E76D0C"/>
    <w:rsid w:val="00E77ED8"/>
    <w:rsid w:val="00E80958"/>
    <w:rsid w:val="00E813BA"/>
    <w:rsid w:val="00E83230"/>
    <w:rsid w:val="00E858D5"/>
    <w:rsid w:val="00E869D3"/>
    <w:rsid w:val="00E90E54"/>
    <w:rsid w:val="00E9206A"/>
    <w:rsid w:val="00EA1B7F"/>
    <w:rsid w:val="00EA55C8"/>
    <w:rsid w:val="00EA6120"/>
    <w:rsid w:val="00EA62E8"/>
    <w:rsid w:val="00EB0654"/>
    <w:rsid w:val="00EB3B4E"/>
    <w:rsid w:val="00EB4471"/>
    <w:rsid w:val="00EB63F5"/>
    <w:rsid w:val="00EC0484"/>
    <w:rsid w:val="00EC1C7E"/>
    <w:rsid w:val="00EC4331"/>
    <w:rsid w:val="00EC4A1C"/>
    <w:rsid w:val="00EC4B33"/>
    <w:rsid w:val="00ED194E"/>
    <w:rsid w:val="00ED4855"/>
    <w:rsid w:val="00ED56D4"/>
    <w:rsid w:val="00ED63AA"/>
    <w:rsid w:val="00EE0D9F"/>
    <w:rsid w:val="00EE19FD"/>
    <w:rsid w:val="00EE5AFA"/>
    <w:rsid w:val="00EE5B3B"/>
    <w:rsid w:val="00EE6945"/>
    <w:rsid w:val="00EF1768"/>
    <w:rsid w:val="00EF6FD1"/>
    <w:rsid w:val="00EF6FED"/>
    <w:rsid w:val="00F00CD5"/>
    <w:rsid w:val="00F06548"/>
    <w:rsid w:val="00F07BB7"/>
    <w:rsid w:val="00F11F5B"/>
    <w:rsid w:val="00F12401"/>
    <w:rsid w:val="00F15C0D"/>
    <w:rsid w:val="00F16D63"/>
    <w:rsid w:val="00F211E0"/>
    <w:rsid w:val="00F21C20"/>
    <w:rsid w:val="00F21E42"/>
    <w:rsid w:val="00F23F1D"/>
    <w:rsid w:val="00F32FAB"/>
    <w:rsid w:val="00F41771"/>
    <w:rsid w:val="00F417CC"/>
    <w:rsid w:val="00F473C3"/>
    <w:rsid w:val="00F50896"/>
    <w:rsid w:val="00F50DCB"/>
    <w:rsid w:val="00F51925"/>
    <w:rsid w:val="00F568C0"/>
    <w:rsid w:val="00F574AF"/>
    <w:rsid w:val="00F5790D"/>
    <w:rsid w:val="00F62DFD"/>
    <w:rsid w:val="00F666B4"/>
    <w:rsid w:val="00F73FA9"/>
    <w:rsid w:val="00F74740"/>
    <w:rsid w:val="00F8484C"/>
    <w:rsid w:val="00F85E6D"/>
    <w:rsid w:val="00F86C1C"/>
    <w:rsid w:val="00F9013A"/>
    <w:rsid w:val="00F91BD8"/>
    <w:rsid w:val="00F925CF"/>
    <w:rsid w:val="00F92702"/>
    <w:rsid w:val="00F93860"/>
    <w:rsid w:val="00F97AE4"/>
    <w:rsid w:val="00FA0151"/>
    <w:rsid w:val="00FA52A9"/>
    <w:rsid w:val="00FB1CB0"/>
    <w:rsid w:val="00FB566F"/>
    <w:rsid w:val="00FC3A40"/>
    <w:rsid w:val="00FC6320"/>
    <w:rsid w:val="00FC6CF7"/>
    <w:rsid w:val="00FC7DBC"/>
    <w:rsid w:val="00FC7E55"/>
    <w:rsid w:val="00FD0304"/>
    <w:rsid w:val="00FD0B58"/>
    <w:rsid w:val="00FD0C6A"/>
    <w:rsid w:val="00FD1665"/>
    <w:rsid w:val="00FD3D15"/>
    <w:rsid w:val="00FD4006"/>
    <w:rsid w:val="00FE11AA"/>
    <w:rsid w:val="00FE23B4"/>
    <w:rsid w:val="00FE25D4"/>
    <w:rsid w:val="00FE27C9"/>
    <w:rsid w:val="00FE56B3"/>
    <w:rsid w:val="00FE75DC"/>
    <w:rsid w:val="00FE7DD2"/>
    <w:rsid w:val="00FF1DDA"/>
    <w:rsid w:val="00FF3242"/>
    <w:rsid w:val="00FF341E"/>
    <w:rsid w:val="00FF55E4"/>
    <w:rsid w:val="00FF65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nhideWhenUsed/>
    <w:rsid w:val="00065E19"/>
    <w:pPr>
      <w:spacing w:line="240" w:lineRule="auto"/>
    </w:pPr>
    <w:rPr>
      <w:sz w:val="20"/>
      <w:szCs w:val="20"/>
    </w:rPr>
  </w:style>
  <w:style w:type="character" w:customStyle="1" w:styleId="CommentTextChar">
    <w:name w:val="Comment Text Char"/>
    <w:basedOn w:val="DefaultParagraphFont"/>
    <w:link w:val="CommentText"/>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rsid w:val="00E04C89"/>
    <w:pPr>
      <w:spacing w:after="0" w:line="240" w:lineRule="auto"/>
    </w:pPr>
    <w:rPr>
      <w:rFonts w:ascii="Times New Roman" w:eastAsia="PMingLiU" w:hAnsi="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E04C89"/>
    <w:rPr>
      <w:rFonts w:ascii="Times New Roman" w:eastAsia="PMingLiU" w:hAnsi="Times New Roman" w:cs="Times New Roman"/>
      <w:sz w:val="20"/>
      <w:szCs w:val="20"/>
    </w:rPr>
  </w:style>
  <w:style w:type="character" w:customStyle="1" w:styleId="st">
    <w:name w:val="st"/>
    <w:rsid w:val="00E04C89"/>
  </w:style>
  <w:style w:type="paragraph" w:styleId="Revision">
    <w:name w:val="Revision"/>
    <w:hidden/>
    <w:uiPriority w:val="99"/>
    <w:semiHidden/>
    <w:rsid w:val="00475EDD"/>
    <w:pPr>
      <w:spacing w:after="0" w:line="240" w:lineRule="auto"/>
    </w:pPr>
  </w:style>
  <w:style w:type="character" w:styleId="FootnoteReference">
    <w:name w:val="footnote reference"/>
    <w:aliases w:val="Footnote Reference Number,SUPERS,Footnote symbol,Footnote Refernece,ftref,Footnote Reference Superscript,Vēres atsauce"/>
    <w:uiPriority w:val="99"/>
    <w:rsid w:val="00674496"/>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1508130468">
      <w:bodyDiv w:val="1"/>
      <w:marLeft w:val="0"/>
      <w:marRight w:val="0"/>
      <w:marTop w:val="0"/>
      <w:marBottom w:val="0"/>
      <w:divBdr>
        <w:top w:val="none" w:sz="0" w:space="0" w:color="auto"/>
        <w:left w:val="none" w:sz="0" w:space="0" w:color="auto"/>
        <w:bottom w:val="none" w:sz="0" w:space="0" w:color="auto"/>
        <w:right w:val="none" w:sz="0" w:space="0" w:color="auto"/>
      </w:divBdr>
    </w:div>
    <w:div w:id="1792672564">
      <w:bodyDiv w:val="1"/>
      <w:marLeft w:val="0"/>
      <w:marRight w:val="0"/>
      <w:marTop w:val="0"/>
      <w:marBottom w:val="0"/>
      <w:divBdr>
        <w:top w:val="none" w:sz="0" w:space="0" w:color="auto"/>
        <w:left w:val="none" w:sz="0" w:space="0" w:color="auto"/>
        <w:bottom w:val="none" w:sz="0" w:space="0" w:color="auto"/>
        <w:right w:val="none" w:sz="0" w:space="0" w:color="auto"/>
      </w:divBdr>
    </w:div>
    <w:div w:id="1927222521">
      <w:bodyDiv w:val="1"/>
      <w:marLeft w:val="0"/>
      <w:marRight w:val="0"/>
      <w:marTop w:val="0"/>
      <w:marBottom w:val="0"/>
      <w:divBdr>
        <w:top w:val="none" w:sz="0" w:space="0" w:color="auto"/>
        <w:left w:val="none" w:sz="0" w:space="0" w:color="auto"/>
        <w:bottom w:val="none" w:sz="0" w:space="0" w:color="auto"/>
        <w:right w:val="none" w:sz="0" w:space="0" w:color="auto"/>
      </w:divBdr>
    </w:div>
    <w:div w:id="197652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Vib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F156B-08E2-4D33-B1F8-6953E91E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25715</Words>
  <Characters>14658</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2015.gada 28.aprīļa noteikumos Nr.207 “Darbības programmas “Izaugsme un nodarbinātība” 7.2.1.specifiskā atbalsta mērķa “Palielināt nodarbinātībā, izglītībā vai apmācībās neiesaistītu jauniešu nodar</vt:lpstr>
    </vt:vector>
  </TitlesOfParts>
  <Company>Labklājības ministrija</Company>
  <LinksUpToDate>false</LinksUpToDate>
  <CharactersWithSpaces>40293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2015.gada 28.aprīļa noteikumos Nr.207 “Darbības programmas “Izaugsme un nodarbinātība” 7.2.1.specifiskā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 projekta sākotnējās ietekmes novērtējuma ziņojums (anotācija)</dc:title>
  <dc:subject>Anotācija</dc:subject>
  <dc:creator>Anna Vībe</dc:creator>
  <dc:description>E-pasts: Anna.Vibe@lm.gov.lv_x000d_
Tālr.: 67021648</dc:description>
  <cp:lastModifiedBy>Anna Vibe</cp:lastModifiedBy>
  <cp:revision>4</cp:revision>
  <cp:lastPrinted>2014-12-12T10:30:00Z</cp:lastPrinted>
  <dcterms:created xsi:type="dcterms:W3CDTF">2015-09-30T13:44:00Z</dcterms:created>
  <dcterms:modified xsi:type="dcterms:W3CDTF">2015-09-30T13:53:00Z</dcterms:modified>
</cp:coreProperties>
</file>