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40D919C5" w:rsidR="008E7371" w:rsidRPr="00E31F64" w:rsidRDefault="0015691E" w:rsidP="003B0225">
      <w:pPr>
        <w:jc w:val="both"/>
        <w:rPr>
          <w:bCs/>
          <w:color w:val="000000" w:themeColor="text1"/>
        </w:rPr>
      </w:pPr>
      <w:r w:rsidRPr="00E31F64">
        <w:rPr>
          <w:bCs/>
          <w:color w:val="000000" w:themeColor="text1"/>
        </w:rPr>
        <w:t>201</w:t>
      </w:r>
      <w:r w:rsidR="00CC7901" w:rsidRPr="00E31F64">
        <w:rPr>
          <w:bCs/>
          <w:color w:val="000000" w:themeColor="text1"/>
        </w:rPr>
        <w:t>5</w:t>
      </w:r>
      <w:r w:rsidR="008E7371" w:rsidRPr="00E31F64">
        <w:rPr>
          <w:bCs/>
          <w:color w:val="000000" w:themeColor="text1"/>
        </w:rPr>
        <w:t>.</w:t>
      </w:r>
      <w:r w:rsidR="00C9696A" w:rsidRPr="00E31F64">
        <w:rPr>
          <w:bCs/>
          <w:color w:val="000000" w:themeColor="text1"/>
        </w:rPr>
        <w:t xml:space="preserve"> </w:t>
      </w:r>
      <w:r w:rsidR="008E7371" w:rsidRPr="00E31F64">
        <w:rPr>
          <w:bCs/>
          <w:color w:val="000000" w:themeColor="text1"/>
        </w:rPr>
        <w:t xml:space="preserve">gada </w:t>
      </w:r>
      <w:r w:rsidR="008E7371" w:rsidRPr="00E31F64">
        <w:rPr>
          <w:bCs/>
          <w:color w:val="000000" w:themeColor="text1"/>
        </w:rPr>
        <w:tab/>
      </w:r>
      <w:r w:rsidR="008E7371" w:rsidRPr="00E31F64">
        <w:rPr>
          <w:bCs/>
          <w:color w:val="000000" w:themeColor="text1"/>
        </w:rPr>
        <w:tab/>
      </w:r>
      <w:r w:rsidR="008E7371" w:rsidRPr="00E31F64">
        <w:rPr>
          <w:bCs/>
          <w:color w:val="000000" w:themeColor="text1"/>
        </w:rPr>
        <w:tab/>
      </w:r>
      <w:r w:rsidR="008E7371" w:rsidRPr="00E31F64">
        <w:rPr>
          <w:bCs/>
          <w:color w:val="000000" w:themeColor="text1"/>
        </w:rPr>
        <w:tab/>
      </w:r>
      <w:r w:rsidR="008E7371" w:rsidRPr="00E31F64">
        <w:rPr>
          <w:bCs/>
          <w:color w:val="000000" w:themeColor="text1"/>
        </w:rPr>
        <w:tab/>
      </w:r>
      <w:r w:rsidR="008E7371" w:rsidRPr="00E31F64">
        <w:rPr>
          <w:bCs/>
          <w:color w:val="000000" w:themeColor="text1"/>
        </w:rPr>
        <w:tab/>
      </w:r>
      <w:r w:rsidR="008E7371" w:rsidRPr="00E31F64">
        <w:rPr>
          <w:bCs/>
          <w:color w:val="000000" w:themeColor="text1"/>
        </w:rPr>
        <w:tab/>
      </w:r>
      <w:r w:rsidR="008E7371" w:rsidRPr="00E31F64">
        <w:rPr>
          <w:bCs/>
          <w:color w:val="000000" w:themeColor="text1"/>
        </w:rPr>
        <w:tab/>
        <w:t>Noteikumi Nr.</w:t>
      </w:r>
    </w:p>
    <w:p w14:paraId="145F7F40" w14:textId="77777777" w:rsidR="008E7371" w:rsidRPr="00E31F64" w:rsidRDefault="008E7371" w:rsidP="003B0225">
      <w:pPr>
        <w:jc w:val="both"/>
        <w:rPr>
          <w:bCs/>
          <w:color w:val="000000" w:themeColor="text1"/>
        </w:rPr>
      </w:pPr>
      <w:r w:rsidRPr="00E31F64">
        <w:rPr>
          <w:bCs/>
          <w:color w:val="000000" w:themeColor="text1"/>
        </w:rPr>
        <w:t>Rīgā</w:t>
      </w:r>
      <w:r w:rsidRPr="00E31F64">
        <w:rPr>
          <w:bCs/>
          <w:color w:val="000000" w:themeColor="text1"/>
        </w:rPr>
        <w:tab/>
      </w:r>
      <w:r w:rsidRPr="00E31F64">
        <w:rPr>
          <w:bCs/>
          <w:color w:val="000000" w:themeColor="text1"/>
        </w:rPr>
        <w:tab/>
      </w:r>
      <w:r w:rsidRPr="00E31F64">
        <w:rPr>
          <w:bCs/>
          <w:color w:val="000000" w:themeColor="text1"/>
        </w:rPr>
        <w:tab/>
      </w:r>
      <w:r w:rsidRPr="00E31F64">
        <w:rPr>
          <w:bCs/>
          <w:color w:val="000000" w:themeColor="text1"/>
        </w:rPr>
        <w:tab/>
      </w:r>
      <w:r w:rsidRPr="00E31F64">
        <w:rPr>
          <w:bCs/>
          <w:color w:val="000000" w:themeColor="text1"/>
        </w:rPr>
        <w:tab/>
      </w:r>
      <w:r w:rsidRPr="00E31F64">
        <w:rPr>
          <w:bCs/>
          <w:color w:val="000000" w:themeColor="text1"/>
        </w:rPr>
        <w:tab/>
      </w:r>
      <w:r w:rsidRPr="00E31F64">
        <w:rPr>
          <w:bCs/>
          <w:color w:val="000000" w:themeColor="text1"/>
        </w:rPr>
        <w:tab/>
      </w:r>
      <w:r w:rsidRPr="00E31F64">
        <w:rPr>
          <w:bCs/>
          <w:color w:val="000000" w:themeColor="text1"/>
        </w:rPr>
        <w:tab/>
      </w:r>
      <w:r w:rsidRPr="00E31F64">
        <w:rPr>
          <w:bCs/>
          <w:color w:val="000000" w:themeColor="text1"/>
        </w:rPr>
        <w:tab/>
      </w:r>
      <w:r w:rsidR="0071041C" w:rsidRPr="00E31F64">
        <w:rPr>
          <w:bCs/>
          <w:color w:val="000000" w:themeColor="text1"/>
        </w:rPr>
        <w:t>(</w:t>
      </w:r>
      <w:r w:rsidRPr="00E31F64">
        <w:rPr>
          <w:bCs/>
          <w:color w:val="000000" w:themeColor="text1"/>
        </w:rPr>
        <w:t>prot. Nr.</w:t>
      </w:r>
      <w:proofErr w:type="gramStart"/>
      <w:r w:rsidRPr="00E31F64">
        <w:rPr>
          <w:bCs/>
          <w:color w:val="000000" w:themeColor="text1"/>
        </w:rPr>
        <w:t xml:space="preserve">   .</w:t>
      </w:r>
      <w:proofErr w:type="gramEnd"/>
      <w:r w:rsidRPr="00E31F64">
        <w:rPr>
          <w:bCs/>
          <w:color w:val="000000" w:themeColor="text1"/>
        </w:rPr>
        <w:t>§)</w:t>
      </w:r>
    </w:p>
    <w:p w14:paraId="2EA16436" w14:textId="77777777" w:rsidR="008E7371" w:rsidRPr="00E31F64" w:rsidRDefault="008E7371" w:rsidP="003B0225">
      <w:pPr>
        <w:jc w:val="both"/>
        <w:rPr>
          <w:b/>
          <w:bCs/>
          <w:color w:val="000000" w:themeColor="text1"/>
        </w:rPr>
      </w:pPr>
    </w:p>
    <w:p w14:paraId="008E3AAC" w14:textId="3DF35A0C" w:rsidR="00E350B8" w:rsidRPr="00E31F64" w:rsidRDefault="00CC7901" w:rsidP="003B0225">
      <w:pPr>
        <w:jc w:val="center"/>
        <w:rPr>
          <w:b/>
          <w:bCs/>
          <w:color w:val="000000" w:themeColor="text1"/>
        </w:rPr>
      </w:pPr>
      <w:r w:rsidRPr="00E31F64">
        <w:rPr>
          <w:b/>
          <w:bCs/>
          <w:color w:val="000000" w:themeColor="text1"/>
        </w:rPr>
        <w:t xml:space="preserve">Grozījumi “Ministru kabineta </w:t>
      </w:r>
      <w:proofErr w:type="gramStart"/>
      <w:r w:rsidRPr="00E31F64">
        <w:rPr>
          <w:b/>
          <w:bCs/>
          <w:color w:val="000000" w:themeColor="text1"/>
        </w:rPr>
        <w:t>201</w:t>
      </w:r>
      <w:r w:rsidR="004C4D57" w:rsidRPr="00E31F64">
        <w:rPr>
          <w:b/>
          <w:bCs/>
          <w:color w:val="000000" w:themeColor="text1"/>
        </w:rPr>
        <w:t>5</w:t>
      </w:r>
      <w:r w:rsidRPr="00E31F64">
        <w:rPr>
          <w:b/>
          <w:bCs/>
          <w:color w:val="000000" w:themeColor="text1"/>
        </w:rPr>
        <w:t>.gada</w:t>
      </w:r>
      <w:proofErr w:type="gramEnd"/>
      <w:r w:rsidRPr="00E31F64">
        <w:rPr>
          <w:b/>
          <w:bCs/>
          <w:color w:val="000000" w:themeColor="text1"/>
        </w:rPr>
        <w:t xml:space="preserve"> 2</w:t>
      </w:r>
      <w:r w:rsidR="004C4D57" w:rsidRPr="00E31F64">
        <w:rPr>
          <w:b/>
          <w:bCs/>
          <w:color w:val="000000" w:themeColor="text1"/>
        </w:rPr>
        <w:t>8</w:t>
      </w:r>
      <w:r w:rsidRPr="00E31F64">
        <w:rPr>
          <w:b/>
          <w:bCs/>
          <w:color w:val="000000" w:themeColor="text1"/>
        </w:rPr>
        <w:t>.</w:t>
      </w:r>
      <w:r w:rsidR="004C4D57" w:rsidRPr="00E31F64">
        <w:rPr>
          <w:b/>
          <w:bCs/>
          <w:color w:val="000000" w:themeColor="text1"/>
        </w:rPr>
        <w:t>aprīļa</w:t>
      </w:r>
      <w:r w:rsidRPr="00E31F64">
        <w:rPr>
          <w:b/>
          <w:bCs/>
          <w:color w:val="000000" w:themeColor="text1"/>
        </w:rPr>
        <w:t xml:space="preserve"> noteikumos Nr.</w:t>
      </w:r>
      <w:r w:rsidR="004C4D57" w:rsidRPr="00E31F64">
        <w:rPr>
          <w:b/>
          <w:bCs/>
          <w:color w:val="000000" w:themeColor="text1"/>
        </w:rPr>
        <w:t>207</w:t>
      </w:r>
      <w:r w:rsidRPr="00E31F64">
        <w:rPr>
          <w:b/>
          <w:bCs/>
          <w:color w:val="000000" w:themeColor="text1"/>
        </w:rPr>
        <w:t xml:space="preserve"> “</w:t>
      </w:r>
      <w:r w:rsidR="004C4D57" w:rsidRPr="00E31F64">
        <w:rPr>
          <w:b/>
          <w:bCs/>
          <w:color w:val="000000" w:themeColor="text1"/>
        </w:rPr>
        <w:t>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E31F64">
        <w:rPr>
          <w:b/>
          <w:bCs/>
          <w:color w:val="000000" w:themeColor="text1"/>
        </w:rPr>
        <w:t>”</w:t>
      </w:r>
    </w:p>
    <w:p w14:paraId="6B6D7DCC" w14:textId="77777777" w:rsidR="00C14E10" w:rsidRPr="00E31F64" w:rsidRDefault="00C14E10" w:rsidP="003B0225">
      <w:pPr>
        <w:jc w:val="both"/>
        <w:rPr>
          <w:i/>
          <w:iCs/>
          <w:color w:val="000000" w:themeColor="text1"/>
        </w:rPr>
      </w:pPr>
    </w:p>
    <w:p w14:paraId="627FE67B" w14:textId="635674F1" w:rsidR="00F56FE2" w:rsidRPr="00E31F64" w:rsidRDefault="002D55D7" w:rsidP="003B0225">
      <w:pPr>
        <w:ind w:left="4111"/>
        <w:jc w:val="both"/>
        <w:rPr>
          <w:i/>
          <w:iCs/>
          <w:color w:val="000000" w:themeColor="text1"/>
        </w:rPr>
      </w:pPr>
      <w:r w:rsidRPr="00E31F64">
        <w:rPr>
          <w:i/>
          <w:iCs/>
          <w:color w:val="000000" w:themeColor="text1"/>
        </w:rPr>
        <w:t xml:space="preserve">Izdoti saskaņā ar Eiropas Savienības struktūrfondu un Kohēzijas fonda </w:t>
      </w:r>
      <w:proofErr w:type="gramStart"/>
      <w:r w:rsidRPr="00E31F64">
        <w:rPr>
          <w:i/>
          <w:iCs/>
          <w:color w:val="000000" w:themeColor="text1"/>
        </w:rPr>
        <w:t>2014.</w:t>
      </w:r>
      <w:r w:rsidR="005F4E8F" w:rsidRPr="00E31F64">
        <w:rPr>
          <w:color w:val="000000" w:themeColor="text1"/>
        </w:rPr>
        <w:t xml:space="preserve"> –</w:t>
      </w:r>
      <w:r w:rsidR="0002662E" w:rsidRPr="00E31F64">
        <w:rPr>
          <w:color w:val="000000" w:themeColor="text1"/>
        </w:rPr>
        <w:t xml:space="preserve"> </w:t>
      </w:r>
      <w:r w:rsidRPr="00E31F64">
        <w:rPr>
          <w:i/>
          <w:iCs/>
          <w:color w:val="000000" w:themeColor="text1"/>
        </w:rPr>
        <w:t>2020.</w:t>
      </w:r>
      <w:proofErr w:type="gramEnd"/>
      <w:r w:rsidRPr="00E31F64">
        <w:rPr>
          <w:i/>
          <w:iCs/>
          <w:color w:val="000000" w:themeColor="text1"/>
        </w:rPr>
        <w:t>gada plānošanas perioda vadības likuma 2</w:t>
      </w:r>
      <w:r w:rsidR="0079012B" w:rsidRPr="00E31F64">
        <w:rPr>
          <w:i/>
          <w:iCs/>
          <w:color w:val="000000" w:themeColor="text1"/>
        </w:rPr>
        <w:t>0</w:t>
      </w:r>
      <w:r w:rsidRPr="00E31F64">
        <w:rPr>
          <w:i/>
          <w:iCs/>
          <w:color w:val="000000" w:themeColor="text1"/>
        </w:rPr>
        <w:t>.</w:t>
      </w:r>
      <w:r w:rsidR="00C9696A" w:rsidRPr="00E31F64">
        <w:rPr>
          <w:i/>
          <w:iCs/>
          <w:color w:val="000000" w:themeColor="text1"/>
        </w:rPr>
        <w:t xml:space="preserve"> </w:t>
      </w:r>
      <w:r w:rsidRPr="00E31F64">
        <w:rPr>
          <w:i/>
          <w:iCs/>
          <w:color w:val="000000" w:themeColor="text1"/>
        </w:rPr>
        <w:t xml:space="preserve">panta </w:t>
      </w:r>
      <w:r w:rsidR="00E42D7C" w:rsidRPr="00E31F64">
        <w:rPr>
          <w:i/>
          <w:iCs/>
          <w:color w:val="000000" w:themeColor="text1"/>
        </w:rPr>
        <w:t xml:space="preserve">6. un </w:t>
      </w:r>
      <w:r w:rsidRPr="00E31F64">
        <w:rPr>
          <w:i/>
          <w:iCs/>
          <w:color w:val="000000" w:themeColor="text1"/>
        </w:rPr>
        <w:t>13.punktu</w:t>
      </w:r>
    </w:p>
    <w:p w14:paraId="5FB9ED4D" w14:textId="77777777" w:rsidR="00FF5BBC" w:rsidRPr="00E31F64" w:rsidRDefault="00FF5BBC" w:rsidP="003B0225">
      <w:pPr>
        <w:jc w:val="both"/>
        <w:rPr>
          <w:i/>
          <w:iCs/>
          <w:color w:val="000000" w:themeColor="text1"/>
        </w:rPr>
      </w:pPr>
    </w:p>
    <w:p w14:paraId="55E73D20" w14:textId="77777777" w:rsidR="00EB1FD5" w:rsidRPr="00E31F64" w:rsidRDefault="00EB1FD5" w:rsidP="003B0225">
      <w:pPr>
        <w:jc w:val="both"/>
        <w:rPr>
          <w:i/>
          <w:iCs/>
          <w:color w:val="000000" w:themeColor="text1"/>
        </w:rPr>
      </w:pPr>
    </w:p>
    <w:p w14:paraId="56D8406E" w14:textId="400C8283" w:rsidR="00CC7901" w:rsidRPr="00067DCC" w:rsidRDefault="00CC7901" w:rsidP="00067DCC">
      <w:pPr>
        <w:ind w:firstLine="720"/>
        <w:jc w:val="both"/>
        <w:rPr>
          <w:color w:val="000000" w:themeColor="text1"/>
        </w:rPr>
      </w:pPr>
      <w:bookmarkStart w:id="0" w:name="294706"/>
      <w:bookmarkEnd w:id="0"/>
      <w:r w:rsidRPr="00067DCC">
        <w:rPr>
          <w:color w:val="000000" w:themeColor="text1"/>
        </w:rPr>
        <w:t xml:space="preserve">Izdarīt </w:t>
      </w:r>
      <w:r w:rsidR="004C4D57" w:rsidRPr="00067DCC">
        <w:rPr>
          <w:bCs/>
          <w:color w:val="000000" w:themeColor="text1"/>
        </w:rPr>
        <w:t xml:space="preserve">Ministru kabineta </w:t>
      </w:r>
      <w:proofErr w:type="gramStart"/>
      <w:r w:rsidR="004C4D57" w:rsidRPr="00067DCC">
        <w:rPr>
          <w:bCs/>
          <w:color w:val="000000" w:themeColor="text1"/>
        </w:rPr>
        <w:t>2015.gada</w:t>
      </w:r>
      <w:proofErr w:type="gramEnd"/>
      <w:r w:rsidR="004C4D57" w:rsidRPr="00067DCC">
        <w:rPr>
          <w:bCs/>
          <w:color w:val="000000" w:themeColor="text1"/>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E24D82" w:rsidRPr="00067DCC">
        <w:rPr>
          <w:color w:val="000000" w:themeColor="text1"/>
        </w:rPr>
        <w:t>”</w:t>
      </w:r>
      <w:r w:rsidRPr="00067DCC">
        <w:rPr>
          <w:color w:val="000000" w:themeColor="text1"/>
        </w:rPr>
        <w:t xml:space="preserve"> (Latvijas Vēstnesis, 2015, </w:t>
      </w:r>
      <w:r w:rsidR="004C4D57" w:rsidRPr="00067DCC">
        <w:rPr>
          <w:color w:val="000000" w:themeColor="text1"/>
        </w:rPr>
        <w:t>96</w:t>
      </w:r>
      <w:r w:rsidRPr="00067DCC">
        <w:rPr>
          <w:color w:val="000000" w:themeColor="text1"/>
        </w:rPr>
        <w:t>.nr.) šādus grozījumus:</w:t>
      </w:r>
    </w:p>
    <w:p w14:paraId="35819C29" w14:textId="77777777" w:rsidR="00E42D7C" w:rsidRPr="00067DCC" w:rsidRDefault="00E42D7C" w:rsidP="003B0225">
      <w:pPr>
        <w:jc w:val="both"/>
        <w:rPr>
          <w:bCs/>
          <w:color w:val="000000" w:themeColor="text1"/>
        </w:rPr>
      </w:pPr>
    </w:p>
    <w:p w14:paraId="0E302740" w14:textId="37D44D8D" w:rsidR="00A24175" w:rsidRPr="00067DCC" w:rsidRDefault="00A24175" w:rsidP="003B0225">
      <w:pPr>
        <w:jc w:val="both"/>
        <w:rPr>
          <w:bCs/>
          <w:color w:val="000000" w:themeColor="text1"/>
        </w:rPr>
      </w:pPr>
      <w:r w:rsidRPr="00067DCC">
        <w:rPr>
          <w:bCs/>
          <w:color w:val="000000" w:themeColor="text1"/>
        </w:rPr>
        <w:t xml:space="preserve">1. </w:t>
      </w:r>
      <w:r w:rsidR="00067DCC" w:rsidRPr="00067DCC">
        <w:rPr>
          <w:bCs/>
          <w:color w:val="000000" w:themeColor="text1"/>
        </w:rPr>
        <w:t>S</w:t>
      </w:r>
      <w:r w:rsidRPr="00067DCC">
        <w:rPr>
          <w:bCs/>
          <w:color w:val="000000" w:themeColor="text1"/>
        </w:rPr>
        <w:t>vītrot 3.punkt</w:t>
      </w:r>
      <w:r w:rsidR="0002662E" w:rsidRPr="00067DCC">
        <w:rPr>
          <w:bCs/>
          <w:color w:val="000000" w:themeColor="text1"/>
        </w:rPr>
        <w:t>a ievaddaļā</w:t>
      </w:r>
      <w:r w:rsidRPr="00067DCC">
        <w:rPr>
          <w:bCs/>
          <w:color w:val="000000" w:themeColor="text1"/>
        </w:rPr>
        <w:t xml:space="preserve"> vārdus “kuri nemācās un nav nodarbināti”;</w:t>
      </w:r>
    </w:p>
    <w:p w14:paraId="685E744D" w14:textId="77777777" w:rsidR="00A24175" w:rsidRPr="00067DCC" w:rsidRDefault="00A24175" w:rsidP="003B0225">
      <w:pPr>
        <w:jc w:val="both"/>
        <w:rPr>
          <w:bCs/>
          <w:color w:val="000000" w:themeColor="text1"/>
        </w:rPr>
      </w:pPr>
    </w:p>
    <w:p w14:paraId="1B60D242" w14:textId="04C31CF1" w:rsidR="00A24175" w:rsidRPr="00067DCC" w:rsidRDefault="00067DCC" w:rsidP="003B0225">
      <w:pPr>
        <w:jc w:val="both"/>
        <w:rPr>
          <w:bCs/>
          <w:color w:val="000000" w:themeColor="text1"/>
        </w:rPr>
      </w:pPr>
      <w:r w:rsidRPr="00067DCC">
        <w:rPr>
          <w:bCs/>
          <w:color w:val="000000" w:themeColor="text1"/>
        </w:rPr>
        <w:t>2. P</w:t>
      </w:r>
      <w:r w:rsidR="00A24175" w:rsidRPr="00067DCC">
        <w:rPr>
          <w:bCs/>
          <w:color w:val="000000" w:themeColor="text1"/>
        </w:rPr>
        <w:t>apildināt 3.1. un 3.2.apakšpunkt</w:t>
      </w:r>
      <w:r w:rsidR="0067239F" w:rsidRPr="00067DCC">
        <w:rPr>
          <w:bCs/>
          <w:color w:val="000000" w:themeColor="text1"/>
        </w:rPr>
        <w:t>a ievaddaļu</w:t>
      </w:r>
      <w:r w:rsidR="00A24175" w:rsidRPr="00067DCC">
        <w:rPr>
          <w:bCs/>
          <w:color w:val="000000" w:themeColor="text1"/>
        </w:rPr>
        <w:t xml:space="preserve"> aiz vārdiem “mērķa grupa” ar vārdiem “</w:t>
      </w:r>
      <w:r w:rsidR="008D758A" w:rsidRPr="00067DCC">
        <w:rPr>
          <w:bCs/>
          <w:color w:val="000000" w:themeColor="text1"/>
        </w:rPr>
        <w:t xml:space="preserve">ir jaunieši, </w:t>
      </w:r>
      <w:r w:rsidR="00A24175" w:rsidRPr="00067DCC">
        <w:rPr>
          <w:bCs/>
          <w:color w:val="000000" w:themeColor="text1"/>
        </w:rPr>
        <w:t>kur</w:t>
      </w:r>
      <w:r w:rsidR="008D758A" w:rsidRPr="00067DCC">
        <w:rPr>
          <w:bCs/>
          <w:color w:val="000000" w:themeColor="text1"/>
        </w:rPr>
        <w:t>i</w:t>
      </w:r>
      <w:r w:rsidR="00A24175" w:rsidRPr="00067DCC">
        <w:rPr>
          <w:bCs/>
          <w:color w:val="000000" w:themeColor="text1"/>
        </w:rPr>
        <w:t xml:space="preserve"> nemācās un nav nodarbināti”;</w:t>
      </w:r>
    </w:p>
    <w:p w14:paraId="63121774" w14:textId="77777777" w:rsidR="00087365" w:rsidRPr="00067DCC" w:rsidRDefault="00087365" w:rsidP="003B0225">
      <w:pPr>
        <w:jc w:val="both"/>
        <w:rPr>
          <w:bCs/>
          <w:color w:val="000000" w:themeColor="text1"/>
        </w:rPr>
      </w:pPr>
    </w:p>
    <w:p w14:paraId="41245594" w14:textId="175902E9" w:rsidR="00087365" w:rsidRPr="00067DCC" w:rsidRDefault="00087365" w:rsidP="003B0225">
      <w:pPr>
        <w:jc w:val="both"/>
        <w:rPr>
          <w:bCs/>
          <w:color w:val="000000" w:themeColor="text1"/>
        </w:rPr>
      </w:pPr>
      <w:r w:rsidRPr="00067DCC">
        <w:rPr>
          <w:bCs/>
          <w:color w:val="000000" w:themeColor="text1"/>
        </w:rPr>
        <w:t xml:space="preserve">3. </w:t>
      </w:r>
      <w:r w:rsidR="00067DCC" w:rsidRPr="00067DCC">
        <w:rPr>
          <w:bCs/>
          <w:color w:val="000000" w:themeColor="text1"/>
        </w:rPr>
        <w:t>P</w:t>
      </w:r>
      <w:r w:rsidRPr="00067DCC">
        <w:rPr>
          <w:bCs/>
          <w:color w:val="000000" w:themeColor="text1"/>
        </w:rPr>
        <w:t>apildināt 3.1.3.apakšpunktu aiz vārdiem “izglītības programmu nosaka karjeras konsultants jaunieša profilēšanas” ar vārdiem “un karjeras konsultācijas”;</w:t>
      </w:r>
    </w:p>
    <w:p w14:paraId="31658939" w14:textId="77777777" w:rsidR="00724D55" w:rsidRPr="00067DCC" w:rsidRDefault="00724D55" w:rsidP="003B0225">
      <w:pPr>
        <w:jc w:val="both"/>
        <w:rPr>
          <w:bCs/>
          <w:color w:val="000000" w:themeColor="text1"/>
        </w:rPr>
      </w:pPr>
    </w:p>
    <w:p w14:paraId="146BDF3C" w14:textId="1DB8DDD5" w:rsidR="00724D55" w:rsidRPr="00067DCC" w:rsidRDefault="00087365" w:rsidP="003B0225">
      <w:pPr>
        <w:jc w:val="both"/>
        <w:rPr>
          <w:bCs/>
          <w:color w:val="000000" w:themeColor="text1"/>
        </w:rPr>
      </w:pPr>
      <w:r w:rsidRPr="00067DCC">
        <w:rPr>
          <w:bCs/>
          <w:color w:val="000000" w:themeColor="text1"/>
        </w:rPr>
        <w:t>4</w:t>
      </w:r>
      <w:r w:rsidR="00724D55" w:rsidRPr="00067DCC">
        <w:rPr>
          <w:bCs/>
          <w:color w:val="000000" w:themeColor="text1"/>
        </w:rPr>
        <w:t xml:space="preserve">. </w:t>
      </w:r>
      <w:r w:rsidR="00067DCC" w:rsidRPr="00067DCC">
        <w:rPr>
          <w:bCs/>
          <w:color w:val="000000" w:themeColor="text1"/>
        </w:rPr>
        <w:t>P</w:t>
      </w:r>
      <w:r w:rsidR="00724D55" w:rsidRPr="00067DCC">
        <w:rPr>
          <w:bCs/>
          <w:color w:val="000000" w:themeColor="text1"/>
        </w:rPr>
        <w:t>apildināt 3.2.1.2.apakšpunkt</w:t>
      </w:r>
      <w:r w:rsidR="0067239F" w:rsidRPr="00067DCC">
        <w:rPr>
          <w:bCs/>
          <w:color w:val="000000" w:themeColor="text1"/>
        </w:rPr>
        <w:t xml:space="preserve">a ievaddaļu </w:t>
      </w:r>
      <w:r w:rsidR="00724D55" w:rsidRPr="00067DCC">
        <w:rPr>
          <w:bCs/>
          <w:color w:val="000000" w:themeColor="text1"/>
        </w:rPr>
        <w:t>aiz vārdiem “kas iegūta vismaz 12 mēnešus pirms uzņemšanas pasākumā “Sākotnējās profesionālās izglītības programmu īstenošana Jauniešu garantijas ietvaros” īstenotajās izglītības programmās” ar vārdiem iekavās “(ierobežojums par atkārtotu dalību neattiecas uz jauniešiem, k</w:t>
      </w:r>
      <w:r w:rsidR="009519E5" w:rsidRPr="00067DCC">
        <w:rPr>
          <w:bCs/>
          <w:color w:val="000000" w:themeColor="text1"/>
        </w:rPr>
        <w:t>uri</w:t>
      </w:r>
      <w:r w:rsidR="00724D55" w:rsidRPr="00067DCC">
        <w:rPr>
          <w:bCs/>
          <w:color w:val="000000" w:themeColor="text1"/>
        </w:rPr>
        <w:t xml:space="preserve"> ieguvuši pirmā līmeņa profesionālo kvalifikāciju)”;</w:t>
      </w:r>
    </w:p>
    <w:p w14:paraId="30A6DF85" w14:textId="77777777" w:rsidR="00087365" w:rsidRPr="00067DCC" w:rsidRDefault="00087365" w:rsidP="003B0225">
      <w:pPr>
        <w:jc w:val="both"/>
        <w:rPr>
          <w:bCs/>
          <w:color w:val="000000" w:themeColor="text1"/>
        </w:rPr>
      </w:pPr>
    </w:p>
    <w:p w14:paraId="173A32E6" w14:textId="0D0795D8" w:rsidR="00087365" w:rsidRPr="00067DCC" w:rsidRDefault="00067DCC" w:rsidP="003B0225">
      <w:pPr>
        <w:jc w:val="both"/>
        <w:rPr>
          <w:bCs/>
          <w:color w:val="000000" w:themeColor="text1"/>
        </w:rPr>
      </w:pPr>
      <w:r w:rsidRPr="00067DCC">
        <w:rPr>
          <w:bCs/>
          <w:color w:val="000000" w:themeColor="text1"/>
        </w:rPr>
        <w:t>5. P</w:t>
      </w:r>
      <w:r w:rsidR="00087365" w:rsidRPr="00067DCC">
        <w:rPr>
          <w:bCs/>
          <w:color w:val="000000" w:themeColor="text1"/>
        </w:rPr>
        <w:t>apildināt 3.2.2.apakšpunktu ar otro teikumu šādā redakcijā:</w:t>
      </w:r>
    </w:p>
    <w:p w14:paraId="2EBF6D75" w14:textId="40FF92EC" w:rsidR="00087365" w:rsidRPr="00067DCC" w:rsidRDefault="00087365" w:rsidP="003B0225">
      <w:pPr>
        <w:jc w:val="both"/>
        <w:rPr>
          <w:bCs/>
          <w:color w:val="000000" w:themeColor="text1"/>
        </w:rPr>
      </w:pPr>
      <w:r w:rsidRPr="00067DCC">
        <w:rPr>
          <w:bCs/>
          <w:color w:val="000000" w:themeColor="text1"/>
        </w:rPr>
        <w:t>“Jauniešu atkārtota iesaiste šo noteikumu 18.2.2.apakšpunktā noteiktajās profesionālās tālākizglītības programmās un profesionālās</w:t>
      </w:r>
      <w:r w:rsidR="008D758A" w:rsidRPr="00067DCC">
        <w:rPr>
          <w:bCs/>
          <w:color w:val="000000" w:themeColor="text1"/>
        </w:rPr>
        <w:t xml:space="preserve"> pilnveides</w:t>
      </w:r>
      <w:r w:rsidRPr="00067DCC">
        <w:rPr>
          <w:bCs/>
          <w:color w:val="000000" w:themeColor="text1"/>
        </w:rPr>
        <w:t xml:space="preserve"> izglītības programmās ir pieļaujama ne ātrāk kā sešus mēnešus pēc dalības šajās programmās, izņemot gadījumus, kad jaunietis bijis iesaistīts izglītības programmā, kas uzlabo vispārējās p</w:t>
      </w:r>
      <w:r w:rsidR="008D758A" w:rsidRPr="00067DCC">
        <w:rPr>
          <w:bCs/>
          <w:color w:val="000000" w:themeColor="text1"/>
        </w:rPr>
        <w:t>amatp</w:t>
      </w:r>
      <w:r w:rsidRPr="00067DCC">
        <w:rPr>
          <w:bCs/>
          <w:color w:val="000000" w:themeColor="text1"/>
        </w:rPr>
        <w:t>rasmes, piemēram, valsts valodas un datoru lietošanas p</w:t>
      </w:r>
      <w:r w:rsidR="008D758A" w:rsidRPr="00067DCC">
        <w:rPr>
          <w:bCs/>
          <w:color w:val="000000" w:themeColor="text1"/>
        </w:rPr>
        <w:t>amatp</w:t>
      </w:r>
      <w:r w:rsidRPr="00067DCC">
        <w:rPr>
          <w:bCs/>
          <w:color w:val="000000" w:themeColor="text1"/>
        </w:rPr>
        <w:t>rasmes.”;</w:t>
      </w:r>
    </w:p>
    <w:p w14:paraId="0CD9B67B" w14:textId="77777777" w:rsidR="00087365" w:rsidRPr="00067DCC" w:rsidRDefault="00087365" w:rsidP="003B0225">
      <w:pPr>
        <w:jc w:val="both"/>
        <w:rPr>
          <w:bCs/>
          <w:color w:val="000000" w:themeColor="text1"/>
        </w:rPr>
      </w:pPr>
    </w:p>
    <w:p w14:paraId="3D1FB1F6" w14:textId="7CC084E8" w:rsidR="00A24175" w:rsidRPr="00067DCC" w:rsidRDefault="00087365" w:rsidP="003B0225">
      <w:pPr>
        <w:jc w:val="both"/>
        <w:rPr>
          <w:bCs/>
          <w:color w:val="000000" w:themeColor="text1"/>
        </w:rPr>
      </w:pPr>
      <w:r w:rsidRPr="00067DCC">
        <w:rPr>
          <w:bCs/>
          <w:color w:val="000000" w:themeColor="text1"/>
        </w:rPr>
        <w:t>6</w:t>
      </w:r>
      <w:r w:rsidR="00A24175" w:rsidRPr="00067DCC">
        <w:rPr>
          <w:bCs/>
          <w:color w:val="000000" w:themeColor="text1"/>
        </w:rPr>
        <w:t xml:space="preserve">. </w:t>
      </w:r>
      <w:r w:rsidR="00067DCC" w:rsidRPr="00067DCC">
        <w:rPr>
          <w:bCs/>
          <w:color w:val="000000" w:themeColor="text1"/>
        </w:rPr>
        <w:t>P</w:t>
      </w:r>
      <w:r w:rsidR="00A24175" w:rsidRPr="00067DCC">
        <w:rPr>
          <w:bCs/>
          <w:color w:val="000000" w:themeColor="text1"/>
        </w:rPr>
        <w:t>apildināt noteikumus ar 3.3.apakšpunktu šādā redakcijā:</w:t>
      </w:r>
    </w:p>
    <w:p w14:paraId="540E08B8" w14:textId="7CB172DB" w:rsidR="004D3608" w:rsidRPr="00067DCC" w:rsidRDefault="00A24175" w:rsidP="004D3608">
      <w:pPr>
        <w:pStyle w:val="naisf"/>
        <w:spacing w:before="0" w:after="0"/>
        <w:ind w:firstLine="0"/>
        <w:rPr>
          <w:bCs/>
        </w:rPr>
      </w:pPr>
      <w:r w:rsidRPr="00067DCC">
        <w:rPr>
          <w:bCs/>
          <w:color w:val="000000" w:themeColor="text1"/>
        </w:rPr>
        <w:t>“</w:t>
      </w:r>
      <w:r w:rsidR="004D3608" w:rsidRPr="00067DCC">
        <w:rPr>
          <w:bCs/>
        </w:rPr>
        <w:t xml:space="preserve">3.3. pasākumā “Sākotnējās profesionālās izglītības programmu īstenošana Jauniešu garantijas ietvaros” šo noteikumu 18.2.1. un 18.2.3.apakšpunktā minēto atbalstāmo darbību ietvaros mērķa grupa ir </w:t>
      </w:r>
      <w:r w:rsidR="00080D79" w:rsidRPr="00067DCC">
        <w:rPr>
          <w:bCs/>
        </w:rPr>
        <w:t xml:space="preserve">nodarbināti </w:t>
      </w:r>
      <w:r w:rsidR="004D3608" w:rsidRPr="00067DCC">
        <w:rPr>
          <w:bCs/>
        </w:rPr>
        <w:t>jaunieši vecumā no 17 līdz 29 gadiem (ieskaitot)</w:t>
      </w:r>
      <w:r w:rsidR="000A47FF" w:rsidRPr="00067DCC">
        <w:rPr>
          <w:bCs/>
        </w:rPr>
        <w:t xml:space="preserve"> (uzņemot atbalstāmajā darbībā)</w:t>
      </w:r>
      <w:r w:rsidR="004D3608" w:rsidRPr="00067DCC">
        <w:rPr>
          <w:bCs/>
        </w:rPr>
        <w:t>:</w:t>
      </w:r>
    </w:p>
    <w:p w14:paraId="3D5E37FD" w14:textId="78EC71CA" w:rsidR="00A24175" w:rsidRPr="00067DCC" w:rsidRDefault="00A24175" w:rsidP="004D3608">
      <w:pPr>
        <w:jc w:val="both"/>
        <w:rPr>
          <w:bCs/>
          <w:color w:val="000000" w:themeColor="text1"/>
        </w:rPr>
      </w:pPr>
      <w:r w:rsidRPr="00067DCC">
        <w:rPr>
          <w:bCs/>
          <w:color w:val="000000" w:themeColor="text1"/>
        </w:rPr>
        <w:lastRenderedPageBreak/>
        <w:t>3.3.1. bez iepriekš iegūtas profesionālās kvalifikācijas un kuri nav saņēmuši mērķstipendiju šo noteikumu 18.2.1.apakšpunktā minēto atbalstāmo darbību ietvaros vismaz 12 mēn</w:t>
      </w:r>
      <w:r w:rsidR="00724D55" w:rsidRPr="00067DCC">
        <w:rPr>
          <w:bCs/>
          <w:color w:val="000000" w:themeColor="text1"/>
        </w:rPr>
        <w:t>ešus pirms uzņemšanas pasākumā “</w:t>
      </w:r>
      <w:r w:rsidRPr="00067DCC">
        <w:rPr>
          <w:bCs/>
          <w:color w:val="000000" w:themeColor="text1"/>
        </w:rPr>
        <w:t>Sākotnējās profesionālās izglītības programmu īstenošana Jauniešu garantijas ietvaros</w:t>
      </w:r>
      <w:r w:rsidR="00724D55" w:rsidRPr="00067DCC">
        <w:rPr>
          <w:bCs/>
          <w:color w:val="000000" w:themeColor="text1"/>
        </w:rPr>
        <w:t>”</w:t>
      </w:r>
      <w:r w:rsidRPr="00067DCC">
        <w:rPr>
          <w:bCs/>
          <w:color w:val="000000" w:themeColor="text1"/>
        </w:rPr>
        <w:t xml:space="preserve"> īstenotajās izglītības programmās, izņemot gadījumu, ja izglītības iestādes vai mācību grupas reorganizācijas rezultātā jaunietis ir atskaitīts no izglītības iestādes;</w:t>
      </w:r>
    </w:p>
    <w:p w14:paraId="4C2EFCC6" w14:textId="3484892D" w:rsidR="00A24175" w:rsidRPr="00067DCC" w:rsidRDefault="00A24175" w:rsidP="003B0225">
      <w:pPr>
        <w:jc w:val="both"/>
        <w:rPr>
          <w:bCs/>
          <w:color w:val="000000" w:themeColor="text1"/>
        </w:rPr>
      </w:pPr>
      <w:r w:rsidRPr="00067DCC">
        <w:rPr>
          <w:bCs/>
          <w:color w:val="000000" w:themeColor="text1"/>
        </w:rPr>
        <w:t xml:space="preserve">3.3.2. ar iepriekš iegūtu profesionālo kvalifikāciju, kas iegūta vismaz 12 mēnešus pirms uzņemšanas pasākumā </w:t>
      </w:r>
      <w:r w:rsidR="00724D55" w:rsidRPr="00067DCC">
        <w:rPr>
          <w:bCs/>
          <w:color w:val="000000" w:themeColor="text1"/>
        </w:rPr>
        <w:t>“</w:t>
      </w:r>
      <w:r w:rsidRPr="00067DCC">
        <w:rPr>
          <w:bCs/>
          <w:color w:val="000000" w:themeColor="text1"/>
        </w:rPr>
        <w:t>Sākotnējās profesionālās izglītības programmu īstenošana Jauniešu garantijas ietvaros</w:t>
      </w:r>
      <w:r w:rsidR="00724D55" w:rsidRPr="00067DCC">
        <w:rPr>
          <w:bCs/>
          <w:color w:val="000000" w:themeColor="text1"/>
        </w:rPr>
        <w:t>”</w:t>
      </w:r>
      <w:r w:rsidRPr="00067DCC">
        <w:rPr>
          <w:bCs/>
          <w:color w:val="000000" w:themeColor="text1"/>
        </w:rPr>
        <w:t xml:space="preserve"> īstenotajās izglītības programmās</w:t>
      </w:r>
      <w:r w:rsidR="00087365" w:rsidRPr="00067DCC">
        <w:rPr>
          <w:bCs/>
          <w:color w:val="000000" w:themeColor="text1"/>
        </w:rPr>
        <w:t xml:space="preserve"> (ierobežojums par atkārtotu dal</w:t>
      </w:r>
      <w:r w:rsidR="009519E5" w:rsidRPr="00067DCC">
        <w:rPr>
          <w:bCs/>
          <w:color w:val="000000" w:themeColor="text1"/>
        </w:rPr>
        <w:t>ību neattiecas uz jauniešiem, kuri</w:t>
      </w:r>
      <w:r w:rsidR="00087365" w:rsidRPr="00067DCC">
        <w:rPr>
          <w:bCs/>
          <w:color w:val="000000" w:themeColor="text1"/>
        </w:rPr>
        <w:t xml:space="preserve"> ieguvuši pirmā līmeņa profesionālo kvalifikāciju)</w:t>
      </w:r>
      <w:r w:rsidRPr="00067DCC">
        <w:rPr>
          <w:bCs/>
          <w:color w:val="000000" w:themeColor="text1"/>
        </w:rPr>
        <w:t>, un kuri nav saņēmuši mērķ</w:t>
      </w:r>
      <w:r w:rsidR="00724D55" w:rsidRPr="00067DCC">
        <w:rPr>
          <w:bCs/>
          <w:color w:val="000000" w:themeColor="text1"/>
        </w:rPr>
        <w:t>stipendiju šo noteikumu 18.2.1.</w:t>
      </w:r>
      <w:r w:rsidRPr="00067DCC">
        <w:rPr>
          <w:bCs/>
          <w:color w:val="000000" w:themeColor="text1"/>
        </w:rPr>
        <w:t xml:space="preserve">apakšpunktā minēto atbalstāmo darbību ietvaros vismaz 12 mēnešus pirms uzņemšanas pasākumā </w:t>
      </w:r>
      <w:r w:rsidR="00724D55" w:rsidRPr="00067DCC">
        <w:rPr>
          <w:bCs/>
          <w:color w:val="000000" w:themeColor="text1"/>
        </w:rPr>
        <w:t>“</w:t>
      </w:r>
      <w:r w:rsidRPr="00067DCC">
        <w:rPr>
          <w:bCs/>
          <w:color w:val="000000" w:themeColor="text1"/>
        </w:rPr>
        <w:t>Sākotnējās profesionālās izglītības programmu īstenošana Jauniešu garantijas ietvaros</w:t>
      </w:r>
      <w:r w:rsidR="00724D55" w:rsidRPr="00067DCC">
        <w:rPr>
          <w:bCs/>
          <w:color w:val="000000" w:themeColor="text1"/>
        </w:rPr>
        <w:t>”</w:t>
      </w:r>
      <w:r w:rsidRPr="00067DCC">
        <w:rPr>
          <w:bCs/>
          <w:color w:val="000000" w:themeColor="text1"/>
        </w:rPr>
        <w:t xml:space="preserve"> īstenotajās izglītības programmās, izņemot gadījumu, ja izglītības iestādes vai mācību grupas reorganizācijas rezultātā jaunietis ir atskaitīts no izglītības iestādes</w:t>
      </w:r>
      <w:r w:rsidR="009519E5" w:rsidRPr="00067DCC">
        <w:rPr>
          <w:bCs/>
          <w:color w:val="000000" w:themeColor="text1"/>
        </w:rPr>
        <w:t>.</w:t>
      </w:r>
      <w:r w:rsidRPr="00067DCC">
        <w:rPr>
          <w:bCs/>
          <w:color w:val="000000" w:themeColor="text1"/>
        </w:rPr>
        <w:t>”</w:t>
      </w:r>
      <w:r w:rsidR="00724D55" w:rsidRPr="00067DCC">
        <w:rPr>
          <w:bCs/>
          <w:color w:val="000000" w:themeColor="text1"/>
        </w:rPr>
        <w:t>;</w:t>
      </w:r>
    </w:p>
    <w:p w14:paraId="29F83EA6" w14:textId="338830EF" w:rsidR="00A24175" w:rsidRPr="00067DCC" w:rsidRDefault="00A24175" w:rsidP="003B0225">
      <w:pPr>
        <w:jc w:val="both"/>
        <w:rPr>
          <w:bCs/>
          <w:color w:val="000000" w:themeColor="text1"/>
        </w:rPr>
      </w:pPr>
    </w:p>
    <w:p w14:paraId="7B8A0A42" w14:textId="15A69288" w:rsidR="004C4D57" w:rsidRPr="00067DCC" w:rsidRDefault="00087365" w:rsidP="003B0225">
      <w:pPr>
        <w:jc w:val="both"/>
        <w:rPr>
          <w:bCs/>
          <w:color w:val="000000" w:themeColor="text1"/>
        </w:rPr>
      </w:pPr>
      <w:r w:rsidRPr="00067DCC">
        <w:rPr>
          <w:bCs/>
          <w:color w:val="000000" w:themeColor="text1"/>
        </w:rPr>
        <w:t>7</w:t>
      </w:r>
      <w:r w:rsidR="00724D55" w:rsidRPr="00067DCC">
        <w:rPr>
          <w:bCs/>
          <w:color w:val="000000" w:themeColor="text1"/>
        </w:rPr>
        <w:t>.</w:t>
      </w:r>
      <w:r w:rsidRPr="00067DCC">
        <w:rPr>
          <w:bCs/>
          <w:color w:val="000000" w:themeColor="text1"/>
        </w:rPr>
        <w:t xml:space="preserve"> </w:t>
      </w:r>
      <w:r w:rsidR="00067DCC" w:rsidRPr="00067DCC">
        <w:rPr>
          <w:bCs/>
          <w:color w:val="000000" w:themeColor="text1"/>
        </w:rPr>
        <w:t>P</w:t>
      </w:r>
      <w:r w:rsidR="003F3053" w:rsidRPr="00067DCC">
        <w:rPr>
          <w:bCs/>
          <w:color w:val="000000" w:themeColor="text1"/>
        </w:rPr>
        <w:t xml:space="preserve">apildināt </w:t>
      </w:r>
      <w:r w:rsidR="004C4D57" w:rsidRPr="00067DCC">
        <w:rPr>
          <w:bCs/>
          <w:color w:val="000000" w:themeColor="text1"/>
        </w:rPr>
        <w:t>noteikumus ar 4.</w:t>
      </w:r>
      <w:r w:rsidR="004C4D57" w:rsidRPr="00067DCC">
        <w:rPr>
          <w:bCs/>
          <w:color w:val="000000" w:themeColor="text1"/>
          <w:vertAlign w:val="superscript"/>
        </w:rPr>
        <w:t>1</w:t>
      </w:r>
      <w:r w:rsidR="004C4D57" w:rsidRPr="00067DCC">
        <w:rPr>
          <w:bCs/>
          <w:color w:val="000000" w:themeColor="text1"/>
        </w:rPr>
        <w:t>punktu šādā redakcijā:</w:t>
      </w:r>
    </w:p>
    <w:p w14:paraId="6EBFC0A9" w14:textId="1F6AA9C0" w:rsidR="003F3053" w:rsidRPr="00067DCC" w:rsidRDefault="004C4D57" w:rsidP="003B0225">
      <w:pPr>
        <w:jc w:val="both"/>
        <w:rPr>
          <w:bCs/>
          <w:color w:val="000000" w:themeColor="text1"/>
        </w:rPr>
      </w:pPr>
      <w:r w:rsidRPr="00067DCC">
        <w:rPr>
          <w:bCs/>
          <w:color w:val="000000" w:themeColor="text1"/>
        </w:rPr>
        <w:t>“4.</w:t>
      </w:r>
      <w:r w:rsidRPr="00067DCC">
        <w:rPr>
          <w:bCs/>
          <w:color w:val="000000" w:themeColor="text1"/>
          <w:vertAlign w:val="superscript"/>
        </w:rPr>
        <w:t>1</w:t>
      </w:r>
      <w:r w:rsidRPr="00067DCC">
        <w:rPr>
          <w:bCs/>
          <w:color w:val="000000" w:themeColor="text1"/>
        </w:rPr>
        <w:t xml:space="preserve"> Pasākumos var iesaistīt </w:t>
      </w:r>
      <w:r w:rsidR="003A02DF" w:rsidRPr="00067DCC">
        <w:rPr>
          <w:bCs/>
          <w:color w:val="000000" w:themeColor="text1"/>
        </w:rPr>
        <w:t>jauniešus, k</w:t>
      </w:r>
      <w:r w:rsidR="009519E5" w:rsidRPr="00067DCC">
        <w:rPr>
          <w:bCs/>
          <w:color w:val="000000" w:themeColor="text1"/>
        </w:rPr>
        <w:t>uri</w:t>
      </w:r>
      <w:r w:rsidR="003A02DF" w:rsidRPr="00067DCC">
        <w:rPr>
          <w:bCs/>
          <w:color w:val="000000" w:themeColor="text1"/>
        </w:rPr>
        <w:t xml:space="preserve"> atbilst </w:t>
      </w:r>
      <w:r w:rsidRPr="00067DCC">
        <w:rPr>
          <w:bCs/>
          <w:color w:val="000000" w:themeColor="text1"/>
        </w:rPr>
        <w:t xml:space="preserve">šo noteikumu 3.punktā </w:t>
      </w:r>
      <w:r w:rsidR="003A02DF" w:rsidRPr="00067DCC">
        <w:rPr>
          <w:bCs/>
          <w:color w:val="000000" w:themeColor="text1"/>
        </w:rPr>
        <w:t>minētajiem</w:t>
      </w:r>
      <w:r w:rsidRPr="00067DCC">
        <w:rPr>
          <w:bCs/>
          <w:color w:val="000000" w:themeColor="text1"/>
        </w:rPr>
        <w:t xml:space="preserve"> mēr</w:t>
      </w:r>
      <w:r w:rsidR="003A02DF" w:rsidRPr="00067DCC">
        <w:rPr>
          <w:bCs/>
          <w:color w:val="000000" w:themeColor="text1"/>
        </w:rPr>
        <w:t>ķa grupas iesaistes kritērijiem un</w:t>
      </w:r>
      <w:r w:rsidRPr="00067DCC">
        <w:rPr>
          <w:bCs/>
          <w:color w:val="000000" w:themeColor="text1"/>
        </w:rPr>
        <w:t xml:space="preserve"> papildus dalībai šo noteikumu 18.punktā minētajās atbalstāmajās darbīb</w:t>
      </w:r>
      <w:r w:rsidR="003A02DF" w:rsidRPr="00067DCC">
        <w:rPr>
          <w:bCs/>
          <w:color w:val="000000" w:themeColor="text1"/>
        </w:rPr>
        <w:t>ās</w:t>
      </w:r>
      <w:r w:rsidRPr="00067DCC">
        <w:rPr>
          <w:bCs/>
          <w:color w:val="000000" w:themeColor="text1"/>
        </w:rPr>
        <w:t xml:space="preserve"> </w:t>
      </w:r>
      <w:r w:rsidR="003A02DF" w:rsidRPr="00067DCC">
        <w:rPr>
          <w:bCs/>
          <w:color w:val="000000" w:themeColor="text1"/>
        </w:rPr>
        <w:t>mācas</w:t>
      </w:r>
      <w:r w:rsidRPr="00067DCC">
        <w:rPr>
          <w:bCs/>
          <w:color w:val="000000" w:themeColor="text1"/>
        </w:rPr>
        <w:t xml:space="preserve"> vakarskol</w:t>
      </w:r>
      <w:r w:rsidR="003A02DF" w:rsidRPr="00067DCC">
        <w:rPr>
          <w:bCs/>
          <w:color w:val="000000" w:themeColor="text1"/>
        </w:rPr>
        <w:t>ā</w:t>
      </w:r>
      <w:r w:rsidR="000A47FF" w:rsidRPr="00067DCC">
        <w:rPr>
          <w:bCs/>
          <w:color w:val="000000" w:themeColor="text1"/>
        </w:rPr>
        <w:t xml:space="preserve"> vai</w:t>
      </w:r>
      <w:r w:rsidR="00515077" w:rsidRPr="00067DCC">
        <w:rPr>
          <w:rFonts w:eastAsiaTheme="minorHAnsi"/>
          <w:sz w:val="23"/>
          <w:szCs w:val="23"/>
          <w:shd w:val="clear" w:color="auto" w:fill="FFFFFF"/>
          <w:lang w:eastAsia="en-US"/>
        </w:rPr>
        <w:t xml:space="preserve"> </w:t>
      </w:r>
      <w:r w:rsidR="00515077" w:rsidRPr="00067DCC">
        <w:rPr>
          <w:bCs/>
          <w:color w:val="000000" w:themeColor="text1"/>
        </w:rPr>
        <w:t xml:space="preserve">tālmācībā vidējās izglītības ieguvei, </w:t>
      </w:r>
      <w:r w:rsidR="003A02DF" w:rsidRPr="00067DCC">
        <w:rPr>
          <w:bCs/>
          <w:color w:val="000000" w:themeColor="text1"/>
        </w:rPr>
        <w:t xml:space="preserve">vai </w:t>
      </w:r>
      <w:r w:rsidR="0067239F" w:rsidRPr="00067DCC">
        <w:rPr>
          <w:bCs/>
          <w:color w:val="000000" w:themeColor="text1"/>
        </w:rPr>
        <w:t xml:space="preserve">Augstskolu likumā minētajās </w:t>
      </w:r>
      <w:r w:rsidR="00DC6DDD" w:rsidRPr="00067DCC">
        <w:rPr>
          <w:bCs/>
          <w:color w:val="000000" w:themeColor="text1"/>
        </w:rPr>
        <w:t>nepilna laika studiju programmās</w:t>
      </w:r>
      <w:r w:rsidRPr="00067DCC">
        <w:rPr>
          <w:bCs/>
          <w:color w:val="000000" w:themeColor="text1"/>
        </w:rPr>
        <w:t>.</w:t>
      </w:r>
      <w:r w:rsidR="003F3053" w:rsidRPr="00067DCC">
        <w:rPr>
          <w:bCs/>
          <w:color w:val="000000" w:themeColor="text1"/>
        </w:rPr>
        <w:t>”;</w:t>
      </w:r>
    </w:p>
    <w:p w14:paraId="7D662710" w14:textId="77777777" w:rsidR="00CE1F9C" w:rsidRPr="00067DCC" w:rsidRDefault="00CE1F9C" w:rsidP="003B0225">
      <w:pPr>
        <w:jc w:val="both"/>
        <w:rPr>
          <w:bCs/>
          <w:color w:val="000000" w:themeColor="text1"/>
        </w:rPr>
      </w:pPr>
    </w:p>
    <w:p w14:paraId="770CC2BE" w14:textId="48D12240" w:rsidR="00DA221D" w:rsidRPr="00067DCC" w:rsidRDefault="00DA221D" w:rsidP="003B0225">
      <w:pPr>
        <w:jc w:val="both"/>
        <w:rPr>
          <w:bCs/>
          <w:color w:val="000000" w:themeColor="text1"/>
        </w:rPr>
      </w:pPr>
      <w:r w:rsidRPr="00067DCC">
        <w:rPr>
          <w:bCs/>
          <w:color w:val="000000" w:themeColor="text1"/>
        </w:rPr>
        <w:t>8</w:t>
      </w:r>
      <w:r w:rsidR="00CE1F9C" w:rsidRPr="00067DCC">
        <w:rPr>
          <w:bCs/>
          <w:color w:val="000000" w:themeColor="text1"/>
        </w:rPr>
        <w:t xml:space="preserve">. </w:t>
      </w:r>
      <w:r w:rsidR="00067DCC" w:rsidRPr="00067DCC">
        <w:rPr>
          <w:bCs/>
          <w:color w:val="000000" w:themeColor="text1"/>
        </w:rPr>
        <w:t>A</w:t>
      </w:r>
      <w:r w:rsidR="00CE1F9C" w:rsidRPr="00067DCC">
        <w:rPr>
          <w:bCs/>
          <w:color w:val="000000" w:themeColor="text1"/>
        </w:rPr>
        <w:t>izstāt 5.3.apakšpunktā skaitli un vārdu “63 398 803 </w:t>
      </w:r>
      <w:proofErr w:type="spellStart"/>
      <w:r w:rsidR="00CE1F9C" w:rsidRPr="00067DCC">
        <w:rPr>
          <w:bCs/>
          <w:i/>
          <w:color w:val="000000" w:themeColor="text1"/>
        </w:rPr>
        <w:t>euro</w:t>
      </w:r>
      <w:proofErr w:type="spellEnd"/>
      <w:r w:rsidR="00CE1F9C" w:rsidRPr="00067DCC">
        <w:rPr>
          <w:bCs/>
          <w:color w:val="000000" w:themeColor="text1"/>
        </w:rPr>
        <w:t>” ar skaitli un vārdu “66 657 699 </w:t>
      </w:r>
      <w:proofErr w:type="spellStart"/>
      <w:r w:rsidR="00CE1F9C" w:rsidRPr="00067DCC">
        <w:rPr>
          <w:bCs/>
          <w:i/>
          <w:iCs/>
          <w:color w:val="000000" w:themeColor="text1"/>
        </w:rPr>
        <w:t>euro</w:t>
      </w:r>
      <w:proofErr w:type="spellEnd"/>
      <w:r w:rsidR="00CE1F9C" w:rsidRPr="00067DCC">
        <w:rPr>
          <w:bCs/>
          <w:color w:val="000000" w:themeColor="text1"/>
        </w:rPr>
        <w:t>”</w:t>
      </w:r>
      <w:r w:rsidRPr="00067DCC">
        <w:rPr>
          <w:bCs/>
          <w:color w:val="000000" w:themeColor="text1"/>
        </w:rPr>
        <w:t>;</w:t>
      </w:r>
    </w:p>
    <w:p w14:paraId="43D38463" w14:textId="77777777" w:rsidR="00DA221D" w:rsidRPr="00067DCC" w:rsidRDefault="00DA221D" w:rsidP="003B0225">
      <w:pPr>
        <w:jc w:val="both"/>
        <w:rPr>
          <w:bCs/>
          <w:color w:val="000000" w:themeColor="text1"/>
        </w:rPr>
      </w:pPr>
    </w:p>
    <w:p w14:paraId="37A50402" w14:textId="77908078" w:rsidR="00DA221D" w:rsidRPr="00067DCC" w:rsidRDefault="00DA221D" w:rsidP="00DA221D">
      <w:pPr>
        <w:jc w:val="both"/>
        <w:rPr>
          <w:bCs/>
          <w:color w:val="000000" w:themeColor="text1"/>
        </w:rPr>
      </w:pPr>
      <w:r w:rsidRPr="00067DCC">
        <w:rPr>
          <w:bCs/>
          <w:color w:val="000000" w:themeColor="text1"/>
        </w:rPr>
        <w:t xml:space="preserve">9. </w:t>
      </w:r>
      <w:r w:rsidR="00067DCC" w:rsidRPr="00067DCC">
        <w:rPr>
          <w:bCs/>
          <w:color w:val="000000" w:themeColor="text1"/>
        </w:rPr>
        <w:t>P</w:t>
      </w:r>
      <w:r w:rsidRPr="00067DCC">
        <w:rPr>
          <w:bCs/>
          <w:color w:val="000000" w:themeColor="text1"/>
        </w:rPr>
        <w:t>apildināt noteikumus ar 5.</w:t>
      </w:r>
      <w:r w:rsidR="002238A5" w:rsidRPr="00067DCC">
        <w:rPr>
          <w:bCs/>
          <w:color w:val="000000" w:themeColor="text1"/>
        </w:rPr>
        <w:t>1.5.apakšp</w:t>
      </w:r>
      <w:r w:rsidRPr="00067DCC">
        <w:rPr>
          <w:bCs/>
          <w:color w:val="000000" w:themeColor="text1"/>
        </w:rPr>
        <w:t xml:space="preserve">unktu šādā redakcijā: </w:t>
      </w:r>
    </w:p>
    <w:p w14:paraId="23E4ECE6" w14:textId="31A11B7B" w:rsidR="00DA221D" w:rsidRPr="00067DCC" w:rsidRDefault="00DA221D" w:rsidP="00DA221D">
      <w:pPr>
        <w:jc w:val="both"/>
        <w:rPr>
          <w:bCs/>
          <w:color w:val="000000" w:themeColor="text1"/>
        </w:rPr>
      </w:pPr>
      <w:r w:rsidRPr="00067DCC">
        <w:rPr>
          <w:bCs/>
          <w:color w:val="000000" w:themeColor="text1"/>
        </w:rPr>
        <w:t>“5.1.5. nodarbinātas personas (atbalstu saņēmuš</w:t>
      </w:r>
      <w:r w:rsidR="0067239F" w:rsidRPr="00067DCC">
        <w:rPr>
          <w:bCs/>
          <w:color w:val="000000" w:themeColor="text1"/>
        </w:rPr>
        <w:t>ās</w:t>
      </w:r>
      <w:r w:rsidRPr="00067DCC">
        <w:rPr>
          <w:bCs/>
          <w:color w:val="000000" w:themeColor="text1"/>
        </w:rPr>
        <w:t>, dalību uzsākuš</w:t>
      </w:r>
      <w:r w:rsidR="0067239F" w:rsidRPr="00067DCC">
        <w:rPr>
          <w:bCs/>
          <w:color w:val="000000" w:themeColor="text1"/>
        </w:rPr>
        <w:t>ās</w:t>
      </w:r>
      <w:r w:rsidRPr="00067DCC">
        <w:rPr>
          <w:bCs/>
          <w:color w:val="000000" w:themeColor="text1"/>
        </w:rPr>
        <w:t xml:space="preserve">) – </w:t>
      </w:r>
      <w:r w:rsidR="005A1978" w:rsidRPr="00067DCC">
        <w:rPr>
          <w:bCs/>
          <w:color w:val="000000" w:themeColor="text1"/>
        </w:rPr>
        <w:t>966</w:t>
      </w:r>
      <w:r w:rsidRPr="00067DCC">
        <w:rPr>
          <w:bCs/>
          <w:color w:val="000000" w:themeColor="text1"/>
        </w:rPr>
        <w:t>;”</w:t>
      </w:r>
    </w:p>
    <w:p w14:paraId="2ADF7FFB" w14:textId="77777777" w:rsidR="00D30826" w:rsidRPr="00067DCC" w:rsidRDefault="00D30826" w:rsidP="00DA221D">
      <w:pPr>
        <w:jc w:val="both"/>
        <w:rPr>
          <w:bCs/>
          <w:color w:val="000000" w:themeColor="text1"/>
        </w:rPr>
      </w:pPr>
    </w:p>
    <w:p w14:paraId="5B3D90E1" w14:textId="5BD0F8D3" w:rsidR="00D30826" w:rsidRPr="00067DCC" w:rsidRDefault="00D30826" w:rsidP="00DA221D">
      <w:pPr>
        <w:jc w:val="both"/>
        <w:rPr>
          <w:bCs/>
          <w:color w:val="000000" w:themeColor="text1"/>
        </w:rPr>
      </w:pPr>
      <w:r w:rsidRPr="00067DCC">
        <w:rPr>
          <w:bCs/>
          <w:color w:val="000000" w:themeColor="text1"/>
        </w:rPr>
        <w:t>10.</w:t>
      </w:r>
      <w:r w:rsidR="00067DCC" w:rsidRPr="00067DCC">
        <w:rPr>
          <w:bCs/>
          <w:color w:val="000000" w:themeColor="text1"/>
        </w:rPr>
        <w:t xml:space="preserve"> P</w:t>
      </w:r>
      <w:r w:rsidRPr="00067DCC">
        <w:rPr>
          <w:bCs/>
          <w:color w:val="000000" w:themeColor="text1"/>
        </w:rPr>
        <w:t>apildināt noteikumus ar 5.2.14.apakšpunktu šādā redakcijā:</w:t>
      </w:r>
    </w:p>
    <w:p w14:paraId="00CFDD9B" w14:textId="7D6A2647" w:rsidR="00D30826" w:rsidRPr="00067DCC" w:rsidRDefault="00D30826" w:rsidP="00DA221D">
      <w:pPr>
        <w:jc w:val="both"/>
        <w:rPr>
          <w:bCs/>
          <w:color w:val="000000" w:themeColor="text1"/>
        </w:rPr>
      </w:pPr>
      <w:r w:rsidRPr="00067DCC">
        <w:rPr>
          <w:bCs/>
          <w:color w:val="000000" w:themeColor="text1"/>
        </w:rPr>
        <w:t xml:space="preserve">“5.2.14. kvalifikāciju ieguvušie nodarbināti dalībnieki tūlīt pēc dalības apmācībās </w:t>
      </w:r>
      <w:r w:rsidR="00515077" w:rsidRPr="00067DCC">
        <w:rPr>
          <w:bCs/>
          <w:color w:val="000000" w:themeColor="text1"/>
        </w:rPr>
        <w:t>–</w:t>
      </w:r>
      <w:r w:rsidRPr="00067DCC">
        <w:rPr>
          <w:bCs/>
          <w:color w:val="000000" w:themeColor="text1"/>
        </w:rPr>
        <w:t xml:space="preserve"> </w:t>
      </w:r>
      <w:r w:rsidR="00515077" w:rsidRPr="00067DCC">
        <w:rPr>
          <w:bCs/>
          <w:color w:val="000000" w:themeColor="text1"/>
        </w:rPr>
        <w:t>772.</w:t>
      </w:r>
      <w:r w:rsidRPr="00067DCC">
        <w:rPr>
          <w:bCs/>
          <w:color w:val="000000" w:themeColor="text1"/>
        </w:rPr>
        <w:t>”;</w:t>
      </w:r>
    </w:p>
    <w:p w14:paraId="42D1A387" w14:textId="77777777" w:rsidR="00087365" w:rsidRPr="00067DCC" w:rsidRDefault="00087365" w:rsidP="003B0225">
      <w:pPr>
        <w:jc w:val="both"/>
        <w:rPr>
          <w:bCs/>
          <w:color w:val="000000" w:themeColor="text1"/>
        </w:rPr>
      </w:pPr>
    </w:p>
    <w:p w14:paraId="7F7B3759" w14:textId="4F65E786" w:rsidR="00087365" w:rsidRPr="00067DCC" w:rsidRDefault="00AD72F4" w:rsidP="003B0225">
      <w:pPr>
        <w:jc w:val="both"/>
        <w:rPr>
          <w:bCs/>
          <w:color w:val="000000" w:themeColor="text1"/>
        </w:rPr>
      </w:pPr>
      <w:r w:rsidRPr="00067DCC">
        <w:rPr>
          <w:bCs/>
          <w:color w:val="000000" w:themeColor="text1"/>
        </w:rPr>
        <w:t>1</w:t>
      </w:r>
      <w:r w:rsidR="00550224" w:rsidRPr="00067DCC">
        <w:rPr>
          <w:bCs/>
          <w:color w:val="000000" w:themeColor="text1"/>
        </w:rPr>
        <w:t>1</w:t>
      </w:r>
      <w:r w:rsidR="00087365" w:rsidRPr="00067DCC">
        <w:rPr>
          <w:bCs/>
          <w:color w:val="000000" w:themeColor="text1"/>
        </w:rPr>
        <w:t xml:space="preserve">. </w:t>
      </w:r>
      <w:r w:rsidR="00067DCC" w:rsidRPr="00067DCC">
        <w:rPr>
          <w:bCs/>
          <w:color w:val="000000" w:themeColor="text1"/>
        </w:rPr>
        <w:t>I</w:t>
      </w:r>
      <w:r w:rsidR="00087365" w:rsidRPr="00067DCC">
        <w:rPr>
          <w:bCs/>
          <w:color w:val="000000" w:themeColor="text1"/>
        </w:rPr>
        <w:t>zteikt 8.punkta ievaddaļu šādā redakcijā:</w:t>
      </w:r>
    </w:p>
    <w:p w14:paraId="48332632" w14:textId="75E4BEC9" w:rsidR="00087365" w:rsidRPr="00067DCC" w:rsidRDefault="00087365" w:rsidP="003B0225">
      <w:pPr>
        <w:jc w:val="both"/>
        <w:rPr>
          <w:bCs/>
          <w:color w:val="000000" w:themeColor="text1"/>
        </w:rPr>
      </w:pPr>
      <w:r w:rsidRPr="00067DCC">
        <w:rPr>
          <w:bCs/>
          <w:color w:val="000000" w:themeColor="text1"/>
        </w:rPr>
        <w:t xml:space="preserve">“8. Pasākumiem pieejamais kopējais attiecināmais finansējums ir </w:t>
      </w:r>
      <w:r w:rsidR="00D5672C" w:rsidRPr="00067DCC">
        <w:rPr>
          <w:bCs/>
          <w:color w:val="000000" w:themeColor="text1"/>
        </w:rPr>
        <w:t>66 657 699</w:t>
      </w:r>
      <w:r w:rsidRPr="00067DCC">
        <w:rPr>
          <w:bCs/>
          <w:color w:val="000000" w:themeColor="text1"/>
        </w:rPr>
        <w:t> </w:t>
      </w:r>
      <w:proofErr w:type="spellStart"/>
      <w:r w:rsidRPr="00067DCC">
        <w:rPr>
          <w:bCs/>
          <w:i/>
          <w:iCs/>
          <w:color w:val="000000" w:themeColor="text1"/>
        </w:rPr>
        <w:t>euro</w:t>
      </w:r>
      <w:proofErr w:type="spellEnd"/>
      <w:r w:rsidRPr="00067DCC">
        <w:rPr>
          <w:bCs/>
          <w:color w:val="000000" w:themeColor="text1"/>
        </w:rPr>
        <w:t>, tai skaitā Eiropas Savienības budžeta speciālais piešķīrums Jauniešu nodarbinātības iniciatīvas finansēšanai – 29 010 639 </w:t>
      </w:r>
      <w:proofErr w:type="spellStart"/>
      <w:r w:rsidRPr="00067DCC">
        <w:rPr>
          <w:bCs/>
          <w:i/>
          <w:iCs/>
          <w:color w:val="000000" w:themeColor="text1"/>
        </w:rPr>
        <w:t>euro</w:t>
      </w:r>
      <w:proofErr w:type="spellEnd"/>
      <w:r w:rsidRPr="00067DCC">
        <w:rPr>
          <w:bCs/>
          <w:color w:val="000000" w:themeColor="text1"/>
        </w:rPr>
        <w:t xml:space="preserve">, Eiropas Sociālā fonda finansējums – </w:t>
      </w:r>
      <w:r w:rsidR="00D5672C" w:rsidRPr="00067DCC">
        <w:rPr>
          <w:bCs/>
          <w:color w:val="000000" w:themeColor="text1"/>
        </w:rPr>
        <w:t>32 000 00</w:t>
      </w:r>
      <w:r w:rsidR="009519E5" w:rsidRPr="00067DCC">
        <w:rPr>
          <w:bCs/>
          <w:color w:val="000000" w:themeColor="text1"/>
        </w:rPr>
        <w:t>0</w:t>
      </w:r>
      <w:r w:rsidRPr="00067DCC">
        <w:rPr>
          <w:bCs/>
          <w:color w:val="000000" w:themeColor="text1"/>
        </w:rPr>
        <w:t> </w:t>
      </w:r>
      <w:proofErr w:type="spellStart"/>
      <w:r w:rsidRPr="00067DCC">
        <w:rPr>
          <w:bCs/>
          <w:i/>
          <w:iCs/>
          <w:color w:val="000000" w:themeColor="text1"/>
        </w:rPr>
        <w:t>euro</w:t>
      </w:r>
      <w:proofErr w:type="spellEnd"/>
      <w:r w:rsidRPr="00067DCC">
        <w:rPr>
          <w:bCs/>
          <w:color w:val="000000" w:themeColor="text1"/>
        </w:rPr>
        <w:t xml:space="preserve">, valsts budžeta līdzfinansējums – </w:t>
      </w:r>
      <w:r w:rsidR="00F01D1F" w:rsidRPr="00067DCC">
        <w:rPr>
          <w:bCs/>
          <w:color w:val="000000" w:themeColor="text1"/>
        </w:rPr>
        <w:t>4 503 48</w:t>
      </w:r>
      <w:r w:rsidR="009519E5" w:rsidRPr="00067DCC">
        <w:rPr>
          <w:bCs/>
          <w:color w:val="000000" w:themeColor="text1"/>
        </w:rPr>
        <w:t>7</w:t>
      </w:r>
      <w:r w:rsidRPr="00067DCC">
        <w:rPr>
          <w:bCs/>
          <w:color w:val="000000" w:themeColor="text1"/>
        </w:rPr>
        <w:t> </w:t>
      </w:r>
      <w:proofErr w:type="spellStart"/>
      <w:r w:rsidRPr="00067DCC">
        <w:rPr>
          <w:bCs/>
          <w:i/>
          <w:iCs/>
          <w:color w:val="000000" w:themeColor="text1"/>
        </w:rPr>
        <w:t>euro</w:t>
      </w:r>
      <w:proofErr w:type="spellEnd"/>
      <w:r w:rsidRPr="00067DCC">
        <w:rPr>
          <w:bCs/>
          <w:color w:val="000000" w:themeColor="text1"/>
        </w:rPr>
        <w:t> un privātais līdzfinansējums – 1 143 573 </w:t>
      </w:r>
      <w:proofErr w:type="spellStart"/>
      <w:r w:rsidRPr="00067DCC">
        <w:rPr>
          <w:bCs/>
          <w:i/>
          <w:iCs/>
          <w:color w:val="000000" w:themeColor="text1"/>
        </w:rPr>
        <w:t>euro</w:t>
      </w:r>
      <w:proofErr w:type="spellEnd"/>
      <w:r w:rsidRPr="00067DCC">
        <w:rPr>
          <w:bCs/>
          <w:color w:val="000000" w:themeColor="text1"/>
        </w:rPr>
        <w:t>, tai skaitā:”;</w:t>
      </w:r>
    </w:p>
    <w:p w14:paraId="4F6D759B" w14:textId="77777777" w:rsidR="00087365" w:rsidRPr="00067DCC" w:rsidRDefault="00087365" w:rsidP="003B0225">
      <w:pPr>
        <w:jc w:val="both"/>
        <w:rPr>
          <w:bCs/>
          <w:color w:val="000000" w:themeColor="text1"/>
        </w:rPr>
      </w:pPr>
    </w:p>
    <w:p w14:paraId="4D239A30" w14:textId="2E633CC0" w:rsidR="00087365" w:rsidRPr="00067DCC" w:rsidRDefault="00AD72F4" w:rsidP="003B0225">
      <w:pPr>
        <w:jc w:val="both"/>
        <w:rPr>
          <w:bCs/>
          <w:color w:val="000000" w:themeColor="text1"/>
        </w:rPr>
      </w:pPr>
      <w:r w:rsidRPr="00067DCC">
        <w:rPr>
          <w:bCs/>
          <w:color w:val="000000" w:themeColor="text1"/>
        </w:rPr>
        <w:t>1</w:t>
      </w:r>
      <w:r w:rsidR="00550224" w:rsidRPr="00067DCC">
        <w:rPr>
          <w:bCs/>
          <w:color w:val="000000" w:themeColor="text1"/>
        </w:rPr>
        <w:t>2</w:t>
      </w:r>
      <w:r w:rsidR="00087365" w:rsidRPr="00067DCC">
        <w:rPr>
          <w:bCs/>
          <w:color w:val="000000" w:themeColor="text1"/>
        </w:rPr>
        <w:t xml:space="preserve">. </w:t>
      </w:r>
      <w:r w:rsidR="00067DCC" w:rsidRPr="00067DCC">
        <w:rPr>
          <w:bCs/>
          <w:color w:val="000000" w:themeColor="text1"/>
        </w:rPr>
        <w:t>I</w:t>
      </w:r>
      <w:r w:rsidR="00087365" w:rsidRPr="00067DCC">
        <w:rPr>
          <w:bCs/>
          <w:color w:val="000000" w:themeColor="text1"/>
        </w:rPr>
        <w:t>zteikt 8.2.apakšpunktu šādā redakcijā:</w:t>
      </w:r>
    </w:p>
    <w:p w14:paraId="32B03C77" w14:textId="684DD071" w:rsidR="00087365" w:rsidRPr="00067DCC" w:rsidRDefault="00087365" w:rsidP="003B0225">
      <w:pPr>
        <w:jc w:val="both"/>
        <w:rPr>
          <w:bCs/>
          <w:color w:val="000000" w:themeColor="text1"/>
        </w:rPr>
      </w:pPr>
      <w:r w:rsidRPr="00067DCC">
        <w:rPr>
          <w:bCs/>
          <w:color w:val="000000" w:themeColor="text1"/>
        </w:rPr>
        <w:t xml:space="preserve">“8.2. pasākumam “Sākotnējās profesionālās izglītības programmu īstenošana Jauniešu garantijas ietvaros” pieejamais kopējais attiecināmais finansējums ir </w:t>
      </w:r>
      <w:r w:rsidR="00D5672C" w:rsidRPr="00067DCC">
        <w:rPr>
          <w:bCs/>
          <w:color w:val="000000" w:themeColor="text1"/>
        </w:rPr>
        <w:t>32 680 537</w:t>
      </w:r>
      <w:r w:rsidRPr="00067DCC">
        <w:rPr>
          <w:bCs/>
          <w:color w:val="000000" w:themeColor="text1"/>
        </w:rPr>
        <w:t> </w:t>
      </w:r>
      <w:proofErr w:type="spellStart"/>
      <w:r w:rsidRPr="00067DCC">
        <w:rPr>
          <w:bCs/>
          <w:i/>
          <w:iCs/>
          <w:color w:val="000000" w:themeColor="text1"/>
        </w:rPr>
        <w:t>euro</w:t>
      </w:r>
      <w:proofErr w:type="spellEnd"/>
      <w:r w:rsidRPr="00067DCC">
        <w:rPr>
          <w:bCs/>
          <w:color w:val="000000" w:themeColor="text1"/>
        </w:rPr>
        <w:t>, tai skaitā Eiropas Savienības budžeta speciālais piešķīrums Jauniešu nodarbinātības iniciatīvas finansēšanai – 13 495 078 </w:t>
      </w:r>
      <w:proofErr w:type="spellStart"/>
      <w:r w:rsidRPr="00067DCC">
        <w:rPr>
          <w:bCs/>
          <w:i/>
          <w:iCs/>
          <w:color w:val="000000" w:themeColor="text1"/>
        </w:rPr>
        <w:t>euro</w:t>
      </w:r>
      <w:proofErr w:type="spellEnd"/>
      <w:r w:rsidRPr="00067DCC">
        <w:rPr>
          <w:bCs/>
          <w:color w:val="000000" w:themeColor="text1"/>
        </w:rPr>
        <w:t xml:space="preserve">, Eiropas Sociālā fonda finansējums – </w:t>
      </w:r>
      <w:r w:rsidR="00D5672C" w:rsidRPr="00067DCC">
        <w:rPr>
          <w:bCs/>
          <w:color w:val="000000" w:themeColor="text1"/>
        </w:rPr>
        <w:t>16 307 6</w:t>
      </w:r>
      <w:r w:rsidR="009519E5" w:rsidRPr="00067DCC">
        <w:rPr>
          <w:bCs/>
          <w:color w:val="000000" w:themeColor="text1"/>
        </w:rPr>
        <w:t>39</w:t>
      </w:r>
      <w:r w:rsidRPr="00067DCC">
        <w:rPr>
          <w:bCs/>
          <w:color w:val="000000" w:themeColor="text1"/>
        </w:rPr>
        <w:t> </w:t>
      </w:r>
      <w:proofErr w:type="spellStart"/>
      <w:r w:rsidRPr="00067DCC">
        <w:rPr>
          <w:bCs/>
          <w:i/>
          <w:iCs/>
          <w:color w:val="000000" w:themeColor="text1"/>
        </w:rPr>
        <w:t>euro</w:t>
      </w:r>
      <w:proofErr w:type="spellEnd"/>
      <w:r w:rsidRPr="00067DCC">
        <w:rPr>
          <w:bCs/>
          <w:color w:val="000000" w:themeColor="text1"/>
        </w:rPr>
        <w:t xml:space="preserve"> un valsts budžeta līdzfinansējums – </w:t>
      </w:r>
      <w:r w:rsidR="00D5672C" w:rsidRPr="00067DCC">
        <w:rPr>
          <w:bCs/>
          <w:color w:val="000000" w:themeColor="text1"/>
        </w:rPr>
        <w:t>2</w:t>
      </w:r>
      <w:r w:rsidR="00F01D1F" w:rsidRPr="00067DCC">
        <w:rPr>
          <w:bCs/>
          <w:color w:val="000000" w:themeColor="text1"/>
        </w:rPr>
        <w:t> 877 8</w:t>
      </w:r>
      <w:r w:rsidR="009519E5" w:rsidRPr="00067DCC">
        <w:rPr>
          <w:bCs/>
          <w:color w:val="000000" w:themeColor="text1"/>
        </w:rPr>
        <w:t>20</w:t>
      </w:r>
      <w:r w:rsidRPr="00067DCC">
        <w:rPr>
          <w:bCs/>
          <w:color w:val="000000" w:themeColor="text1"/>
        </w:rPr>
        <w:t> </w:t>
      </w:r>
      <w:proofErr w:type="spellStart"/>
      <w:r w:rsidRPr="00067DCC">
        <w:rPr>
          <w:bCs/>
          <w:i/>
          <w:iCs/>
          <w:color w:val="000000" w:themeColor="text1"/>
        </w:rPr>
        <w:t>euro</w:t>
      </w:r>
      <w:proofErr w:type="spellEnd"/>
      <w:r w:rsidRPr="00067DCC">
        <w:rPr>
          <w:bCs/>
          <w:color w:val="000000" w:themeColor="text1"/>
        </w:rPr>
        <w:t>.”;</w:t>
      </w:r>
    </w:p>
    <w:p w14:paraId="5EB3803E" w14:textId="77777777" w:rsidR="00087365" w:rsidRPr="00067DCC" w:rsidRDefault="00087365" w:rsidP="003B0225">
      <w:pPr>
        <w:jc w:val="both"/>
        <w:rPr>
          <w:bCs/>
          <w:color w:val="000000" w:themeColor="text1"/>
        </w:rPr>
      </w:pPr>
    </w:p>
    <w:p w14:paraId="274BBF0A" w14:textId="7B469791" w:rsidR="00087365" w:rsidRPr="00067DCC" w:rsidRDefault="00AD72F4" w:rsidP="003B0225">
      <w:pPr>
        <w:jc w:val="both"/>
        <w:rPr>
          <w:bCs/>
          <w:color w:val="000000" w:themeColor="text1"/>
        </w:rPr>
      </w:pPr>
      <w:r w:rsidRPr="00067DCC">
        <w:rPr>
          <w:bCs/>
          <w:color w:val="000000" w:themeColor="text1"/>
        </w:rPr>
        <w:t>1</w:t>
      </w:r>
      <w:r w:rsidR="00550224" w:rsidRPr="00067DCC">
        <w:rPr>
          <w:bCs/>
          <w:color w:val="000000" w:themeColor="text1"/>
        </w:rPr>
        <w:t>3</w:t>
      </w:r>
      <w:r w:rsidR="00087365" w:rsidRPr="00067DCC">
        <w:rPr>
          <w:bCs/>
          <w:color w:val="000000" w:themeColor="text1"/>
        </w:rPr>
        <w:t xml:space="preserve">. </w:t>
      </w:r>
      <w:r w:rsidR="00067DCC" w:rsidRPr="00067DCC">
        <w:rPr>
          <w:bCs/>
          <w:color w:val="000000" w:themeColor="text1"/>
        </w:rPr>
        <w:t>I</w:t>
      </w:r>
      <w:r w:rsidR="00087365" w:rsidRPr="00067DCC">
        <w:rPr>
          <w:bCs/>
          <w:color w:val="000000" w:themeColor="text1"/>
        </w:rPr>
        <w:t>zteikt 9.punkta ievaddaļu šādā redakcijā:</w:t>
      </w:r>
    </w:p>
    <w:p w14:paraId="7CDC5F63" w14:textId="16EC5630" w:rsidR="00087365" w:rsidRPr="00067DCC" w:rsidRDefault="00087365" w:rsidP="003B0225">
      <w:pPr>
        <w:jc w:val="both"/>
        <w:rPr>
          <w:color w:val="000000" w:themeColor="text1"/>
        </w:rPr>
      </w:pPr>
      <w:r w:rsidRPr="00067DCC">
        <w:rPr>
          <w:bCs/>
          <w:color w:val="000000" w:themeColor="text1"/>
        </w:rPr>
        <w:t>“</w:t>
      </w:r>
      <w:r w:rsidRPr="00067DCC">
        <w:rPr>
          <w:color w:val="000000" w:themeColor="text1"/>
        </w:rPr>
        <w:t xml:space="preserve">9. Maksimālais attiecināmais Eiropas Savienības budžeta speciālais piešķīrums Jauniešu nodarbinātības iniciatīvas finansēšanai nepārsniedz </w:t>
      </w:r>
      <w:r w:rsidR="00F01D1F" w:rsidRPr="00067DCC">
        <w:rPr>
          <w:color w:val="000000" w:themeColor="text1"/>
        </w:rPr>
        <w:t>43,52</w:t>
      </w:r>
      <w:r w:rsidRPr="00067DCC">
        <w:rPr>
          <w:color w:val="000000" w:themeColor="text1"/>
        </w:rPr>
        <w:t xml:space="preserve"> procentus no specifiskā atbalsta kopējā attiecināmā finansējuma, un maksimālais attiecināmais Eiropas Sociālā fonda finansējuma apmērs nepārsniedz </w:t>
      </w:r>
      <w:r w:rsidR="00D5672C" w:rsidRPr="00067DCC">
        <w:rPr>
          <w:color w:val="000000" w:themeColor="text1"/>
        </w:rPr>
        <w:t>48,01</w:t>
      </w:r>
      <w:r w:rsidRPr="00067DCC">
        <w:rPr>
          <w:color w:val="000000" w:themeColor="text1"/>
        </w:rPr>
        <w:t xml:space="preserve"> procentus no specifiskā atbalsta kopējā attiecināmā finansējuma, tai skaitā:”;</w:t>
      </w:r>
    </w:p>
    <w:p w14:paraId="1CE4F425" w14:textId="77777777" w:rsidR="00087365" w:rsidRPr="00067DCC" w:rsidRDefault="00087365" w:rsidP="003B0225">
      <w:pPr>
        <w:jc w:val="both"/>
        <w:rPr>
          <w:color w:val="000000" w:themeColor="text1"/>
        </w:rPr>
      </w:pPr>
    </w:p>
    <w:p w14:paraId="6A8D1BCC" w14:textId="5FF052BC" w:rsidR="00087365" w:rsidRPr="00067DCC" w:rsidRDefault="00AD72F4" w:rsidP="003B0225">
      <w:pPr>
        <w:jc w:val="both"/>
        <w:rPr>
          <w:color w:val="000000" w:themeColor="text1"/>
        </w:rPr>
      </w:pPr>
      <w:r w:rsidRPr="00067DCC">
        <w:rPr>
          <w:color w:val="000000" w:themeColor="text1"/>
        </w:rPr>
        <w:t>1</w:t>
      </w:r>
      <w:r w:rsidR="00550224" w:rsidRPr="00067DCC">
        <w:rPr>
          <w:color w:val="000000" w:themeColor="text1"/>
        </w:rPr>
        <w:t>4</w:t>
      </w:r>
      <w:r w:rsidR="00087365" w:rsidRPr="00067DCC">
        <w:rPr>
          <w:color w:val="000000" w:themeColor="text1"/>
        </w:rPr>
        <w:t>.</w:t>
      </w:r>
      <w:r w:rsidR="00067DCC" w:rsidRPr="00067DCC">
        <w:rPr>
          <w:color w:val="000000" w:themeColor="text1"/>
        </w:rPr>
        <w:t xml:space="preserve"> I</w:t>
      </w:r>
      <w:r w:rsidR="00087365" w:rsidRPr="00067DCC">
        <w:rPr>
          <w:color w:val="000000" w:themeColor="text1"/>
        </w:rPr>
        <w:t>zteikt 9.2.apakšpunktu šādā redakcijā:</w:t>
      </w:r>
    </w:p>
    <w:p w14:paraId="6669509B" w14:textId="7B1707F5" w:rsidR="00087365" w:rsidRPr="00067DCC" w:rsidRDefault="00087365" w:rsidP="003B0225">
      <w:pPr>
        <w:pStyle w:val="tv213"/>
        <w:spacing w:before="0" w:beforeAutospacing="0" w:after="0" w:afterAutospacing="0"/>
        <w:jc w:val="both"/>
        <w:rPr>
          <w:bCs/>
          <w:color w:val="000000" w:themeColor="text1"/>
        </w:rPr>
      </w:pPr>
      <w:r w:rsidRPr="00067DCC">
        <w:rPr>
          <w:color w:val="000000" w:themeColor="text1"/>
        </w:rPr>
        <w:t xml:space="preserve">“9.2. pasākumā “Sākotnējās profesionālās izglītības programmu īstenošana Jauniešu garantijas ietvaros” maksimālais attiecināmais Eiropas Savienības budžeta speciālais piešķīrums Jauniešu nodarbinātības iniciatīvas finansēšanai nepārsniedz </w:t>
      </w:r>
      <w:r w:rsidR="00F01D1F" w:rsidRPr="00067DCC">
        <w:rPr>
          <w:color w:val="000000" w:themeColor="text1"/>
        </w:rPr>
        <w:t>41,29</w:t>
      </w:r>
      <w:r w:rsidRPr="00067DCC">
        <w:rPr>
          <w:color w:val="000000" w:themeColor="text1"/>
        </w:rPr>
        <w:t xml:space="preserve"> procentus no projekta attiecināmo izmaksu kopsummas, maksimālais attiecināmais Eiropas Sociālā fonda finansējuma apmērs minētā pasākuma projektam nepārsniedz </w:t>
      </w:r>
      <w:r w:rsidR="007322A6" w:rsidRPr="00067DCC">
        <w:rPr>
          <w:color w:val="000000" w:themeColor="text1"/>
        </w:rPr>
        <w:t>49,90</w:t>
      </w:r>
      <w:r w:rsidRPr="00067DCC">
        <w:rPr>
          <w:color w:val="000000" w:themeColor="text1"/>
        </w:rPr>
        <w:t xml:space="preserve"> procentu no projekta attiecināmo izmaksu kopsummas (tai skaitā ievērojot šo noteikumu</w:t>
      </w:r>
      <w:r w:rsidRPr="00067DCC">
        <w:rPr>
          <w:rStyle w:val="apple-converted-space"/>
          <w:color w:val="000000" w:themeColor="text1"/>
        </w:rPr>
        <w:t> </w:t>
      </w:r>
      <w:hyperlink r:id="rId8" w:anchor="p41" w:tgtFrame="_blank" w:history="1">
        <w:r w:rsidRPr="00067DCC">
          <w:rPr>
            <w:rStyle w:val="Hyperlink"/>
            <w:color w:val="000000" w:themeColor="text1"/>
          </w:rPr>
          <w:t>41.punktā</w:t>
        </w:r>
      </w:hyperlink>
      <w:r w:rsidRPr="00067DCC">
        <w:rPr>
          <w:rStyle w:val="apple-converted-space"/>
          <w:color w:val="000000" w:themeColor="text1"/>
        </w:rPr>
        <w:t> </w:t>
      </w:r>
      <w:r w:rsidRPr="00067DCC">
        <w:rPr>
          <w:color w:val="000000" w:themeColor="text1"/>
        </w:rPr>
        <w:t>minēto).</w:t>
      </w:r>
      <w:r w:rsidRPr="00067DCC">
        <w:rPr>
          <w:bCs/>
          <w:color w:val="000000" w:themeColor="text1"/>
        </w:rPr>
        <w:t>”;</w:t>
      </w:r>
    </w:p>
    <w:p w14:paraId="74E3D4F5" w14:textId="77777777" w:rsidR="00087365" w:rsidRPr="00067DCC" w:rsidRDefault="00087365" w:rsidP="003B0225">
      <w:pPr>
        <w:pStyle w:val="tv213"/>
        <w:spacing w:before="0" w:beforeAutospacing="0" w:after="0" w:afterAutospacing="0"/>
        <w:jc w:val="both"/>
        <w:rPr>
          <w:bCs/>
          <w:color w:val="000000" w:themeColor="text1"/>
        </w:rPr>
      </w:pPr>
    </w:p>
    <w:p w14:paraId="636DC0D3" w14:textId="47B6E93F" w:rsidR="00087365" w:rsidRPr="00067DCC" w:rsidRDefault="00AD72F4" w:rsidP="003B0225">
      <w:pPr>
        <w:pStyle w:val="tv213"/>
        <w:spacing w:before="0" w:beforeAutospacing="0" w:after="0" w:afterAutospacing="0"/>
        <w:jc w:val="both"/>
        <w:rPr>
          <w:bCs/>
          <w:color w:val="000000" w:themeColor="text1"/>
        </w:rPr>
      </w:pPr>
      <w:r w:rsidRPr="00067DCC">
        <w:rPr>
          <w:bCs/>
          <w:color w:val="000000" w:themeColor="text1"/>
        </w:rPr>
        <w:t>1</w:t>
      </w:r>
      <w:r w:rsidR="00550224" w:rsidRPr="00067DCC">
        <w:rPr>
          <w:bCs/>
          <w:color w:val="000000" w:themeColor="text1"/>
        </w:rPr>
        <w:t>5</w:t>
      </w:r>
      <w:r w:rsidR="00087365" w:rsidRPr="00067DCC">
        <w:rPr>
          <w:bCs/>
          <w:color w:val="000000" w:themeColor="text1"/>
        </w:rPr>
        <w:t>.</w:t>
      </w:r>
      <w:r w:rsidR="00067DCC" w:rsidRPr="00067DCC">
        <w:rPr>
          <w:bCs/>
          <w:color w:val="000000" w:themeColor="text1"/>
        </w:rPr>
        <w:t xml:space="preserve"> I</w:t>
      </w:r>
      <w:r w:rsidR="00087365" w:rsidRPr="00067DCC">
        <w:rPr>
          <w:bCs/>
          <w:color w:val="000000" w:themeColor="text1"/>
        </w:rPr>
        <w:t>zteikt 11.2.apakšpunktu šādā redakcijā:</w:t>
      </w:r>
    </w:p>
    <w:p w14:paraId="16559BB6" w14:textId="7C36287D" w:rsidR="00087365" w:rsidRPr="00067DCC" w:rsidRDefault="00087365" w:rsidP="003B0225">
      <w:pPr>
        <w:pStyle w:val="tv213"/>
        <w:spacing w:before="0" w:beforeAutospacing="0" w:after="0" w:afterAutospacing="0"/>
        <w:jc w:val="both"/>
        <w:rPr>
          <w:bCs/>
          <w:color w:val="000000" w:themeColor="text1"/>
        </w:rPr>
      </w:pPr>
      <w:r w:rsidRPr="00067DCC">
        <w:rPr>
          <w:bCs/>
          <w:color w:val="000000" w:themeColor="text1"/>
        </w:rPr>
        <w:t xml:space="preserve">“11.2. pasākuma </w:t>
      </w:r>
      <w:r w:rsidR="00C9055F" w:rsidRPr="00067DCC">
        <w:rPr>
          <w:bCs/>
          <w:color w:val="000000" w:themeColor="text1"/>
        </w:rPr>
        <w:t>“</w:t>
      </w:r>
      <w:r w:rsidRPr="00067DCC">
        <w:rPr>
          <w:bCs/>
          <w:color w:val="000000" w:themeColor="text1"/>
        </w:rPr>
        <w:t>Sākotnējās profesionālās izglītības programmu īstenošana Jauniešu garantijas ietvaros</w:t>
      </w:r>
      <w:r w:rsidR="00C9055F" w:rsidRPr="00067DCC">
        <w:rPr>
          <w:bCs/>
          <w:color w:val="000000" w:themeColor="text1"/>
        </w:rPr>
        <w:t>”</w:t>
      </w:r>
      <w:r w:rsidRPr="00067DCC">
        <w:rPr>
          <w:bCs/>
          <w:color w:val="000000" w:themeColor="text1"/>
        </w:rPr>
        <w:t xml:space="preserve"> projektam – </w:t>
      </w:r>
      <w:r w:rsidR="00F01D1F" w:rsidRPr="00067DCC">
        <w:rPr>
          <w:bCs/>
          <w:color w:val="000000" w:themeColor="text1"/>
        </w:rPr>
        <w:t>32 680 537</w:t>
      </w:r>
      <w:r w:rsidRPr="00067DCC">
        <w:rPr>
          <w:bCs/>
          <w:color w:val="000000" w:themeColor="text1"/>
        </w:rPr>
        <w:t> </w:t>
      </w:r>
      <w:proofErr w:type="spellStart"/>
      <w:r w:rsidRPr="00067DCC">
        <w:rPr>
          <w:bCs/>
          <w:i/>
          <w:color w:val="000000" w:themeColor="text1"/>
        </w:rPr>
        <w:t>euro</w:t>
      </w:r>
      <w:proofErr w:type="spellEnd"/>
      <w:r w:rsidRPr="00067DCC">
        <w:rPr>
          <w:bCs/>
          <w:color w:val="000000" w:themeColor="text1"/>
        </w:rPr>
        <w:t>.”;</w:t>
      </w:r>
    </w:p>
    <w:p w14:paraId="5A299EEB" w14:textId="77777777" w:rsidR="00087365" w:rsidRPr="00067DCC" w:rsidRDefault="00087365" w:rsidP="003B0225">
      <w:pPr>
        <w:pStyle w:val="tv213"/>
        <w:spacing w:before="0" w:beforeAutospacing="0" w:after="0" w:afterAutospacing="0"/>
        <w:jc w:val="both"/>
        <w:rPr>
          <w:bCs/>
          <w:color w:val="000000" w:themeColor="text1"/>
        </w:rPr>
      </w:pPr>
    </w:p>
    <w:p w14:paraId="09C28B4B" w14:textId="756C48D0" w:rsidR="00087365" w:rsidRPr="00067DCC" w:rsidRDefault="00AD72F4" w:rsidP="003B0225">
      <w:pPr>
        <w:pStyle w:val="tv213"/>
        <w:spacing w:before="0" w:beforeAutospacing="0" w:after="0" w:afterAutospacing="0"/>
        <w:jc w:val="both"/>
        <w:rPr>
          <w:bCs/>
          <w:color w:val="000000" w:themeColor="text1"/>
        </w:rPr>
      </w:pPr>
      <w:r w:rsidRPr="00067DCC">
        <w:rPr>
          <w:bCs/>
          <w:color w:val="000000" w:themeColor="text1"/>
        </w:rPr>
        <w:t>1</w:t>
      </w:r>
      <w:r w:rsidR="00550224" w:rsidRPr="00067DCC">
        <w:rPr>
          <w:bCs/>
          <w:color w:val="000000" w:themeColor="text1"/>
        </w:rPr>
        <w:t>6</w:t>
      </w:r>
      <w:r w:rsidR="00087365" w:rsidRPr="00067DCC">
        <w:rPr>
          <w:bCs/>
          <w:color w:val="000000" w:themeColor="text1"/>
        </w:rPr>
        <w:t>.</w:t>
      </w:r>
      <w:r w:rsidR="00C9055F" w:rsidRPr="00067DCC">
        <w:rPr>
          <w:bCs/>
          <w:color w:val="000000" w:themeColor="text1"/>
        </w:rPr>
        <w:t xml:space="preserve"> </w:t>
      </w:r>
      <w:r w:rsidR="00067DCC" w:rsidRPr="00067DCC">
        <w:rPr>
          <w:bCs/>
          <w:color w:val="000000" w:themeColor="text1"/>
        </w:rPr>
        <w:t>A</w:t>
      </w:r>
      <w:r w:rsidR="00C9055F" w:rsidRPr="00067DCC">
        <w:rPr>
          <w:bCs/>
          <w:color w:val="000000" w:themeColor="text1"/>
        </w:rPr>
        <w:t>izstāt 18.2.1.apakšpunktā vārdu un skaitli “3.2.1.apakšpunktā” ar vārdiem un skaitļiem “3.2.1. un 3.3.apakšpunktā”;</w:t>
      </w:r>
    </w:p>
    <w:p w14:paraId="74BC7F24" w14:textId="77777777" w:rsidR="00C9055F" w:rsidRPr="00067DCC" w:rsidRDefault="00C9055F" w:rsidP="003B0225">
      <w:pPr>
        <w:pStyle w:val="tv213"/>
        <w:spacing w:before="0" w:beforeAutospacing="0" w:after="0" w:afterAutospacing="0"/>
        <w:jc w:val="both"/>
        <w:rPr>
          <w:bCs/>
          <w:color w:val="000000" w:themeColor="text1"/>
        </w:rPr>
      </w:pPr>
    </w:p>
    <w:p w14:paraId="1C6B5197" w14:textId="0E9EEF01" w:rsidR="00C9055F" w:rsidRPr="00067DCC" w:rsidRDefault="00AD72F4" w:rsidP="003B0225">
      <w:pPr>
        <w:pStyle w:val="tv213"/>
        <w:spacing w:before="0" w:beforeAutospacing="0" w:after="0" w:afterAutospacing="0"/>
        <w:jc w:val="both"/>
        <w:rPr>
          <w:bCs/>
          <w:color w:val="000000" w:themeColor="text1"/>
        </w:rPr>
      </w:pPr>
      <w:r w:rsidRPr="00067DCC">
        <w:rPr>
          <w:bCs/>
          <w:color w:val="000000" w:themeColor="text1"/>
        </w:rPr>
        <w:t>1</w:t>
      </w:r>
      <w:r w:rsidR="00550224" w:rsidRPr="00067DCC">
        <w:rPr>
          <w:bCs/>
          <w:color w:val="000000" w:themeColor="text1"/>
        </w:rPr>
        <w:t>7</w:t>
      </w:r>
      <w:r w:rsidR="00C9055F" w:rsidRPr="00067DCC">
        <w:rPr>
          <w:bCs/>
          <w:color w:val="000000" w:themeColor="text1"/>
        </w:rPr>
        <w:t xml:space="preserve">. </w:t>
      </w:r>
      <w:r w:rsidR="00067DCC" w:rsidRPr="00067DCC">
        <w:rPr>
          <w:bCs/>
          <w:color w:val="000000" w:themeColor="text1"/>
        </w:rPr>
        <w:t>A</w:t>
      </w:r>
      <w:r w:rsidR="00C9055F" w:rsidRPr="00067DCC">
        <w:rPr>
          <w:bCs/>
          <w:color w:val="000000" w:themeColor="text1"/>
        </w:rPr>
        <w:t>izstāt 18.2.3.apakšpunktā vārdus un skaitļus “3.2.1. un 3.2.2.apakšpunktā” ar vārdiem un skaitļiem “3.2.1., 3.2.2. un 3.3.apakšpunktā”;</w:t>
      </w:r>
    </w:p>
    <w:p w14:paraId="4E855984" w14:textId="77777777" w:rsidR="00C9055F" w:rsidRPr="00067DCC" w:rsidRDefault="00C9055F" w:rsidP="003B0225">
      <w:pPr>
        <w:pStyle w:val="tv213"/>
        <w:spacing w:before="0" w:beforeAutospacing="0" w:after="0" w:afterAutospacing="0"/>
        <w:jc w:val="both"/>
        <w:rPr>
          <w:color w:val="000000" w:themeColor="text1"/>
          <w:highlight w:val="yellow"/>
        </w:rPr>
      </w:pPr>
    </w:p>
    <w:p w14:paraId="6DB9E625" w14:textId="3CA3A689" w:rsidR="003B0225" w:rsidRPr="00067DCC" w:rsidRDefault="00AD72F4" w:rsidP="003B0225">
      <w:pPr>
        <w:jc w:val="both"/>
        <w:rPr>
          <w:bCs/>
          <w:color w:val="000000" w:themeColor="text1"/>
        </w:rPr>
      </w:pPr>
      <w:r w:rsidRPr="00067DCC">
        <w:rPr>
          <w:bCs/>
          <w:color w:val="000000" w:themeColor="text1"/>
        </w:rPr>
        <w:t>1</w:t>
      </w:r>
      <w:r w:rsidR="00550224" w:rsidRPr="00067DCC">
        <w:rPr>
          <w:bCs/>
          <w:color w:val="000000" w:themeColor="text1"/>
        </w:rPr>
        <w:t>8</w:t>
      </w:r>
      <w:r w:rsidR="003B0225" w:rsidRPr="00067DCC">
        <w:rPr>
          <w:bCs/>
          <w:color w:val="000000" w:themeColor="text1"/>
        </w:rPr>
        <w:t xml:space="preserve">. </w:t>
      </w:r>
      <w:r w:rsidR="00067DCC" w:rsidRPr="00067DCC">
        <w:rPr>
          <w:bCs/>
          <w:color w:val="000000" w:themeColor="text1"/>
        </w:rPr>
        <w:t>I</w:t>
      </w:r>
      <w:r w:rsidR="003B0225" w:rsidRPr="00067DCC">
        <w:rPr>
          <w:bCs/>
          <w:color w:val="000000" w:themeColor="text1"/>
        </w:rPr>
        <w:t>zteikt 18.4.apakšpunktu šādā redakcijā:</w:t>
      </w:r>
    </w:p>
    <w:p w14:paraId="0FBF0C29" w14:textId="77777777" w:rsidR="003B0225" w:rsidRPr="00067DCC" w:rsidRDefault="003B0225" w:rsidP="003B0225">
      <w:pPr>
        <w:jc w:val="both"/>
        <w:rPr>
          <w:bCs/>
          <w:color w:val="000000" w:themeColor="text1"/>
        </w:rPr>
      </w:pPr>
      <w:r w:rsidRPr="00067DCC">
        <w:rPr>
          <w:bCs/>
          <w:color w:val="000000" w:themeColor="text1"/>
        </w:rPr>
        <w:t>“18.4. projektu vadība un īstenošanas nodrošināšana.”;</w:t>
      </w:r>
    </w:p>
    <w:p w14:paraId="7189A318" w14:textId="77777777" w:rsidR="003B0225" w:rsidRPr="00067DCC" w:rsidRDefault="003B0225" w:rsidP="003B0225">
      <w:pPr>
        <w:jc w:val="both"/>
        <w:rPr>
          <w:bCs/>
          <w:color w:val="000000" w:themeColor="text1"/>
        </w:rPr>
      </w:pPr>
    </w:p>
    <w:p w14:paraId="2A59FDD5" w14:textId="6AD33AF3" w:rsidR="001F11E1" w:rsidRPr="00067DCC" w:rsidRDefault="001F11E1" w:rsidP="001F11E1">
      <w:pPr>
        <w:jc w:val="both"/>
        <w:rPr>
          <w:bCs/>
          <w:color w:val="000000" w:themeColor="text1"/>
        </w:rPr>
      </w:pPr>
      <w:r w:rsidRPr="00067DCC">
        <w:rPr>
          <w:bCs/>
          <w:color w:val="000000" w:themeColor="text1"/>
        </w:rPr>
        <w:t>1</w:t>
      </w:r>
      <w:r w:rsidR="00550224" w:rsidRPr="00067DCC">
        <w:rPr>
          <w:bCs/>
          <w:color w:val="000000" w:themeColor="text1"/>
        </w:rPr>
        <w:t>9</w:t>
      </w:r>
      <w:r w:rsidRPr="00067DCC">
        <w:rPr>
          <w:bCs/>
          <w:color w:val="000000" w:themeColor="text1"/>
        </w:rPr>
        <w:t xml:space="preserve">. </w:t>
      </w:r>
      <w:r w:rsidR="00067DCC" w:rsidRPr="00067DCC">
        <w:rPr>
          <w:bCs/>
          <w:color w:val="000000" w:themeColor="text1"/>
        </w:rPr>
        <w:t>I</w:t>
      </w:r>
      <w:r w:rsidRPr="00067DCC">
        <w:rPr>
          <w:bCs/>
          <w:color w:val="000000" w:themeColor="text1"/>
        </w:rPr>
        <w:t>zteikt 21.2.apakšpunktu šādā redakcijā:</w:t>
      </w:r>
    </w:p>
    <w:p w14:paraId="69B87087" w14:textId="1AD26B58" w:rsidR="001F11E1" w:rsidRPr="00067DCC" w:rsidRDefault="001F11E1" w:rsidP="001F11E1">
      <w:pPr>
        <w:jc w:val="both"/>
        <w:rPr>
          <w:bCs/>
          <w:color w:val="000000" w:themeColor="text1"/>
        </w:rPr>
      </w:pPr>
      <w:r w:rsidRPr="00067DCC">
        <w:rPr>
          <w:bCs/>
          <w:color w:val="000000" w:themeColor="text1"/>
        </w:rPr>
        <w:t>“21.2. izmaksas šo noteikumu 18.1.9.apakšpunktā minētās atbalstāmās darbības īstenošanai, kuras sedz finansējuma saņēmējs, – finanšu atlīdzība šo noteikumu 3.1.9.apakšpunktā minētajiem jauniešiem transporta izdevumu segšanai braucieniem no deklarētās dzīvesvietas uz darba vai apmācību vietu un atpakaļ un ar dzīvojamās telpas īri vai dzīvošanu dienesta viesnīcā saistīto izdevumu kompensācijai atbilstoši normatīvajiem aktiem par aktīvo nodarbinātības pasākumu un preventīvo bezdarba samazināšanas pasākumu organizēšanas un finansēšanas kārtību un pasākumu īstenotāju izvēles principiem.”;</w:t>
      </w:r>
    </w:p>
    <w:p w14:paraId="596BA108" w14:textId="77777777" w:rsidR="001F11E1" w:rsidRPr="00067DCC" w:rsidRDefault="001F11E1" w:rsidP="001F11E1">
      <w:pPr>
        <w:jc w:val="both"/>
        <w:rPr>
          <w:bCs/>
          <w:color w:val="000000" w:themeColor="text1"/>
        </w:rPr>
      </w:pPr>
    </w:p>
    <w:p w14:paraId="03245541" w14:textId="3313DE19" w:rsidR="001F11E1" w:rsidRPr="00067DCC" w:rsidRDefault="00550224" w:rsidP="001F11E1">
      <w:pPr>
        <w:jc w:val="both"/>
        <w:rPr>
          <w:bCs/>
          <w:color w:val="000000" w:themeColor="text1"/>
        </w:rPr>
      </w:pPr>
      <w:r w:rsidRPr="00067DCC">
        <w:rPr>
          <w:bCs/>
          <w:color w:val="000000" w:themeColor="text1"/>
        </w:rPr>
        <w:t>20</w:t>
      </w:r>
      <w:r w:rsidR="001F11E1" w:rsidRPr="00067DCC">
        <w:rPr>
          <w:bCs/>
          <w:color w:val="000000" w:themeColor="text1"/>
        </w:rPr>
        <w:t xml:space="preserve">. </w:t>
      </w:r>
      <w:r w:rsidR="00067DCC" w:rsidRPr="00067DCC">
        <w:rPr>
          <w:bCs/>
          <w:color w:val="000000" w:themeColor="text1"/>
        </w:rPr>
        <w:t>I</w:t>
      </w:r>
      <w:r w:rsidR="001F11E1" w:rsidRPr="00067DCC">
        <w:rPr>
          <w:bCs/>
          <w:color w:val="000000" w:themeColor="text1"/>
        </w:rPr>
        <w:t>zteikt 22.2.1.2.apakšpunktu šādā redakcijā:</w:t>
      </w:r>
    </w:p>
    <w:p w14:paraId="23E74FB1" w14:textId="7E1BDF12" w:rsidR="001F11E1" w:rsidRPr="00067DCC" w:rsidRDefault="001F11E1" w:rsidP="001F11E1">
      <w:pPr>
        <w:jc w:val="both"/>
        <w:rPr>
          <w:bCs/>
          <w:color w:val="000000" w:themeColor="text1"/>
        </w:rPr>
      </w:pPr>
      <w:r w:rsidRPr="00067DCC">
        <w:rPr>
          <w:bCs/>
          <w:color w:val="000000" w:themeColor="text1"/>
        </w:rPr>
        <w:t>“22.2.1.2. stipendija atbilstoši normatīvajiem aktiem par aktīvo nodarbinātības pasākumu un preventīvo bezdarba samazināšanas pasākumu organizēšanas un finansēšanas kārtību un pasākumu īstenotāju izvēles principiem;”;</w:t>
      </w:r>
    </w:p>
    <w:p w14:paraId="7BE9122A" w14:textId="77777777" w:rsidR="001F11E1" w:rsidRPr="00067DCC" w:rsidRDefault="001F11E1" w:rsidP="001F11E1">
      <w:pPr>
        <w:jc w:val="both"/>
        <w:rPr>
          <w:bCs/>
          <w:color w:val="000000" w:themeColor="text1"/>
        </w:rPr>
      </w:pPr>
    </w:p>
    <w:p w14:paraId="376AD66F" w14:textId="721CD0C3" w:rsidR="001F11E1" w:rsidRPr="00067DCC" w:rsidRDefault="001F11E1" w:rsidP="001F11E1">
      <w:pPr>
        <w:jc w:val="both"/>
        <w:rPr>
          <w:bCs/>
          <w:color w:val="000000" w:themeColor="text1"/>
        </w:rPr>
      </w:pPr>
      <w:r w:rsidRPr="00067DCC">
        <w:rPr>
          <w:bCs/>
          <w:color w:val="000000" w:themeColor="text1"/>
        </w:rPr>
        <w:t>2</w:t>
      </w:r>
      <w:r w:rsidR="00550224" w:rsidRPr="00067DCC">
        <w:rPr>
          <w:bCs/>
          <w:color w:val="000000" w:themeColor="text1"/>
        </w:rPr>
        <w:t>1</w:t>
      </w:r>
      <w:r w:rsidRPr="00067DCC">
        <w:rPr>
          <w:bCs/>
          <w:color w:val="000000" w:themeColor="text1"/>
        </w:rPr>
        <w:t xml:space="preserve">. </w:t>
      </w:r>
      <w:r w:rsidR="00067DCC" w:rsidRPr="00067DCC">
        <w:rPr>
          <w:bCs/>
          <w:color w:val="000000" w:themeColor="text1"/>
        </w:rPr>
        <w:t>S</w:t>
      </w:r>
      <w:r w:rsidRPr="00067DCC">
        <w:rPr>
          <w:bCs/>
          <w:color w:val="000000" w:themeColor="text1"/>
        </w:rPr>
        <w:t xml:space="preserve">vītrot 22.3.1.3.apakšpunktā iekavas un vārdus “(ikmēneša darba alga)”; </w:t>
      </w:r>
    </w:p>
    <w:p w14:paraId="18B13FDC" w14:textId="77777777" w:rsidR="001F11E1" w:rsidRPr="00067DCC" w:rsidRDefault="001F11E1" w:rsidP="001F11E1">
      <w:pPr>
        <w:jc w:val="both"/>
        <w:rPr>
          <w:bCs/>
          <w:color w:val="000000" w:themeColor="text1"/>
        </w:rPr>
      </w:pPr>
    </w:p>
    <w:p w14:paraId="62EBA519" w14:textId="0EFE4B2A" w:rsidR="001F11E1" w:rsidRPr="00067DCC" w:rsidRDefault="001F11E1" w:rsidP="001F11E1">
      <w:pPr>
        <w:jc w:val="both"/>
        <w:rPr>
          <w:bCs/>
          <w:color w:val="000000" w:themeColor="text1"/>
        </w:rPr>
      </w:pPr>
      <w:r w:rsidRPr="00067DCC">
        <w:rPr>
          <w:bCs/>
          <w:color w:val="000000" w:themeColor="text1"/>
        </w:rPr>
        <w:t>2</w:t>
      </w:r>
      <w:r w:rsidR="00550224" w:rsidRPr="00067DCC">
        <w:rPr>
          <w:bCs/>
          <w:color w:val="000000" w:themeColor="text1"/>
        </w:rPr>
        <w:t>2</w:t>
      </w:r>
      <w:r w:rsidRPr="00067DCC">
        <w:rPr>
          <w:bCs/>
          <w:color w:val="000000" w:themeColor="text1"/>
        </w:rPr>
        <w:t xml:space="preserve">. </w:t>
      </w:r>
      <w:r w:rsidR="00067DCC" w:rsidRPr="00067DCC">
        <w:rPr>
          <w:bCs/>
          <w:color w:val="000000" w:themeColor="text1"/>
        </w:rPr>
        <w:t>S</w:t>
      </w:r>
      <w:r w:rsidRPr="00067DCC">
        <w:rPr>
          <w:bCs/>
          <w:color w:val="000000" w:themeColor="text1"/>
        </w:rPr>
        <w:t>vītrot 22.6.1.3.apakšpunktā iekavas un vārdus “(piemaksa vai ikmēneša darba alga, ja ir noslēgts darba līgums par darba vadītāja pienākumu izpildi)”;</w:t>
      </w:r>
    </w:p>
    <w:p w14:paraId="0529A98B" w14:textId="77777777" w:rsidR="001F11E1" w:rsidRPr="00067DCC" w:rsidRDefault="001F11E1" w:rsidP="001F11E1">
      <w:pPr>
        <w:jc w:val="both"/>
        <w:rPr>
          <w:bCs/>
          <w:color w:val="000000" w:themeColor="text1"/>
        </w:rPr>
      </w:pPr>
    </w:p>
    <w:p w14:paraId="4401BB92" w14:textId="07157214" w:rsidR="003B0225" w:rsidRPr="00067DCC" w:rsidRDefault="001F11E1" w:rsidP="003B0225">
      <w:pPr>
        <w:jc w:val="both"/>
        <w:rPr>
          <w:bCs/>
          <w:color w:val="000000" w:themeColor="text1"/>
        </w:rPr>
      </w:pPr>
      <w:r w:rsidRPr="00067DCC">
        <w:rPr>
          <w:bCs/>
          <w:color w:val="000000" w:themeColor="text1"/>
        </w:rPr>
        <w:t>2</w:t>
      </w:r>
      <w:r w:rsidR="00550224" w:rsidRPr="00067DCC">
        <w:rPr>
          <w:bCs/>
          <w:color w:val="000000" w:themeColor="text1"/>
        </w:rPr>
        <w:t>3</w:t>
      </w:r>
      <w:r w:rsidR="003B0225" w:rsidRPr="00067DCC">
        <w:rPr>
          <w:bCs/>
          <w:color w:val="000000" w:themeColor="text1"/>
        </w:rPr>
        <w:t xml:space="preserve">. </w:t>
      </w:r>
      <w:r w:rsidR="00067DCC" w:rsidRPr="00067DCC">
        <w:rPr>
          <w:bCs/>
          <w:color w:val="000000" w:themeColor="text1"/>
        </w:rPr>
        <w:t>I</w:t>
      </w:r>
      <w:r w:rsidR="003B0225" w:rsidRPr="00067DCC">
        <w:rPr>
          <w:bCs/>
          <w:color w:val="000000" w:themeColor="text1"/>
        </w:rPr>
        <w:t>zteikt 22.5.1.apakšpunktu šādā redakcijā:</w:t>
      </w:r>
    </w:p>
    <w:p w14:paraId="1185AA42" w14:textId="77777777" w:rsidR="003B0225" w:rsidRPr="00067DCC" w:rsidRDefault="003B0225" w:rsidP="003B0225">
      <w:pPr>
        <w:jc w:val="both"/>
        <w:rPr>
          <w:bCs/>
          <w:color w:val="000000" w:themeColor="text1"/>
        </w:rPr>
      </w:pPr>
      <w:r w:rsidRPr="00067DCC">
        <w:rPr>
          <w:bCs/>
          <w:color w:val="000000" w:themeColor="text1"/>
        </w:rPr>
        <w:t>“22.5.1. ikmēneša stipendija jaunietim 60 </w:t>
      </w:r>
      <w:proofErr w:type="spellStart"/>
      <w:r w:rsidRPr="00067DCC">
        <w:rPr>
          <w:bCs/>
          <w:i/>
          <w:iCs/>
          <w:color w:val="000000" w:themeColor="text1"/>
        </w:rPr>
        <w:t>euro</w:t>
      </w:r>
      <w:proofErr w:type="spellEnd"/>
      <w:r w:rsidRPr="00067DCC">
        <w:rPr>
          <w:bCs/>
          <w:color w:val="000000" w:themeColor="text1"/>
        </w:rPr>
        <w:t xml:space="preserve"> apmērā un jaunietim ar invaliditāti 90 </w:t>
      </w:r>
      <w:proofErr w:type="spellStart"/>
      <w:r w:rsidRPr="00067DCC">
        <w:rPr>
          <w:bCs/>
          <w:i/>
          <w:iCs/>
          <w:color w:val="000000" w:themeColor="text1"/>
        </w:rPr>
        <w:t>euro</w:t>
      </w:r>
      <w:proofErr w:type="spellEnd"/>
      <w:r w:rsidRPr="00067DCC">
        <w:rPr>
          <w:bCs/>
          <w:color w:val="000000" w:themeColor="text1"/>
        </w:rPr>
        <w:t> apmērā proporcionāli dienu skaitam, kad jaunietis iesaistījies atbalstāmajā darbībā;”;</w:t>
      </w:r>
    </w:p>
    <w:p w14:paraId="5316E98A" w14:textId="77777777" w:rsidR="003B0225" w:rsidRPr="00067DCC" w:rsidRDefault="003B0225" w:rsidP="003B0225">
      <w:pPr>
        <w:pStyle w:val="tv213"/>
        <w:spacing w:before="0" w:beforeAutospacing="0" w:after="0" w:afterAutospacing="0"/>
        <w:jc w:val="both"/>
        <w:rPr>
          <w:color w:val="000000" w:themeColor="text1"/>
          <w:highlight w:val="yellow"/>
        </w:rPr>
      </w:pPr>
    </w:p>
    <w:p w14:paraId="794B319E" w14:textId="6ACA31FB" w:rsidR="003F3053" w:rsidRPr="00067DCC" w:rsidRDefault="001F11E1" w:rsidP="003B0225">
      <w:pPr>
        <w:jc w:val="both"/>
        <w:rPr>
          <w:bCs/>
          <w:color w:val="000000" w:themeColor="text1"/>
        </w:rPr>
      </w:pPr>
      <w:r w:rsidRPr="00067DCC">
        <w:rPr>
          <w:bCs/>
          <w:color w:val="000000" w:themeColor="text1"/>
        </w:rPr>
        <w:t>2</w:t>
      </w:r>
      <w:r w:rsidR="00550224" w:rsidRPr="00067DCC">
        <w:rPr>
          <w:bCs/>
          <w:color w:val="000000" w:themeColor="text1"/>
        </w:rPr>
        <w:t>4</w:t>
      </w:r>
      <w:r w:rsidR="00C9055F" w:rsidRPr="00067DCC">
        <w:rPr>
          <w:bCs/>
          <w:color w:val="000000" w:themeColor="text1"/>
        </w:rPr>
        <w:t xml:space="preserve">. </w:t>
      </w:r>
      <w:r w:rsidR="00067DCC" w:rsidRPr="00067DCC">
        <w:rPr>
          <w:bCs/>
          <w:color w:val="000000" w:themeColor="text1"/>
        </w:rPr>
        <w:t>P</w:t>
      </w:r>
      <w:r w:rsidR="00C9055F" w:rsidRPr="00067DCC">
        <w:rPr>
          <w:bCs/>
          <w:color w:val="000000" w:themeColor="text1"/>
        </w:rPr>
        <w:t>apildināt 22.10.apakšpunkt</w:t>
      </w:r>
      <w:r w:rsidR="005355EE" w:rsidRPr="00067DCC">
        <w:rPr>
          <w:bCs/>
          <w:color w:val="000000" w:themeColor="text1"/>
        </w:rPr>
        <w:t>a ievaddaļu</w:t>
      </w:r>
      <w:r w:rsidR="00C9055F" w:rsidRPr="00067DCC">
        <w:rPr>
          <w:bCs/>
          <w:color w:val="000000" w:themeColor="text1"/>
        </w:rPr>
        <w:t xml:space="preserve"> </w:t>
      </w:r>
      <w:r w:rsidR="005355EE" w:rsidRPr="00067DCC">
        <w:rPr>
          <w:bCs/>
          <w:color w:val="000000" w:themeColor="text1"/>
        </w:rPr>
        <w:t xml:space="preserve">aiz vārdiem “darbību īstenošanai” </w:t>
      </w:r>
      <w:r w:rsidR="00C9055F" w:rsidRPr="00067DCC">
        <w:rPr>
          <w:bCs/>
          <w:color w:val="000000" w:themeColor="text1"/>
        </w:rPr>
        <w:t>ar vārdiem iekavās “(izmaksas šo noteikumu 3.3.apakšpunktā minētajai mērķa grupai uzskaita un finansē šo noteikumu 41.punktā minētajā kārtībā)”</w:t>
      </w:r>
      <w:r w:rsidR="005355EE" w:rsidRPr="00067DCC">
        <w:rPr>
          <w:bCs/>
          <w:color w:val="000000" w:themeColor="text1"/>
        </w:rPr>
        <w:t>;</w:t>
      </w:r>
    </w:p>
    <w:p w14:paraId="40C8C4D7" w14:textId="77777777" w:rsidR="003B0225" w:rsidRPr="00067DCC" w:rsidRDefault="003B0225" w:rsidP="003B0225">
      <w:pPr>
        <w:jc w:val="both"/>
        <w:rPr>
          <w:bCs/>
          <w:color w:val="000000" w:themeColor="text1"/>
        </w:rPr>
      </w:pPr>
    </w:p>
    <w:p w14:paraId="7A21EC7A" w14:textId="17BF6406" w:rsidR="003B0225" w:rsidRPr="00067DCC" w:rsidRDefault="00AD72F4" w:rsidP="003B0225">
      <w:pPr>
        <w:jc w:val="both"/>
        <w:rPr>
          <w:bCs/>
          <w:color w:val="000000" w:themeColor="text1"/>
        </w:rPr>
      </w:pPr>
      <w:r w:rsidRPr="00067DCC">
        <w:rPr>
          <w:bCs/>
          <w:color w:val="000000" w:themeColor="text1"/>
        </w:rPr>
        <w:t>2</w:t>
      </w:r>
      <w:r w:rsidR="00550224" w:rsidRPr="00067DCC">
        <w:rPr>
          <w:bCs/>
          <w:color w:val="000000" w:themeColor="text1"/>
        </w:rPr>
        <w:t>5</w:t>
      </w:r>
      <w:r w:rsidR="003B0225" w:rsidRPr="00067DCC">
        <w:rPr>
          <w:bCs/>
          <w:color w:val="000000" w:themeColor="text1"/>
        </w:rPr>
        <w:t xml:space="preserve">. </w:t>
      </w:r>
      <w:r w:rsidR="00067DCC" w:rsidRPr="00067DCC">
        <w:rPr>
          <w:bCs/>
          <w:color w:val="000000" w:themeColor="text1"/>
        </w:rPr>
        <w:t>A</w:t>
      </w:r>
      <w:r w:rsidR="003B0225" w:rsidRPr="00067DCC">
        <w:rPr>
          <w:bCs/>
          <w:color w:val="000000" w:themeColor="text1"/>
        </w:rPr>
        <w:t>izstāt noteikumu 22.10.1.1., 22.10.2.1., 22.10.2.2. un 22.10.3.6.apakšpunktā vārdus “darba samaksa, tai skaitā valsts sociālās apdrošināšanas obligātās iemaksas” ar vārdiem “atlīdzības izmaksas atbilstoši normatīvajiem aktiem par pedagogu darba samaksu un profesionālās izglītības programmu īstenošanas izmaksu minimumu uz vienu izglītojamo”;</w:t>
      </w:r>
    </w:p>
    <w:p w14:paraId="0A6F01E2" w14:textId="77777777" w:rsidR="005355EE" w:rsidRPr="00067DCC" w:rsidRDefault="005355EE" w:rsidP="003B0225">
      <w:pPr>
        <w:jc w:val="both"/>
        <w:rPr>
          <w:bCs/>
          <w:color w:val="000000" w:themeColor="text1"/>
        </w:rPr>
      </w:pPr>
    </w:p>
    <w:p w14:paraId="5FA7EC54" w14:textId="72E9F390" w:rsidR="005355EE" w:rsidRPr="00067DCC" w:rsidRDefault="00AD72F4" w:rsidP="003B0225">
      <w:pPr>
        <w:jc w:val="both"/>
        <w:rPr>
          <w:bCs/>
          <w:color w:val="000000" w:themeColor="text1"/>
        </w:rPr>
      </w:pPr>
      <w:r w:rsidRPr="00067DCC">
        <w:rPr>
          <w:bCs/>
          <w:color w:val="000000" w:themeColor="text1"/>
        </w:rPr>
        <w:t>2</w:t>
      </w:r>
      <w:r w:rsidR="00550224" w:rsidRPr="00067DCC">
        <w:rPr>
          <w:bCs/>
          <w:color w:val="000000" w:themeColor="text1"/>
        </w:rPr>
        <w:t>6</w:t>
      </w:r>
      <w:r w:rsidR="005355EE" w:rsidRPr="00067DCC">
        <w:rPr>
          <w:bCs/>
          <w:color w:val="000000" w:themeColor="text1"/>
        </w:rPr>
        <w:t xml:space="preserve">. </w:t>
      </w:r>
      <w:r w:rsidR="00067DCC" w:rsidRPr="00067DCC">
        <w:rPr>
          <w:bCs/>
          <w:color w:val="000000" w:themeColor="text1"/>
        </w:rPr>
        <w:t>A</w:t>
      </w:r>
      <w:r w:rsidR="005355EE" w:rsidRPr="00067DCC">
        <w:rPr>
          <w:bCs/>
          <w:color w:val="000000" w:themeColor="text1"/>
        </w:rPr>
        <w:t>izstāt 22.10.3.7.apakšpunktā vārdu un skaitli “3.2.1.apakšpunktā” ar vārdiem un skaitļiem “3.2.1. un 3.3.apakšpunktā”;</w:t>
      </w:r>
    </w:p>
    <w:p w14:paraId="4678EBD2" w14:textId="77777777" w:rsidR="005355EE" w:rsidRPr="00067DCC" w:rsidRDefault="005355EE" w:rsidP="003B0225">
      <w:pPr>
        <w:jc w:val="both"/>
        <w:rPr>
          <w:bCs/>
          <w:color w:val="000000" w:themeColor="text1"/>
        </w:rPr>
      </w:pPr>
    </w:p>
    <w:p w14:paraId="13A29510" w14:textId="08DF131E" w:rsidR="003B0225" w:rsidRPr="00067DCC" w:rsidRDefault="00AD72F4" w:rsidP="003B0225">
      <w:pPr>
        <w:jc w:val="both"/>
        <w:rPr>
          <w:bCs/>
          <w:color w:val="000000" w:themeColor="text1"/>
        </w:rPr>
      </w:pPr>
      <w:r w:rsidRPr="00067DCC">
        <w:rPr>
          <w:bCs/>
          <w:color w:val="000000" w:themeColor="text1"/>
        </w:rPr>
        <w:t>2</w:t>
      </w:r>
      <w:r w:rsidR="00550224" w:rsidRPr="00067DCC">
        <w:rPr>
          <w:bCs/>
          <w:color w:val="000000" w:themeColor="text1"/>
        </w:rPr>
        <w:t>7</w:t>
      </w:r>
      <w:r w:rsidR="003B0225" w:rsidRPr="00067DCC">
        <w:rPr>
          <w:bCs/>
          <w:color w:val="000000" w:themeColor="text1"/>
        </w:rPr>
        <w:t xml:space="preserve">. </w:t>
      </w:r>
      <w:r w:rsidR="00067DCC" w:rsidRPr="00067DCC">
        <w:rPr>
          <w:bCs/>
          <w:color w:val="000000" w:themeColor="text1"/>
        </w:rPr>
        <w:t>I</w:t>
      </w:r>
      <w:r w:rsidR="003B0225" w:rsidRPr="00067DCC">
        <w:rPr>
          <w:bCs/>
          <w:color w:val="000000" w:themeColor="text1"/>
        </w:rPr>
        <w:t>zteikt 22.11.1.apakšpunktu šādā redakcijā:</w:t>
      </w:r>
    </w:p>
    <w:p w14:paraId="5F3D3FFB" w14:textId="3E66F776" w:rsidR="003B0225" w:rsidRPr="00067DCC" w:rsidRDefault="003B0225" w:rsidP="003B0225">
      <w:pPr>
        <w:jc w:val="both"/>
        <w:rPr>
          <w:bCs/>
          <w:color w:val="000000" w:themeColor="text1"/>
        </w:rPr>
      </w:pPr>
      <w:r w:rsidRPr="00067DCC">
        <w:rPr>
          <w:bCs/>
          <w:color w:val="000000" w:themeColor="text1"/>
        </w:rPr>
        <w:t>“22.11.1. projekta īstenošanā iesaistītā Ieslodzījuma vietu pārvaldes koordinatora atlīdzības izmaksas 8,65 </w:t>
      </w:r>
      <w:proofErr w:type="spellStart"/>
      <w:r w:rsidRPr="00067DCC">
        <w:rPr>
          <w:bCs/>
          <w:i/>
          <w:iCs/>
          <w:color w:val="000000" w:themeColor="text1"/>
        </w:rPr>
        <w:t>euro</w:t>
      </w:r>
      <w:proofErr w:type="spellEnd"/>
      <w:r w:rsidRPr="00067DCC">
        <w:rPr>
          <w:bCs/>
          <w:color w:val="000000" w:themeColor="text1"/>
        </w:rPr>
        <w:t> stundā, nepārsniedzot 32 stundas mēnesī, k</w:t>
      </w:r>
      <w:r w:rsidR="00364842" w:rsidRPr="00067DCC">
        <w:rPr>
          <w:bCs/>
          <w:color w:val="000000" w:themeColor="text1"/>
        </w:rPr>
        <w:t>o</w:t>
      </w:r>
      <w:r w:rsidRPr="00067DCC">
        <w:rPr>
          <w:bCs/>
          <w:color w:val="000000" w:themeColor="text1"/>
        </w:rPr>
        <w:t xml:space="preserve"> finansējuma saņēmējs dotācijas veidā piešķir Ieslodzījuma vietu pārvaldei;”;</w:t>
      </w:r>
    </w:p>
    <w:p w14:paraId="7C8ADEE2" w14:textId="6B8672CE" w:rsidR="005355EE" w:rsidRPr="00067DCC" w:rsidRDefault="005355EE" w:rsidP="003B0225">
      <w:pPr>
        <w:jc w:val="both"/>
        <w:rPr>
          <w:bCs/>
          <w:color w:val="000000" w:themeColor="text1"/>
        </w:rPr>
      </w:pPr>
    </w:p>
    <w:p w14:paraId="3A30BEBE" w14:textId="22E85B8A" w:rsidR="005355EE" w:rsidRPr="00067DCC" w:rsidRDefault="00AD72F4" w:rsidP="003B0225">
      <w:pPr>
        <w:jc w:val="both"/>
        <w:rPr>
          <w:bCs/>
          <w:color w:val="000000" w:themeColor="text1"/>
        </w:rPr>
      </w:pPr>
      <w:r w:rsidRPr="00067DCC">
        <w:rPr>
          <w:bCs/>
          <w:color w:val="000000" w:themeColor="text1"/>
        </w:rPr>
        <w:t>2</w:t>
      </w:r>
      <w:r w:rsidR="00550224" w:rsidRPr="00067DCC">
        <w:rPr>
          <w:bCs/>
          <w:color w:val="000000" w:themeColor="text1"/>
        </w:rPr>
        <w:t>8</w:t>
      </w:r>
      <w:r w:rsidR="005355EE" w:rsidRPr="00067DCC">
        <w:rPr>
          <w:bCs/>
          <w:color w:val="000000" w:themeColor="text1"/>
        </w:rPr>
        <w:t xml:space="preserve">. </w:t>
      </w:r>
      <w:r w:rsidR="00067DCC" w:rsidRPr="00067DCC">
        <w:rPr>
          <w:bCs/>
          <w:color w:val="000000" w:themeColor="text1"/>
        </w:rPr>
        <w:t>A</w:t>
      </w:r>
      <w:r w:rsidR="005355EE" w:rsidRPr="00067DCC">
        <w:rPr>
          <w:bCs/>
          <w:color w:val="000000" w:themeColor="text1"/>
        </w:rPr>
        <w:t>izstāt 22.12.apakšpunktā vārdus un skaitļus “pakalpojuma (uzņēmuma līguma) izmaksas šo noteikumu 18.2.3.apakšpunktā minētās atbalstāmās darbības īstenošanai šo noteikumu 3.2.1.apakšpunktā minētajai mērķa grupai” ar vārdiem un skaitļiem “pakalpojuma (uzņēmuma līguma) izmaksas šo noteikumu 18.2.3.apakšpunktā minētās atbalstāmās darbības īstenošanai šo noteikumu 3.2.1. un 3.3.apakšpunktā minētajai mērķa grupai (izmaksas šo noteikumu 3.3.apakšpunktā minētajai mērķa grupai uzskaita un finansē šo noteikumu 41.punktā minētajā kārtībā)”;</w:t>
      </w:r>
    </w:p>
    <w:p w14:paraId="6C391AD3" w14:textId="77777777" w:rsidR="0082457E" w:rsidRPr="00067DCC" w:rsidRDefault="0082457E" w:rsidP="003B0225">
      <w:pPr>
        <w:jc w:val="both"/>
        <w:rPr>
          <w:bCs/>
          <w:color w:val="000000" w:themeColor="text1"/>
        </w:rPr>
      </w:pPr>
    </w:p>
    <w:p w14:paraId="0F543B1A" w14:textId="5DBD04EB" w:rsidR="003A02DF" w:rsidRPr="00067DCC" w:rsidRDefault="00067DCC" w:rsidP="003B0225">
      <w:pPr>
        <w:jc w:val="both"/>
        <w:rPr>
          <w:bCs/>
          <w:color w:val="000000" w:themeColor="text1"/>
        </w:rPr>
      </w:pPr>
      <w:r w:rsidRPr="00067DCC">
        <w:rPr>
          <w:bCs/>
          <w:color w:val="000000" w:themeColor="text1"/>
        </w:rPr>
        <w:t>2</w:t>
      </w:r>
      <w:r w:rsidR="00550224" w:rsidRPr="00067DCC">
        <w:rPr>
          <w:bCs/>
          <w:color w:val="000000" w:themeColor="text1"/>
        </w:rPr>
        <w:t>9</w:t>
      </w:r>
      <w:r w:rsidR="003B0225" w:rsidRPr="00067DCC">
        <w:rPr>
          <w:bCs/>
          <w:color w:val="000000" w:themeColor="text1"/>
        </w:rPr>
        <w:t xml:space="preserve">. </w:t>
      </w:r>
      <w:r w:rsidRPr="00067DCC">
        <w:rPr>
          <w:bCs/>
          <w:color w:val="000000" w:themeColor="text1"/>
        </w:rPr>
        <w:t>I</w:t>
      </w:r>
      <w:r w:rsidR="003A02DF" w:rsidRPr="00067DCC">
        <w:rPr>
          <w:bCs/>
          <w:color w:val="000000" w:themeColor="text1"/>
        </w:rPr>
        <w:t>zteikt 23.punktu šādā redakcijā:</w:t>
      </w:r>
    </w:p>
    <w:p w14:paraId="2AA2A796" w14:textId="431D13FB" w:rsidR="003A02DF" w:rsidRPr="00067DCC" w:rsidRDefault="003A02DF" w:rsidP="003B0225">
      <w:pPr>
        <w:jc w:val="both"/>
        <w:rPr>
          <w:bCs/>
          <w:color w:val="000000" w:themeColor="text1"/>
        </w:rPr>
      </w:pPr>
      <w:r w:rsidRPr="00067DCC">
        <w:rPr>
          <w:bCs/>
          <w:color w:val="000000" w:themeColor="text1"/>
        </w:rPr>
        <w:t>“23. Šo noteikumu 19.2.apakšpunktā minētās netiešās izmaksas finansējuma saņēmēji projektos plāno kā vienu izmaksu pozīciju</w:t>
      </w:r>
      <w:r w:rsidR="000C09AB" w:rsidRPr="00067DCC">
        <w:rPr>
          <w:bCs/>
          <w:color w:val="000000" w:themeColor="text1"/>
        </w:rPr>
        <w:t xml:space="preserve">, piemērojot netiešo izmaksu vienoto likmi </w:t>
      </w:r>
      <w:r w:rsidRPr="00067DCC">
        <w:rPr>
          <w:bCs/>
          <w:color w:val="000000" w:themeColor="text1"/>
        </w:rPr>
        <w:t>15 procentu apmērā</w:t>
      </w:r>
      <w:r w:rsidR="000C09AB" w:rsidRPr="00067DCC">
        <w:rPr>
          <w:bCs/>
          <w:color w:val="000000" w:themeColor="text1"/>
        </w:rPr>
        <w:t xml:space="preserve"> </w:t>
      </w:r>
      <w:r w:rsidRPr="00067DCC">
        <w:rPr>
          <w:bCs/>
          <w:color w:val="000000" w:themeColor="text1"/>
        </w:rPr>
        <w:t>no šo noteikumu 20.punktā minētajām izmaksām.”;</w:t>
      </w:r>
    </w:p>
    <w:p w14:paraId="7D49E0B4" w14:textId="77777777" w:rsidR="00970261" w:rsidRPr="00067DCC" w:rsidRDefault="00970261" w:rsidP="003B0225">
      <w:pPr>
        <w:jc w:val="both"/>
        <w:rPr>
          <w:bCs/>
          <w:color w:val="000000" w:themeColor="text1"/>
        </w:rPr>
      </w:pPr>
    </w:p>
    <w:p w14:paraId="163E533B" w14:textId="48A26AFE" w:rsidR="00970261" w:rsidRPr="00067DCC" w:rsidRDefault="00550224" w:rsidP="003B0225">
      <w:pPr>
        <w:jc w:val="both"/>
        <w:rPr>
          <w:bCs/>
          <w:color w:val="000000" w:themeColor="text1"/>
        </w:rPr>
      </w:pPr>
      <w:r w:rsidRPr="00067DCC">
        <w:rPr>
          <w:bCs/>
          <w:color w:val="000000" w:themeColor="text1"/>
        </w:rPr>
        <w:t>30</w:t>
      </w:r>
      <w:r w:rsidR="00970261" w:rsidRPr="00067DCC">
        <w:rPr>
          <w:bCs/>
          <w:color w:val="000000" w:themeColor="text1"/>
        </w:rPr>
        <w:t xml:space="preserve">. </w:t>
      </w:r>
      <w:r w:rsidR="00067DCC" w:rsidRPr="00067DCC">
        <w:rPr>
          <w:bCs/>
          <w:color w:val="000000" w:themeColor="text1"/>
        </w:rPr>
        <w:t>A</w:t>
      </w:r>
      <w:r w:rsidR="00970261" w:rsidRPr="00067DCC">
        <w:rPr>
          <w:bCs/>
          <w:color w:val="000000" w:themeColor="text1"/>
        </w:rPr>
        <w:t>izstāt 25.punktā vārdu “atmaksājamas” ar vārdu “atgūstamas”;</w:t>
      </w:r>
    </w:p>
    <w:p w14:paraId="4D945687" w14:textId="77777777" w:rsidR="00E74583" w:rsidRPr="00067DCC" w:rsidRDefault="00E74583" w:rsidP="003B0225">
      <w:pPr>
        <w:jc w:val="both"/>
        <w:rPr>
          <w:bCs/>
          <w:color w:val="000000" w:themeColor="text1"/>
        </w:rPr>
      </w:pPr>
    </w:p>
    <w:p w14:paraId="5154ED6D" w14:textId="08E4C732" w:rsidR="000C09AB" w:rsidRPr="00067DCC" w:rsidRDefault="001F11E1" w:rsidP="003B0225">
      <w:pPr>
        <w:jc w:val="both"/>
        <w:rPr>
          <w:bCs/>
          <w:color w:val="000000" w:themeColor="text1"/>
        </w:rPr>
      </w:pPr>
      <w:r w:rsidRPr="00067DCC">
        <w:rPr>
          <w:bCs/>
          <w:color w:val="000000" w:themeColor="text1"/>
        </w:rPr>
        <w:t>3</w:t>
      </w:r>
      <w:r w:rsidR="00550224" w:rsidRPr="00067DCC">
        <w:rPr>
          <w:bCs/>
          <w:color w:val="000000" w:themeColor="text1"/>
        </w:rPr>
        <w:t>1</w:t>
      </w:r>
      <w:r w:rsidR="002A291A" w:rsidRPr="00067DCC">
        <w:rPr>
          <w:bCs/>
          <w:color w:val="000000" w:themeColor="text1"/>
        </w:rPr>
        <w:t xml:space="preserve">. </w:t>
      </w:r>
      <w:r w:rsidR="00067DCC" w:rsidRPr="00067DCC">
        <w:rPr>
          <w:bCs/>
          <w:color w:val="000000" w:themeColor="text1"/>
        </w:rPr>
        <w:t>I</w:t>
      </w:r>
      <w:r w:rsidR="000C09AB" w:rsidRPr="00067DCC">
        <w:rPr>
          <w:bCs/>
          <w:color w:val="000000" w:themeColor="text1"/>
        </w:rPr>
        <w:t>zteikt 28.punktu šādā redakcijā:</w:t>
      </w:r>
    </w:p>
    <w:p w14:paraId="020D1EF9" w14:textId="156CC452" w:rsidR="000C09AB" w:rsidRPr="00067DCC" w:rsidRDefault="000C09AB" w:rsidP="003B0225">
      <w:pPr>
        <w:jc w:val="both"/>
        <w:rPr>
          <w:bCs/>
          <w:color w:val="000000" w:themeColor="text1"/>
        </w:rPr>
      </w:pPr>
      <w:r w:rsidRPr="00067DCC">
        <w:rPr>
          <w:bCs/>
          <w:color w:val="000000" w:themeColor="text1"/>
        </w:rPr>
        <w:t>“28. Pasākumā “Sākotnējās profesionālās izglītības programmu īstenošana Jauniešu garantijas ietvaros” īstenotās izglītības programmas veidos sinerģiju ar atbalsta pasākumiem, kas paredzēti darbības programmas “Izaugsme un nodarbinātība” 9.1.2.specifiskā atbalsta mērķa “Palielināt bijušo ieslodzīto integrāciju sabiedrībā un darba tirgū” ietvaros un Eiropas Savienības programmā “Erasmus+: Jaunatne darbībā”.”;</w:t>
      </w:r>
    </w:p>
    <w:p w14:paraId="6D2F6F6B" w14:textId="77777777" w:rsidR="006B3B81" w:rsidRPr="00067DCC" w:rsidRDefault="006B3B81" w:rsidP="003B0225">
      <w:pPr>
        <w:jc w:val="both"/>
        <w:rPr>
          <w:bCs/>
          <w:color w:val="000000" w:themeColor="text1"/>
        </w:rPr>
      </w:pPr>
    </w:p>
    <w:p w14:paraId="5BB201A4" w14:textId="5595863E" w:rsidR="00D44A95" w:rsidRPr="00067DCC" w:rsidRDefault="005315CA" w:rsidP="003B0225">
      <w:pPr>
        <w:jc w:val="both"/>
        <w:rPr>
          <w:bCs/>
          <w:color w:val="000000" w:themeColor="text1"/>
        </w:rPr>
      </w:pPr>
      <w:r w:rsidRPr="00067DCC">
        <w:rPr>
          <w:bCs/>
          <w:color w:val="000000" w:themeColor="text1"/>
        </w:rPr>
        <w:t>1.</w:t>
      </w:r>
      <w:r w:rsidR="001F11E1" w:rsidRPr="00067DCC">
        <w:rPr>
          <w:bCs/>
          <w:color w:val="000000" w:themeColor="text1"/>
        </w:rPr>
        <w:t>3</w:t>
      </w:r>
      <w:r w:rsidR="00550224" w:rsidRPr="00067DCC">
        <w:rPr>
          <w:bCs/>
          <w:color w:val="000000" w:themeColor="text1"/>
        </w:rPr>
        <w:t>2</w:t>
      </w:r>
      <w:r w:rsidR="00D44A95" w:rsidRPr="00067DCC">
        <w:rPr>
          <w:bCs/>
          <w:color w:val="000000" w:themeColor="text1"/>
        </w:rPr>
        <w:t>. svītrot 32. un 33.punktu</w:t>
      </w:r>
      <w:r w:rsidR="006B56B7" w:rsidRPr="00067DCC">
        <w:rPr>
          <w:bCs/>
          <w:color w:val="000000" w:themeColor="text1"/>
        </w:rPr>
        <w:t>;</w:t>
      </w:r>
    </w:p>
    <w:p w14:paraId="56F5D68E" w14:textId="77777777" w:rsidR="00D44A95" w:rsidRPr="00067DCC" w:rsidRDefault="00D44A95" w:rsidP="003B0225">
      <w:pPr>
        <w:jc w:val="both"/>
        <w:rPr>
          <w:bCs/>
          <w:color w:val="000000" w:themeColor="text1"/>
        </w:rPr>
      </w:pPr>
    </w:p>
    <w:p w14:paraId="4FD24059" w14:textId="221F0952" w:rsidR="006B3B81" w:rsidRPr="00067DCC" w:rsidRDefault="00E15BC9" w:rsidP="003B0225">
      <w:pPr>
        <w:jc w:val="both"/>
        <w:rPr>
          <w:bCs/>
          <w:color w:val="000000" w:themeColor="text1"/>
        </w:rPr>
      </w:pPr>
      <w:r w:rsidRPr="00067DCC">
        <w:rPr>
          <w:bCs/>
          <w:color w:val="000000" w:themeColor="text1"/>
        </w:rPr>
        <w:t>3</w:t>
      </w:r>
      <w:r w:rsidR="00550224" w:rsidRPr="00067DCC">
        <w:rPr>
          <w:bCs/>
          <w:color w:val="000000" w:themeColor="text1"/>
        </w:rPr>
        <w:t>3</w:t>
      </w:r>
      <w:r w:rsidR="006B3B81" w:rsidRPr="00067DCC">
        <w:rPr>
          <w:bCs/>
          <w:color w:val="000000" w:themeColor="text1"/>
        </w:rPr>
        <w:t xml:space="preserve">. </w:t>
      </w:r>
      <w:r w:rsidR="00067DCC" w:rsidRPr="00067DCC">
        <w:rPr>
          <w:bCs/>
          <w:color w:val="000000" w:themeColor="text1"/>
        </w:rPr>
        <w:t>P</w:t>
      </w:r>
      <w:r w:rsidR="006B3B81" w:rsidRPr="00067DCC">
        <w:rPr>
          <w:bCs/>
          <w:color w:val="000000" w:themeColor="text1"/>
        </w:rPr>
        <w:t>apildināt 34.2.apakšpunktu ar trešo teiku</w:t>
      </w:r>
      <w:r w:rsidR="00C722AF" w:rsidRPr="00067DCC">
        <w:rPr>
          <w:bCs/>
          <w:color w:val="000000" w:themeColor="text1"/>
        </w:rPr>
        <w:t>mu</w:t>
      </w:r>
      <w:r w:rsidR="006B3B81" w:rsidRPr="00067DCC">
        <w:rPr>
          <w:bCs/>
          <w:color w:val="000000" w:themeColor="text1"/>
        </w:rPr>
        <w:t xml:space="preserve"> šādā redakcijā:</w:t>
      </w:r>
    </w:p>
    <w:p w14:paraId="2F4F4C8E" w14:textId="46FEC6D1" w:rsidR="006B3B81" w:rsidRPr="00067DCC" w:rsidRDefault="006B3B81" w:rsidP="003B0225">
      <w:pPr>
        <w:jc w:val="both"/>
        <w:rPr>
          <w:bCs/>
          <w:color w:val="000000" w:themeColor="text1"/>
        </w:rPr>
      </w:pPr>
      <w:r w:rsidRPr="00067DCC">
        <w:rPr>
          <w:bCs/>
          <w:color w:val="000000" w:themeColor="text1"/>
        </w:rPr>
        <w:t>“Minēt</w:t>
      </w:r>
      <w:r w:rsidR="00D44E19" w:rsidRPr="00067DCC">
        <w:rPr>
          <w:bCs/>
          <w:color w:val="000000" w:themeColor="text1"/>
        </w:rPr>
        <w:t xml:space="preserve">os jauniešus </w:t>
      </w:r>
      <w:r w:rsidR="00364842" w:rsidRPr="00067DCC">
        <w:rPr>
          <w:bCs/>
          <w:color w:val="000000" w:themeColor="text1"/>
        </w:rPr>
        <w:t xml:space="preserve">nodalīti </w:t>
      </w:r>
      <w:r w:rsidR="00D44E19" w:rsidRPr="00067DCC">
        <w:rPr>
          <w:bCs/>
          <w:color w:val="000000" w:themeColor="text1"/>
        </w:rPr>
        <w:t>uzskaita projektā papildus</w:t>
      </w:r>
      <w:r w:rsidRPr="00067DCC">
        <w:rPr>
          <w:bCs/>
          <w:color w:val="000000" w:themeColor="text1"/>
        </w:rPr>
        <w:t xml:space="preserve"> šo noteikumu</w:t>
      </w:r>
      <w:r w:rsidR="00D44E19" w:rsidRPr="00067DCC">
        <w:rPr>
          <w:bCs/>
          <w:color w:val="000000" w:themeColor="text1"/>
        </w:rPr>
        <w:t xml:space="preserve"> 5.punktā noteiktajiem sasniedzamajiem uzraudzības rādītājiem.</w:t>
      </w:r>
      <w:r w:rsidRPr="00067DCC">
        <w:rPr>
          <w:bCs/>
          <w:color w:val="000000" w:themeColor="text1"/>
        </w:rPr>
        <w:t>”;</w:t>
      </w:r>
    </w:p>
    <w:p w14:paraId="536155F6" w14:textId="77777777" w:rsidR="003B0225" w:rsidRPr="00067DCC" w:rsidRDefault="003B0225" w:rsidP="003B0225">
      <w:pPr>
        <w:jc w:val="both"/>
        <w:rPr>
          <w:bCs/>
          <w:color w:val="000000" w:themeColor="text1"/>
        </w:rPr>
      </w:pPr>
    </w:p>
    <w:p w14:paraId="17A2A7A3" w14:textId="601ABDAC" w:rsidR="003B0225" w:rsidRPr="00067DCC" w:rsidRDefault="00E15BC9" w:rsidP="003B0225">
      <w:pPr>
        <w:jc w:val="both"/>
        <w:rPr>
          <w:bCs/>
          <w:color w:val="000000" w:themeColor="text1"/>
        </w:rPr>
      </w:pPr>
      <w:r w:rsidRPr="00067DCC">
        <w:rPr>
          <w:bCs/>
          <w:color w:val="000000" w:themeColor="text1"/>
        </w:rPr>
        <w:t>3</w:t>
      </w:r>
      <w:r w:rsidR="00550224" w:rsidRPr="00067DCC">
        <w:rPr>
          <w:bCs/>
          <w:color w:val="000000" w:themeColor="text1"/>
        </w:rPr>
        <w:t>4</w:t>
      </w:r>
      <w:r w:rsidR="003B0225" w:rsidRPr="00067DCC">
        <w:rPr>
          <w:bCs/>
          <w:color w:val="000000" w:themeColor="text1"/>
        </w:rPr>
        <w:t>.</w:t>
      </w:r>
      <w:r w:rsidR="003B0225" w:rsidRPr="00067DCC">
        <w:rPr>
          <w:rFonts w:eastAsia="Calibri"/>
          <w:bCs/>
          <w:color w:val="000000" w:themeColor="text1"/>
          <w:lang w:eastAsia="en-US"/>
        </w:rPr>
        <w:t xml:space="preserve"> </w:t>
      </w:r>
      <w:r w:rsidR="00067DCC" w:rsidRPr="00067DCC">
        <w:rPr>
          <w:rFonts w:eastAsia="Calibri"/>
          <w:bCs/>
          <w:color w:val="000000" w:themeColor="text1"/>
          <w:lang w:eastAsia="en-US"/>
        </w:rPr>
        <w:t>P</w:t>
      </w:r>
      <w:r w:rsidR="003B0225" w:rsidRPr="00067DCC">
        <w:rPr>
          <w:bCs/>
          <w:color w:val="000000" w:themeColor="text1"/>
        </w:rPr>
        <w:t xml:space="preserve">apildināt 38.6.apakšpunktu ar trešo un ceturto teikumu šādā redakcijā: </w:t>
      </w:r>
    </w:p>
    <w:p w14:paraId="2A4D8B49" w14:textId="77777777" w:rsidR="00E15BC9" w:rsidRPr="00067DCC" w:rsidRDefault="003B0225" w:rsidP="003B0225">
      <w:pPr>
        <w:jc w:val="both"/>
        <w:rPr>
          <w:bCs/>
          <w:color w:val="000000" w:themeColor="text1"/>
        </w:rPr>
      </w:pPr>
      <w:r w:rsidRPr="00067DCC">
        <w:rPr>
          <w:bCs/>
          <w:color w:val="000000" w:themeColor="text1"/>
        </w:rPr>
        <w:t>“Attiecībā uz jauniešu atbilstības pārbaudi šo noteikumu 3.3.apakšpunktā noteiktajiem iesaistes kritērijiem Valsts izglītības attīstības aģentūra sadarbojas ar Valsts ieņēmumu dienestu un Valsts sociālās apdrošināšanas aģentūru, lai pārbaudītu katra jaunieša nodarbinātības statusu uz iesaistes brīdi pasākumā.</w:t>
      </w:r>
      <w:r w:rsidR="00E15BC9" w:rsidRPr="00067DCC">
        <w:rPr>
          <w:bCs/>
          <w:color w:val="000000" w:themeColor="text1"/>
        </w:rPr>
        <w:t>”;</w:t>
      </w:r>
    </w:p>
    <w:p w14:paraId="4B7CFD64" w14:textId="77777777" w:rsidR="00F23D72" w:rsidRPr="00067DCC" w:rsidRDefault="00F23D72" w:rsidP="003B0225">
      <w:pPr>
        <w:jc w:val="both"/>
        <w:rPr>
          <w:bCs/>
          <w:color w:val="000000" w:themeColor="text1"/>
        </w:rPr>
      </w:pPr>
    </w:p>
    <w:p w14:paraId="7702D9D6" w14:textId="772FF3F4" w:rsidR="0076501C" w:rsidRPr="00067DCC" w:rsidRDefault="00E15BC9" w:rsidP="003B0225">
      <w:pPr>
        <w:jc w:val="both"/>
        <w:rPr>
          <w:bCs/>
          <w:color w:val="000000" w:themeColor="text1"/>
        </w:rPr>
      </w:pPr>
      <w:r w:rsidRPr="00067DCC">
        <w:rPr>
          <w:bCs/>
          <w:color w:val="000000" w:themeColor="text1"/>
        </w:rPr>
        <w:t>3</w:t>
      </w:r>
      <w:r w:rsidR="00550224" w:rsidRPr="00067DCC">
        <w:rPr>
          <w:bCs/>
          <w:color w:val="000000" w:themeColor="text1"/>
        </w:rPr>
        <w:t>5</w:t>
      </w:r>
      <w:r w:rsidR="0076501C" w:rsidRPr="00067DCC">
        <w:rPr>
          <w:bCs/>
          <w:color w:val="000000" w:themeColor="text1"/>
        </w:rPr>
        <w:t>.</w:t>
      </w:r>
      <w:r w:rsidR="00AB67EE" w:rsidRPr="00067DCC">
        <w:rPr>
          <w:bCs/>
          <w:color w:val="000000" w:themeColor="text1"/>
        </w:rPr>
        <w:t xml:space="preserve"> </w:t>
      </w:r>
      <w:r w:rsidR="00067DCC" w:rsidRPr="00067DCC">
        <w:rPr>
          <w:bCs/>
          <w:color w:val="000000" w:themeColor="text1"/>
        </w:rPr>
        <w:t>P</w:t>
      </w:r>
      <w:r w:rsidR="0076501C" w:rsidRPr="00067DCC">
        <w:rPr>
          <w:bCs/>
          <w:color w:val="000000" w:themeColor="text1"/>
        </w:rPr>
        <w:t xml:space="preserve">apildināt noteikumus ar </w:t>
      </w:r>
      <w:r w:rsidRPr="00067DCC">
        <w:rPr>
          <w:bCs/>
          <w:color w:val="000000" w:themeColor="text1"/>
        </w:rPr>
        <w:t xml:space="preserve">38.7. un </w:t>
      </w:r>
      <w:r w:rsidR="0076501C" w:rsidRPr="00067DCC">
        <w:rPr>
          <w:bCs/>
          <w:color w:val="000000" w:themeColor="text1"/>
        </w:rPr>
        <w:t>38.</w:t>
      </w:r>
      <w:r w:rsidRPr="00067DCC">
        <w:rPr>
          <w:bCs/>
          <w:color w:val="000000" w:themeColor="text1"/>
        </w:rPr>
        <w:t>8</w:t>
      </w:r>
      <w:r w:rsidR="0076501C" w:rsidRPr="00067DCC">
        <w:rPr>
          <w:bCs/>
          <w:color w:val="000000" w:themeColor="text1"/>
        </w:rPr>
        <w:t>.apakšpunktu šādā redakcijā:</w:t>
      </w:r>
    </w:p>
    <w:p w14:paraId="4A6CDF4B" w14:textId="53724B6A" w:rsidR="00E15BC9" w:rsidRPr="00067DCC" w:rsidRDefault="0076501C" w:rsidP="003B0225">
      <w:pPr>
        <w:jc w:val="both"/>
        <w:rPr>
          <w:bCs/>
          <w:color w:val="000000" w:themeColor="text1"/>
        </w:rPr>
      </w:pPr>
      <w:r w:rsidRPr="00067DCC">
        <w:rPr>
          <w:bCs/>
          <w:color w:val="000000" w:themeColor="text1"/>
        </w:rPr>
        <w:t>“</w:t>
      </w:r>
      <w:r w:rsidR="00E15BC9" w:rsidRPr="00067DCC">
        <w:rPr>
          <w:bCs/>
          <w:color w:val="000000" w:themeColor="text1"/>
        </w:rPr>
        <w:t xml:space="preserve">38.7. </w:t>
      </w:r>
      <w:r w:rsidR="002778F1" w:rsidRPr="00067DCC">
        <w:rPr>
          <w:bCs/>
          <w:color w:val="000000" w:themeColor="text1"/>
        </w:rPr>
        <w:t xml:space="preserve">šo noteikumu 3.2.apakšpunktā noteiktais ierobežojums attiecībā uz </w:t>
      </w:r>
      <w:r w:rsidR="0067239F" w:rsidRPr="00067DCC">
        <w:rPr>
          <w:bCs/>
          <w:color w:val="000000" w:themeColor="text1"/>
        </w:rPr>
        <w:t>nodarbinātu jauniešu iesaisti pasākumā “Sākotnējās profesionālās izglītības programmu īstenošana Jauniešu garantijas ietvaros”</w:t>
      </w:r>
      <w:r w:rsidR="002778F1" w:rsidRPr="00067DCC">
        <w:rPr>
          <w:bCs/>
          <w:color w:val="000000" w:themeColor="text1"/>
        </w:rPr>
        <w:t xml:space="preserve"> neattiec</w:t>
      </w:r>
      <w:r w:rsidR="00E15BC9" w:rsidRPr="00067DCC">
        <w:rPr>
          <w:bCs/>
          <w:color w:val="000000" w:themeColor="text1"/>
        </w:rPr>
        <w:t>ina</w:t>
      </w:r>
      <w:r w:rsidR="002778F1" w:rsidRPr="00067DCC">
        <w:rPr>
          <w:bCs/>
          <w:color w:val="000000" w:themeColor="text1"/>
        </w:rPr>
        <w:t xml:space="preserve"> uz </w:t>
      </w:r>
      <w:r w:rsidR="0067239F" w:rsidRPr="00067DCC">
        <w:rPr>
          <w:bCs/>
          <w:color w:val="000000" w:themeColor="text1"/>
        </w:rPr>
        <w:t xml:space="preserve">šo noteikumu 3.2.2.apakšpunktā minētajiem ieslodzījuma vietās esošiem </w:t>
      </w:r>
      <w:r w:rsidR="002778F1" w:rsidRPr="00067DCC">
        <w:rPr>
          <w:bCs/>
          <w:color w:val="000000" w:themeColor="text1"/>
        </w:rPr>
        <w:t xml:space="preserve">jauniešiem, kas </w:t>
      </w:r>
      <w:r w:rsidR="0067239F" w:rsidRPr="00067DCC">
        <w:rPr>
          <w:bCs/>
          <w:color w:val="000000" w:themeColor="text1"/>
        </w:rPr>
        <w:t xml:space="preserve">šo noteikumu </w:t>
      </w:r>
      <w:r w:rsidR="002778F1" w:rsidRPr="00067DCC">
        <w:rPr>
          <w:bCs/>
          <w:color w:val="000000" w:themeColor="text1"/>
        </w:rPr>
        <w:t xml:space="preserve">18.2.3.apakšpunktā minētajā atbalstāmajā darbībā iesaistījušies līdz </w:t>
      </w:r>
      <w:proofErr w:type="gramStart"/>
      <w:r w:rsidR="002778F1" w:rsidRPr="00067DCC">
        <w:rPr>
          <w:bCs/>
          <w:color w:val="000000" w:themeColor="text1"/>
        </w:rPr>
        <w:t>2015.gada</w:t>
      </w:r>
      <w:proofErr w:type="gramEnd"/>
      <w:r w:rsidR="002778F1" w:rsidRPr="00067DCC">
        <w:rPr>
          <w:bCs/>
          <w:color w:val="000000" w:themeColor="text1"/>
        </w:rPr>
        <w:t xml:space="preserve"> 1.jūnijam. </w:t>
      </w:r>
      <w:r w:rsidR="00A00134" w:rsidRPr="00067DCC">
        <w:rPr>
          <w:bCs/>
          <w:color w:val="000000" w:themeColor="text1"/>
        </w:rPr>
        <w:t>Minētos jauniešus nodalīti uzskaita projektā papildus šo noteikumu 5.punktā noteiktajiem sasniedzamajiem uzraudzības rādītājiem</w:t>
      </w:r>
      <w:r w:rsidR="002778F1" w:rsidRPr="00067DCC">
        <w:rPr>
          <w:bCs/>
          <w:color w:val="000000" w:themeColor="text1"/>
        </w:rPr>
        <w:t xml:space="preserve"> un finansē šo noteikumu 41.punktā noteiktajā kārtībā</w:t>
      </w:r>
      <w:r w:rsidR="00E15BC9" w:rsidRPr="00067DCC">
        <w:rPr>
          <w:bCs/>
          <w:color w:val="000000" w:themeColor="text1"/>
        </w:rPr>
        <w:t>;</w:t>
      </w:r>
    </w:p>
    <w:p w14:paraId="3BB217E8" w14:textId="0A2539BF" w:rsidR="0076501C" w:rsidRPr="00067DCC" w:rsidRDefault="00E15BC9" w:rsidP="003B0225">
      <w:pPr>
        <w:jc w:val="both"/>
        <w:rPr>
          <w:bCs/>
          <w:color w:val="000000" w:themeColor="text1"/>
        </w:rPr>
      </w:pPr>
      <w:r w:rsidRPr="00067DCC">
        <w:rPr>
          <w:bCs/>
          <w:color w:val="000000" w:themeColor="text1"/>
        </w:rPr>
        <w:t>38.8. šo noteikumu 3.3.apakšpunktā minētos jauniešus uzskaita projektā atbilstoši šo noteikumu 5.1.5.</w:t>
      </w:r>
      <w:r w:rsidR="00D30826" w:rsidRPr="00067DCC">
        <w:rPr>
          <w:sz w:val="22"/>
          <w:szCs w:val="22"/>
        </w:rPr>
        <w:t xml:space="preserve"> </w:t>
      </w:r>
      <w:r w:rsidR="00D30826" w:rsidRPr="00067DCC">
        <w:rPr>
          <w:bCs/>
          <w:color w:val="000000" w:themeColor="text1"/>
        </w:rPr>
        <w:t>un 5.2.14.apakšpunktā noteiktajiem sasniedzamajiem uzraudzības rādītājiem</w:t>
      </w:r>
      <w:r w:rsidRPr="00067DCC">
        <w:rPr>
          <w:bCs/>
          <w:color w:val="000000" w:themeColor="text1"/>
        </w:rPr>
        <w:t>.</w:t>
      </w:r>
      <w:r w:rsidR="0076501C" w:rsidRPr="00067DCC">
        <w:rPr>
          <w:bCs/>
          <w:color w:val="000000" w:themeColor="text1"/>
        </w:rPr>
        <w:t>”.</w:t>
      </w:r>
    </w:p>
    <w:p w14:paraId="773BC55E" w14:textId="77777777" w:rsidR="0076501C" w:rsidRPr="00067DCC" w:rsidRDefault="0076501C" w:rsidP="003B0225">
      <w:pPr>
        <w:jc w:val="both"/>
        <w:rPr>
          <w:bCs/>
          <w:color w:val="000000" w:themeColor="text1"/>
        </w:rPr>
      </w:pPr>
    </w:p>
    <w:p w14:paraId="4B0F9F7C" w14:textId="6DA96840" w:rsidR="0076501C" w:rsidRPr="00067DCC" w:rsidRDefault="00067DCC" w:rsidP="003B0225">
      <w:pPr>
        <w:jc w:val="both"/>
        <w:rPr>
          <w:bCs/>
          <w:color w:val="000000" w:themeColor="text1"/>
        </w:rPr>
      </w:pPr>
      <w:r w:rsidRPr="00067DCC">
        <w:rPr>
          <w:bCs/>
          <w:color w:val="000000" w:themeColor="text1"/>
        </w:rPr>
        <w:t>36</w:t>
      </w:r>
      <w:r w:rsidR="00550224" w:rsidRPr="00067DCC">
        <w:rPr>
          <w:bCs/>
          <w:color w:val="000000" w:themeColor="text1"/>
        </w:rPr>
        <w:t>.</w:t>
      </w:r>
      <w:r w:rsidR="00AB67EE" w:rsidRPr="00067DCC">
        <w:rPr>
          <w:bCs/>
          <w:color w:val="000000" w:themeColor="text1"/>
        </w:rPr>
        <w:t xml:space="preserve"> </w:t>
      </w:r>
      <w:r w:rsidRPr="00067DCC">
        <w:rPr>
          <w:bCs/>
          <w:color w:val="000000" w:themeColor="text1"/>
        </w:rPr>
        <w:t>S</w:t>
      </w:r>
      <w:r w:rsidR="0076501C" w:rsidRPr="00067DCC">
        <w:rPr>
          <w:bCs/>
          <w:color w:val="000000" w:themeColor="text1"/>
        </w:rPr>
        <w:t>vītrot 39.1.apakšpunktu;</w:t>
      </w:r>
    </w:p>
    <w:p w14:paraId="436BEDFD" w14:textId="77777777" w:rsidR="0076501C" w:rsidRPr="00067DCC" w:rsidRDefault="0076501C" w:rsidP="003B0225">
      <w:pPr>
        <w:jc w:val="both"/>
        <w:rPr>
          <w:bCs/>
          <w:color w:val="000000" w:themeColor="text1"/>
        </w:rPr>
      </w:pPr>
    </w:p>
    <w:p w14:paraId="1511C131" w14:textId="02B1AF13" w:rsidR="00F23D72" w:rsidRPr="00067DCC" w:rsidRDefault="00E15BC9" w:rsidP="003B0225">
      <w:pPr>
        <w:jc w:val="both"/>
        <w:rPr>
          <w:bCs/>
          <w:color w:val="000000" w:themeColor="text1"/>
        </w:rPr>
      </w:pPr>
      <w:r w:rsidRPr="00067DCC">
        <w:rPr>
          <w:bCs/>
          <w:color w:val="000000" w:themeColor="text1"/>
        </w:rPr>
        <w:t>3</w:t>
      </w:r>
      <w:r w:rsidR="00550224" w:rsidRPr="00067DCC">
        <w:rPr>
          <w:bCs/>
          <w:color w:val="000000" w:themeColor="text1"/>
        </w:rPr>
        <w:t>7</w:t>
      </w:r>
      <w:r w:rsidR="00F23D72" w:rsidRPr="00067DCC">
        <w:rPr>
          <w:bCs/>
          <w:color w:val="000000" w:themeColor="text1"/>
        </w:rPr>
        <w:t xml:space="preserve">. </w:t>
      </w:r>
      <w:r w:rsidR="00067DCC" w:rsidRPr="00067DCC">
        <w:rPr>
          <w:bCs/>
          <w:color w:val="000000" w:themeColor="text1"/>
        </w:rPr>
        <w:t>I</w:t>
      </w:r>
      <w:r w:rsidR="00F23D72" w:rsidRPr="00067DCC">
        <w:rPr>
          <w:bCs/>
          <w:color w:val="000000" w:themeColor="text1"/>
        </w:rPr>
        <w:t>zteikt 39.2.</w:t>
      </w:r>
      <w:r w:rsidR="00E31F64" w:rsidRPr="00067DCC">
        <w:rPr>
          <w:bCs/>
          <w:color w:val="000000" w:themeColor="text1"/>
        </w:rPr>
        <w:t xml:space="preserve"> un 39.3.</w:t>
      </w:r>
      <w:r w:rsidR="00F23D72" w:rsidRPr="00067DCC">
        <w:rPr>
          <w:bCs/>
          <w:color w:val="000000" w:themeColor="text1"/>
        </w:rPr>
        <w:t>apakšpunktu šādā redakcijā:</w:t>
      </w:r>
    </w:p>
    <w:p w14:paraId="718A5DDB" w14:textId="5C767719" w:rsidR="00E31F64" w:rsidRPr="00067DCC" w:rsidRDefault="00F23D72" w:rsidP="00E31F64">
      <w:pPr>
        <w:jc w:val="both"/>
        <w:rPr>
          <w:bCs/>
          <w:color w:val="000000" w:themeColor="text1"/>
        </w:rPr>
      </w:pPr>
      <w:r w:rsidRPr="00067DCC">
        <w:rPr>
          <w:bCs/>
          <w:color w:val="000000" w:themeColor="text1"/>
        </w:rPr>
        <w:t>“39.2. ja</w:t>
      </w:r>
      <w:r w:rsidR="003709AE" w:rsidRPr="00067DCC">
        <w:rPr>
          <w:bCs/>
          <w:color w:val="000000" w:themeColor="text1"/>
        </w:rPr>
        <w:t>, organizējot uzņemšanu,</w:t>
      </w:r>
      <w:r w:rsidRPr="00067DCC">
        <w:rPr>
          <w:bCs/>
          <w:color w:val="000000" w:themeColor="text1"/>
        </w:rPr>
        <w:t xml:space="preserve"> izglītojamo skaits profesionālās izglītības programmas grupā ir mazāks par 16 audzēkņiem, </w:t>
      </w:r>
      <w:r w:rsidR="000C6813" w:rsidRPr="00067DCC">
        <w:rPr>
          <w:bCs/>
          <w:color w:val="000000" w:themeColor="text1"/>
        </w:rPr>
        <w:t>profesionālās izglītības iestāde</w:t>
      </w:r>
      <w:r w:rsidR="008C2FD2" w:rsidRPr="00067DCC">
        <w:rPr>
          <w:bCs/>
          <w:color w:val="000000" w:themeColor="text1"/>
        </w:rPr>
        <w:t xml:space="preserve"> vai koledža </w:t>
      </w:r>
      <w:r w:rsidR="00302175" w:rsidRPr="00067DCC">
        <w:rPr>
          <w:bCs/>
          <w:color w:val="000000" w:themeColor="text1"/>
        </w:rPr>
        <w:t>ar tās dibinātāja saskaņojumu</w:t>
      </w:r>
      <w:r w:rsidR="008C2FD2" w:rsidRPr="00067DCC">
        <w:rPr>
          <w:bCs/>
          <w:color w:val="000000" w:themeColor="text1"/>
        </w:rPr>
        <w:t>, ja to pieļauj izglītības programmas specifika,</w:t>
      </w:r>
      <w:r w:rsidR="000C6813" w:rsidRPr="00067DCC">
        <w:rPr>
          <w:bCs/>
          <w:color w:val="000000" w:themeColor="text1"/>
        </w:rPr>
        <w:t xml:space="preserve"> izskata iespēju grupas apvienot</w:t>
      </w:r>
      <w:r w:rsidR="008C2FD2" w:rsidRPr="00067DCC">
        <w:rPr>
          <w:bCs/>
          <w:color w:val="000000" w:themeColor="text1"/>
        </w:rPr>
        <w:t xml:space="preserve"> vai veidot grupas ar mazāku izglītojamo skaitu</w:t>
      </w:r>
      <w:r w:rsidR="000C09AB" w:rsidRPr="00067DCC">
        <w:rPr>
          <w:bCs/>
          <w:color w:val="000000" w:themeColor="text1"/>
        </w:rPr>
        <w:t xml:space="preserve"> (ne mazāk kā 10 izglītojamie)</w:t>
      </w:r>
      <w:r w:rsidR="000C6813" w:rsidRPr="00067DCC">
        <w:rPr>
          <w:bCs/>
          <w:color w:val="000000" w:themeColor="text1"/>
        </w:rPr>
        <w:t>,</w:t>
      </w:r>
      <w:r w:rsidR="000C09AB" w:rsidRPr="00067DCC">
        <w:rPr>
          <w:bCs/>
          <w:color w:val="000000" w:themeColor="text1"/>
        </w:rPr>
        <w:t xml:space="preserve"> bet</w:t>
      </w:r>
      <w:r w:rsidR="000C6813" w:rsidRPr="00067DCC">
        <w:rPr>
          <w:bCs/>
          <w:color w:val="000000" w:themeColor="text1"/>
        </w:rPr>
        <w:t xml:space="preserve">, ja tas nav iespējams, </w:t>
      </w:r>
      <w:r w:rsidRPr="00067DCC">
        <w:rPr>
          <w:bCs/>
          <w:color w:val="000000" w:themeColor="text1"/>
        </w:rPr>
        <w:t>grupu neveido</w:t>
      </w:r>
      <w:r w:rsidR="00043E25" w:rsidRPr="00067DCC">
        <w:rPr>
          <w:bCs/>
          <w:color w:val="000000" w:themeColor="text1"/>
        </w:rPr>
        <w:t>, par to informējot Valsts izglītības attīstības aģentūru</w:t>
      </w:r>
      <w:r w:rsidR="00E31F64" w:rsidRPr="00067DCC">
        <w:rPr>
          <w:bCs/>
          <w:color w:val="000000" w:themeColor="text1"/>
        </w:rPr>
        <w:t>;</w:t>
      </w:r>
    </w:p>
    <w:p w14:paraId="2A5B08D7" w14:textId="76369348" w:rsidR="003709AE" w:rsidRPr="00067DCC" w:rsidRDefault="003709AE" w:rsidP="003B0225">
      <w:pPr>
        <w:jc w:val="both"/>
        <w:rPr>
          <w:bCs/>
          <w:color w:val="000000" w:themeColor="text1"/>
        </w:rPr>
      </w:pPr>
      <w:r w:rsidRPr="00067DCC">
        <w:rPr>
          <w:bCs/>
          <w:color w:val="000000" w:themeColor="text1"/>
        </w:rPr>
        <w:t xml:space="preserve">39.3. </w:t>
      </w:r>
      <w:r w:rsidR="002B776F" w:rsidRPr="00067DCC">
        <w:rPr>
          <w:bCs/>
          <w:color w:val="000000" w:themeColor="text1"/>
        </w:rPr>
        <w:t>ja, organizējot uzņemšanu, izglītojamo skaits profesionālās izglītības programmas grupā ir lielāks par 32 audzēkņiem, profesionālās izglītības iestāde vai koledža ar tās dibinātāja saskaņojumu veido papildu grupu, attiecīgi par to informējot Valsts izglītības attīstības aģentūru</w:t>
      </w:r>
      <w:r w:rsidRPr="00067DCC">
        <w:rPr>
          <w:bCs/>
          <w:color w:val="000000" w:themeColor="text1"/>
        </w:rPr>
        <w:t>;”;</w:t>
      </w:r>
    </w:p>
    <w:p w14:paraId="4355FA02" w14:textId="77777777" w:rsidR="00FE4F3B" w:rsidRPr="00067DCC" w:rsidRDefault="00FE4F3B" w:rsidP="003B0225">
      <w:pPr>
        <w:jc w:val="both"/>
        <w:rPr>
          <w:bCs/>
          <w:color w:val="000000" w:themeColor="text1"/>
        </w:rPr>
      </w:pPr>
    </w:p>
    <w:p w14:paraId="42023471" w14:textId="29462C53" w:rsidR="00FE4F3B" w:rsidRPr="00067DCC" w:rsidRDefault="00E15BC9" w:rsidP="003B0225">
      <w:pPr>
        <w:jc w:val="both"/>
        <w:rPr>
          <w:bCs/>
          <w:color w:val="000000" w:themeColor="text1"/>
        </w:rPr>
      </w:pPr>
      <w:r w:rsidRPr="00067DCC">
        <w:rPr>
          <w:bCs/>
          <w:color w:val="000000" w:themeColor="text1"/>
        </w:rPr>
        <w:t>3</w:t>
      </w:r>
      <w:r w:rsidR="00550224" w:rsidRPr="00067DCC">
        <w:rPr>
          <w:bCs/>
          <w:color w:val="000000" w:themeColor="text1"/>
        </w:rPr>
        <w:t>8</w:t>
      </w:r>
      <w:r w:rsidR="00FE4F3B" w:rsidRPr="00067DCC">
        <w:rPr>
          <w:bCs/>
          <w:color w:val="000000" w:themeColor="text1"/>
        </w:rPr>
        <w:t xml:space="preserve">. </w:t>
      </w:r>
      <w:r w:rsidR="00067DCC" w:rsidRPr="00067DCC">
        <w:rPr>
          <w:bCs/>
          <w:color w:val="000000" w:themeColor="text1"/>
        </w:rPr>
        <w:t>P</w:t>
      </w:r>
      <w:r w:rsidR="00FE4F3B" w:rsidRPr="00067DCC">
        <w:rPr>
          <w:bCs/>
          <w:color w:val="000000" w:themeColor="text1"/>
        </w:rPr>
        <w:t>apildināt noteikumus ar 39.3.</w:t>
      </w:r>
      <w:r w:rsidR="00FE4F3B" w:rsidRPr="00067DCC">
        <w:rPr>
          <w:bCs/>
          <w:color w:val="000000" w:themeColor="text1"/>
          <w:vertAlign w:val="superscript"/>
        </w:rPr>
        <w:t>1</w:t>
      </w:r>
      <w:r w:rsidR="00FE4F3B" w:rsidRPr="00067DCC">
        <w:rPr>
          <w:bCs/>
          <w:color w:val="000000" w:themeColor="text1"/>
        </w:rPr>
        <w:t>apakšpunktu šādā redakcijā:</w:t>
      </w:r>
    </w:p>
    <w:p w14:paraId="1BFB119F" w14:textId="01744B91" w:rsidR="00FE4F3B" w:rsidRPr="00067DCC" w:rsidRDefault="00FE4F3B" w:rsidP="003B0225">
      <w:pPr>
        <w:jc w:val="both"/>
        <w:rPr>
          <w:bCs/>
          <w:color w:val="000000" w:themeColor="text1"/>
        </w:rPr>
      </w:pPr>
      <w:r w:rsidRPr="00067DCC">
        <w:rPr>
          <w:bCs/>
          <w:color w:val="000000" w:themeColor="text1"/>
        </w:rPr>
        <w:t>“39.3.</w:t>
      </w:r>
      <w:r w:rsidRPr="00067DCC">
        <w:rPr>
          <w:bCs/>
          <w:color w:val="000000" w:themeColor="text1"/>
          <w:vertAlign w:val="superscript"/>
        </w:rPr>
        <w:t>1</w:t>
      </w:r>
      <w:r w:rsidRPr="00067DCC">
        <w:rPr>
          <w:bCs/>
          <w:color w:val="000000" w:themeColor="text1"/>
        </w:rPr>
        <w:t xml:space="preserve"> </w:t>
      </w:r>
      <w:r w:rsidR="006304A2" w:rsidRPr="00067DCC">
        <w:rPr>
          <w:bCs/>
          <w:color w:val="000000" w:themeColor="text1"/>
        </w:rPr>
        <w:t xml:space="preserve">ja </w:t>
      </w:r>
      <w:r w:rsidRPr="00067DCC">
        <w:rPr>
          <w:bCs/>
          <w:color w:val="000000" w:themeColor="text1"/>
        </w:rPr>
        <w:t>profesionālās izglīt</w:t>
      </w:r>
      <w:r w:rsidR="006304A2" w:rsidRPr="00067DCC">
        <w:rPr>
          <w:bCs/>
          <w:color w:val="000000" w:themeColor="text1"/>
        </w:rPr>
        <w:t xml:space="preserve">ības programmu īstenošanas gaitā </w:t>
      </w:r>
      <w:r w:rsidR="00F707FB" w:rsidRPr="00067DCC">
        <w:rPr>
          <w:bCs/>
          <w:color w:val="000000" w:themeColor="text1"/>
        </w:rPr>
        <w:t xml:space="preserve">izglītojamo skaits </w:t>
      </w:r>
      <w:r w:rsidR="00C722AF" w:rsidRPr="00067DCC">
        <w:rPr>
          <w:bCs/>
          <w:color w:val="000000" w:themeColor="text1"/>
        </w:rPr>
        <w:t>vienā</w:t>
      </w:r>
      <w:r w:rsidR="00F707FB" w:rsidRPr="00067DCC">
        <w:rPr>
          <w:bCs/>
          <w:color w:val="000000" w:themeColor="text1"/>
        </w:rPr>
        <w:t xml:space="preserve"> grupā </w:t>
      </w:r>
      <w:r w:rsidR="006304A2" w:rsidRPr="00067DCC">
        <w:rPr>
          <w:bCs/>
          <w:color w:val="000000" w:themeColor="text1"/>
        </w:rPr>
        <w:t xml:space="preserve">ir </w:t>
      </w:r>
      <w:r w:rsidR="00302175" w:rsidRPr="00067DCC">
        <w:rPr>
          <w:bCs/>
          <w:color w:val="000000" w:themeColor="text1"/>
        </w:rPr>
        <w:t xml:space="preserve">kļuvis </w:t>
      </w:r>
      <w:r w:rsidR="006D4EB3" w:rsidRPr="00067DCC">
        <w:rPr>
          <w:bCs/>
          <w:color w:val="000000" w:themeColor="text1"/>
        </w:rPr>
        <w:t xml:space="preserve">mazāks </w:t>
      </w:r>
      <w:r w:rsidR="00302175" w:rsidRPr="00067DCC">
        <w:rPr>
          <w:bCs/>
          <w:color w:val="000000" w:themeColor="text1"/>
        </w:rPr>
        <w:t>ne</w:t>
      </w:r>
      <w:r w:rsidR="006D4EB3" w:rsidRPr="00067DCC">
        <w:rPr>
          <w:bCs/>
          <w:color w:val="000000" w:themeColor="text1"/>
        </w:rPr>
        <w:t xml:space="preserve">kā </w:t>
      </w:r>
      <w:r w:rsidR="00F707FB" w:rsidRPr="00067DCC">
        <w:rPr>
          <w:bCs/>
          <w:color w:val="000000" w:themeColor="text1"/>
        </w:rPr>
        <w:t xml:space="preserve">šo noteikumu </w:t>
      </w:r>
      <w:r w:rsidR="003709AE" w:rsidRPr="00067DCC">
        <w:rPr>
          <w:bCs/>
          <w:color w:val="000000" w:themeColor="text1"/>
        </w:rPr>
        <w:t>39.2.</w:t>
      </w:r>
      <w:r w:rsidR="00F707FB" w:rsidRPr="00067DCC">
        <w:rPr>
          <w:bCs/>
          <w:color w:val="000000" w:themeColor="text1"/>
        </w:rPr>
        <w:t>apakšpunktā noteiktais minimālais  izgl</w:t>
      </w:r>
      <w:r w:rsidR="006D4EB3" w:rsidRPr="00067DCC">
        <w:rPr>
          <w:bCs/>
          <w:color w:val="000000" w:themeColor="text1"/>
        </w:rPr>
        <w:t>ītojamo skaits</w:t>
      </w:r>
      <w:r w:rsidR="006304A2" w:rsidRPr="00067DCC">
        <w:rPr>
          <w:bCs/>
          <w:color w:val="000000" w:themeColor="text1"/>
        </w:rPr>
        <w:t xml:space="preserve">, grupas apvieno vai, ja tas nav iespējams, profesionālo izglītības </w:t>
      </w:r>
      <w:r w:rsidR="00C722AF" w:rsidRPr="00067DCC">
        <w:rPr>
          <w:bCs/>
          <w:color w:val="000000" w:themeColor="text1"/>
        </w:rPr>
        <w:t xml:space="preserve">programmas īstenošanu </w:t>
      </w:r>
      <w:r w:rsidR="006304A2" w:rsidRPr="00067DCC">
        <w:rPr>
          <w:bCs/>
          <w:color w:val="000000" w:themeColor="text1"/>
        </w:rPr>
        <w:t>nodrošina grupai ar mazāku izglītojamo skaitu;</w:t>
      </w:r>
      <w:r w:rsidRPr="00067DCC">
        <w:rPr>
          <w:bCs/>
          <w:color w:val="000000" w:themeColor="text1"/>
        </w:rPr>
        <w:t>”;</w:t>
      </w:r>
    </w:p>
    <w:p w14:paraId="427E97BF" w14:textId="77777777" w:rsidR="0076501C" w:rsidRPr="00067DCC" w:rsidRDefault="0076501C" w:rsidP="0076501C">
      <w:pPr>
        <w:jc w:val="both"/>
        <w:rPr>
          <w:bCs/>
          <w:color w:val="000000" w:themeColor="text1"/>
        </w:rPr>
      </w:pPr>
    </w:p>
    <w:p w14:paraId="360A4179" w14:textId="6E114E65" w:rsidR="0076501C" w:rsidRPr="00067DCC" w:rsidRDefault="00E15BC9" w:rsidP="0076501C">
      <w:pPr>
        <w:jc w:val="both"/>
        <w:rPr>
          <w:bCs/>
          <w:color w:val="000000" w:themeColor="text1"/>
        </w:rPr>
      </w:pPr>
      <w:r w:rsidRPr="00067DCC">
        <w:rPr>
          <w:bCs/>
          <w:color w:val="000000" w:themeColor="text1"/>
        </w:rPr>
        <w:t>3</w:t>
      </w:r>
      <w:r w:rsidR="00550224" w:rsidRPr="00067DCC">
        <w:rPr>
          <w:bCs/>
          <w:color w:val="000000" w:themeColor="text1"/>
        </w:rPr>
        <w:t>9</w:t>
      </w:r>
      <w:r w:rsidR="0076501C" w:rsidRPr="00067DCC">
        <w:rPr>
          <w:bCs/>
          <w:color w:val="000000" w:themeColor="text1"/>
        </w:rPr>
        <w:t>.</w:t>
      </w:r>
      <w:r w:rsidR="00AB67EE" w:rsidRPr="00067DCC">
        <w:rPr>
          <w:bCs/>
          <w:color w:val="000000" w:themeColor="text1"/>
        </w:rPr>
        <w:t xml:space="preserve"> </w:t>
      </w:r>
      <w:r w:rsidR="00067DCC" w:rsidRPr="00067DCC">
        <w:rPr>
          <w:bCs/>
          <w:color w:val="000000" w:themeColor="text1"/>
        </w:rPr>
        <w:t>S</w:t>
      </w:r>
      <w:r w:rsidR="0076501C" w:rsidRPr="00067DCC">
        <w:rPr>
          <w:bCs/>
          <w:color w:val="000000" w:themeColor="text1"/>
        </w:rPr>
        <w:t>vītrot 40.9.apakšpunktā trešo teikumu.</w:t>
      </w:r>
    </w:p>
    <w:p w14:paraId="4B776CDB" w14:textId="77777777" w:rsidR="00D44A95" w:rsidRPr="00067DCC" w:rsidRDefault="00D44A95" w:rsidP="003B0225">
      <w:pPr>
        <w:jc w:val="both"/>
        <w:rPr>
          <w:bCs/>
          <w:color w:val="000000" w:themeColor="text1"/>
        </w:rPr>
      </w:pPr>
    </w:p>
    <w:p w14:paraId="4FE64447" w14:textId="3B01D008" w:rsidR="006304A2" w:rsidRPr="00067DCC" w:rsidRDefault="00550224" w:rsidP="003B0225">
      <w:pPr>
        <w:jc w:val="both"/>
        <w:rPr>
          <w:bCs/>
          <w:color w:val="000000" w:themeColor="text1"/>
        </w:rPr>
      </w:pPr>
      <w:r w:rsidRPr="00067DCC">
        <w:rPr>
          <w:bCs/>
          <w:color w:val="000000" w:themeColor="text1"/>
        </w:rPr>
        <w:t>40</w:t>
      </w:r>
      <w:r w:rsidR="006304A2" w:rsidRPr="00067DCC">
        <w:rPr>
          <w:bCs/>
          <w:color w:val="000000" w:themeColor="text1"/>
        </w:rPr>
        <w:t xml:space="preserve">. </w:t>
      </w:r>
      <w:r w:rsidR="00067DCC" w:rsidRPr="00067DCC">
        <w:rPr>
          <w:bCs/>
          <w:color w:val="000000" w:themeColor="text1"/>
        </w:rPr>
        <w:t>P</w:t>
      </w:r>
      <w:r w:rsidR="006304A2" w:rsidRPr="00067DCC">
        <w:rPr>
          <w:bCs/>
          <w:color w:val="000000" w:themeColor="text1"/>
        </w:rPr>
        <w:t>apildināt noteikumus ar 40.11.</w:t>
      </w:r>
      <w:r w:rsidRPr="00067DCC">
        <w:rPr>
          <w:bCs/>
          <w:color w:val="000000" w:themeColor="text1"/>
        </w:rPr>
        <w:t>, 40.12.</w:t>
      </w:r>
      <w:r w:rsidR="00EE0947" w:rsidRPr="00067DCC">
        <w:rPr>
          <w:bCs/>
          <w:color w:val="000000" w:themeColor="text1"/>
        </w:rPr>
        <w:t xml:space="preserve"> un 40.1</w:t>
      </w:r>
      <w:r w:rsidRPr="00067DCC">
        <w:rPr>
          <w:bCs/>
          <w:color w:val="000000" w:themeColor="text1"/>
        </w:rPr>
        <w:t>3</w:t>
      </w:r>
      <w:r w:rsidR="00EE0947" w:rsidRPr="00067DCC">
        <w:rPr>
          <w:bCs/>
          <w:color w:val="000000" w:themeColor="text1"/>
        </w:rPr>
        <w:t>.</w:t>
      </w:r>
      <w:r w:rsidR="006304A2" w:rsidRPr="00067DCC">
        <w:rPr>
          <w:bCs/>
          <w:color w:val="000000" w:themeColor="text1"/>
        </w:rPr>
        <w:t>apakšpunktu šādā redakcijā:</w:t>
      </w:r>
    </w:p>
    <w:p w14:paraId="14FFF905" w14:textId="7D59DF22" w:rsidR="00EE0947" w:rsidRPr="00067DCC" w:rsidRDefault="006304A2" w:rsidP="003B0225">
      <w:pPr>
        <w:jc w:val="both"/>
        <w:rPr>
          <w:bCs/>
          <w:color w:val="000000" w:themeColor="text1"/>
        </w:rPr>
      </w:pPr>
      <w:r w:rsidRPr="00067DCC">
        <w:rPr>
          <w:bCs/>
          <w:color w:val="000000" w:themeColor="text1"/>
        </w:rPr>
        <w:t xml:space="preserve">“40.11. uzkrāj datus par šāda horizontālā principa “Vienlīdzīgas iespējas” </w:t>
      </w:r>
      <w:r w:rsidR="00C722AF" w:rsidRPr="00067DCC">
        <w:rPr>
          <w:bCs/>
          <w:color w:val="000000" w:themeColor="text1"/>
        </w:rPr>
        <w:t xml:space="preserve">horizontālā </w:t>
      </w:r>
      <w:r w:rsidRPr="00067DCC">
        <w:rPr>
          <w:bCs/>
          <w:color w:val="000000" w:themeColor="text1"/>
        </w:rPr>
        <w:t>rādītāja sasniegšanu: “Specifiskus pakalpojumus saņēmušās personas ar invaliditāti (darbavietu pielāgošana, ergoterapeita, surdotulka</w:t>
      </w:r>
      <w:r w:rsidR="00756F4D" w:rsidRPr="00067DCC">
        <w:rPr>
          <w:bCs/>
          <w:color w:val="000000" w:themeColor="text1"/>
        </w:rPr>
        <w:t xml:space="preserve"> un atbalsta personas</w:t>
      </w:r>
      <w:r w:rsidRPr="00067DCC">
        <w:rPr>
          <w:bCs/>
          <w:color w:val="000000" w:themeColor="text1"/>
        </w:rPr>
        <w:t xml:space="preserve"> pakalpojumi, specializētā transporta pakalpojumi)</w:t>
      </w:r>
      <w:r w:rsidR="00051F4D" w:rsidRPr="00067DCC">
        <w:rPr>
          <w:bCs/>
          <w:color w:val="000000" w:themeColor="text1"/>
        </w:rPr>
        <w:t>;</w:t>
      </w:r>
      <w:r w:rsidRPr="00067DCC">
        <w:rPr>
          <w:bCs/>
          <w:color w:val="000000" w:themeColor="text1"/>
        </w:rPr>
        <w:t>”</w:t>
      </w:r>
      <w:r w:rsidR="00EE0947" w:rsidRPr="00067DCC">
        <w:rPr>
          <w:bCs/>
          <w:color w:val="000000" w:themeColor="text1"/>
        </w:rPr>
        <w:t>;</w:t>
      </w:r>
    </w:p>
    <w:p w14:paraId="63E2427A" w14:textId="77777777" w:rsidR="00550224" w:rsidRPr="00067DCC" w:rsidRDefault="00EE0947" w:rsidP="003B0225">
      <w:pPr>
        <w:jc w:val="both"/>
        <w:rPr>
          <w:bCs/>
          <w:color w:val="000000" w:themeColor="text1"/>
        </w:rPr>
      </w:pPr>
      <w:r w:rsidRPr="00067DCC">
        <w:rPr>
          <w:bCs/>
          <w:color w:val="000000" w:themeColor="text1"/>
        </w:rPr>
        <w:t xml:space="preserve">40.12. </w:t>
      </w:r>
      <w:r w:rsidR="00481F04" w:rsidRPr="00067DCC">
        <w:rPr>
          <w:bCs/>
          <w:color w:val="000000" w:themeColor="text1"/>
        </w:rPr>
        <w:t xml:space="preserve">nodrošina </w:t>
      </w:r>
      <w:r w:rsidR="00051F4D" w:rsidRPr="00067DCC">
        <w:rPr>
          <w:bCs/>
          <w:color w:val="000000" w:themeColor="text1"/>
        </w:rPr>
        <w:t>nodalītas informācijas par šo noteikumu 41.punktā minētajam</w:t>
      </w:r>
      <w:r w:rsidR="00481F04" w:rsidRPr="00067DCC">
        <w:rPr>
          <w:bCs/>
          <w:color w:val="000000" w:themeColor="text1"/>
        </w:rPr>
        <w:t xml:space="preserve"> </w:t>
      </w:r>
      <w:r w:rsidR="00051F4D" w:rsidRPr="00067DCC">
        <w:rPr>
          <w:bCs/>
          <w:color w:val="000000" w:themeColor="text1"/>
        </w:rPr>
        <w:t>izmaksām iekļaušanu maksājumu pieprasījumos</w:t>
      </w:r>
      <w:r w:rsidR="00550224" w:rsidRPr="00067DCC">
        <w:rPr>
          <w:bCs/>
          <w:color w:val="000000" w:themeColor="text1"/>
        </w:rPr>
        <w:t>;</w:t>
      </w:r>
    </w:p>
    <w:p w14:paraId="64CE289C" w14:textId="714FBA4B" w:rsidR="00AC4EE0" w:rsidRPr="00067DCC" w:rsidRDefault="00550224" w:rsidP="003B0225">
      <w:pPr>
        <w:jc w:val="both"/>
        <w:rPr>
          <w:bCs/>
          <w:iCs/>
          <w:color w:val="000000" w:themeColor="text1"/>
        </w:rPr>
      </w:pPr>
      <w:r w:rsidRPr="00067DCC">
        <w:rPr>
          <w:bCs/>
          <w:iCs/>
          <w:color w:val="000000" w:themeColor="text1"/>
        </w:rPr>
        <w:t xml:space="preserve">40.13. </w:t>
      </w:r>
      <w:r w:rsidR="00DC2E64" w:rsidRPr="00067DCC">
        <w:rPr>
          <w:bCs/>
          <w:iCs/>
          <w:color w:val="000000" w:themeColor="text1"/>
        </w:rPr>
        <w:t>uzkrāj un vienu reizi gadā iesniedz</w:t>
      </w:r>
      <w:r w:rsidRPr="00067DCC">
        <w:rPr>
          <w:bCs/>
          <w:iCs/>
          <w:color w:val="000000" w:themeColor="text1"/>
        </w:rPr>
        <w:t xml:space="preserve"> sadarbības iestādē apkopotus datus par </w:t>
      </w:r>
      <w:r w:rsidR="00DC2E64" w:rsidRPr="00067DCC">
        <w:rPr>
          <w:bCs/>
          <w:iCs/>
          <w:color w:val="000000" w:themeColor="text1"/>
        </w:rPr>
        <w:t xml:space="preserve">Eiropas Parlamenta un Padomes </w:t>
      </w:r>
      <w:proofErr w:type="gramStart"/>
      <w:r w:rsidR="00DC2E64" w:rsidRPr="00067DCC">
        <w:rPr>
          <w:bCs/>
          <w:iCs/>
          <w:color w:val="000000" w:themeColor="text1"/>
        </w:rPr>
        <w:t>2013.gada</w:t>
      </w:r>
      <w:proofErr w:type="gramEnd"/>
      <w:r w:rsidR="00DC2E64" w:rsidRPr="00067DCC">
        <w:rPr>
          <w:bCs/>
          <w:iCs/>
          <w:color w:val="000000" w:themeColor="text1"/>
        </w:rPr>
        <w:t xml:space="preserve"> 17.decembra Regulas (ES) Nr.1304/2013 par Eiropas Sociālo fondu un ar ko atceļ Padomes Regulu (EK) Nr.1081/2006 (Eiropas Savienības Oficiālais Vēstnesis, 2013.gada 20.decembris, </w:t>
      </w:r>
      <w:proofErr w:type="spellStart"/>
      <w:r w:rsidR="00DC2E64" w:rsidRPr="00067DCC">
        <w:rPr>
          <w:bCs/>
          <w:iCs/>
          <w:color w:val="000000" w:themeColor="text1"/>
        </w:rPr>
        <w:t>Nr.L</w:t>
      </w:r>
      <w:proofErr w:type="spellEnd"/>
      <w:r w:rsidR="00DC2E64" w:rsidRPr="00067DCC">
        <w:rPr>
          <w:bCs/>
          <w:iCs/>
          <w:color w:val="000000" w:themeColor="text1"/>
        </w:rPr>
        <w:t xml:space="preserve"> 347/470) </w:t>
      </w:r>
      <w:r w:rsidRPr="00067DCC">
        <w:rPr>
          <w:bCs/>
          <w:iCs/>
          <w:color w:val="000000" w:themeColor="text1"/>
        </w:rPr>
        <w:t>1.pielikumā ietvertajiem</w:t>
      </w:r>
      <w:r w:rsidR="00F554FA" w:rsidRPr="00067DCC">
        <w:rPr>
          <w:bCs/>
          <w:iCs/>
          <w:color w:val="000000" w:themeColor="text1"/>
        </w:rPr>
        <w:t xml:space="preserve"> rezultāta rādītājiem</w:t>
      </w:r>
      <w:r w:rsidR="00AC4EE0" w:rsidRPr="00067DCC">
        <w:rPr>
          <w:bCs/>
          <w:iCs/>
          <w:color w:val="000000" w:themeColor="text1"/>
        </w:rPr>
        <w:t>:</w:t>
      </w:r>
    </w:p>
    <w:p w14:paraId="5347B537" w14:textId="77777777" w:rsidR="00AC4EE0" w:rsidRPr="00067DCC" w:rsidRDefault="00AC4EE0" w:rsidP="003B0225">
      <w:pPr>
        <w:jc w:val="both"/>
        <w:rPr>
          <w:bCs/>
          <w:iCs/>
          <w:color w:val="000000" w:themeColor="text1"/>
        </w:rPr>
      </w:pPr>
      <w:r w:rsidRPr="00067DCC">
        <w:rPr>
          <w:bCs/>
          <w:iCs/>
          <w:color w:val="000000" w:themeColor="text1"/>
        </w:rPr>
        <w:t>40.13.1.</w:t>
      </w:r>
      <w:r w:rsidR="00550224" w:rsidRPr="00067DCC">
        <w:rPr>
          <w:bCs/>
          <w:iCs/>
          <w:color w:val="000000" w:themeColor="text1"/>
        </w:rPr>
        <w:t xml:space="preserve"> kopējiem tūlītējiem rezultātu rādītājiem</w:t>
      </w:r>
      <w:r w:rsidRPr="00067DCC">
        <w:rPr>
          <w:bCs/>
          <w:iCs/>
          <w:color w:val="000000" w:themeColor="text1"/>
        </w:rPr>
        <w:t>:</w:t>
      </w:r>
    </w:p>
    <w:p w14:paraId="783F972A" w14:textId="7E121EE3" w:rsidR="00AC4EE0" w:rsidRPr="00067DCC" w:rsidRDefault="00AC4EE0" w:rsidP="003B0225">
      <w:pPr>
        <w:jc w:val="both"/>
        <w:rPr>
          <w:bCs/>
          <w:iCs/>
          <w:color w:val="000000" w:themeColor="text1"/>
        </w:rPr>
      </w:pPr>
      <w:r w:rsidRPr="00067DCC">
        <w:rPr>
          <w:bCs/>
          <w:iCs/>
          <w:color w:val="000000" w:themeColor="text1"/>
        </w:rPr>
        <w:t>40.13.1.1. neaktīvie dalībnieki, kas sākuši darba meklējumus pēc aiziešanas;</w:t>
      </w:r>
    </w:p>
    <w:p w14:paraId="06E79A2B" w14:textId="708ED710" w:rsidR="00AC4EE0" w:rsidRPr="00067DCC" w:rsidRDefault="00AC4EE0" w:rsidP="003B0225">
      <w:pPr>
        <w:jc w:val="both"/>
        <w:rPr>
          <w:bCs/>
          <w:iCs/>
          <w:color w:val="000000" w:themeColor="text1"/>
        </w:rPr>
      </w:pPr>
      <w:r w:rsidRPr="00067DCC">
        <w:rPr>
          <w:bCs/>
          <w:iCs/>
          <w:color w:val="000000" w:themeColor="text1"/>
        </w:rPr>
        <w:t>40.13.1.2. izglītībā/apmācībā iesaistītie dalībnieki pēc aiziešanas;</w:t>
      </w:r>
    </w:p>
    <w:p w14:paraId="39CFB63B" w14:textId="45453517" w:rsidR="00AC4EE0" w:rsidRPr="00067DCC" w:rsidRDefault="00AC4EE0" w:rsidP="003B0225">
      <w:pPr>
        <w:jc w:val="both"/>
        <w:rPr>
          <w:bCs/>
          <w:iCs/>
          <w:color w:val="000000" w:themeColor="text1"/>
        </w:rPr>
      </w:pPr>
      <w:r w:rsidRPr="00067DCC">
        <w:rPr>
          <w:bCs/>
          <w:iCs/>
          <w:color w:val="000000" w:themeColor="text1"/>
        </w:rPr>
        <w:t>40.13.1.3. kvalifikācijas ieguvē iesaistītie dalībnieki pēc aiziešanas;</w:t>
      </w:r>
    </w:p>
    <w:p w14:paraId="19A40AF6" w14:textId="4196A319" w:rsidR="00AC4EE0" w:rsidRPr="00067DCC" w:rsidRDefault="00AC4EE0" w:rsidP="003B0225">
      <w:pPr>
        <w:jc w:val="both"/>
        <w:rPr>
          <w:bCs/>
          <w:iCs/>
          <w:color w:val="000000" w:themeColor="text1"/>
        </w:rPr>
      </w:pPr>
      <w:r w:rsidRPr="00067DCC">
        <w:rPr>
          <w:bCs/>
          <w:iCs/>
          <w:color w:val="000000" w:themeColor="text1"/>
        </w:rPr>
        <w:t xml:space="preserve">40.13.1.4. </w:t>
      </w:r>
      <w:r w:rsidR="00D80715" w:rsidRPr="00067DCC">
        <w:rPr>
          <w:bCs/>
          <w:iCs/>
          <w:color w:val="000000" w:themeColor="text1"/>
        </w:rPr>
        <w:t>nodarbinātībā iesaistītie dalībnieki, tostarp pašnodarbinātie, pēc aiziešanas;</w:t>
      </w:r>
    </w:p>
    <w:p w14:paraId="0295A2E3" w14:textId="15CFF79E" w:rsidR="00D80715" w:rsidRPr="00067DCC" w:rsidRDefault="00D80715" w:rsidP="003B0225">
      <w:pPr>
        <w:jc w:val="both"/>
        <w:rPr>
          <w:bCs/>
          <w:iCs/>
          <w:color w:val="000000" w:themeColor="text1"/>
        </w:rPr>
      </w:pPr>
      <w:r w:rsidRPr="00067DCC">
        <w:rPr>
          <w:bCs/>
          <w:iCs/>
          <w:color w:val="000000" w:themeColor="text1"/>
        </w:rPr>
        <w:t>40.13.1.5. nelabvēlīgā situācijā esoši dalībnieki, kas pēc aiziešanas sākuši darba meklējumus, iesaistījušies izglītībā/apmācībā, kvalifikācijas ieguvē, nodarbinātībā, tostarp pašnodarbinātie;</w:t>
      </w:r>
    </w:p>
    <w:p w14:paraId="712B0DE2" w14:textId="77777777" w:rsidR="00AC4EE0" w:rsidRPr="00067DCC" w:rsidRDefault="00AC4EE0" w:rsidP="003B0225">
      <w:pPr>
        <w:jc w:val="both"/>
        <w:rPr>
          <w:bCs/>
          <w:iCs/>
          <w:color w:val="000000" w:themeColor="text1"/>
        </w:rPr>
      </w:pPr>
      <w:r w:rsidRPr="00067DCC">
        <w:rPr>
          <w:bCs/>
          <w:iCs/>
          <w:color w:val="000000" w:themeColor="text1"/>
        </w:rPr>
        <w:t xml:space="preserve">40.13.2. </w:t>
      </w:r>
      <w:r w:rsidR="00550224" w:rsidRPr="00067DCC">
        <w:rPr>
          <w:bCs/>
          <w:iCs/>
          <w:color w:val="000000" w:themeColor="text1"/>
        </w:rPr>
        <w:t>kopējiem ilgtermiņa rezultātu rādītājiem</w:t>
      </w:r>
      <w:r w:rsidRPr="00067DCC">
        <w:rPr>
          <w:bCs/>
          <w:iCs/>
          <w:color w:val="000000" w:themeColor="text1"/>
        </w:rPr>
        <w:t>:</w:t>
      </w:r>
    </w:p>
    <w:p w14:paraId="3BBAA694" w14:textId="33120696" w:rsidR="00D80715" w:rsidRPr="00067DCC" w:rsidRDefault="00D80715" w:rsidP="003B0225">
      <w:pPr>
        <w:jc w:val="both"/>
        <w:rPr>
          <w:bCs/>
          <w:iCs/>
          <w:color w:val="000000" w:themeColor="text1"/>
        </w:rPr>
      </w:pPr>
      <w:r w:rsidRPr="00067DCC">
        <w:rPr>
          <w:bCs/>
          <w:iCs/>
          <w:color w:val="000000" w:themeColor="text1"/>
        </w:rPr>
        <w:t>40.13.2.1. nodarbinātībā iesaistītie dalībnieki, tostarp pašnodarbinātie, sešus mēnešus pēc aiziešanas;</w:t>
      </w:r>
    </w:p>
    <w:p w14:paraId="0729EDFA" w14:textId="55937691" w:rsidR="00D80715" w:rsidRPr="00067DCC" w:rsidRDefault="00D80715" w:rsidP="003B0225">
      <w:pPr>
        <w:jc w:val="both"/>
        <w:rPr>
          <w:bCs/>
          <w:iCs/>
          <w:color w:val="000000" w:themeColor="text1"/>
        </w:rPr>
      </w:pPr>
      <w:r w:rsidRPr="00067DCC">
        <w:rPr>
          <w:bCs/>
          <w:iCs/>
          <w:color w:val="000000" w:themeColor="text1"/>
        </w:rPr>
        <w:t>40.13.2.2. dalībnieki labākā darba tirgus situācijā sešus mēnešus pēc aiziešanas;</w:t>
      </w:r>
    </w:p>
    <w:p w14:paraId="0706FF7B" w14:textId="15387CDC" w:rsidR="00EE0947" w:rsidRPr="00067DCC" w:rsidRDefault="00D80715" w:rsidP="003B0225">
      <w:pPr>
        <w:jc w:val="both"/>
        <w:rPr>
          <w:bCs/>
          <w:iCs/>
          <w:color w:val="000000" w:themeColor="text1"/>
        </w:rPr>
      </w:pPr>
      <w:r w:rsidRPr="00067DCC">
        <w:rPr>
          <w:bCs/>
          <w:iCs/>
          <w:color w:val="000000" w:themeColor="text1"/>
        </w:rPr>
        <w:t>40.13.2.3. nodarbinātībā iesaistītie nelabvēlīgā situācijā esošie dalībnieki, tostarp pašnodarbinātie, sešus mēnešus pēc aiziešanas</w:t>
      </w:r>
      <w:r w:rsidR="00DC2E64" w:rsidRPr="00067DCC">
        <w:rPr>
          <w:bCs/>
          <w:iCs/>
          <w:color w:val="000000" w:themeColor="text1"/>
        </w:rPr>
        <w:t>.</w:t>
      </w:r>
      <w:r w:rsidR="00481F04" w:rsidRPr="00067DCC">
        <w:rPr>
          <w:bCs/>
          <w:iCs/>
          <w:color w:val="000000" w:themeColor="text1"/>
        </w:rPr>
        <w:t>”;</w:t>
      </w:r>
    </w:p>
    <w:p w14:paraId="04660D2E" w14:textId="77777777" w:rsidR="0076501C" w:rsidRPr="00067DCC" w:rsidRDefault="0076501C" w:rsidP="003B0225">
      <w:pPr>
        <w:jc w:val="both"/>
        <w:rPr>
          <w:bCs/>
          <w:color w:val="000000" w:themeColor="text1"/>
        </w:rPr>
      </w:pPr>
    </w:p>
    <w:p w14:paraId="1F1F1D93" w14:textId="4F365D9B" w:rsidR="00127583" w:rsidRPr="00067DCC" w:rsidRDefault="00E15BC9" w:rsidP="00434EFE">
      <w:pPr>
        <w:jc w:val="both"/>
        <w:rPr>
          <w:rFonts w:eastAsia="Calibri"/>
          <w:bCs/>
          <w:color w:val="000000" w:themeColor="text1"/>
          <w:lang w:eastAsia="en-US"/>
        </w:rPr>
      </w:pPr>
      <w:r w:rsidRPr="00067DCC">
        <w:rPr>
          <w:bCs/>
          <w:color w:val="000000" w:themeColor="text1"/>
        </w:rPr>
        <w:t>4</w:t>
      </w:r>
      <w:r w:rsidR="00550224" w:rsidRPr="00067DCC">
        <w:rPr>
          <w:bCs/>
          <w:color w:val="000000" w:themeColor="text1"/>
        </w:rPr>
        <w:t>1</w:t>
      </w:r>
      <w:r w:rsidR="003B0225" w:rsidRPr="00067DCC">
        <w:rPr>
          <w:bCs/>
          <w:color w:val="000000" w:themeColor="text1"/>
        </w:rPr>
        <w:t>.</w:t>
      </w:r>
      <w:r w:rsidR="003B0225" w:rsidRPr="00067DCC">
        <w:rPr>
          <w:rFonts w:eastAsia="Calibri"/>
          <w:bCs/>
          <w:color w:val="000000" w:themeColor="text1"/>
          <w:lang w:eastAsia="en-US"/>
        </w:rPr>
        <w:t xml:space="preserve"> </w:t>
      </w:r>
      <w:r w:rsidR="00067DCC" w:rsidRPr="00067DCC">
        <w:rPr>
          <w:rFonts w:eastAsia="Calibri"/>
          <w:bCs/>
          <w:color w:val="000000" w:themeColor="text1"/>
          <w:lang w:eastAsia="en-US"/>
        </w:rPr>
        <w:t>I</w:t>
      </w:r>
      <w:r w:rsidR="00127583" w:rsidRPr="00067DCC">
        <w:rPr>
          <w:rFonts w:eastAsia="Calibri"/>
          <w:bCs/>
          <w:color w:val="000000" w:themeColor="text1"/>
          <w:lang w:eastAsia="en-US"/>
        </w:rPr>
        <w:t>zteikt 41.punktu šādā redakcijā:</w:t>
      </w:r>
    </w:p>
    <w:p w14:paraId="29904BD7" w14:textId="2B008A66" w:rsidR="00D808CD" w:rsidRPr="00067DCC" w:rsidRDefault="00127583" w:rsidP="00434EFE">
      <w:pPr>
        <w:jc w:val="both"/>
        <w:rPr>
          <w:rFonts w:eastAsia="Calibri"/>
          <w:bCs/>
          <w:color w:val="000000" w:themeColor="text1"/>
          <w:lang w:eastAsia="en-US"/>
        </w:rPr>
      </w:pPr>
      <w:r w:rsidRPr="00067DCC">
        <w:rPr>
          <w:rFonts w:eastAsia="Calibri"/>
          <w:bCs/>
          <w:color w:val="000000" w:themeColor="text1"/>
          <w:lang w:eastAsia="en-US"/>
        </w:rPr>
        <w:t>“41. Izmaksas, kas radušās šo noteikumu 18.1.10., 18.1.11., 18.2.4., 22.8., 22.9., 22.13., 34.2. un</w:t>
      </w:r>
      <w:r w:rsidR="00D808CD" w:rsidRPr="00067DCC">
        <w:rPr>
          <w:rFonts w:eastAsia="Calibri"/>
          <w:bCs/>
          <w:color w:val="000000" w:themeColor="text1"/>
          <w:lang w:eastAsia="en-US"/>
        </w:rPr>
        <w:t xml:space="preserve"> </w:t>
      </w:r>
      <w:r w:rsidRPr="00067DCC">
        <w:rPr>
          <w:rFonts w:eastAsia="Calibri"/>
          <w:bCs/>
          <w:color w:val="000000" w:themeColor="text1"/>
          <w:lang w:eastAsia="en-US"/>
        </w:rPr>
        <w:t>38.7.apakšpunktā minētajā gadījumā, kā arī izmaksas šo noteikumu 22.10. un 22.12.apakšpunktā šo noteikumu 3.3.apakšpunktā minētajai mērķa grupai uzskaita kā tiešo attiecināmo finansējumu un finansē no šo noteikumu 8.punktā minētajiem plānotajiem Eiropas Sociālā fonda līdzekļiem un valsts budžeta līdzfinansējuma. Minēto izmaksu maksimālais attiecināmais Eiropas Sociālā fonda finansējuma apmērs nepārsniedz 85 procentus no šo izmaksu kopējā apmēra.</w:t>
      </w:r>
      <w:r w:rsidR="00D808CD" w:rsidRPr="00067DCC">
        <w:rPr>
          <w:rFonts w:eastAsia="Calibri"/>
          <w:bCs/>
          <w:color w:val="000000" w:themeColor="text1"/>
          <w:lang w:eastAsia="en-US"/>
        </w:rPr>
        <w:t xml:space="preserve"> Minēto izmaksu apmērs ir </w:t>
      </w:r>
      <w:r w:rsidR="00A3318A" w:rsidRPr="00067DCC">
        <w:rPr>
          <w:rFonts w:eastAsia="Calibri"/>
          <w:bCs/>
          <w:color w:val="000000" w:themeColor="text1"/>
          <w:lang w:eastAsia="en-US"/>
        </w:rPr>
        <w:t xml:space="preserve">3 516 896 </w:t>
      </w:r>
      <w:proofErr w:type="spellStart"/>
      <w:r w:rsidR="00D808CD" w:rsidRPr="00067DCC">
        <w:rPr>
          <w:rFonts w:eastAsia="Calibri"/>
          <w:bCs/>
          <w:i/>
          <w:color w:val="000000" w:themeColor="text1"/>
          <w:lang w:eastAsia="en-US"/>
        </w:rPr>
        <w:t>euro</w:t>
      </w:r>
      <w:proofErr w:type="spellEnd"/>
      <w:r w:rsidR="00D808CD" w:rsidRPr="00067DCC">
        <w:rPr>
          <w:rFonts w:eastAsia="Calibri"/>
          <w:bCs/>
          <w:color w:val="000000" w:themeColor="text1"/>
          <w:lang w:eastAsia="en-US"/>
        </w:rPr>
        <w:t>, tai skaitā:</w:t>
      </w:r>
    </w:p>
    <w:p w14:paraId="473F226D" w14:textId="2016C548" w:rsidR="00D808CD" w:rsidRPr="00067DCC" w:rsidRDefault="00D808CD" w:rsidP="00434EFE">
      <w:pPr>
        <w:jc w:val="both"/>
        <w:rPr>
          <w:rFonts w:eastAsia="Calibri"/>
          <w:bCs/>
          <w:color w:val="000000" w:themeColor="text1"/>
          <w:lang w:eastAsia="en-US"/>
        </w:rPr>
      </w:pPr>
      <w:r w:rsidRPr="00067DCC">
        <w:rPr>
          <w:rFonts w:eastAsia="Calibri"/>
          <w:bCs/>
          <w:color w:val="000000" w:themeColor="text1"/>
          <w:lang w:eastAsia="en-US"/>
        </w:rPr>
        <w:t>41.1. pasākumā “Aktīvās darba tirgus politikas pasākumu īstenošana jauniešu bezdarbnieku nodarbinātības veicināšanai”</w:t>
      </w:r>
      <w:r w:rsidR="00A3318A" w:rsidRPr="00067DCC">
        <w:rPr>
          <w:rFonts w:eastAsia="Calibri"/>
          <w:bCs/>
          <w:color w:val="000000" w:themeColor="text1"/>
          <w:lang w:eastAsia="en-US"/>
        </w:rPr>
        <w:t xml:space="preserve"> 208 000 </w:t>
      </w:r>
      <w:proofErr w:type="spellStart"/>
      <w:r w:rsidR="00A3318A" w:rsidRPr="00067DCC">
        <w:rPr>
          <w:rFonts w:eastAsia="Calibri"/>
          <w:bCs/>
          <w:i/>
          <w:color w:val="000000" w:themeColor="text1"/>
          <w:lang w:eastAsia="en-US"/>
        </w:rPr>
        <w:t>euro</w:t>
      </w:r>
      <w:proofErr w:type="spellEnd"/>
      <w:r w:rsidR="00A3318A" w:rsidRPr="00067DCC">
        <w:rPr>
          <w:rFonts w:eastAsia="Calibri"/>
          <w:bCs/>
          <w:color w:val="000000" w:themeColor="text1"/>
          <w:lang w:eastAsia="en-US"/>
        </w:rPr>
        <w:t>;</w:t>
      </w:r>
    </w:p>
    <w:p w14:paraId="33AF388C" w14:textId="6D89F7A1" w:rsidR="00127583" w:rsidRPr="00067DCC" w:rsidRDefault="00D808CD" w:rsidP="00434EFE">
      <w:pPr>
        <w:jc w:val="both"/>
        <w:rPr>
          <w:rFonts w:eastAsia="Calibri"/>
          <w:bCs/>
          <w:color w:val="000000" w:themeColor="text1"/>
          <w:lang w:eastAsia="en-US"/>
        </w:rPr>
      </w:pPr>
      <w:r w:rsidRPr="00067DCC">
        <w:rPr>
          <w:rFonts w:eastAsia="Calibri"/>
          <w:bCs/>
          <w:color w:val="000000" w:themeColor="text1"/>
          <w:lang w:eastAsia="en-US"/>
        </w:rPr>
        <w:t xml:space="preserve">41.2. pasākumā “Sākotnējās profesionālās izglītības programmu īstenošana Jauniešu garantijas ietvaros” </w:t>
      </w:r>
      <w:r w:rsidR="00A3318A" w:rsidRPr="00067DCC">
        <w:rPr>
          <w:rFonts w:eastAsia="Calibri"/>
          <w:bCs/>
          <w:color w:val="000000" w:themeColor="text1"/>
          <w:lang w:eastAsia="en-US"/>
        </w:rPr>
        <w:t xml:space="preserve">3 308 896 </w:t>
      </w:r>
      <w:proofErr w:type="spellStart"/>
      <w:r w:rsidR="00A3318A" w:rsidRPr="00067DCC">
        <w:rPr>
          <w:rFonts w:eastAsia="Calibri"/>
          <w:bCs/>
          <w:i/>
          <w:color w:val="000000" w:themeColor="text1"/>
          <w:lang w:eastAsia="en-US"/>
        </w:rPr>
        <w:t>euro</w:t>
      </w:r>
      <w:proofErr w:type="spellEnd"/>
      <w:r w:rsidR="00A3318A" w:rsidRPr="00067DCC">
        <w:rPr>
          <w:rFonts w:eastAsia="Calibri"/>
          <w:bCs/>
          <w:color w:val="000000" w:themeColor="text1"/>
          <w:lang w:eastAsia="en-US"/>
        </w:rPr>
        <w:t>.</w:t>
      </w:r>
      <w:r w:rsidR="00127583" w:rsidRPr="00067DCC">
        <w:rPr>
          <w:rFonts w:eastAsia="Calibri"/>
          <w:bCs/>
          <w:color w:val="000000" w:themeColor="text1"/>
          <w:lang w:eastAsia="en-US"/>
        </w:rPr>
        <w:t>”;</w:t>
      </w:r>
    </w:p>
    <w:p w14:paraId="2DD96B63" w14:textId="77777777" w:rsidR="00127583" w:rsidRPr="00067DCC" w:rsidRDefault="00127583" w:rsidP="00434EFE">
      <w:pPr>
        <w:jc w:val="both"/>
        <w:rPr>
          <w:rFonts w:eastAsia="Calibri"/>
          <w:bCs/>
          <w:color w:val="000000" w:themeColor="text1"/>
          <w:lang w:eastAsia="en-US"/>
        </w:rPr>
      </w:pPr>
    </w:p>
    <w:p w14:paraId="142CB820" w14:textId="47134F39" w:rsidR="006304A2" w:rsidRPr="00067DCC" w:rsidRDefault="00E15BC9" w:rsidP="003B0225">
      <w:pPr>
        <w:jc w:val="both"/>
        <w:rPr>
          <w:bCs/>
          <w:color w:val="000000" w:themeColor="text1"/>
        </w:rPr>
      </w:pPr>
      <w:r w:rsidRPr="00067DCC">
        <w:rPr>
          <w:bCs/>
          <w:color w:val="000000" w:themeColor="text1"/>
        </w:rPr>
        <w:t>4</w:t>
      </w:r>
      <w:r w:rsidR="00550224" w:rsidRPr="00067DCC">
        <w:rPr>
          <w:bCs/>
          <w:color w:val="000000" w:themeColor="text1"/>
        </w:rPr>
        <w:t>2</w:t>
      </w:r>
      <w:r w:rsidR="006304A2" w:rsidRPr="00067DCC">
        <w:rPr>
          <w:bCs/>
          <w:color w:val="000000" w:themeColor="text1"/>
        </w:rPr>
        <w:t xml:space="preserve">. </w:t>
      </w:r>
      <w:r w:rsidR="00067DCC" w:rsidRPr="00067DCC">
        <w:rPr>
          <w:bCs/>
          <w:color w:val="000000" w:themeColor="text1"/>
        </w:rPr>
        <w:t>P</w:t>
      </w:r>
      <w:r w:rsidR="00756F4D" w:rsidRPr="00067DCC">
        <w:rPr>
          <w:bCs/>
          <w:color w:val="000000" w:themeColor="text1"/>
        </w:rPr>
        <w:t>apildināt 48.</w:t>
      </w:r>
      <w:r w:rsidR="00E31F64" w:rsidRPr="00067DCC">
        <w:rPr>
          <w:bCs/>
          <w:color w:val="000000" w:themeColor="text1"/>
        </w:rPr>
        <w:t>punktu</w:t>
      </w:r>
      <w:r w:rsidR="00756F4D" w:rsidRPr="00067DCC">
        <w:rPr>
          <w:bCs/>
          <w:color w:val="000000" w:themeColor="text1"/>
        </w:rPr>
        <w:t xml:space="preserve"> un 49.punkta </w:t>
      </w:r>
      <w:r w:rsidR="00E31F64" w:rsidRPr="00067DCC">
        <w:rPr>
          <w:bCs/>
          <w:color w:val="000000" w:themeColor="text1"/>
        </w:rPr>
        <w:t>ievaddaļu</w:t>
      </w:r>
      <w:r w:rsidR="00756F4D" w:rsidRPr="00067DCC">
        <w:rPr>
          <w:bCs/>
          <w:color w:val="000000" w:themeColor="text1"/>
        </w:rPr>
        <w:t xml:space="preserve"> </w:t>
      </w:r>
      <w:r w:rsidR="00E31F64" w:rsidRPr="00067DCC">
        <w:rPr>
          <w:bCs/>
          <w:color w:val="000000" w:themeColor="text1"/>
        </w:rPr>
        <w:t>aiz</w:t>
      </w:r>
      <w:r w:rsidR="00756F4D" w:rsidRPr="00067DCC">
        <w:rPr>
          <w:bCs/>
          <w:color w:val="000000" w:themeColor="text1"/>
        </w:rPr>
        <w:t xml:space="preserve"> vārdiem un skaitļiem “18.1.4., 18.1.7. un 18.1.8.apakšpunktā minēto atbalstāmo darbību ietvaros” ar vārdiem un skaitļiem “un atbalstu izmaksām, kas saistītas ar iekārtu un aprīkojuma iegādi, kā arī tehnisko palīglīdzekļu izgatavošanu un iegādi šo noteikumu 22.2.1.3.apakšpunktā minētās mācību vietas pielāgošanai;</w:t>
      </w:r>
    </w:p>
    <w:p w14:paraId="3EE5C40D" w14:textId="2AF8A6BF" w:rsidR="006304A2" w:rsidRPr="00067DCC" w:rsidRDefault="00D44E19" w:rsidP="003B0225">
      <w:pPr>
        <w:tabs>
          <w:tab w:val="left" w:pos="5175"/>
        </w:tabs>
        <w:jc w:val="both"/>
        <w:rPr>
          <w:bCs/>
          <w:color w:val="000000" w:themeColor="text1"/>
        </w:rPr>
      </w:pPr>
      <w:r w:rsidRPr="00067DCC">
        <w:rPr>
          <w:bCs/>
          <w:color w:val="000000" w:themeColor="text1"/>
        </w:rPr>
        <w:tab/>
      </w:r>
    </w:p>
    <w:p w14:paraId="122B402A" w14:textId="04D6369C" w:rsidR="00E74583" w:rsidRPr="00067DCC" w:rsidRDefault="00E15BC9" w:rsidP="003B0225">
      <w:pPr>
        <w:jc w:val="both"/>
        <w:rPr>
          <w:bCs/>
          <w:color w:val="000000" w:themeColor="text1"/>
        </w:rPr>
      </w:pPr>
      <w:r w:rsidRPr="00067DCC">
        <w:rPr>
          <w:bCs/>
          <w:color w:val="000000" w:themeColor="text1"/>
        </w:rPr>
        <w:t>4</w:t>
      </w:r>
      <w:r w:rsidR="00550224" w:rsidRPr="00067DCC">
        <w:rPr>
          <w:bCs/>
          <w:color w:val="000000" w:themeColor="text1"/>
        </w:rPr>
        <w:t>3</w:t>
      </w:r>
      <w:r w:rsidR="00E31F64" w:rsidRPr="00067DCC">
        <w:rPr>
          <w:bCs/>
          <w:color w:val="000000" w:themeColor="text1"/>
        </w:rPr>
        <w:t xml:space="preserve">. </w:t>
      </w:r>
      <w:r w:rsidR="00067DCC" w:rsidRPr="00067DCC">
        <w:rPr>
          <w:bCs/>
          <w:color w:val="000000" w:themeColor="text1"/>
        </w:rPr>
        <w:t>P</w:t>
      </w:r>
      <w:r w:rsidR="00E31F64" w:rsidRPr="00067DCC">
        <w:rPr>
          <w:bCs/>
          <w:color w:val="000000" w:themeColor="text1"/>
        </w:rPr>
        <w:t xml:space="preserve">apildināt </w:t>
      </w:r>
      <w:r w:rsidR="00E74583" w:rsidRPr="00067DCC">
        <w:rPr>
          <w:bCs/>
          <w:color w:val="000000" w:themeColor="text1"/>
        </w:rPr>
        <w:t xml:space="preserve">49.3.apakšpunktu aiz vārdiem “kura saimnieciskā darbība ir izbeigta” ar vārdiem “vai tas atbilst </w:t>
      </w:r>
      <w:r w:rsidR="00323615" w:rsidRPr="00067DCC">
        <w:rPr>
          <w:bCs/>
          <w:color w:val="000000" w:themeColor="text1"/>
        </w:rPr>
        <w:t>normatīvajos aktos maksātnespējas jomā</w:t>
      </w:r>
      <w:r w:rsidR="00E74583" w:rsidRPr="00067DCC">
        <w:rPr>
          <w:bCs/>
          <w:color w:val="000000" w:themeColor="text1"/>
        </w:rPr>
        <w:t xml:space="preserve"> noteiktiem kritērijiem, lai tam pēc kreditoru pieprasījuma piemērotu maksātnespējas procedūru”.</w:t>
      </w:r>
    </w:p>
    <w:p w14:paraId="002AB94E" w14:textId="77777777" w:rsidR="00CE1F9C" w:rsidRPr="00067DCC" w:rsidRDefault="00CE1F9C" w:rsidP="003B0225">
      <w:pPr>
        <w:jc w:val="both"/>
        <w:rPr>
          <w:bCs/>
          <w:color w:val="000000" w:themeColor="text1"/>
        </w:rPr>
      </w:pPr>
    </w:p>
    <w:p w14:paraId="0213A734" w14:textId="79B5804B" w:rsidR="00CE1F9C" w:rsidRPr="00067DCC" w:rsidRDefault="00E15BC9" w:rsidP="003B0225">
      <w:pPr>
        <w:jc w:val="both"/>
        <w:rPr>
          <w:bCs/>
          <w:color w:val="000000" w:themeColor="text1"/>
        </w:rPr>
      </w:pPr>
      <w:r w:rsidRPr="00067DCC">
        <w:rPr>
          <w:bCs/>
          <w:color w:val="000000" w:themeColor="text1"/>
        </w:rPr>
        <w:t>4</w:t>
      </w:r>
      <w:r w:rsidR="00550224" w:rsidRPr="00067DCC">
        <w:rPr>
          <w:bCs/>
          <w:color w:val="000000" w:themeColor="text1"/>
        </w:rPr>
        <w:t>4</w:t>
      </w:r>
      <w:r w:rsidR="00CE1F9C" w:rsidRPr="00067DCC">
        <w:rPr>
          <w:bCs/>
          <w:color w:val="000000" w:themeColor="text1"/>
        </w:rPr>
        <w:t xml:space="preserve">. </w:t>
      </w:r>
      <w:r w:rsidR="00067DCC" w:rsidRPr="00067DCC">
        <w:rPr>
          <w:bCs/>
          <w:color w:val="000000" w:themeColor="text1"/>
        </w:rPr>
        <w:t>P</w:t>
      </w:r>
      <w:r w:rsidR="00CE1F9C" w:rsidRPr="00067DCC">
        <w:rPr>
          <w:bCs/>
          <w:color w:val="000000" w:themeColor="text1"/>
        </w:rPr>
        <w:t>apildināt noteikumus ar 59.punktu šādā redakcijā:</w:t>
      </w:r>
    </w:p>
    <w:p w14:paraId="23BC6656" w14:textId="73561239" w:rsidR="00CE1F9C" w:rsidRPr="00067DCC" w:rsidRDefault="00CE1F9C" w:rsidP="003B0225">
      <w:pPr>
        <w:jc w:val="both"/>
        <w:rPr>
          <w:bCs/>
          <w:color w:val="000000" w:themeColor="text1"/>
        </w:rPr>
      </w:pPr>
      <w:r w:rsidRPr="00067DCC">
        <w:rPr>
          <w:bCs/>
          <w:color w:val="000000" w:themeColor="text1"/>
        </w:rPr>
        <w:t>“59. Izmaksas šo noteikumu 3.3.apakšpunktā minētās mērķa grupas iesaistei pasākumos</w:t>
      </w:r>
      <w:r w:rsidR="0076501C" w:rsidRPr="00067DCC">
        <w:rPr>
          <w:bCs/>
          <w:color w:val="000000" w:themeColor="text1"/>
        </w:rPr>
        <w:t xml:space="preserve"> un izmaksas šo noteikumu 38.7.apakšpunktā minētajā gadījumā</w:t>
      </w:r>
      <w:r w:rsidRPr="00067DCC">
        <w:rPr>
          <w:bCs/>
          <w:color w:val="000000" w:themeColor="text1"/>
        </w:rPr>
        <w:t xml:space="preserve"> ir attiecināmas no </w:t>
      </w:r>
      <w:proofErr w:type="gramStart"/>
      <w:r w:rsidRPr="00067DCC">
        <w:rPr>
          <w:bCs/>
          <w:color w:val="000000" w:themeColor="text1"/>
        </w:rPr>
        <w:t>2014.gada</w:t>
      </w:r>
      <w:proofErr w:type="gramEnd"/>
      <w:r w:rsidRPr="00067DCC">
        <w:rPr>
          <w:bCs/>
          <w:color w:val="000000" w:themeColor="text1"/>
        </w:rPr>
        <w:t xml:space="preserve"> </w:t>
      </w:r>
      <w:r w:rsidR="005A1978" w:rsidRPr="00067DCC">
        <w:rPr>
          <w:bCs/>
          <w:color w:val="000000" w:themeColor="text1"/>
        </w:rPr>
        <w:t>1</w:t>
      </w:r>
      <w:r w:rsidRPr="00067DCC">
        <w:rPr>
          <w:bCs/>
          <w:color w:val="000000" w:themeColor="text1"/>
        </w:rPr>
        <w:t>.janvāra.”.</w:t>
      </w:r>
    </w:p>
    <w:p w14:paraId="204937D8" w14:textId="77777777" w:rsidR="00E74583" w:rsidRPr="005A1978" w:rsidRDefault="00E74583" w:rsidP="003B0225">
      <w:pPr>
        <w:jc w:val="both"/>
        <w:rPr>
          <w:bCs/>
          <w:color w:val="000000" w:themeColor="text1"/>
        </w:rPr>
      </w:pPr>
    </w:p>
    <w:p w14:paraId="2A96940F" w14:textId="77777777" w:rsidR="00F554FA" w:rsidRDefault="00F554FA" w:rsidP="003B0225">
      <w:pPr>
        <w:jc w:val="both"/>
        <w:rPr>
          <w:bCs/>
          <w:color w:val="000000" w:themeColor="text1"/>
        </w:rPr>
      </w:pPr>
    </w:p>
    <w:p w14:paraId="6DBAD0EC" w14:textId="77777777" w:rsidR="00F554FA" w:rsidRPr="00E31F64" w:rsidRDefault="00F554FA" w:rsidP="003B0225">
      <w:pPr>
        <w:jc w:val="both"/>
        <w:rPr>
          <w:bCs/>
          <w:color w:val="000000" w:themeColor="text1"/>
        </w:rPr>
      </w:pPr>
    </w:p>
    <w:p w14:paraId="5337041B" w14:textId="631C3CB1" w:rsidR="00F05756" w:rsidRPr="00E31F64" w:rsidRDefault="00A11EA8" w:rsidP="003B0225">
      <w:pPr>
        <w:jc w:val="both"/>
        <w:rPr>
          <w:color w:val="000000" w:themeColor="text1"/>
        </w:rPr>
      </w:pPr>
      <w:r w:rsidRPr="00E31F64">
        <w:rPr>
          <w:color w:val="000000" w:themeColor="text1"/>
        </w:rPr>
        <w:t>Ministru prezidente</w:t>
      </w:r>
      <w:r w:rsidR="00145CAB" w:rsidRPr="00E31F64">
        <w:rPr>
          <w:color w:val="000000" w:themeColor="text1"/>
        </w:rPr>
        <w:tab/>
      </w:r>
      <w:r w:rsidR="00145CAB" w:rsidRPr="00E31F64">
        <w:rPr>
          <w:color w:val="000000" w:themeColor="text1"/>
        </w:rPr>
        <w:tab/>
      </w:r>
      <w:r w:rsidR="00145CAB" w:rsidRPr="00E31F64">
        <w:rPr>
          <w:color w:val="000000" w:themeColor="text1"/>
        </w:rPr>
        <w:tab/>
      </w:r>
      <w:r w:rsidR="00145CAB" w:rsidRPr="00E31F64">
        <w:rPr>
          <w:color w:val="000000" w:themeColor="text1"/>
        </w:rPr>
        <w:tab/>
      </w:r>
      <w:r w:rsidR="00145CAB" w:rsidRPr="00E31F64">
        <w:rPr>
          <w:color w:val="000000" w:themeColor="text1"/>
        </w:rPr>
        <w:tab/>
      </w:r>
      <w:r w:rsidR="00145CAB" w:rsidRPr="00E31F64">
        <w:rPr>
          <w:color w:val="000000" w:themeColor="text1"/>
        </w:rPr>
        <w:tab/>
      </w:r>
      <w:r w:rsidR="00816836" w:rsidRPr="00E31F64">
        <w:rPr>
          <w:color w:val="000000" w:themeColor="text1"/>
        </w:rPr>
        <w:tab/>
      </w:r>
      <w:r w:rsidR="00816836" w:rsidRPr="00E31F64">
        <w:rPr>
          <w:color w:val="000000" w:themeColor="text1"/>
        </w:rPr>
        <w:tab/>
      </w:r>
      <w:r w:rsidRPr="00E31F64">
        <w:rPr>
          <w:color w:val="000000" w:themeColor="text1"/>
        </w:rPr>
        <w:t>L.Straujuma</w:t>
      </w:r>
    </w:p>
    <w:p w14:paraId="00A571EE" w14:textId="77777777" w:rsidR="0027700B" w:rsidRPr="00E31F64" w:rsidRDefault="0027700B" w:rsidP="003B0225">
      <w:pPr>
        <w:jc w:val="both"/>
        <w:rPr>
          <w:color w:val="000000" w:themeColor="text1"/>
        </w:rPr>
      </w:pPr>
    </w:p>
    <w:p w14:paraId="66105D13" w14:textId="3E2E31B7" w:rsidR="00F05756" w:rsidRPr="00E31F64" w:rsidRDefault="00A11EA8" w:rsidP="003B0225">
      <w:pPr>
        <w:jc w:val="both"/>
        <w:rPr>
          <w:color w:val="000000" w:themeColor="text1"/>
        </w:rPr>
      </w:pPr>
      <w:r w:rsidRPr="00E31F64">
        <w:rPr>
          <w:color w:val="000000" w:themeColor="text1"/>
        </w:rPr>
        <w:t>Labklājības ministrs</w:t>
      </w:r>
      <w:r w:rsidR="00F05756" w:rsidRPr="00E31F64">
        <w:rPr>
          <w:color w:val="000000" w:themeColor="text1"/>
        </w:rPr>
        <w:tab/>
      </w:r>
      <w:r w:rsidR="00F05756" w:rsidRPr="00E31F64">
        <w:rPr>
          <w:color w:val="000000" w:themeColor="text1"/>
        </w:rPr>
        <w:tab/>
      </w:r>
      <w:r w:rsidR="00F05756" w:rsidRPr="00E31F64">
        <w:rPr>
          <w:color w:val="000000" w:themeColor="text1"/>
        </w:rPr>
        <w:tab/>
      </w:r>
      <w:r w:rsidR="00F05756" w:rsidRPr="00E31F64">
        <w:rPr>
          <w:color w:val="000000" w:themeColor="text1"/>
        </w:rPr>
        <w:tab/>
      </w:r>
      <w:r w:rsidR="00F05756" w:rsidRPr="00E31F64">
        <w:rPr>
          <w:color w:val="000000" w:themeColor="text1"/>
        </w:rPr>
        <w:tab/>
      </w:r>
      <w:r w:rsidR="00F05756" w:rsidRPr="00E31F64">
        <w:rPr>
          <w:color w:val="000000" w:themeColor="text1"/>
        </w:rPr>
        <w:tab/>
      </w:r>
      <w:r w:rsidR="00816836" w:rsidRPr="00E31F64">
        <w:rPr>
          <w:color w:val="000000" w:themeColor="text1"/>
        </w:rPr>
        <w:tab/>
      </w:r>
      <w:r w:rsidR="00816836" w:rsidRPr="00E31F64">
        <w:rPr>
          <w:color w:val="000000" w:themeColor="text1"/>
        </w:rPr>
        <w:tab/>
      </w:r>
      <w:r w:rsidRPr="00E31F64">
        <w:rPr>
          <w:color w:val="000000" w:themeColor="text1"/>
        </w:rPr>
        <w:t>U.Augulis</w:t>
      </w:r>
    </w:p>
    <w:p w14:paraId="654F3894" w14:textId="77777777" w:rsidR="00705524" w:rsidRPr="00191C3D" w:rsidRDefault="00705524" w:rsidP="003B0225">
      <w:pPr>
        <w:jc w:val="both"/>
        <w:rPr>
          <w:color w:val="000000" w:themeColor="text1"/>
          <w:sz w:val="20"/>
          <w:szCs w:val="20"/>
        </w:rPr>
      </w:pPr>
    </w:p>
    <w:p w14:paraId="1AE7FE22" w14:textId="745B1A6D" w:rsidR="000C4FB4" w:rsidRPr="00191C3D" w:rsidRDefault="00067DCC" w:rsidP="003B0225">
      <w:pPr>
        <w:jc w:val="both"/>
        <w:rPr>
          <w:color w:val="000000" w:themeColor="text1"/>
          <w:sz w:val="20"/>
          <w:szCs w:val="20"/>
          <w:highlight w:val="yellow"/>
        </w:rPr>
      </w:pPr>
      <w:r>
        <w:rPr>
          <w:color w:val="000000" w:themeColor="text1"/>
          <w:sz w:val="20"/>
          <w:szCs w:val="20"/>
        </w:rPr>
        <w:t>30</w:t>
      </w:r>
      <w:r w:rsidR="00434EFE">
        <w:rPr>
          <w:color w:val="000000" w:themeColor="text1"/>
          <w:sz w:val="20"/>
          <w:szCs w:val="20"/>
        </w:rPr>
        <w:t>.09</w:t>
      </w:r>
      <w:r w:rsidR="0027553D" w:rsidRPr="00191C3D">
        <w:rPr>
          <w:color w:val="000000" w:themeColor="text1"/>
          <w:sz w:val="20"/>
          <w:szCs w:val="20"/>
        </w:rPr>
        <w:t>.2015</w:t>
      </w:r>
      <w:r w:rsidR="000C4FB4" w:rsidRPr="00191C3D">
        <w:rPr>
          <w:color w:val="000000" w:themeColor="text1"/>
          <w:sz w:val="20"/>
          <w:szCs w:val="20"/>
        </w:rPr>
        <w:t xml:space="preserve">. </w:t>
      </w:r>
      <w:r w:rsidR="00E7274F">
        <w:rPr>
          <w:color w:val="000000" w:themeColor="text1"/>
          <w:sz w:val="20"/>
          <w:szCs w:val="20"/>
        </w:rPr>
        <w:t>1</w:t>
      </w:r>
      <w:r w:rsidR="008942F1">
        <w:rPr>
          <w:color w:val="000000" w:themeColor="text1"/>
          <w:sz w:val="20"/>
          <w:szCs w:val="20"/>
        </w:rPr>
        <w:t>6</w:t>
      </w:r>
      <w:r w:rsidR="002830A8" w:rsidRPr="00191C3D">
        <w:rPr>
          <w:color w:val="000000" w:themeColor="text1"/>
          <w:sz w:val="20"/>
          <w:szCs w:val="20"/>
        </w:rPr>
        <w:t>:</w:t>
      </w:r>
      <w:r w:rsidR="008942F1">
        <w:rPr>
          <w:color w:val="000000" w:themeColor="text1"/>
          <w:sz w:val="20"/>
          <w:szCs w:val="20"/>
        </w:rPr>
        <w:t>2</w:t>
      </w:r>
      <w:r>
        <w:rPr>
          <w:color w:val="000000" w:themeColor="text1"/>
          <w:sz w:val="20"/>
          <w:szCs w:val="20"/>
        </w:rPr>
        <w:t>5</w:t>
      </w:r>
    </w:p>
    <w:p w14:paraId="510D18A5" w14:textId="0FE45CDE" w:rsidR="000C4FB4" w:rsidRPr="00191C3D" w:rsidRDefault="003B0225" w:rsidP="003B0225">
      <w:pPr>
        <w:jc w:val="both"/>
        <w:rPr>
          <w:color w:val="000000" w:themeColor="text1"/>
          <w:sz w:val="20"/>
          <w:szCs w:val="20"/>
        </w:rPr>
      </w:pPr>
      <w:r w:rsidRPr="00191C3D">
        <w:rPr>
          <w:color w:val="000000" w:themeColor="text1"/>
          <w:sz w:val="20"/>
          <w:szCs w:val="20"/>
        </w:rPr>
        <w:t xml:space="preserve">1 </w:t>
      </w:r>
      <w:r w:rsidR="00E7274F">
        <w:rPr>
          <w:color w:val="000000" w:themeColor="text1"/>
          <w:sz w:val="20"/>
          <w:szCs w:val="20"/>
        </w:rPr>
        <w:t>9</w:t>
      </w:r>
      <w:r w:rsidR="00067DCC">
        <w:rPr>
          <w:color w:val="000000" w:themeColor="text1"/>
          <w:sz w:val="20"/>
          <w:szCs w:val="20"/>
        </w:rPr>
        <w:t>77</w:t>
      </w:r>
      <w:bookmarkStart w:id="1" w:name="_GoBack"/>
      <w:bookmarkEnd w:id="1"/>
    </w:p>
    <w:p w14:paraId="7E7757EA" w14:textId="49150A26" w:rsidR="000C4FB4" w:rsidRPr="00191C3D" w:rsidRDefault="000C4FB4" w:rsidP="003B0225">
      <w:pPr>
        <w:jc w:val="both"/>
        <w:rPr>
          <w:color w:val="000000" w:themeColor="text1"/>
          <w:sz w:val="20"/>
          <w:szCs w:val="20"/>
        </w:rPr>
      </w:pPr>
      <w:proofErr w:type="spellStart"/>
      <w:r w:rsidRPr="00191C3D">
        <w:rPr>
          <w:color w:val="000000" w:themeColor="text1"/>
          <w:sz w:val="20"/>
          <w:szCs w:val="20"/>
        </w:rPr>
        <w:t>A.Vībe</w:t>
      </w:r>
      <w:proofErr w:type="spellEnd"/>
      <w:r w:rsidRPr="00191C3D">
        <w:rPr>
          <w:color w:val="000000" w:themeColor="text1"/>
          <w:sz w:val="20"/>
          <w:szCs w:val="20"/>
        </w:rPr>
        <w:t>, 67021648</w:t>
      </w:r>
    </w:p>
    <w:p w14:paraId="39132002" w14:textId="21F6C09F" w:rsidR="009F11F2" w:rsidRPr="00191C3D" w:rsidRDefault="00067DCC" w:rsidP="003B0225">
      <w:pPr>
        <w:jc w:val="both"/>
        <w:rPr>
          <w:color w:val="000000" w:themeColor="text1"/>
          <w:sz w:val="20"/>
          <w:szCs w:val="20"/>
        </w:rPr>
      </w:pPr>
      <w:hyperlink r:id="rId9" w:history="1">
        <w:r w:rsidR="000C4FB4" w:rsidRPr="00191C3D">
          <w:rPr>
            <w:rStyle w:val="Hyperlink"/>
            <w:color w:val="000000" w:themeColor="text1"/>
            <w:sz w:val="20"/>
            <w:szCs w:val="20"/>
          </w:rPr>
          <w:t>Anna.Vibe@lm.gov.lv</w:t>
        </w:r>
      </w:hyperlink>
      <w:r w:rsidR="000C4FB4" w:rsidRPr="00191C3D">
        <w:rPr>
          <w:color w:val="000000" w:themeColor="text1"/>
          <w:sz w:val="20"/>
          <w:szCs w:val="20"/>
        </w:rPr>
        <w:t xml:space="preserve"> </w:t>
      </w:r>
    </w:p>
    <w:sectPr w:rsidR="009F11F2" w:rsidRPr="00191C3D" w:rsidSect="00F554FA">
      <w:headerReference w:type="even" r:id="rId10"/>
      <w:headerReference w:type="default" r:id="rId11"/>
      <w:footerReference w:type="default" r:id="rId12"/>
      <w:footerReference w:type="first" r:id="rId13"/>
      <w:pgSz w:w="11906" w:h="16838"/>
      <w:pgMar w:top="993" w:right="1134" w:bottom="1135"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D615B" w14:textId="77777777" w:rsidR="0098427E" w:rsidRDefault="0098427E">
      <w:r>
        <w:separator/>
      </w:r>
    </w:p>
  </w:endnote>
  <w:endnote w:type="continuationSeparator" w:id="0">
    <w:p w14:paraId="4AB3A06D" w14:textId="77777777" w:rsidR="0098427E" w:rsidRDefault="0098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C800" w14:textId="5AD1C2B0" w:rsidR="0027553D" w:rsidRPr="00D44E19" w:rsidRDefault="00D44E19" w:rsidP="00D44A95">
    <w:pPr>
      <w:pStyle w:val="Footer"/>
      <w:jc w:val="both"/>
      <w:rPr>
        <w:b/>
        <w:bCs/>
        <w:sz w:val="20"/>
        <w:szCs w:val="20"/>
      </w:rPr>
    </w:pPr>
    <w:r w:rsidRPr="00D44E19">
      <w:rPr>
        <w:sz w:val="20"/>
        <w:szCs w:val="20"/>
      </w:rPr>
      <w:t>LMNot_</w:t>
    </w:r>
    <w:r w:rsidR="00067DCC">
      <w:rPr>
        <w:sz w:val="20"/>
        <w:szCs w:val="20"/>
      </w:rPr>
      <w:t>30</w:t>
    </w:r>
    <w:r w:rsidR="00533139">
      <w:rPr>
        <w:sz w:val="20"/>
        <w:szCs w:val="20"/>
      </w:rPr>
      <w:t>09</w:t>
    </w:r>
    <w:r w:rsidR="00824A61" w:rsidRPr="00D44E19">
      <w:rPr>
        <w:sz w:val="20"/>
        <w:szCs w:val="20"/>
      </w:rPr>
      <w:t>2015</w:t>
    </w:r>
    <w:r w:rsidRPr="00D44E19">
      <w:rPr>
        <w:sz w:val="20"/>
        <w:szCs w:val="20"/>
      </w:rPr>
      <w:t xml:space="preserve">_SAM721groz; </w:t>
    </w:r>
    <w:r w:rsidRPr="00D44E19">
      <w:rPr>
        <w:bCs/>
        <w:sz w:val="20"/>
        <w:szCs w:val="20"/>
      </w:rPr>
      <w:t xml:space="preserve">Grozījumi “Ministru kabineta </w:t>
    </w:r>
    <w:proofErr w:type="gramStart"/>
    <w:r w:rsidRPr="00D44E19">
      <w:rPr>
        <w:bCs/>
        <w:sz w:val="20"/>
        <w:szCs w:val="20"/>
      </w:rPr>
      <w:t>2015.gada</w:t>
    </w:r>
    <w:proofErr w:type="gramEnd"/>
    <w:r w:rsidRPr="00D44E19">
      <w:rPr>
        <w:bCs/>
        <w:sz w:val="20"/>
        <w:szCs w:val="20"/>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5EBCD2FB" w:rsidR="00A96BD5" w:rsidRPr="00D44E19" w:rsidRDefault="00A96BD5" w:rsidP="002C364D">
    <w:pPr>
      <w:pStyle w:val="Footer"/>
      <w:jc w:val="both"/>
      <w:rPr>
        <w:b/>
        <w:bCs/>
        <w:sz w:val="20"/>
        <w:szCs w:val="20"/>
      </w:rPr>
    </w:pPr>
    <w:r w:rsidRPr="0027553D">
      <w:rPr>
        <w:sz w:val="20"/>
        <w:szCs w:val="20"/>
      </w:rPr>
      <w:t>LMNot_</w:t>
    </w:r>
    <w:r w:rsidR="00067DCC">
      <w:rPr>
        <w:sz w:val="20"/>
        <w:szCs w:val="20"/>
      </w:rPr>
      <w:t>30</w:t>
    </w:r>
    <w:r w:rsidR="00533139">
      <w:rPr>
        <w:sz w:val="20"/>
        <w:szCs w:val="20"/>
      </w:rPr>
      <w:t>09</w:t>
    </w:r>
    <w:r w:rsidR="00824A61" w:rsidRPr="0027553D">
      <w:rPr>
        <w:sz w:val="20"/>
        <w:szCs w:val="20"/>
      </w:rPr>
      <w:t>2015</w:t>
    </w:r>
    <w:r w:rsidRPr="0027553D">
      <w:rPr>
        <w:sz w:val="20"/>
        <w:szCs w:val="20"/>
      </w:rPr>
      <w:t>_SAM7</w:t>
    </w:r>
    <w:r w:rsidR="00D44E19">
      <w:rPr>
        <w:sz w:val="20"/>
        <w:szCs w:val="20"/>
      </w:rPr>
      <w:t>2</w:t>
    </w:r>
    <w:r w:rsidRPr="0027553D">
      <w:rPr>
        <w:sz w:val="20"/>
        <w:szCs w:val="20"/>
      </w:rPr>
      <w:t>1</w:t>
    </w:r>
    <w:r w:rsidR="0027553D" w:rsidRPr="0027553D">
      <w:rPr>
        <w:sz w:val="20"/>
        <w:szCs w:val="20"/>
      </w:rPr>
      <w:t>groz</w:t>
    </w:r>
    <w:r w:rsidRPr="0027553D">
      <w:rPr>
        <w:sz w:val="20"/>
        <w:szCs w:val="20"/>
      </w:rPr>
      <w:t xml:space="preserve">; </w:t>
    </w:r>
    <w:r w:rsidR="00D44E19" w:rsidRPr="00D44E19">
      <w:rPr>
        <w:bCs/>
        <w:sz w:val="20"/>
        <w:szCs w:val="20"/>
      </w:rPr>
      <w:t xml:space="preserve">Grozījumi “Ministru kabineta </w:t>
    </w:r>
    <w:proofErr w:type="gramStart"/>
    <w:r w:rsidR="00D44E19" w:rsidRPr="00D44E19">
      <w:rPr>
        <w:bCs/>
        <w:sz w:val="20"/>
        <w:szCs w:val="20"/>
      </w:rPr>
      <w:t>2015.gada</w:t>
    </w:r>
    <w:proofErr w:type="gramEnd"/>
    <w:r w:rsidR="00D44E19" w:rsidRPr="00D44E19">
      <w:rPr>
        <w:bCs/>
        <w:sz w:val="20"/>
        <w:szCs w:val="20"/>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2AFEA" w14:textId="77777777" w:rsidR="0098427E" w:rsidRDefault="0098427E">
      <w:r>
        <w:separator/>
      </w:r>
    </w:p>
  </w:footnote>
  <w:footnote w:type="continuationSeparator" w:id="0">
    <w:p w14:paraId="764C22F0" w14:textId="77777777" w:rsidR="0098427E" w:rsidRDefault="00984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AAEB2E" w14:textId="77777777" w:rsidR="00A96BD5" w:rsidRDefault="00A9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3677"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DCC">
      <w:rPr>
        <w:rStyle w:val="PageNumber"/>
        <w:noProof/>
      </w:rPr>
      <w:t>5</w:t>
    </w:r>
    <w:r>
      <w:rPr>
        <w:rStyle w:val="PageNumber"/>
      </w:rPr>
      <w:fldChar w:fldCharType="end"/>
    </w:r>
  </w:p>
  <w:p w14:paraId="42B238FD" w14:textId="77777777" w:rsidR="00A96BD5" w:rsidRDefault="00A9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CA323D"/>
    <w:multiLevelType w:val="multilevel"/>
    <w:tmpl w:val="01CE9A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4B7273"/>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D12CFD"/>
    <w:multiLevelType w:val="hybridMultilevel"/>
    <w:tmpl w:val="5D18F94C"/>
    <w:lvl w:ilvl="0" w:tplc="FA6EE3D4">
      <w:start w:val="5"/>
      <w:numFmt w:val="decimal"/>
      <w:lvlText w:val="%1."/>
      <w:lvlJc w:val="left"/>
      <w:pPr>
        <w:ind w:left="108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1756415"/>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8"/>
  </w:num>
  <w:num w:numId="8">
    <w:abstractNumId w:val="1"/>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E7D"/>
    <w:rsid w:val="00002DFB"/>
    <w:rsid w:val="0000496F"/>
    <w:rsid w:val="000059F5"/>
    <w:rsid w:val="00013352"/>
    <w:rsid w:val="000147D0"/>
    <w:rsid w:val="00015BD3"/>
    <w:rsid w:val="000167CC"/>
    <w:rsid w:val="00017455"/>
    <w:rsid w:val="00017F02"/>
    <w:rsid w:val="00020749"/>
    <w:rsid w:val="00023513"/>
    <w:rsid w:val="000247CD"/>
    <w:rsid w:val="000264E1"/>
    <w:rsid w:val="0002662E"/>
    <w:rsid w:val="000326E6"/>
    <w:rsid w:val="00032F5B"/>
    <w:rsid w:val="0003533C"/>
    <w:rsid w:val="000357A3"/>
    <w:rsid w:val="0003631A"/>
    <w:rsid w:val="00040585"/>
    <w:rsid w:val="00041F01"/>
    <w:rsid w:val="00042BCD"/>
    <w:rsid w:val="00043159"/>
    <w:rsid w:val="00043E25"/>
    <w:rsid w:val="0004481D"/>
    <w:rsid w:val="0004576A"/>
    <w:rsid w:val="00045C3B"/>
    <w:rsid w:val="00050DA8"/>
    <w:rsid w:val="00051F4D"/>
    <w:rsid w:val="00052537"/>
    <w:rsid w:val="0005284D"/>
    <w:rsid w:val="00052CE9"/>
    <w:rsid w:val="00054C45"/>
    <w:rsid w:val="00055AE9"/>
    <w:rsid w:val="00061D69"/>
    <w:rsid w:val="00064207"/>
    <w:rsid w:val="00064822"/>
    <w:rsid w:val="00064AAA"/>
    <w:rsid w:val="00065F05"/>
    <w:rsid w:val="00066ED8"/>
    <w:rsid w:val="00067DCC"/>
    <w:rsid w:val="00070003"/>
    <w:rsid w:val="000714BD"/>
    <w:rsid w:val="000714EB"/>
    <w:rsid w:val="00072BBB"/>
    <w:rsid w:val="000730A0"/>
    <w:rsid w:val="00075B67"/>
    <w:rsid w:val="0007602E"/>
    <w:rsid w:val="00076574"/>
    <w:rsid w:val="000778F2"/>
    <w:rsid w:val="00080119"/>
    <w:rsid w:val="00080D79"/>
    <w:rsid w:val="00082987"/>
    <w:rsid w:val="000853F4"/>
    <w:rsid w:val="00085C10"/>
    <w:rsid w:val="0008623D"/>
    <w:rsid w:val="00086B4F"/>
    <w:rsid w:val="00087189"/>
    <w:rsid w:val="00087365"/>
    <w:rsid w:val="00087CB0"/>
    <w:rsid w:val="000900EF"/>
    <w:rsid w:val="00090A65"/>
    <w:rsid w:val="000910ED"/>
    <w:rsid w:val="000922C9"/>
    <w:rsid w:val="00093CDD"/>
    <w:rsid w:val="00093E84"/>
    <w:rsid w:val="000A04E8"/>
    <w:rsid w:val="000A28D4"/>
    <w:rsid w:val="000A3CDD"/>
    <w:rsid w:val="000A3DD2"/>
    <w:rsid w:val="000A4604"/>
    <w:rsid w:val="000A47FF"/>
    <w:rsid w:val="000A68BE"/>
    <w:rsid w:val="000A74C1"/>
    <w:rsid w:val="000A7F89"/>
    <w:rsid w:val="000B03D7"/>
    <w:rsid w:val="000B0923"/>
    <w:rsid w:val="000B2BD4"/>
    <w:rsid w:val="000B36A4"/>
    <w:rsid w:val="000B6591"/>
    <w:rsid w:val="000C0794"/>
    <w:rsid w:val="000C07CD"/>
    <w:rsid w:val="000C09AB"/>
    <w:rsid w:val="000C14FB"/>
    <w:rsid w:val="000C39B1"/>
    <w:rsid w:val="000C4FB4"/>
    <w:rsid w:val="000C5E57"/>
    <w:rsid w:val="000C6813"/>
    <w:rsid w:val="000C6FCE"/>
    <w:rsid w:val="000D004C"/>
    <w:rsid w:val="000D0527"/>
    <w:rsid w:val="000D4317"/>
    <w:rsid w:val="000D63D7"/>
    <w:rsid w:val="000D6F44"/>
    <w:rsid w:val="000D7C59"/>
    <w:rsid w:val="000E0144"/>
    <w:rsid w:val="000E325E"/>
    <w:rsid w:val="000E331B"/>
    <w:rsid w:val="000E3377"/>
    <w:rsid w:val="000E6604"/>
    <w:rsid w:val="000E6EB6"/>
    <w:rsid w:val="000E6EB8"/>
    <w:rsid w:val="000E73CF"/>
    <w:rsid w:val="000F256B"/>
    <w:rsid w:val="000F3764"/>
    <w:rsid w:val="000F441A"/>
    <w:rsid w:val="000F468C"/>
    <w:rsid w:val="000F7CAA"/>
    <w:rsid w:val="001003F9"/>
    <w:rsid w:val="0010089A"/>
    <w:rsid w:val="00106297"/>
    <w:rsid w:val="0010710B"/>
    <w:rsid w:val="00107576"/>
    <w:rsid w:val="00107C71"/>
    <w:rsid w:val="00115747"/>
    <w:rsid w:val="00117648"/>
    <w:rsid w:val="001179D7"/>
    <w:rsid w:val="00117CC2"/>
    <w:rsid w:val="00122EFB"/>
    <w:rsid w:val="00123B77"/>
    <w:rsid w:val="00127583"/>
    <w:rsid w:val="00127F0D"/>
    <w:rsid w:val="00130825"/>
    <w:rsid w:val="00130A47"/>
    <w:rsid w:val="00133B45"/>
    <w:rsid w:val="00134148"/>
    <w:rsid w:val="00136B85"/>
    <w:rsid w:val="001375EB"/>
    <w:rsid w:val="00137652"/>
    <w:rsid w:val="0013774C"/>
    <w:rsid w:val="00137861"/>
    <w:rsid w:val="0013792D"/>
    <w:rsid w:val="001411B5"/>
    <w:rsid w:val="00141293"/>
    <w:rsid w:val="0014418C"/>
    <w:rsid w:val="00144390"/>
    <w:rsid w:val="001452C8"/>
    <w:rsid w:val="00145CAB"/>
    <w:rsid w:val="00146558"/>
    <w:rsid w:val="00146E3A"/>
    <w:rsid w:val="00147144"/>
    <w:rsid w:val="00147FC3"/>
    <w:rsid w:val="00151D6F"/>
    <w:rsid w:val="0015691E"/>
    <w:rsid w:val="00160D74"/>
    <w:rsid w:val="001615EB"/>
    <w:rsid w:val="00161D69"/>
    <w:rsid w:val="00161DF1"/>
    <w:rsid w:val="00161FAB"/>
    <w:rsid w:val="0016396E"/>
    <w:rsid w:val="0016703D"/>
    <w:rsid w:val="00167761"/>
    <w:rsid w:val="00167F8A"/>
    <w:rsid w:val="00170574"/>
    <w:rsid w:val="001723AE"/>
    <w:rsid w:val="00172C62"/>
    <w:rsid w:val="00172DD9"/>
    <w:rsid w:val="00172F8F"/>
    <w:rsid w:val="00173133"/>
    <w:rsid w:val="00175A14"/>
    <w:rsid w:val="00177183"/>
    <w:rsid w:val="00177476"/>
    <w:rsid w:val="00182011"/>
    <w:rsid w:val="001854B6"/>
    <w:rsid w:val="0018583B"/>
    <w:rsid w:val="0018605B"/>
    <w:rsid w:val="00187714"/>
    <w:rsid w:val="00190312"/>
    <w:rsid w:val="00190AD8"/>
    <w:rsid w:val="0019183D"/>
    <w:rsid w:val="00191C3D"/>
    <w:rsid w:val="00191CF9"/>
    <w:rsid w:val="00193464"/>
    <w:rsid w:val="001936FB"/>
    <w:rsid w:val="00194E14"/>
    <w:rsid w:val="001959D8"/>
    <w:rsid w:val="00195C9A"/>
    <w:rsid w:val="001A07B5"/>
    <w:rsid w:val="001A36A4"/>
    <w:rsid w:val="001A4EC6"/>
    <w:rsid w:val="001A5354"/>
    <w:rsid w:val="001A5911"/>
    <w:rsid w:val="001A767B"/>
    <w:rsid w:val="001A7762"/>
    <w:rsid w:val="001B0CA6"/>
    <w:rsid w:val="001B303F"/>
    <w:rsid w:val="001B37F7"/>
    <w:rsid w:val="001B3816"/>
    <w:rsid w:val="001B3865"/>
    <w:rsid w:val="001B4D30"/>
    <w:rsid w:val="001B4ECC"/>
    <w:rsid w:val="001B5CE6"/>
    <w:rsid w:val="001B7201"/>
    <w:rsid w:val="001C1955"/>
    <w:rsid w:val="001C2911"/>
    <w:rsid w:val="001C7476"/>
    <w:rsid w:val="001C758E"/>
    <w:rsid w:val="001D2F83"/>
    <w:rsid w:val="001D5A7D"/>
    <w:rsid w:val="001D7995"/>
    <w:rsid w:val="001E0502"/>
    <w:rsid w:val="001E436A"/>
    <w:rsid w:val="001E68D7"/>
    <w:rsid w:val="001F0C1C"/>
    <w:rsid w:val="001F11E1"/>
    <w:rsid w:val="001F779C"/>
    <w:rsid w:val="002005C7"/>
    <w:rsid w:val="002009EE"/>
    <w:rsid w:val="00201852"/>
    <w:rsid w:val="00201D6C"/>
    <w:rsid w:val="0020384D"/>
    <w:rsid w:val="0020435E"/>
    <w:rsid w:val="002076A1"/>
    <w:rsid w:val="00210428"/>
    <w:rsid w:val="00210793"/>
    <w:rsid w:val="00210E2A"/>
    <w:rsid w:val="002123AB"/>
    <w:rsid w:val="00212BE0"/>
    <w:rsid w:val="0021319C"/>
    <w:rsid w:val="0021464E"/>
    <w:rsid w:val="00215092"/>
    <w:rsid w:val="002155C2"/>
    <w:rsid w:val="00217C44"/>
    <w:rsid w:val="00217D31"/>
    <w:rsid w:val="002227ED"/>
    <w:rsid w:val="002238A5"/>
    <w:rsid w:val="00223B6C"/>
    <w:rsid w:val="00230898"/>
    <w:rsid w:val="00231F73"/>
    <w:rsid w:val="00232D11"/>
    <w:rsid w:val="0023659F"/>
    <w:rsid w:val="002415E5"/>
    <w:rsid w:val="00242697"/>
    <w:rsid w:val="00242898"/>
    <w:rsid w:val="0024326C"/>
    <w:rsid w:val="00243DED"/>
    <w:rsid w:val="00244650"/>
    <w:rsid w:val="00246873"/>
    <w:rsid w:val="00250076"/>
    <w:rsid w:val="00251C8D"/>
    <w:rsid w:val="00252414"/>
    <w:rsid w:val="0025347F"/>
    <w:rsid w:val="00256259"/>
    <w:rsid w:val="00257D1B"/>
    <w:rsid w:val="00257F44"/>
    <w:rsid w:val="00260F53"/>
    <w:rsid w:val="00261129"/>
    <w:rsid w:val="00267A47"/>
    <w:rsid w:val="002702B0"/>
    <w:rsid w:val="002715CF"/>
    <w:rsid w:val="00271CB0"/>
    <w:rsid w:val="002727C0"/>
    <w:rsid w:val="00272A30"/>
    <w:rsid w:val="0027553D"/>
    <w:rsid w:val="0027700B"/>
    <w:rsid w:val="00277294"/>
    <w:rsid w:val="002778F1"/>
    <w:rsid w:val="002801C7"/>
    <w:rsid w:val="00280596"/>
    <w:rsid w:val="00280922"/>
    <w:rsid w:val="00281661"/>
    <w:rsid w:val="00281DAD"/>
    <w:rsid w:val="002830A8"/>
    <w:rsid w:val="00283106"/>
    <w:rsid w:val="00283D20"/>
    <w:rsid w:val="00284B91"/>
    <w:rsid w:val="0028764B"/>
    <w:rsid w:val="002878F3"/>
    <w:rsid w:val="002907EA"/>
    <w:rsid w:val="0029256D"/>
    <w:rsid w:val="00293EB0"/>
    <w:rsid w:val="002A125A"/>
    <w:rsid w:val="002A16E2"/>
    <w:rsid w:val="002A2443"/>
    <w:rsid w:val="002A291A"/>
    <w:rsid w:val="002A2EBF"/>
    <w:rsid w:val="002A39BA"/>
    <w:rsid w:val="002A4039"/>
    <w:rsid w:val="002A4A01"/>
    <w:rsid w:val="002A4B72"/>
    <w:rsid w:val="002A549B"/>
    <w:rsid w:val="002B2263"/>
    <w:rsid w:val="002B249C"/>
    <w:rsid w:val="002B2734"/>
    <w:rsid w:val="002B2902"/>
    <w:rsid w:val="002B3855"/>
    <w:rsid w:val="002B3A90"/>
    <w:rsid w:val="002B776F"/>
    <w:rsid w:val="002C0622"/>
    <w:rsid w:val="002C0C94"/>
    <w:rsid w:val="002C0D4A"/>
    <w:rsid w:val="002C29EA"/>
    <w:rsid w:val="002C364D"/>
    <w:rsid w:val="002C4C61"/>
    <w:rsid w:val="002C5165"/>
    <w:rsid w:val="002C56BF"/>
    <w:rsid w:val="002C60AF"/>
    <w:rsid w:val="002D1C84"/>
    <w:rsid w:val="002D28CB"/>
    <w:rsid w:val="002D2F1E"/>
    <w:rsid w:val="002D39C2"/>
    <w:rsid w:val="002D3EF3"/>
    <w:rsid w:val="002D4CC5"/>
    <w:rsid w:val="002D4DC0"/>
    <w:rsid w:val="002D4EC5"/>
    <w:rsid w:val="002D55D7"/>
    <w:rsid w:val="002D5C77"/>
    <w:rsid w:val="002D6F9C"/>
    <w:rsid w:val="002D7AB4"/>
    <w:rsid w:val="002E1159"/>
    <w:rsid w:val="002E2649"/>
    <w:rsid w:val="002E3988"/>
    <w:rsid w:val="002E45A5"/>
    <w:rsid w:val="002E4B1F"/>
    <w:rsid w:val="002E4CE0"/>
    <w:rsid w:val="002E617B"/>
    <w:rsid w:val="002E7B49"/>
    <w:rsid w:val="002F31A7"/>
    <w:rsid w:val="002F638B"/>
    <w:rsid w:val="002F657F"/>
    <w:rsid w:val="002F66F6"/>
    <w:rsid w:val="002F7BE9"/>
    <w:rsid w:val="003018AA"/>
    <w:rsid w:val="00302175"/>
    <w:rsid w:val="00302CE4"/>
    <w:rsid w:val="00304A58"/>
    <w:rsid w:val="0030527B"/>
    <w:rsid w:val="003056CB"/>
    <w:rsid w:val="00305CAB"/>
    <w:rsid w:val="003071D1"/>
    <w:rsid w:val="00307262"/>
    <w:rsid w:val="00307DFC"/>
    <w:rsid w:val="00313499"/>
    <w:rsid w:val="0031411B"/>
    <w:rsid w:val="003177B9"/>
    <w:rsid w:val="00322D73"/>
    <w:rsid w:val="003234E0"/>
    <w:rsid w:val="00323615"/>
    <w:rsid w:val="00324973"/>
    <w:rsid w:val="00325C06"/>
    <w:rsid w:val="0032753D"/>
    <w:rsid w:val="00327C42"/>
    <w:rsid w:val="0033036D"/>
    <w:rsid w:val="0033050B"/>
    <w:rsid w:val="003306B3"/>
    <w:rsid w:val="00332EBD"/>
    <w:rsid w:val="00333142"/>
    <w:rsid w:val="00333EBF"/>
    <w:rsid w:val="00334345"/>
    <w:rsid w:val="003356E4"/>
    <w:rsid w:val="0033598F"/>
    <w:rsid w:val="00337084"/>
    <w:rsid w:val="0034056D"/>
    <w:rsid w:val="00342F86"/>
    <w:rsid w:val="00344080"/>
    <w:rsid w:val="00344FF1"/>
    <w:rsid w:val="0034520A"/>
    <w:rsid w:val="003453A6"/>
    <w:rsid w:val="00353A00"/>
    <w:rsid w:val="00355B42"/>
    <w:rsid w:val="00356048"/>
    <w:rsid w:val="003607F8"/>
    <w:rsid w:val="00361CC5"/>
    <w:rsid w:val="00362ABC"/>
    <w:rsid w:val="0036337E"/>
    <w:rsid w:val="00363708"/>
    <w:rsid w:val="00364842"/>
    <w:rsid w:val="00365003"/>
    <w:rsid w:val="0036520F"/>
    <w:rsid w:val="00365594"/>
    <w:rsid w:val="003678E6"/>
    <w:rsid w:val="003709AE"/>
    <w:rsid w:val="00371DC9"/>
    <w:rsid w:val="0037604A"/>
    <w:rsid w:val="003811D1"/>
    <w:rsid w:val="00382011"/>
    <w:rsid w:val="003832F4"/>
    <w:rsid w:val="00383AB8"/>
    <w:rsid w:val="003872B9"/>
    <w:rsid w:val="003873D5"/>
    <w:rsid w:val="00387BD5"/>
    <w:rsid w:val="00387EBE"/>
    <w:rsid w:val="00391DBF"/>
    <w:rsid w:val="00392693"/>
    <w:rsid w:val="0039394B"/>
    <w:rsid w:val="0039493F"/>
    <w:rsid w:val="00395016"/>
    <w:rsid w:val="003962D2"/>
    <w:rsid w:val="003962E0"/>
    <w:rsid w:val="00397D56"/>
    <w:rsid w:val="003A02DF"/>
    <w:rsid w:val="003A1313"/>
    <w:rsid w:val="003A30E9"/>
    <w:rsid w:val="003A4075"/>
    <w:rsid w:val="003A5EB6"/>
    <w:rsid w:val="003A717B"/>
    <w:rsid w:val="003B0225"/>
    <w:rsid w:val="003B058C"/>
    <w:rsid w:val="003B08B1"/>
    <w:rsid w:val="003B2296"/>
    <w:rsid w:val="003B3D23"/>
    <w:rsid w:val="003B3ED7"/>
    <w:rsid w:val="003B4067"/>
    <w:rsid w:val="003B572E"/>
    <w:rsid w:val="003B7590"/>
    <w:rsid w:val="003C0181"/>
    <w:rsid w:val="003C10B2"/>
    <w:rsid w:val="003C212A"/>
    <w:rsid w:val="003C3746"/>
    <w:rsid w:val="003C3EDE"/>
    <w:rsid w:val="003C3FC5"/>
    <w:rsid w:val="003C5243"/>
    <w:rsid w:val="003C58B9"/>
    <w:rsid w:val="003C6628"/>
    <w:rsid w:val="003D0229"/>
    <w:rsid w:val="003D1061"/>
    <w:rsid w:val="003D26B0"/>
    <w:rsid w:val="003D30BD"/>
    <w:rsid w:val="003D44B8"/>
    <w:rsid w:val="003D46FC"/>
    <w:rsid w:val="003D4BCA"/>
    <w:rsid w:val="003D59E5"/>
    <w:rsid w:val="003D5BEE"/>
    <w:rsid w:val="003D5C41"/>
    <w:rsid w:val="003D642B"/>
    <w:rsid w:val="003D6834"/>
    <w:rsid w:val="003D6BF3"/>
    <w:rsid w:val="003E07BC"/>
    <w:rsid w:val="003E3762"/>
    <w:rsid w:val="003E5014"/>
    <w:rsid w:val="003E56C9"/>
    <w:rsid w:val="003E5ABA"/>
    <w:rsid w:val="003E7D4A"/>
    <w:rsid w:val="003F10BF"/>
    <w:rsid w:val="003F114C"/>
    <w:rsid w:val="003F1295"/>
    <w:rsid w:val="003F2110"/>
    <w:rsid w:val="003F2A16"/>
    <w:rsid w:val="003F3053"/>
    <w:rsid w:val="003F5CEF"/>
    <w:rsid w:val="00400A62"/>
    <w:rsid w:val="00400F0E"/>
    <w:rsid w:val="00402171"/>
    <w:rsid w:val="004021E2"/>
    <w:rsid w:val="00403498"/>
    <w:rsid w:val="004042C5"/>
    <w:rsid w:val="004048D7"/>
    <w:rsid w:val="00404DFB"/>
    <w:rsid w:val="0040598C"/>
    <w:rsid w:val="004066CE"/>
    <w:rsid w:val="00410447"/>
    <w:rsid w:val="00410A28"/>
    <w:rsid w:val="00411AB5"/>
    <w:rsid w:val="00413F2A"/>
    <w:rsid w:val="0041677B"/>
    <w:rsid w:val="0042017F"/>
    <w:rsid w:val="00420266"/>
    <w:rsid w:val="00420671"/>
    <w:rsid w:val="00421443"/>
    <w:rsid w:val="0042145E"/>
    <w:rsid w:val="004214DB"/>
    <w:rsid w:val="00421884"/>
    <w:rsid w:val="00421EDA"/>
    <w:rsid w:val="0042367E"/>
    <w:rsid w:val="00423703"/>
    <w:rsid w:val="00425432"/>
    <w:rsid w:val="00425FAE"/>
    <w:rsid w:val="00426B56"/>
    <w:rsid w:val="0043143A"/>
    <w:rsid w:val="00431BD7"/>
    <w:rsid w:val="0043324C"/>
    <w:rsid w:val="00434EFE"/>
    <w:rsid w:val="00435170"/>
    <w:rsid w:val="0043792B"/>
    <w:rsid w:val="0044027D"/>
    <w:rsid w:val="0044099F"/>
    <w:rsid w:val="00441D36"/>
    <w:rsid w:val="0044245D"/>
    <w:rsid w:val="00446DF9"/>
    <w:rsid w:val="004508C8"/>
    <w:rsid w:val="00451983"/>
    <w:rsid w:val="004523FA"/>
    <w:rsid w:val="004526C5"/>
    <w:rsid w:val="0045745D"/>
    <w:rsid w:val="00457546"/>
    <w:rsid w:val="0045772C"/>
    <w:rsid w:val="0046008F"/>
    <w:rsid w:val="0046167E"/>
    <w:rsid w:val="00462E86"/>
    <w:rsid w:val="0046443C"/>
    <w:rsid w:val="00466D3E"/>
    <w:rsid w:val="00467A7F"/>
    <w:rsid w:val="00467AD5"/>
    <w:rsid w:val="00470423"/>
    <w:rsid w:val="00470CDC"/>
    <w:rsid w:val="0047433F"/>
    <w:rsid w:val="004763AD"/>
    <w:rsid w:val="004800DA"/>
    <w:rsid w:val="00481F04"/>
    <w:rsid w:val="004822F3"/>
    <w:rsid w:val="0048529F"/>
    <w:rsid w:val="004857E9"/>
    <w:rsid w:val="00490874"/>
    <w:rsid w:val="00490EB1"/>
    <w:rsid w:val="00492463"/>
    <w:rsid w:val="00492DFC"/>
    <w:rsid w:val="004931CB"/>
    <w:rsid w:val="00496FE8"/>
    <w:rsid w:val="00497855"/>
    <w:rsid w:val="004A0DBC"/>
    <w:rsid w:val="004A202F"/>
    <w:rsid w:val="004A2B54"/>
    <w:rsid w:val="004A4A2F"/>
    <w:rsid w:val="004A61B1"/>
    <w:rsid w:val="004B1E6C"/>
    <w:rsid w:val="004B44D5"/>
    <w:rsid w:val="004B5157"/>
    <w:rsid w:val="004B5861"/>
    <w:rsid w:val="004B5BDC"/>
    <w:rsid w:val="004B732A"/>
    <w:rsid w:val="004C00FB"/>
    <w:rsid w:val="004C24EE"/>
    <w:rsid w:val="004C4608"/>
    <w:rsid w:val="004C4B1B"/>
    <w:rsid w:val="004C4D57"/>
    <w:rsid w:val="004D0B09"/>
    <w:rsid w:val="004D2714"/>
    <w:rsid w:val="004D3608"/>
    <w:rsid w:val="004D7C62"/>
    <w:rsid w:val="004D7F49"/>
    <w:rsid w:val="004E05DB"/>
    <w:rsid w:val="004E2A33"/>
    <w:rsid w:val="004E377F"/>
    <w:rsid w:val="004E4809"/>
    <w:rsid w:val="004E5BFC"/>
    <w:rsid w:val="004E657E"/>
    <w:rsid w:val="004E71DA"/>
    <w:rsid w:val="004E772E"/>
    <w:rsid w:val="004E7D20"/>
    <w:rsid w:val="004F2ABB"/>
    <w:rsid w:val="004F6860"/>
    <w:rsid w:val="004F7007"/>
    <w:rsid w:val="00505270"/>
    <w:rsid w:val="0050539B"/>
    <w:rsid w:val="0050588F"/>
    <w:rsid w:val="00507B06"/>
    <w:rsid w:val="005103EA"/>
    <w:rsid w:val="0051062D"/>
    <w:rsid w:val="00511B02"/>
    <w:rsid w:val="00513048"/>
    <w:rsid w:val="005132BB"/>
    <w:rsid w:val="005137D9"/>
    <w:rsid w:val="0051399F"/>
    <w:rsid w:val="00515077"/>
    <w:rsid w:val="005168E8"/>
    <w:rsid w:val="00516D80"/>
    <w:rsid w:val="00517623"/>
    <w:rsid w:val="0052009B"/>
    <w:rsid w:val="00522361"/>
    <w:rsid w:val="005236AA"/>
    <w:rsid w:val="00526F3B"/>
    <w:rsid w:val="00530198"/>
    <w:rsid w:val="005310F7"/>
    <w:rsid w:val="005315CA"/>
    <w:rsid w:val="00533139"/>
    <w:rsid w:val="0053523C"/>
    <w:rsid w:val="0053526C"/>
    <w:rsid w:val="005355EE"/>
    <w:rsid w:val="00535672"/>
    <w:rsid w:val="00536EF1"/>
    <w:rsid w:val="0053739D"/>
    <w:rsid w:val="0054129A"/>
    <w:rsid w:val="00543601"/>
    <w:rsid w:val="00547166"/>
    <w:rsid w:val="00550224"/>
    <w:rsid w:val="00551F2D"/>
    <w:rsid w:val="00551F4F"/>
    <w:rsid w:val="0055265E"/>
    <w:rsid w:val="0055293B"/>
    <w:rsid w:val="005552B8"/>
    <w:rsid w:val="005556A6"/>
    <w:rsid w:val="0055798B"/>
    <w:rsid w:val="00557AB7"/>
    <w:rsid w:val="00560E2F"/>
    <w:rsid w:val="00562E68"/>
    <w:rsid w:val="00562EB6"/>
    <w:rsid w:val="005634FB"/>
    <w:rsid w:val="005638AB"/>
    <w:rsid w:val="005642BE"/>
    <w:rsid w:val="00565E5A"/>
    <w:rsid w:val="005664ED"/>
    <w:rsid w:val="005703A5"/>
    <w:rsid w:val="00570CD7"/>
    <w:rsid w:val="005752CA"/>
    <w:rsid w:val="00575375"/>
    <w:rsid w:val="00576350"/>
    <w:rsid w:val="0057767C"/>
    <w:rsid w:val="00581B70"/>
    <w:rsid w:val="00581F33"/>
    <w:rsid w:val="0058401B"/>
    <w:rsid w:val="00584E18"/>
    <w:rsid w:val="00587F13"/>
    <w:rsid w:val="00590D9A"/>
    <w:rsid w:val="00593D06"/>
    <w:rsid w:val="00594FE9"/>
    <w:rsid w:val="00595DA5"/>
    <w:rsid w:val="00596665"/>
    <w:rsid w:val="00596875"/>
    <w:rsid w:val="005974A2"/>
    <w:rsid w:val="005A0B64"/>
    <w:rsid w:val="005A1269"/>
    <w:rsid w:val="005A1978"/>
    <w:rsid w:val="005A1D61"/>
    <w:rsid w:val="005A1DB4"/>
    <w:rsid w:val="005A206F"/>
    <w:rsid w:val="005A3062"/>
    <w:rsid w:val="005A6AA1"/>
    <w:rsid w:val="005A6ECE"/>
    <w:rsid w:val="005B18B6"/>
    <w:rsid w:val="005B3B6A"/>
    <w:rsid w:val="005B500B"/>
    <w:rsid w:val="005B5F23"/>
    <w:rsid w:val="005B6CE0"/>
    <w:rsid w:val="005C0FB1"/>
    <w:rsid w:val="005C4655"/>
    <w:rsid w:val="005C56D6"/>
    <w:rsid w:val="005D2C0F"/>
    <w:rsid w:val="005D35D9"/>
    <w:rsid w:val="005D4A84"/>
    <w:rsid w:val="005D4F67"/>
    <w:rsid w:val="005D753E"/>
    <w:rsid w:val="005D7646"/>
    <w:rsid w:val="005D7902"/>
    <w:rsid w:val="005D7ADC"/>
    <w:rsid w:val="005E4472"/>
    <w:rsid w:val="005E4761"/>
    <w:rsid w:val="005E6683"/>
    <w:rsid w:val="005E6E4A"/>
    <w:rsid w:val="005E75E2"/>
    <w:rsid w:val="005E7F2E"/>
    <w:rsid w:val="005F022B"/>
    <w:rsid w:val="005F1CD1"/>
    <w:rsid w:val="005F357A"/>
    <w:rsid w:val="005F3D0F"/>
    <w:rsid w:val="005F410F"/>
    <w:rsid w:val="005F4446"/>
    <w:rsid w:val="005F4C68"/>
    <w:rsid w:val="005F4E8F"/>
    <w:rsid w:val="005F56D6"/>
    <w:rsid w:val="005F62DB"/>
    <w:rsid w:val="005F7AEC"/>
    <w:rsid w:val="00603072"/>
    <w:rsid w:val="0060368E"/>
    <w:rsid w:val="00604CFE"/>
    <w:rsid w:val="00605C66"/>
    <w:rsid w:val="00607E3E"/>
    <w:rsid w:val="006109FB"/>
    <w:rsid w:val="00611240"/>
    <w:rsid w:val="006119F0"/>
    <w:rsid w:val="00611A5E"/>
    <w:rsid w:val="00611CCA"/>
    <w:rsid w:val="00611DD4"/>
    <w:rsid w:val="00612401"/>
    <w:rsid w:val="00612772"/>
    <w:rsid w:val="006138F2"/>
    <w:rsid w:val="00615C59"/>
    <w:rsid w:val="006164DD"/>
    <w:rsid w:val="006203D6"/>
    <w:rsid w:val="00620493"/>
    <w:rsid w:val="00620BFD"/>
    <w:rsid w:val="00622D58"/>
    <w:rsid w:val="00624EBF"/>
    <w:rsid w:val="00627182"/>
    <w:rsid w:val="00627E04"/>
    <w:rsid w:val="006304A2"/>
    <w:rsid w:val="00630795"/>
    <w:rsid w:val="00630E9E"/>
    <w:rsid w:val="00631500"/>
    <w:rsid w:val="00631ADA"/>
    <w:rsid w:val="00632B3E"/>
    <w:rsid w:val="00633AEB"/>
    <w:rsid w:val="006376BB"/>
    <w:rsid w:val="006409C4"/>
    <w:rsid w:val="00642CF8"/>
    <w:rsid w:val="00645A44"/>
    <w:rsid w:val="00650DBA"/>
    <w:rsid w:val="00654BA5"/>
    <w:rsid w:val="00657A8C"/>
    <w:rsid w:val="00661AA0"/>
    <w:rsid w:val="0066398F"/>
    <w:rsid w:val="00666836"/>
    <w:rsid w:val="00667461"/>
    <w:rsid w:val="006677C8"/>
    <w:rsid w:val="0067239F"/>
    <w:rsid w:val="0067346B"/>
    <w:rsid w:val="00673C50"/>
    <w:rsid w:val="00674507"/>
    <w:rsid w:val="00675BC8"/>
    <w:rsid w:val="00675D4C"/>
    <w:rsid w:val="00676380"/>
    <w:rsid w:val="006763AC"/>
    <w:rsid w:val="006770C8"/>
    <w:rsid w:val="00677F58"/>
    <w:rsid w:val="006801B1"/>
    <w:rsid w:val="00680FFA"/>
    <w:rsid w:val="00683D20"/>
    <w:rsid w:val="006840FE"/>
    <w:rsid w:val="0068478B"/>
    <w:rsid w:val="00684CAA"/>
    <w:rsid w:val="00686AD8"/>
    <w:rsid w:val="0068753E"/>
    <w:rsid w:val="00687D67"/>
    <w:rsid w:val="00687E74"/>
    <w:rsid w:val="00691159"/>
    <w:rsid w:val="00691EE6"/>
    <w:rsid w:val="006920F3"/>
    <w:rsid w:val="0069399D"/>
    <w:rsid w:val="00693D97"/>
    <w:rsid w:val="00694134"/>
    <w:rsid w:val="00695875"/>
    <w:rsid w:val="00696943"/>
    <w:rsid w:val="006977BC"/>
    <w:rsid w:val="006A0253"/>
    <w:rsid w:val="006A154B"/>
    <w:rsid w:val="006A2B91"/>
    <w:rsid w:val="006A3EAA"/>
    <w:rsid w:val="006A4FF8"/>
    <w:rsid w:val="006A5F89"/>
    <w:rsid w:val="006A66EA"/>
    <w:rsid w:val="006A7310"/>
    <w:rsid w:val="006B02D8"/>
    <w:rsid w:val="006B2586"/>
    <w:rsid w:val="006B3B81"/>
    <w:rsid w:val="006B4158"/>
    <w:rsid w:val="006B4EC0"/>
    <w:rsid w:val="006B56B7"/>
    <w:rsid w:val="006C0576"/>
    <w:rsid w:val="006C2125"/>
    <w:rsid w:val="006C4488"/>
    <w:rsid w:val="006D0D29"/>
    <w:rsid w:val="006D315E"/>
    <w:rsid w:val="006D344A"/>
    <w:rsid w:val="006D4EB3"/>
    <w:rsid w:val="006D5FDD"/>
    <w:rsid w:val="006D726B"/>
    <w:rsid w:val="006D7B36"/>
    <w:rsid w:val="006D7E20"/>
    <w:rsid w:val="006E2FAA"/>
    <w:rsid w:val="006E3458"/>
    <w:rsid w:val="006E4A46"/>
    <w:rsid w:val="006E5543"/>
    <w:rsid w:val="006E5CF9"/>
    <w:rsid w:val="006E6693"/>
    <w:rsid w:val="006F1B7D"/>
    <w:rsid w:val="006F24D1"/>
    <w:rsid w:val="006F44F6"/>
    <w:rsid w:val="006F52C1"/>
    <w:rsid w:val="006F62B2"/>
    <w:rsid w:val="00701A4B"/>
    <w:rsid w:val="007021F5"/>
    <w:rsid w:val="00702408"/>
    <w:rsid w:val="00702F24"/>
    <w:rsid w:val="0070375F"/>
    <w:rsid w:val="00703DFC"/>
    <w:rsid w:val="00705524"/>
    <w:rsid w:val="00705F86"/>
    <w:rsid w:val="0071041C"/>
    <w:rsid w:val="00710697"/>
    <w:rsid w:val="007111EF"/>
    <w:rsid w:val="0071315E"/>
    <w:rsid w:val="00713661"/>
    <w:rsid w:val="0071386A"/>
    <w:rsid w:val="00715737"/>
    <w:rsid w:val="007161AB"/>
    <w:rsid w:val="00720CC6"/>
    <w:rsid w:val="00721145"/>
    <w:rsid w:val="0072177D"/>
    <w:rsid w:val="00723B67"/>
    <w:rsid w:val="00724D55"/>
    <w:rsid w:val="00725CC0"/>
    <w:rsid w:val="00725E70"/>
    <w:rsid w:val="007276FB"/>
    <w:rsid w:val="00727DF7"/>
    <w:rsid w:val="007304F4"/>
    <w:rsid w:val="007308B2"/>
    <w:rsid w:val="00730A14"/>
    <w:rsid w:val="00730FC8"/>
    <w:rsid w:val="0073155D"/>
    <w:rsid w:val="007322A6"/>
    <w:rsid w:val="007335F9"/>
    <w:rsid w:val="007367C4"/>
    <w:rsid w:val="00741238"/>
    <w:rsid w:val="0074280C"/>
    <w:rsid w:val="00743CC7"/>
    <w:rsid w:val="007453B9"/>
    <w:rsid w:val="007515F3"/>
    <w:rsid w:val="007527F0"/>
    <w:rsid w:val="007560ED"/>
    <w:rsid w:val="00756F4D"/>
    <w:rsid w:val="00762657"/>
    <w:rsid w:val="0076501C"/>
    <w:rsid w:val="00766A2A"/>
    <w:rsid w:val="00767CC9"/>
    <w:rsid w:val="007700D2"/>
    <w:rsid w:val="0077046C"/>
    <w:rsid w:val="00770966"/>
    <w:rsid w:val="00770A75"/>
    <w:rsid w:val="00771C7C"/>
    <w:rsid w:val="0077369E"/>
    <w:rsid w:val="0077453A"/>
    <w:rsid w:val="00774990"/>
    <w:rsid w:val="00775608"/>
    <w:rsid w:val="00775F32"/>
    <w:rsid w:val="007769AA"/>
    <w:rsid w:val="00777C11"/>
    <w:rsid w:val="00785B06"/>
    <w:rsid w:val="007876E9"/>
    <w:rsid w:val="00787C0A"/>
    <w:rsid w:val="0079012B"/>
    <w:rsid w:val="0079095B"/>
    <w:rsid w:val="00791629"/>
    <w:rsid w:val="0079214F"/>
    <w:rsid w:val="00793350"/>
    <w:rsid w:val="00797C7D"/>
    <w:rsid w:val="007A169D"/>
    <w:rsid w:val="007A2C3C"/>
    <w:rsid w:val="007A3236"/>
    <w:rsid w:val="007A4A15"/>
    <w:rsid w:val="007A5E44"/>
    <w:rsid w:val="007A6911"/>
    <w:rsid w:val="007A7A5C"/>
    <w:rsid w:val="007B344D"/>
    <w:rsid w:val="007B6166"/>
    <w:rsid w:val="007B6742"/>
    <w:rsid w:val="007C429B"/>
    <w:rsid w:val="007C4ADB"/>
    <w:rsid w:val="007C5D23"/>
    <w:rsid w:val="007C614F"/>
    <w:rsid w:val="007C7B1C"/>
    <w:rsid w:val="007D19D8"/>
    <w:rsid w:val="007D1F6B"/>
    <w:rsid w:val="007D25C1"/>
    <w:rsid w:val="007D2657"/>
    <w:rsid w:val="007D2A77"/>
    <w:rsid w:val="007D5692"/>
    <w:rsid w:val="007D5B96"/>
    <w:rsid w:val="007D7497"/>
    <w:rsid w:val="007D7D2F"/>
    <w:rsid w:val="007E2AFD"/>
    <w:rsid w:val="007E33D0"/>
    <w:rsid w:val="007E3500"/>
    <w:rsid w:val="007E373A"/>
    <w:rsid w:val="007E47B5"/>
    <w:rsid w:val="007E4D3F"/>
    <w:rsid w:val="007E609E"/>
    <w:rsid w:val="007E6658"/>
    <w:rsid w:val="007E6919"/>
    <w:rsid w:val="007E7B6D"/>
    <w:rsid w:val="007F32ED"/>
    <w:rsid w:val="007F350F"/>
    <w:rsid w:val="007F3D07"/>
    <w:rsid w:val="007F43D8"/>
    <w:rsid w:val="007F513C"/>
    <w:rsid w:val="007F7CD3"/>
    <w:rsid w:val="008010C3"/>
    <w:rsid w:val="00801BBD"/>
    <w:rsid w:val="00803575"/>
    <w:rsid w:val="008037F8"/>
    <w:rsid w:val="00803F60"/>
    <w:rsid w:val="00803F93"/>
    <w:rsid w:val="00804C4A"/>
    <w:rsid w:val="00804ECA"/>
    <w:rsid w:val="00806AE8"/>
    <w:rsid w:val="00810754"/>
    <w:rsid w:val="00811506"/>
    <w:rsid w:val="008115DE"/>
    <w:rsid w:val="0081199E"/>
    <w:rsid w:val="00812B38"/>
    <w:rsid w:val="00814A85"/>
    <w:rsid w:val="00816836"/>
    <w:rsid w:val="008179B5"/>
    <w:rsid w:val="00820427"/>
    <w:rsid w:val="00820DB8"/>
    <w:rsid w:val="0082457E"/>
    <w:rsid w:val="00824A61"/>
    <w:rsid w:val="00826A2B"/>
    <w:rsid w:val="00826B39"/>
    <w:rsid w:val="00827DC8"/>
    <w:rsid w:val="00831573"/>
    <w:rsid w:val="00832084"/>
    <w:rsid w:val="00832314"/>
    <w:rsid w:val="00837161"/>
    <w:rsid w:val="008376C4"/>
    <w:rsid w:val="00837F7B"/>
    <w:rsid w:val="0084017D"/>
    <w:rsid w:val="00841E62"/>
    <w:rsid w:val="00842155"/>
    <w:rsid w:val="0084373F"/>
    <w:rsid w:val="00843F0E"/>
    <w:rsid w:val="008463DC"/>
    <w:rsid w:val="008468B3"/>
    <w:rsid w:val="00850068"/>
    <w:rsid w:val="008526D6"/>
    <w:rsid w:val="00853C99"/>
    <w:rsid w:val="00855455"/>
    <w:rsid w:val="00856BAC"/>
    <w:rsid w:val="00856E8F"/>
    <w:rsid w:val="00860BFD"/>
    <w:rsid w:val="00862672"/>
    <w:rsid w:val="00862ADD"/>
    <w:rsid w:val="008639A7"/>
    <w:rsid w:val="008642F5"/>
    <w:rsid w:val="00865F68"/>
    <w:rsid w:val="00871D6E"/>
    <w:rsid w:val="00871EA3"/>
    <w:rsid w:val="00872C62"/>
    <w:rsid w:val="00873585"/>
    <w:rsid w:val="00875211"/>
    <w:rsid w:val="00875F2D"/>
    <w:rsid w:val="008765B2"/>
    <w:rsid w:val="00877C47"/>
    <w:rsid w:val="008814B4"/>
    <w:rsid w:val="00882077"/>
    <w:rsid w:val="00883246"/>
    <w:rsid w:val="008835E2"/>
    <w:rsid w:val="00883E1B"/>
    <w:rsid w:val="008844A2"/>
    <w:rsid w:val="00885247"/>
    <w:rsid w:val="0088596D"/>
    <w:rsid w:val="008871AC"/>
    <w:rsid w:val="00890458"/>
    <w:rsid w:val="00890D46"/>
    <w:rsid w:val="00891EC1"/>
    <w:rsid w:val="00892874"/>
    <w:rsid w:val="0089324D"/>
    <w:rsid w:val="00893C09"/>
    <w:rsid w:val="008942F1"/>
    <w:rsid w:val="00894E37"/>
    <w:rsid w:val="00894F17"/>
    <w:rsid w:val="00895F78"/>
    <w:rsid w:val="00896789"/>
    <w:rsid w:val="008979AF"/>
    <w:rsid w:val="008A0952"/>
    <w:rsid w:val="008A0EA5"/>
    <w:rsid w:val="008A12F2"/>
    <w:rsid w:val="008A23F9"/>
    <w:rsid w:val="008A40F1"/>
    <w:rsid w:val="008A7495"/>
    <w:rsid w:val="008A763C"/>
    <w:rsid w:val="008B0D36"/>
    <w:rsid w:val="008B1BA8"/>
    <w:rsid w:val="008B3630"/>
    <w:rsid w:val="008B3914"/>
    <w:rsid w:val="008B4272"/>
    <w:rsid w:val="008B6006"/>
    <w:rsid w:val="008B633D"/>
    <w:rsid w:val="008C128B"/>
    <w:rsid w:val="008C2FD2"/>
    <w:rsid w:val="008C31D6"/>
    <w:rsid w:val="008C3426"/>
    <w:rsid w:val="008C5A0D"/>
    <w:rsid w:val="008C6FC3"/>
    <w:rsid w:val="008D2905"/>
    <w:rsid w:val="008D335D"/>
    <w:rsid w:val="008D758A"/>
    <w:rsid w:val="008D7B28"/>
    <w:rsid w:val="008E3F8C"/>
    <w:rsid w:val="008E502B"/>
    <w:rsid w:val="008E5AFE"/>
    <w:rsid w:val="008E7371"/>
    <w:rsid w:val="008E78CA"/>
    <w:rsid w:val="008E7E21"/>
    <w:rsid w:val="008F014D"/>
    <w:rsid w:val="008F21B2"/>
    <w:rsid w:val="008F2B12"/>
    <w:rsid w:val="008F6528"/>
    <w:rsid w:val="00903FB4"/>
    <w:rsid w:val="00906AE2"/>
    <w:rsid w:val="00910E65"/>
    <w:rsid w:val="009114E2"/>
    <w:rsid w:val="00911BAE"/>
    <w:rsid w:val="009121C2"/>
    <w:rsid w:val="009122E1"/>
    <w:rsid w:val="00912F0A"/>
    <w:rsid w:val="00913938"/>
    <w:rsid w:val="00913A73"/>
    <w:rsid w:val="00913DCB"/>
    <w:rsid w:val="009144B4"/>
    <w:rsid w:val="009157FD"/>
    <w:rsid w:val="00916290"/>
    <w:rsid w:val="00917262"/>
    <w:rsid w:val="0092015E"/>
    <w:rsid w:val="0092062E"/>
    <w:rsid w:val="00921601"/>
    <w:rsid w:val="009248D7"/>
    <w:rsid w:val="00924A1A"/>
    <w:rsid w:val="00924BDC"/>
    <w:rsid w:val="00930882"/>
    <w:rsid w:val="00932E2E"/>
    <w:rsid w:val="00932F4B"/>
    <w:rsid w:val="009356E5"/>
    <w:rsid w:val="00935CDA"/>
    <w:rsid w:val="0093641F"/>
    <w:rsid w:val="0094056D"/>
    <w:rsid w:val="0094286F"/>
    <w:rsid w:val="00945C40"/>
    <w:rsid w:val="009519E5"/>
    <w:rsid w:val="0095284F"/>
    <w:rsid w:val="00954435"/>
    <w:rsid w:val="00955DC0"/>
    <w:rsid w:val="00955F98"/>
    <w:rsid w:val="009615C9"/>
    <w:rsid w:val="00961DF0"/>
    <w:rsid w:val="00961F4A"/>
    <w:rsid w:val="00963ADF"/>
    <w:rsid w:val="00970261"/>
    <w:rsid w:val="00970CCC"/>
    <w:rsid w:val="00972369"/>
    <w:rsid w:val="00974280"/>
    <w:rsid w:val="009752A9"/>
    <w:rsid w:val="00975A95"/>
    <w:rsid w:val="00981023"/>
    <w:rsid w:val="0098225E"/>
    <w:rsid w:val="0098328F"/>
    <w:rsid w:val="0098427E"/>
    <w:rsid w:val="00984AD3"/>
    <w:rsid w:val="00985052"/>
    <w:rsid w:val="00993AF3"/>
    <w:rsid w:val="009A038D"/>
    <w:rsid w:val="009A1E70"/>
    <w:rsid w:val="009A31F0"/>
    <w:rsid w:val="009A46FA"/>
    <w:rsid w:val="009A4EF6"/>
    <w:rsid w:val="009A515F"/>
    <w:rsid w:val="009A74C1"/>
    <w:rsid w:val="009B0CF4"/>
    <w:rsid w:val="009B1008"/>
    <w:rsid w:val="009B1B91"/>
    <w:rsid w:val="009B2241"/>
    <w:rsid w:val="009B2695"/>
    <w:rsid w:val="009B3B16"/>
    <w:rsid w:val="009B3E44"/>
    <w:rsid w:val="009B4358"/>
    <w:rsid w:val="009B5E9A"/>
    <w:rsid w:val="009B6E6E"/>
    <w:rsid w:val="009B720C"/>
    <w:rsid w:val="009C2A99"/>
    <w:rsid w:val="009C5290"/>
    <w:rsid w:val="009C6C2B"/>
    <w:rsid w:val="009C7FB6"/>
    <w:rsid w:val="009D2BF9"/>
    <w:rsid w:val="009D3162"/>
    <w:rsid w:val="009E0356"/>
    <w:rsid w:val="009E0B86"/>
    <w:rsid w:val="009E14A1"/>
    <w:rsid w:val="009E176A"/>
    <w:rsid w:val="009E773F"/>
    <w:rsid w:val="009F099F"/>
    <w:rsid w:val="009F11CD"/>
    <w:rsid w:val="009F11F2"/>
    <w:rsid w:val="009F1AA6"/>
    <w:rsid w:val="009F1FC2"/>
    <w:rsid w:val="009F2791"/>
    <w:rsid w:val="009F2E56"/>
    <w:rsid w:val="009F3060"/>
    <w:rsid w:val="009F3C7C"/>
    <w:rsid w:val="009F40FC"/>
    <w:rsid w:val="009F47F6"/>
    <w:rsid w:val="009F66BD"/>
    <w:rsid w:val="009F760C"/>
    <w:rsid w:val="009F77F3"/>
    <w:rsid w:val="00A00083"/>
    <w:rsid w:val="00A00134"/>
    <w:rsid w:val="00A0060D"/>
    <w:rsid w:val="00A00AD9"/>
    <w:rsid w:val="00A031F2"/>
    <w:rsid w:val="00A03498"/>
    <w:rsid w:val="00A043E7"/>
    <w:rsid w:val="00A058D7"/>
    <w:rsid w:val="00A07045"/>
    <w:rsid w:val="00A0798B"/>
    <w:rsid w:val="00A07D1C"/>
    <w:rsid w:val="00A103BE"/>
    <w:rsid w:val="00A10AD9"/>
    <w:rsid w:val="00A10EE0"/>
    <w:rsid w:val="00A11827"/>
    <w:rsid w:val="00A11EA8"/>
    <w:rsid w:val="00A142BD"/>
    <w:rsid w:val="00A149E9"/>
    <w:rsid w:val="00A21559"/>
    <w:rsid w:val="00A21800"/>
    <w:rsid w:val="00A21C6F"/>
    <w:rsid w:val="00A238F0"/>
    <w:rsid w:val="00A24175"/>
    <w:rsid w:val="00A2424D"/>
    <w:rsid w:val="00A26775"/>
    <w:rsid w:val="00A27AC7"/>
    <w:rsid w:val="00A32A2C"/>
    <w:rsid w:val="00A3318A"/>
    <w:rsid w:val="00A33CA9"/>
    <w:rsid w:val="00A34F23"/>
    <w:rsid w:val="00A35376"/>
    <w:rsid w:val="00A36183"/>
    <w:rsid w:val="00A361F5"/>
    <w:rsid w:val="00A3671E"/>
    <w:rsid w:val="00A3752A"/>
    <w:rsid w:val="00A40498"/>
    <w:rsid w:val="00A4099B"/>
    <w:rsid w:val="00A42F5B"/>
    <w:rsid w:val="00A43C74"/>
    <w:rsid w:val="00A43FD1"/>
    <w:rsid w:val="00A46F31"/>
    <w:rsid w:val="00A50B5F"/>
    <w:rsid w:val="00A5174B"/>
    <w:rsid w:val="00A51E53"/>
    <w:rsid w:val="00A5426E"/>
    <w:rsid w:val="00A550A8"/>
    <w:rsid w:val="00A554BB"/>
    <w:rsid w:val="00A56B4B"/>
    <w:rsid w:val="00A57234"/>
    <w:rsid w:val="00A57B71"/>
    <w:rsid w:val="00A57DA3"/>
    <w:rsid w:val="00A60167"/>
    <w:rsid w:val="00A619C9"/>
    <w:rsid w:val="00A63EFF"/>
    <w:rsid w:val="00A6615D"/>
    <w:rsid w:val="00A67464"/>
    <w:rsid w:val="00A70D43"/>
    <w:rsid w:val="00A721D7"/>
    <w:rsid w:val="00A727B8"/>
    <w:rsid w:val="00A752D4"/>
    <w:rsid w:val="00A7678F"/>
    <w:rsid w:val="00A76BAB"/>
    <w:rsid w:val="00A7794A"/>
    <w:rsid w:val="00A77B85"/>
    <w:rsid w:val="00A77EA1"/>
    <w:rsid w:val="00A82F42"/>
    <w:rsid w:val="00A93B55"/>
    <w:rsid w:val="00A95333"/>
    <w:rsid w:val="00A96AEF"/>
    <w:rsid w:val="00A96BD5"/>
    <w:rsid w:val="00AA003C"/>
    <w:rsid w:val="00AA0D8C"/>
    <w:rsid w:val="00AA10AC"/>
    <w:rsid w:val="00AA15D3"/>
    <w:rsid w:val="00AA1F36"/>
    <w:rsid w:val="00AA2271"/>
    <w:rsid w:val="00AA4BEF"/>
    <w:rsid w:val="00AB0004"/>
    <w:rsid w:val="00AB1EF1"/>
    <w:rsid w:val="00AB2AD8"/>
    <w:rsid w:val="00AB3DDB"/>
    <w:rsid w:val="00AB5281"/>
    <w:rsid w:val="00AB67EE"/>
    <w:rsid w:val="00AC0C50"/>
    <w:rsid w:val="00AC0FB3"/>
    <w:rsid w:val="00AC11E9"/>
    <w:rsid w:val="00AC1B10"/>
    <w:rsid w:val="00AC20FB"/>
    <w:rsid w:val="00AC39DA"/>
    <w:rsid w:val="00AC402A"/>
    <w:rsid w:val="00AC4456"/>
    <w:rsid w:val="00AC4EE0"/>
    <w:rsid w:val="00AC65A5"/>
    <w:rsid w:val="00AD07EA"/>
    <w:rsid w:val="00AD20A1"/>
    <w:rsid w:val="00AD2B4C"/>
    <w:rsid w:val="00AD3336"/>
    <w:rsid w:val="00AD4367"/>
    <w:rsid w:val="00AD51E2"/>
    <w:rsid w:val="00AD5576"/>
    <w:rsid w:val="00AD7100"/>
    <w:rsid w:val="00AD72F4"/>
    <w:rsid w:val="00AD74D3"/>
    <w:rsid w:val="00AE25C0"/>
    <w:rsid w:val="00AE25C4"/>
    <w:rsid w:val="00AE2F59"/>
    <w:rsid w:val="00AE44D2"/>
    <w:rsid w:val="00AE4502"/>
    <w:rsid w:val="00AE6774"/>
    <w:rsid w:val="00AE7341"/>
    <w:rsid w:val="00AE75DF"/>
    <w:rsid w:val="00AF071D"/>
    <w:rsid w:val="00AF15DA"/>
    <w:rsid w:val="00AF17A5"/>
    <w:rsid w:val="00AF6693"/>
    <w:rsid w:val="00AF6FCA"/>
    <w:rsid w:val="00AF7576"/>
    <w:rsid w:val="00B005DA"/>
    <w:rsid w:val="00B00693"/>
    <w:rsid w:val="00B025E5"/>
    <w:rsid w:val="00B05AF0"/>
    <w:rsid w:val="00B06BAD"/>
    <w:rsid w:val="00B06E43"/>
    <w:rsid w:val="00B11BCB"/>
    <w:rsid w:val="00B11CE3"/>
    <w:rsid w:val="00B12808"/>
    <w:rsid w:val="00B14C0F"/>
    <w:rsid w:val="00B15DE2"/>
    <w:rsid w:val="00B17478"/>
    <w:rsid w:val="00B17830"/>
    <w:rsid w:val="00B2156A"/>
    <w:rsid w:val="00B24973"/>
    <w:rsid w:val="00B257A6"/>
    <w:rsid w:val="00B25DFD"/>
    <w:rsid w:val="00B27C74"/>
    <w:rsid w:val="00B316EC"/>
    <w:rsid w:val="00B3218C"/>
    <w:rsid w:val="00B34C24"/>
    <w:rsid w:val="00B3598F"/>
    <w:rsid w:val="00B36317"/>
    <w:rsid w:val="00B36699"/>
    <w:rsid w:val="00B37750"/>
    <w:rsid w:val="00B37CBD"/>
    <w:rsid w:val="00B40377"/>
    <w:rsid w:val="00B40589"/>
    <w:rsid w:val="00B405B7"/>
    <w:rsid w:val="00B40E42"/>
    <w:rsid w:val="00B42266"/>
    <w:rsid w:val="00B42C29"/>
    <w:rsid w:val="00B43ACC"/>
    <w:rsid w:val="00B45418"/>
    <w:rsid w:val="00B45C84"/>
    <w:rsid w:val="00B45FEB"/>
    <w:rsid w:val="00B47934"/>
    <w:rsid w:val="00B5566C"/>
    <w:rsid w:val="00B62BB0"/>
    <w:rsid w:val="00B645F8"/>
    <w:rsid w:val="00B6479F"/>
    <w:rsid w:val="00B647E2"/>
    <w:rsid w:val="00B64998"/>
    <w:rsid w:val="00B65F36"/>
    <w:rsid w:val="00B660B3"/>
    <w:rsid w:val="00B669B8"/>
    <w:rsid w:val="00B70779"/>
    <w:rsid w:val="00B718AA"/>
    <w:rsid w:val="00B71F87"/>
    <w:rsid w:val="00B72940"/>
    <w:rsid w:val="00B75284"/>
    <w:rsid w:val="00B76374"/>
    <w:rsid w:val="00B76D6F"/>
    <w:rsid w:val="00B773C4"/>
    <w:rsid w:val="00B8293C"/>
    <w:rsid w:val="00B8336E"/>
    <w:rsid w:val="00B8535A"/>
    <w:rsid w:val="00B8683D"/>
    <w:rsid w:val="00B87059"/>
    <w:rsid w:val="00B90702"/>
    <w:rsid w:val="00B90E5E"/>
    <w:rsid w:val="00B92CAF"/>
    <w:rsid w:val="00B92F12"/>
    <w:rsid w:val="00B93593"/>
    <w:rsid w:val="00B9406B"/>
    <w:rsid w:val="00B9559A"/>
    <w:rsid w:val="00BA28B4"/>
    <w:rsid w:val="00BA3F19"/>
    <w:rsid w:val="00BA5F4D"/>
    <w:rsid w:val="00BA627C"/>
    <w:rsid w:val="00BA63C6"/>
    <w:rsid w:val="00BB134B"/>
    <w:rsid w:val="00BB18DA"/>
    <w:rsid w:val="00BB1B50"/>
    <w:rsid w:val="00BB31EB"/>
    <w:rsid w:val="00BB42E6"/>
    <w:rsid w:val="00BB43C3"/>
    <w:rsid w:val="00BB53AD"/>
    <w:rsid w:val="00BB572E"/>
    <w:rsid w:val="00BB6ADC"/>
    <w:rsid w:val="00BC4973"/>
    <w:rsid w:val="00BC5614"/>
    <w:rsid w:val="00BC6809"/>
    <w:rsid w:val="00BC68A6"/>
    <w:rsid w:val="00BC7156"/>
    <w:rsid w:val="00BD09DD"/>
    <w:rsid w:val="00BD1CB0"/>
    <w:rsid w:val="00BD527F"/>
    <w:rsid w:val="00BE0674"/>
    <w:rsid w:val="00BE0FD0"/>
    <w:rsid w:val="00BE10DC"/>
    <w:rsid w:val="00BE1BF5"/>
    <w:rsid w:val="00BE1D76"/>
    <w:rsid w:val="00BE65AA"/>
    <w:rsid w:val="00BE6C9E"/>
    <w:rsid w:val="00BE7C81"/>
    <w:rsid w:val="00BF0969"/>
    <w:rsid w:val="00BF2312"/>
    <w:rsid w:val="00BF2ADE"/>
    <w:rsid w:val="00BF5F94"/>
    <w:rsid w:val="00BF6B6E"/>
    <w:rsid w:val="00BF6F53"/>
    <w:rsid w:val="00BF7163"/>
    <w:rsid w:val="00BF775B"/>
    <w:rsid w:val="00BF7E43"/>
    <w:rsid w:val="00C01019"/>
    <w:rsid w:val="00C02B1A"/>
    <w:rsid w:val="00C054D7"/>
    <w:rsid w:val="00C05D08"/>
    <w:rsid w:val="00C05E5C"/>
    <w:rsid w:val="00C07883"/>
    <w:rsid w:val="00C10AC9"/>
    <w:rsid w:val="00C118AB"/>
    <w:rsid w:val="00C12ACE"/>
    <w:rsid w:val="00C144A9"/>
    <w:rsid w:val="00C147C3"/>
    <w:rsid w:val="00C14E10"/>
    <w:rsid w:val="00C15CDC"/>
    <w:rsid w:val="00C1686E"/>
    <w:rsid w:val="00C17EB8"/>
    <w:rsid w:val="00C20D9A"/>
    <w:rsid w:val="00C21A8E"/>
    <w:rsid w:val="00C22013"/>
    <w:rsid w:val="00C2273E"/>
    <w:rsid w:val="00C23DFC"/>
    <w:rsid w:val="00C25D1C"/>
    <w:rsid w:val="00C26E5B"/>
    <w:rsid w:val="00C3165B"/>
    <w:rsid w:val="00C31C99"/>
    <w:rsid w:val="00C32EF7"/>
    <w:rsid w:val="00C347C5"/>
    <w:rsid w:val="00C34E17"/>
    <w:rsid w:val="00C35123"/>
    <w:rsid w:val="00C41EA8"/>
    <w:rsid w:val="00C4284E"/>
    <w:rsid w:val="00C42889"/>
    <w:rsid w:val="00C440E3"/>
    <w:rsid w:val="00C45B3E"/>
    <w:rsid w:val="00C47E8F"/>
    <w:rsid w:val="00C51080"/>
    <w:rsid w:val="00C51BBC"/>
    <w:rsid w:val="00C51FC2"/>
    <w:rsid w:val="00C54FA1"/>
    <w:rsid w:val="00C55215"/>
    <w:rsid w:val="00C5570F"/>
    <w:rsid w:val="00C55C8A"/>
    <w:rsid w:val="00C56B80"/>
    <w:rsid w:val="00C57651"/>
    <w:rsid w:val="00C60107"/>
    <w:rsid w:val="00C62799"/>
    <w:rsid w:val="00C633A6"/>
    <w:rsid w:val="00C678FD"/>
    <w:rsid w:val="00C71307"/>
    <w:rsid w:val="00C71F64"/>
    <w:rsid w:val="00C722AF"/>
    <w:rsid w:val="00C72F3F"/>
    <w:rsid w:val="00C73453"/>
    <w:rsid w:val="00C73516"/>
    <w:rsid w:val="00C769A1"/>
    <w:rsid w:val="00C81925"/>
    <w:rsid w:val="00C81F96"/>
    <w:rsid w:val="00C82119"/>
    <w:rsid w:val="00C843C6"/>
    <w:rsid w:val="00C84AE3"/>
    <w:rsid w:val="00C90202"/>
    <w:rsid w:val="00C9055F"/>
    <w:rsid w:val="00C91936"/>
    <w:rsid w:val="00C91D59"/>
    <w:rsid w:val="00C921A9"/>
    <w:rsid w:val="00C924AE"/>
    <w:rsid w:val="00C94088"/>
    <w:rsid w:val="00C94350"/>
    <w:rsid w:val="00C94692"/>
    <w:rsid w:val="00C94D1E"/>
    <w:rsid w:val="00C9644D"/>
    <w:rsid w:val="00C9696A"/>
    <w:rsid w:val="00CA0254"/>
    <w:rsid w:val="00CA044A"/>
    <w:rsid w:val="00CA09F4"/>
    <w:rsid w:val="00CA2E1C"/>
    <w:rsid w:val="00CA482A"/>
    <w:rsid w:val="00CA5972"/>
    <w:rsid w:val="00CA5F3E"/>
    <w:rsid w:val="00CB04DB"/>
    <w:rsid w:val="00CB13FB"/>
    <w:rsid w:val="00CB1A05"/>
    <w:rsid w:val="00CB53CB"/>
    <w:rsid w:val="00CB5D52"/>
    <w:rsid w:val="00CB7ABA"/>
    <w:rsid w:val="00CB7C3E"/>
    <w:rsid w:val="00CC05BA"/>
    <w:rsid w:val="00CC08A5"/>
    <w:rsid w:val="00CC4625"/>
    <w:rsid w:val="00CC59D4"/>
    <w:rsid w:val="00CC71C0"/>
    <w:rsid w:val="00CC7341"/>
    <w:rsid w:val="00CC7901"/>
    <w:rsid w:val="00CD2336"/>
    <w:rsid w:val="00CD2AB8"/>
    <w:rsid w:val="00CD3E10"/>
    <w:rsid w:val="00CD63B5"/>
    <w:rsid w:val="00CD6E08"/>
    <w:rsid w:val="00CE0302"/>
    <w:rsid w:val="00CE0761"/>
    <w:rsid w:val="00CE1BB2"/>
    <w:rsid w:val="00CE1F9C"/>
    <w:rsid w:val="00CE2766"/>
    <w:rsid w:val="00CE5CC7"/>
    <w:rsid w:val="00CE6194"/>
    <w:rsid w:val="00CE6923"/>
    <w:rsid w:val="00CE6E33"/>
    <w:rsid w:val="00CE7BDE"/>
    <w:rsid w:val="00CF03D3"/>
    <w:rsid w:val="00CF2B18"/>
    <w:rsid w:val="00CF3FEF"/>
    <w:rsid w:val="00CF5107"/>
    <w:rsid w:val="00CF61BD"/>
    <w:rsid w:val="00CF7045"/>
    <w:rsid w:val="00CF72CF"/>
    <w:rsid w:val="00CF7590"/>
    <w:rsid w:val="00D00EB1"/>
    <w:rsid w:val="00D014FB"/>
    <w:rsid w:val="00D01540"/>
    <w:rsid w:val="00D019EF"/>
    <w:rsid w:val="00D032AE"/>
    <w:rsid w:val="00D04046"/>
    <w:rsid w:val="00D049E8"/>
    <w:rsid w:val="00D0511F"/>
    <w:rsid w:val="00D06168"/>
    <w:rsid w:val="00D07300"/>
    <w:rsid w:val="00D11E37"/>
    <w:rsid w:val="00D1286F"/>
    <w:rsid w:val="00D14469"/>
    <w:rsid w:val="00D25944"/>
    <w:rsid w:val="00D26388"/>
    <w:rsid w:val="00D27662"/>
    <w:rsid w:val="00D30826"/>
    <w:rsid w:val="00D31C42"/>
    <w:rsid w:val="00D337F4"/>
    <w:rsid w:val="00D3447B"/>
    <w:rsid w:val="00D34B2D"/>
    <w:rsid w:val="00D411F8"/>
    <w:rsid w:val="00D429FD"/>
    <w:rsid w:val="00D44A95"/>
    <w:rsid w:val="00D44E19"/>
    <w:rsid w:val="00D451F5"/>
    <w:rsid w:val="00D46F8D"/>
    <w:rsid w:val="00D47B8C"/>
    <w:rsid w:val="00D500D1"/>
    <w:rsid w:val="00D52B6B"/>
    <w:rsid w:val="00D539C2"/>
    <w:rsid w:val="00D55D36"/>
    <w:rsid w:val="00D563C6"/>
    <w:rsid w:val="00D5672C"/>
    <w:rsid w:val="00D6082B"/>
    <w:rsid w:val="00D60A2D"/>
    <w:rsid w:val="00D64D63"/>
    <w:rsid w:val="00D65211"/>
    <w:rsid w:val="00D65AF2"/>
    <w:rsid w:val="00D729C3"/>
    <w:rsid w:val="00D72D20"/>
    <w:rsid w:val="00D75067"/>
    <w:rsid w:val="00D76325"/>
    <w:rsid w:val="00D80715"/>
    <w:rsid w:val="00D808CD"/>
    <w:rsid w:val="00D834E8"/>
    <w:rsid w:val="00D85BA7"/>
    <w:rsid w:val="00D86346"/>
    <w:rsid w:val="00D869C4"/>
    <w:rsid w:val="00D86E85"/>
    <w:rsid w:val="00D87962"/>
    <w:rsid w:val="00D87F86"/>
    <w:rsid w:val="00D90B47"/>
    <w:rsid w:val="00D920B5"/>
    <w:rsid w:val="00D92751"/>
    <w:rsid w:val="00D92E33"/>
    <w:rsid w:val="00D95198"/>
    <w:rsid w:val="00D95792"/>
    <w:rsid w:val="00D95970"/>
    <w:rsid w:val="00D9782D"/>
    <w:rsid w:val="00D97D7E"/>
    <w:rsid w:val="00DA18EF"/>
    <w:rsid w:val="00DA221D"/>
    <w:rsid w:val="00DA2E5F"/>
    <w:rsid w:val="00DA2FB9"/>
    <w:rsid w:val="00DA38F6"/>
    <w:rsid w:val="00DA6FCB"/>
    <w:rsid w:val="00DA7F44"/>
    <w:rsid w:val="00DB27D0"/>
    <w:rsid w:val="00DB296F"/>
    <w:rsid w:val="00DB41FB"/>
    <w:rsid w:val="00DB44B6"/>
    <w:rsid w:val="00DB5391"/>
    <w:rsid w:val="00DB666E"/>
    <w:rsid w:val="00DC1824"/>
    <w:rsid w:val="00DC1B51"/>
    <w:rsid w:val="00DC2E0A"/>
    <w:rsid w:val="00DC2E64"/>
    <w:rsid w:val="00DC3221"/>
    <w:rsid w:val="00DC6A8F"/>
    <w:rsid w:val="00DC6DDD"/>
    <w:rsid w:val="00DC72A3"/>
    <w:rsid w:val="00DD0756"/>
    <w:rsid w:val="00DD09BE"/>
    <w:rsid w:val="00DD26AD"/>
    <w:rsid w:val="00DD3177"/>
    <w:rsid w:val="00DD3F57"/>
    <w:rsid w:val="00DD4B64"/>
    <w:rsid w:val="00DD5C22"/>
    <w:rsid w:val="00DD5D02"/>
    <w:rsid w:val="00DE4073"/>
    <w:rsid w:val="00DE6F60"/>
    <w:rsid w:val="00DE7CB6"/>
    <w:rsid w:val="00DF2492"/>
    <w:rsid w:val="00DF33D6"/>
    <w:rsid w:val="00DF4094"/>
    <w:rsid w:val="00DF4B89"/>
    <w:rsid w:val="00DF526C"/>
    <w:rsid w:val="00DF5EDA"/>
    <w:rsid w:val="00DF7CE3"/>
    <w:rsid w:val="00E00351"/>
    <w:rsid w:val="00E038C2"/>
    <w:rsid w:val="00E0796F"/>
    <w:rsid w:val="00E07BCA"/>
    <w:rsid w:val="00E12253"/>
    <w:rsid w:val="00E138B8"/>
    <w:rsid w:val="00E15BC9"/>
    <w:rsid w:val="00E171F1"/>
    <w:rsid w:val="00E1786D"/>
    <w:rsid w:val="00E20002"/>
    <w:rsid w:val="00E2178A"/>
    <w:rsid w:val="00E21ADE"/>
    <w:rsid w:val="00E22FBC"/>
    <w:rsid w:val="00E24D82"/>
    <w:rsid w:val="00E255D2"/>
    <w:rsid w:val="00E25A26"/>
    <w:rsid w:val="00E30E83"/>
    <w:rsid w:val="00E31F64"/>
    <w:rsid w:val="00E3311A"/>
    <w:rsid w:val="00E350B8"/>
    <w:rsid w:val="00E35218"/>
    <w:rsid w:val="00E35994"/>
    <w:rsid w:val="00E35FD2"/>
    <w:rsid w:val="00E373DF"/>
    <w:rsid w:val="00E40759"/>
    <w:rsid w:val="00E41B9E"/>
    <w:rsid w:val="00E42D7C"/>
    <w:rsid w:val="00E4334B"/>
    <w:rsid w:val="00E45F14"/>
    <w:rsid w:val="00E53609"/>
    <w:rsid w:val="00E5685B"/>
    <w:rsid w:val="00E579F4"/>
    <w:rsid w:val="00E6087D"/>
    <w:rsid w:val="00E60AE5"/>
    <w:rsid w:val="00E610F8"/>
    <w:rsid w:val="00E61FD2"/>
    <w:rsid w:val="00E62854"/>
    <w:rsid w:val="00E66E26"/>
    <w:rsid w:val="00E6712E"/>
    <w:rsid w:val="00E7274F"/>
    <w:rsid w:val="00E73B95"/>
    <w:rsid w:val="00E74583"/>
    <w:rsid w:val="00E75D6F"/>
    <w:rsid w:val="00E80D2C"/>
    <w:rsid w:val="00E81CAF"/>
    <w:rsid w:val="00E821CD"/>
    <w:rsid w:val="00E843D5"/>
    <w:rsid w:val="00E85D93"/>
    <w:rsid w:val="00E86C45"/>
    <w:rsid w:val="00E908F4"/>
    <w:rsid w:val="00E92CD0"/>
    <w:rsid w:val="00E92CEA"/>
    <w:rsid w:val="00E958FD"/>
    <w:rsid w:val="00E9623F"/>
    <w:rsid w:val="00E967EA"/>
    <w:rsid w:val="00E96B66"/>
    <w:rsid w:val="00EA1FFB"/>
    <w:rsid w:val="00EA2322"/>
    <w:rsid w:val="00EA26E5"/>
    <w:rsid w:val="00EA36A4"/>
    <w:rsid w:val="00EA3D8F"/>
    <w:rsid w:val="00EA5DF0"/>
    <w:rsid w:val="00EA681B"/>
    <w:rsid w:val="00EB14E5"/>
    <w:rsid w:val="00EB1A51"/>
    <w:rsid w:val="00EB1FD5"/>
    <w:rsid w:val="00EB2D16"/>
    <w:rsid w:val="00EB3892"/>
    <w:rsid w:val="00EB67CB"/>
    <w:rsid w:val="00EB6F26"/>
    <w:rsid w:val="00EC0245"/>
    <w:rsid w:val="00EC0B0E"/>
    <w:rsid w:val="00EC1789"/>
    <w:rsid w:val="00EC578E"/>
    <w:rsid w:val="00EC5B7A"/>
    <w:rsid w:val="00EC68B4"/>
    <w:rsid w:val="00ED0A88"/>
    <w:rsid w:val="00ED2017"/>
    <w:rsid w:val="00ED3359"/>
    <w:rsid w:val="00ED409F"/>
    <w:rsid w:val="00ED463B"/>
    <w:rsid w:val="00ED4AD6"/>
    <w:rsid w:val="00ED634A"/>
    <w:rsid w:val="00ED73DF"/>
    <w:rsid w:val="00ED7B83"/>
    <w:rsid w:val="00EE0947"/>
    <w:rsid w:val="00EE1DC1"/>
    <w:rsid w:val="00EE2175"/>
    <w:rsid w:val="00EE31C5"/>
    <w:rsid w:val="00EE3371"/>
    <w:rsid w:val="00EE3EF7"/>
    <w:rsid w:val="00EE4C23"/>
    <w:rsid w:val="00EE52B6"/>
    <w:rsid w:val="00EF15F3"/>
    <w:rsid w:val="00EF3297"/>
    <w:rsid w:val="00EF75DC"/>
    <w:rsid w:val="00F005F6"/>
    <w:rsid w:val="00F0078A"/>
    <w:rsid w:val="00F00B59"/>
    <w:rsid w:val="00F01D1F"/>
    <w:rsid w:val="00F02CBE"/>
    <w:rsid w:val="00F05756"/>
    <w:rsid w:val="00F10134"/>
    <w:rsid w:val="00F10948"/>
    <w:rsid w:val="00F119C4"/>
    <w:rsid w:val="00F11A43"/>
    <w:rsid w:val="00F11AAA"/>
    <w:rsid w:val="00F122AC"/>
    <w:rsid w:val="00F12C23"/>
    <w:rsid w:val="00F13B91"/>
    <w:rsid w:val="00F13EA3"/>
    <w:rsid w:val="00F15EFE"/>
    <w:rsid w:val="00F16D78"/>
    <w:rsid w:val="00F226B7"/>
    <w:rsid w:val="00F236EB"/>
    <w:rsid w:val="00F23D72"/>
    <w:rsid w:val="00F25FE4"/>
    <w:rsid w:val="00F27053"/>
    <w:rsid w:val="00F27875"/>
    <w:rsid w:val="00F30315"/>
    <w:rsid w:val="00F324E7"/>
    <w:rsid w:val="00F328DE"/>
    <w:rsid w:val="00F32B4C"/>
    <w:rsid w:val="00F331EC"/>
    <w:rsid w:val="00F36C18"/>
    <w:rsid w:val="00F37AAC"/>
    <w:rsid w:val="00F408F7"/>
    <w:rsid w:val="00F4109E"/>
    <w:rsid w:val="00F41703"/>
    <w:rsid w:val="00F436B3"/>
    <w:rsid w:val="00F43A87"/>
    <w:rsid w:val="00F4634B"/>
    <w:rsid w:val="00F46E0C"/>
    <w:rsid w:val="00F51280"/>
    <w:rsid w:val="00F524BA"/>
    <w:rsid w:val="00F533AA"/>
    <w:rsid w:val="00F534F4"/>
    <w:rsid w:val="00F535B0"/>
    <w:rsid w:val="00F53A14"/>
    <w:rsid w:val="00F554FA"/>
    <w:rsid w:val="00F564CC"/>
    <w:rsid w:val="00F56FE2"/>
    <w:rsid w:val="00F57438"/>
    <w:rsid w:val="00F575C0"/>
    <w:rsid w:val="00F575D4"/>
    <w:rsid w:val="00F61F2A"/>
    <w:rsid w:val="00F63638"/>
    <w:rsid w:val="00F644DE"/>
    <w:rsid w:val="00F6532F"/>
    <w:rsid w:val="00F66A01"/>
    <w:rsid w:val="00F704A0"/>
    <w:rsid w:val="00F707FB"/>
    <w:rsid w:val="00F70E53"/>
    <w:rsid w:val="00F758DB"/>
    <w:rsid w:val="00F75E1B"/>
    <w:rsid w:val="00F76672"/>
    <w:rsid w:val="00F82018"/>
    <w:rsid w:val="00F85A0E"/>
    <w:rsid w:val="00F90013"/>
    <w:rsid w:val="00F90A08"/>
    <w:rsid w:val="00F9159F"/>
    <w:rsid w:val="00F91B22"/>
    <w:rsid w:val="00F92715"/>
    <w:rsid w:val="00F9291F"/>
    <w:rsid w:val="00F92D6B"/>
    <w:rsid w:val="00F97F33"/>
    <w:rsid w:val="00FA00ED"/>
    <w:rsid w:val="00FA0CDF"/>
    <w:rsid w:val="00FA3051"/>
    <w:rsid w:val="00FA3B19"/>
    <w:rsid w:val="00FA42DA"/>
    <w:rsid w:val="00FA49E5"/>
    <w:rsid w:val="00FA656E"/>
    <w:rsid w:val="00FA6772"/>
    <w:rsid w:val="00FA787C"/>
    <w:rsid w:val="00FB089E"/>
    <w:rsid w:val="00FB2A67"/>
    <w:rsid w:val="00FB33BF"/>
    <w:rsid w:val="00FB3CC8"/>
    <w:rsid w:val="00FB43C2"/>
    <w:rsid w:val="00FB5927"/>
    <w:rsid w:val="00FC2AB2"/>
    <w:rsid w:val="00FD0511"/>
    <w:rsid w:val="00FD0619"/>
    <w:rsid w:val="00FD1287"/>
    <w:rsid w:val="00FD13B7"/>
    <w:rsid w:val="00FD24B5"/>
    <w:rsid w:val="00FD388C"/>
    <w:rsid w:val="00FD417C"/>
    <w:rsid w:val="00FD4270"/>
    <w:rsid w:val="00FD4D9D"/>
    <w:rsid w:val="00FD5233"/>
    <w:rsid w:val="00FD5466"/>
    <w:rsid w:val="00FD7D7C"/>
    <w:rsid w:val="00FE00CA"/>
    <w:rsid w:val="00FE04CE"/>
    <w:rsid w:val="00FE4F3B"/>
    <w:rsid w:val="00FF0A55"/>
    <w:rsid w:val="00FF0CF0"/>
    <w:rsid w:val="00FF0EBD"/>
    <w:rsid w:val="00FF2BB7"/>
    <w:rsid w:val="00FF32AE"/>
    <w:rsid w:val="00FF571F"/>
    <w:rsid w:val="00FF5BBC"/>
    <w:rsid w:val="00FF6330"/>
    <w:rsid w:val="00FF7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21C970E"/>
  <w14:defaultImageDpi w14:val="0"/>
  <w15:docId w15:val="{1064BCC6-CAE0-4146-B72C-6FC6F6A5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1988">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21669565">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617954547">
      <w:bodyDiv w:val="1"/>
      <w:marLeft w:val="0"/>
      <w:marRight w:val="0"/>
      <w:marTop w:val="0"/>
      <w:marBottom w:val="0"/>
      <w:divBdr>
        <w:top w:val="none" w:sz="0" w:space="0" w:color="auto"/>
        <w:left w:val="none" w:sz="0" w:space="0" w:color="auto"/>
        <w:bottom w:val="none" w:sz="0" w:space="0" w:color="auto"/>
        <w:right w:val="none" w:sz="0" w:space="0" w:color="auto"/>
      </w:divBdr>
    </w:div>
    <w:div w:id="957562278">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374959274">
      <w:bodyDiv w:val="1"/>
      <w:marLeft w:val="0"/>
      <w:marRight w:val="0"/>
      <w:marTop w:val="0"/>
      <w:marBottom w:val="0"/>
      <w:divBdr>
        <w:top w:val="none" w:sz="0" w:space="0" w:color="auto"/>
        <w:left w:val="none" w:sz="0" w:space="0" w:color="auto"/>
        <w:bottom w:val="none" w:sz="0" w:space="0" w:color="auto"/>
        <w:right w:val="none" w:sz="0" w:space="0" w:color="auto"/>
      </w:divBdr>
    </w:div>
    <w:div w:id="1400321473">
      <w:bodyDiv w:val="1"/>
      <w:marLeft w:val="0"/>
      <w:marRight w:val="0"/>
      <w:marTop w:val="0"/>
      <w:marBottom w:val="0"/>
      <w:divBdr>
        <w:top w:val="none" w:sz="0" w:space="0" w:color="auto"/>
        <w:left w:val="none" w:sz="0" w:space="0" w:color="auto"/>
        <w:bottom w:val="none" w:sz="0" w:space="0" w:color="auto"/>
        <w:right w:val="none" w:sz="0" w:space="0" w:color="auto"/>
      </w:divBdr>
    </w:div>
    <w:div w:id="1502966536">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57561540">
      <w:bodyDiv w:val="1"/>
      <w:marLeft w:val="0"/>
      <w:marRight w:val="0"/>
      <w:marTop w:val="0"/>
      <w:marBottom w:val="0"/>
      <w:divBdr>
        <w:top w:val="none" w:sz="0" w:space="0" w:color="auto"/>
        <w:left w:val="none" w:sz="0" w:space="0" w:color="auto"/>
        <w:bottom w:val="none" w:sz="0" w:space="0" w:color="auto"/>
        <w:right w:val="none" w:sz="0" w:space="0" w:color="auto"/>
      </w:divBdr>
    </w:div>
    <w:div w:id="20664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4081-darbibas-programmas-izaugsme-un-nodarbinatiba-7-2-1-specifiska-atbalsta-merka-palielinat-nodarbinatiba-izglitiba-v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Vib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1D5D-651C-4494-9C30-B5ACA3B1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6</Pages>
  <Words>1977</Words>
  <Characters>15574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Grozījumi “Ministru kabineta 2015.gada 28.aprīļa noteikumos Nr.207 “Darbības programmas “Izaugsme un nodarbinātība” 7.2.1.specifiskā atbalsta mērķa “Palielināt nodarbinātībā, izglītībā vai apmācībās neiesaistītu jauniešu nodarbinātību un izglītības ieguvi</vt:lpstr>
    </vt:vector>
  </TitlesOfParts>
  <Company>Labklājības ministrija</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dc:title>
  <dc:subject>MK noteikumi</dc:subject>
  <dc:creator>Anna Vībe</dc:creator>
  <dc:description>E-pasts: Anna.Vibe@lm.gov.lv_x000d_
Tālr.: 67021648</dc:description>
  <cp:lastModifiedBy>Anna Vibe</cp:lastModifiedBy>
  <cp:revision>33</cp:revision>
  <cp:lastPrinted>2015-09-29T08:03:00Z</cp:lastPrinted>
  <dcterms:created xsi:type="dcterms:W3CDTF">2015-08-06T09:26:00Z</dcterms:created>
  <dcterms:modified xsi:type="dcterms:W3CDTF">2015-09-30T13:25:00Z</dcterms:modified>
</cp:coreProperties>
</file>