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C6" w:rsidRDefault="00AF2D7F" w:rsidP="00AF2D7F">
      <w:pPr>
        <w:spacing w:after="120"/>
        <w:ind w:firstLine="426"/>
        <w:jc w:val="right"/>
        <w:rPr>
          <w:rFonts w:eastAsia="Calibri" w:cs="Times New Roman"/>
          <w:sz w:val="24"/>
          <w:szCs w:val="24"/>
          <w:lang w:eastAsia="lv-LV"/>
        </w:rPr>
      </w:pPr>
      <w:r>
        <w:rPr>
          <w:rFonts w:eastAsia="Calibri" w:cs="Times New Roman"/>
          <w:sz w:val="24"/>
          <w:szCs w:val="24"/>
          <w:lang w:eastAsia="lv-LV"/>
        </w:rPr>
        <w:t>Projekts</w:t>
      </w:r>
    </w:p>
    <w:p w:rsidR="00AF2D7F" w:rsidRPr="00AF2D7F" w:rsidRDefault="00AF2D7F" w:rsidP="00AF2D7F">
      <w:pPr>
        <w:spacing w:after="120"/>
        <w:ind w:firstLine="426"/>
        <w:jc w:val="center"/>
        <w:rPr>
          <w:rFonts w:eastAsia="Calibri" w:cs="Times New Roman"/>
          <w:b/>
          <w:sz w:val="24"/>
          <w:szCs w:val="24"/>
          <w:lang w:eastAsia="lv-LV"/>
        </w:rPr>
      </w:pPr>
      <w:r w:rsidRPr="00AF2D7F">
        <w:rPr>
          <w:rFonts w:eastAsia="Calibri" w:cs="Times New Roman"/>
          <w:b/>
          <w:sz w:val="24"/>
          <w:szCs w:val="24"/>
          <w:lang w:eastAsia="lv-LV"/>
        </w:rPr>
        <w:t>LATVIJAS REPUBLIKAS MINISTRU KABINETS</w:t>
      </w:r>
    </w:p>
    <w:p w:rsidR="002572C6" w:rsidRDefault="002572C6" w:rsidP="002572C6">
      <w:pPr>
        <w:spacing w:after="120"/>
        <w:ind w:firstLine="426"/>
        <w:jc w:val="both"/>
        <w:rPr>
          <w:rFonts w:eastAsia="Calibri" w:cs="Times New Roman"/>
          <w:sz w:val="24"/>
          <w:szCs w:val="24"/>
          <w:lang w:eastAsia="lv-LV"/>
        </w:rPr>
      </w:pPr>
    </w:p>
    <w:p w:rsidR="00B521EC" w:rsidRPr="00E91B9C" w:rsidRDefault="00B521EC" w:rsidP="002572C6">
      <w:pPr>
        <w:spacing w:after="120"/>
        <w:ind w:firstLine="426"/>
        <w:jc w:val="both"/>
        <w:rPr>
          <w:rFonts w:eastAsia="Calibri" w:cs="Times New Roman"/>
          <w:sz w:val="24"/>
          <w:szCs w:val="24"/>
          <w:lang w:eastAsia="lv-LV"/>
        </w:rPr>
      </w:pPr>
      <w:r w:rsidRPr="00E91B9C">
        <w:rPr>
          <w:rFonts w:eastAsia="Calibri" w:cs="Times New Roman"/>
          <w:sz w:val="24"/>
          <w:szCs w:val="24"/>
          <w:lang w:eastAsia="lv-LV"/>
        </w:rPr>
        <w:t>2015. gada ___._________</w:t>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r>
      <w:r w:rsidRPr="00E91B9C">
        <w:rPr>
          <w:rFonts w:eastAsia="Calibri" w:cs="Times New Roman"/>
          <w:sz w:val="24"/>
          <w:szCs w:val="24"/>
          <w:lang w:eastAsia="lv-LV"/>
        </w:rPr>
        <w:tab/>
        <w:t>Noteikumi Nr.</w:t>
      </w:r>
    </w:p>
    <w:p w:rsidR="00B521EC" w:rsidRPr="00E91B9C" w:rsidRDefault="002572C6" w:rsidP="002572C6">
      <w:pPr>
        <w:spacing w:after="120"/>
        <w:ind w:left="426"/>
        <w:jc w:val="both"/>
        <w:rPr>
          <w:rFonts w:eastAsia="Calibri" w:cs="Times New Roman"/>
          <w:sz w:val="24"/>
          <w:szCs w:val="24"/>
          <w:lang w:eastAsia="lv-LV"/>
        </w:rPr>
      </w:pPr>
      <w:r>
        <w:rPr>
          <w:rFonts w:eastAsia="Calibri" w:cs="Times New Roman"/>
          <w:sz w:val="24"/>
          <w:szCs w:val="24"/>
          <w:lang w:eastAsia="lv-LV"/>
        </w:rPr>
        <w:t>Rīgā</w:t>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Pr>
          <w:rFonts w:eastAsia="Calibri" w:cs="Times New Roman"/>
          <w:sz w:val="24"/>
          <w:szCs w:val="24"/>
          <w:lang w:eastAsia="lv-LV"/>
        </w:rPr>
        <w:tab/>
      </w:r>
      <w:r w:rsidR="005042A1">
        <w:rPr>
          <w:rFonts w:eastAsia="Calibri" w:cs="Times New Roman"/>
          <w:sz w:val="24"/>
          <w:szCs w:val="24"/>
          <w:lang w:eastAsia="lv-LV"/>
        </w:rPr>
        <w:tab/>
      </w:r>
      <w:bookmarkStart w:id="0" w:name="_GoBack"/>
      <w:bookmarkEnd w:id="0"/>
      <w:r w:rsidR="00B521EC" w:rsidRPr="00E91B9C">
        <w:rPr>
          <w:rFonts w:eastAsia="Calibri" w:cs="Times New Roman"/>
          <w:sz w:val="24"/>
          <w:szCs w:val="24"/>
          <w:lang w:eastAsia="lv-LV"/>
        </w:rPr>
        <w:t>(prot.   Nr.   .§)</w:t>
      </w:r>
    </w:p>
    <w:p w:rsidR="00625FEE" w:rsidRPr="00625FEE" w:rsidRDefault="00D539D6" w:rsidP="002572C6">
      <w:pPr>
        <w:spacing w:after="120"/>
        <w:ind w:left="284" w:firstLine="142"/>
        <w:jc w:val="center"/>
        <w:rPr>
          <w:rFonts w:eastAsia="Calibri" w:cs="Times New Roman"/>
          <w:b/>
          <w:sz w:val="24"/>
          <w:szCs w:val="24"/>
          <w:lang w:eastAsia="lv-LV"/>
        </w:rPr>
      </w:pPr>
      <w:r>
        <w:rPr>
          <w:rFonts w:eastAsia="Calibri" w:cs="Times New Roman"/>
          <w:b/>
          <w:sz w:val="24"/>
          <w:szCs w:val="24"/>
          <w:lang w:eastAsia="lv-LV"/>
        </w:rPr>
        <w:t>Grozījum</w:t>
      </w:r>
      <w:r w:rsidR="004525E5">
        <w:rPr>
          <w:rFonts w:eastAsia="Calibri" w:cs="Times New Roman"/>
          <w:b/>
          <w:sz w:val="24"/>
          <w:szCs w:val="24"/>
          <w:lang w:eastAsia="lv-LV"/>
        </w:rPr>
        <w:t>i</w:t>
      </w:r>
      <w:r w:rsidR="005C0543" w:rsidRPr="00625FEE">
        <w:rPr>
          <w:rFonts w:eastAsia="Calibri" w:cs="Times New Roman"/>
          <w:b/>
          <w:sz w:val="24"/>
          <w:szCs w:val="24"/>
          <w:lang w:eastAsia="lv-LV"/>
        </w:rPr>
        <w:t xml:space="preserve"> Ministru kabineta 2010.gada 18.maija noteikumos Nr.464 "</w:t>
      </w:r>
      <w:r w:rsidR="00625FEE" w:rsidRPr="00625FEE">
        <w:rPr>
          <w:rFonts w:eastAsia="Calibri" w:cs="Times New Roman"/>
          <w:b/>
          <w:sz w:val="24"/>
          <w:szCs w:val="24"/>
          <w:lang w:eastAsia="lv-LV"/>
        </w:rPr>
        <w:t xml:space="preserve">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p>
    <w:p w:rsidR="00B521EC" w:rsidRPr="00E91B9C" w:rsidRDefault="00B521EC" w:rsidP="00B521EC">
      <w:pPr>
        <w:spacing w:after="120"/>
        <w:ind w:left="5580" w:firstLine="1440"/>
        <w:jc w:val="right"/>
        <w:rPr>
          <w:rFonts w:eastAsia="Calibri" w:cs="Times New Roman"/>
          <w:sz w:val="24"/>
          <w:szCs w:val="24"/>
          <w:lang w:eastAsia="lv-LV"/>
        </w:rPr>
      </w:pPr>
    </w:p>
    <w:p w:rsidR="00625FEE" w:rsidRPr="00625FEE" w:rsidRDefault="00625FEE" w:rsidP="00625FEE">
      <w:pPr>
        <w:spacing w:after="120"/>
        <w:ind w:left="5103"/>
        <w:jc w:val="right"/>
        <w:rPr>
          <w:rFonts w:eastAsia="Calibri" w:cs="Times New Roman"/>
          <w:iCs/>
          <w:sz w:val="24"/>
          <w:szCs w:val="24"/>
          <w:lang w:eastAsia="lv-LV"/>
        </w:rPr>
      </w:pPr>
      <w:r w:rsidRPr="00625FEE">
        <w:rPr>
          <w:rFonts w:eastAsia="Calibri" w:cs="Times New Roman"/>
          <w:iCs/>
          <w:sz w:val="24"/>
          <w:szCs w:val="24"/>
          <w:lang w:eastAsia="lv-LV"/>
        </w:rPr>
        <w:t xml:space="preserve">Izdoti saskaņā ar </w:t>
      </w:r>
      <w:hyperlink r:id="rId9" w:tgtFrame="_blank" w:history="1">
        <w:r w:rsidRPr="00625FEE">
          <w:rPr>
            <w:rStyle w:val="Hyperlink"/>
            <w:rFonts w:eastAsia="Calibri" w:cs="Times New Roman"/>
            <w:iCs/>
            <w:color w:val="auto"/>
            <w:sz w:val="24"/>
            <w:szCs w:val="24"/>
            <w:u w:val="none"/>
            <w:lang w:eastAsia="lv-LV"/>
          </w:rPr>
          <w:t>Likuma par budžetu un finanšu vadību</w:t>
        </w:r>
      </w:hyperlink>
      <w:r>
        <w:rPr>
          <w:rFonts w:eastAsia="Calibri" w:cs="Times New Roman"/>
          <w:sz w:val="24"/>
          <w:szCs w:val="24"/>
          <w:lang w:eastAsia="lv-LV"/>
        </w:rPr>
        <w:t xml:space="preserve"> </w:t>
      </w:r>
      <w:hyperlink r:id="rId10" w:anchor="p9" w:tgtFrame="_blank" w:history="1">
        <w:r w:rsidRPr="00625FEE">
          <w:rPr>
            <w:rStyle w:val="Hyperlink"/>
            <w:rFonts w:eastAsia="Calibri" w:cs="Times New Roman"/>
            <w:iCs/>
            <w:color w:val="auto"/>
            <w:sz w:val="24"/>
            <w:szCs w:val="24"/>
            <w:u w:val="none"/>
            <w:lang w:eastAsia="lv-LV"/>
          </w:rPr>
          <w:t>9.panta</w:t>
        </w:r>
      </w:hyperlink>
      <w:r w:rsidRPr="00625FEE">
        <w:rPr>
          <w:rFonts w:eastAsia="Calibri" w:cs="Times New Roman"/>
          <w:iCs/>
          <w:sz w:val="24"/>
          <w:szCs w:val="24"/>
          <w:lang w:eastAsia="lv-LV"/>
        </w:rPr>
        <w:t xml:space="preserve"> trīspadsmitās daļas 2.punktu </w:t>
      </w:r>
    </w:p>
    <w:p w:rsidR="00B521EC" w:rsidRPr="00E91B9C" w:rsidRDefault="00B521EC" w:rsidP="00B521EC">
      <w:pPr>
        <w:spacing w:before="40" w:after="40"/>
        <w:contextualSpacing/>
        <w:jc w:val="center"/>
        <w:rPr>
          <w:rFonts w:eastAsia="Calibri" w:cs="Times New Roman"/>
          <w:b/>
          <w:bCs/>
          <w:sz w:val="25"/>
          <w:szCs w:val="25"/>
        </w:rPr>
      </w:pPr>
    </w:p>
    <w:p w:rsidR="00625FEE" w:rsidRPr="00625FEE" w:rsidRDefault="00AF2D7F" w:rsidP="0030299A">
      <w:pPr>
        <w:tabs>
          <w:tab w:val="left" w:pos="0"/>
          <w:tab w:val="left" w:pos="284"/>
        </w:tabs>
        <w:spacing w:before="120" w:after="0"/>
        <w:ind w:left="426"/>
        <w:jc w:val="both"/>
        <w:outlineLvl w:val="0"/>
        <w:rPr>
          <w:rFonts w:eastAsia="Calibri" w:cs="Times New Roman"/>
          <w:sz w:val="24"/>
          <w:szCs w:val="24"/>
          <w:lang w:eastAsia="lv-LV"/>
        </w:rPr>
      </w:pPr>
      <w:bookmarkStart w:id="1" w:name="294762"/>
      <w:bookmarkEnd w:id="1"/>
      <w:r>
        <w:rPr>
          <w:rFonts w:eastAsia="Calibri" w:cs="Times New Roman"/>
          <w:sz w:val="24"/>
          <w:szCs w:val="24"/>
          <w:lang w:eastAsia="lv-LV"/>
        </w:rPr>
        <w:tab/>
      </w:r>
      <w:r w:rsidR="004525E5">
        <w:rPr>
          <w:rFonts w:eastAsia="Calibri" w:cs="Times New Roman"/>
          <w:sz w:val="24"/>
          <w:szCs w:val="24"/>
          <w:lang w:eastAsia="lv-LV"/>
        </w:rPr>
        <w:t xml:space="preserve">1. </w:t>
      </w:r>
      <w:r w:rsidR="00625FEE" w:rsidRPr="00625FEE">
        <w:rPr>
          <w:rFonts w:eastAsia="Calibri" w:cs="Times New Roman"/>
          <w:sz w:val="24"/>
          <w:szCs w:val="24"/>
          <w:lang w:eastAsia="lv-LV"/>
        </w:rPr>
        <w:t>Izdarīt Ministru kabineta 2010. gada 18. maija noteikumos Nr. 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(Latvijas Vēstnesis, 2010, 87., 117., 198. nr.; 2011, 58. nr.; 2013, 203. nr.; 2014, 33. nr.</w:t>
      </w:r>
      <w:r w:rsidR="00EE476C">
        <w:rPr>
          <w:rFonts w:eastAsia="Calibri" w:cs="Times New Roman"/>
          <w:sz w:val="24"/>
          <w:szCs w:val="24"/>
          <w:lang w:eastAsia="lv-LV"/>
        </w:rPr>
        <w:t xml:space="preserve"> 2014, 258. nr.</w:t>
      </w:r>
      <w:r w:rsidR="00625FEE" w:rsidRPr="00625FEE">
        <w:rPr>
          <w:rFonts w:eastAsia="Calibri" w:cs="Times New Roman"/>
          <w:sz w:val="24"/>
          <w:szCs w:val="24"/>
          <w:lang w:eastAsia="lv-LV"/>
        </w:rPr>
        <w:t>)</w:t>
      </w:r>
      <w:r w:rsidR="004525E5">
        <w:rPr>
          <w:rFonts w:eastAsia="Calibri" w:cs="Times New Roman"/>
          <w:sz w:val="24"/>
          <w:szCs w:val="24"/>
          <w:lang w:eastAsia="lv-LV"/>
        </w:rPr>
        <w:t xml:space="preserve"> šādus</w:t>
      </w:r>
      <w:r w:rsidR="00625FEE" w:rsidRPr="00625FEE">
        <w:rPr>
          <w:rFonts w:eastAsia="Calibri" w:cs="Times New Roman"/>
          <w:sz w:val="24"/>
          <w:szCs w:val="24"/>
          <w:lang w:eastAsia="lv-LV"/>
        </w:rPr>
        <w:t xml:space="preserve"> </w:t>
      </w:r>
      <w:r w:rsidR="00625FEE">
        <w:rPr>
          <w:rFonts w:eastAsia="Calibri" w:cs="Times New Roman"/>
          <w:sz w:val="24"/>
          <w:szCs w:val="24"/>
          <w:lang w:eastAsia="lv-LV"/>
        </w:rPr>
        <w:t>grozījumu</w:t>
      </w:r>
      <w:r w:rsidR="004525E5">
        <w:rPr>
          <w:rFonts w:eastAsia="Calibri" w:cs="Times New Roman"/>
          <w:sz w:val="24"/>
          <w:szCs w:val="24"/>
          <w:lang w:eastAsia="lv-LV"/>
        </w:rPr>
        <w:t>s</w:t>
      </w:r>
      <w:r w:rsidR="00625FEE" w:rsidRPr="00625FEE">
        <w:rPr>
          <w:rFonts w:eastAsia="Calibri" w:cs="Times New Roman"/>
          <w:sz w:val="24"/>
          <w:szCs w:val="24"/>
          <w:lang w:eastAsia="lv-LV"/>
        </w:rPr>
        <w:t>:</w:t>
      </w:r>
    </w:p>
    <w:p w:rsidR="004525E5" w:rsidRPr="004525E5" w:rsidRDefault="0030299A" w:rsidP="0030299A">
      <w:pPr>
        <w:tabs>
          <w:tab w:val="left" w:pos="993"/>
        </w:tabs>
        <w:spacing w:before="120" w:after="0"/>
        <w:jc w:val="both"/>
        <w:outlineLvl w:val="0"/>
        <w:rPr>
          <w:rFonts w:eastAsia="Calibri" w:cs="Times New Roman"/>
          <w:sz w:val="24"/>
          <w:szCs w:val="24"/>
          <w:lang w:eastAsia="lv-LV"/>
        </w:rPr>
      </w:pPr>
      <w:r>
        <w:rPr>
          <w:rFonts w:eastAsia="Calibri" w:cs="Times New Roman"/>
          <w:sz w:val="24"/>
          <w:szCs w:val="24"/>
          <w:lang w:eastAsia="lv-LV"/>
        </w:rPr>
        <w:tab/>
      </w:r>
      <w:r w:rsidR="004525E5">
        <w:rPr>
          <w:rFonts w:eastAsia="Calibri" w:cs="Times New Roman"/>
          <w:sz w:val="24"/>
          <w:szCs w:val="24"/>
          <w:lang w:eastAsia="lv-LV"/>
        </w:rPr>
        <w:t>1.1. p</w:t>
      </w:r>
      <w:r w:rsidR="004525E5" w:rsidRPr="004525E5">
        <w:rPr>
          <w:rFonts w:eastAsia="Calibri" w:cs="Times New Roman"/>
          <w:sz w:val="24"/>
          <w:szCs w:val="24"/>
          <w:lang w:eastAsia="lv-LV"/>
        </w:rPr>
        <w:t xml:space="preserve">apildināt 5.punktu ar otro teikumu šādā redakcijā: </w:t>
      </w:r>
    </w:p>
    <w:p w:rsidR="004525E5" w:rsidRPr="004525E5" w:rsidRDefault="004525E5" w:rsidP="004525E5">
      <w:pPr>
        <w:tabs>
          <w:tab w:val="left" w:pos="993"/>
        </w:tabs>
        <w:spacing w:before="120" w:after="0"/>
        <w:ind w:left="426"/>
        <w:jc w:val="both"/>
        <w:outlineLvl w:val="0"/>
        <w:rPr>
          <w:rFonts w:eastAsia="Calibri" w:cs="Times New Roman"/>
          <w:sz w:val="24"/>
          <w:szCs w:val="24"/>
          <w:lang w:eastAsia="lv-LV"/>
        </w:rPr>
      </w:pPr>
      <w:r w:rsidRPr="004525E5">
        <w:rPr>
          <w:rFonts w:eastAsia="Calibri" w:cs="Times New Roman"/>
          <w:sz w:val="24"/>
          <w:szCs w:val="24"/>
          <w:lang w:eastAsia="lv-LV"/>
        </w:rPr>
        <w:t>„Eiropas Savienības struktūrfondu un Kohēzijas fonda 2014.-2020.gada plānošanas periodā datus ievada Kohēzijas politikas fondu vadības informācijas sistēmā.”.</w:t>
      </w:r>
    </w:p>
    <w:p w:rsidR="00E8783A" w:rsidRDefault="0030299A" w:rsidP="0030299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r>
      <w:r w:rsidR="00E8783A">
        <w:rPr>
          <w:rFonts w:eastAsia="Calibri" w:cs="Times New Roman"/>
          <w:sz w:val="24"/>
          <w:szCs w:val="24"/>
          <w:lang w:eastAsia="lv-LV"/>
        </w:rPr>
        <w:t>1.2. p</w:t>
      </w:r>
      <w:r w:rsidR="00E8783A" w:rsidRPr="00E8783A">
        <w:rPr>
          <w:rFonts w:eastAsia="Calibri" w:cs="Times New Roman"/>
          <w:sz w:val="24"/>
          <w:szCs w:val="24"/>
          <w:lang w:eastAsia="lv-LV"/>
        </w:rPr>
        <w:t>apildināt 7.punktu aiz vārdiem „vadības informācijas sistēmas” ar vārdiem „vai Kohēzijas politikas fondu vadības informācijas sistēmas”.</w:t>
      </w:r>
    </w:p>
    <w:p w:rsidR="00E8783A" w:rsidRPr="00E8783A" w:rsidRDefault="0030299A" w:rsidP="0030299A">
      <w:pPr>
        <w:tabs>
          <w:tab w:val="left" w:pos="993"/>
        </w:tabs>
        <w:spacing w:before="120" w:after="0"/>
        <w:jc w:val="both"/>
        <w:outlineLvl w:val="0"/>
        <w:rPr>
          <w:rFonts w:eastAsia="Calibri" w:cs="Times New Roman"/>
          <w:sz w:val="24"/>
          <w:szCs w:val="24"/>
          <w:lang w:eastAsia="lv-LV"/>
        </w:rPr>
      </w:pPr>
      <w:r>
        <w:rPr>
          <w:rFonts w:eastAsia="Calibri" w:cs="Times New Roman"/>
          <w:sz w:val="24"/>
          <w:szCs w:val="24"/>
          <w:lang w:eastAsia="lv-LV"/>
        </w:rPr>
        <w:tab/>
      </w:r>
      <w:r w:rsidR="00E8783A">
        <w:rPr>
          <w:rFonts w:eastAsia="Calibri" w:cs="Times New Roman"/>
          <w:sz w:val="24"/>
          <w:szCs w:val="24"/>
          <w:lang w:eastAsia="lv-LV"/>
        </w:rPr>
        <w:t>1.3. p</w:t>
      </w:r>
      <w:r w:rsidR="00E8783A" w:rsidRPr="00E8783A">
        <w:rPr>
          <w:rFonts w:eastAsia="Calibri" w:cs="Times New Roman"/>
          <w:sz w:val="24"/>
          <w:szCs w:val="24"/>
          <w:lang w:eastAsia="lv-LV"/>
        </w:rPr>
        <w:t>apildināt noteikumus ar 11.</w:t>
      </w:r>
      <w:r w:rsidR="00E8783A" w:rsidRPr="00E8783A">
        <w:rPr>
          <w:rFonts w:eastAsia="Calibri" w:cs="Times New Roman"/>
          <w:sz w:val="24"/>
          <w:szCs w:val="24"/>
          <w:vertAlign w:val="superscript"/>
          <w:lang w:eastAsia="lv-LV"/>
        </w:rPr>
        <w:t xml:space="preserve">1 </w:t>
      </w:r>
      <w:r w:rsidR="00E8783A" w:rsidRPr="00E8783A">
        <w:rPr>
          <w:rFonts w:eastAsia="Calibri" w:cs="Times New Roman"/>
          <w:sz w:val="24"/>
          <w:szCs w:val="24"/>
          <w:lang w:eastAsia="lv-LV"/>
        </w:rPr>
        <w:t>punktu šādā redakcijā:</w:t>
      </w:r>
    </w:p>
    <w:p w:rsidR="00E8783A" w:rsidRDefault="0030299A" w:rsidP="0030299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r>
      <w:r w:rsidR="00E8783A" w:rsidRPr="00E8783A">
        <w:rPr>
          <w:rFonts w:eastAsia="Calibri" w:cs="Times New Roman"/>
          <w:sz w:val="24"/>
          <w:szCs w:val="24"/>
          <w:lang w:eastAsia="lv-LV"/>
        </w:rPr>
        <w:t>„</w:t>
      </w:r>
      <w:bookmarkStart w:id="2" w:name="p4"/>
      <w:bookmarkStart w:id="3" w:name="p-342075"/>
      <w:bookmarkEnd w:id="2"/>
      <w:bookmarkEnd w:id="3"/>
      <w:r w:rsidR="00E8783A" w:rsidRPr="00E8783A">
        <w:rPr>
          <w:rFonts w:eastAsia="Calibri" w:cs="Times New Roman"/>
          <w:sz w:val="24"/>
          <w:szCs w:val="24"/>
          <w:lang w:eastAsia="lv-LV"/>
        </w:rPr>
        <w:t>11.</w:t>
      </w:r>
      <w:r w:rsidR="00E8783A" w:rsidRPr="00E8783A">
        <w:rPr>
          <w:rFonts w:eastAsia="Calibri" w:cs="Times New Roman"/>
          <w:sz w:val="24"/>
          <w:szCs w:val="24"/>
          <w:vertAlign w:val="superscript"/>
          <w:lang w:eastAsia="lv-LV"/>
        </w:rPr>
        <w:t>1</w:t>
      </w:r>
      <w:r w:rsidR="00E8783A" w:rsidRPr="00E8783A">
        <w:rPr>
          <w:rFonts w:eastAsia="Calibri" w:cs="Times New Roman"/>
          <w:sz w:val="24"/>
          <w:szCs w:val="24"/>
          <w:lang w:eastAsia="lv-LV"/>
        </w:rPr>
        <w:t xml:space="preserve"> Ministrijas sagatavo valsts budžeta līdzekļu pieprasījumu Eiropas Strukturālo un investīciju fondu mērķa „Eiropas teritoriālā sadarbība” programmas (turpmāk – ETS programma) projektiem  2014. – 2020.gada plānošanas periodam un iesniedz Finanšu ministrijā:</w:t>
      </w:r>
    </w:p>
    <w:p w:rsidR="00E8783A" w:rsidRDefault="0030299A" w:rsidP="0030299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r>
      <w:r w:rsidR="00E8783A" w:rsidRPr="00E8783A">
        <w:rPr>
          <w:rFonts w:eastAsia="Calibri" w:cs="Times New Roman"/>
          <w:sz w:val="24"/>
          <w:szCs w:val="24"/>
          <w:lang w:eastAsia="lv-LV"/>
        </w:rPr>
        <w:t>1</w:t>
      </w:r>
      <w:r w:rsidR="00E8783A">
        <w:rPr>
          <w:rFonts w:eastAsia="Calibri" w:cs="Times New Roman"/>
          <w:sz w:val="24"/>
          <w:szCs w:val="24"/>
          <w:lang w:eastAsia="lv-LV"/>
        </w:rPr>
        <w:t>1</w:t>
      </w:r>
      <w:r w:rsidR="00E8783A" w:rsidRPr="00E8783A">
        <w:rPr>
          <w:rFonts w:eastAsia="Calibri" w:cs="Times New Roman"/>
          <w:sz w:val="24"/>
          <w:szCs w:val="24"/>
          <w:vertAlign w:val="superscript"/>
          <w:lang w:eastAsia="lv-LV"/>
        </w:rPr>
        <w:t>1</w:t>
      </w:r>
      <w:r w:rsidR="00E8783A" w:rsidRPr="00E8783A">
        <w:rPr>
          <w:rFonts w:eastAsia="Calibri" w:cs="Times New Roman"/>
          <w:sz w:val="24"/>
          <w:szCs w:val="24"/>
          <w:lang w:eastAsia="lv-LV"/>
        </w:rPr>
        <w:t xml:space="preserve">. </w:t>
      </w:r>
      <w:r w:rsidR="00E8783A">
        <w:rPr>
          <w:rFonts w:eastAsia="Calibri" w:cs="Times New Roman"/>
          <w:sz w:val="24"/>
          <w:szCs w:val="24"/>
          <w:lang w:eastAsia="lv-LV"/>
        </w:rPr>
        <w:t>1.</w:t>
      </w:r>
      <w:r w:rsidR="00E8783A" w:rsidRPr="00E8783A">
        <w:rPr>
          <w:rFonts w:eastAsia="Calibri" w:cs="Times New Roman"/>
          <w:sz w:val="24"/>
          <w:szCs w:val="24"/>
          <w:lang w:eastAsia="lv-LV"/>
        </w:rPr>
        <w:t xml:space="preserve"> ja finansējuma saņēmējs ir projekta vadošais partneris – pamatojoties uz noslēgto līgumu ar ETS programmas vadošo iestādi par programmas līdzfinansējuma piešķiršanu vai ETS programmas vadošās iestādes lēmumu par projekta apstiprināšanu;</w:t>
      </w:r>
    </w:p>
    <w:p w:rsidR="00E8783A" w:rsidRPr="00E8783A" w:rsidRDefault="0030299A" w:rsidP="0030299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r>
      <w:r w:rsidR="00E8783A" w:rsidRPr="00E8783A">
        <w:rPr>
          <w:rFonts w:eastAsia="Calibri" w:cs="Times New Roman"/>
          <w:sz w:val="24"/>
          <w:szCs w:val="24"/>
          <w:lang w:eastAsia="lv-LV"/>
        </w:rPr>
        <w:t>1</w:t>
      </w:r>
      <w:r w:rsidR="00E8783A">
        <w:rPr>
          <w:rFonts w:eastAsia="Calibri" w:cs="Times New Roman"/>
          <w:sz w:val="24"/>
          <w:szCs w:val="24"/>
          <w:lang w:eastAsia="lv-LV"/>
        </w:rPr>
        <w:t>1</w:t>
      </w:r>
      <w:r w:rsidR="00E8783A" w:rsidRPr="00E8783A">
        <w:rPr>
          <w:rFonts w:eastAsia="Calibri" w:cs="Times New Roman"/>
          <w:sz w:val="24"/>
          <w:szCs w:val="24"/>
          <w:vertAlign w:val="superscript"/>
          <w:lang w:eastAsia="lv-LV"/>
        </w:rPr>
        <w:t>1</w:t>
      </w:r>
      <w:r w:rsidR="00E8783A">
        <w:rPr>
          <w:rFonts w:eastAsia="Calibri" w:cs="Times New Roman"/>
          <w:sz w:val="24"/>
          <w:szCs w:val="24"/>
          <w:lang w:eastAsia="lv-LV"/>
        </w:rPr>
        <w:t xml:space="preserve">. 2. </w:t>
      </w:r>
      <w:r w:rsidR="00E8783A" w:rsidRPr="00E8783A">
        <w:rPr>
          <w:rFonts w:eastAsia="Calibri" w:cs="Times New Roman"/>
          <w:sz w:val="24"/>
          <w:szCs w:val="24"/>
          <w:lang w:eastAsia="lv-LV"/>
        </w:rPr>
        <w:t>ja finansējuma saņēmējs ir projekta partneris – pamatojoties uz noslēgto līgumu starp projekta partneriem par ETS programmas projekta īstenošanu vai vadošā partnera parakstīto apliecinājumu par konkrētā Latvijas finansējuma saņēmēja projekta finansēšanas apjomu.”.</w:t>
      </w:r>
    </w:p>
    <w:p w:rsidR="00E8783A" w:rsidRPr="00E8783A" w:rsidRDefault="00E8783A" w:rsidP="00E8783A">
      <w:pPr>
        <w:tabs>
          <w:tab w:val="left" w:pos="993"/>
        </w:tabs>
        <w:spacing w:before="120" w:after="0"/>
        <w:ind w:left="426"/>
        <w:jc w:val="both"/>
        <w:outlineLvl w:val="0"/>
        <w:rPr>
          <w:rFonts w:eastAsia="Calibri" w:cs="Times New Roman"/>
          <w:sz w:val="24"/>
          <w:szCs w:val="24"/>
          <w:lang w:eastAsia="lv-LV"/>
        </w:rPr>
      </w:pPr>
      <w:r w:rsidRPr="00E8783A">
        <w:rPr>
          <w:rFonts w:eastAsia="Calibri" w:cs="Times New Roman"/>
          <w:sz w:val="24"/>
          <w:szCs w:val="24"/>
          <w:lang w:eastAsia="lv-LV"/>
        </w:rPr>
        <w:tab/>
      </w:r>
      <w:r>
        <w:rPr>
          <w:rFonts w:eastAsia="Calibri" w:cs="Times New Roman"/>
          <w:sz w:val="24"/>
          <w:szCs w:val="24"/>
          <w:lang w:eastAsia="lv-LV"/>
        </w:rPr>
        <w:t>1.</w:t>
      </w:r>
      <w:r w:rsidRPr="00E8783A">
        <w:rPr>
          <w:rFonts w:eastAsia="Calibri" w:cs="Times New Roman"/>
          <w:sz w:val="24"/>
          <w:szCs w:val="24"/>
          <w:lang w:eastAsia="lv-LV"/>
        </w:rPr>
        <w:t xml:space="preserve">4. </w:t>
      </w:r>
      <w:r>
        <w:rPr>
          <w:rFonts w:eastAsia="Calibri" w:cs="Times New Roman"/>
          <w:sz w:val="24"/>
          <w:szCs w:val="24"/>
          <w:lang w:eastAsia="lv-LV"/>
        </w:rPr>
        <w:t>p</w:t>
      </w:r>
      <w:r w:rsidRPr="00E8783A">
        <w:rPr>
          <w:rFonts w:eastAsia="Calibri" w:cs="Times New Roman"/>
          <w:sz w:val="24"/>
          <w:szCs w:val="24"/>
          <w:lang w:eastAsia="lv-LV"/>
        </w:rPr>
        <w:t>apildināt noteikumus ar 12.</w:t>
      </w:r>
      <w:r w:rsidRPr="00E8783A">
        <w:rPr>
          <w:rFonts w:eastAsia="Calibri" w:cs="Times New Roman"/>
          <w:sz w:val="24"/>
          <w:szCs w:val="24"/>
          <w:vertAlign w:val="superscript"/>
          <w:lang w:eastAsia="lv-LV"/>
        </w:rPr>
        <w:t xml:space="preserve">1 </w:t>
      </w:r>
      <w:r w:rsidRPr="00E8783A">
        <w:rPr>
          <w:rFonts w:eastAsia="Calibri" w:cs="Times New Roman"/>
          <w:sz w:val="24"/>
          <w:szCs w:val="24"/>
          <w:lang w:eastAsia="lv-LV"/>
        </w:rPr>
        <w:t>punktu šādā redakcijā:</w:t>
      </w:r>
    </w:p>
    <w:p w:rsidR="00E8783A" w:rsidRPr="00E8783A" w:rsidRDefault="00E8783A"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r>
      <w:r w:rsidRPr="00E8783A">
        <w:rPr>
          <w:rFonts w:eastAsia="Calibri" w:cs="Times New Roman"/>
          <w:sz w:val="24"/>
          <w:szCs w:val="24"/>
          <w:lang w:eastAsia="lv-LV"/>
        </w:rPr>
        <w:t>„12.</w:t>
      </w:r>
      <w:r w:rsidRPr="00E8783A">
        <w:rPr>
          <w:rFonts w:eastAsia="Calibri" w:cs="Times New Roman"/>
          <w:sz w:val="24"/>
          <w:szCs w:val="24"/>
          <w:vertAlign w:val="superscript"/>
          <w:lang w:eastAsia="lv-LV"/>
        </w:rPr>
        <w:t>1</w:t>
      </w:r>
      <w:r w:rsidRPr="00E8783A">
        <w:rPr>
          <w:rFonts w:eastAsia="Calibri" w:cs="Times New Roman"/>
          <w:sz w:val="24"/>
          <w:szCs w:val="24"/>
          <w:lang w:eastAsia="lv-LV"/>
        </w:rPr>
        <w:t xml:space="preserve"> Vides aizsardzības un reģionālās attīstības ministrija saskaņā ar programmu noteikumiem 2014.-2020.gada plānošanas periodam sagatavo un iesniedz Finanšu ministrijā valsts budžeta līdzekļu pieprasījumu:</w:t>
      </w:r>
    </w:p>
    <w:p w:rsidR="00E8783A" w:rsidRPr="00E8783A" w:rsidRDefault="00E8783A"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r>
      <w:r w:rsidRPr="00E8783A">
        <w:rPr>
          <w:rFonts w:eastAsia="Calibri" w:cs="Times New Roman"/>
          <w:sz w:val="24"/>
          <w:szCs w:val="24"/>
          <w:lang w:eastAsia="lv-LV"/>
        </w:rPr>
        <w:t>12.</w:t>
      </w:r>
      <w:r w:rsidRPr="00E8783A">
        <w:rPr>
          <w:rFonts w:eastAsia="Calibri" w:cs="Times New Roman"/>
          <w:sz w:val="24"/>
          <w:szCs w:val="24"/>
          <w:vertAlign w:val="superscript"/>
          <w:lang w:eastAsia="lv-LV"/>
        </w:rPr>
        <w:t>1</w:t>
      </w:r>
      <w:r>
        <w:rPr>
          <w:rFonts w:eastAsia="Calibri" w:cs="Times New Roman"/>
          <w:sz w:val="24"/>
          <w:szCs w:val="24"/>
          <w:lang w:eastAsia="lv-LV"/>
        </w:rPr>
        <w:t xml:space="preserve"> </w:t>
      </w:r>
      <w:r w:rsidRPr="00E8783A">
        <w:rPr>
          <w:rFonts w:eastAsia="Calibri" w:cs="Times New Roman"/>
          <w:sz w:val="24"/>
          <w:szCs w:val="24"/>
          <w:lang w:eastAsia="lv-LV"/>
        </w:rPr>
        <w:t xml:space="preserve">1. līdzfinansējuma nodrošināšanai ETS programmu tehniskās palīdzības budžetā, pamatojoties uz parakstītajām Latvijas Republikas piekrišanām; </w:t>
      </w:r>
    </w:p>
    <w:p w:rsidR="00E8783A" w:rsidRPr="00E8783A" w:rsidRDefault="009446BC"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lastRenderedPageBreak/>
        <w:tab/>
      </w:r>
      <w:r w:rsidR="00E8783A" w:rsidRPr="00E8783A">
        <w:rPr>
          <w:rFonts w:eastAsia="Calibri" w:cs="Times New Roman"/>
          <w:sz w:val="24"/>
          <w:szCs w:val="24"/>
          <w:lang w:eastAsia="lv-LV"/>
        </w:rPr>
        <w:t>12.</w:t>
      </w:r>
      <w:r w:rsidR="00E8783A" w:rsidRPr="00E8783A">
        <w:rPr>
          <w:rFonts w:eastAsia="Calibri" w:cs="Times New Roman"/>
          <w:sz w:val="24"/>
          <w:szCs w:val="24"/>
          <w:vertAlign w:val="superscript"/>
          <w:lang w:eastAsia="lv-LV"/>
        </w:rPr>
        <w:t>1</w:t>
      </w:r>
      <w:r w:rsidR="00E8783A" w:rsidRPr="00E8783A">
        <w:rPr>
          <w:rFonts w:eastAsia="Calibri" w:cs="Times New Roman"/>
          <w:sz w:val="24"/>
          <w:szCs w:val="24"/>
          <w:lang w:eastAsia="lv-LV"/>
        </w:rPr>
        <w:t xml:space="preserve"> 2. saistību izpildei pret vadošajiem partneriem, pamatojoties uz Vides aizsardzības un reģionālās attīstības ministrijas kā vadošās iestādes lēmumiem par projektu apstiprināšanu un ar vadošajiem partneriem noslēgtajiem līgumiem, ja šim mērķim nav pieejami ārvalstu finanšu palīdzības līdzekļi.”.</w:t>
      </w:r>
    </w:p>
    <w:p w:rsidR="00E8783A" w:rsidRPr="00E8783A" w:rsidRDefault="009446BC"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w:t>
      </w:r>
      <w:r w:rsidR="00E8783A" w:rsidRPr="00E8783A">
        <w:rPr>
          <w:rFonts w:eastAsia="Calibri" w:cs="Times New Roman"/>
          <w:sz w:val="24"/>
          <w:szCs w:val="24"/>
          <w:lang w:eastAsia="lv-LV"/>
        </w:rPr>
        <w:t>5.</w:t>
      </w:r>
      <w:r>
        <w:rPr>
          <w:rFonts w:eastAsia="Calibri" w:cs="Times New Roman"/>
          <w:sz w:val="24"/>
          <w:szCs w:val="24"/>
          <w:lang w:eastAsia="lv-LV"/>
        </w:rPr>
        <w:t xml:space="preserve"> p</w:t>
      </w:r>
      <w:r w:rsidR="00E8783A" w:rsidRPr="00E8783A">
        <w:rPr>
          <w:rFonts w:eastAsia="Calibri" w:cs="Times New Roman"/>
          <w:sz w:val="24"/>
          <w:szCs w:val="24"/>
          <w:lang w:eastAsia="lv-LV"/>
        </w:rPr>
        <w:t>apildināt 19.2.apakšpunktu aiz vārda „</w:t>
      </w:r>
      <w:proofErr w:type="spellStart"/>
      <w:r w:rsidR="00E8783A" w:rsidRPr="00E8783A">
        <w:rPr>
          <w:rFonts w:eastAsia="Calibri" w:cs="Times New Roman"/>
          <w:sz w:val="24"/>
          <w:szCs w:val="24"/>
          <w:lang w:eastAsia="lv-LV"/>
        </w:rPr>
        <w:t>apakšakti</w:t>
      </w:r>
      <w:r>
        <w:rPr>
          <w:rFonts w:eastAsia="Calibri" w:cs="Times New Roman"/>
          <w:sz w:val="24"/>
          <w:szCs w:val="24"/>
          <w:lang w:eastAsia="lv-LV"/>
        </w:rPr>
        <w:t>vitātei</w:t>
      </w:r>
      <w:proofErr w:type="spellEnd"/>
      <w:r>
        <w:rPr>
          <w:rFonts w:eastAsia="Calibri" w:cs="Times New Roman"/>
          <w:sz w:val="24"/>
          <w:szCs w:val="24"/>
          <w:lang w:eastAsia="lv-LV"/>
        </w:rPr>
        <w:t xml:space="preserve">” </w:t>
      </w:r>
      <w:r w:rsidR="00E8783A" w:rsidRPr="00E8783A">
        <w:rPr>
          <w:rFonts w:eastAsia="Calibri" w:cs="Times New Roman"/>
          <w:sz w:val="24"/>
          <w:szCs w:val="24"/>
          <w:lang w:eastAsia="lv-LV"/>
        </w:rPr>
        <w:t>ar vārdiem „vai specifiskajam atbalsta mērķim”.</w:t>
      </w:r>
    </w:p>
    <w:p w:rsidR="00E8783A" w:rsidRPr="00E8783A" w:rsidRDefault="009446BC"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1.6. p</w:t>
      </w:r>
      <w:r w:rsidR="00E8783A" w:rsidRPr="00E8783A">
        <w:rPr>
          <w:rFonts w:eastAsia="Calibri" w:cs="Times New Roman"/>
          <w:sz w:val="24"/>
          <w:szCs w:val="24"/>
          <w:lang w:eastAsia="lv-LV"/>
        </w:rPr>
        <w:t>apildināt 19.4.apakšpunktu aiz vārda „</w:t>
      </w:r>
      <w:proofErr w:type="spellStart"/>
      <w:r w:rsidR="00E8783A" w:rsidRPr="00E8783A">
        <w:rPr>
          <w:rFonts w:eastAsia="Calibri" w:cs="Times New Roman"/>
          <w:sz w:val="24"/>
          <w:szCs w:val="24"/>
          <w:lang w:eastAsia="lv-LV"/>
        </w:rPr>
        <w:t>apakšaktivitātes</w:t>
      </w:r>
      <w:proofErr w:type="spellEnd"/>
      <w:r w:rsidR="00E8783A" w:rsidRPr="00E8783A">
        <w:rPr>
          <w:rFonts w:eastAsia="Calibri" w:cs="Times New Roman"/>
          <w:sz w:val="24"/>
          <w:szCs w:val="24"/>
          <w:lang w:eastAsia="lv-LV"/>
        </w:rPr>
        <w:t>” ar vārdiem „vai specifiskā atbalsta mērķa”.</w:t>
      </w:r>
    </w:p>
    <w:p w:rsidR="00E8783A" w:rsidRPr="00E8783A" w:rsidRDefault="009446BC"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w:t>
      </w:r>
      <w:r w:rsidR="00E8783A" w:rsidRPr="00E8783A">
        <w:rPr>
          <w:rFonts w:eastAsia="Calibri" w:cs="Times New Roman"/>
          <w:sz w:val="24"/>
          <w:szCs w:val="24"/>
          <w:lang w:eastAsia="lv-LV"/>
        </w:rPr>
        <w:t xml:space="preserve">7. </w:t>
      </w:r>
      <w:r>
        <w:rPr>
          <w:rFonts w:eastAsia="Calibri" w:cs="Times New Roman"/>
          <w:sz w:val="24"/>
          <w:szCs w:val="24"/>
          <w:lang w:eastAsia="lv-LV"/>
        </w:rPr>
        <w:t>p</w:t>
      </w:r>
      <w:r w:rsidR="00E8783A" w:rsidRPr="00E8783A">
        <w:rPr>
          <w:rFonts w:eastAsia="Calibri" w:cs="Times New Roman"/>
          <w:sz w:val="24"/>
          <w:szCs w:val="24"/>
          <w:lang w:eastAsia="lv-LV"/>
        </w:rPr>
        <w:t>apildināt 20.1.apakšpunktu aiz vārda „</w:t>
      </w:r>
      <w:proofErr w:type="spellStart"/>
      <w:r w:rsidR="00E8783A" w:rsidRPr="00E8783A">
        <w:rPr>
          <w:rFonts w:eastAsia="Calibri" w:cs="Times New Roman"/>
          <w:sz w:val="24"/>
          <w:szCs w:val="24"/>
          <w:lang w:eastAsia="lv-LV"/>
        </w:rPr>
        <w:t>apakšaktivitātēm</w:t>
      </w:r>
      <w:proofErr w:type="spellEnd"/>
      <w:r w:rsidR="00E8783A" w:rsidRPr="00E8783A">
        <w:rPr>
          <w:rFonts w:eastAsia="Calibri" w:cs="Times New Roman"/>
          <w:sz w:val="24"/>
          <w:szCs w:val="24"/>
          <w:lang w:eastAsia="lv-LV"/>
        </w:rPr>
        <w:t>” ar vārdiem „vai specifiskajiem atbalsta mērķiem”.</w:t>
      </w:r>
    </w:p>
    <w:p w:rsidR="00E8783A" w:rsidRPr="00E8783A" w:rsidRDefault="009446BC" w:rsidP="009446BC">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1.8. i</w:t>
      </w:r>
      <w:r w:rsidR="00E8783A" w:rsidRPr="00E8783A">
        <w:rPr>
          <w:rFonts w:eastAsia="Calibri" w:cs="Times New Roman"/>
          <w:sz w:val="24"/>
          <w:szCs w:val="24"/>
          <w:lang w:eastAsia="lv-LV"/>
        </w:rPr>
        <w:t>zteikt 22.</w:t>
      </w:r>
      <w:r w:rsidR="00E8783A" w:rsidRPr="00E8783A">
        <w:rPr>
          <w:rFonts w:eastAsia="Calibri" w:cs="Times New Roman"/>
          <w:sz w:val="24"/>
          <w:szCs w:val="24"/>
          <w:vertAlign w:val="superscript"/>
          <w:lang w:eastAsia="lv-LV"/>
        </w:rPr>
        <w:t>1</w:t>
      </w:r>
      <w:r w:rsidR="00E8783A" w:rsidRPr="00E8783A">
        <w:rPr>
          <w:rFonts w:eastAsia="Calibri" w:cs="Times New Roman"/>
          <w:sz w:val="24"/>
          <w:szCs w:val="24"/>
          <w:lang w:eastAsia="lv-LV"/>
        </w:rPr>
        <w:t xml:space="preserve"> 1.apakšpunktu šādā redakcijā:</w:t>
      </w:r>
    </w:p>
    <w:p w:rsidR="00E8783A" w:rsidRPr="00E8783A" w:rsidRDefault="00E8783A" w:rsidP="00E8783A">
      <w:pPr>
        <w:tabs>
          <w:tab w:val="left" w:pos="993"/>
        </w:tabs>
        <w:spacing w:before="120" w:after="0"/>
        <w:ind w:left="426"/>
        <w:jc w:val="both"/>
        <w:outlineLvl w:val="0"/>
        <w:rPr>
          <w:rFonts w:eastAsia="Calibri" w:cs="Times New Roman"/>
          <w:sz w:val="24"/>
          <w:szCs w:val="24"/>
          <w:lang w:eastAsia="lv-LV"/>
        </w:rPr>
      </w:pPr>
      <w:r w:rsidRPr="00E8783A">
        <w:rPr>
          <w:rFonts w:eastAsia="Calibri" w:cs="Times New Roman"/>
          <w:sz w:val="24"/>
          <w:szCs w:val="24"/>
          <w:lang w:eastAsia="lv-LV"/>
        </w:rPr>
        <w:t>„22.</w:t>
      </w:r>
      <w:r w:rsidRPr="00E8783A">
        <w:rPr>
          <w:rFonts w:eastAsia="Calibri" w:cs="Times New Roman"/>
          <w:sz w:val="24"/>
          <w:szCs w:val="24"/>
          <w:vertAlign w:val="superscript"/>
          <w:lang w:eastAsia="lv-LV"/>
        </w:rPr>
        <w:t>1</w:t>
      </w:r>
      <w:r w:rsidRPr="00E8783A">
        <w:rPr>
          <w:rFonts w:eastAsia="Calibri" w:cs="Times New Roman"/>
          <w:sz w:val="24"/>
          <w:szCs w:val="24"/>
          <w:lang w:eastAsia="lv-LV"/>
        </w:rPr>
        <w:t xml:space="preserve"> 1. Eiropas Savienības fonda nosaukumu, Eiropas Savienības fondu darbības programmas aktivitātes, </w:t>
      </w:r>
      <w:proofErr w:type="spellStart"/>
      <w:r w:rsidRPr="00E8783A">
        <w:rPr>
          <w:rFonts w:eastAsia="Calibri" w:cs="Times New Roman"/>
          <w:sz w:val="24"/>
          <w:szCs w:val="24"/>
          <w:lang w:eastAsia="lv-LV"/>
        </w:rPr>
        <w:t>apakšaktivitātes</w:t>
      </w:r>
      <w:proofErr w:type="spellEnd"/>
      <w:r w:rsidRPr="00E8783A">
        <w:rPr>
          <w:rFonts w:eastAsia="Calibri" w:cs="Times New Roman"/>
          <w:sz w:val="24"/>
          <w:szCs w:val="24"/>
          <w:lang w:eastAsia="lv-LV"/>
        </w:rPr>
        <w:t xml:space="preserve"> vai specifiskā atbalsta mērķa numuru un nosaukumu”.</w:t>
      </w:r>
    </w:p>
    <w:p w:rsidR="00E8783A" w:rsidRPr="00E8783A" w:rsidRDefault="009446BC" w:rsidP="009446BC">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1.9. p</w:t>
      </w:r>
      <w:r w:rsidR="00E8783A" w:rsidRPr="00E8783A">
        <w:rPr>
          <w:rFonts w:eastAsia="Calibri" w:cs="Times New Roman"/>
          <w:sz w:val="24"/>
          <w:szCs w:val="24"/>
          <w:lang w:eastAsia="lv-LV"/>
        </w:rPr>
        <w:t>apildināt 22.</w:t>
      </w:r>
      <w:r w:rsidR="00E8783A" w:rsidRPr="00E8783A">
        <w:rPr>
          <w:rFonts w:eastAsia="Calibri" w:cs="Times New Roman"/>
          <w:sz w:val="24"/>
          <w:szCs w:val="24"/>
          <w:vertAlign w:val="superscript"/>
          <w:lang w:eastAsia="lv-LV"/>
        </w:rPr>
        <w:t>1</w:t>
      </w:r>
      <w:r w:rsidR="00E8783A" w:rsidRPr="00E8783A">
        <w:rPr>
          <w:rFonts w:eastAsia="Calibri" w:cs="Times New Roman"/>
          <w:sz w:val="24"/>
          <w:szCs w:val="24"/>
          <w:lang w:eastAsia="lv-LV"/>
        </w:rPr>
        <w:t xml:space="preserve"> 5.apakšpunktu aiz vārdiem “vadības informācijas sistēmas” ar vārdiem “vai Kohēzijas politikas fondu vadības informācijas sistēmas”.</w:t>
      </w:r>
    </w:p>
    <w:p w:rsidR="00E8783A" w:rsidRDefault="009446BC"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w:t>
      </w:r>
      <w:r w:rsidR="00E8783A" w:rsidRPr="00E8783A">
        <w:rPr>
          <w:rFonts w:eastAsia="Calibri" w:cs="Times New Roman"/>
          <w:sz w:val="24"/>
          <w:szCs w:val="24"/>
          <w:lang w:eastAsia="lv-LV"/>
        </w:rPr>
        <w:t xml:space="preserve">10. </w:t>
      </w:r>
      <w:r>
        <w:rPr>
          <w:rFonts w:eastAsia="Calibri" w:cs="Times New Roman"/>
          <w:sz w:val="24"/>
          <w:szCs w:val="24"/>
          <w:lang w:eastAsia="lv-LV"/>
        </w:rPr>
        <w:t>p</w:t>
      </w:r>
      <w:r w:rsidR="0030299A">
        <w:rPr>
          <w:rFonts w:eastAsia="Calibri" w:cs="Times New Roman"/>
          <w:sz w:val="24"/>
          <w:szCs w:val="24"/>
          <w:lang w:eastAsia="lv-LV"/>
        </w:rPr>
        <w:t>apildināt 29.punktu aiz vārdiem</w:t>
      </w:r>
      <w:r w:rsidR="00E8783A" w:rsidRPr="00E8783A">
        <w:rPr>
          <w:rFonts w:eastAsia="Calibri" w:cs="Times New Roman"/>
          <w:sz w:val="24"/>
          <w:szCs w:val="24"/>
          <w:lang w:eastAsia="lv-LV"/>
        </w:rPr>
        <w:t xml:space="preserve"> “</w:t>
      </w:r>
      <w:proofErr w:type="spellStart"/>
      <w:r w:rsidR="00E8783A" w:rsidRPr="00E8783A">
        <w:rPr>
          <w:rFonts w:eastAsia="Calibri" w:cs="Times New Roman"/>
          <w:sz w:val="24"/>
          <w:szCs w:val="24"/>
          <w:lang w:eastAsia="lv-LV"/>
        </w:rPr>
        <w:t>apakšaktivitātes</w:t>
      </w:r>
      <w:proofErr w:type="spellEnd"/>
      <w:r w:rsidR="00E8783A" w:rsidRPr="00E8783A">
        <w:rPr>
          <w:rFonts w:eastAsia="Calibri" w:cs="Times New Roman"/>
          <w:sz w:val="24"/>
          <w:szCs w:val="24"/>
          <w:lang w:eastAsia="lv-LV"/>
        </w:rPr>
        <w:t>” ar vārdiem “specifiskā atbalsta mērķa”.</w:t>
      </w:r>
    </w:p>
    <w:p w:rsidR="009446BC" w:rsidRDefault="009446BC"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1.11. p</w:t>
      </w:r>
      <w:r w:rsidRPr="009446BC">
        <w:rPr>
          <w:rFonts w:eastAsia="Calibri" w:cs="Times New Roman"/>
          <w:sz w:val="24"/>
          <w:szCs w:val="24"/>
          <w:lang w:eastAsia="lv-LV"/>
        </w:rPr>
        <w:t>apildināt 39.</w:t>
      </w:r>
      <w:r w:rsidRPr="009446BC">
        <w:rPr>
          <w:rFonts w:eastAsia="Calibri" w:cs="Times New Roman"/>
          <w:sz w:val="24"/>
          <w:szCs w:val="24"/>
          <w:vertAlign w:val="superscript"/>
          <w:lang w:eastAsia="lv-LV"/>
        </w:rPr>
        <w:t xml:space="preserve">1 </w:t>
      </w:r>
      <w:r w:rsidRPr="009446BC">
        <w:rPr>
          <w:rFonts w:eastAsia="Calibri" w:cs="Times New Roman"/>
          <w:sz w:val="24"/>
          <w:szCs w:val="24"/>
          <w:lang w:eastAsia="lv-LV"/>
        </w:rPr>
        <w:t>punktu aiz vārdiem “plānošanas periodā” ar skaitli un vārdiem “6.3.1. specifiskā atbalsta mērķa “Palielināt reģionālo mobilitāti, uzlabojot valst</w:t>
      </w:r>
      <w:r>
        <w:rPr>
          <w:rFonts w:eastAsia="Calibri" w:cs="Times New Roman"/>
          <w:sz w:val="24"/>
          <w:szCs w:val="24"/>
          <w:lang w:eastAsia="lv-LV"/>
        </w:rPr>
        <w:t>s reģionālo autoceļu kvalitāti”.</w:t>
      </w:r>
    </w:p>
    <w:p w:rsidR="00E8783A" w:rsidRPr="00E8783A" w:rsidRDefault="00222101" w:rsidP="00E8783A">
      <w:pPr>
        <w:tabs>
          <w:tab w:val="left" w:pos="993"/>
        </w:tabs>
        <w:spacing w:before="120" w:after="0"/>
        <w:ind w:left="426"/>
        <w:jc w:val="both"/>
        <w:outlineLvl w:val="0"/>
        <w:rPr>
          <w:rFonts w:eastAsia="Calibri" w:cs="Times New Roman"/>
          <w:sz w:val="24"/>
          <w:szCs w:val="24"/>
          <w:lang w:eastAsia="lv-LV"/>
        </w:rPr>
      </w:pPr>
      <w:r>
        <w:rPr>
          <w:rFonts w:eastAsia="Calibri" w:cs="Times New Roman"/>
          <w:sz w:val="24"/>
          <w:szCs w:val="24"/>
          <w:lang w:eastAsia="lv-LV"/>
        </w:rPr>
        <w:tab/>
        <w:t>1.12. p</w:t>
      </w:r>
      <w:r w:rsidR="00E8783A" w:rsidRPr="00E8783A">
        <w:rPr>
          <w:rFonts w:eastAsia="Calibri" w:cs="Times New Roman"/>
          <w:sz w:val="24"/>
          <w:szCs w:val="24"/>
          <w:lang w:eastAsia="lv-LV"/>
        </w:rPr>
        <w:t>apildināt 5.pielikuma 2.piezīmi aiz vārda “</w:t>
      </w:r>
      <w:proofErr w:type="spellStart"/>
      <w:r w:rsidR="00E8783A" w:rsidRPr="00E8783A">
        <w:rPr>
          <w:rFonts w:eastAsia="Calibri" w:cs="Times New Roman"/>
          <w:sz w:val="24"/>
          <w:szCs w:val="24"/>
          <w:lang w:eastAsia="lv-LV"/>
        </w:rPr>
        <w:t>apakšaktivitātēm</w:t>
      </w:r>
      <w:proofErr w:type="spellEnd"/>
      <w:r w:rsidR="00E8783A" w:rsidRPr="00E8783A">
        <w:rPr>
          <w:rFonts w:eastAsia="Calibri" w:cs="Times New Roman"/>
          <w:sz w:val="24"/>
          <w:szCs w:val="24"/>
          <w:lang w:eastAsia="lv-LV"/>
        </w:rPr>
        <w:t>” ar vārdiem “vai specifiskajiem atbalsta mērķiem”.</w:t>
      </w:r>
    </w:p>
    <w:p w:rsidR="00625FEE" w:rsidRDefault="00625FEE" w:rsidP="00F8043F">
      <w:pPr>
        <w:tabs>
          <w:tab w:val="left" w:pos="993"/>
        </w:tabs>
        <w:spacing w:before="120" w:after="0"/>
        <w:ind w:left="426"/>
        <w:jc w:val="both"/>
        <w:outlineLvl w:val="0"/>
        <w:rPr>
          <w:rFonts w:eastAsia="Calibri" w:cs="Times New Roman"/>
          <w:sz w:val="24"/>
          <w:szCs w:val="24"/>
          <w:lang w:eastAsia="lv-LV"/>
        </w:rPr>
      </w:pPr>
    </w:p>
    <w:p w:rsidR="0030299A" w:rsidRPr="00E91B9C" w:rsidRDefault="0030299A" w:rsidP="00F8043F">
      <w:pPr>
        <w:tabs>
          <w:tab w:val="left" w:pos="993"/>
        </w:tabs>
        <w:spacing w:before="120" w:after="0"/>
        <w:ind w:left="426"/>
        <w:jc w:val="both"/>
        <w:outlineLvl w:val="0"/>
        <w:rPr>
          <w:rFonts w:eastAsia="Calibri" w:cs="Times New Roman"/>
          <w:sz w:val="24"/>
          <w:szCs w:val="24"/>
          <w:lang w:eastAsia="lv-LV"/>
        </w:rPr>
      </w:pPr>
    </w:p>
    <w:p w:rsidR="00C57BEE" w:rsidRPr="00E91B9C" w:rsidRDefault="00C57BEE" w:rsidP="00625FEE">
      <w:pPr>
        <w:ind w:firstLine="426"/>
        <w:jc w:val="both"/>
        <w:rPr>
          <w:sz w:val="24"/>
          <w:szCs w:val="24"/>
        </w:rPr>
      </w:pPr>
      <w:r w:rsidRPr="00E91B9C">
        <w:rPr>
          <w:sz w:val="24"/>
          <w:szCs w:val="24"/>
        </w:rPr>
        <w:t>Ministru prezidente</w:t>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Pr="00E91B9C">
        <w:rPr>
          <w:sz w:val="24"/>
          <w:szCs w:val="24"/>
        </w:rPr>
        <w:tab/>
      </w:r>
      <w:r w:rsidR="00C35ECA" w:rsidRPr="00E91B9C">
        <w:rPr>
          <w:sz w:val="24"/>
          <w:szCs w:val="24"/>
        </w:rPr>
        <w:tab/>
      </w:r>
      <w:r w:rsidR="00C35ECA" w:rsidRPr="00E91B9C">
        <w:rPr>
          <w:sz w:val="24"/>
          <w:szCs w:val="24"/>
        </w:rPr>
        <w:tab/>
      </w:r>
      <w:r w:rsidRPr="00E91B9C">
        <w:rPr>
          <w:sz w:val="24"/>
          <w:szCs w:val="24"/>
        </w:rPr>
        <w:t>L.Straujuma</w:t>
      </w:r>
    </w:p>
    <w:p w:rsidR="005042A1" w:rsidRDefault="00C57BEE" w:rsidP="005042A1">
      <w:pPr>
        <w:spacing w:after="0"/>
        <w:ind w:firstLine="425"/>
        <w:jc w:val="both"/>
        <w:rPr>
          <w:sz w:val="24"/>
          <w:szCs w:val="24"/>
        </w:rPr>
      </w:pPr>
      <w:r w:rsidRPr="00E91B9C">
        <w:rPr>
          <w:sz w:val="24"/>
          <w:szCs w:val="24"/>
        </w:rPr>
        <w:t>Satiksmes ministr</w:t>
      </w:r>
      <w:r w:rsidR="005042A1">
        <w:rPr>
          <w:sz w:val="24"/>
          <w:szCs w:val="24"/>
        </w:rPr>
        <w:t xml:space="preserve">a vietā- </w:t>
      </w:r>
    </w:p>
    <w:p w:rsidR="00C57BEE" w:rsidRPr="00E91B9C" w:rsidRDefault="005042A1" w:rsidP="005042A1">
      <w:pPr>
        <w:spacing w:after="0"/>
        <w:ind w:firstLine="425"/>
        <w:jc w:val="both"/>
        <w:rPr>
          <w:sz w:val="24"/>
          <w:szCs w:val="24"/>
        </w:rPr>
      </w:pPr>
      <w:r>
        <w:rPr>
          <w:sz w:val="24"/>
          <w:szCs w:val="24"/>
        </w:rPr>
        <w:t>Ārlietu ministrs</w:t>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35ECA" w:rsidRPr="00E91B9C">
        <w:rPr>
          <w:sz w:val="24"/>
          <w:szCs w:val="24"/>
        </w:rPr>
        <w:tab/>
      </w:r>
      <w:r>
        <w:rPr>
          <w:sz w:val="24"/>
          <w:szCs w:val="24"/>
        </w:rPr>
        <w:tab/>
      </w:r>
      <w:r>
        <w:rPr>
          <w:sz w:val="24"/>
          <w:szCs w:val="24"/>
        </w:rPr>
        <w:tab/>
      </w:r>
      <w:r>
        <w:rPr>
          <w:sz w:val="24"/>
          <w:szCs w:val="24"/>
        </w:rPr>
        <w:tab/>
      </w:r>
      <w:proofErr w:type="spellStart"/>
      <w:r>
        <w:rPr>
          <w:sz w:val="24"/>
          <w:szCs w:val="24"/>
        </w:rPr>
        <w:t>E.Rinkēvičs</w:t>
      </w:r>
      <w:proofErr w:type="spellEnd"/>
    </w:p>
    <w:p w:rsidR="005042A1" w:rsidRPr="005042A1" w:rsidRDefault="005042A1" w:rsidP="005042A1">
      <w:pPr>
        <w:spacing w:after="0"/>
        <w:ind w:firstLine="425"/>
        <w:jc w:val="both"/>
        <w:rPr>
          <w:sz w:val="16"/>
          <w:szCs w:val="16"/>
        </w:rPr>
      </w:pPr>
    </w:p>
    <w:p w:rsidR="005042A1" w:rsidRDefault="005042A1" w:rsidP="005042A1">
      <w:pPr>
        <w:spacing w:after="0"/>
        <w:ind w:firstLine="425"/>
        <w:jc w:val="both"/>
        <w:rPr>
          <w:sz w:val="24"/>
          <w:szCs w:val="24"/>
        </w:rPr>
      </w:pPr>
      <w:r>
        <w:rPr>
          <w:sz w:val="24"/>
          <w:szCs w:val="24"/>
        </w:rPr>
        <w:t xml:space="preserve">Iesniedzējs: Satiksmes ministra vietā- </w:t>
      </w:r>
      <w:r w:rsidR="00C57BEE" w:rsidRPr="00E91B9C">
        <w:rPr>
          <w:sz w:val="24"/>
          <w:szCs w:val="24"/>
        </w:rPr>
        <w:tab/>
      </w:r>
    </w:p>
    <w:p w:rsidR="005042A1" w:rsidRDefault="005042A1" w:rsidP="005042A1">
      <w:pPr>
        <w:spacing w:after="0"/>
        <w:ind w:firstLine="425"/>
        <w:jc w:val="both"/>
        <w:rPr>
          <w:rFonts w:eastAsia="Times New Roman" w:cs="Times New Roman"/>
          <w:sz w:val="24"/>
          <w:szCs w:val="24"/>
        </w:rPr>
      </w:pPr>
      <w:r>
        <w:rPr>
          <w:sz w:val="24"/>
          <w:szCs w:val="24"/>
        </w:rPr>
        <w:t>Ārlietu ministrs</w:t>
      </w:r>
      <w:r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57BEE" w:rsidRPr="00E91B9C">
        <w:rPr>
          <w:sz w:val="24"/>
          <w:szCs w:val="24"/>
        </w:rPr>
        <w:tab/>
      </w:r>
      <w:r w:rsidR="00C35ECA" w:rsidRPr="00E91B9C">
        <w:rPr>
          <w:sz w:val="24"/>
          <w:szCs w:val="24"/>
        </w:rPr>
        <w:tab/>
      </w:r>
      <w:r>
        <w:rPr>
          <w:sz w:val="24"/>
          <w:szCs w:val="24"/>
        </w:rPr>
        <w:tab/>
      </w:r>
      <w:r>
        <w:rPr>
          <w:sz w:val="24"/>
          <w:szCs w:val="24"/>
        </w:rPr>
        <w:tab/>
      </w:r>
      <w:r>
        <w:rPr>
          <w:sz w:val="24"/>
          <w:szCs w:val="24"/>
        </w:rPr>
        <w:tab/>
      </w:r>
      <w:proofErr w:type="spellStart"/>
      <w:r>
        <w:rPr>
          <w:sz w:val="24"/>
          <w:szCs w:val="24"/>
        </w:rPr>
        <w:t>E.Rinkēvič</w:t>
      </w:r>
      <w:r>
        <w:rPr>
          <w:sz w:val="24"/>
          <w:szCs w:val="24"/>
        </w:rPr>
        <w:t>s</w:t>
      </w:r>
      <w:proofErr w:type="spellEnd"/>
    </w:p>
    <w:p w:rsidR="005042A1" w:rsidRDefault="005042A1" w:rsidP="00865E22">
      <w:pPr>
        <w:keepLines/>
        <w:widowControl w:val="0"/>
        <w:tabs>
          <w:tab w:val="right" w:pos="8222"/>
        </w:tabs>
        <w:spacing w:after="0" w:line="276" w:lineRule="auto"/>
        <w:ind w:left="426"/>
        <w:jc w:val="both"/>
        <w:rPr>
          <w:rFonts w:eastAsia="Times New Roman" w:cs="Times New Roman"/>
          <w:sz w:val="24"/>
          <w:szCs w:val="24"/>
        </w:rPr>
      </w:pPr>
    </w:p>
    <w:p w:rsidR="00EE476C" w:rsidRDefault="00C35ECA" w:rsidP="00865E22">
      <w:pPr>
        <w:keepLines/>
        <w:widowControl w:val="0"/>
        <w:tabs>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 xml:space="preserve">Vīza: </w:t>
      </w:r>
    </w:p>
    <w:p w:rsidR="00B521EC" w:rsidRPr="00E91B9C" w:rsidRDefault="00C35ECA" w:rsidP="00865E22">
      <w:pPr>
        <w:keepLines/>
        <w:widowControl w:val="0"/>
        <w:tabs>
          <w:tab w:val="left" w:pos="7938"/>
          <w:tab w:val="right" w:pos="8222"/>
        </w:tabs>
        <w:spacing w:after="0" w:line="276" w:lineRule="auto"/>
        <w:ind w:left="426"/>
        <w:jc w:val="both"/>
        <w:rPr>
          <w:rFonts w:eastAsia="Times New Roman" w:cs="Times New Roman"/>
          <w:sz w:val="24"/>
          <w:szCs w:val="24"/>
        </w:rPr>
      </w:pPr>
      <w:r w:rsidRPr="00E91B9C">
        <w:rPr>
          <w:rFonts w:eastAsia="Times New Roman" w:cs="Times New Roman"/>
          <w:sz w:val="24"/>
          <w:szCs w:val="24"/>
        </w:rPr>
        <w:t>Valsts sekretārs</w:t>
      </w:r>
      <w:r w:rsidRPr="00E91B9C">
        <w:rPr>
          <w:rFonts w:eastAsia="Times New Roman" w:cs="Times New Roman"/>
          <w:sz w:val="24"/>
          <w:szCs w:val="24"/>
        </w:rPr>
        <w:tab/>
      </w:r>
      <w:r w:rsidR="0002402F" w:rsidRPr="00E91B9C">
        <w:rPr>
          <w:rFonts w:eastAsia="Times New Roman" w:cs="Times New Roman"/>
          <w:sz w:val="24"/>
          <w:szCs w:val="24"/>
        </w:rPr>
        <w:t>K.Ozoliņš</w:t>
      </w:r>
    </w:p>
    <w:p w:rsidR="00B521EC" w:rsidRPr="00E91B9C" w:rsidRDefault="00B521EC" w:rsidP="00B521EC">
      <w:pPr>
        <w:keepLines/>
        <w:widowControl w:val="0"/>
        <w:tabs>
          <w:tab w:val="right" w:pos="8222"/>
        </w:tabs>
        <w:spacing w:after="0" w:line="276" w:lineRule="auto"/>
        <w:jc w:val="both"/>
        <w:rPr>
          <w:rFonts w:eastAsia="Times New Roman" w:cs="Times New Roman"/>
          <w:sz w:val="24"/>
          <w:szCs w:val="24"/>
        </w:rPr>
      </w:pPr>
    </w:p>
    <w:p w:rsidR="00B521EC" w:rsidRPr="00E91B9C" w:rsidRDefault="005042A1" w:rsidP="0086393F">
      <w:pPr>
        <w:spacing w:after="0"/>
        <w:ind w:firstLine="426"/>
        <w:rPr>
          <w:rFonts w:eastAsia="Calibri" w:cs="Times New Roman"/>
          <w:sz w:val="18"/>
          <w:szCs w:val="18"/>
          <w:lang w:eastAsia="lv-LV"/>
        </w:rPr>
      </w:pPr>
      <w:r>
        <w:rPr>
          <w:rFonts w:eastAsia="Calibri" w:cs="Times New Roman"/>
          <w:sz w:val="18"/>
          <w:szCs w:val="18"/>
          <w:lang w:eastAsia="lv-LV"/>
        </w:rPr>
        <w:t>01.10</w:t>
      </w:r>
      <w:r w:rsidR="00DF124D">
        <w:rPr>
          <w:rFonts w:eastAsia="Calibri" w:cs="Times New Roman"/>
          <w:sz w:val="18"/>
          <w:szCs w:val="18"/>
          <w:lang w:eastAsia="lv-LV"/>
        </w:rPr>
        <w:t>.</w:t>
      </w:r>
      <w:r w:rsidR="00B521EC" w:rsidRPr="00E91B9C">
        <w:rPr>
          <w:rFonts w:eastAsia="Calibri" w:cs="Times New Roman"/>
          <w:sz w:val="18"/>
          <w:szCs w:val="18"/>
          <w:lang w:eastAsia="lv-LV"/>
        </w:rPr>
        <w:t xml:space="preserve">2015 </w:t>
      </w:r>
      <w:r w:rsidR="00005DA3" w:rsidRPr="00E91B9C">
        <w:rPr>
          <w:rFonts w:eastAsia="Calibri" w:cs="Times New Roman"/>
          <w:sz w:val="18"/>
          <w:szCs w:val="18"/>
          <w:lang w:eastAsia="lv-LV"/>
        </w:rPr>
        <w:t>1</w:t>
      </w:r>
      <w:r w:rsidR="00EE476C">
        <w:rPr>
          <w:rFonts w:eastAsia="Calibri" w:cs="Times New Roman"/>
          <w:sz w:val="18"/>
          <w:szCs w:val="18"/>
          <w:lang w:eastAsia="lv-LV"/>
        </w:rPr>
        <w:t>1</w:t>
      </w:r>
      <w:r w:rsidR="00C437B1" w:rsidRPr="00E91B9C">
        <w:rPr>
          <w:rFonts w:eastAsia="Calibri" w:cs="Times New Roman"/>
          <w:sz w:val="18"/>
          <w:szCs w:val="18"/>
          <w:lang w:eastAsia="lv-LV"/>
        </w:rPr>
        <w:t>:</w:t>
      </w:r>
      <w:r w:rsidR="00EC6A57">
        <w:rPr>
          <w:rFonts w:eastAsia="Calibri" w:cs="Times New Roman"/>
          <w:sz w:val="18"/>
          <w:szCs w:val="18"/>
          <w:lang w:eastAsia="lv-LV"/>
        </w:rPr>
        <w:t>00</w:t>
      </w:r>
    </w:p>
    <w:p w:rsidR="00B521EC" w:rsidRPr="00E91B9C" w:rsidRDefault="0030299A" w:rsidP="0086393F">
      <w:pPr>
        <w:spacing w:after="0"/>
        <w:ind w:firstLine="426"/>
        <w:rPr>
          <w:rFonts w:eastAsia="Calibri" w:cs="Times New Roman"/>
          <w:sz w:val="18"/>
          <w:szCs w:val="18"/>
          <w:lang w:eastAsia="lv-LV"/>
        </w:rPr>
      </w:pPr>
      <w:r>
        <w:rPr>
          <w:rFonts w:eastAsia="Calibri" w:cs="Times New Roman"/>
          <w:sz w:val="18"/>
          <w:szCs w:val="18"/>
          <w:lang w:eastAsia="lv-LV"/>
        </w:rPr>
        <w:t>5</w:t>
      </w:r>
      <w:r w:rsidR="005042A1">
        <w:rPr>
          <w:rFonts w:eastAsia="Calibri" w:cs="Times New Roman"/>
          <w:sz w:val="18"/>
          <w:szCs w:val="18"/>
          <w:lang w:eastAsia="lv-LV"/>
        </w:rPr>
        <w:t>08</w:t>
      </w:r>
    </w:p>
    <w:p w:rsidR="00BE095C" w:rsidRDefault="0002402F" w:rsidP="0086393F">
      <w:pPr>
        <w:spacing w:after="0"/>
        <w:ind w:firstLine="426"/>
      </w:pPr>
      <w:r w:rsidRPr="00E91B9C">
        <w:rPr>
          <w:rFonts w:eastAsia="Calibri" w:cs="Times New Roman"/>
          <w:sz w:val="18"/>
          <w:szCs w:val="18"/>
          <w:lang w:eastAsia="lv-LV"/>
        </w:rPr>
        <w:t>G</w:t>
      </w:r>
      <w:r w:rsidR="00AF3A29" w:rsidRPr="00E91B9C">
        <w:rPr>
          <w:rFonts w:eastAsia="Calibri" w:cs="Times New Roman"/>
          <w:sz w:val="18"/>
          <w:szCs w:val="18"/>
          <w:lang w:eastAsia="lv-LV"/>
        </w:rPr>
        <w:t>.</w:t>
      </w:r>
      <w:r w:rsidRPr="00E91B9C">
        <w:rPr>
          <w:rFonts w:eastAsia="Calibri" w:cs="Times New Roman"/>
          <w:sz w:val="18"/>
          <w:szCs w:val="18"/>
          <w:lang w:eastAsia="lv-LV"/>
        </w:rPr>
        <w:t>Kupča</w:t>
      </w:r>
      <w:r w:rsidR="00AF3A29" w:rsidRPr="00E91B9C">
        <w:rPr>
          <w:rFonts w:eastAsia="Calibri" w:cs="Times New Roman"/>
          <w:sz w:val="18"/>
          <w:szCs w:val="18"/>
          <w:lang w:eastAsia="lv-LV"/>
        </w:rPr>
        <w:t>, 67</w:t>
      </w:r>
      <w:r w:rsidR="00D4643E" w:rsidRPr="00E91B9C">
        <w:rPr>
          <w:rFonts w:eastAsia="Calibri" w:cs="Times New Roman"/>
          <w:sz w:val="18"/>
          <w:szCs w:val="18"/>
          <w:lang w:eastAsia="lv-LV"/>
        </w:rPr>
        <w:t>028023</w:t>
      </w:r>
      <w:r w:rsidR="002572C6">
        <w:rPr>
          <w:rFonts w:eastAsia="Calibri" w:cs="Times New Roman"/>
          <w:sz w:val="18"/>
          <w:szCs w:val="18"/>
          <w:lang w:eastAsia="lv-LV"/>
        </w:rPr>
        <w:t xml:space="preserve"> </w:t>
      </w:r>
      <w:r w:rsidRPr="00E91B9C">
        <w:rPr>
          <w:rFonts w:eastAsia="Calibri" w:cs="Times New Roman"/>
          <w:sz w:val="18"/>
          <w:szCs w:val="18"/>
          <w:lang w:eastAsia="lv-LV"/>
        </w:rPr>
        <w:t>Gunita.Kupca@s</w:t>
      </w:r>
      <w:r w:rsidR="00AF3A29" w:rsidRPr="00E91B9C">
        <w:rPr>
          <w:rFonts w:eastAsia="Calibri" w:cs="Times New Roman"/>
          <w:sz w:val="18"/>
          <w:szCs w:val="18"/>
          <w:lang w:eastAsia="lv-LV"/>
        </w:rPr>
        <w:t>a</w:t>
      </w:r>
      <w:r w:rsidR="00B521EC" w:rsidRPr="00E91B9C">
        <w:rPr>
          <w:rFonts w:eastAsia="Calibri" w:cs="Times New Roman"/>
          <w:sz w:val="18"/>
          <w:szCs w:val="18"/>
          <w:lang w:eastAsia="lv-LV"/>
        </w:rPr>
        <w:t>m.gov.lv</w:t>
      </w:r>
    </w:p>
    <w:sectPr w:rsidR="00BE095C" w:rsidSect="002572C6">
      <w:headerReference w:type="default" r:id="rId11"/>
      <w:footerReference w:type="default" r:id="rId12"/>
      <w:footerReference w:type="first" r:id="rId13"/>
      <w:pgSz w:w="11906" w:h="16838" w:code="9"/>
      <w:pgMar w:top="1134" w:right="707" w:bottom="1134" w:left="1418" w:header="709"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4D" w:rsidRDefault="00F75A4D">
      <w:pPr>
        <w:spacing w:after="0"/>
      </w:pPr>
      <w:r>
        <w:separator/>
      </w:r>
    </w:p>
  </w:endnote>
  <w:endnote w:type="continuationSeparator" w:id="0">
    <w:p w:rsidR="00F75A4D" w:rsidRDefault="00F75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01" w:rsidRPr="0030299A" w:rsidRDefault="00222101" w:rsidP="0030299A">
    <w:pPr>
      <w:pStyle w:val="Footer"/>
      <w:jc w:val="both"/>
      <w:rPr>
        <w:sz w:val="18"/>
        <w:szCs w:val="18"/>
      </w:rPr>
    </w:pPr>
    <w:r w:rsidRPr="0030299A">
      <w:rPr>
        <w:sz w:val="18"/>
        <w:szCs w:val="18"/>
      </w:rPr>
      <w:fldChar w:fldCharType="begin"/>
    </w:r>
    <w:r w:rsidRPr="0030299A">
      <w:rPr>
        <w:sz w:val="18"/>
        <w:szCs w:val="18"/>
      </w:rPr>
      <w:instrText xml:space="preserve"> FILENAME   \* MERGEFORMAT </w:instrText>
    </w:r>
    <w:r w:rsidRPr="0030299A">
      <w:rPr>
        <w:sz w:val="18"/>
        <w:szCs w:val="18"/>
      </w:rPr>
      <w:fldChar w:fldCharType="separate"/>
    </w:r>
    <w:r w:rsidR="005042A1">
      <w:rPr>
        <w:noProof/>
        <w:sz w:val="18"/>
        <w:szCs w:val="18"/>
      </w:rPr>
      <w:t>MKnot464_groz_01102015</w:t>
    </w:r>
    <w:r w:rsidRPr="0030299A">
      <w:rPr>
        <w:sz w:val="18"/>
        <w:szCs w:val="18"/>
      </w:rPr>
      <w:fldChar w:fldCharType="end"/>
    </w:r>
    <w:r w:rsidRPr="0030299A">
      <w:rPr>
        <w:sz w:val="18"/>
        <w:szCs w:val="18"/>
      </w:rPr>
      <w:t>; Grozījum</w:t>
    </w:r>
    <w:r>
      <w:rPr>
        <w:sz w:val="18"/>
        <w:szCs w:val="18"/>
      </w:rPr>
      <w:t>i</w:t>
    </w:r>
    <w:r w:rsidRPr="0030299A">
      <w:rPr>
        <w:sz w:val="18"/>
        <w:szCs w:val="18"/>
      </w:rPr>
      <w:t xml:space="preserve"> Ministru kabineta 2010.gada 18.maija noteikumos Nr.464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p>
  <w:p w:rsidR="00222101" w:rsidRPr="0030299A" w:rsidRDefault="00222101" w:rsidP="0030299A">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2DD" w:rsidRPr="007622DD" w:rsidRDefault="00536EDB" w:rsidP="007622DD">
    <w:pPr>
      <w:jc w:val="both"/>
      <w:rPr>
        <w:noProof/>
        <w:sz w:val="18"/>
        <w:szCs w:val="18"/>
      </w:rPr>
    </w:pPr>
    <w:fldSimple w:instr=" FILENAME   \* MERGEFORMAT ">
      <w:r w:rsidR="005042A1" w:rsidRPr="005042A1">
        <w:rPr>
          <w:noProof/>
          <w:sz w:val="18"/>
          <w:szCs w:val="18"/>
        </w:rPr>
        <w:t>MKnot464_groz_01102015</w:t>
      </w:r>
    </w:fldSimple>
    <w:r w:rsidR="002F4DEE" w:rsidRPr="007622DD">
      <w:rPr>
        <w:noProof/>
        <w:sz w:val="18"/>
        <w:szCs w:val="18"/>
      </w:rPr>
      <w:t xml:space="preserve">; </w:t>
    </w:r>
    <w:r w:rsidR="007622DD" w:rsidRPr="007622DD">
      <w:rPr>
        <w:noProof/>
        <w:sz w:val="18"/>
        <w:szCs w:val="18"/>
      </w:rPr>
      <w:t>Grozījum</w:t>
    </w:r>
    <w:r w:rsidR="00222101">
      <w:rPr>
        <w:noProof/>
        <w:sz w:val="18"/>
        <w:szCs w:val="18"/>
      </w:rPr>
      <w:t>i</w:t>
    </w:r>
    <w:r w:rsidR="007622DD" w:rsidRPr="007622DD">
      <w:rPr>
        <w:noProof/>
        <w:sz w:val="18"/>
        <w:szCs w:val="18"/>
      </w:rPr>
      <w:t xml:space="preserve"> Ministru kabineta 2010.gada 18.maija noteikumos Nr.464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w:t>
    </w:r>
  </w:p>
  <w:p w:rsidR="00DB213F" w:rsidRPr="002F4DEE" w:rsidRDefault="00DB213F" w:rsidP="004E6FF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4D" w:rsidRDefault="00F75A4D">
      <w:pPr>
        <w:spacing w:after="0"/>
      </w:pPr>
      <w:r>
        <w:separator/>
      </w:r>
    </w:p>
  </w:footnote>
  <w:footnote w:type="continuationSeparator" w:id="0">
    <w:p w:rsidR="00F75A4D" w:rsidRDefault="00F75A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3F"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5042A1">
      <w:rPr>
        <w:noProof/>
        <w:sz w:val="20"/>
        <w:szCs w:val="20"/>
      </w:rPr>
      <w:t>2</w:t>
    </w:r>
    <w:r w:rsidRPr="00627971">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17AFF"/>
    <w:multiLevelType w:val="hybridMultilevel"/>
    <w:tmpl w:val="3440080A"/>
    <w:lvl w:ilvl="0" w:tplc="6D9462A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30A91145"/>
    <w:multiLevelType w:val="multilevel"/>
    <w:tmpl w:val="FED040AC"/>
    <w:lvl w:ilvl="0">
      <w:start w:val="1"/>
      <w:numFmt w:val="decimal"/>
      <w:lvlText w:val="%1."/>
      <w:lvlJc w:val="left"/>
      <w:pPr>
        <w:ind w:left="1495"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385C6E"/>
    <w:multiLevelType w:val="multilevel"/>
    <w:tmpl w:val="FDB8495A"/>
    <w:lvl w:ilvl="0">
      <w:start w:val="1"/>
      <w:numFmt w:val="decimal"/>
      <w:lvlText w:val="%1."/>
      <w:lvlJc w:val="left"/>
      <w:pPr>
        <w:ind w:left="360" w:hanging="360"/>
      </w:pPr>
    </w:lvl>
    <w:lvl w:ilvl="1">
      <w:start w:val="1"/>
      <w:numFmt w:val="decimal"/>
      <w:lvlText w:val="%1.%2."/>
      <w:lvlJc w:val="left"/>
      <w:pPr>
        <w:ind w:left="170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380E83"/>
    <w:multiLevelType w:val="hybridMultilevel"/>
    <w:tmpl w:val="E8386C92"/>
    <w:lvl w:ilvl="0" w:tplc="49D626C0">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78711C"/>
    <w:multiLevelType w:val="hybridMultilevel"/>
    <w:tmpl w:val="18386AE2"/>
    <w:lvl w:ilvl="0" w:tplc="8D00E23E">
      <w:start w:val="11"/>
      <w:numFmt w:val="decimal"/>
      <w:lvlText w:val="%1."/>
      <w:lvlJc w:val="left"/>
      <w:pPr>
        <w:ind w:left="1071" w:hanging="375"/>
      </w:pPr>
      <w:rPr>
        <w:rFonts w:hint="default"/>
      </w:rPr>
    </w:lvl>
    <w:lvl w:ilvl="1" w:tplc="04260019" w:tentative="1">
      <w:start w:val="1"/>
      <w:numFmt w:val="lowerLetter"/>
      <w:lvlText w:val="%2."/>
      <w:lvlJc w:val="left"/>
      <w:pPr>
        <w:ind w:left="1776" w:hanging="360"/>
      </w:pPr>
    </w:lvl>
    <w:lvl w:ilvl="2" w:tplc="0426001B" w:tentative="1">
      <w:start w:val="1"/>
      <w:numFmt w:val="lowerRoman"/>
      <w:lvlText w:val="%3."/>
      <w:lvlJc w:val="right"/>
      <w:pPr>
        <w:ind w:left="2496" w:hanging="180"/>
      </w:pPr>
    </w:lvl>
    <w:lvl w:ilvl="3" w:tplc="0426000F" w:tentative="1">
      <w:start w:val="1"/>
      <w:numFmt w:val="decimal"/>
      <w:lvlText w:val="%4."/>
      <w:lvlJc w:val="left"/>
      <w:pPr>
        <w:ind w:left="3216" w:hanging="360"/>
      </w:pPr>
    </w:lvl>
    <w:lvl w:ilvl="4" w:tplc="04260019" w:tentative="1">
      <w:start w:val="1"/>
      <w:numFmt w:val="lowerLetter"/>
      <w:lvlText w:val="%5."/>
      <w:lvlJc w:val="left"/>
      <w:pPr>
        <w:ind w:left="3936" w:hanging="360"/>
      </w:pPr>
    </w:lvl>
    <w:lvl w:ilvl="5" w:tplc="0426001B" w:tentative="1">
      <w:start w:val="1"/>
      <w:numFmt w:val="lowerRoman"/>
      <w:lvlText w:val="%6."/>
      <w:lvlJc w:val="right"/>
      <w:pPr>
        <w:ind w:left="4656" w:hanging="180"/>
      </w:pPr>
    </w:lvl>
    <w:lvl w:ilvl="6" w:tplc="0426000F" w:tentative="1">
      <w:start w:val="1"/>
      <w:numFmt w:val="decimal"/>
      <w:lvlText w:val="%7."/>
      <w:lvlJc w:val="left"/>
      <w:pPr>
        <w:ind w:left="5376" w:hanging="360"/>
      </w:pPr>
    </w:lvl>
    <w:lvl w:ilvl="7" w:tplc="04260019" w:tentative="1">
      <w:start w:val="1"/>
      <w:numFmt w:val="lowerLetter"/>
      <w:lvlText w:val="%8."/>
      <w:lvlJc w:val="left"/>
      <w:pPr>
        <w:ind w:left="6096" w:hanging="360"/>
      </w:pPr>
    </w:lvl>
    <w:lvl w:ilvl="8" w:tplc="0426001B" w:tentative="1">
      <w:start w:val="1"/>
      <w:numFmt w:val="lowerRoman"/>
      <w:lvlText w:val="%9."/>
      <w:lvlJc w:val="right"/>
      <w:pPr>
        <w:ind w:left="6816" w:hanging="180"/>
      </w:pPr>
    </w:lvl>
  </w:abstractNum>
  <w:num w:numId="1">
    <w:abstractNumId w:val="2"/>
  </w:num>
  <w:num w:numId="2">
    <w:abstractNumId w:val="8"/>
  </w:num>
  <w:num w:numId="3">
    <w:abstractNumId w:val="4"/>
  </w:num>
  <w:num w:numId="4">
    <w:abstractNumId w:val="7"/>
  </w:num>
  <w:num w:numId="5">
    <w:abstractNumId w:val="5"/>
  </w:num>
  <w:num w:numId="6">
    <w:abstractNumId w:val="0"/>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288D"/>
    <w:rsid w:val="00005DA3"/>
    <w:rsid w:val="00020F20"/>
    <w:rsid w:val="00021454"/>
    <w:rsid w:val="0002402F"/>
    <w:rsid w:val="00031205"/>
    <w:rsid w:val="000457AE"/>
    <w:rsid w:val="000460A8"/>
    <w:rsid w:val="00046609"/>
    <w:rsid w:val="000A4B1B"/>
    <w:rsid w:val="000B72BE"/>
    <w:rsid w:val="000D0573"/>
    <w:rsid w:val="000D7751"/>
    <w:rsid w:val="000E0FD5"/>
    <w:rsid w:val="000E1726"/>
    <w:rsid w:val="000E2E67"/>
    <w:rsid w:val="000E4B21"/>
    <w:rsid w:val="000E7176"/>
    <w:rsid w:val="000F0787"/>
    <w:rsid w:val="00101EB7"/>
    <w:rsid w:val="00105796"/>
    <w:rsid w:val="00106CBE"/>
    <w:rsid w:val="00114917"/>
    <w:rsid w:val="00117F3F"/>
    <w:rsid w:val="00125DEE"/>
    <w:rsid w:val="0015380C"/>
    <w:rsid w:val="00153AAD"/>
    <w:rsid w:val="00153E92"/>
    <w:rsid w:val="00154D44"/>
    <w:rsid w:val="00156366"/>
    <w:rsid w:val="001577E1"/>
    <w:rsid w:val="001639BA"/>
    <w:rsid w:val="00166D99"/>
    <w:rsid w:val="00172B60"/>
    <w:rsid w:val="001748D5"/>
    <w:rsid w:val="001845D5"/>
    <w:rsid w:val="00191491"/>
    <w:rsid w:val="001A03B5"/>
    <w:rsid w:val="001C0AA5"/>
    <w:rsid w:val="001C6729"/>
    <w:rsid w:val="001D5D9D"/>
    <w:rsid w:val="001E2AE7"/>
    <w:rsid w:val="001E2C08"/>
    <w:rsid w:val="001E786C"/>
    <w:rsid w:val="00213F3E"/>
    <w:rsid w:val="00222101"/>
    <w:rsid w:val="002569BC"/>
    <w:rsid w:val="002572C6"/>
    <w:rsid w:val="002811F0"/>
    <w:rsid w:val="00294F99"/>
    <w:rsid w:val="00297DFE"/>
    <w:rsid w:val="002B2EC5"/>
    <w:rsid w:val="002C300C"/>
    <w:rsid w:val="002C7060"/>
    <w:rsid w:val="002D043E"/>
    <w:rsid w:val="002D2D48"/>
    <w:rsid w:val="002E01F8"/>
    <w:rsid w:val="002F4DEE"/>
    <w:rsid w:val="0030299A"/>
    <w:rsid w:val="003176FC"/>
    <w:rsid w:val="00363741"/>
    <w:rsid w:val="0037451B"/>
    <w:rsid w:val="003861DA"/>
    <w:rsid w:val="003D0100"/>
    <w:rsid w:val="003D57E6"/>
    <w:rsid w:val="003F0CE7"/>
    <w:rsid w:val="0041248B"/>
    <w:rsid w:val="00413468"/>
    <w:rsid w:val="0041623C"/>
    <w:rsid w:val="004525E5"/>
    <w:rsid w:val="00457D47"/>
    <w:rsid w:val="00462496"/>
    <w:rsid w:val="0046642E"/>
    <w:rsid w:val="004852E6"/>
    <w:rsid w:val="00490E63"/>
    <w:rsid w:val="004A7114"/>
    <w:rsid w:val="004A75FD"/>
    <w:rsid w:val="004B1F2D"/>
    <w:rsid w:val="004B4040"/>
    <w:rsid w:val="004C67E1"/>
    <w:rsid w:val="004D3D7D"/>
    <w:rsid w:val="004D7526"/>
    <w:rsid w:val="004E6FFE"/>
    <w:rsid w:val="004F735D"/>
    <w:rsid w:val="005042A1"/>
    <w:rsid w:val="005125F6"/>
    <w:rsid w:val="00531F18"/>
    <w:rsid w:val="00532345"/>
    <w:rsid w:val="00536EDB"/>
    <w:rsid w:val="00546460"/>
    <w:rsid w:val="0057477B"/>
    <w:rsid w:val="00575662"/>
    <w:rsid w:val="00587806"/>
    <w:rsid w:val="00587EFA"/>
    <w:rsid w:val="005B108C"/>
    <w:rsid w:val="005C0543"/>
    <w:rsid w:val="005C169E"/>
    <w:rsid w:val="005C73F8"/>
    <w:rsid w:val="005F47BC"/>
    <w:rsid w:val="005F531E"/>
    <w:rsid w:val="00603822"/>
    <w:rsid w:val="00603826"/>
    <w:rsid w:val="0061025A"/>
    <w:rsid w:val="00620140"/>
    <w:rsid w:val="00620A80"/>
    <w:rsid w:val="00625FEE"/>
    <w:rsid w:val="00627971"/>
    <w:rsid w:val="006344E6"/>
    <w:rsid w:val="006406DC"/>
    <w:rsid w:val="00653B7E"/>
    <w:rsid w:val="0065782D"/>
    <w:rsid w:val="006818E7"/>
    <w:rsid w:val="0069039A"/>
    <w:rsid w:val="0069236E"/>
    <w:rsid w:val="00695DB6"/>
    <w:rsid w:val="006B2C3E"/>
    <w:rsid w:val="006C424D"/>
    <w:rsid w:val="006D5217"/>
    <w:rsid w:val="006E1938"/>
    <w:rsid w:val="00713EE2"/>
    <w:rsid w:val="00742BD4"/>
    <w:rsid w:val="00754B36"/>
    <w:rsid w:val="007622DD"/>
    <w:rsid w:val="00762A0C"/>
    <w:rsid w:val="00766317"/>
    <w:rsid w:val="00776CE8"/>
    <w:rsid w:val="00786B1E"/>
    <w:rsid w:val="007A2A81"/>
    <w:rsid w:val="007B0974"/>
    <w:rsid w:val="007E1121"/>
    <w:rsid w:val="007E600E"/>
    <w:rsid w:val="007F7AE3"/>
    <w:rsid w:val="008231DD"/>
    <w:rsid w:val="00824B29"/>
    <w:rsid w:val="00826A1F"/>
    <w:rsid w:val="00834ADD"/>
    <w:rsid w:val="008367B2"/>
    <w:rsid w:val="0085197A"/>
    <w:rsid w:val="00851D4C"/>
    <w:rsid w:val="0086393F"/>
    <w:rsid w:val="00865E22"/>
    <w:rsid w:val="008716C8"/>
    <w:rsid w:val="00885968"/>
    <w:rsid w:val="00894D8A"/>
    <w:rsid w:val="008A38F2"/>
    <w:rsid w:val="008E3252"/>
    <w:rsid w:val="00930ABA"/>
    <w:rsid w:val="00936C0B"/>
    <w:rsid w:val="009446BC"/>
    <w:rsid w:val="009469C8"/>
    <w:rsid w:val="00950A6D"/>
    <w:rsid w:val="00953BCF"/>
    <w:rsid w:val="00960895"/>
    <w:rsid w:val="00983068"/>
    <w:rsid w:val="00991184"/>
    <w:rsid w:val="00995D15"/>
    <w:rsid w:val="009963C3"/>
    <w:rsid w:val="009A4659"/>
    <w:rsid w:val="009D43AD"/>
    <w:rsid w:val="009D4A81"/>
    <w:rsid w:val="009D5D90"/>
    <w:rsid w:val="009F1765"/>
    <w:rsid w:val="00A0683E"/>
    <w:rsid w:val="00A1409C"/>
    <w:rsid w:val="00A34959"/>
    <w:rsid w:val="00A402DD"/>
    <w:rsid w:val="00A425A4"/>
    <w:rsid w:val="00A474E5"/>
    <w:rsid w:val="00A567EF"/>
    <w:rsid w:val="00A67AA0"/>
    <w:rsid w:val="00AA2111"/>
    <w:rsid w:val="00AA27C6"/>
    <w:rsid w:val="00AC2309"/>
    <w:rsid w:val="00AC72A9"/>
    <w:rsid w:val="00AD131E"/>
    <w:rsid w:val="00AE5642"/>
    <w:rsid w:val="00AE5ECA"/>
    <w:rsid w:val="00AF2D7F"/>
    <w:rsid w:val="00AF2EE3"/>
    <w:rsid w:val="00AF3A29"/>
    <w:rsid w:val="00AF6805"/>
    <w:rsid w:val="00B06430"/>
    <w:rsid w:val="00B14736"/>
    <w:rsid w:val="00B2344C"/>
    <w:rsid w:val="00B3438A"/>
    <w:rsid w:val="00B35AD3"/>
    <w:rsid w:val="00B46C4E"/>
    <w:rsid w:val="00B521EC"/>
    <w:rsid w:val="00B56CF6"/>
    <w:rsid w:val="00B67C90"/>
    <w:rsid w:val="00B73875"/>
    <w:rsid w:val="00B73E9D"/>
    <w:rsid w:val="00B90C8E"/>
    <w:rsid w:val="00B915EF"/>
    <w:rsid w:val="00BA4017"/>
    <w:rsid w:val="00BB4671"/>
    <w:rsid w:val="00BB50FA"/>
    <w:rsid w:val="00BC1EEF"/>
    <w:rsid w:val="00BC2B79"/>
    <w:rsid w:val="00BC481D"/>
    <w:rsid w:val="00BC5421"/>
    <w:rsid w:val="00BD20B2"/>
    <w:rsid w:val="00BD3543"/>
    <w:rsid w:val="00BD4CEA"/>
    <w:rsid w:val="00BE095C"/>
    <w:rsid w:val="00BE433C"/>
    <w:rsid w:val="00BF605B"/>
    <w:rsid w:val="00C108A3"/>
    <w:rsid w:val="00C1431B"/>
    <w:rsid w:val="00C149A4"/>
    <w:rsid w:val="00C270FF"/>
    <w:rsid w:val="00C35ECA"/>
    <w:rsid w:val="00C41B3A"/>
    <w:rsid w:val="00C437B1"/>
    <w:rsid w:val="00C564E2"/>
    <w:rsid w:val="00C57BEE"/>
    <w:rsid w:val="00C6635C"/>
    <w:rsid w:val="00C679E1"/>
    <w:rsid w:val="00C835B1"/>
    <w:rsid w:val="00C96F7F"/>
    <w:rsid w:val="00CC4164"/>
    <w:rsid w:val="00CF2FD7"/>
    <w:rsid w:val="00D351D6"/>
    <w:rsid w:val="00D417A6"/>
    <w:rsid w:val="00D4643E"/>
    <w:rsid w:val="00D50F35"/>
    <w:rsid w:val="00D51E7E"/>
    <w:rsid w:val="00D539D6"/>
    <w:rsid w:val="00D56703"/>
    <w:rsid w:val="00DA6165"/>
    <w:rsid w:val="00DB0F5C"/>
    <w:rsid w:val="00DB193D"/>
    <w:rsid w:val="00DB213F"/>
    <w:rsid w:val="00DC3CC5"/>
    <w:rsid w:val="00DF124D"/>
    <w:rsid w:val="00DF4EB3"/>
    <w:rsid w:val="00DF5B24"/>
    <w:rsid w:val="00E1186A"/>
    <w:rsid w:val="00E16400"/>
    <w:rsid w:val="00E27609"/>
    <w:rsid w:val="00E27DFC"/>
    <w:rsid w:val="00E52358"/>
    <w:rsid w:val="00E53720"/>
    <w:rsid w:val="00E7730E"/>
    <w:rsid w:val="00E83307"/>
    <w:rsid w:val="00E841E3"/>
    <w:rsid w:val="00E87497"/>
    <w:rsid w:val="00E8783A"/>
    <w:rsid w:val="00E91B9C"/>
    <w:rsid w:val="00EB5862"/>
    <w:rsid w:val="00EB667E"/>
    <w:rsid w:val="00EC4DE3"/>
    <w:rsid w:val="00EC6A57"/>
    <w:rsid w:val="00EE476C"/>
    <w:rsid w:val="00F03580"/>
    <w:rsid w:val="00F648A8"/>
    <w:rsid w:val="00F6687C"/>
    <w:rsid w:val="00F700D1"/>
    <w:rsid w:val="00F7343C"/>
    <w:rsid w:val="00F75A4D"/>
    <w:rsid w:val="00F8043F"/>
    <w:rsid w:val="00F96CB1"/>
    <w:rsid w:val="00FA0E2B"/>
    <w:rsid w:val="00FB2EAC"/>
    <w:rsid w:val="00FB6AFD"/>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 w:type="character" w:styleId="FollowedHyperlink">
    <w:name w:val="FollowedHyperlink"/>
    <w:basedOn w:val="DefaultParagraphFont"/>
    <w:uiPriority w:val="99"/>
    <w:semiHidden/>
    <w:unhideWhenUsed/>
    <w:rsid w:val="00625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6426">
      <w:bodyDiv w:val="1"/>
      <w:marLeft w:val="0"/>
      <w:marRight w:val="0"/>
      <w:marTop w:val="0"/>
      <w:marBottom w:val="0"/>
      <w:divBdr>
        <w:top w:val="none" w:sz="0" w:space="0" w:color="auto"/>
        <w:left w:val="none" w:sz="0" w:space="0" w:color="auto"/>
        <w:bottom w:val="none" w:sz="0" w:space="0" w:color="auto"/>
        <w:right w:val="none" w:sz="0" w:space="0" w:color="auto"/>
      </w:divBdr>
      <w:divsChild>
        <w:div w:id="115685981">
          <w:marLeft w:val="0"/>
          <w:marRight w:val="0"/>
          <w:marTop w:val="0"/>
          <w:marBottom w:val="0"/>
          <w:divBdr>
            <w:top w:val="none" w:sz="0" w:space="0" w:color="auto"/>
            <w:left w:val="none" w:sz="0" w:space="0" w:color="auto"/>
            <w:bottom w:val="none" w:sz="0" w:space="0" w:color="auto"/>
            <w:right w:val="none" w:sz="0" w:space="0" w:color="auto"/>
          </w:divBdr>
          <w:divsChild>
            <w:div w:id="1624848898">
              <w:marLeft w:val="0"/>
              <w:marRight w:val="0"/>
              <w:marTop w:val="0"/>
              <w:marBottom w:val="0"/>
              <w:divBdr>
                <w:top w:val="none" w:sz="0" w:space="0" w:color="auto"/>
                <w:left w:val="none" w:sz="0" w:space="0" w:color="auto"/>
                <w:bottom w:val="none" w:sz="0" w:space="0" w:color="auto"/>
                <w:right w:val="none" w:sz="0" w:space="0" w:color="auto"/>
              </w:divBdr>
              <w:divsChild>
                <w:div w:id="1871651581">
                  <w:marLeft w:val="0"/>
                  <w:marRight w:val="0"/>
                  <w:marTop w:val="0"/>
                  <w:marBottom w:val="0"/>
                  <w:divBdr>
                    <w:top w:val="none" w:sz="0" w:space="0" w:color="auto"/>
                    <w:left w:val="none" w:sz="0" w:space="0" w:color="auto"/>
                    <w:bottom w:val="none" w:sz="0" w:space="0" w:color="auto"/>
                    <w:right w:val="none" w:sz="0" w:space="0" w:color="auto"/>
                  </w:divBdr>
                  <w:divsChild>
                    <w:div w:id="1203398359">
                      <w:marLeft w:val="0"/>
                      <w:marRight w:val="0"/>
                      <w:marTop w:val="0"/>
                      <w:marBottom w:val="0"/>
                      <w:divBdr>
                        <w:top w:val="none" w:sz="0" w:space="0" w:color="auto"/>
                        <w:left w:val="none" w:sz="0" w:space="0" w:color="auto"/>
                        <w:bottom w:val="none" w:sz="0" w:space="0" w:color="auto"/>
                        <w:right w:val="none" w:sz="0" w:space="0" w:color="auto"/>
                      </w:divBdr>
                      <w:divsChild>
                        <w:div w:id="624578073">
                          <w:marLeft w:val="0"/>
                          <w:marRight w:val="0"/>
                          <w:marTop w:val="0"/>
                          <w:marBottom w:val="0"/>
                          <w:divBdr>
                            <w:top w:val="none" w:sz="0" w:space="0" w:color="auto"/>
                            <w:left w:val="none" w:sz="0" w:space="0" w:color="auto"/>
                            <w:bottom w:val="none" w:sz="0" w:space="0" w:color="auto"/>
                            <w:right w:val="none" w:sz="0" w:space="0" w:color="auto"/>
                          </w:divBdr>
                          <w:divsChild>
                            <w:div w:id="1223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2034650396">
      <w:bodyDiv w:val="1"/>
      <w:marLeft w:val="0"/>
      <w:marRight w:val="0"/>
      <w:marTop w:val="0"/>
      <w:marBottom w:val="0"/>
      <w:divBdr>
        <w:top w:val="none" w:sz="0" w:space="0" w:color="auto"/>
        <w:left w:val="none" w:sz="0" w:space="0" w:color="auto"/>
        <w:bottom w:val="none" w:sz="0" w:space="0" w:color="auto"/>
        <w:right w:val="none" w:sz="0" w:space="0" w:color="auto"/>
      </w:divBdr>
      <w:divsChild>
        <w:div w:id="804664594">
          <w:marLeft w:val="0"/>
          <w:marRight w:val="0"/>
          <w:marTop w:val="0"/>
          <w:marBottom w:val="0"/>
          <w:divBdr>
            <w:top w:val="none" w:sz="0" w:space="0" w:color="auto"/>
            <w:left w:val="none" w:sz="0" w:space="0" w:color="auto"/>
            <w:bottom w:val="none" w:sz="0" w:space="0" w:color="auto"/>
            <w:right w:val="none" w:sz="0" w:space="0" w:color="auto"/>
          </w:divBdr>
          <w:divsChild>
            <w:div w:id="1198012004">
              <w:marLeft w:val="0"/>
              <w:marRight w:val="0"/>
              <w:marTop w:val="0"/>
              <w:marBottom w:val="0"/>
              <w:divBdr>
                <w:top w:val="none" w:sz="0" w:space="0" w:color="auto"/>
                <w:left w:val="none" w:sz="0" w:space="0" w:color="auto"/>
                <w:bottom w:val="none" w:sz="0" w:space="0" w:color="auto"/>
                <w:right w:val="none" w:sz="0" w:space="0" w:color="auto"/>
              </w:divBdr>
              <w:divsChild>
                <w:div w:id="893733561">
                  <w:marLeft w:val="0"/>
                  <w:marRight w:val="0"/>
                  <w:marTop w:val="0"/>
                  <w:marBottom w:val="0"/>
                  <w:divBdr>
                    <w:top w:val="none" w:sz="0" w:space="0" w:color="auto"/>
                    <w:left w:val="none" w:sz="0" w:space="0" w:color="auto"/>
                    <w:bottom w:val="none" w:sz="0" w:space="0" w:color="auto"/>
                    <w:right w:val="none" w:sz="0" w:space="0" w:color="auto"/>
                  </w:divBdr>
                  <w:divsChild>
                    <w:div w:id="756102085">
                      <w:marLeft w:val="0"/>
                      <w:marRight w:val="0"/>
                      <w:marTop w:val="0"/>
                      <w:marBottom w:val="0"/>
                      <w:divBdr>
                        <w:top w:val="none" w:sz="0" w:space="0" w:color="auto"/>
                        <w:left w:val="none" w:sz="0" w:space="0" w:color="auto"/>
                        <w:bottom w:val="none" w:sz="0" w:space="0" w:color="auto"/>
                        <w:right w:val="none" w:sz="0" w:space="0" w:color="auto"/>
                      </w:divBdr>
                      <w:divsChild>
                        <w:div w:id="1192953911">
                          <w:marLeft w:val="0"/>
                          <w:marRight w:val="0"/>
                          <w:marTop w:val="0"/>
                          <w:marBottom w:val="0"/>
                          <w:divBdr>
                            <w:top w:val="none" w:sz="0" w:space="0" w:color="auto"/>
                            <w:left w:val="none" w:sz="0" w:space="0" w:color="auto"/>
                            <w:bottom w:val="none" w:sz="0" w:space="0" w:color="auto"/>
                            <w:right w:val="none" w:sz="0" w:space="0" w:color="auto"/>
                          </w:divBdr>
                          <w:divsChild>
                            <w:div w:id="8554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58057-likums-par-budzetu-un-finansu-vadibu" TargetMode="External"/><Relationship Id="rId4" Type="http://schemas.microsoft.com/office/2007/relationships/stylesWithEffects" Target="stylesWithEffects.xml"/><Relationship Id="rId9" Type="http://schemas.openxmlformats.org/officeDocument/2006/relationships/hyperlink" Target="http://likumi.lv/ta/id/58057-likums-par-budzetu-un-finansu-vadib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29A4-E01E-44E2-987E-040D301F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2905</Words>
  <Characters>1657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Grozījums Ministru kabineta 2010.gada 18.maija noteikumos Nr.464 "Noteikumi par 74. resora "Gadskārtējā valsts budžeta izpildes procesā pārdalāmais finansējums" 80.00.00 programmā plānoto līdzekļu pārdales kārtību Eiropas Savienības politiku instrumentu u</vt:lpstr>
    </vt:vector>
  </TitlesOfParts>
  <Company>Latvenergo</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18.maija noteikumos Nr.464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dc:title>
  <dc:creator>Gunita Kupča</dc:creator>
  <cp:keywords>MK noteikumu projekts</cp:keywords>
  <cp:lastModifiedBy>Gunita Kupča</cp:lastModifiedBy>
  <cp:revision>6</cp:revision>
  <cp:lastPrinted>2015-10-05T08:11:00Z</cp:lastPrinted>
  <dcterms:created xsi:type="dcterms:W3CDTF">2015-09-29T08:06:00Z</dcterms:created>
  <dcterms:modified xsi:type="dcterms:W3CDTF">2015-10-05T08:11:00Z</dcterms:modified>
</cp:coreProperties>
</file>