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4A" w:rsidRPr="0080614A" w:rsidRDefault="0080614A" w:rsidP="0080614A">
      <w:pPr>
        <w:spacing w:after="0"/>
        <w:jc w:val="right"/>
        <w:rPr>
          <w:bCs/>
          <w:sz w:val="24"/>
          <w:szCs w:val="24"/>
        </w:rPr>
      </w:pPr>
      <w:bookmarkStart w:id="0" w:name="_GoBack"/>
      <w:bookmarkEnd w:id="0"/>
      <w:r w:rsidRPr="0080614A">
        <w:rPr>
          <w:bCs/>
          <w:sz w:val="24"/>
          <w:szCs w:val="24"/>
          <w:lang w:val="x-none"/>
        </w:rPr>
        <w:t xml:space="preserve">Ministru kabineta noteikumu projekta </w:t>
      </w:r>
    </w:p>
    <w:p w:rsidR="0080614A" w:rsidRDefault="0080614A" w:rsidP="0080614A">
      <w:pPr>
        <w:spacing w:after="0"/>
        <w:jc w:val="right"/>
        <w:rPr>
          <w:sz w:val="24"/>
          <w:szCs w:val="24"/>
        </w:rPr>
      </w:pPr>
      <w:r w:rsidRPr="0080614A">
        <w:rPr>
          <w:bCs/>
          <w:sz w:val="24"/>
          <w:szCs w:val="24"/>
          <w:lang w:val="x-none"/>
        </w:rPr>
        <w:t>„</w:t>
      </w:r>
      <w:r w:rsidRPr="0080614A">
        <w:rPr>
          <w:sz w:val="24"/>
          <w:szCs w:val="24"/>
          <w:lang w:val="x-none"/>
        </w:rPr>
        <w:t>Grozījum</w:t>
      </w:r>
      <w:r w:rsidRPr="0080614A">
        <w:rPr>
          <w:sz w:val="24"/>
          <w:szCs w:val="24"/>
        </w:rPr>
        <w:t>i</w:t>
      </w:r>
      <w:r w:rsidRPr="0080614A">
        <w:rPr>
          <w:sz w:val="24"/>
          <w:szCs w:val="24"/>
          <w:lang w:val="x-none"/>
        </w:rPr>
        <w:t xml:space="preserve"> Ministru kabineta 2010.gada 18.maija</w:t>
      </w:r>
    </w:p>
    <w:p w:rsidR="0080614A" w:rsidRDefault="0080614A" w:rsidP="0080614A">
      <w:pPr>
        <w:spacing w:after="0"/>
        <w:jc w:val="right"/>
        <w:rPr>
          <w:bCs/>
          <w:sz w:val="24"/>
          <w:szCs w:val="24"/>
        </w:rPr>
      </w:pPr>
      <w:r w:rsidRPr="0080614A">
        <w:rPr>
          <w:sz w:val="24"/>
          <w:szCs w:val="24"/>
          <w:lang w:val="x-none"/>
        </w:rPr>
        <w:t xml:space="preserve"> noteikumos Nr.464 „</w:t>
      </w:r>
      <w:r w:rsidRPr="0080614A">
        <w:rPr>
          <w:bCs/>
          <w:sz w:val="24"/>
          <w:szCs w:val="24"/>
          <w:lang w:val="x-none"/>
        </w:rPr>
        <w:t>Noteikumi par</w:t>
      </w:r>
      <w:r w:rsidRPr="0080614A">
        <w:rPr>
          <w:bCs/>
          <w:sz w:val="24"/>
          <w:szCs w:val="24"/>
        </w:rPr>
        <w:t xml:space="preserve"> 74.resora</w:t>
      </w:r>
    </w:p>
    <w:p w:rsidR="0080614A" w:rsidRDefault="0080614A" w:rsidP="0080614A">
      <w:pPr>
        <w:spacing w:after="0"/>
        <w:jc w:val="right"/>
        <w:rPr>
          <w:bCs/>
          <w:sz w:val="24"/>
          <w:szCs w:val="24"/>
        </w:rPr>
      </w:pPr>
      <w:r w:rsidRPr="0080614A">
        <w:rPr>
          <w:bCs/>
          <w:sz w:val="24"/>
          <w:szCs w:val="24"/>
        </w:rPr>
        <w:t xml:space="preserve"> „Gadskārtējā valsts budžeta izpildes procesā</w:t>
      </w:r>
    </w:p>
    <w:p w:rsidR="0080614A" w:rsidRDefault="0080614A" w:rsidP="0080614A">
      <w:pPr>
        <w:spacing w:after="0"/>
        <w:jc w:val="right"/>
        <w:rPr>
          <w:bCs/>
          <w:sz w:val="24"/>
          <w:szCs w:val="24"/>
        </w:rPr>
      </w:pPr>
      <w:r w:rsidRPr="0080614A">
        <w:rPr>
          <w:bCs/>
          <w:sz w:val="24"/>
          <w:szCs w:val="24"/>
        </w:rPr>
        <w:t xml:space="preserve"> pārdalāmais</w:t>
      </w:r>
      <w:r>
        <w:rPr>
          <w:bCs/>
          <w:sz w:val="24"/>
          <w:szCs w:val="24"/>
        </w:rPr>
        <w:t xml:space="preserve"> </w:t>
      </w:r>
      <w:r w:rsidRPr="0080614A">
        <w:rPr>
          <w:bCs/>
          <w:sz w:val="24"/>
          <w:szCs w:val="24"/>
        </w:rPr>
        <w:t xml:space="preserve"> finansējums”</w:t>
      </w:r>
      <w:r w:rsidRPr="0080614A">
        <w:rPr>
          <w:bCs/>
          <w:sz w:val="24"/>
          <w:szCs w:val="24"/>
          <w:lang w:val="x-none"/>
        </w:rPr>
        <w:t xml:space="preserve"> 80.00.00 programm</w:t>
      </w:r>
      <w:r w:rsidRPr="0080614A">
        <w:rPr>
          <w:bCs/>
          <w:sz w:val="24"/>
          <w:szCs w:val="24"/>
        </w:rPr>
        <w:t>ā</w:t>
      </w:r>
    </w:p>
    <w:p w:rsidR="0080614A" w:rsidRDefault="0080614A" w:rsidP="0080614A">
      <w:pPr>
        <w:spacing w:after="0"/>
        <w:jc w:val="right"/>
        <w:rPr>
          <w:bCs/>
          <w:sz w:val="24"/>
          <w:szCs w:val="24"/>
        </w:rPr>
      </w:pPr>
      <w:r w:rsidRPr="0080614A">
        <w:rPr>
          <w:bCs/>
          <w:sz w:val="24"/>
          <w:szCs w:val="24"/>
        </w:rPr>
        <w:t xml:space="preserve"> plānoto līdzekļu pārdales kārtību Eiropas Savienības</w:t>
      </w:r>
    </w:p>
    <w:p w:rsidR="0080614A" w:rsidRDefault="0080614A" w:rsidP="0080614A">
      <w:pPr>
        <w:spacing w:after="0"/>
        <w:jc w:val="right"/>
        <w:rPr>
          <w:bCs/>
          <w:sz w:val="24"/>
          <w:szCs w:val="24"/>
        </w:rPr>
      </w:pPr>
      <w:r w:rsidRPr="0080614A">
        <w:rPr>
          <w:bCs/>
          <w:sz w:val="24"/>
          <w:szCs w:val="24"/>
        </w:rPr>
        <w:t xml:space="preserve"> politiku instrumentu un pārējās ārvalstu finanšu</w:t>
      </w:r>
    </w:p>
    <w:p w:rsidR="0080614A" w:rsidRDefault="0080614A" w:rsidP="0080614A">
      <w:pPr>
        <w:spacing w:after="0"/>
        <w:jc w:val="right"/>
        <w:rPr>
          <w:bCs/>
          <w:sz w:val="24"/>
          <w:szCs w:val="24"/>
        </w:rPr>
      </w:pPr>
      <w:r w:rsidRPr="0080614A">
        <w:rPr>
          <w:bCs/>
          <w:sz w:val="24"/>
          <w:szCs w:val="24"/>
        </w:rPr>
        <w:t xml:space="preserve"> palīdzības līdzfinansēto projektu</w:t>
      </w:r>
      <w:r>
        <w:rPr>
          <w:bCs/>
          <w:sz w:val="24"/>
          <w:szCs w:val="24"/>
        </w:rPr>
        <w:t xml:space="preserve"> </w:t>
      </w:r>
      <w:r w:rsidRPr="0080614A">
        <w:rPr>
          <w:bCs/>
          <w:sz w:val="24"/>
          <w:szCs w:val="24"/>
        </w:rPr>
        <w:t xml:space="preserve">un pasākumu </w:t>
      </w:r>
    </w:p>
    <w:p w:rsidR="0080614A" w:rsidRDefault="0080614A" w:rsidP="0080614A">
      <w:pPr>
        <w:spacing w:after="0"/>
        <w:jc w:val="right"/>
        <w:rPr>
          <w:sz w:val="24"/>
          <w:szCs w:val="24"/>
        </w:rPr>
      </w:pPr>
      <w:r w:rsidRPr="0080614A">
        <w:rPr>
          <w:bCs/>
          <w:sz w:val="24"/>
          <w:szCs w:val="24"/>
        </w:rPr>
        <w:t>īstenošanai””</w:t>
      </w:r>
      <w:r w:rsidRPr="0080614A">
        <w:rPr>
          <w:sz w:val="24"/>
          <w:szCs w:val="24"/>
          <w:lang w:val="x-none"/>
        </w:rPr>
        <w:t xml:space="preserve"> sākotnējās ietekmes novērtējuma </w:t>
      </w:r>
    </w:p>
    <w:p w:rsidR="00290E48" w:rsidRPr="0080614A" w:rsidRDefault="0080614A" w:rsidP="0080614A">
      <w:pPr>
        <w:spacing w:after="0"/>
        <w:jc w:val="right"/>
        <w:rPr>
          <w:bCs/>
          <w:sz w:val="24"/>
          <w:szCs w:val="24"/>
        </w:rPr>
      </w:pPr>
      <w:r w:rsidRPr="0080614A">
        <w:rPr>
          <w:sz w:val="24"/>
          <w:szCs w:val="24"/>
          <w:lang w:val="x-none"/>
        </w:rPr>
        <w:t>ziņojum</w:t>
      </w:r>
      <w:r>
        <w:rPr>
          <w:sz w:val="24"/>
          <w:szCs w:val="24"/>
        </w:rPr>
        <w:t>a</w:t>
      </w:r>
      <w:r w:rsidRPr="0080614A">
        <w:rPr>
          <w:sz w:val="24"/>
          <w:szCs w:val="24"/>
          <w:lang w:val="x-none"/>
        </w:rPr>
        <w:t xml:space="preserve"> (anotācija</w:t>
      </w:r>
      <w:r>
        <w:rPr>
          <w:sz w:val="24"/>
          <w:szCs w:val="24"/>
        </w:rPr>
        <w:t>s</w:t>
      </w:r>
      <w:r w:rsidRPr="0080614A">
        <w:rPr>
          <w:sz w:val="24"/>
          <w:szCs w:val="24"/>
          <w:lang w:val="x-none"/>
        </w:rPr>
        <w:t>)</w:t>
      </w:r>
      <w:r>
        <w:rPr>
          <w:bCs/>
          <w:sz w:val="24"/>
          <w:szCs w:val="24"/>
        </w:rPr>
        <w:t xml:space="preserve"> p</w:t>
      </w:r>
      <w:r w:rsidR="00290E48" w:rsidRPr="0080614A">
        <w:rPr>
          <w:sz w:val="24"/>
          <w:szCs w:val="24"/>
        </w:rPr>
        <w:t xml:space="preserve">ielikums </w:t>
      </w:r>
    </w:p>
    <w:p w:rsidR="00290E48" w:rsidRDefault="00290E48" w:rsidP="00E7437C">
      <w:pPr>
        <w:spacing w:after="0"/>
        <w:jc w:val="center"/>
        <w:rPr>
          <w:b/>
          <w:sz w:val="24"/>
          <w:szCs w:val="24"/>
        </w:rPr>
      </w:pPr>
    </w:p>
    <w:p w:rsidR="00E7437C" w:rsidRPr="00100665" w:rsidRDefault="00104247" w:rsidP="00E7437C">
      <w:pPr>
        <w:spacing w:after="0"/>
        <w:jc w:val="center"/>
        <w:rPr>
          <w:b/>
          <w:sz w:val="24"/>
          <w:szCs w:val="24"/>
        </w:rPr>
      </w:pPr>
      <w:r w:rsidRPr="00100665">
        <w:rPr>
          <w:b/>
          <w:sz w:val="24"/>
          <w:szCs w:val="24"/>
        </w:rPr>
        <w:t xml:space="preserve">Satiksmes ministrijas </w:t>
      </w:r>
      <w:r w:rsidR="00E7437C" w:rsidRPr="00100665">
        <w:rPr>
          <w:b/>
          <w:sz w:val="24"/>
          <w:szCs w:val="24"/>
        </w:rPr>
        <w:t>ziņojums</w:t>
      </w:r>
    </w:p>
    <w:p w:rsidR="00E7437C" w:rsidRPr="00100665" w:rsidRDefault="00104247" w:rsidP="00E7437C">
      <w:pPr>
        <w:spacing w:after="0"/>
        <w:jc w:val="center"/>
        <w:rPr>
          <w:b/>
          <w:sz w:val="24"/>
          <w:szCs w:val="24"/>
        </w:rPr>
      </w:pPr>
      <w:r w:rsidRPr="00100665">
        <w:rPr>
          <w:b/>
          <w:sz w:val="24"/>
          <w:szCs w:val="24"/>
        </w:rPr>
        <w:t>p</w:t>
      </w:r>
      <w:r w:rsidR="00E7437C" w:rsidRPr="00100665">
        <w:rPr>
          <w:b/>
          <w:sz w:val="24"/>
          <w:szCs w:val="24"/>
        </w:rPr>
        <w:t xml:space="preserve">ar </w:t>
      </w:r>
      <w:r w:rsidR="007D62FF" w:rsidRPr="00100665">
        <w:rPr>
          <w:b/>
          <w:sz w:val="24"/>
          <w:szCs w:val="24"/>
        </w:rPr>
        <w:t xml:space="preserve">priekšlikumiem </w:t>
      </w:r>
      <w:r w:rsidR="00E7437C" w:rsidRPr="00100665">
        <w:rPr>
          <w:b/>
          <w:sz w:val="24"/>
          <w:szCs w:val="24"/>
        </w:rPr>
        <w:t>ātrākai projektu apstiprināšanai un to sekmīgai īstenošanai Eiropas Savienības fondu darbības programmas „Izaugsme un nodarbinātība” 6.3.1.specifiskā atbalsta mērķa „Palielināt reģionālo mobilitāti uzlabojot valsts reģionālo autoceļu kvalitāti” ietvaros</w:t>
      </w:r>
      <w:r w:rsidR="007D62FF" w:rsidRPr="00100665">
        <w:rPr>
          <w:b/>
          <w:sz w:val="24"/>
          <w:szCs w:val="24"/>
        </w:rPr>
        <w:t xml:space="preserve"> un risku</w:t>
      </w:r>
      <w:r w:rsidR="007D62FF" w:rsidRPr="00100665">
        <w:rPr>
          <w:sz w:val="24"/>
          <w:szCs w:val="24"/>
        </w:rPr>
        <w:t xml:space="preserve">  </w:t>
      </w:r>
      <w:r w:rsidR="007D62FF" w:rsidRPr="00100665">
        <w:rPr>
          <w:b/>
          <w:sz w:val="24"/>
          <w:szCs w:val="24"/>
        </w:rPr>
        <w:t>mazinošiem pasākumiem</w:t>
      </w:r>
    </w:p>
    <w:p w:rsidR="007D62FF" w:rsidRPr="00100665" w:rsidRDefault="007D62FF" w:rsidP="00E7437C">
      <w:pPr>
        <w:ind w:firstLine="720"/>
        <w:jc w:val="both"/>
        <w:rPr>
          <w:sz w:val="24"/>
          <w:szCs w:val="24"/>
        </w:rPr>
      </w:pPr>
    </w:p>
    <w:p w:rsidR="00E7437C" w:rsidRPr="00100665" w:rsidRDefault="00E7437C" w:rsidP="00E7437C">
      <w:pPr>
        <w:ind w:firstLine="720"/>
        <w:jc w:val="both"/>
        <w:rPr>
          <w:sz w:val="24"/>
          <w:szCs w:val="24"/>
        </w:rPr>
      </w:pPr>
      <w:r w:rsidRPr="00100665">
        <w:rPr>
          <w:sz w:val="24"/>
          <w:szCs w:val="24"/>
        </w:rPr>
        <w:t xml:space="preserve">1. </w:t>
      </w:r>
      <w:r w:rsidR="00104247" w:rsidRPr="00100665">
        <w:rPr>
          <w:sz w:val="24"/>
          <w:szCs w:val="24"/>
        </w:rPr>
        <w:t>Z</w:t>
      </w:r>
      <w:r w:rsidRPr="00100665">
        <w:rPr>
          <w:sz w:val="24"/>
          <w:szCs w:val="24"/>
        </w:rPr>
        <w:t>iņojums ir sagatavots</w:t>
      </w:r>
      <w:r w:rsidR="00D61E0A">
        <w:rPr>
          <w:sz w:val="24"/>
          <w:szCs w:val="24"/>
        </w:rPr>
        <w:t>,</w:t>
      </w:r>
      <w:r w:rsidRPr="00100665">
        <w:rPr>
          <w:sz w:val="24"/>
          <w:szCs w:val="24"/>
        </w:rPr>
        <w:t xml:space="preserve"> pamatojoties uz Koalīcijas partneru darba grupas  Par Eiropas Savienības struktūrfondu un Kohēzijas fonda jautājumiem 2015.gada 17.septembra sēdē nolemto, saistībā ar līdzekļu pieejamību </w:t>
      </w:r>
      <w:r w:rsidR="00D61E0A">
        <w:rPr>
          <w:sz w:val="24"/>
          <w:szCs w:val="24"/>
        </w:rPr>
        <w:t xml:space="preserve">ātrāk uzsākamā </w:t>
      </w:r>
      <w:r w:rsidRPr="00100665">
        <w:rPr>
          <w:sz w:val="24"/>
          <w:szCs w:val="24"/>
        </w:rPr>
        <w:t xml:space="preserve">6.3.1. specifikā atbalsta mērķa “Palielināt reģionālo mobilitāti, uzlabojot valsts reģionālo autoceļu kvalitāti” (turpmāk SAM 6.3.1.)  </w:t>
      </w:r>
      <w:r w:rsidR="0039274F" w:rsidRPr="00100665">
        <w:rPr>
          <w:sz w:val="24"/>
          <w:szCs w:val="24"/>
        </w:rPr>
        <w:t>projekt</w:t>
      </w:r>
      <w:r w:rsidR="0039274F">
        <w:rPr>
          <w:sz w:val="24"/>
          <w:szCs w:val="24"/>
        </w:rPr>
        <w:t>u īstenošanai</w:t>
      </w:r>
      <w:r w:rsidR="0039274F" w:rsidRPr="00100665">
        <w:rPr>
          <w:sz w:val="24"/>
          <w:szCs w:val="24"/>
        </w:rPr>
        <w:t xml:space="preserve"> </w:t>
      </w:r>
      <w:r w:rsidRPr="00100665">
        <w:rPr>
          <w:sz w:val="24"/>
          <w:szCs w:val="24"/>
        </w:rPr>
        <w:t>pirms</w:t>
      </w:r>
      <w:r w:rsidR="00D61E0A">
        <w:rPr>
          <w:sz w:val="24"/>
          <w:szCs w:val="24"/>
        </w:rPr>
        <w:t xml:space="preserve"> </w:t>
      </w:r>
      <w:r w:rsidRPr="00100665">
        <w:rPr>
          <w:sz w:val="24"/>
          <w:szCs w:val="24"/>
        </w:rPr>
        <w:t>to apstiprināšanas</w:t>
      </w:r>
      <w:r w:rsidR="0039274F">
        <w:rPr>
          <w:sz w:val="24"/>
          <w:szCs w:val="24"/>
        </w:rPr>
        <w:t xml:space="preserve"> </w:t>
      </w:r>
      <w:r w:rsidR="0039274F" w:rsidRPr="0039274F">
        <w:rPr>
          <w:sz w:val="24"/>
          <w:szCs w:val="24"/>
        </w:rPr>
        <w:t>Ministru kabineta 2014.gada 16.decembra noteikumu Nr.784 “Kārtība, kādā Eiropas Savienības struktūrfondu un Kohēzijas fonda vadībā iesaistītās institūcijas nodrošina plānošanas dokumentu sagatavošanu un šo fondu ieviešanu 2014.–2020.gada plānošanas periodā” noteiktā kārtībā</w:t>
      </w:r>
      <w:r w:rsidRPr="00100665">
        <w:rPr>
          <w:sz w:val="24"/>
          <w:szCs w:val="24"/>
        </w:rPr>
        <w:t>.</w:t>
      </w:r>
    </w:p>
    <w:p w:rsidR="00E7437C" w:rsidRPr="00100665" w:rsidRDefault="00E7437C" w:rsidP="00E7437C">
      <w:pPr>
        <w:jc w:val="both"/>
        <w:rPr>
          <w:sz w:val="24"/>
          <w:szCs w:val="24"/>
        </w:rPr>
      </w:pPr>
      <w:r w:rsidRPr="00100665">
        <w:rPr>
          <w:sz w:val="24"/>
          <w:szCs w:val="24"/>
        </w:rPr>
        <w:tab/>
        <w:t>2. Saskaņā ar Darbības programmas papildinājumā paredzēto specifisko atbalsta mērķu  ieviešanas laika grafiku SAM 6.3.1. īstenošanas noteikumu izstrāde un virzība apstiprināšanai Ministru kabinetā paredzēta 2016.gada pirmajā pusē</w:t>
      </w:r>
      <w:r w:rsidR="007D62FF" w:rsidRPr="00100665">
        <w:rPr>
          <w:sz w:val="24"/>
          <w:szCs w:val="24"/>
        </w:rPr>
        <w:t xml:space="preserve"> </w:t>
      </w:r>
      <w:r w:rsidR="007D62FF" w:rsidRPr="00411B8F">
        <w:rPr>
          <w:sz w:val="24"/>
          <w:szCs w:val="24"/>
        </w:rPr>
        <w:t xml:space="preserve">(skat. </w:t>
      </w:r>
      <w:r w:rsidR="001B7E37" w:rsidRPr="00411B8F">
        <w:rPr>
          <w:sz w:val="24"/>
          <w:szCs w:val="24"/>
        </w:rPr>
        <w:t xml:space="preserve">pielikumu </w:t>
      </w:r>
      <w:r w:rsidR="007D62FF" w:rsidRPr="00411B8F">
        <w:rPr>
          <w:sz w:val="24"/>
          <w:szCs w:val="24"/>
        </w:rPr>
        <w:t xml:space="preserve">nr.1) </w:t>
      </w:r>
      <w:r w:rsidRPr="00411B8F">
        <w:rPr>
          <w:sz w:val="24"/>
          <w:szCs w:val="24"/>
        </w:rPr>
        <w:t>.</w:t>
      </w:r>
    </w:p>
    <w:p w:rsidR="004E2631" w:rsidRPr="004E2631" w:rsidRDefault="00E7437C" w:rsidP="004E2631">
      <w:pPr>
        <w:ind w:firstLine="720"/>
        <w:jc w:val="both"/>
        <w:rPr>
          <w:bCs/>
          <w:sz w:val="24"/>
          <w:szCs w:val="24"/>
        </w:rPr>
      </w:pPr>
      <w:r w:rsidRPr="00100665">
        <w:rPr>
          <w:sz w:val="24"/>
          <w:szCs w:val="24"/>
        </w:rPr>
        <w:t xml:space="preserve">3. </w:t>
      </w:r>
      <w:r w:rsidR="0039274F">
        <w:rPr>
          <w:sz w:val="24"/>
          <w:szCs w:val="24"/>
        </w:rPr>
        <w:t>Atbilstoši</w:t>
      </w:r>
      <w:r w:rsidRPr="00100665">
        <w:rPr>
          <w:sz w:val="24"/>
          <w:szCs w:val="24"/>
        </w:rPr>
        <w:t xml:space="preserve"> 2014.gada 13.oktobra Ministru kabineta rīkojum</w:t>
      </w:r>
      <w:r w:rsidR="0039274F">
        <w:rPr>
          <w:sz w:val="24"/>
          <w:szCs w:val="24"/>
        </w:rPr>
        <w:t>am</w:t>
      </w:r>
      <w:r w:rsidRPr="00100665">
        <w:rPr>
          <w:sz w:val="24"/>
          <w:szCs w:val="24"/>
        </w:rPr>
        <w:t xml:space="preserve"> Nr.573 (turpmāk – MK rīkojums Nr.573)</w:t>
      </w:r>
      <w:r w:rsidR="0039274F">
        <w:rPr>
          <w:sz w:val="24"/>
          <w:szCs w:val="24"/>
        </w:rPr>
        <w:t>, ar kuru</w:t>
      </w:r>
      <w:r w:rsidRPr="00100665">
        <w:rPr>
          <w:sz w:val="24"/>
          <w:szCs w:val="24"/>
        </w:rPr>
        <w:t xml:space="preserve"> tika atbalstīta SAM 6.3.1. ietvaros paredzēto atbalstāmo darbību - projektu priekšlikumu īstenošana pirms projekta iesnieguma apstiprināšanas, ievērojot Eiropas Savienības un Latvijas Republikas tiesību aktus, tai skaitā publisko iepirkumu, budžeta plānošanu un izpildi regulējošos tiesību aktus, 2015.gada 18.februārī Satiksmes ministrijā SAM 6.3.1. ietvaros tika apstiprināti 7 projektu priekšlikumi 53 508 000 </w:t>
      </w:r>
      <w:proofErr w:type="spellStart"/>
      <w:r w:rsidRPr="00100665">
        <w:rPr>
          <w:sz w:val="24"/>
          <w:szCs w:val="24"/>
        </w:rPr>
        <w:t>euro</w:t>
      </w:r>
      <w:proofErr w:type="spellEnd"/>
      <w:r w:rsidRPr="00100665">
        <w:rPr>
          <w:sz w:val="24"/>
          <w:szCs w:val="24"/>
        </w:rPr>
        <w:t xml:space="preserve"> apjomā (t.sk. ERAF </w:t>
      </w:r>
      <w:r w:rsidRPr="00100665">
        <w:rPr>
          <w:bCs/>
          <w:sz w:val="24"/>
          <w:szCs w:val="24"/>
        </w:rPr>
        <w:t xml:space="preserve">45 481 800 </w:t>
      </w:r>
      <w:proofErr w:type="spellStart"/>
      <w:r w:rsidRPr="00100665">
        <w:rPr>
          <w:bCs/>
          <w:sz w:val="24"/>
          <w:szCs w:val="24"/>
        </w:rPr>
        <w:t>euro</w:t>
      </w:r>
      <w:proofErr w:type="spellEnd"/>
      <w:r w:rsidRPr="00100665">
        <w:rPr>
          <w:bCs/>
          <w:sz w:val="24"/>
          <w:szCs w:val="24"/>
        </w:rPr>
        <w:t>)</w:t>
      </w:r>
      <w:r w:rsidR="004E2631">
        <w:rPr>
          <w:bCs/>
          <w:sz w:val="24"/>
          <w:szCs w:val="24"/>
        </w:rPr>
        <w:t xml:space="preserve">, </w:t>
      </w:r>
      <w:r w:rsidR="004E2631" w:rsidRPr="004E2631">
        <w:rPr>
          <w:bCs/>
          <w:sz w:val="24"/>
          <w:szCs w:val="24"/>
        </w:rPr>
        <w:t>vienlaikus projektu apstiprināšana sadarbības iestādē Centrālajā finanšu un līgumu aģentūrā, kamēr nav apstiprināti Ministru kabineta noteikumi par SAM 6.3.1. īstenošanu, nav notikusi.</w:t>
      </w:r>
    </w:p>
    <w:p w:rsidR="008A4FC4" w:rsidRDefault="00E7437C" w:rsidP="00E7437C">
      <w:pPr>
        <w:ind w:firstLine="720"/>
        <w:jc w:val="both"/>
        <w:rPr>
          <w:bCs/>
          <w:sz w:val="24"/>
          <w:szCs w:val="24"/>
        </w:rPr>
      </w:pPr>
      <w:r w:rsidRPr="00100665">
        <w:rPr>
          <w:bCs/>
          <w:sz w:val="24"/>
          <w:szCs w:val="24"/>
        </w:rPr>
        <w:t xml:space="preserve">4. </w:t>
      </w:r>
      <w:r w:rsidR="00874668">
        <w:rPr>
          <w:bCs/>
          <w:sz w:val="24"/>
          <w:szCs w:val="24"/>
        </w:rPr>
        <w:t>Ievērojot</w:t>
      </w:r>
      <w:r w:rsidR="008A4FC4">
        <w:rPr>
          <w:bCs/>
          <w:sz w:val="24"/>
          <w:szCs w:val="24"/>
        </w:rPr>
        <w:t xml:space="preserve"> Eiropas Savienības fondu Vadošās iestādes norādījumus un sniegtos skaidrojumus</w:t>
      </w:r>
      <w:r w:rsidR="00874668">
        <w:rPr>
          <w:bCs/>
          <w:sz w:val="24"/>
          <w:szCs w:val="24"/>
        </w:rPr>
        <w:t xml:space="preserve"> par sākotnējo novērtējumu izstrādi</w:t>
      </w:r>
      <w:r w:rsidR="008A4FC4">
        <w:rPr>
          <w:bCs/>
          <w:sz w:val="24"/>
          <w:szCs w:val="24"/>
        </w:rPr>
        <w:t xml:space="preserve">, Satiksmes ministrija 2014.gada beigās uzsāka SAM ieviešanas noteikumu projekta un </w:t>
      </w:r>
      <w:r w:rsidR="00874668">
        <w:rPr>
          <w:bCs/>
          <w:sz w:val="24"/>
          <w:szCs w:val="24"/>
        </w:rPr>
        <w:t xml:space="preserve">to </w:t>
      </w:r>
      <w:r w:rsidR="008A4FC4">
        <w:rPr>
          <w:bCs/>
          <w:sz w:val="24"/>
          <w:szCs w:val="24"/>
        </w:rPr>
        <w:t xml:space="preserve">pamatojošā </w:t>
      </w:r>
      <w:r w:rsidR="00874668">
        <w:rPr>
          <w:bCs/>
          <w:sz w:val="24"/>
          <w:szCs w:val="24"/>
        </w:rPr>
        <w:t xml:space="preserve">paplašinātā </w:t>
      </w:r>
      <w:r w:rsidR="008A4FC4">
        <w:rPr>
          <w:bCs/>
          <w:sz w:val="24"/>
          <w:szCs w:val="24"/>
        </w:rPr>
        <w:t>sākotnējā novērtējuma</w:t>
      </w:r>
      <w:r w:rsidR="00874668">
        <w:rPr>
          <w:bCs/>
          <w:sz w:val="24"/>
          <w:szCs w:val="24"/>
        </w:rPr>
        <w:t xml:space="preserve"> izstrādes darba uzdevuma sagatavošanu.</w:t>
      </w:r>
    </w:p>
    <w:p w:rsidR="00874668" w:rsidRDefault="00874668" w:rsidP="00E7437C">
      <w:pPr>
        <w:ind w:firstLine="720"/>
        <w:jc w:val="both"/>
        <w:rPr>
          <w:bCs/>
          <w:sz w:val="24"/>
          <w:szCs w:val="24"/>
        </w:rPr>
      </w:pPr>
      <w:r>
        <w:rPr>
          <w:bCs/>
          <w:sz w:val="24"/>
          <w:szCs w:val="24"/>
        </w:rPr>
        <w:lastRenderedPageBreak/>
        <w:t xml:space="preserve">5. Atbilstoši </w:t>
      </w:r>
      <w:r w:rsidR="00605861">
        <w:rPr>
          <w:bCs/>
          <w:sz w:val="24"/>
          <w:szCs w:val="24"/>
        </w:rPr>
        <w:t xml:space="preserve">Ministru kabineta 2015.gada 24.februāra noteikumiem Nr.108 </w:t>
      </w:r>
      <w:r w:rsidR="001B7E37">
        <w:rPr>
          <w:bCs/>
          <w:sz w:val="24"/>
          <w:szCs w:val="24"/>
        </w:rPr>
        <w:t>“</w:t>
      </w:r>
      <w:r w:rsidR="001B7E37" w:rsidRPr="001B7E37">
        <w:rPr>
          <w:bCs/>
          <w:sz w:val="24"/>
          <w:szCs w:val="24"/>
        </w:rPr>
        <w:t>Kārtība, kādā uzrauga un izvērtē Eiropas Savienības struktūrfondu un Kohēzijas fonda ieviešanu, kā arī izveido un izmanto Kohēzijas politikas fondu vadības informācijas sistēmu 2014.–2020.gadam</w:t>
      </w:r>
      <w:r w:rsidR="001B7E37">
        <w:rPr>
          <w:bCs/>
          <w:sz w:val="24"/>
          <w:szCs w:val="24"/>
        </w:rPr>
        <w:t xml:space="preserve">”, </w:t>
      </w:r>
      <w:r w:rsidR="00605861">
        <w:rPr>
          <w:bCs/>
          <w:sz w:val="24"/>
          <w:szCs w:val="24"/>
        </w:rPr>
        <w:t>sākotnējā izvērtējuma darba uzdevums, kā arī izstrādātais sākotnējais izvērtējums ir jāsaskaņo K</w:t>
      </w:r>
      <w:r w:rsidR="00605861" w:rsidRPr="00605861">
        <w:rPr>
          <w:bCs/>
          <w:sz w:val="24"/>
          <w:szCs w:val="24"/>
        </w:rPr>
        <w:t>onsu</w:t>
      </w:r>
      <w:r w:rsidR="00605861">
        <w:rPr>
          <w:bCs/>
          <w:sz w:val="24"/>
          <w:szCs w:val="24"/>
        </w:rPr>
        <w:t>ltatīv</w:t>
      </w:r>
      <w:r w:rsidR="00B370A1">
        <w:rPr>
          <w:bCs/>
          <w:sz w:val="24"/>
          <w:szCs w:val="24"/>
        </w:rPr>
        <w:t>ās</w:t>
      </w:r>
      <w:r w:rsidR="00605861">
        <w:rPr>
          <w:bCs/>
          <w:sz w:val="24"/>
          <w:szCs w:val="24"/>
        </w:rPr>
        <w:t xml:space="preserve"> izvērtēšanas darba grupā</w:t>
      </w:r>
      <w:r w:rsidR="00B370A1">
        <w:rPr>
          <w:bCs/>
          <w:sz w:val="24"/>
          <w:szCs w:val="24"/>
        </w:rPr>
        <w:t xml:space="preserve"> (turpmāk – KIDG)</w:t>
      </w:r>
      <w:r w:rsidR="00605861">
        <w:rPr>
          <w:bCs/>
          <w:sz w:val="24"/>
          <w:szCs w:val="24"/>
        </w:rPr>
        <w:t xml:space="preserve">. Ņemot vērā minēto, Satiksmes ministrija izstrādāja un iesniedza darba uzdevumu sākotnējā izvērtējuma veikšanai </w:t>
      </w:r>
      <w:r w:rsidR="0095640D">
        <w:rPr>
          <w:bCs/>
          <w:sz w:val="24"/>
          <w:szCs w:val="24"/>
        </w:rPr>
        <w:t xml:space="preserve">Finanšu ministrijā </w:t>
      </w:r>
      <w:r w:rsidR="00864FA3">
        <w:rPr>
          <w:bCs/>
          <w:sz w:val="24"/>
          <w:szCs w:val="24"/>
        </w:rPr>
        <w:t>KIDG</w:t>
      </w:r>
      <w:r w:rsidR="0095640D">
        <w:rPr>
          <w:bCs/>
          <w:sz w:val="24"/>
          <w:szCs w:val="24"/>
        </w:rPr>
        <w:t xml:space="preserve"> saskaņošanai</w:t>
      </w:r>
      <w:r w:rsidR="00605861">
        <w:rPr>
          <w:bCs/>
          <w:sz w:val="24"/>
          <w:szCs w:val="24"/>
        </w:rPr>
        <w:t xml:space="preserve"> 2015.gada martā.</w:t>
      </w:r>
      <w:r w:rsidR="00091CA2">
        <w:rPr>
          <w:bCs/>
          <w:sz w:val="24"/>
          <w:szCs w:val="24"/>
        </w:rPr>
        <w:t xml:space="preserve"> Darba uzdevums saskaņots 2015.gada </w:t>
      </w:r>
      <w:r w:rsidR="0095640D">
        <w:rPr>
          <w:bCs/>
          <w:sz w:val="24"/>
          <w:szCs w:val="24"/>
        </w:rPr>
        <w:t>maijā</w:t>
      </w:r>
      <w:r w:rsidR="00091CA2">
        <w:rPr>
          <w:bCs/>
          <w:sz w:val="24"/>
          <w:szCs w:val="24"/>
        </w:rPr>
        <w:t>.</w:t>
      </w:r>
    </w:p>
    <w:p w:rsidR="00091CA2" w:rsidRDefault="00091CA2" w:rsidP="00E7437C">
      <w:pPr>
        <w:ind w:firstLine="720"/>
        <w:jc w:val="both"/>
        <w:rPr>
          <w:bCs/>
          <w:sz w:val="24"/>
          <w:szCs w:val="24"/>
        </w:rPr>
      </w:pPr>
      <w:r>
        <w:rPr>
          <w:bCs/>
          <w:sz w:val="24"/>
          <w:szCs w:val="24"/>
        </w:rPr>
        <w:t>6. Publiskā iepirkuma konkursa rezultātā 2015.gada 30.jūlijā ir noslēgts iepirkuma līgums ar SIA “</w:t>
      </w:r>
      <w:proofErr w:type="spellStart"/>
      <w:r>
        <w:rPr>
          <w:bCs/>
          <w:sz w:val="24"/>
          <w:szCs w:val="24"/>
        </w:rPr>
        <w:t>Konsorts</w:t>
      </w:r>
      <w:proofErr w:type="spellEnd"/>
      <w:r>
        <w:rPr>
          <w:bCs/>
          <w:sz w:val="24"/>
          <w:szCs w:val="24"/>
        </w:rPr>
        <w:t xml:space="preserve">” </w:t>
      </w:r>
      <w:r w:rsidRPr="00100665">
        <w:rPr>
          <w:bCs/>
          <w:sz w:val="24"/>
          <w:szCs w:val="24"/>
        </w:rPr>
        <w:t xml:space="preserve">(turpmāk – izpildītājs) </w:t>
      </w:r>
      <w:r>
        <w:rPr>
          <w:bCs/>
          <w:sz w:val="24"/>
          <w:szCs w:val="24"/>
        </w:rPr>
        <w:t xml:space="preserve">par sākotnējo novērtējumu izstrādi </w:t>
      </w:r>
      <w:r w:rsidRPr="00100665">
        <w:rPr>
          <w:bCs/>
          <w:sz w:val="24"/>
          <w:szCs w:val="24"/>
        </w:rPr>
        <w:t>SAM 4.5.1. "Attīstīt videi draudzīgu sabiedriskā transporta infrastruktūru" pasākumam 4.5.1.2. "Attīstīt videi draudzīgu sabiedriskā transporta infrastruktūru", SAM 6.1.4. "Pilsētu infrastruktūras sasaiste ar TEN-T tīklu" pasākumam 6.1.4.2. "Nacionālas nozīmes attīstības centru integrēšana TEN-T tīklā" un  SAM 6.3.1. "Palielināt reģionālo mobilitāti, uzlabojot valsts reģionālo autoceļu kvalitāti", kura izpilde saskaņā ar  līguma izpildes laika grafiku beigsies 2015.gada decembra vidū.</w:t>
      </w:r>
      <w:r w:rsidRPr="00091CA2">
        <w:rPr>
          <w:bCs/>
          <w:sz w:val="24"/>
          <w:szCs w:val="24"/>
        </w:rPr>
        <w:t xml:space="preserve"> </w:t>
      </w:r>
    </w:p>
    <w:p w:rsidR="00091CA2" w:rsidRDefault="00091CA2" w:rsidP="00E7437C">
      <w:pPr>
        <w:ind w:firstLine="720"/>
        <w:jc w:val="both"/>
        <w:rPr>
          <w:bCs/>
          <w:sz w:val="24"/>
          <w:szCs w:val="24"/>
        </w:rPr>
      </w:pPr>
      <w:r>
        <w:rPr>
          <w:bCs/>
          <w:sz w:val="24"/>
          <w:szCs w:val="24"/>
        </w:rPr>
        <w:t xml:space="preserve">Lai sekmētu ātrāku SAM 6.3.1. projektu apstiprināšanu </w:t>
      </w:r>
      <w:r w:rsidRPr="00091CA2">
        <w:rPr>
          <w:bCs/>
          <w:sz w:val="24"/>
          <w:szCs w:val="24"/>
        </w:rPr>
        <w:t>Ministru kabineta 2014.gada 16.decembra noteikumu Nr.784 “Kārtība, kādā Eiropas Savienības struktūrfondu un Kohēzijas fonda vadībā iesaistītās institūcijas nodrošina plānošanas dokumentu sagatavošanu un šo fondu ieviešanu 2014.–2020.gada plānošanas periodā” noteiktā kārtībā</w:t>
      </w:r>
      <w:r>
        <w:rPr>
          <w:bCs/>
          <w:sz w:val="24"/>
          <w:szCs w:val="24"/>
        </w:rPr>
        <w:t xml:space="preserve">, </w:t>
      </w:r>
      <w:r w:rsidRPr="00100665">
        <w:rPr>
          <w:bCs/>
          <w:sz w:val="24"/>
          <w:szCs w:val="24"/>
        </w:rPr>
        <w:t xml:space="preserve">Satiksmes ministrija ir vienojusies ar izpildītāju, ka  sākotnējais paplašinātais  novērtējums par SAM 6.3.1. tiks sagatavots saīsinātos termiņos, </w:t>
      </w:r>
      <w:r>
        <w:rPr>
          <w:bCs/>
          <w:sz w:val="24"/>
          <w:szCs w:val="24"/>
        </w:rPr>
        <w:t>tādējādi paredzot</w:t>
      </w:r>
      <w:r w:rsidRPr="00100665">
        <w:rPr>
          <w:bCs/>
          <w:sz w:val="24"/>
          <w:szCs w:val="24"/>
        </w:rPr>
        <w:t xml:space="preserve">, ka  SAM 6.3.1. paplašinātais sākotnējais novērtējums varētu tikt iesniegts saskaņošanai </w:t>
      </w:r>
      <w:r w:rsidR="00864FA3">
        <w:rPr>
          <w:bCs/>
          <w:sz w:val="24"/>
          <w:szCs w:val="24"/>
        </w:rPr>
        <w:t>KIDG</w:t>
      </w:r>
      <w:r w:rsidRPr="00100665">
        <w:rPr>
          <w:bCs/>
          <w:sz w:val="24"/>
          <w:szCs w:val="24"/>
        </w:rPr>
        <w:t xml:space="preserve"> 2015.gada oktobrī</w:t>
      </w:r>
      <w:r>
        <w:rPr>
          <w:bCs/>
          <w:sz w:val="24"/>
          <w:szCs w:val="24"/>
        </w:rPr>
        <w:t>.</w:t>
      </w:r>
    </w:p>
    <w:p w:rsidR="004E2631" w:rsidRPr="004E2631" w:rsidRDefault="00091CA2" w:rsidP="004E2631">
      <w:pPr>
        <w:ind w:firstLine="720"/>
        <w:jc w:val="both"/>
        <w:rPr>
          <w:bCs/>
          <w:sz w:val="24"/>
          <w:szCs w:val="24"/>
        </w:rPr>
      </w:pPr>
      <w:r>
        <w:rPr>
          <w:bCs/>
          <w:sz w:val="24"/>
          <w:szCs w:val="24"/>
        </w:rPr>
        <w:t>7</w:t>
      </w:r>
      <w:r w:rsidRPr="00100665">
        <w:rPr>
          <w:bCs/>
          <w:sz w:val="24"/>
          <w:szCs w:val="24"/>
        </w:rPr>
        <w:t xml:space="preserve">. 2015.gada 11.septembrī Satiksmes ministrija iesniedza Finanšu ministrijai un Centrālajai finanšu un līgumu aģentūrai </w:t>
      </w:r>
      <w:r>
        <w:rPr>
          <w:bCs/>
          <w:sz w:val="24"/>
          <w:szCs w:val="24"/>
        </w:rPr>
        <w:t xml:space="preserve">(turpmāk – CFLA) </w:t>
      </w:r>
      <w:r w:rsidRPr="00100665">
        <w:rPr>
          <w:bCs/>
          <w:sz w:val="24"/>
          <w:szCs w:val="24"/>
        </w:rPr>
        <w:t xml:space="preserve">sākotnējai saskaņošanai Ministru kabineta noteikumu projektu “Darbības programmas „Izaugsme un nodarbinātība” 6.3.1. specifiskā atbalsta mērķa „Palielināt reģionālo mobilitāti, uzlabojot valsts reģionālo autoceļu kvalitāti” īstenošanas noteikumi” un projektu iesniegumu vērtēšanas kritēriju piemērošanas metodiku. </w:t>
      </w:r>
      <w:r w:rsidR="004E2631">
        <w:rPr>
          <w:bCs/>
          <w:sz w:val="24"/>
          <w:szCs w:val="24"/>
        </w:rPr>
        <w:t>P</w:t>
      </w:r>
      <w:r w:rsidR="004E2631" w:rsidRPr="004E2631">
        <w:rPr>
          <w:bCs/>
          <w:sz w:val="24"/>
          <w:szCs w:val="24"/>
        </w:rPr>
        <w:t>ar minēto dokumentu redakcijām ir panākta konceptuāla vienošanās</w:t>
      </w:r>
      <w:r w:rsidR="004E2631">
        <w:rPr>
          <w:bCs/>
          <w:sz w:val="24"/>
          <w:szCs w:val="24"/>
        </w:rPr>
        <w:t xml:space="preserve">. </w:t>
      </w:r>
      <w:r w:rsidR="004E2631" w:rsidRPr="004E2631">
        <w:rPr>
          <w:bCs/>
          <w:sz w:val="24"/>
          <w:szCs w:val="24"/>
        </w:rPr>
        <w:t xml:space="preserve"> </w:t>
      </w:r>
    </w:p>
    <w:p w:rsidR="00E7437C" w:rsidRPr="00100665" w:rsidRDefault="009B3680" w:rsidP="00E7437C">
      <w:pPr>
        <w:ind w:firstLine="720"/>
        <w:jc w:val="both"/>
        <w:rPr>
          <w:bCs/>
          <w:sz w:val="24"/>
          <w:szCs w:val="24"/>
        </w:rPr>
      </w:pPr>
      <w:r>
        <w:rPr>
          <w:bCs/>
          <w:sz w:val="24"/>
          <w:szCs w:val="24"/>
        </w:rPr>
        <w:t>8</w:t>
      </w:r>
      <w:r w:rsidR="008A4FC4">
        <w:rPr>
          <w:bCs/>
          <w:sz w:val="24"/>
          <w:szCs w:val="24"/>
        </w:rPr>
        <w:t xml:space="preserve">. </w:t>
      </w:r>
      <w:r w:rsidR="00E7437C" w:rsidRPr="00100665">
        <w:rPr>
          <w:bCs/>
          <w:sz w:val="24"/>
          <w:szCs w:val="24"/>
        </w:rPr>
        <w:t xml:space="preserve">Saskaņā ar likumu “Par valsts budžetu 2015.gadam”, 62.11.00. apakšprogrammā „Eiropas Reģionālās attīstības fonda (ERAF) finansētie ierobežotās atlases „Latvijas Valsts ceļi” realizētie projekti (2014-2020)” piešķirti tikai 8 885 142 </w:t>
      </w:r>
      <w:proofErr w:type="spellStart"/>
      <w:r w:rsidR="00E7437C" w:rsidRPr="00100665">
        <w:rPr>
          <w:bCs/>
          <w:i/>
          <w:sz w:val="24"/>
          <w:szCs w:val="24"/>
        </w:rPr>
        <w:t>euro</w:t>
      </w:r>
      <w:proofErr w:type="spellEnd"/>
      <w:r w:rsidR="00E7437C" w:rsidRPr="00100665">
        <w:rPr>
          <w:bCs/>
          <w:i/>
          <w:sz w:val="24"/>
          <w:szCs w:val="24"/>
        </w:rPr>
        <w:t xml:space="preserve"> </w:t>
      </w:r>
      <w:r w:rsidR="00E7437C" w:rsidRPr="00100665">
        <w:rPr>
          <w:bCs/>
          <w:sz w:val="24"/>
          <w:szCs w:val="24"/>
        </w:rPr>
        <w:t>no MK rīkojumā Nr.573 noteiktā plānotā nepieciešamā finansējuma SAM 6.3.1. īstenošanai, kas 2015.gadā tika noteikts 35 572 000</w:t>
      </w:r>
      <w:r w:rsidR="00E7437C" w:rsidRPr="00100665">
        <w:rPr>
          <w:bCs/>
          <w:i/>
          <w:sz w:val="24"/>
          <w:szCs w:val="24"/>
        </w:rPr>
        <w:t xml:space="preserve"> </w:t>
      </w:r>
      <w:proofErr w:type="spellStart"/>
      <w:r w:rsidR="00E7437C" w:rsidRPr="00100665">
        <w:rPr>
          <w:bCs/>
          <w:i/>
          <w:sz w:val="24"/>
          <w:szCs w:val="24"/>
        </w:rPr>
        <w:t>euro</w:t>
      </w:r>
      <w:proofErr w:type="spellEnd"/>
      <w:r w:rsidR="00E7437C" w:rsidRPr="00100665">
        <w:rPr>
          <w:bCs/>
          <w:sz w:val="24"/>
          <w:szCs w:val="24"/>
        </w:rPr>
        <w:t xml:space="preserve">. </w:t>
      </w:r>
    </w:p>
    <w:p w:rsidR="00F60043" w:rsidRDefault="00290E48" w:rsidP="00E7437C">
      <w:pPr>
        <w:ind w:firstLine="720"/>
        <w:jc w:val="both"/>
        <w:rPr>
          <w:bCs/>
          <w:sz w:val="24"/>
          <w:szCs w:val="24"/>
        </w:rPr>
      </w:pPr>
      <w:r>
        <w:rPr>
          <w:bCs/>
          <w:sz w:val="24"/>
          <w:szCs w:val="24"/>
        </w:rPr>
        <w:t>9</w:t>
      </w:r>
      <w:r w:rsidR="00E7437C" w:rsidRPr="00100665">
        <w:rPr>
          <w:bCs/>
          <w:sz w:val="24"/>
          <w:szCs w:val="24"/>
        </w:rPr>
        <w:t>. Ņemot vērā, ka piešķirtais valsts budžeta finansējums nav pietiekošs, lai nodrošinātu SAM 6.3.1. projektu īstenošanas nepārtrauktību un neradītu zaudējumus valsts budžetam uzsāktajos projektos uzņemto saistību neizpildes sankciju dēļ,</w:t>
      </w:r>
      <w:r w:rsidR="00F60043">
        <w:rPr>
          <w:bCs/>
          <w:sz w:val="24"/>
          <w:szCs w:val="24"/>
        </w:rPr>
        <w:t xml:space="preserve"> </w:t>
      </w:r>
      <w:r w:rsidR="00F60043" w:rsidRPr="00100665">
        <w:rPr>
          <w:bCs/>
          <w:sz w:val="24"/>
          <w:szCs w:val="24"/>
        </w:rPr>
        <w:t>Satiksmes ministrija ir</w:t>
      </w:r>
      <w:r w:rsidR="00F60043">
        <w:rPr>
          <w:bCs/>
          <w:sz w:val="24"/>
          <w:szCs w:val="24"/>
        </w:rPr>
        <w:t xml:space="preserve"> </w:t>
      </w:r>
      <w:r w:rsidR="009B3680">
        <w:rPr>
          <w:bCs/>
          <w:sz w:val="24"/>
          <w:szCs w:val="24"/>
        </w:rPr>
        <w:t xml:space="preserve">apzinājusi potenciālos procesus kavējošos riskus un izstrādājusi </w:t>
      </w:r>
      <w:r w:rsidR="008775F3">
        <w:rPr>
          <w:bCs/>
          <w:sz w:val="24"/>
          <w:szCs w:val="24"/>
        </w:rPr>
        <w:t xml:space="preserve">Satiksmes ministrijas </w:t>
      </w:r>
      <w:proofErr w:type="spellStart"/>
      <w:r w:rsidR="008775F3">
        <w:rPr>
          <w:bCs/>
          <w:sz w:val="24"/>
          <w:szCs w:val="24"/>
        </w:rPr>
        <w:t>pārziņā</w:t>
      </w:r>
      <w:proofErr w:type="spellEnd"/>
      <w:r w:rsidR="008775F3">
        <w:rPr>
          <w:bCs/>
          <w:sz w:val="24"/>
          <w:szCs w:val="24"/>
        </w:rPr>
        <w:t xml:space="preserve"> un kompetencē esošu </w:t>
      </w:r>
      <w:r w:rsidR="009B3680">
        <w:rPr>
          <w:bCs/>
          <w:sz w:val="24"/>
          <w:szCs w:val="24"/>
        </w:rPr>
        <w:t xml:space="preserve">risku vadības pasākumu </w:t>
      </w:r>
      <w:r w:rsidR="008775F3">
        <w:rPr>
          <w:bCs/>
          <w:sz w:val="24"/>
          <w:szCs w:val="24"/>
        </w:rPr>
        <w:t xml:space="preserve">plānu. Vienlaikus atzīmējams, ka būtiskāko risku apjomu veido ārējie un trešo personu (tostarp </w:t>
      </w:r>
      <w:r w:rsidR="00EC3990">
        <w:rPr>
          <w:bCs/>
          <w:sz w:val="24"/>
          <w:szCs w:val="24"/>
        </w:rPr>
        <w:t>ES fondu vadībā un uzraudzībā iesaistīto institūciju) potenciāli izraisītie riski, kas nav vadāmi ar Satiksmes ministrijas rīcībā esošiem instrumentiem.</w:t>
      </w:r>
      <w:r w:rsidR="008775F3">
        <w:rPr>
          <w:bCs/>
          <w:sz w:val="24"/>
          <w:szCs w:val="24"/>
        </w:rPr>
        <w:t xml:space="preserve"> </w:t>
      </w:r>
    </w:p>
    <w:p w:rsidR="00E7437C" w:rsidRPr="00100665" w:rsidRDefault="00290E48" w:rsidP="00E672C9">
      <w:pPr>
        <w:ind w:firstLine="720"/>
        <w:jc w:val="both"/>
        <w:rPr>
          <w:bCs/>
          <w:sz w:val="24"/>
          <w:szCs w:val="24"/>
        </w:rPr>
      </w:pPr>
      <w:r>
        <w:rPr>
          <w:bCs/>
          <w:sz w:val="24"/>
          <w:szCs w:val="24"/>
        </w:rPr>
        <w:lastRenderedPageBreak/>
        <w:t>10</w:t>
      </w:r>
      <w:r w:rsidR="00E672C9">
        <w:rPr>
          <w:bCs/>
          <w:sz w:val="24"/>
          <w:szCs w:val="24"/>
        </w:rPr>
        <w:t xml:space="preserve">. </w:t>
      </w:r>
      <w:r w:rsidR="00E672C9" w:rsidRPr="00100665">
        <w:rPr>
          <w:bCs/>
          <w:sz w:val="24"/>
          <w:szCs w:val="24"/>
        </w:rPr>
        <w:t>Satiksmes ministrija ir</w:t>
      </w:r>
      <w:r w:rsidR="00E672C9">
        <w:rPr>
          <w:bCs/>
          <w:sz w:val="24"/>
          <w:szCs w:val="24"/>
        </w:rPr>
        <w:t xml:space="preserve"> </w:t>
      </w:r>
      <w:r w:rsidR="00747988" w:rsidRPr="00100665">
        <w:rPr>
          <w:bCs/>
          <w:sz w:val="24"/>
          <w:szCs w:val="24"/>
        </w:rPr>
        <w:t xml:space="preserve">izstrādājusi provizorisko SAM 6.3.1. īstenošanas laika </w:t>
      </w:r>
      <w:r w:rsidR="00747988" w:rsidRPr="00411B8F">
        <w:rPr>
          <w:bCs/>
          <w:sz w:val="24"/>
          <w:szCs w:val="24"/>
        </w:rPr>
        <w:t>grafiku</w:t>
      </w:r>
      <w:r w:rsidR="007E5F2A" w:rsidRPr="00411B8F">
        <w:rPr>
          <w:bCs/>
          <w:sz w:val="24"/>
          <w:szCs w:val="24"/>
        </w:rPr>
        <w:t xml:space="preserve"> </w:t>
      </w:r>
      <w:r w:rsidR="000A78C8" w:rsidRPr="00411B8F">
        <w:rPr>
          <w:bCs/>
          <w:sz w:val="24"/>
          <w:szCs w:val="24"/>
        </w:rPr>
        <w:t>(skat.</w:t>
      </w:r>
      <w:r w:rsidR="00411B8F">
        <w:rPr>
          <w:bCs/>
          <w:sz w:val="24"/>
          <w:szCs w:val="24"/>
        </w:rPr>
        <w:t xml:space="preserve"> </w:t>
      </w:r>
      <w:r w:rsidR="00BA4F18" w:rsidRPr="00411B8F">
        <w:rPr>
          <w:bCs/>
          <w:sz w:val="24"/>
          <w:szCs w:val="24"/>
        </w:rPr>
        <w:t xml:space="preserve">pielikumu </w:t>
      </w:r>
      <w:r w:rsidR="000A78C8" w:rsidRPr="00411B8F">
        <w:rPr>
          <w:bCs/>
          <w:sz w:val="24"/>
          <w:szCs w:val="24"/>
        </w:rPr>
        <w:t>nr.</w:t>
      </w:r>
      <w:r w:rsidR="008C1BF0" w:rsidRPr="00411B8F">
        <w:rPr>
          <w:bCs/>
          <w:sz w:val="24"/>
          <w:szCs w:val="24"/>
        </w:rPr>
        <w:t>2</w:t>
      </w:r>
      <w:r w:rsidR="007E5F2A" w:rsidRPr="00411B8F">
        <w:rPr>
          <w:bCs/>
          <w:sz w:val="24"/>
          <w:szCs w:val="24"/>
        </w:rPr>
        <w:t>)</w:t>
      </w:r>
      <w:r w:rsidR="00747988" w:rsidRPr="00411B8F">
        <w:rPr>
          <w:bCs/>
          <w:sz w:val="24"/>
          <w:szCs w:val="24"/>
        </w:rPr>
        <w:t xml:space="preserve">, </w:t>
      </w:r>
      <w:r w:rsidR="00E672C9" w:rsidRPr="00411B8F">
        <w:rPr>
          <w:bCs/>
          <w:sz w:val="24"/>
          <w:szCs w:val="24"/>
        </w:rPr>
        <w:t>plānojot</w:t>
      </w:r>
      <w:r w:rsidR="00E672C9" w:rsidRPr="00100665">
        <w:rPr>
          <w:bCs/>
          <w:sz w:val="24"/>
          <w:szCs w:val="24"/>
        </w:rPr>
        <w:t xml:space="preserve"> </w:t>
      </w:r>
      <w:r w:rsidR="00E672C9">
        <w:rPr>
          <w:bCs/>
          <w:sz w:val="24"/>
          <w:szCs w:val="24"/>
        </w:rPr>
        <w:t xml:space="preserve">veikt saīsinātos termiņos </w:t>
      </w:r>
      <w:r w:rsidR="00E672C9" w:rsidRPr="00100665">
        <w:rPr>
          <w:bCs/>
          <w:sz w:val="24"/>
          <w:szCs w:val="24"/>
        </w:rPr>
        <w:t>visus SAM īstenošanas</w:t>
      </w:r>
      <w:r w:rsidR="00E672C9">
        <w:rPr>
          <w:bCs/>
          <w:sz w:val="24"/>
          <w:szCs w:val="24"/>
        </w:rPr>
        <w:t xml:space="preserve"> nodrošināšanai  </w:t>
      </w:r>
      <w:r w:rsidR="00E672C9" w:rsidRPr="00100665">
        <w:rPr>
          <w:bCs/>
          <w:sz w:val="24"/>
          <w:szCs w:val="24"/>
        </w:rPr>
        <w:t>nepieciešamos pasākumus</w:t>
      </w:r>
      <w:r w:rsidR="00747988" w:rsidRPr="00100665">
        <w:rPr>
          <w:bCs/>
          <w:sz w:val="24"/>
          <w:szCs w:val="24"/>
        </w:rPr>
        <w:t xml:space="preserve">, </w:t>
      </w:r>
      <w:r w:rsidR="00E7437C" w:rsidRPr="00100665">
        <w:rPr>
          <w:bCs/>
          <w:sz w:val="24"/>
          <w:szCs w:val="24"/>
        </w:rPr>
        <w:t>lai nodrošinātu maksimāli operatīvu projektu pieteikumu apstiprināšanu ES fondu regulējumā noteiktā kārtībā</w:t>
      </w:r>
      <w:r w:rsidR="007E5F2A" w:rsidRPr="00100665">
        <w:rPr>
          <w:bCs/>
          <w:sz w:val="24"/>
          <w:szCs w:val="24"/>
        </w:rPr>
        <w:t>. Provizoriskais saīsinātais laika grafiks veidots</w:t>
      </w:r>
      <w:r w:rsidR="00104247" w:rsidRPr="00100665">
        <w:rPr>
          <w:bCs/>
          <w:sz w:val="24"/>
          <w:szCs w:val="24"/>
        </w:rPr>
        <w:t xml:space="preserve"> ar pieņēmumu, ka neiestāsies</w:t>
      </w:r>
      <w:r w:rsidR="00E672C9">
        <w:rPr>
          <w:bCs/>
          <w:sz w:val="24"/>
          <w:szCs w:val="24"/>
        </w:rPr>
        <w:t>,</w:t>
      </w:r>
      <w:r w:rsidR="00104247" w:rsidRPr="00100665">
        <w:rPr>
          <w:bCs/>
          <w:sz w:val="24"/>
          <w:szCs w:val="24"/>
        </w:rPr>
        <w:t xml:space="preserve"> vai</w:t>
      </w:r>
      <w:r w:rsidR="00E672C9">
        <w:rPr>
          <w:bCs/>
          <w:sz w:val="24"/>
          <w:szCs w:val="24"/>
        </w:rPr>
        <w:t>,</w:t>
      </w:r>
      <w:r w:rsidR="00104247" w:rsidRPr="00100665">
        <w:rPr>
          <w:bCs/>
          <w:sz w:val="24"/>
          <w:szCs w:val="24"/>
        </w:rPr>
        <w:t xml:space="preserve"> </w:t>
      </w:r>
      <w:r w:rsidR="00E672C9">
        <w:rPr>
          <w:bCs/>
          <w:sz w:val="24"/>
          <w:szCs w:val="24"/>
        </w:rPr>
        <w:t xml:space="preserve">sadarbībā ar citām iesaistītajām institūcijām, </w:t>
      </w:r>
      <w:r w:rsidR="00E672C9" w:rsidRPr="00100665">
        <w:rPr>
          <w:bCs/>
          <w:sz w:val="24"/>
          <w:szCs w:val="24"/>
        </w:rPr>
        <w:t>pēc iespējas</w:t>
      </w:r>
      <w:r w:rsidR="00E672C9">
        <w:rPr>
          <w:bCs/>
          <w:sz w:val="24"/>
          <w:szCs w:val="24"/>
        </w:rPr>
        <w:t xml:space="preserve"> </w:t>
      </w:r>
      <w:r w:rsidR="00104247" w:rsidRPr="00100665">
        <w:rPr>
          <w:bCs/>
          <w:sz w:val="24"/>
          <w:szCs w:val="24"/>
        </w:rPr>
        <w:t>tiks mazināti š</w:t>
      </w:r>
      <w:r w:rsidR="007E5F2A" w:rsidRPr="00100665">
        <w:rPr>
          <w:bCs/>
          <w:sz w:val="24"/>
          <w:szCs w:val="24"/>
        </w:rPr>
        <w:t>ā</w:t>
      </w:r>
      <w:r w:rsidR="00104247" w:rsidRPr="00100665">
        <w:rPr>
          <w:bCs/>
          <w:sz w:val="24"/>
          <w:szCs w:val="24"/>
        </w:rPr>
        <w:t>di riski:</w:t>
      </w:r>
      <w:r w:rsidR="005266A0" w:rsidRPr="00100665">
        <w:rPr>
          <w:bCs/>
          <w:sz w:val="24"/>
          <w:szCs w:val="24"/>
        </w:rPr>
        <w:t xml:space="preserve"> </w:t>
      </w:r>
    </w:p>
    <w:tbl>
      <w:tblPr>
        <w:tblStyle w:val="TableGrid"/>
        <w:tblW w:w="8505" w:type="dxa"/>
        <w:tblInd w:w="108" w:type="dxa"/>
        <w:tblLayout w:type="fixed"/>
        <w:tblLook w:val="04A0" w:firstRow="1" w:lastRow="0" w:firstColumn="1" w:lastColumn="0" w:noHBand="0" w:noVBand="1"/>
      </w:tblPr>
      <w:tblGrid>
        <w:gridCol w:w="1418"/>
        <w:gridCol w:w="3969"/>
        <w:gridCol w:w="3118"/>
      </w:tblGrid>
      <w:tr w:rsidR="00FA2B96" w:rsidRPr="00100665" w:rsidTr="00431B13">
        <w:tc>
          <w:tcPr>
            <w:tcW w:w="1418" w:type="dxa"/>
          </w:tcPr>
          <w:p w:rsidR="00FA2B96" w:rsidRPr="00100665" w:rsidRDefault="00FA2B96" w:rsidP="008F30D8">
            <w:pPr>
              <w:jc w:val="both"/>
              <w:rPr>
                <w:bCs/>
                <w:sz w:val="24"/>
                <w:szCs w:val="24"/>
              </w:rPr>
            </w:pPr>
            <w:r w:rsidRPr="00100665">
              <w:rPr>
                <w:bCs/>
                <w:sz w:val="24"/>
                <w:szCs w:val="24"/>
              </w:rPr>
              <w:t>Pasākums</w:t>
            </w:r>
          </w:p>
        </w:tc>
        <w:tc>
          <w:tcPr>
            <w:tcW w:w="3969" w:type="dxa"/>
          </w:tcPr>
          <w:p w:rsidR="00FA2B96" w:rsidRPr="00100665" w:rsidRDefault="00FA2B96" w:rsidP="00100665">
            <w:pPr>
              <w:jc w:val="both"/>
              <w:rPr>
                <w:bCs/>
                <w:sz w:val="24"/>
                <w:szCs w:val="24"/>
              </w:rPr>
            </w:pPr>
            <w:r w:rsidRPr="00100665">
              <w:rPr>
                <w:bCs/>
                <w:sz w:val="24"/>
                <w:szCs w:val="24"/>
              </w:rPr>
              <w:t>Riska veids</w:t>
            </w:r>
          </w:p>
        </w:tc>
        <w:tc>
          <w:tcPr>
            <w:tcW w:w="3118" w:type="dxa"/>
          </w:tcPr>
          <w:p w:rsidR="00FA2B96" w:rsidRPr="00100665" w:rsidRDefault="00FA2B96" w:rsidP="00E7437C">
            <w:pPr>
              <w:jc w:val="both"/>
              <w:rPr>
                <w:bCs/>
                <w:sz w:val="24"/>
                <w:szCs w:val="24"/>
              </w:rPr>
            </w:pPr>
            <w:r w:rsidRPr="00100665">
              <w:rPr>
                <w:bCs/>
                <w:sz w:val="24"/>
                <w:szCs w:val="24"/>
              </w:rPr>
              <w:t>Risku mazinošie pasākumi</w:t>
            </w:r>
          </w:p>
        </w:tc>
      </w:tr>
      <w:tr w:rsidR="00FA2B96" w:rsidRPr="00100665" w:rsidTr="00431B13">
        <w:tc>
          <w:tcPr>
            <w:tcW w:w="1418" w:type="dxa"/>
          </w:tcPr>
          <w:p w:rsidR="00FA2B96" w:rsidRPr="00100665" w:rsidRDefault="00FA2B96" w:rsidP="000A78C8">
            <w:pPr>
              <w:jc w:val="both"/>
              <w:rPr>
                <w:bCs/>
                <w:sz w:val="24"/>
                <w:szCs w:val="24"/>
              </w:rPr>
            </w:pPr>
            <w:r w:rsidRPr="00100665">
              <w:rPr>
                <w:bCs/>
                <w:sz w:val="24"/>
                <w:szCs w:val="24"/>
              </w:rPr>
              <w:t xml:space="preserve">Sākotnējā </w:t>
            </w:r>
            <w:r>
              <w:rPr>
                <w:bCs/>
                <w:sz w:val="24"/>
                <w:szCs w:val="24"/>
              </w:rPr>
              <w:t>novērtējuma</w:t>
            </w:r>
            <w:r w:rsidRPr="00100665">
              <w:rPr>
                <w:bCs/>
                <w:sz w:val="24"/>
                <w:szCs w:val="24"/>
              </w:rPr>
              <w:t xml:space="preserve"> izstrāde </w:t>
            </w:r>
          </w:p>
        </w:tc>
        <w:tc>
          <w:tcPr>
            <w:tcW w:w="3969" w:type="dxa"/>
            <w:tcBorders>
              <w:bottom w:val="single" w:sz="4" w:space="0" w:color="auto"/>
            </w:tcBorders>
          </w:tcPr>
          <w:p w:rsidR="00FA2B96" w:rsidRDefault="00FA2B96" w:rsidP="000A78C8">
            <w:pPr>
              <w:jc w:val="both"/>
              <w:rPr>
                <w:bCs/>
                <w:sz w:val="24"/>
                <w:szCs w:val="24"/>
              </w:rPr>
            </w:pPr>
            <w:r>
              <w:rPr>
                <w:bCs/>
                <w:sz w:val="24"/>
                <w:szCs w:val="24"/>
              </w:rPr>
              <w:t>S</w:t>
            </w:r>
            <w:r w:rsidRPr="00100665">
              <w:rPr>
                <w:bCs/>
                <w:sz w:val="24"/>
                <w:szCs w:val="24"/>
              </w:rPr>
              <w:t>ākotnēj</w:t>
            </w:r>
            <w:r>
              <w:rPr>
                <w:bCs/>
                <w:sz w:val="24"/>
                <w:szCs w:val="24"/>
              </w:rPr>
              <w:t>ais</w:t>
            </w:r>
            <w:r w:rsidRPr="00100665">
              <w:rPr>
                <w:bCs/>
                <w:sz w:val="24"/>
                <w:szCs w:val="24"/>
              </w:rPr>
              <w:t xml:space="preserve"> </w:t>
            </w:r>
            <w:r>
              <w:rPr>
                <w:bCs/>
                <w:sz w:val="24"/>
                <w:szCs w:val="24"/>
              </w:rPr>
              <w:t>novērtējums ir izstrādāts nepietiekamā kvalitātē</w:t>
            </w:r>
          </w:p>
          <w:p w:rsidR="00FA2B96" w:rsidRPr="00100665" w:rsidRDefault="00FA2B96" w:rsidP="00B370A1">
            <w:pPr>
              <w:jc w:val="both"/>
              <w:rPr>
                <w:bCs/>
                <w:sz w:val="24"/>
                <w:szCs w:val="24"/>
              </w:rPr>
            </w:pPr>
          </w:p>
        </w:tc>
        <w:tc>
          <w:tcPr>
            <w:tcW w:w="3118" w:type="dxa"/>
          </w:tcPr>
          <w:p w:rsidR="00FA2B96" w:rsidRPr="00100665" w:rsidRDefault="00FA2B96" w:rsidP="00864FA3">
            <w:pPr>
              <w:jc w:val="both"/>
              <w:rPr>
                <w:bCs/>
                <w:sz w:val="24"/>
                <w:szCs w:val="24"/>
              </w:rPr>
            </w:pPr>
            <w:r>
              <w:rPr>
                <w:bCs/>
                <w:sz w:val="24"/>
                <w:szCs w:val="24"/>
              </w:rPr>
              <w:t xml:space="preserve">Satiksmes ministrija rīko regulāras tikšanās un progresa sarunas ar izpildītāju, lai vienotos par abpusēji vienotu izpratni un savlaicīgi novērstu iespējamās kļūdas un nepilnības </w:t>
            </w:r>
          </w:p>
        </w:tc>
      </w:tr>
      <w:tr w:rsidR="00FA2B96" w:rsidRPr="00100665" w:rsidTr="00431B13">
        <w:trPr>
          <w:trHeight w:val="1425"/>
        </w:trPr>
        <w:tc>
          <w:tcPr>
            <w:tcW w:w="1418" w:type="dxa"/>
            <w:vMerge w:val="restart"/>
          </w:tcPr>
          <w:p w:rsidR="00FA2B96" w:rsidRPr="00100665" w:rsidRDefault="00FA2B96" w:rsidP="000A78C8">
            <w:pPr>
              <w:jc w:val="both"/>
              <w:rPr>
                <w:bCs/>
                <w:sz w:val="24"/>
                <w:szCs w:val="24"/>
              </w:rPr>
            </w:pPr>
            <w:r w:rsidRPr="00100665">
              <w:rPr>
                <w:bCs/>
                <w:sz w:val="24"/>
                <w:szCs w:val="24"/>
              </w:rPr>
              <w:t xml:space="preserve">Sākotnējā </w:t>
            </w:r>
            <w:r>
              <w:rPr>
                <w:bCs/>
                <w:sz w:val="24"/>
                <w:szCs w:val="24"/>
              </w:rPr>
              <w:t>novērtējuma</w:t>
            </w:r>
            <w:r w:rsidRPr="00100665">
              <w:rPr>
                <w:bCs/>
                <w:sz w:val="24"/>
                <w:szCs w:val="24"/>
              </w:rPr>
              <w:t xml:space="preserve"> </w:t>
            </w:r>
            <w:r>
              <w:rPr>
                <w:bCs/>
                <w:sz w:val="24"/>
                <w:szCs w:val="24"/>
              </w:rPr>
              <w:t>apstiprināšana KI</w:t>
            </w:r>
            <w:r w:rsidRPr="00100665">
              <w:rPr>
                <w:bCs/>
                <w:sz w:val="24"/>
                <w:szCs w:val="24"/>
              </w:rPr>
              <w:t>D</w:t>
            </w:r>
            <w:r>
              <w:rPr>
                <w:bCs/>
                <w:sz w:val="24"/>
                <w:szCs w:val="24"/>
              </w:rPr>
              <w:t>G</w:t>
            </w:r>
          </w:p>
        </w:tc>
        <w:tc>
          <w:tcPr>
            <w:tcW w:w="3969" w:type="dxa"/>
            <w:tcBorders>
              <w:bottom w:val="dotted" w:sz="4" w:space="0" w:color="auto"/>
            </w:tcBorders>
          </w:tcPr>
          <w:p w:rsidR="00FA2B96" w:rsidRDefault="00FA2B96" w:rsidP="00864FA3">
            <w:pPr>
              <w:jc w:val="both"/>
              <w:rPr>
                <w:bCs/>
                <w:sz w:val="24"/>
                <w:szCs w:val="24"/>
              </w:rPr>
            </w:pPr>
            <w:r>
              <w:rPr>
                <w:bCs/>
                <w:sz w:val="24"/>
                <w:szCs w:val="24"/>
              </w:rPr>
              <w:t>KI</w:t>
            </w:r>
            <w:r w:rsidRPr="00100665">
              <w:rPr>
                <w:bCs/>
                <w:sz w:val="24"/>
                <w:szCs w:val="24"/>
              </w:rPr>
              <w:t>D</w:t>
            </w:r>
            <w:r>
              <w:rPr>
                <w:bCs/>
                <w:sz w:val="24"/>
                <w:szCs w:val="24"/>
              </w:rPr>
              <w:t xml:space="preserve">G neatbalsta priekšlikumu, ka </w:t>
            </w:r>
            <w:r w:rsidRPr="00100665">
              <w:rPr>
                <w:bCs/>
                <w:sz w:val="24"/>
                <w:szCs w:val="24"/>
              </w:rPr>
              <w:t>sākotnējais novērtējums</w:t>
            </w:r>
            <w:r>
              <w:rPr>
                <w:bCs/>
                <w:sz w:val="24"/>
                <w:szCs w:val="24"/>
              </w:rPr>
              <w:t xml:space="preserve"> tiek skaņots pa daļām (SM noslēgtais līgums par sākotnējo novērtējumu izstrādi ietver SAM 4.51., SAM 6.1.4. un SAM 6.3.1.)</w:t>
            </w:r>
          </w:p>
        </w:tc>
        <w:tc>
          <w:tcPr>
            <w:tcW w:w="3118" w:type="dxa"/>
            <w:vMerge w:val="restart"/>
          </w:tcPr>
          <w:p w:rsidR="00FA2B96" w:rsidRPr="00100665" w:rsidRDefault="00FA2B96" w:rsidP="00E7437C">
            <w:pPr>
              <w:jc w:val="both"/>
              <w:rPr>
                <w:bCs/>
                <w:sz w:val="24"/>
                <w:szCs w:val="24"/>
              </w:rPr>
            </w:pPr>
            <w:r>
              <w:rPr>
                <w:bCs/>
                <w:sz w:val="24"/>
                <w:szCs w:val="24"/>
              </w:rPr>
              <w:t>Sadarbīb</w:t>
            </w:r>
            <w:r w:rsidR="00D47B2F">
              <w:rPr>
                <w:bCs/>
                <w:sz w:val="24"/>
                <w:szCs w:val="24"/>
              </w:rPr>
              <w:t>a</w:t>
            </w:r>
            <w:r>
              <w:rPr>
                <w:bCs/>
                <w:sz w:val="24"/>
                <w:szCs w:val="24"/>
              </w:rPr>
              <w:t xml:space="preserve"> </w:t>
            </w:r>
            <w:r w:rsidR="00D47B2F">
              <w:rPr>
                <w:bCs/>
                <w:sz w:val="24"/>
                <w:szCs w:val="24"/>
              </w:rPr>
              <w:t xml:space="preserve">un operatīva </w:t>
            </w:r>
            <w:proofErr w:type="spellStart"/>
            <w:r w:rsidR="00D47B2F">
              <w:rPr>
                <w:bCs/>
                <w:sz w:val="24"/>
                <w:szCs w:val="24"/>
              </w:rPr>
              <w:t>problēmjautājumu</w:t>
            </w:r>
            <w:proofErr w:type="spellEnd"/>
            <w:r w:rsidR="00D47B2F">
              <w:rPr>
                <w:bCs/>
                <w:sz w:val="24"/>
                <w:szCs w:val="24"/>
              </w:rPr>
              <w:t xml:space="preserve"> risināšana </w:t>
            </w:r>
            <w:r>
              <w:rPr>
                <w:bCs/>
                <w:sz w:val="24"/>
                <w:szCs w:val="24"/>
              </w:rPr>
              <w:t>ar citām iesaistītajām institūcijām</w:t>
            </w:r>
          </w:p>
        </w:tc>
      </w:tr>
      <w:tr w:rsidR="00FA2B96" w:rsidRPr="00100665" w:rsidTr="00431B13">
        <w:trPr>
          <w:trHeight w:val="670"/>
        </w:trPr>
        <w:tc>
          <w:tcPr>
            <w:tcW w:w="1418" w:type="dxa"/>
            <w:vMerge/>
          </w:tcPr>
          <w:p w:rsidR="00FA2B96" w:rsidRPr="00100665" w:rsidRDefault="00FA2B96" w:rsidP="000A78C8">
            <w:pPr>
              <w:jc w:val="both"/>
              <w:rPr>
                <w:bCs/>
                <w:sz w:val="24"/>
                <w:szCs w:val="24"/>
              </w:rPr>
            </w:pPr>
          </w:p>
        </w:tc>
        <w:tc>
          <w:tcPr>
            <w:tcW w:w="3969" w:type="dxa"/>
            <w:tcBorders>
              <w:top w:val="dotted" w:sz="4" w:space="0" w:color="auto"/>
              <w:bottom w:val="dotted" w:sz="4" w:space="0" w:color="auto"/>
            </w:tcBorders>
          </w:tcPr>
          <w:p w:rsidR="00FA2B96" w:rsidRDefault="00FA2B96" w:rsidP="00864FA3">
            <w:pPr>
              <w:jc w:val="both"/>
              <w:rPr>
                <w:bCs/>
                <w:sz w:val="24"/>
                <w:szCs w:val="24"/>
              </w:rPr>
            </w:pPr>
            <w:r w:rsidRPr="00B370A1">
              <w:rPr>
                <w:bCs/>
                <w:sz w:val="24"/>
                <w:szCs w:val="24"/>
              </w:rPr>
              <w:t xml:space="preserve">Nepamatoti, ar SAM mērķi nesaistīti iebildumi </w:t>
            </w:r>
          </w:p>
        </w:tc>
        <w:tc>
          <w:tcPr>
            <w:tcW w:w="3118" w:type="dxa"/>
            <w:vMerge/>
          </w:tcPr>
          <w:p w:rsidR="00FA2B96" w:rsidRDefault="00FA2B96" w:rsidP="00E7437C">
            <w:pPr>
              <w:jc w:val="both"/>
              <w:rPr>
                <w:bCs/>
                <w:sz w:val="24"/>
                <w:szCs w:val="24"/>
              </w:rPr>
            </w:pPr>
          </w:p>
        </w:tc>
      </w:tr>
      <w:tr w:rsidR="00FA2B96" w:rsidRPr="00100665" w:rsidTr="00431B13">
        <w:trPr>
          <w:trHeight w:val="699"/>
        </w:trPr>
        <w:tc>
          <w:tcPr>
            <w:tcW w:w="1418" w:type="dxa"/>
            <w:vMerge/>
          </w:tcPr>
          <w:p w:rsidR="00FA2B96" w:rsidRPr="00100665" w:rsidRDefault="00FA2B96" w:rsidP="000A78C8">
            <w:pPr>
              <w:jc w:val="both"/>
              <w:rPr>
                <w:bCs/>
                <w:sz w:val="24"/>
                <w:szCs w:val="24"/>
              </w:rPr>
            </w:pPr>
          </w:p>
        </w:tc>
        <w:tc>
          <w:tcPr>
            <w:tcW w:w="3969" w:type="dxa"/>
            <w:tcBorders>
              <w:top w:val="dotted" w:sz="4" w:space="0" w:color="auto"/>
              <w:bottom w:val="dotted" w:sz="4" w:space="0" w:color="auto"/>
            </w:tcBorders>
          </w:tcPr>
          <w:p w:rsidR="00FA2B96" w:rsidRDefault="00D47B2F" w:rsidP="00D47B2F">
            <w:pPr>
              <w:jc w:val="both"/>
              <w:rPr>
                <w:bCs/>
                <w:sz w:val="24"/>
                <w:szCs w:val="24"/>
              </w:rPr>
            </w:pPr>
            <w:r>
              <w:rPr>
                <w:bCs/>
                <w:sz w:val="24"/>
                <w:szCs w:val="24"/>
              </w:rPr>
              <w:t xml:space="preserve">Ilgstošs saskaņošanas process, jo netiek ievēroti KIDG darba grupas reglamentā noteiktie saskaņošanas termiņi </w:t>
            </w:r>
          </w:p>
        </w:tc>
        <w:tc>
          <w:tcPr>
            <w:tcW w:w="3118" w:type="dxa"/>
            <w:vMerge/>
          </w:tcPr>
          <w:p w:rsidR="00FA2B96" w:rsidRDefault="00FA2B96" w:rsidP="00E7437C">
            <w:pPr>
              <w:jc w:val="both"/>
              <w:rPr>
                <w:bCs/>
                <w:sz w:val="24"/>
                <w:szCs w:val="24"/>
              </w:rPr>
            </w:pPr>
          </w:p>
        </w:tc>
      </w:tr>
      <w:tr w:rsidR="00FA2B96" w:rsidRPr="00100665" w:rsidTr="00431B13">
        <w:trPr>
          <w:trHeight w:val="1151"/>
        </w:trPr>
        <w:tc>
          <w:tcPr>
            <w:tcW w:w="1418" w:type="dxa"/>
            <w:vMerge/>
          </w:tcPr>
          <w:p w:rsidR="00FA2B96" w:rsidRPr="00100665" w:rsidRDefault="00FA2B96" w:rsidP="000A78C8">
            <w:pPr>
              <w:jc w:val="both"/>
              <w:rPr>
                <w:bCs/>
                <w:sz w:val="24"/>
                <w:szCs w:val="24"/>
              </w:rPr>
            </w:pPr>
          </w:p>
        </w:tc>
        <w:tc>
          <w:tcPr>
            <w:tcW w:w="3969" w:type="dxa"/>
            <w:tcBorders>
              <w:top w:val="dotted" w:sz="4" w:space="0" w:color="auto"/>
              <w:bottom w:val="dotted" w:sz="4" w:space="0" w:color="auto"/>
            </w:tcBorders>
          </w:tcPr>
          <w:p w:rsidR="00FA2B96" w:rsidRDefault="00D47B2F" w:rsidP="00864FA3">
            <w:pPr>
              <w:jc w:val="both"/>
              <w:rPr>
                <w:bCs/>
                <w:sz w:val="24"/>
                <w:szCs w:val="24"/>
              </w:rPr>
            </w:pPr>
            <w:r>
              <w:rPr>
                <w:bCs/>
                <w:sz w:val="24"/>
                <w:szCs w:val="24"/>
              </w:rPr>
              <w:t>V</w:t>
            </w:r>
            <w:r w:rsidR="00FA2B96" w:rsidRPr="00B370A1">
              <w:rPr>
                <w:bCs/>
                <w:sz w:val="24"/>
                <w:szCs w:val="24"/>
              </w:rPr>
              <w:t xml:space="preserve">airākkārtējas iterācijas par vienu un to pašu jautājumu, katru nākamo reizi </w:t>
            </w:r>
            <w:r>
              <w:rPr>
                <w:bCs/>
                <w:sz w:val="24"/>
                <w:szCs w:val="24"/>
              </w:rPr>
              <w:t>saņemot atšķirīgu</w:t>
            </w:r>
            <w:r w:rsidR="00FA2B96" w:rsidRPr="00B370A1">
              <w:rPr>
                <w:bCs/>
                <w:sz w:val="24"/>
                <w:szCs w:val="24"/>
              </w:rPr>
              <w:t xml:space="preserve"> vai pat pretrunīg</w:t>
            </w:r>
            <w:r w:rsidR="00290E48">
              <w:rPr>
                <w:bCs/>
                <w:sz w:val="24"/>
                <w:szCs w:val="24"/>
              </w:rPr>
              <w:t>u viedokli</w:t>
            </w:r>
          </w:p>
        </w:tc>
        <w:tc>
          <w:tcPr>
            <w:tcW w:w="3118" w:type="dxa"/>
            <w:vMerge/>
          </w:tcPr>
          <w:p w:rsidR="00FA2B96" w:rsidRDefault="00FA2B96" w:rsidP="00E7437C">
            <w:pPr>
              <w:jc w:val="both"/>
              <w:rPr>
                <w:bCs/>
                <w:sz w:val="24"/>
                <w:szCs w:val="24"/>
              </w:rPr>
            </w:pPr>
          </w:p>
        </w:tc>
      </w:tr>
      <w:tr w:rsidR="00FA2B96" w:rsidRPr="00100665" w:rsidTr="00431B13">
        <w:trPr>
          <w:trHeight w:val="1425"/>
        </w:trPr>
        <w:tc>
          <w:tcPr>
            <w:tcW w:w="1418" w:type="dxa"/>
            <w:vMerge/>
          </w:tcPr>
          <w:p w:rsidR="00FA2B96" w:rsidRPr="00100665" w:rsidRDefault="00FA2B96" w:rsidP="000A78C8">
            <w:pPr>
              <w:jc w:val="both"/>
              <w:rPr>
                <w:bCs/>
                <w:sz w:val="24"/>
                <w:szCs w:val="24"/>
              </w:rPr>
            </w:pPr>
          </w:p>
        </w:tc>
        <w:tc>
          <w:tcPr>
            <w:tcW w:w="3969" w:type="dxa"/>
            <w:tcBorders>
              <w:top w:val="dotted" w:sz="4" w:space="0" w:color="auto"/>
              <w:bottom w:val="dotted" w:sz="4" w:space="0" w:color="auto"/>
            </w:tcBorders>
          </w:tcPr>
          <w:p w:rsidR="00FA2B96" w:rsidRDefault="00FA2B96" w:rsidP="00864FA3">
            <w:pPr>
              <w:jc w:val="both"/>
              <w:rPr>
                <w:bCs/>
                <w:sz w:val="24"/>
                <w:szCs w:val="24"/>
              </w:rPr>
            </w:pPr>
            <w:r w:rsidRPr="00B370A1">
              <w:rPr>
                <w:bCs/>
                <w:sz w:val="24"/>
                <w:szCs w:val="24"/>
              </w:rPr>
              <w:t>Pretrunīgi komentāri vienas iestādes ietvaros vai no dažādām iestādēm - savstarpējai saskaņošanai un visām pusēm pieņemamākā risinājuma panākšanai nepieciešamais rezerves laiks</w:t>
            </w:r>
          </w:p>
        </w:tc>
        <w:tc>
          <w:tcPr>
            <w:tcW w:w="3118" w:type="dxa"/>
            <w:vMerge/>
          </w:tcPr>
          <w:p w:rsidR="00FA2B96" w:rsidRDefault="00FA2B96" w:rsidP="00E7437C">
            <w:pPr>
              <w:jc w:val="both"/>
              <w:rPr>
                <w:bCs/>
                <w:sz w:val="24"/>
                <w:szCs w:val="24"/>
              </w:rPr>
            </w:pPr>
          </w:p>
        </w:tc>
      </w:tr>
      <w:tr w:rsidR="008C1BF0" w:rsidRPr="00100665" w:rsidTr="00431B13">
        <w:trPr>
          <w:trHeight w:val="1431"/>
        </w:trPr>
        <w:tc>
          <w:tcPr>
            <w:tcW w:w="1418" w:type="dxa"/>
            <w:vMerge w:val="restart"/>
          </w:tcPr>
          <w:p w:rsidR="008C1BF0" w:rsidRPr="00100665" w:rsidRDefault="008C1BF0" w:rsidP="000A78C8">
            <w:pPr>
              <w:jc w:val="both"/>
              <w:rPr>
                <w:bCs/>
                <w:sz w:val="24"/>
                <w:szCs w:val="24"/>
              </w:rPr>
            </w:pPr>
            <w:r>
              <w:rPr>
                <w:bCs/>
                <w:sz w:val="24"/>
                <w:szCs w:val="24"/>
              </w:rPr>
              <w:t>MK noteikumu projekta saskaņošana</w:t>
            </w:r>
          </w:p>
        </w:tc>
        <w:tc>
          <w:tcPr>
            <w:tcW w:w="3969" w:type="dxa"/>
          </w:tcPr>
          <w:p w:rsidR="008C1BF0" w:rsidRDefault="008C1BF0" w:rsidP="00525C3D">
            <w:pPr>
              <w:jc w:val="both"/>
              <w:rPr>
                <w:bCs/>
                <w:sz w:val="24"/>
                <w:szCs w:val="24"/>
              </w:rPr>
            </w:pPr>
            <w:r>
              <w:rPr>
                <w:bCs/>
                <w:sz w:val="24"/>
                <w:szCs w:val="24"/>
              </w:rPr>
              <w:t>Ilgstošs saskaņošanas process, jo netiek ievēroti MK 2009.gada 7.aprīļa noteikumos</w:t>
            </w:r>
            <w:r w:rsidRPr="00525C3D">
              <w:rPr>
                <w:bCs/>
                <w:sz w:val="24"/>
                <w:szCs w:val="24"/>
              </w:rPr>
              <w:t xml:space="preserve"> Nr.300 “Ministru kabineta kārtības rullis” </w:t>
            </w:r>
            <w:r>
              <w:rPr>
                <w:bCs/>
                <w:sz w:val="24"/>
                <w:szCs w:val="24"/>
              </w:rPr>
              <w:t>noteiktie saskaņošanas termiņi</w:t>
            </w:r>
          </w:p>
        </w:tc>
        <w:tc>
          <w:tcPr>
            <w:tcW w:w="3118" w:type="dxa"/>
            <w:vMerge w:val="restart"/>
          </w:tcPr>
          <w:p w:rsidR="00E53F75" w:rsidRPr="00E53F75" w:rsidRDefault="00E53F75" w:rsidP="00E53F75">
            <w:pPr>
              <w:jc w:val="both"/>
              <w:rPr>
                <w:bCs/>
                <w:sz w:val="24"/>
                <w:szCs w:val="24"/>
              </w:rPr>
            </w:pPr>
            <w:r w:rsidRPr="00E53F75">
              <w:rPr>
                <w:bCs/>
                <w:sz w:val="24"/>
                <w:szCs w:val="24"/>
              </w:rPr>
              <w:t>1.</w:t>
            </w:r>
            <w:r w:rsidRPr="00431B13">
              <w:rPr>
                <w:sz w:val="24"/>
                <w:szCs w:val="24"/>
              </w:rPr>
              <w:t xml:space="preserve"> Kvalitatīva,  </w:t>
            </w:r>
            <w:r w:rsidRPr="00E53F75">
              <w:rPr>
                <w:bCs/>
                <w:sz w:val="24"/>
                <w:szCs w:val="24"/>
              </w:rPr>
              <w:t>plānošanas dokumentiem un horizontālajam regulējumam</w:t>
            </w:r>
            <w:r w:rsidRPr="00431B13">
              <w:rPr>
                <w:bCs/>
                <w:sz w:val="24"/>
                <w:szCs w:val="24"/>
              </w:rPr>
              <w:t xml:space="preserve"> atbilstoša MK noteikumu projekta sagatavošana</w:t>
            </w:r>
            <w:r w:rsidRPr="00E53F75">
              <w:rPr>
                <w:bCs/>
                <w:sz w:val="24"/>
                <w:szCs w:val="24"/>
              </w:rPr>
              <w:t>.</w:t>
            </w:r>
          </w:p>
          <w:p w:rsidR="00E53F75" w:rsidRDefault="00E53F75" w:rsidP="0054364F">
            <w:pPr>
              <w:jc w:val="both"/>
              <w:rPr>
                <w:bCs/>
                <w:sz w:val="24"/>
                <w:szCs w:val="24"/>
              </w:rPr>
            </w:pPr>
          </w:p>
          <w:p w:rsidR="008C1BF0" w:rsidRPr="00100665" w:rsidRDefault="00E53F75" w:rsidP="0054364F">
            <w:pPr>
              <w:jc w:val="both"/>
              <w:rPr>
                <w:bCs/>
                <w:sz w:val="24"/>
                <w:szCs w:val="24"/>
              </w:rPr>
            </w:pPr>
            <w:r>
              <w:rPr>
                <w:bCs/>
                <w:sz w:val="24"/>
                <w:szCs w:val="24"/>
              </w:rPr>
              <w:t xml:space="preserve">2. </w:t>
            </w:r>
            <w:r w:rsidR="008C1BF0">
              <w:rPr>
                <w:bCs/>
                <w:sz w:val="24"/>
                <w:szCs w:val="24"/>
              </w:rPr>
              <w:t xml:space="preserve">Sadarbība un operatīva </w:t>
            </w:r>
            <w:proofErr w:type="spellStart"/>
            <w:r w:rsidR="008C1BF0">
              <w:rPr>
                <w:bCs/>
                <w:sz w:val="24"/>
                <w:szCs w:val="24"/>
              </w:rPr>
              <w:t>problēmjautājumu</w:t>
            </w:r>
            <w:proofErr w:type="spellEnd"/>
            <w:r w:rsidR="008C1BF0">
              <w:rPr>
                <w:bCs/>
                <w:sz w:val="24"/>
                <w:szCs w:val="24"/>
              </w:rPr>
              <w:t xml:space="preserve"> risināšana ar citām iesaistītajām </w:t>
            </w:r>
            <w:r w:rsidR="008C1BF0">
              <w:rPr>
                <w:bCs/>
                <w:sz w:val="24"/>
                <w:szCs w:val="24"/>
              </w:rPr>
              <w:lastRenderedPageBreak/>
              <w:t>institūcijām</w:t>
            </w:r>
          </w:p>
        </w:tc>
      </w:tr>
      <w:tr w:rsidR="008C1BF0" w:rsidRPr="00100665" w:rsidTr="00431B13">
        <w:trPr>
          <w:trHeight w:val="841"/>
        </w:trPr>
        <w:tc>
          <w:tcPr>
            <w:tcW w:w="1418" w:type="dxa"/>
            <w:vMerge/>
          </w:tcPr>
          <w:p w:rsidR="008C1BF0" w:rsidRDefault="008C1BF0" w:rsidP="000A78C8">
            <w:pPr>
              <w:jc w:val="both"/>
              <w:rPr>
                <w:bCs/>
                <w:sz w:val="24"/>
                <w:szCs w:val="24"/>
              </w:rPr>
            </w:pPr>
          </w:p>
        </w:tc>
        <w:tc>
          <w:tcPr>
            <w:tcW w:w="3969" w:type="dxa"/>
          </w:tcPr>
          <w:p w:rsidR="008C1BF0" w:rsidRDefault="008C1BF0" w:rsidP="00525C3D">
            <w:pPr>
              <w:jc w:val="both"/>
              <w:rPr>
                <w:bCs/>
                <w:sz w:val="24"/>
                <w:szCs w:val="24"/>
              </w:rPr>
            </w:pPr>
            <w:r>
              <w:rPr>
                <w:bCs/>
                <w:sz w:val="24"/>
                <w:szCs w:val="24"/>
              </w:rPr>
              <w:t>Saskaņošanas procesā tiek izteikti pretrunīgi iebildumi, kas paildzina saskaņošanas laiku.</w:t>
            </w:r>
          </w:p>
        </w:tc>
        <w:tc>
          <w:tcPr>
            <w:tcW w:w="3118" w:type="dxa"/>
            <w:vMerge/>
          </w:tcPr>
          <w:p w:rsidR="008C1BF0" w:rsidRPr="00100665" w:rsidRDefault="008C1BF0" w:rsidP="0054364F">
            <w:pPr>
              <w:jc w:val="both"/>
              <w:rPr>
                <w:bCs/>
                <w:sz w:val="24"/>
                <w:szCs w:val="24"/>
              </w:rPr>
            </w:pPr>
          </w:p>
        </w:tc>
      </w:tr>
      <w:tr w:rsidR="008C1BF0" w:rsidRPr="00100665" w:rsidTr="00431B13">
        <w:trPr>
          <w:trHeight w:val="416"/>
        </w:trPr>
        <w:tc>
          <w:tcPr>
            <w:tcW w:w="1418" w:type="dxa"/>
            <w:vMerge/>
          </w:tcPr>
          <w:p w:rsidR="008C1BF0" w:rsidRDefault="008C1BF0" w:rsidP="000A78C8">
            <w:pPr>
              <w:jc w:val="both"/>
              <w:rPr>
                <w:bCs/>
                <w:sz w:val="24"/>
                <w:szCs w:val="24"/>
              </w:rPr>
            </w:pPr>
          </w:p>
        </w:tc>
        <w:tc>
          <w:tcPr>
            <w:tcW w:w="3969" w:type="dxa"/>
          </w:tcPr>
          <w:p w:rsidR="008C1BF0" w:rsidRDefault="008C1BF0" w:rsidP="00D47B2F">
            <w:pPr>
              <w:jc w:val="both"/>
              <w:rPr>
                <w:bCs/>
                <w:sz w:val="24"/>
                <w:szCs w:val="24"/>
              </w:rPr>
            </w:pPr>
            <w:r>
              <w:rPr>
                <w:bCs/>
                <w:sz w:val="24"/>
                <w:szCs w:val="24"/>
              </w:rPr>
              <w:t xml:space="preserve">Atkārtotas saskaņošanas procesā tiek </w:t>
            </w:r>
            <w:r>
              <w:rPr>
                <w:bCs/>
                <w:sz w:val="24"/>
                <w:szCs w:val="24"/>
              </w:rPr>
              <w:lastRenderedPageBreak/>
              <w:t>izteikti arvien jauni iebildumi, tādējādi kavējot saskaņošanas kopējo procesu un radot pamatu jaunām papildu diskusijām starp visām iesaistītajām pusēm</w:t>
            </w:r>
            <w:r>
              <w:t xml:space="preserve"> </w:t>
            </w:r>
          </w:p>
        </w:tc>
        <w:tc>
          <w:tcPr>
            <w:tcW w:w="3118" w:type="dxa"/>
            <w:vMerge/>
          </w:tcPr>
          <w:p w:rsidR="008C1BF0" w:rsidRPr="00100665" w:rsidRDefault="008C1BF0" w:rsidP="0054364F">
            <w:pPr>
              <w:jc w:val="both"/>
              <w:rPr>
                <w:bCs/>
                <w:sz w:val="24"/>
                <w:szCs w:val="24"/>
              </w:rPr>
            </w:pPr>
          </w:p>
        </w:tc>
      </w:tr>
      <w:tr w:rsidR="008C1BF0" w:rsidRPr="00100665" w:rsidTr="00431B13">
        <w:trPr>
          <w:trHeight w:val="1245"/>
        </w:trPr>
        <w:tc>
          <w:tcPr>
            <w:tcW w:w="1418" w:type="dxa"/>
            <w:vMerge/>
          </w:tcPr>
          <w:p w:rsidR="008C1BF0" w:rsidRDefault="008C1BF0" w:rsidP="000A78C8">
            <w:pPr>
              <w:jc w:val="both"/>
              <w:rPr>
                <w:bCs/>
                <w:sz w:val="24"/>
                <w:szCs w:val="24"/>
              </w:rPr>
            </w:pPr>
          </w:p>
        </w:tc>
        <w:tc>
          <w:tcPr>
            <w:tcW w:w="3969" w:type="dxa"/>
          </w:tcPr>
          <w:p w:rsidR="008C1BF0" w:rsidRDefault="008C1BF0" w:rsidP="00D47B2F">
            <w:pPr>
              <w:jc w:val="both"/>
              <w:rPr>
                <w:bCs/>
                <w:sz w:val="24"/>
                <w:szCs w:val="24"/>
              </w:rPr>
            </w:pPr>
            <w:r w:rsidRPr="00D47B2F">
              <w:rPr>
                <w:bCs/>
                <w:sz w:val="24"/>
                <w:szCs w:val="24"/>
              </w:rPr>
              <w:t>Nepamatoti, ar SAM mērķi nesaistīti iebildumi, piem. sociālo partneru vēlme SAM tiesisko regulējumu attiecināt uz citu nozares problēmjautājumu risināšanu</w:t>
            </w:r>
          </w:p>
        </w:tc>
        <w:tc>
          <w:tcPr>
            <w:tcW w:w="3118" w:type="dxa"/>
            <w:vMerge/>
          </w:tcPr>
          <w:p w:rsidR="008C1BF0" w:rsidRDefault="008C1BF0" w:rsidP="0054364F">
            <w:pPr>
              <w:jc w:val="both"/>
              <w:rPr>
                <w:bCs/>
                <w:sz w:val="24"/>
                <w:szCs w:val="24"/>
              </w:rPr>
            </w:pPr>
          </w:p>
        </w:tc>
      </w:tr>
      <w:tr w:rsidR="008C1BF0" w:rsidRPr="00100665" w:rsidTr="00431B13">
        <w:trPr>
          <w:trHeight w:val="489"/>
        </w:trPr>
        <w:tc>
          <w:tcPr>
            <w:tcW w:w="1418" w:type="dxa"/>
            <w:vMerge w:val="restart"/>
          </w:tcPr>
          <w:p w:rsidR="008C1BF0" w:rsidRPr="00100665" w:rsidRDefault="008C1BF0" w:rsidP="00525C3D">
            <w:pPr>
              <w:jc w:val="both"/>
              <w:rPr>
                <w:bCs/>
                <w:sz w:val="24"/>
                <w:szCs w:val="24"/>
              </w:rPr>
            </w:pPr>
            <w:r>
              <w:rPr>
                <w:bCs/>
                <w:sz w:val="24"/>
                <w:szCs w:val="24"/>
              </w:rPr>
              <w:t xml:space="preserve">Projektu iesniegumu atlases nolikuma saskaņošana </w:t>
            </w:r>
          </w:p>
        </w:tc>
        <w:tc>
          <w:tcPr>
            <w:tcW w:w="3969" w:type="dxa"/>
          </w:tcPr>
          <w:p w:rsidR="008C1BF0" w:rsidRDefault="008C1BF0" w:rsidP="008C1BF0">
            <w:pPr>
              <w:jc w:val="both"/>
              <w:rPr>
                <w:bCs/>
                <w:sz w:val="24"/>
                <w:szCs w:val="24"/>
              </w:rPr>
            </w:pPr>
            <w:r>
              <w:rPr>
                <w:bCs/>
                <w:sz w:val="24"/>
                <w:szCs w:val="24"/>
              </w:rPr>
              <w:t xml:space="preserve">Novēloti uzsākta nolikuma izstrāde </w:t>
            </w:r>
          </w:p>
        </w:tc>
        <w:tc>
          <w:tcPr>
            <w:tcW w:w="3118" w:type="dxa"/>
            <w:vMerge w:val="restart"/>
          </w:tcPr>
          <w:p w:rsidR="008C1BF0" w:rsidRDefault="008C1BF0" w:rsidP="008C1BF0">
            <w:pPr>
              <w:jc w:val="both"/>
              <w:rPr>
                <w:bCs/>
                <w:sz w:val="24"/>
                <w:szCs w:val="24"/>
              </w:rPr>
            </w:pPr>
            <w:r>
              <w:rPr>
                <w:bCs/>
                <w:sz w:val="24"/>
                <w:szCs w:val="24"/>
              </w:rPr>
              <w:t>1. SM rīcībā esošā informācija (projektu iesniegumu atlases kritēriju metodik</w:t>
            </w:r>
            <w:r w:rsidR="00BA4F18">
              <w:rPr>
                <w:bCs/>
                <w:sz w:val="24"/>
                <w:szCs w:val="24"/>
              </w:rPr>
              <w:t>a</w:t>
            </w:r>
            <w:r>
              <w:rPr>
                <w:bCs/>
                <w:sz w:val="24"/>
                <w:szCs w:val="24"/>
              </w:rPr>
              <w:t>, MK noteikumu projekts) iesniegta CFLA nolikuma sagatavošanai - š.g. septembrī.</w:t>
            </w:r>
          </w:p>
          <w:p w:rsidR="008C1BF0" w:rsidRPr="00100665" w:rsidRDefault="008C1BF0" w:rsidP="008C1BF0">
            <w:pPr>
              <w:jc w:val="both"/>
              <w:rPr>
                <w:bCs/>
                <w:sz w:val="24"/>
                <w:szCs w:val="24"/>
              </w:rPr>
            </w:pPr>
            <w:r>
              <w:rPr>
                <w:bCs/>
                <w:sz w:val="24"/>
                <w:szCs w:val="24"/>
              </w:rPr>
              <w:t>2.Sadarbībā ar CFLA un FM nolikuma izstrādes un savstarpējās saskaņošanas procesu virzības sekmēšana paralēli MK noteikumu apstiprināšanai.</w:t>
            </w:r>
          </w:p>
        </w:tc>
      </w:tr>
      <w:tr w:rsidR="008C1BF0" w:rsidRPr="00100665" w:rsidTr="00431B13">
        <w:trPr>
          <w:trHeight w:val="690"/>
        </w:trPr>
        <w:tc>
          <w:tcPr>
            <w:tcW w:w="1418" w:type="dxa"/>
            <w:vMerge/>
          </w:tcPr>
          <w:p w:rsidR="008C1BF0" w:rsidRDefault="008C1BF0" w:rsidP="00525C3D">
            <w:pPr>
              <w:jc w:val="both"/>
              <w:rPr>
                <w:bCs/>
                <w:sz w:val="24"/>
                <w:szCs w:val="24"/>
              </w:rPr>
            </w:pPr>
          </w:p>
        </w:tc>
        <w:tc>
          <w:tcPr>
            <w:tcW w:w="3969" w:type="dxa"/>
          </w:tcPr>
          <w:p w:rsidR="008C1BF0" w:rsidRDefault="008C1BF0" w:rsidP="008C1BF0">
            <w:pPr>
              <w:jc w:val="both"/>
              <w:rPr>
                <w:bCs/>
                <w:sz w:val="24"/>
                <w:szCs w:val="24"/>
              </w:rPr>
            </w:pPr>
            <w:r>
              <w:rPr>
                <w:bCs/>
                <w:sz w:val="24"/>
                <w:szCs w:val="24"/>
              </w:rPr>
              <w:t>Ilgstošs saskaņošanas process vairākkārtēju saskaņošanas iterāciju un ilgstošas izskatīšanas kādā no iesaistītajām pusēm (SM, CFLA, FM) dēļ</w:t>
            </w:r>
          </w:p>
        </w:tc>
        <w:tc>
          <w:tcPr>
            <w:tcW w:w="3118" w:type="dxa"/>
            <w:vMerge/>
          </w:tcPr>
          <w:p w:rsidR="008C1BF0" w:rsidRDefault="008C1BF0" w:rsidP="002C0910">
            <w:pPr>
              <w:jc w:val="both"/>
              <w:rPr>
                <w:bCs/>
                <w:sz w:val="24"/>
                <w:szCs w:val="24"/>
              </w:rPr>
            </w:pPr>
          </w:p>
        </w:tc>
      </w:tr>
      <w:tr w:rsidR="00FA2B96" w:rsidRPr="00100665" w:rsidTr="00431B13">
        <w:tc>
          <w:tcPr>
            <w:tcW w:w="1418" w:type="dxa"/>
          </w:tcPr>
          <w:p w:rsidR="00FA2B96" w:rsidRPr="00100665" w:rsidRDefault="00FA2B96" w:rsidP="000A78C8">
            <w:pPr>
              <w:jc w:val="both"/>
              <w:rPr>
                <w:bCs/>
                <w:sz w:val="24"/>
                <w:szCs w:val="24"/>
              </w:rPr>
            </w:pPr>
            <w:r>
              <w:rPr>
                <w:bCs/>
                <w:sz w:val="24"/>
                <w:szCs w:val="24"/>
              </w:rPr>
              <w:t>Projektu iesniegumu atlase</w:t>
            </w:r>
          </w:p>
        </w:tc>
        <w:tc>
          <w:tcPr>
            <w:tcW w:w="3969" w:type="dxa"/>
          </w:tcPr>
          <w:p w:rsidR="00FA2B96" w:rsidRDefault="00FA2B96" w:rsidP="001F5749">
            <w:pPr>
              <w:jc w:val="both"/>
              <w:rPr>
                <w:bCs/>
                <w:sz w:val="24"/>
                <w:szCs w:val="24"/>
              </w:rPr>
            </w:pPr>
            <w:r>
              <w:rPr>
                <w:bCs/>
                <w:sz w:val="24"/>
                <w:szCs w:val="24"/>
              </w:rPr>
              <w:t>Nekvalitatīvi sagatavoti projektu iesniegumi</w:t>
            </w:r>
          </w:p>
        </w:tc>
        <w:tc>
          <w:tcPr>
            <w:tcW w:w="3118" w:type="dxa"/>
          </w:tcPr>
          <w:p w:rsidR="00FA2B96" w:rsidRDefault="00FA2B96" w:rsidP="00E7437C">
            <w:pPr>
              <w:jc w:val="both"/>
              <w:rPr>
                <w:bCs/>
                <w:sz w:val="24"/>
                <w:szCs w:val="24"/>
              </w:rPr>
            </w:pPr>
            <w:r>
              <w:rPr>
                <w:bCs/>
                <w:sz w:val="24"/>
                <w:szCs w:val="24"/>
              </w:rPr>
              <w:t xml:space="preserve">1. </w:t>
            </w:r>
            <w:r w:rsidR="008C1BF0">
              <w:rPr>
                <w:bCs/>
                <w:sz w:val="24"/>
                <w:szCs w:val="24"/>
              </w:rPr>
              <w:t>F</w:t>
            </w:r>
            <w:r>
              <w:rPr>
                <w:bCs/>
                <w:sz w:val="24"/>
                <w:szCs w:val="24"/>
              </w:rPr>
              <w:t xml:space="preserve">inansējuma </w:t>
            </w:r>
            <w:r w:rsidR="008C1BF0">
              <w:rPr>
                <w:bCs/>
                <w:sz w:val="24"/>
                <w:szCs w:val="24"/>
              </w:rPr>
              <w:t xml:space="preserve">saņēmējs ir aicināts savlaicīgi uzsākt </w:t>
            </w:r>
            <w:r>
              <w:rPr>
                <w:bCs/>
                <w:sz w:val="24"/>
                <w:szCs w:val="24"/>
              </w:rPr>
              <w:t xml:space="preserve">projektu iesniegumu </w:t>
            </w:r>
            <w:r w:rsidR="008C1BF0">
              <w:rPr>
                <w:bCs/>
                <w:sz w:val="24"/>
                <w:szCs w:val="24"/>
              </w:rPr>
              <w:t>sagatavošanu</w:t>
            </w:r>
            <w:r>
              <w:rPr>
                <w:bCs/>
                <w:sz w:val="24"/>
                <w:szCs w:val="24"/>
              </w:rPr>
              <w:t>.</w:t>
            </w:r>
          </w:p>
          <w:p w:rsidR="00FA2B96" w:rsidRDefault="00FA2B96" w:rsidP="00E7437C">
            <w:pPr>
              <w:jc w:val="both"/>
              <w:rPr>
                <w:bCs/>
                <w:sz w:val="24"/>
                <w:szCs w:val="24"/>
              </w:rPr>
            </w:pPr>
            <w:r>
              <w:rPr>
                <w:bCs/>
                <w:sz w:val="24"/>
                <w:szCs w:val="24"/>
              </w:rPr>
              <w:t>2. CFLA konsultācijas projekta iesnieguma sagatavošanā</w:t>
            </w:r>
          </w:p>
          <w:p w:rsidR="008C1BF0" w:rsidRPr="00100665" w:rsidRDefault="008C1BF0" w:rsidP="00E7437C">
            <w:pPr>
              <w:jc w:val="both"/>
              <w:rPr>
                <w:bCs/>
                <w:sz w:val="24"/>
                <w:szCs w:val="24"/>
              </w:rPr>
            </w:pPr>
            <w:r>
              <w:rPr>
                <w:bCs/>
                <w:sz w:val="24"/>
                <w:szCs w:val="24"/>
              </w:rPr>
              <w:t>3. Finansējuma saņēmēja pieredze SAM 6.1.5. projektu iesniegumu sagatavošanā</w:t>
            </w:r>
          </w:p>
        </w:tc>
      </w:tr>
    </w:tbl>
    <w:p w:rsidR="007E5F2A" w:rsidRPr="00100665" w:rsidRDefault="007E5F2A" w:rsidP="00E7437C">
      <w:pPr>
        <w:ind w:firstLine="720"/>
        <w:jc w:val="both"/>
        <w:rPr>
          <w:bCs/>
          <w:sz w:val="24"/>
          <w:szCs w:val="24"/>
        </w:rPr>
      </w:pPr>
    </w:p>
    <w:sectPr w:rsidR="007E5F2A" w:rsidRPr="00100665" w:rsidSect="0080614A">
      <w:headerReference w:type="default" r:id="rId9"/>
      <w:footerReference w:type="default" r:id="rId10"/>
      <w:pgSz w:w="11906" w:h="16838"/>
      <w:pgMar w:top="1440" w:right="1558"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F0B" w:rsidRDefault="00CF7F0B" w:rsidP="00290E48">
      <w:pPr>
        <w:spacing w:after="0"/>
      </w:pPr>
      <w:r>
        <w:separator/>
      </w:r>
    </w:p>
  </w:endnote>
  <w:endnote w:type="continuationSeparator" w:id="0">
    <w:p w:rsidR="00CF7F0B" w:rsidRDefault="00CF7F0B" w:rsidP="00290E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8F" w:rsidRPr="00411B8F" w:rsidRDefault="00411B8F" w:rsidP="00411B8F">
    <w:pPr>
      <w:pStyle w:val="Footer"/>
      <w:jc w:val="both"/>
      <w:rPr>
        <w:sz w:val="18"/>
        <w:szCs w:val="18"/>
      </w:rPr>
    </w:pPr>
    <w:r>
      <w:rPr>
        <w:sz w:val="18"/>
        <w:szCs w:val="18"/>
      </w:rPr>
      <w:t xml:space="preserve">MKnotAnot464_pielik_01102015; </w:t>
    </w:r>
    <w:r w:rsidRPr="00411B8F">
      <w:rPr>
        <w:sz w:val="18"/>
        <w:szCs w:val="18"/>
      </w:rPr>
      <w:t>Satiksmes ministrijas ziņojums</w:t>
    </w:r>
    <w:r>
      <w:rPr>
        <w:sz w:val="18"/>
        <w:szCs w:val="18"/>
      </w:rPr>
      <w:t xml:space="preserve"> </w:t>
    </w:r>
    <w:r w:rsidRPr="00411B8F">
      <w:rPr>
        <w:sz w:val="18"/>
        <w:szCs w:val="18"/>
      </w:rPr>
      <w:t>par priekšlikumiem ātrākai projektu apstiprināšanai un to sekmīgai īstenošanai Eiropas Savienības fondu darbības programmas „Izaugsme un nodarbinātība” 6.3.1.specifiskā atbalsta mērķa „Palielināt reģionālo mobilitāti uzlabojot valsts reģionālo autoceļu kvalitāti” ietvaros un risku  mazinošiem pasākumiem</w:t>
    </w:r>
  </w:p>
  <w:p w:rsidR="00411B8F" w:rsidRDefault="00411B8F" w:rsidP="00411B8F">
    <w:pPr>
      <w:pStyle w:val="Footer"/>
      <w:jc w:val="both"/>
    </w:pPr>
  </w:p>
  <w:p w:rsidR="0080614A" w:rsidRDefault="0080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F0B" w:rsidRDefault="00CF7F0B" w:rsidP="00290E48">
      <w:pPr>
        <w:spacing w:after="0"/>
      </w:pPr>
      <w:r>
        <w:separator/>
      </w:r>
    </w:p>
  </w:footnote>
  <w:footnote w:type="continuationSeparator" w:id="0">
    <w:p w:rsidR="00CF7F0B" w:rsidRDefault="00CF7F0B" w:rsidP="00290E4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960121"/>
      <w:docPartObj>
        <w:docPartGallery w:val="Page Numbers (Top of Page)"/>
        <w:docPartUnique/>
      </w:docPartObj>
    </w:sdtPr>
    <w:sdtEndPr>
      <w:rPr>
        <w:noProof/>
        <w:sz w:val="20"/>
        <w:szCs w:val="20"/>
      </w:rPr>
    </w:sdtEndPr>
    <w:sdtContent>
      <w:p w:rsidR="00DA1353" w:rsidRPr="00DA1353" w:rsidRDefault="00DA1353">
        <w:pPr>
          <w:pStyle w:val="Header"/>
          <w:jc w:val="center"/>
          <w:rPr>
            <w:sz w:val="20"/>
            <w:szCs w:val="20"/>
          </w:rPr>
        </w:pPr>
        <w:r w:rsidRPr="00DA1353">
          <w:rPr>
            <w:sz w:val="20"/>
            <w:szCs w:val="20"/>
          </w:rPr>
          <w:fldChar w:fldCharType="begin"/>
        </w:r>
        <w:r w:rsidRPr="00DA1353">
          <w:rPr>
            <w:sz w:val="20"/>
            <w:szCs w:val="20"/>
          </w:rPr>
          <w:instrText xml:space="preserve"> PAGE   \* MERGEFORMAT </w:instrText>
        </w:r>
        <w:r w:rsidRPr="00DA1353">
          <w:rPr>
            <w:sz w:val="20"/>
            <w:szCs w:val="20"/>
          </w:rPr>
          <w:fldChar w:fldCharType="separate"/>
        </w:r>
        <w:r w:rsidR="00B07B4C">
          <w:rPr>
            <w:noProof/>
            <w:sz w:val="20"/>
            <w:szCs w:val="20"/>
          </w:rPr>
          <w:t>4</w:t>
        </w:r>
        <w:r w:rsidRPr="00DA1353">
          <w:rPr>
            <w:noProof/>
            <w:sz w:val="20"/>
            <w:szCs w:val="20"/>
          </w:rPr>
          <w:fldChar w:fldCharType="end"/>
        </w:r>
      </w:p>
    </w:sdtContent>
  </w:sdt>
  <w:p w:rsidR="0080614A" w:rsidRPr="0080614A" w:rsidRDefault="0080614A">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7C"/>
    <w:rsid w:val="0009110E"/>
    <w:rsid w:val="00091CA2"/>
    <w:rsid w:val="000A78C8"/>
    <w:rsid w:val="00100665"/>
    <w:rsid w:val="00104247"/>
    <w:rsid w:val="00126025"/>
    <w:rsid w:val="001B7E37"/>
    <w:rsid w:val="001F5749"/>
    <w:rsid w:val="00205DED"/>
    <w:rsid w:val="00290E48"/>
    <w:rsid w:val="002C1943"/>
    <w:rsid w:val="0039274F"/>
    <w:rsid w:val="00411B8F"/>
    <w:rsid w:val="00420FA6"/>
    <w:rsid w:val="00431B13"/>
    <w:rsid w:val="0045399D"/>
    <w:rsid w:val="004A44DD"/>
    <w:rsid w:val="004E2631"/>
    <w:rsid w:val="005235C2"/>
    <w:rsid w:val="00525C3D"/>
    <w:rsid w:val="005266A0"/>
    <w:rsid w:val="00542A9B"/>
    <w:rsid w:val="00605861"/>
    <w:rsid w:val="00687A07"/>
    <w:rsid w:val="00747988"/>
    <w:rsid w:val="00751453"/>
    <w:rsid w:val="007D62FF"/>
    <w:rsid w:val="007E5F2A"/>
    <w:rsid w:val="0080614A"/>
    <w:rsid w:val="00864FA3"/>
    <w:rsid w:val="00874668"/>
    <w:rsid w:val="008775F3"/>
    <w:rsid w:val="008A4FC4"/>
    <w:rsid w:val="008C1BF0"/>
    <w:rsid w:val="0095640D"/>
    <w:rsid w:val="009B3680"/>
    <w:rsid w:val="00AB5B04"/>
    <w:rsid w:val="00B07B4C"/>
    <w:rsid w:val="00B370A1"/>
    <w:rsid w:val="00B825E4"/>
    <w:rsid w:val="00BA4F18"/>
    <w:rsid w:val="00C32919"/>
    <w:rsid w:val="00C527FE"/>
    <w:rsid w:val="00CF7F0B"/>
    <w:rsid w:val="00D47B2F"/>
    <w:rsid w:val="00D5506A"/>
    <w:rsid w:val="00D61E0A"/>
    <w:rsid w:val="00D96D9B"/>
    <w:rsid w:val="00DA1353"/>
    <w:rsid w:val="00E53F75"/>
    <w:rsid w:val="00E672C9"/>
    <w:rsid w:val="00E7437C"/>
    <w:rsid w:val="00EC3990"/>
    <w:rsid w:val="00EF5DDF"/>
    <w:rsid w:val="00F60043"/>
    <w:rsid w:val="00F75B95"/>
    <w:rsid w:val="00FA2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7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10E"/>
    <w:pPr>
      <w:ind w:left="720"/>
      <w:contextualSpacing/>
    </w:pPr>
  </w:style>
  <w:style w:type="character" w:styleId="CommentReference">
    <w:name w:val="annotation reference"/>
    <w:basedOn w:val="DefaultParagraphFont"/>
    <w:uiPriority w:val="99"/>
    <w:semiHidden/>
    <w:unhideWhenUsed/>
    <w:rsid w:val="00C32919"/>
    <w:rPr>
      <w:sz w:val="16"/>
      <w:szCs w:val="16"/>
    </w:rPr>
  </w:style>
  <w:style w:type="paragraph" w:styleId="CommentText">
    <w:name w:val="annotation text"/>
    <w:basedOn w:val="Normal"/>
    <w:link w:val="CommentTextChar"/>
    <w:uiPriority w:val="99"/>
    <w:semiHidden/>
    <w:unhideWhenUsed/>
    <w:rsid w:val="00C32919"/>
    <w:rPr>
      <w:sz w:val="20"/>
      <w:szCs w:val="20"/>
    </w:rPr>
  </w:style>
  <w:style w:type="character" w:customStyle="1" w:styleId="CommentTextChar">
    <w:name w:val="Comment Text Char"/>
    <w:basedOn w:val="DefaultParagraphFont"/>
    <w:link w:val="CommentText"/>
    <w:uiPriority w:val="99"/>
    <w:semiHidden/>
    <w:rsid w:val="00C3291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32919"/>
    <w:rPr>
      <w:b/>
      <w:bCs/>
    </w:rPr>
  </w:style>
  <w:style w:type="character" w:customStyle="1" w:styleId="CommentSubjectChar">
    <w:name w:val="Comment Subject Char"/>
    <w:basedOn w:val="CommentTextChar"/>
    <w:link w:val="CommentSubject"/>
    <w:uiPriority w:val="99"/>
    <w:semiHidden/>
    <w:rsid w:val="00C32919"/>
    <w:rPr>
      <w:rFonts w:eastAsia="Calibri" w:cs="Times New Roman"/>
      <w:b/>
      <w:bCs/>
      <w:sz w:val="20"/>
      <w:szCs w:val="20"/>
    </w:rPr>
  </w:style>
  <w:style w:type="paragraph" w:styleId="BalloonText">
    <w:name w:val="Balloon Text"/>
    <w:basedOn w:val="Normal"/>
    <w:link w:val="BalloonTextChar"/>
    <w:uiPriority w:val="99"/>
    <w:semiHidden/>
    <w:unhideWhenUsed/>
    <w:rsid w:val="00C329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19"/>
    <w:rPr>
      <w:rFonts w:ascii="Tahoma" w:eastAsia="Calibri" w:hAnsi="Tahoma" w:cs="Tahoma"/>
      <w:sz w:val="16"/>
      <w:szCs w:val="16"/>
    </w:rPr>
  </w:style>
  <w:style w:type="paragraph" w:styleId="Header">
    <w:name w:val="header"/>
    <w:basedOn w:val="Normal"/>
    <w:link w:val="HeaderChar"/>
    <w:uiPriority w:val="99"/>
    <w:unhideWhenUsed/>
    <w:rsid w:val="00290E48"/>
    <w:pPr>
      <w:tabs>
        <w:tab w:val="center" w:pos="4153"/>
        <w:tab w:val="right" w:pos="8306"/>
      </w:tabs>
      <w:spacing w:after="0"/>
    </w:pPr>
  </w:style>
  <w:style w:type="character" w:customStyle="1" w:styleId="HeaderChar">
    <w:name w:val="Header Char"/>
    <w:basedOn w:val="DefaultParagraphFont"/>
    <w:link w:val="Header"/>
    <w:uiPriority w:val="99"/>
    <w:rsid w:val="00290E48"/>
    <w:rPr>
      <w:rFonts w:eastAsia="Calibri" w:cs="Times New Roman"/>
    </w:rPr>
  </w:style>
  <w:style w:type="paragraph" w:styleId="Footer">
    <w:name w:val="footer"/>
    <w:basedOn w:val="Normal"/>
    <w:link w:val="FooterChar"/>
    <w:uiPriority w:val="99"/>
    <w:unhideWhenUsed/>
    <w:rsid w:val="00290E48"/>
    <w:pPr>
      <w:tabs>
        <w:tab w:val="center" w:pos="4153"/>
        <w:tab w:val="right" w:pos="8306"/>
      </w:tabs>
      <w:spacing w:after="0"/>
    </w:pPr>
  </w:style>
  <w:style w:type="character" w:customStyle="1" w:styleId="FooterChar">
    <w:name w:val="Footer Char"/>
    <w:basedOn w:val="DefaultParagraphFont"/>
    <w:link w:val="Footer"/>
    <w:uiPriority w:val="99"/>
    <w:rsid w:val="00290E48"/>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7C"/>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2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110E"/>
    <w:pPr>
      <w:ind w:left="720"/>
      <w:contextualSpacing/>
    </w:pPr>
  </w:style>
  <w:style w:type="character" w:styleId="CommentReference">
    <w:name w:val="annotation reference"/>
    <w:basedOn w:val="DefaultParagraphFont"/>
    <w:uiPriority w:val="99"/>
    <w:semiHidden/>
    <w:unhideWhenUsed/>
    <w:rsid w:val="00C32919"/>
    <w:rPr>
      <w:sz w:val="16"/>
      <w:szCs w:val="16"/>
    </w:rPr>
  </w:style>
  <w:style w:type="paragraph" w:styleId="CommentText">
    <w:name w:val="annotation text"/>
    <w:basedOn w:val="Normal"/>
    <w:link w:val="CommentTextChar"/>
    <w:uiPriority w:val="99"/>
    <w:semiHidden/>
    <w:unhideWhenUsed/>
    <w:rsid w:val="00C32919"/>
    <w:rPr>
      <w:sz w:val="20"/>
      <w:szCs w:val="20"/>
    </w:rPr>
  </w:style>
  <w:style w:type="character" w:customStyle="1" w:styleId="CommentTextChar">
    <w:name w:val="Comment Text Char"/>
    <w:basedOn w:val="DefaultParagraphFont"/>
    <w:link w:val="CommentText"/>
    <w:uiPriority w:val="99"/>
    <w:semiHidden/>
    <w:rsid w:val="00C32919"/>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C32919"/>
    <w:rPr>
      <w:b/>
      <w:bCs/>
    </w:rPr>
  </w:style>
  <w:style w:type="character" w:customStyle="1" w:styleId="CommentSubjectChar">
    <w:name w:val="Comment Subject Char"/>
    <w:basedOn w:val="CommentTextChar"/>
    <w:link w:val="CommentSubject"/>
    <w:uiPriority w:val="99"/>
    <w:semiHidden/>
    <w:rsid w:val="00C32919"/>
    <w:rPr>
      <w:rFonts w:eastAsia="Calibri" w:cs="Times New Roman"/>
      <w:b/>
      <w:bCs/>
      <w:sz w:val="20"/>
      <w:szCs w:val="20"/>
    </w:rPr>
  </w:style>
  <w:style w:type="paragraph" w:styleId="BalloonText">
    <w:name w:val="Balloon Text"/>
    <w:basedOn w:val="Normal"/>
    <w:link w:val="BalloonTextChar"/>
    <w:uiPriority w:val="99"/>
    <w:semiHidden/>
    <w:unhideWhenUsed/>
    <w:rsid w:val="00C329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919"/>
    <w:rPr>
      <w:rFonts w:ascii="Tahoma" w:eastAsia="Calibri" w:hAnsi="Tahoma" w:cs="Tahoma"/>
      <w:sz w:val="16"/>
      <w:szCs w:val="16"/>
    </w:rPr>
  </w:style>
  <w:style w:type="paragraph" w:styleId="Header">
    <w:name w:val="header"/>
    <w:basedOn w:val="Normal"/>
    <w:link w:val="HeaderChar"/>
    <w:uiPriority w:val="99"/>
    <w:unhideWhenUsed/>
    <w:rsid w:val="00290E48"/>
    <w:pPr>
      <w:tabs>
        <w:tab w:val="center" w:pos="4153"/>
        <w:tab w:val="right" w:pos="8306"/>
      </w:tabs>
      <w:spacing w:after="0"/>
    </w:pPr>
  </w:style>
  <w:style w:type="character" w:customStyle="1" w:styleId="HeaderChar">
    <w:name w:val="Header Char"/>
    <w:basedOn w:val="DefaultParagraphFont"/>
    <w:link w:val="Header"/>
    <w:uiPriority w:val="99"/>
    <w:rsid w:val="00290E48"/>
    <w:rPr>
      <w:rFonts w:eastAsia="Calibri" w:cs="Times New Roman"/>
    </w:rPr>
  </w:style>
  <w:style w:type="paragraph" w:styleId="Footer">
    <w:name w:val="footer"/>
    <w:basedOn w:val="Normal"/>
    <w:link w:val="FooterChar"/>
    <w:uiPriority w:val="99"/>
    <w:unhideWhenUsed/>
    <w:rsid w:val="00290E48"/>
    <w:pPr>
      <w:tabs>
        <w:tab w:val="center" w:pos="4153"/>
        <w:tab w:val="right" w:pos="8306"/>
      </w:tabs>
      <w:spacing w:after="0"/>
    </w:pPr>
  </w:style>
  <w:style w:type="character" w:customStyle="1" w:styleId="FooterChar">
    <w:name w:val="Footer Char"/>
    <w:basedOn w:val="DefaultParagraphFont"/>
    <w:link w:val="Footer"/>
    <w:uiPriority w:val="99"/>
    <w:rsid w:val="00290E48"/>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D01A-2A93-48BD-A71D-2718BF54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6040</Words>
  <Characters>3443</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dc:title>
  <dc:creator>Gunita Kupča</dc:creator>
  <cp:lastModifiedBy>Baiba Šterna</cp:lastModifiedBy>
  <cp:revision>12</cp:revision>
  <cp:lastPrinted>2015-09-30T10:45:00Z</cp:lastPrinted>
  <dcterms:created xsi:type="dcterms:W3CDTF">2015-10-01T09:21:00Z</dcterms:created>
  <dcterms:modified xsi:type="dcterms:W3CDTF">2015-10-05T12:05:00Z</dcterms:modified>
</cp:coreProperties>
</file>