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BD" w:rsidRDefault="00EA02AF" w:rsidP="008C7668">
      <w:pPr>
        <w:jc w:val="center"/>
        <w:rPr>
          <w:b/>
          <w:color w:val="000000"/>
        </w:rPr>
      </w:pPr>
      <w:bookmarkStart w:id="0" w:name="_GoBack"/>
      <w:bookmarkEnd w:id="0"/>
      <w:r>
        <w:rPr>
          <w:b/>
          <w:color w:val="000000"/>
        </w:rPr>
        <w:t>Noteikumu</w:t>
      </w:r>
      <w:r w:rsidR="00E826C5" w:rsidRPr="0067061C">
        <w:rPr>
          <w:b/>
          <w:color w:val="000000"/>
        </w:rPr>
        <w:t xml:space="preserve"> projekta </w:t>
      </w:r>
    </w:p>
    <w:p w:rsidR="00B22ABD" w:rsidRDefault="00E826C5" w:rsidP="008C7668">
      <w:pPr>
        <w:jc w:val="center"/>
        <w:rPr>
          <w:b/>
          <w:color w:val="000000"/>
        </w:rPr>
      </w:pPr>
      <w:r w:rsidRPr="00885B60">
        <w:rPr>
          <w:b/>
          <w:bCs/>
        </w:rPr>
        <w:t>„</w:t>
      </w:r>
      <w:r w:rsidR="008C7668" w:rsidRPr="0084307C">
        <w:rPr>
          <w:b/>
          <w:bCs/>
        </w:rPr>
        <w:t>Noteikumi par publiskas personas</w:t>
      </w:r>
      <w:r w:rsidR="008C7668">
        <w:rPr>
          <w:b/>
          <w:bCs/>
        </w:rPr>
        <w:t xml:space="preserve"> kapitālsabiedrību un publisk</w:t>
      </w:r>
      <w:r w:rsidR="006E65EF">
        <w:rPr>
          <w:b/>
          <w:bCs/>
        </w:rPr>
        <w:t xml:space="preserve">i privāto </w:t>
      </w:r>
      <w:r w:rsidR="008C7668">
        <w:rPr>
          <w:b/>
          <w:bCs/>
        </w:rPr>
        <w:t xml:space="preserve">kapitālsabiedrību </w:t>
      </w:r>
      <w:r w:rsidR="008C7668" w:rsidRPr="0084307C">
        <w:rPr>
          <w:b/>
          <w:bCs/>
        </w:rPr>
        <w:t>valdes un padomes locekļu skaitu atbilstoši kapitālsabiedrības li</w:t>
      </w:r>
      <w:r w:rsidR="008C7668">
        <w:rPr>
          <w:b/>
          <w:bCs/>
        </w:rPr>
        <w:t>elumu raksturojošiem rādītājiem</w:t>
      </w:r>
      <w:r w:rsidRPr="0067061C">
        <w:rPr>
          <w:b/>
        </w:rPr>
        <w:t>”</w:t>
      </w:r>
      <w:r w:rsidRPr="0067061C">
        <w:rPr>
          <w:b/>
          <w:color w:val="000000"/>
        </w:rPr>
        <w:t xml:space="preserve"> </w:t>
      </w:r>
    </w:p>
    <w:p w:rsidR="00E826C5" w:rsidRPr="0067061C" w:rsidRDefault="00E826C5" w:rsidP="008C7668">
      <w:pPr>
        <w:jc w:val="center"/>
        <w:rPr>
          <w:b/>
          <w:color w:val="000000"/>
        </w:rPr>
      </w:pPr>
      <w:r w:rsidRPr="0067061C">
        <w:rPr>
          <w:b/>
          <w:color w:val="000000"/>
        </w:rPr>
        <w:t>sākotnējās ietekmes novērtējuma ziņojums (anotācija)</w:t>
      </w:r>
    </w:p>
    <w:p w:rsidR="00506F1D" w:rsidRPr="00883DA1" w:rsidRDefault="00506F1D" w:rsidP="00A25063">
      <w:pPr>
        <w:pStyle w:val="naislab"/>
        <w:spacing w:before="0" w:after="0"/>
        <w:jc w:val="center"/>
        <w:rPr>
          <w:b/>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3"/>
        <w:gridCol w:w="2268"/>
        <w:gridCol w:w="7035"/>
      </w:tblGrid>
      <w:tr w:rsidR="009A0027" w:rsidRPr="00883DA1" w:rsidTr="00D36916">
        <w:tc>
          <w:tcPr>
            <w:tcW w:w="9786" w:type="dxa"/>
            <w:gridSpan w:val="3"/>
            <w:vAlign w:val="center"/>
          </w:tcPr>
          <w:p w:rsidR="00852042" w:rsidRPr="00883DA1" w:rsidRDefault="00852042" w:rsidP="00A25063">
            <w:pPr>
              <w:pStyle w:val="naisnod"/>
              <w:spacing w:before="0" w:after="0"/>
            </w:pPr>
            <w:r w:rsidRPr="00883DA1">
              <w:t>I</w:t>
            </w:r>
            <w:r w:rsidR="000941C5" w:rsidRPr="00883DA1">
              <w:t>.</w:t>
            </w:r>
            <w:r w:rsidRPr="00883DA1">
              <w:t xml:space="preserve"> Tiesību akta </w:t>
            </w:r>
            <w:r w:rsidR="002E3FF4" w:rsidRPr="00883DA1">
              <w:t xml:space="preserve">projekta </w:t>
            </w:r>
            <w:r w:rsidRPr="00883DA1">
              <w:t>izstrādes nepieciešamība</w:t>
            </w:r>
          </w:p>
        </w:tc>
      </w:tr>
      <w:tr w:rsidR="00883DA1" w:rsidRPr="00883DA1" w:rsidTr="00813AC1">
        <w:trPr>
          <w:trHeight w:val="267"/>
        </w:trPr>
        <w:tc>
          <w:tcPr>
            <w:tcW w:w="483" w:type="dxa"/>
          </w:tcPr>
          <w:p w:rsidR="00262E2B" w:rsidRPr="00883DA1" w:rsidRDefault="00262E2B" w:rsidP="00A25063">
            <w:pPr>
              <w:pStyle w:val="naiskr"/>
              <w:spacing w:before="0" w:after="0"/>
              <w:jc w:val="center"/>
            </w:pPr>
            <w:r w:rsidRPr="00883DA1">
              <w:t>1.</w:t>
            </w:r>
          </w:p>
        </w:tc>
        <w:tc>
          <w:tcPr>
            <w:tcW w:w="2268" w:type="dxa"/>
          </w:tcPr>
          <w:p w:rsidR="00262E2B" w:rsidRPr="00883DA1" w:rsidRDefault="002D7F54" w:rsidP="00A25063">
            <w:pPr>
              <w:pStyle w:val="naiskr"/>
              <w:spacing w:before="0" w:after="0"/>
            </w:pPr>
            <w:r w:rsidRPr="00883DA1">
              <w:t>Pamatojums</w:t>
            </w:r>
          </w:p>
        </w:tc>
        <w:tc>
          <w:tcPr>
            <w:tcW w:w="7035" w:type="dxa"/>
          </w:tcPr>
          <w:p w:rsidR="006B61F9" w:rsidRPr="00151100" w:rsidRDefault="00151100" w:rsidP="00C45BEF">
            <w:pPr>
              <w:ind w:left="-28"/>
              <w:jc w:val="both"/>
              <w:rPr>
                <w:bCs/>
              </w:rPr>
            </w:pPr>
            <w:r w:rsidRPr="008C5F9F">
              <w:rPr>
                <w:bCs/>
              </w:rPr>
              <w:t>Publiskas personas kapitāla daļu un</w:t>
            </w:r>
            <w:r>
              <w:rPr>
                <w:bCs/>
              </w:rPr>
              <w:t xml:space="preserve"> </w:t>
            </w:r>
            <w:r w:rsidRPr="008C5F9F">
              <w:rPr>
                <w:bCs/>
              </w:rPr>
              <w:t>kapitālsabiedrību pārvaldības likuma</w:t>
            </w:r>
            <w:r>
              <w:t xml:space="preserve"> </w:t>
            </w:r>
            <w:r w:rsidR="008C7668">
              <w:t>79.panta pirmā daļa, 106.panta trešā daļa un 114.panta pirmā daļa.</w:t>
            </w:r>
          </w:p>
        </w:tc>
      </w:tr>
      <w:tr w:rsidR="00E826C5" w:rsidRPr="00883DA1" w:rsidTr="00813AC1">
        <w:trPr>
          <w:trHeight w:val="472"/>
        </w:trPr>
        <w:tc>
          <w:tcPr>
            <w:tcW w:w="483" w:type="dxa"/>
          </w:tcPr>
          <w:p w:rsidR="00E826C5" w:rsidRPr="00883DA1" w:rsidRDefault="00E826C5" w:rsidP="005A6EF3">
            <w:pPr>
              <w:pStyle w:val="naiskr"/>
              <w:spacing w:before="0" w:after="0"/>
              <w:jc w:val="center"/>
            </w:pPr>
            <w:r w:rsidRPr="00883DA1">
              <w:t>2.</w:t>
            </w:r>
          </w:p>
        </w:tc>
        <w:tc>
          <w:tcPr>
            <w:tcW w:w="2268" w:type="dxa"/>
          </w:tcPr>
          <w:p w:rsidR="00E826C5" w:rsidRPr="00883DA1" w:rsidRDefault="00E826C5" w:rsidP="005A6EF3">
            <w:pPr>
              <w:pStyle w:val="naiskr"/>
              <w:spacing w:before="0" w:after="0"/>
            </w:pPr>
            <w:r w:rsidRPr="00883DA1">
              <w:t>Pašreizējā situācija un problēmas, kuru risināšanai tiesību akta projekts izstrādāts, tiesiskā regulējuma mērķis un būtība</w:t>
            </w:r>
          </w:p>
        </w:tc>
        <w:tc>
          <w:tcPr>
            <w:tcW w:w="7035" w:type="dxa"/>
          </w:tcPr>
          <w:p w:rsidR="00C7762C" w:rsidRDefault="009A6B0C" w:rsidP="00D271E8">
            <w:pPr>
              <w:pStyle w:val="NormalWeb"/>
              <w:spacing w:before="0" w:beforeAutospacing="0" w:after="0" w:afterAutospacing="0"/>
              <w:jc w:val="both"/>
              <w:rPr>
                <w:rFonts w:ascii="Times New Roman" w:hAnsi="Times New Roman" w:cs="Times New Roman"/>
                <w:lang w:val="lv-LV"/>
              </w:rPr>
            </w:pPr>
            <w:r w:rsidRPr="00E826C5">
              <w:rPr>
                <w:rFonts w:ascii="Times New Roman" w:hAnsi="Times New Roman"/>
                <w:lang w:val="lv-LV"/>
              </w:rPr>
              <w:t xml:space="preserve">2015.gada 1.janvārī ir stājies spēkā Publiskas personas kapitāla daļu un kapitālsabiedrību pārvaldības likums (turpmāk - likums). </w:t>
            </w:r>
          </w:p>
          <w:p w:rsidR="0060432A" w:rsidRDefault="00C238B2" w:rsidP="0060432A">
            <w:pPr>
              <w:pStyle w:val="NormalWeb"/>
              <w:spacing w:before="0" w:beforeAutospacing="0" w:after="0" w:afterAutospacing="0"/>
              <w:jc w:val="both"/>
              <w:rPr>
                <w:rFonts w:ascii="Times New Roman" w:hAnsi="Times New Roman" w:cs="Times New Roman"/>
                <w:bCs/>
                <w:lang w:val="lv-LV"/>
              </w:rPr>
            </w:pPr>
            <w:r>
              <w:rPr>
                <w:rFonts w:ascii="Times New Roman" w:hAnsi="Times New Roman"/>
                <w:bCs/>
                <w:lang w:val="lv-LV"/>
              </w:rPr>
              <w:t>Attiecībā uz valdes un padomes locekļu skaitu publiskas personas sabiedrībā</w:t>
            </w:r>
            <w:proofErr w:type="gramStart"/>
            <w:r>
              <w:rPr>
                <w:rFonts w:ascii="Times New Roman" w:hAnsi="Times New Roman"/>
                <w:bCs/>
                <w:lang w:val="lv-LV"/>
              </w:rPr>
              <w:t xml:space="preserve"> </w:t>
            </w:r>
            <w:r>
              <w:rPr>
                <w:rFonts w:ascii="Times New Roman" w:hAnsi="Times New Roman"/>
                <w:lang w:val="lv-LV"/>
              </w:rPr>
              <w:t xml:space="preserve"> </w:t>
            </w:r>
            <w:proofErr w:type="gramEnd"/>
            <w:r>
              <w:rPr>
                <w:rFonts w:ascii="Times New Roman" w:hAnsi="Times New Roman"/>
                <w:lang w:val="lv-LV"/>
              </w:rPr>
              <w:t>ar ierobežotu atbildību</w:t>
            </w:r>
            <w:r>
              <w:rPr>
                <w:rFonts w:ascii="Times New Roman" w:hAnsi="Times New Roman"/>
                <w:bCs/>
                <w:lang w:val="lv-LV"/>
              </w:rPr>
              <w:t xml:space="preserve"> L</w:t>
            </w:r>
            <w:r w:rsidR="00A55B57" w:rsidRPr="00A55B57">
              <w:rPr>
                <w:rFonts w:ascii="Times New Roman" w:hAnsi="Times New Roman"/>
                <w:bCs/>
                <w:lang w:val="lv-LV"/>
              </w:rPr>
              <w:t>ikuma</w:t>
            </w:r>
            <w:r w:rsidR="00A55B57" w:rsidRPr="00A55B57">
              <w:rPr>
                <w:rFonts w:ascii="Times New Roman" w:hAnsi="Times New Roman"/>
                <w:lang w:val="lv-LV"/>
              </w:rPr>
              <w:t xml:space="preserve"> </w:t>
            </w:r>
            <w:r>
              <w:rPr>
                <w:rFonts w:ascii="Times New Roman" w:hAnsi="Times New Roman"/>
                <w:lang w:val="lv-LV"/>
              </w:rPr>
              <w:t>79</w:t>
            </w:r>
            <w:r w:rsidR="00A55B57" w:rsidRPr="00A55B57">
              <w:rPr>
                <w:rFonts w:ascii="Times New Roman" w:hAnsi="Times New Roman"/>
                <w:lang w:val="lv-LV"/>
              </w:rPr>
              <w:t>.panta </w:t>
            </w:r>
            <w:r>
              <w:rPr>
                <w:rFonts w:ascii="Times New Roman" w:hAnsi="Times New Roman"/>
                <w:lang w:val="lv-LV"/>
              </w:rPr>
              <w:t>pirmā</w:t>
            </w:r>
            <w:r w:rsidR="00A55B57" w:rsidRPr="00A55B57">
              <w:rPr>
                <w:rFonts w:ascii="Times New Roman" w:hAnsi="Times New Roman"/>
                <w:lang w:val="lv-LV"/>
              </w:rPr>
              <w:t xml:space="preserve"> daļa</w:t>
            </w:r>
            <w:r w:rsidR="000A6E86">
              <w:rPr>
                <w:rFonts w:ascii="Times New Roman" w:hAnsi="Times New Roman"/>
                <w:lang w:val="lv-LV"/>
              </w:rPr>
              <w:t xml:space="preserve"> paredz, ka </w:t>
            </w:r>
            <w:r w:rsidR="000A6E86" w:rsidRPr="000A6E86">
              <w:rPr>
                <w:rFonts w:ascii="Times New Roman" w:hAnsi="Times New Roman"/>
                <w:lang w:val="lv-LV"/>
              </w:rPr>
              <w:t xml:space="preserve">Ministru kabinets nosaka </w:t>
            </w:r>
            <w:r>
              <w:rPr>
                <w:rFonts w:ascii="Times New Roman" w:hAnsi="Times New Roman"/>
                <w:lang w:val="lv-LV"/>
              </w:rPr>
              <w:t>valdes locekļu skaitu atbilstoši sabiedrības lielumu raksturojošiem rādītājiem</w:t>
            </w:r>
            <w:r w:rsidR="009A6B0C">
              <w:rPr>
                <w:rFonts w:ascii="Times New Roman" w:hAnsi="Times New Roman"/>
                <w:lang w:val="lv-LV"/>
              </w:rPr>
              <w:t xml:space="preserve">, bet </w:t>
            </w:r>
            <w:r w:rsidR="000A6E86">
              <w:rPr>
                <w:rFonts w:ascii="Times New Roman" w:hAnsi="Times New Roman"/>
                <w:lang w:val="lv-LV"/>
              </w:rPr>
              <w:t xml:space="preserve">likuma </w:t>
            </w:r>
            <w:r>
              <w:rPr>
                <w:rFonts w:ascii="Times New Roman" w:hAnsi="Times New Roman"/>
                <w:lang w:val="lv-LV"/>
              </w:rPr>
              <w:t xml:space="preserve">78.pants nosaka, ka attiecībā uz padomes izveidi, darbību un kompetenci piemērojami likuma 106.-112. panti, </w:t>
            </w:r>
            <w:r w:rsidR="009A28FD">
              <w:rPr>
                <w:rFonts w:ascii="Times New Roman" w:hAnsi="Times New Roman"/>
                <w:lang w:val="lv-LV"/>
              </w:rPr>
              <w:t xml:space="preserve">sekojoši </w:t>
            </w:r>
            <w:r>
              <w:rPr>
                <w:rFonts w:ascii="Times New Roman" w:hAnsi="Times New Roman"/>
                <w:lang w:val="lv-LV"/>
              </w:rPr>
              <w:t xml:space="preserve">attiecībā uz padomes locekļu skaitu piemērojama 106.panta trešā daļa, kurā noteikts, ka </w:t>
            </w:r>
            <w:r w:rsidRPr="000A6E86">
              <w:rPr>
                <w:rFonts w:ascii="Times New Roman" w:hAnsi="Times New Roman"/>
                <w:lang w:val="lv-LV"/>
              </w:rPr>
              <w:t xml:space="preserve"> Ministru kabinets nosaka </w:t>
            </w:r>
            <w:r>
              <w:rPr>
                <w:rFonts w:ascii="Times New Roman" w:hAnsi="Times New Roman"/>
                <w:lang w:val="lv-LV"/>
              </w:rPr>
              <w:t>padomes locekļu skaitu atbilstoši sabiedrības lielumu raksturojošiem rādītājiem</w:t>
            </w:r>
            <w:r w:rsidR="000A6E86">
              <w:rPr>
                <w:rFonts w:ascii="Times New Roman" w:hAnsi="Times New Roman"/>
                <w:lang w:val="lv-LV"/>
              </w:rPr>
              <w:t>.</w:t>
            </w:r>
          </w:p>
          <w:p w:rsidR="00980194" w:rsidRDefault="00980194" w:rsidP="009A28FD">
            <w:pPr>
              <w:pStyle w:val="NormalWeb"/>
              <w:spacing w:before="0" w:beforeAutospacing="0" w:after="0" w:afterAutospacing="0"/>
              <w:jc w:val="both"/>
              <w:rPr>
                <w:rFonts w:ascii="Times New Roman" w:hAnsi="Times New Roman"/>
                <w:bCs/>
                <w:lang w:val="lv-LV"/>
              </w:rPr>
            </w:pPr>
          </w:p>
          <w:p w:rsidR="009A28FD" w:rsidRDefault="009A28FD" w:rsidP="009A28FD">
            <w:pPr>
              <w:pStyle w:val="NormalWeb"/>
              <w:spacing w:before="0" w:beforeAutospacing="0" w:after="0" w:afterAutospacing="0"/>
              <w:jc w:val="both"/>
              <w:rPr>
                <w:rFonts w:ascii="Times New Roman" w:hAnsi="Times New Roman"/>
                <w:lang w:val="lv-LV"/>
              </w:rPr>
            </w:pPr>
            <w:r>
              <w:rPr>
                <w:rFonts w:ascii="Times New Roman" w:hAnsi="Times New Roman"/>
                <w:bCs/>
                <w:lang w:val="lv-LV"/>
              </w:rPr>
              <w:t>Attiecībā uz valdes un padomes locekļu skaitu publiskas personas akciju sabiedrībā</w:t>
            </w:r>
            <w:proofErr w:type="gramStart"/>
            <w:r>
              <w:rPr>
                <w:rFonts w:ascii="Times New Roman" w:hAnsi="Times New Roman"/>
                <w:bCs/>
                <w:lang w:val="lv-LV"/>
              </w:rPr>
              <w:t xml:space="preserve"> </w:t>
            </w:r>
            <w:r>
              <w:rPr>
                <w:rFonts w:ascii="Times New Roman" w:hAnsi="Times New Roman"/>
                <w:lang w:val="lv-LV"/>
              </w:rPr>
              <w:t xml:space="preserve"> </w:t>
            </w:r>
            <w:proofErr w:type="gramEnd"/>
            <w:r>
              <w:rPr>
                <w:rFonts w:ascii="Times New Roman" w:hAnsi="Times New Roman"/>
                <w:bCs/>
                <w:lang w:val="lv-LV"/>
              </w:rPr>
              <w:t>L</w:t>
            </w:r>
            <w:r w:rsidRPr="00A55B57">
              <w:rPr>
                <w:rFonts w:ascii="Times New Roman" w:hAnsi="Times New Roman"/>
                <w:bCs/>
                <w:lang w:val="lv-LV"/>
              </w:rPr>
              <w:t>ikuma</w:t>
            </w:r>
            <w:r w:rsidRPr="00A55B57">
              <w:rPr>
                <w:rFonts w:ascii="Times New Roman" w:hAnsi="Times New Roman"/>
                <w:lang w:val="lv-LV"/>
              </w:rPr>
              <w:t xml:space="preserve"> </w:t>
            </w:r>
            <w:r>
              <w:rPr>
                <w:rFonts w:ascii="Times New Roman" w:hAnsi="Times New Roman"/>
                <w:lang w:val="lv-LV"/>
              </w:rPr>
              <w:t>106</w:t>
            </w:r>
            <w:r w:rsidRPr="00A55B57">
              <w:rPr>
                <w:rFonts w:ascii="Times New Roman" w:hAnsi="Times New Roman"/>
                <w:lang w:val="lv-LV"/>
              </w:rPr>
              <w:t>.panta </w:t>
            </w:r>
            <w:r>
              <w:rPr>
                <w:rFonts w:ascii="Times New Roman" w:hAnsi="Times New Roman"/>
                <w:lang w:val="lv-LV"/>
              </w:rPr>
              <w:t>trešā</w:t>
            </w:r>
            <w:r w:rsidRPr="00A55B57">
              <w:rPr>
                <w:rFonts w:ascii="Times New Roman" w:hAnsi="Times New Roman"/>
                <w:lang w:val="lv-LV"/>
              </w:rPr>
              <w:t xml:space="preserve"> daļa</w:t>
            </w:r>
            <w:r>
              <w:rPr>
                <w:rFonts w:ascii="Times New Roman" w:hAnsi="Times New Roman"/>
                <w:lang w:val="lv-LV"/>
              </w:rPr>
              <w:t xml:space="preserve"> paredz, ka </w:t>
            </w:r>
            <w:r w:rsidRPr="000A6E86">
              <w:rPr>
                <w:rFonts w:ascii="Times New Roman" w:hAnsi="Times New Roman"/>
                <w:lang w:val="lv-LV"/>
              </w:rPr>
              <w:t xml:space="preserve">Ministru kabinets nosaka </w:t>
            </w:r>
            <w:r>
              <w:rPr>
                <w:rFonts w:ascii="Times New Roman" w:hAnsi="Times New Roman"/>
                <w:lang w:val="lv-LV"/>
              </w:rPr>
              <w:t xml:space="preserve">padomes locekļu skaitu atbilstoši sabiedrības lielumu raksturojošiem rādītājiem, bet likuma 114.pants nosaka, ka </w:t>
            </w:r>
            <w:r w:rsidRPr="000A6E86">
              <w:rPr>
                <w:rFonts w:ascii="Times New Roman" w:hAnsi="Times New Roman"/>
                <w:lang w:val="lv-LV"/>
              </w:rPr>
              <w:t xml:space="preserve">Ministru kabinets nosaka </w:t>
            </w:r>
            <w:r>
              <w:rPr>
                <w:rFonts w:ascii="Times New Roman" w:hAnsi="Times New Roman"/>
                <w:lang w:val="lv-LV"/>
              </w:rPr>
              <w:t>valdes locekļu skaitu atbilstoši sabiedrības lielumu raksturojošiem rādītājiem.</w:t>
            </w:r>
          </w:p>
          <w:p w:rsidR="009A28FD" w:rsidRDefault="009A28FD" w:rsidP="009A28FD">
            <w:pPr>
              <w:pStyle w:val="NormalWeb"/>
              <w:spacing w:before="0" w:beforeAutospacing="0" w:after="0" w:afterAutospacing="0"/>
              <w:jc w:val="both"/>
              <w:rPr>
                <w:rFonts w:ascii="Times New Roman" w:hAnsi="Times New Roman"/>
                <w:lang w:val="lv-LV"/>
              </w:rPr>
            </w:pPr>
          </w:p>
          <w:p w:rsidR="009A28FD" w:rsidRDefault="009A28FD" w:rsidP="009A28FD">
            <w:pPr>
              <w:pStyle w:val="NormalWeb"/>
              <w:spacing w:before="0" w:beforeAutospacing="0" w:after="0" w:afterAutospacing="0"/>
              <w:jc w:val="both"/>
              <w:rPr>
                <w:rFonts w:ascii="Times New Roman" w:hAnsi="Times New Roman" w:cs="Times New Roman"/>
                <w:bCs/>
                <w:lang w:val="lv-LV"/>
              </w:rPr>
            </w:pPr>
            <w:r>
              <w:rPr>
                <w:rFonts w:ascii="Times New Roman" w:hAnsi="Times New Roman"/>
                <w:lang w:val="lv-LV"/>
              </w:rPr>
              <w:t xml:space="preserve">Likuma </w:t>
            </w:r>
            <w:r w:rsidR="00B22ABD">
              <w:rPr>
                <w:rFonts w:ascii="Times New Roman" w:hAnsi="Times New Roman"/>
                <w:lang w:val="lv-LV"/>
              </w:rPr>
              <w:t>8.</w:t>
            </w:r>
            <w:r>
              <w:rPr>
                <w:rFonts w:ascii="Times New Roman" w:hAnsi="Times New Roman"/>
                <w:lang w:val="lv-LV"/>
              </w:rPr>
              <w:t xml:space="preserve">panta pirmā daļa nosaka, ka kapitālsabiedrībās, kurās publiskas personas kapitālsabiedrība ir ieguvusi visas kapitāla daļas vai balsstiesīgās akcijas (atkarīgās kapitālsabiedrības), valdes un padomes locekļu skaitu, mēneša atlīdzību, prēmiju un atlaišanas pabalstu nosaka, ņemot vērā valdes un padomes locekļiem likumā noteiktos ierobežojumus. Līdz ar to šajā gadījumā </w:t>
            </w:r>
            <w:r w:rsidR="00162455">
              <w:rPr>
                <w:rFonts w:ascii="Times New Roman" w:hAnsi="Times New Roman"/>
                <w:lang w:val="lv-LV"/>
              </w:rPr>
              <w:t xml:space="preserve">attiecībā uz valdes un padomes locekļu skaitu un tā noteikšanas kritērijiem </w:t>
            </w:r>
            <w:r>
              <w:rPr>
                <w:rFonts w:ascii="Times New Roman" w:hAnsi="Times New Roman"/>
                <w:lang w:val="lv-LV"/>
              </w:rPr>
              <w:t xml:space="preserve">piemērojami </w:t>
            </w:r>
            <w:r w:rsidR="00162455">
              <w:rPr>
                <w:rFonts w:ascii="Times New Roman" w:hAnsi="Times New Roman"/>
                <w:lang w:val="lv-LV"/>
              </w:rPr>
              <w:t xml:space="preserve">tie paši </w:t>
            </w:r>
            <w:r>
              <w:rPr>
                <w:rFonts w:ascii="Times New Roman" w:hAnsi="Times New Roman"/>
                <w:lang w:val="lv-LV"/>
              </w:rPr>
              <w:t xml:space="preserve">likuma </w:t>
            </w:r>
            <w:r w:rsidR="00162455">
              <w:rPr>
                <w:rFonts w:ascii="Times New Roman" w:hAnsi="Times New Roman"/>
                <w:lang w:val="lv-LV"/>
              </w:rPr>
              <w:t>nosacījumi, kas attiecināmi publiskas personas kapitālsabiedrībām.</w:t>
            </w:r>
          </w:p>
          <w:p w:rsidR="0060432A" w:rsidRDefault="0060432A" w:rsidP="0060432A">
            <w:pPr>
              <w:pStyle w:val="NormalWeb"/>
              <w:spacing w:before="0" w:beforeAutospacing="0" w:after="0" w:afterAutospacing="0"/>
              <w:jc w:val="both"/>
              <w:rPr>
                <w:rFonts w:ascii="Times New Roman" w:hAnsi="Times New Roman" w:cs="Times New Roman"/>
                <w:bCs/>
                <w:lang w:val="lv-LV"/>
              </w:rPr>
            </w:pPr>
          </w:p>
          <w:p w:rsidR="00B22ABD" w:rsidRDefault="00C7762C" w:rsidP="00C7762C">
            <w:pPr>
              <w:pStyle w:val="NormalWeb"/>
              <w:spacing w:before="0" w:beforeAutospacing="0" w:after="0" w:afterAutospacing="0"/>
              <w:jc w:val="both"/>
              <w:rPr>
                <w:rFonts w:ascii="Times New Roman" w:hAnsi="Times New Roman"/>
                <w:lang w:val="lv-LV"/>
              </w:rPr>
            </w:pPr>
            <w:r>
              <w:rPr>
                <w:rFonts w:ascii="Times New Roman" w:hAnsi="Times New Roman"/>
                <w:lang w:val="lv-LV"/>
              </w:rPr>
              <w:t>Noteikumu</w:t>
            </w:r>
            <w:r w:rsidRPr="00C7762C">
              <w:rPr>
                <w:rFonts w:ascii="Times New Roman" w:hAnsi="Times New Roman"/>
                <w:lang w:val="lv-LV"/>
              </w:rPr>
              <w:t xml:space="preserve"> mērķis ir </w:t>
            </w:r>
            <w:r w:rsidR="00162455">
              <w:rPr>
                <w:rFonts w:ascii="Times New Roman" w:hAnsi="Times New Roman"/>
                <w:lang w:val="lv-LV"/>
              </w:rPr>
              <w:t xml:space="preserve">noteikt skaidrus kritērijus </w:t>
            </w:r>
            <w:r w:rsidR="00980194">
              <w:rPr>
                <w:rFonts w:ascii="Times New Roman" w:hAnsi="Times New Roman"/>
                <w:lang w:val="lv-LV"/>
              </w:rPr>
              <w:t xml:space="preserve">publiskas personas kapitālsabiedrību </w:t>
            </w:r>
            <w:r w:rsidR="00980194" w:rsidRPr="00B52E9F">
              <w:rPr>
                <w:rFonts w:ascii="Times New Roman" w:hAnsi="Times New Roman"/>
                <w:lang w:val="lv-LV"/>
              </w:rPr>
              <w:t>un publiski privāto kapitālsabiedrību</w:t>
            </w:r>
            <w:r w:rsidR="00980194">
              <w:rPr>
                <w:rFonts w:ascii="Times New Roman" w:hAnsi="Times New Roman"/>
                <w:lang w:val="lv-LV"/>
              </w:rPr>
              <w:t xml:space="preserve"> </w:t>
            </w:r>
            <w:r w:rsidR="00162455">
              <w:rPr>
                <w:rFonts w:ascii="Times New Roman" w:hAnsi="Times New Roman"/>
                <w:lang w:val="lv-LV"/>
              </w:rPr>
              <w:t xml:space="preserve">valdes un padomes locekļu skaita noteikšanai, kas nepieciešams valdes un padomes ievēlēšanai. </w:t>
            </w:r>
          </w:p>
          <w:p w:rsidR="00B22ABD" w:rsidRPr="00CC16B8" w:rsidRDefault="00B22ABD" w:rsidP="00C7762C">
            <w:pPr>
              <w:pStyle w:val="NormalWeb"/>
              <w:spacing w:before="0" w:beforeAutospacing="0" w:after="0" w:afterAutospacing="0"/>
              <w:jc w:val="both"/>
              <w:rPr>
                <w:rFonts w:ascii="Times New Roman" w:hAnsi="Times New Roman"/>
                <w:lang w:val="lv-LV"/>
              </w:rPr>
            </w:pPr>
          </w:p>
          <w:p w:rsidR="00C7762C" w:rsidRDefault="00C7762C" w:rsidP="00C7762C">
            <w:pPr>
              <w:pStyle w:val="NormalWeb"/>
              <w:spacing w:before="0" w:beforeAutospacing="0" w:after="0" w:afterAutospacing="0"/>
              <w:jc w:val="both"/>
              <w:rPr>
                <w:rFonts w:ascii="Times New Roman" w:hAnsi="Times New Roman"/>
                <w:lang w:val="lv-LV"/>
              </w:rPr>
            </w:pPr>
            <w:r w:rsidRPr="00CC16B8">
              <w:rPr>
                <w:rFonts w:ascii="Times New Roman" w:hAnsi="Times New Roman"/>
                <w:lang w:val="lv-LV"/>
              </w:rPr>
              <w:t>Lai sasniegtu minēto mērķi, noteikum</w:t>
            </w:r>
            <w:r w:rsidR="00B22ABD" w:rsidRPr="00CC16B8">
              <w:rPr>
                <w:rFonts w:ascii="Times New Roman" w:hAnsi="Times New Roman"/>
                <w:lang w:val="lv-LV"/>
              </w:rPr>
              <w:t xml:space="preserve">u projekts </w:t>
            </w:r>
            <w:r w:rsidRPr="00CC16B8">
              <w:rPr>
                <w:rFonts w:ascii="Times New Roman" w:hAnsi="Times New Roman"/>
                <w:lang w:val="lv-LV"/>
              </w:rPr>
              <w:t xml:space="preserve">nosaka </w:t>
            </w:r>
            <w:r w:rsidR="00B22ABD" w:rsidRPr="00CC16B8">
              <w:rPr>
                <w:rFonts w:ascii="Times New Roman" w:hAnsi="Times New Roman"/>
                <w:lang w:val="lv-LV"/>
              </w:rPr>
              <w:t xml:space="preserve">šādus </w:t>
            </w:r>
            <w:r w:rsidR="00162455" w:rsidRPr="00CC16B8">
              <w:rPr>
                <w:rFonts w:ascii="Times New Roman" w:hAnsi="Times New Roman"/>
                <w:lang w:val="lv-LV"/>
              </w:rPr>
              <w:t>kritērijus</w:t>
            </w:r>
            <w:r w:rsidR="00B22ABD" w:rsidRPr="00CC16B8">
              <w:rPr>
                <w:rFonts w:ascii="Times New Roman" w:hAnsi="Times New Roman"/>
                <w:lang w:val="lv-LV"/>
              </w:rPr>
              <w:t>:</w:t>
            </w:r>
            <w:r w:rsidR="00162455" w:rsidRPr="00CC16B8">
              <w:rPr>
                <w:rFonts w:ascii="Times New Roman" w:hAnsi="Times New Roman"/>
                <w:lang w:val="lv-LV"/>
              </w:rPr>
              <w:t xml:space="preserve"> </w:t>
            </w:r>
            <w:r w:rsidR="00B22ABD" w:rsidRPr="00CC16B8">
              <w:rPr>
                <w:rFonts w:ascii="Times New Roman" w:hAnsi="Times New Roman"/>
                <w:lang w:val="lv-LV"/>
              </w:rPr>
              <w:t>vidējais darbinieku skaits, un finanšu rādītājus</w:t>
            </w:r>
            <w:r w:rsidR="00B22ABD">
              <w:rPr>
                <w:rFonts w:ascii="Times New Roman" w:hAnsi="Times New Roman"/>
                <w:b/>
                <w:lang w:val="lv-LV"/>
              </w:rPr>
              <w:t xml:space="preserve"> - </w:t>
            </w:r>
            <w:r w:rsidR="00162455">
              <w:rPr>
                <w:rFonts w:ascii="Times New Roman" w:hAnsi="Times New Roman"/>
                <w:lang w:val="lv-LV"/>
              </w:rPr>
              <w:t xml:space="preserve">bilances kopsumma; neto </w:t>
            </w:r>
            <w:r w:rsidR="00276CEA">
              <w:rPr>
                <w:rFonts w:ascii="Times New Roman" w:hAnsi="Times New Roman"/>
                <w:lang w:val="lv-LV"/>
              </w:rPr>
              <w:t xml:space="preserve">apgrozījums, kā arī šo kritēriju vērtību </w:t>
            </w:r>
            <w:proofErr w:type="spellStart"/>
            <w:r w:rsidR="00276CEA">
              <w:rPr>
                <w:rFonts w:ascii="Times New Roman" w:hAnsi="Times New Roman"/>
                <w:lang w:val="lv-LV"/>
              </w:rPr>
              <w:t>robežintervālus</w:t>
            </w:r>
            <w:proofErr w:type="spellEnd"/>
            <w:r w:rsidR="00276CEA">
              <w:rPr>
                <w:rFonts w:ascii="Times New Roman" w:hAnsi="Times New Roman"/>
                <w:lang w:val="lv-LV"/>
              </w:rPr>
              <w:t>, pēc kuriem kapitālsabiedrības tiek iekļautas konkrētajā kapitālsabiedrību lieluma grupā</w:t>
            </w:r>
            <w:r w:rsidR="005E13A7">
              <w:rPr>
                <w:rFonts w:ascii="Times New Roman" w:hAnsi="Times New Roman"/>
                <w:lang w:val="lv-LV"/>
              </w:rPr>
              <w:t>, no tā</w:t>
            </w:r>
            <w:proofErr w:type="gramStart"/>
            <w:r w:rsidR="005E13A7">
              <w:rPr>
                <w:rFonts w:ascii="Times New Roman" w:hAnsi="Times New Roman"/>
                <w:lang w:val="lv-LV"/>
              </w:rPr>
              <w:t>, savukārt,</w:t>
            </w:r>
            <w:proofErr w:type="gramEnd"/>
            <w:r w:rsidR="005E13A7">
              <w:rPr>
                <w:rFonts w:ascii="Times New Roman" w:hAnsi="Times New Roman"/>
                <w:lang w:val="lv-LV"/>
              </w:rPr>
              <w:t xml:space="preserve"> ir atkarīgs valdes un padomes locekļu pieļaujamais skaits kapitālsabiedrībā</w:t>
            </w:r>
            <w:r w:rsidR="00393DCA">
              <w:rPr>
                <w:rFonts w:ascii="Times New Roman" w:hAnsi="Times New Roman"/>
                <w:lang w:val="lv-LV"/>
              </w:rPr>
              <w:t>, kas norādīts noteikumu projekta pielikumā</w:t>
            </w:r>
            <w:r w:rsidR="00276CEA">
              <w:rPr>
                <w:rFonts w:ascii="Times New Roman" w:hAnsi="Times New Roman"/>
                <w:lang w:val="lv-LV"/>
              </w:rPr>
              <w:t>.</w:t>
            </w:r>
          </w:p>
          <w:p w:rsidR="00393DCA" w:rsidRDefault="00393DCA" w:rsidP="00C7762C">
            <w:pPr>
              <w:pStyle w:val="NormalWeb"/>
              <w:spacing w:before="0" w:beforeAutospacing="0" w:after="0" w:afterAutospacing="0"/>
              <w:jc w:val="both"/>
              <w:rPr>
                <w:rFonts w:ascii="Times New Roman" w:hAnsi="Times New Roman"/>
                <w:lang w:val="lv-LV"/>
              </w:rPr>
            </w:pPr>
          </w:p>
          <w:p w:rsidR="003C48C9" w:rsidRPr="00B52E9F" w:rsidRDefault="00105A65" w:rsidP="00B22AA6">
            <w:pPr>
              <w:pStyle w:val="NormalWeb"/>
              <w:spacing w:before="0" w:beforeAutospacing="0" w:after="0" w:afterAutospacing="0"/>
              <w:jc w:val="both"/>
              <w:rPr>
                <w:rFonts w:ascii="Times New Roman" w:hAnsi="Times New Roman"/>
                <w:lang w:val="lv-LV"/>
              </w:rPr>
            </w:pPr>
            <w:r w:rsidRPr="00B52E9F">
              <w:rPr>
                <w:rFonts w:ascii="Times New Roman" w:hAnsi="Times New Roman"/>
                <w:lang w:val="lv-LV"/>
              </w:rPr>
              <w:t>Noteikumu projekta 5.punkt</w:t>
            </w:r>
            <w:r w:rsidR="003C48C9" w:rsidRPr="00B52E9F">
              <w:rPr>
                <w:rFonts w:ascii="Times New Roman" w:hAnsi="Times New Roman"/>
                <w:lang w:val="lv-LV"/>
              </w:rPr>
              <w:t xml:space="preserve">a apakšpunktos </w:t>
            </w:r>
            <w:r w:rsidRPr="00B52E9F">
              <w:rPr>
                <w:rFonts w:ascii="Times New Roman" w:hAnsi="Times New Roman"/>
                <w:lang w:val="lv-LV"/>
              </w:rPr>
              <w:t>norādīt</w:t>
            </w:r>
            <w:r w:rsidR="003C48C9" w:rsidRPr="00B52E9F">
              <w:rPr>
                <w:rFonts w:ascii="Times New Roman" w:hAnsi="Times New Roman"/>
                <w:lang w:val="lv-LV"/>
              </w:rPr>
              <w:t>o kritēriju robežvērtības</w:t>
            </w:r>
            <w:r w:rsidR="00B32E23" w:rsidRPr="00B52E9F">
              <w:rPr>
                <w:rFonts w:ascii="Times New Roman" w:hAnsi="Times New Roman"/>
                <w:lang w:val="lv-LV"/>
              </w:rPr>
              <w:t>,</w:t>
            </w:r>
            <w:r w:rsidR="003C48C9" w:rsidRPr="00B52E9F">
              <w:rPr>
                <w:rFonts w:ascii="Times New Roman" w:hAnsi="Times New Roman"/>
                <w:lang w:val="lv-LV"/>
              </w:rPr>
              <w:t xml:space="preserve"> to </w:t>
            </w:r>
            <w:r w:rsidR="00B22AA6" w:rsidRPr="00B52E9F">
              <w:rPr>
                <w:rFonts w:ascii="Times New Roman" w:hAnsi="Times New Roman"/>
                <w:lang w:val="lv-LV"/>
              </w:rPr>
              <w:t xml:space="preserve">intervāli noteikti </w:t>
            </w:r>
            <w:r w:rsidRPr="00B52E9F">
              <w:rPr>
                <w:rFonts w:ascii="Times New Roman" w:hAnsi="Times New Roman"/>
                <w:lang w:val="lv-LV"/>
              </w:rPr>
              <w:t xml:space="preserve">ņemot vērā Eiropas Parlamenta un Padomes </w:t>
            </w:r>
            <w:r w:rsidR="003C48C9" w:rsidRPr="00B52E9F">
              <w:rPr>
                <w:rFonts w:ascii="Times New Roman" w:hAnsi="Times New Roman"/>
                <w:lang w:val="lv-LV"/>
              </w:rPr>
              <w:t>D</w:t>
            </w:r>
            <w:r w:rsidRPr="00B52E9F">
              <w:rPr>
                <w:rFonts w:ascii="Times New Roman" w:hAnsi="Times New Roman"/>
                <w:lang w:val="lv-LV"/>
              </w:rPr>
              <w:t>irektīv</w:t>
            </w:r>
            <w:r w:rsidR="003C48C9" w:rsidRPr="00B52E9F">
              <w:rPr>
                <w:rFonts w:ascii="Times New Roman" w:hAnsi="Times New Roman"/>
                <w:lang w:val="lv-LV"/>
              </w:rPr>
              <w:t>u</w:t>
            </w:r>
            <w:r w:rsidRPr="00B52E9F">
              <w:rPr>
                <w:rFonts w:ascii="Times New Roman" w:hAnsi="Times New Roman"/>
                <w:lang w:val="lv-LV"/>
              </w:rPr>
              <w:t xml:space="preserve"> 2013/34/ES par noteiktu veidu uzņēmumu</w:t>
            </w:r>
            <w:r w:rsidR="003C48C9" w:rsidRPr="00B52E9F">
              <w:rPr>
                <w:rFonts w:ascii="Times New Roman" w:hAnsi="Times New Roman"/>
                <w:lang w:val="lv-LV"/>
              </w:rPr>
              <w:t xml:space="preserve"> gada finanšu pārskatiem, konsolidētajiem finanšu pārskatiem un saistītajiem ziņojumiem</w:t>
            </w:r>
            <w:r w:rsidR="00B32E23" w:rsidRPr="00B52E9F">
              <w:rPr>
                <w:rFonts w:ascii="Times New Roman" w:hAnsi="Times New Roman"/>
                <w:lang w:val="lv-LV"/>
              </w:rPr>
              <w:t xml:space="preserve"> (turpmāk – Direktīva)</w:t>
            </w:r>
            <w:r w:rsidR="00B77372" w:rsidRPr="00B52E9F">
              <w:rPr>
                <w:rFonts w:ascii="Times New Roman" w:hAnsi="Times New Roman"/>
                <w:lang w:val="lv-LV"/>
              </w:rPr>
              <w:t xml:space="preserve"> 3.pantā noteikto.</w:t>
            </w:r>
            <w:r w:rsidR="00B32E23" w:rsidRPr="00B52E9F">
              <w:rPr>
                <w:rFonts w:ascii="Times New Roman" w:hAnsi="Times New Roman"/>
                <w:lang w:val="lv-LV"/>
              </w:rPr>
              <w:t xml:space="preserve"> </w:t>
            </w:r>
            <w:r w:rsidR="00B77372" w:rsidRPr="00B52E9F">
              <w:rPr>
                <w:rFonts w:ascii="Times New Roman" w:hAnsi="Times New Roman"/>
                <w:lang w:val="lv-LV"/>
              </w:rPr>
              <w:t>Tāpat kā Direktīvas 3.pantā, arī noteikumu projekta 5.punkta apakšpunkt</w:t>
            </w:r>
            <w:r w:rsidR="00612ED6" w:rsidRPr="00B52E9F">
              <w:rPr>
                <w:rFonts w:ascii="Times New Roman" w:hAnsi="Times New Roman"/>
                <w:lang w:val="lv-LV"/>
              </w:rPr>
              <w:t xml:space="preserve">os </w:t>
            </w:r>
            <w:r w:rsidR="00B77372" w:rsidRPr="00B52E9F">
              <w:rPr>
                <w:rFonts w:ascii="Times New Roman" w:hAnsi="Times New Roman"/>
                <w:lang w:val="lv-LV"/>
              </w:rPr>
              <w:t xml:space="preserve">nākamās kapitālsabiedrības grupas </w:t>
            </w:r>
            <w:r w:rsidR="00B52E9F" w:rsidRPr="00B52E9F">
              <w:rPr>
                <w:rFonts w:ascii="Times New Roman" w:hAnsi="Times New Roman"/>
                <w:lang w:val="lv-LV"/>
              </w:rPr>
              <w:t xml:space="preserve">finanšu rādītāju </w:t>
            </w:r>
            <w:r w:rsidR="00B77372" w:rsidRPr="00B52E9F">
              <w:rPr>
                <w:rFonts w:ascii="Times New Roman" w:hAnsi="Times New Roman"/>
                <w:lang w:val="lv-LV"/>
              </w:rPr>
              <w:t>kritēriju robežvērtīb</w:t>
            </w:r>
            <w:r w:rsidR="00612ED6" w:rsidRPr="00B52E9F">
              <w:rPr>
                <w:rFonts w:ascii="Times New Roman" w:hAnsi="Times New Roman"/>
                <w:lang w:val="lv-LV"/>
              </w:rPr>
              <w:t>a</w:t>
            </w:r>
            <w:r w:rsidR="00B77372" w:rsidRPr="00B52E9F">
              <w:rPr>
                <w:rFonts w:ascii="Times New Roman" w:hAnsi="Times New Roman"/>
                <w:lang w:val="lv-LV"/>
              </w:rPr>
              <w:t xml:space="preserve"> </w:t>
            </w:r>
            <w:r w:rsidR="00612ED6" w:rsidRPr="00B52E9F">
              <w:rPr>
                <w:rFonts w:ascii="Times New Roman" w:hAnsi="Times New Roman"/>
                <w:lang w:val="lv-LV"/>
              </w:rPr>
              <w:t>iegūta</w:t>
            </w:r>
            <w:r w:rsidR="00B52E9F" w:rsidRPr="00B52E9F">
              <w:rPr>
                <w:rFonts w:ascii="Times New Roman" w:hAnsi="Times New Roman"/>
                <w:lang w:val="lv-LV"/>
              </w:rPr>
              <w:t>,</w:t>
            </w:r>
            <w:r w:rsidR="00612ED6" w:rsidRPr="00B52E9F">
              <w:rPr>
                <w:rFonts w:ascii="Times New Roman" w:hAnsi="Times New Roman"/>
                <w:lang w:val="lv-LV"/>
              </w:rPr>
              <w:t xml:space="preserve"> </w:t>
            </w:r>
            <w:r w:rsidR="00B77372" w:rsidRPr="00B52E9F">
              <w:rPr>
                <w:rFonts w:ascii="Times New Roman" w:hAnsi="Times New Roman"/>
                <w:lang w:val="lv-LV"/>
              </w:rPr>
              <w:t>iepriekšējās grupas rādītāju robežvērtīb</w:t>
            </w:r>
            <w:r w:rsidR="00612ED6" w:rsidRPr="00B52E9F">
              <w:rPr>
                <w:rFonts w:ascii="Times New Roman" w:hAnsi="Times New Roman"/>
                <w:lang w:val="lv-LV"/>
              </w:rPr>
              <w:t xml:space="preserve">u </w:t>
            </w:r>
            <w:r w:rsidR="00B77372" w:rsidRPr="00B52E9F">
              <w:rPr>
                <w:rFonts w:ascii="Times New Roman" w:hAnsi="Times New Roman"/>
                <w:lang w:val="lv-LV"/>
              </w:rPr>
              <w:t>sareizin</w:t>
            </w:r>
            <w:r w:rsidR="00612ED6" w:rsidRPr="00B52E9F">
              <w:rPr>
                <w:rFonts w:ascii="Times New Roman" w:hAnsi="Times New Roman"/>
                <w:lang w:val="lv-LV"/>
              </w:rPr>
              <w:t>o</w:t>
            </w:r>
            <w:r w:rsidR="00B77372" w:rsidRPr="00B52E9F">
              <w:rPr>
                <w:rFonts w:ascii="Times New Roman" w:hAnsi="Times New Roman"/>
                <w:lang w:val="lv-LV"/>
              </w:rPr>
              <w:t>t ar 5</w:t>
            </w:r>
            <w:r w:rsidR="00B32E23" w:rsidRPr="00B52E9F">
              <w:rPr>
                <w:rFonts w:ascii="Times New Roman" w:hAnsi="Times New Roman"/>
                <w:lang w:val="lv-LV"/>
              </w:rPr>
              <w:t xml:space="preserve">. </w:t>
            </w:r>
          </w:p>
          <w:p w:rsidR="00105A65" w:rsidRDefault="00105A65" w:rsidP="00B22AA6">
            <w:pPr>
              <w:pStyle w:val="NormalWeb"/>
              <w:spacing w:before="0" w:beforeAutospacing="0" w:after="0" w:afterAutospacing="0"/>
              <w:jc w:val="both"/>
              <w:rPr>
                <w:rFonts w:ascii="Times New Roman" w:hAnsi="Times New Roman"/>
                <w:lang w:val="lv-LV"/>
              </w:rPr>
            </w:pPr>
          </w:p>
          <w:p w:rsidR="00E76F0D" w:rsidRPr="00CC16B8" w:rsidRDefault="00B77372" w:rsidP="00B22AA6">
            <w:pPr>
              <w:pStyle w:val="NormalWeb"/>
              <w:spacing w:before="0" w:beforeAutospacing="0" w:after="0" w:afterAutospacing="0"/>
              <w:jc w:val="both"/>
              <w:rPr>
                <w:rFonts w:ascii="Times New Roman" w:hAnsi="Times New Roman"/>
                <w:lang w:val="lv-LV"/>
              </w:rPr>
            </w:pPr>
            <w:r>
              <w:rPr>
                <w:rFonts w:ascii="Times New Roman" w:hAnsi="Times New Roman"/>
                <w:lang w:val="lv-LV"/>
              </w:rPr>
              <w:t xml:space="preserve">Atbilstoši </w:t>
            </w:r>
            <w:r w:rsidR="00B22AA6">
              <w:rPr>
                <w:rFonts w:ascii="Times New Roman" w:hAnsi="Times New Roman"/>
                <w:lang w:val="lv-LV"/>
              </w:rPr>
              <w:t>likum</w:t>
            </w:r>
            <w:r w:rsidR="00E76F0D">
              <w:rPr>
                <w:rFonts w:ascii="Times New Roman" w:hAnsi="Times New Roman"/>
                <w:lang w:val="lv-LV"/>
              </w:rPr>
              <w:t xml:space="preserve">a </w:t>
            </w:r>
            <w:r w:rsidR="00E76F0D" w:rsidRPr="00E76F0D">
              <w:rPr>
                <w:rFonts w:ascii="Times New Roman" w:hAnsi="Times New Roman"/>
                <w:b/>
                <w:lang w:val="lv-LV"/>
              </w:rPr>
              <w:t>106.panta pirmajā daļā</w:t>
            </w:r>
            <w:r w:rsidR="00E76F0D">
              <w:rPr>
                <w:rFonts w:ascii="Times New Roman" w:hAnsi="Times New Roman"/>
                <w:lang w:val="lv-LV"/>
              </w:rPr>
              <w:t xml:space="preserve"> </w:t>
            </w:r>
            <w:r w:rsidR="00B22AA6">
              <w:rPr>
                <w:rFonts w:ascii="Times New Roman" w:hAnsi="Times New Roman"/>
                <w:lang w:val="lv-LV"/>
              </w:rPr>
              <w:t>ietvert</w:t>
            </w:r>
            <w:r>
              <w:rPr>
                <w:rFonts w:ascii="Times New Roman" w:hAnsi="Times New Roman"/>
                <w:lang w:val="lv-LV"/>
              </w:rPr>
              <w:t xml:space="preserve">ajam </w:t>
            </w:r>
            <w:r w:rsidR="00B22AA6">
              <w:rPr>
                <w:rFonts w:ascii="Times New Roman" w:hAnsi="Times New Roman"/>
                <w:lang w:val="lv-LV"/>
              </w:rPr>
              <w:t>regulējum</w:t>
            </w:r>
            <w:r>
              <w:rPr>
                <w:rFonts w:ascii="Times New Roman" w:hAnsi="Times New Roman"/>
                <w:lang w:val="lv-LV"/>
              </w:rPr>
              <w:t>am</w:t>
            </w:r>
            <w:r w:rsidR="00B22AA6">
              <w:rPr>
                <w:rFonts w:ascii="Times New Roman" w:hAnsi="Times New Roman"/>
                <w:lang w:val="lv-LV"/>
              </w:rPr>
              <w:t xml:space="preserve">, kapitālsabiedrībā padome var tikt veidota tad, ja tās neto apgrozījums ir lielāks par 21 miljonu </w:t>
            </w:r>
            <w:proofErr w:type="spellStart"/>
            <w:r w:rsidR="00B22AA6">
              <w:rPr>
                <w:rFonts w:ascii="Times New Roman" w:hAnsi="Times New Roman"/>
                <w:lang w:val="lv-LV"/>
              </w:rPr>
              <w:t>euro</w:t>
            </w:r>
            <w:proofErr w:type="spellEnd"/>
            <w:r w:rsidR="00B22AA6">
              <w:rPr>
                <w:rFonts w:ascii="Times New Roman" w:hAnsi="Times New Roman"/>
                <w:lang w:val="lv-LV"/>
              </w:rPr>
              <w:t xml:space="preserve"> un bilances kopsumma lielāka </w:t>
            </w:r>
            <w:proofErr w:type="spellStart"/>
            <w:r w:rsidR="00B22AA6">
              <w:rPr>
                <w:rFonts w:ascii="Times New Roman" w:hAnsi="Times New Roman"/>
                <w:lang w:val="lv-LV"/>
              </w:rPr>
              <w:t>lielāka</w:t>
            </w:r>
            <w:proofErr w:type="spellEnd"/>
            <w:r w:rsidR="00B22AA6">
              <w:rPr>
                <w:rFonts w:ascii="Times New Roman" w:hAnsi="Times New Roman"/>
                <w:lang w:val="lv-LV"/>
              </w:rPr>
              <w:t xml:space="preserve"> nekā 4 miljoni </w:t>
            </w:r>
            <w:proofErr w:type="spellStart"/>
            <w:r w:rsidR="00B22AA6">
              <w:rPr>
                <w:rFonts w:ascii="Times New Roman" w:hAnsi="Times New Roman"/>
                <w:lang w:val="lv-LV"/>
              </w:rPr>
              <w:t>euro</w:t>
            </w:r>
            <w:proofErr w:type="spellEnd"/>
            <w:r w:rsidR="00E76F0D">
              <w:rPr>
                <w:rFonts w:ascii="Times New Roman" w:hAnsi="Times New Roman"/>
                <w:lang w:val="lv-LV"/>
              </w:rPr>
              <w:t>.</w:t>
            </w:r>
            <w:r w:rsidR="00B22AA6">
              <w:rPr>
                <w:rFonts w:ascii="Times New Roman" w:hAnsi="Times New Roman"/>
                <w:lang w:val="lv-LV"/>
              </w:rPr>
              <w:t xml:space="preserve"> </w:t>
            </w:r>
            <w:r w:rsidR="002A129A">
              <w:rPr>
                <w:rFonts w:ascii="Times New Roman" w:hAnsi="Times New Roman"/>
                <w:lang w:val="lv-LV"/>
              </w:rPr>
              <w:t>Tādējādi padomes var tikt veidotas arī tādās kapitālsabiedrībās, kuras pēc šo noteikumu nosacījumiem kvalificēsies kā vidēja lieluma kapitālsabiedrības.</w:t>
            </w:r>
          </w:p>
          <w:p w:rsidR="00A970C6" w:rsidRPr="00CC16B8" w:rsidRDefault="00A970C6" w:rsidP="00B22AA6">
            <w:pPr>
              <w:pStyle w:val="NormalWeb"/>
              <w:spacing w:before="0" w:beforeAutospacing="0" w:after="0" w:afterAutospacing="0"/>
              <w:jc w:val="both"/>
              <w:rPr>
                <w:rFonts w:ascii="Times New Roman" w:hAnsi="Times New Roman"/>
                <w:lang w:val="lv-LV"/>
              </w:rPr>
            </w:pPr>
          </w:p>
          <w:p w:rsidR="00A970C6" w:rsidRPr="00B52E9F" w:rsidRDefault="00A970C6" w:rsidP="00B22AA6">
            <w:pPr>
              <w:pStyle w:val="NormalWeb"/>
              <w:spacing w:before="0" w:beforeAutospacing="0" w:after="0" w:afterAutospacing="0"/>
              <w:jc w:val="both"/>
              <w:rPr>
                <w:rFonts w:ascii="Times New Roman" w:hAnsi="Times New Roman"/>
                <w:lang w:val="lv-LV"/>
              </w:rPr>
            </w:pPr>
            <w:r w:rsidRPr="00CC16B8">
              <w:rPr>
                <w:rFonts w:ascii="Times New Roman" w:hAnsi="Times New Roman"/>
                <w:lang w:val="lv-LV"/>
              </w:rPr>
              <w:t>Attiecībā uz valdes locekļu skaita noteikšanu projekta pielikumā,</w:t>
            </w:r>
            <w:proofErr w:type="gramStart"/>
            <w:r w:rsidRPr="00CC16B8">
              <w:rPr>
                <w:rFonts w:ascii="Times New Roman" w:hAnsi="Times New Roman"/>
                <w:lang w:val="lv-LV"/>
              </w:rPr>
              <w:t xml:space="preserve">  </w:t>
            </w:r>
            <w:proofErr w:type="gramEnd"/>
            <w:r w:rsidRPr="00CC16B8">
              <w:rPr>
                <w:rFonts w:ascii="Times New Roman" w:hAnsi="Times New Roman"/>
                <w:lang w:val="lv-LV"/>
              </w:rPr>
              <w:t>vēršam uzmanību, ka</w:t>
            </w:r>
            <w:r w:rsidR="00B52E9F" w:rsidRPr="00CC16B8">
              <w:rPr>
                <w:rFonts w:ascii="Times New Roman" w:hAnsi="Times New Roman"/>
                <w:lang w:val="lv-LV"/>
              </w:rPr>
              <w:t>,</w:t>
            </w:r>
            <w:r w:rsidRPr="00CC16B8">
              <w:rPr>
                <w:rFonts w:ascii="Times New Roman" w:hAnsi="Times New Roman"/>
                <w:lang w:val="lv-LV"/>
              </w:rPr>
              <w:t xml:space="preserve"> salīdzinot ar noteikumos Nr.311 noteikto valdes locekļu skait</w:t>
            </w:r>
            <w:r w:rsidR="009500EE" w:rsidRPr="00CC16B8">
              <w:rPr>
                <w:rFonts w:ascii="Times New Roman" w:hAnsi="Times New Roman"/>
                <w:lang w:val="lv-LV"/>
              </w:rPr>
              <w:t>s</w:t>
            </w:r>
            <w:r w:rsidRPr="00CC16B8">
              <w:rPr>
                <w:rFonts w:ascii="Times New Roman" w:hAnsi="Times New Roman"/>
                <w:lang w:val="lv-LV"/>
              </w:rPr>
              <w:t xml:space="preserve"> projektā </w:t>
            </w:r>
            <w:r w:rsidR="009500EE" w:rsidRPr="00CC16B8">
              <w:rPr>
                <w:rFonts w:ascii="Times New Roman" w:hAnsi="Times New Roman"/>
                <w:lang w:val="lv-LV"/>
              </w:rPr>
              <w:t xml:space="preserve">ir </w:t>
            </w:r>
            <w:r w:rsidR="00FA3396" w:rsidRPr="00CC16B8">
              <w:rPr>
                <w:rFonts w:ascii="Times New Roman" w:hAnsi="Times New Roman"/>
                <w:lang w:val="lv-LV"/>
              </w:rPr>
              <w:t>samazināts, ņemot vērā šādus apsvērumus:</w:t>
            </w:r>
            <w:r w:rsidR="00B52E9F" w:rsidRPr="00CC16B8">
              <w:rPr>
                <w:rFonts w:ascii="Times New Roman" w:hAnsi="Times New Roman"/>
                <w:lang w:val="lv-LV"/>
              </w:rPr>
              <w:t xml:space="preserve"> </w:t>
            </w:r>
            <w:r w:rsidR="00CC16B8" w:rsidRPr="00CC16B8">
              <w:rPr>
                <w:rFonts w:ascii="Times New Roman" w:hAnsi="Times New Roman"/>
                <w:lang w:val="lv-LV"/>
              </w:rPr>
              <w:t>1</w:t>
            </w:r>
            <w:r w:rsidR="00B52E9F" w:rsidRPr="00CC16B8">
              <w:rPr>
                <w:rFonts w:ascii="Times New Roman" w:hAnsi="Times New Roman"/>
                <w:lang w:val="lv-LV"/>
              </w:rPr>
              <w:t xml:space="preserve">)   pašreizējā valsts kapitālsabiedrību valdes locekļu skaita noteikšanas prakse un tās atbilstība valsts kapitālsabiedrību sekmīgai vadības nodrošināšanai; </w:t>
            </w:r>
            <w:r w:rsidR="00CC16B8" w:rsidRPr="00CC16B8">
              <w:rPr>
                <w:rFonts w:ascii="Times New Roman" w:hAnsi="Times New Roman"/>
                <w:lang w:val="lv-LV"/>
              </w:rPr>
              <w:t>2</w:t>
            </w:r>
            <w:r w:rsidR="00B52E9F" w:rsidRPr="00CC16B8">
              <w:rPr>
                <w:rFonts w:ascii="Times New Roman" w:hAnsi="Times New Roman"/>
                <w:lang w:val="lv-LV"/>
              </w:rPr>
              <w:t xml:space="preserve">) Valsts kontroles revīzijas ziņojumu secinājumi par    pašreizējo valsts kapitālsabiedrību valdes locekļu skaita noteikšanas praksi, tai skaitā, gadījumiem, kad ticis samazināts valdes locekļu skaits un tiek nodrošināta kapitālsabiedrības sekmīga vadīšana; </w:t>
            </w:r>
            <w:r w:rsidR="00CC16B8" w:rsidRPr="00CC16B8">
              <w:rPr>
                <w:rFonts w:ascii="Times New Roman" w:hAnsi="Times New Roman"/>
                <w:lang w:val="lv-LV"/>
              </w:rPr>
              <w:t>3</w:t>
            </w:r>
            <w:r w:rsidR="00B52E9F" w:rsidRPr="00CC16B8">
              <w:rPr>
                <w:rFonts w:ascii="Times New Roman" w:hAnsi="Times New Roman"/>
                <w:lang w:val="lv-LV"/>
              </w:rPr>
              <w:t>) nepieciešamība pēc būtības izvērtēt resursu ekonomijas iespējas, tai skaitā, kapitālsabiedrības vadīšanai nepieciešamo kompetenču apjomu un tam atbilstošo valdes locek</w:t>
            </w:r>
            <w:r w:rsidR="00FC5BCB" w:rsidRPr="00CC16B8">
              <w:rPr>
                <w:rFonts w:ascii="Times New Roman" w:hAnsi="Times New Roman"/>
                <w:lang w:val="lv-LV"/>
              </w:rPr>
              <w:t xml:space="preserve">ļu skaitu; </w:t>
            </w:r>
            <w:r w:rsidR="00CC16B8" w:rsidRPr="00CC16B8">
              <w:rPr>
                <w:rFonts w:ascii="Times New Roman" w:hAnsi="Times New Roman"/>
                <w:lang w:val="lv-LV"/>
              </w:rPr>
              <w:t>4</w:t>
            </w:r>
            <w:r w:rsidR="00FC5BCB" w:rsidRPr="00CC16B8">
              <w:rPr>
                <w:rFonts w:ascii="Times New Roman" w:hAnsi="Times New Roman"/>
                <w:lang w:val="lv-LV"/>
              </w:rPr>
              <w:t xml:space="preserve">) apsvērumu, ka </w:t>
            </w:r>
            <w:r w:rsidR="00B52E9F" w:rsidRPr="00CC16B8">
              <w:rPr>
                <w:rFonts w:ascii="Times New Roman" w:hAnsi="Times New Roman"/>
                <w:lang w:val="lv-LV"/>
              </w:rPr>
              <w:t xml:space="preserve">katrā </w:t>
            </w:r>
            <w:r w:rsidR="00FC5BCB" w:rsidRPr="00CC16B8">
              <w:rPr>
                <w:rFonts w:ascii="Times New Roman" w:hAnsi="Times New Roman"/>
                <w:lang w:val="lv-LV"/>
              </w:rPr>
              <w:t>kapitālsabiedrībā</w:t>
            </w:r>
            <w:r w:rsidR="00B52E9F" w:rsidRPr="00CC16B8">
              <w:rPr>
                <w:rFonts w:ascii="Times New Roman" w:hAnsi="Times New Roman"/>
                <w:lang w:val="lv-LV"/>
              </w:rPr>
              <w:t xml:space="preserve"> </w:t>
            </w:r>
            <w:r w:rsidR="00FC5BCB" w:rsidRPr="00CC16B8">
              <w:rPr>
                <w:rFonts w:ascii="Times New Roman" w:hAnsi="Times New Roman"/>
                <w:lang w:val="lv-LV"/>
              </w:rPr>
              <w:t xml:space="preserve">valdei būtu jābūt </w:t>
            </w:r>
            <w:r w:rsidR="00CC16B8" w:rsidRPr="00CC16B8">
              <w:rPr>
                <w:rFonts w:ascii="Times New Roman" w:hAnsi="Times New Roman"/>
                <w:lang w:val="lv-LV"/>
              </w:rPr>
              <w:t>kompetencei par kap</w:t>
            </w:r>
            <w:r w:rsidR="00FC5BCB" w:rsidRPr="00CC16B8">
              <w:rPr>
                <w:rFonts w:ascii="Times New Roman" w:hAnsi="Times New Roman"/>
                <w:lang w:val="lv-LV"/>
              </w:rPr>
              <w:t xml:space="preserve">itālsabiedrības darbības nozari, finanšu un juridiskajiem jautājumiem, taču šīs kompetences var tikt kombinētas, kā arī mazo kapitālsabiedrību gadījumā nodrošinātas uzņēmuma darbinieku līmenī. </w:t>
            </w:r>
            <w:proofErr w:type="gramStart"/>
            <w:r w:rsidR="00FC5BCB" w:rsidRPr="00CC16B8">
              <w:rPr>
                <w:rFonts w:ascii="Times New Roman" w:hAnsi="Times New Roman"/>
                <w:lang w:val="lv-LV"/>
              </w:rPr>
              <w:t>Savukārt,</w:t>
            </w:r>
            <w:proofErr w:type="gramEnd"/>
            <w:r w:rsidR="00FC5BCB" w:rsidRPr="00CC16B8">
              <w:rPr>
                <w:rFonts w:ascii="Times New Roman" w:hAnsi="Times New Roman"/>
                <w:lang w:val="lv-LV"/>
              </w:rPr>
              <w:t xml:space="preserve"> lielu un īpaši lielu kapitālsabiedrību gadījumos valdei varētu būt nepieciešamas papildus vēl citas specifiskas kompetences, kuras var nodrošināt ar </w:t>
            </w:r>
            <w:r w:rsidR="00CC16B8" w:rsidRPr="00CC16B8">
              <w:rPr>
                <w:rFonts w:ascii="Times New Roman" w:hAnsi="Times New Roman"/>
                <w:lang w:val="lv-LV"/>
              </w:rPr>
              <w:t>lielāka skaita</w:t>
            </w:r>
            <w:r w:rsidR="00FC5BCB" w:rsidRPr="00CC16B8">
              <w:rPr>
                <w:rFonts w:ascii="Times New Roman" w:hAnsi="Times New Roman"/>
                <w:lang w:val="lv-LV"/>
              </w:rPr>
              <w:t xml:space="preserve"> valdes locekļu iecelšanu.</w:t>
            </w:r>
          </w:p>
          <w:p w:rsidR="00A970C6" w:rsidRPr="00A970C6" w:rsidRDefault="00A970C6" w:rsidP="00B22AA6">
            <w:pPr>
              <w:pStyle w:val="NormalWeb"/>
              <w:spacing w:before="0" w:beforeAutospacing="0" w:after="0" w:afterAutospacing="0"/>
              <w:jc w:val="both"/>
              <w:rPr>
                <w:rFonts w:ascii="Times New Roman" w:hAnsi="Times New Roman"/>
                <w:b/>
                <w:lang w:val="lv-LV"/>
              </w:rPr>
            </w:pPr>
          </w:p>
          <w:p w:rsidR="00F96687" w:rsidRDefault="00393DCA" w:rsidP="00C7762C">
            <w:pPr>
              <w:pStyle w:val="NormalWeb"/>
              <w:spacing w:before="0" w:beforeAutospacing="0" w:after="0" w:afterAutospacing="0"/>
              <w:jc w:val="both"/>
              <w:rPr>
                <w:rFonts w:ascii="Times New Roman" w:hAnsi="Times New Roman"/>
                <w:lang w:val="lv-LV"/>
              </w:rPr>
            </w:pPr>
            <w:r>
              <w:rPr>
                <w:rFonts w:ascii="Times New Roman" w:hAnsi="Times New Roman"/>
                <w:lang w:val="lv-LV"/>
              </w:rPr>
              <w:t>Noteikum</w:t>
            </w:r>
            <w:r w:rsidR="00612ED6">
              <w:rPr>
                <w:rFonts w:ascii="Times New Roman" w:hAnsi="Times New Roman"/>
                <w:lang w:val="lv-LV"/>
              </w:rPr>
              <w:t xml:space="preserve">u projekts </w:t>
            </w:r>
            <w:r>
              <w:rPr>
                <w:rFonts w:ascii="Times New Roman" w:hAnsi="Times New Roman"/>
                <w:lang w:val="lv-LV"/>
              </w:rPr>
              <w:t xml:space="preserve">paredz izveidot četras kapitālsabiedrību grupas – 1) mazas kapitālsabiedrības, 2) vidējas kapitālsabiedrības, 3) lielas kapitālsabiedrības, 4) īpaši lielas kapitālsabiedrības. </w:t>
            </w:r>
          </w:p>
          <w:p w:rsidR="00F96687" w:rsidRDefault="00F96687" w:rsidP="00C7762C">
            <w:pPr>
              <w:pStyle w:val="NormalWeb"/>
              <w:spacing w:before="0" w:beforeAutospacing="0" w:after="0" w:afterAutospacing="0"/>
              <w:jc w:val="both"/>
              <w:rPr>
                <w:rFonts w:ascii="Times New Roman" w:hAnsi="Times New Roman"/>
                <w:lang w:val="lv-LV"/>
              </w:rPr>
            </w:pPr>
          </w:p>
          <w:p w:rsidR="002A129A" w:rsidRPr="002759D6" w:rsidRDefault="00845DFA" w:rsidP="00C7762C">
            <w:pPr>
              <w:pStyle w:val="NormalWeb"/>
              <w:spacing w:before="0" w:beforeAutospacing="0" w:after="0" w:afterAutospacing="0"/>
              <w:jc w:val="both"/>
              <w:rPr>
                <w:rFonts w:ascii="Times New Roman" w:hAnsi="Times New Roman"/>
                <w:lang w:val="lv-LV"/>
              </w:rPr>
            </w:pPr>
            <w:r w:rsidRPr="00B52E9F">
              <w:rPr>
                <w:rFonts w:ascii="Times New Roman" w:hAnsi="Times New Roman"/>
                <w:lang w:val="lv-LV"/>
              </w:rPr>
              <w:t>Noteikumu projekta 5.punkts noteic, ka v</w:t>
            </w:r>
            <w:r w:rsidR="00F96687" w:rsidRPr="00B52E9F">
              <w:rPr>
                <w:rFonts w:ascii="Times New Roman" w:hAnsi="Times New Roman"/>
                <w:lang w:val="lv-LV"/>
              </w:rPr>
              <w:t>ienu reizi gadā, pēc gada pārskata apstipr</w:t>
            </w:r>
            <w:r w:rsidR="00CC16B8">
              <w:rPr>
                <w:rFonts w:ascii="Times New Roman" w:hAnsi="Times New Roman"/>
                <w:lang w:val="lv-LV"/>
              </w:rPr>
              <w:t>ināšanas, kapitāla daļu turētājs</w:t>
            </w:r>
            <w:r w:rsidR="00F96687" w:rsidRPr="00B52E9F">
              <w:rPr>
                <w:rFonts w:ascii="Times New Roman" w:hAnsi="Times New Roman"/>
                <w:lang w:val="lv-LV"/>
              </w:rPr>
              <w:t xml:space="preserve"> izvērtē kapitālsabiedrības vidējo darbinieku skaitu un finanšu rādītājus </w:t>
            </w:r>
            <w:r w:rsidRPr="00B52E9F">
              <w:rPr>
                <w:rFonts w:ascii="Times New Roman" w:hAnsi="Times New Roman"/>
                <w:lang w:val="lv-LV"/>
              </w:rPr>
              <w:t xml:space="preserve">(bilances kopsumma un neto apgrozījums) un iedala kapitālsabiedrību attiecīgajā grupā. Atkarībā no tā, kurā kapitālsabiedrību grupā tā iedalīta </w:t>
            </w:r>
            <w:r w:rsidR="00393DCA" w:rsidRPr="00B52E9F">
              <w:rPr>
                <w:rFonts w:ascii="Times New Roman" w:hAnsi="Times New Roman"/>
                <w:lang w:val="lv-LV"/>
              </w:rPr>
              <w:t xml:space="preserve">kapitāla daļu turētājam jānodrošina, ka kapitālsabiedrības valdes un padomes locekļu skaits nepārsniedz šāda lieluma kapitālsabiedrībai pieļaujamo valdes locekļu un padomes locekļu </w:t>
            </w:r>
            <w:r w:rsidR="00393DCA" w:rsidRPr="00B52E9F">
              <w:rPr>
                <w:rFonts w:ascii="Times New Roman" w:hAnsi="Times New Roman"/>
                <w:lang w:val="lv-LV"/>
              </w:rPr>
              <w:lastRenderedPageBreak/>
              <w:t xml:space="preserve">skaitu, </w:t>
            </w:r>
            <w:r w:rsidR="00393DCA" w:rsidRPr="002759D6">
              <w:rPr>
                <w:rFonts w:ascii="Times New Roman" w:hAnsi="Times New Roman"/>
                <w:lang w:val="lv-LV"/>
              </w:rPr>
              <w:t>kas norādīts šo noteikumu pielikumā.</w:t>
            </w:r>
            <w:r w:rsidR="002A129A" w:rsidRPr="002759D6">
              <w:rPr>
                <w:rFonts w:ascii="Times New Roman" w:hAnsi="Times New Roman"/>
                <w:lang w:val="lv-LV"/>
              </w:rPr>
              <w:t xml:space="preserve"> </w:t>
            </w:r>
          </w:p>
          <w:p w:rsidR="002A129A" w:rsidRPr="002759D6" w:rsidRDefault="002A129A" w:rsidP="00C7762C">
            <w:pPr>
              <w:pStyle w:val="NormalWeb"/>
              <w:spacing w:before="0" w:beforeAutospacing="0" w:after="0" w:afterAutospacing="0"/>
              <w:jc w:val="both"/>
              <w:rPr>
                <w:rFonts w:ascii="Times New Roman" w:hAnsi="Times New Roman"/>
                <w:lang w:val="lv-LV"/>
              </w:rPr>
            </w:pPr>
          </w:p>
          <w:p w:rsidR="005F68FA" w:rsidRPr="001E4248" w:rsidRDefault="002A129A" w:rsidP="001E4248">
            <w:pPr>
              <w:pStyle w:val="NormalWeb"/>
              <w:spacing w:before="0" w:beforeAutospacing="0" w:after="0" w:afterAutospacing="0"/>
              <w:jc w:val="both"/>
              <w:rPr>
                <w:rFonts w:ascii="Times New Roman" w:hAnsi="Times New Roman" w:cs="Times New Roman"/>
                <w:lang w:val="lv-LV"/>
              </w:rPr>
            </w:pPr>
            <w:r w:rsidRPr="002759D6">
              <w:rPr>
                <w:rFonts w:ascii="Times New Roman" w:hAnsi="Times New Roman" w:cs="Times New Roman"/>
                <w:lang w:val="lv-LV"/>
              </w:rPr>
              <w:t xml:space="preserve">Likuma pārejas noteikumu 14.punkts nosaka, ka publiska persona nodrošina, ka līdz 2016.gada 1.janvārim publiskas personas kapitālsabiedrībās un publiski privātajās kapitālsabiedrībās, kā arī kapitālsabiedrībās, kurās publiskas personas kapitālsabiedrība ir ieguvusi visas kapitāla daļas vai balsstiesīgās akcijas, valdes un padomes locekļu skaits atbilst Ministru kabineta noteikumos noteiktajam. </w:t>
            </w:r>
            <w:r w:rsidR="00355D85" w:rsidRPr="002759D6">
              <w:rPr>
                <w:rFonts w:ascii="Times New Roman" w:hAnsi="Times New Roman" w:cs="Times New Roman"/>
                <w:lang w:val="lv-LV"/>
              </w:rPr>
              <w:t>Apstiprinot šo Ministru kabineta noteikumu projektu pašreizējā redakcijā, atsevišķās kapitālsabiedrībās var rasties nepieciešamība samazināt pašreiz eso</w:t>
            </w:r>
            <w:r w:rsidR="00C03ACB" w:rsidRPr="002759D6">
              <w:rPr>
                <w:rFonts w:ascii="Times New Roman" w:hAnsi="Times New Roman" w:cs="Times New Roman"/>
                <w:lang w:val="lv-LV"/>
              </w:rPr>
              <w:t xml:space="preserve">šo </w:t>
            </w:r>
            <w:r w:rsidR="00355D85" w:rsidRPr="002759D6">
              <w:rPr>
                <w:rFonts w:ascii="Times New Roman" w:hAnsi="Times New Roman" w:cs="Times New Roman"/>
                <w:lang w:val="lv-LV"/>
              </w:rPr>
              <w:t>valdes locekļu skaitu, ievērojot šo noteikumu pielikumā pieļaujamo valdes un padomes locekļu maksimālo skaitu.</w:t>
            </w:r>
            <w:r w:rsidR="001E4248" w:rsidRPr="002759D6">
              <w:rPr>
                <w:rFonts w:ascii="Times New Roman" w:hAnsi="Times New Roman" w:cs="Times New Roman"/>
                <w:lang w:val="lv-LV"/>
              </w:rPr>
              <w:t xml:space="preserve"> </w:t>
            </w:r>
            <w:r w:rsidR="00C03ACB" w:rsidRPr="002759D6">
              <w:rPr>
                <w:rFonts w:ascii="Times New Roman" w:hAnsi="Times New Roman" w:cs="Times New Roman"/>
                <w:lang w:val="lv-LV"/>
              </w:rPr>
              <w:t xml:space="preserve">Šajā gadījumā publiskajai personai </w:t>
            </w:r>
            <w:r w:rsidR="001E4248">
              <w:rPr>
                <w:rFonts w:ascii="Times New Roman" w:hAnsi="Times New Roman" w:cs="Times New Roman"/>
                <w:lang w:val="lv-LV"/>
              </w:rPr>
              <w:t>nepieciešams</w:t>
            </w:r>
            <w:r w:rsidR="00C03ACB" w:rsidRPr="002759D6">
              <w:rPr>
                <w:rFonts w:ascii="Times New Roman" w:hAnsi="Times New Roman" w:cs="Times New Roman"/>
                <w:lang w:val="lv-LV"/>
              </w:rPr>
              <w:t xml:space="preserve"> atsaukt vienu vai vairākus no šiem valdes locekļiem</w:t>
            </w:r>
            <w:r w:rsidR="001E4248">
              <w:rPr>
                <w:rFonts w:ascii="Times New Roman" w:hAnsi="Times New Roman" w:cs="Times New Roman"/>
                <w:lang w:val="lv-LV"/>
              </w:rPr>
              <w:t xml:space="preserve"> (lēmuma pieņemšanas vajadzībām izvērtējot valdes locekļu kompetences, darbības rezultātus un sniegto ieguldījumu kapitālsabiedrības mērķu sasniegšanā)</w:t>
            </w:r>
            <w:r w:rsidR="00C03ACB" w:rsidRPr="002759D6">
              <w:rPr>
                <w:rFonts w:ascii="Times New Roman" w:hAnsi="Times New Roman" w:cs="Times New Roman"/>
                <w:lang w:val="lv-LV"/>
              </w:rPr>
              <w:t>, lai nodrošinātu valdes locekļu skaita</w:t>
            </w:r>
            <w:proofErr w:type="gramStart"/>
            <w:r w:rsidR="00C03ACB" w:rsidRPr="002759D6">
              <w:rPr>
                <w:rFonts w:ascii="Times New Roman" w:hAnsi="Times New Roman" w:cs="Times New Roman"/>
                <w:lang w:val="lv-LV"/>
              </w:rPr>
              <w:t xml:space="preserve">  </w:t>
            </w:r>
            <w:proofErr w:type="gramEnd"/>
            <w:r w:rsidR="00C03ACB" w:rsidRPr="002759D6">
              <w:rPr>
                <w:rFonts w:ascii="Times New Roman" w:hAnsi="Times New Roman" w:cs="Times New Roman"/>
                <w:lang w:val="lv-LV"/>
              </w:rPr>
              <w:t>atbilstību noteikumu projektā noteiktajam valdes locekļu maksimālajam skaitam. Par atsaukšanas iemeslu šajā gadījumā uzskatāma Likuma un MK noteikum</w:t>
            </w:r>
            <w:r w:rsidR="005F68FA" w:rsidRPr="002759D6">
              <w:rPr>
                <w:rFonts w:ascii="Times New Roman" w:hAnsi="Times New Roman" w:cs="Times New Roman"/>
                <w:lang w:val="lv-LV"/>
              </w:rPr>
              <w:t>u izpilde.</w:t>
            </w:r>
            <w:r w:rsidR="00C03ACB" w:rsidRPr="002759D6">
              <w:rPr>
                <w:rFonts w:ascii="Times New Roman" w:hAnsi="Times New Roman" w:cs="Times New Roman"/>
                <w:lang w:val="lv-LV"/>
              </w:rPr>
              <w:t xml:space="preserve"> </w:t>
            </w:r>
            <w:r w:rsidR="009B37E9" w:rsidRPr="002759D6">
              <w:rPr>
                <w:rFonts w:ascii="Times New Roman" w:hAnsi="Times New Roman" w:cs="Times New Roman"/>
                <w:lang w:val="lv-LV"/>
              </w:rPr>
              <w:t>Likuma 81.pants un 116.pants nosaka, ka</w:t>
            </w:r>
            <w:proofErr w:type="gramStart"/>
            <w:r w:rsidR="009B37E9" w:rsidRPr="002759D6">
              <w:rPr>
                <w:rFonts w:ascii="Times New Roman" w:hAnsi="Times New Roman" w:cs="Times New Roman"/>
                <w:lang w:val="lv-LV"/>
              </w:rPr>
              <w:t xml:space="preserve">  </w:t>
            </w:r>
            <w:proofErr w:type="gramEnd"/>
            <w:r w:rsidR="009B37E9" w:rsidRPr="002759D6">
              <w:rPr>
                <w:rFonts w:ascii="Times New Roman" w:hAnsi="Times New Roman" w:cs="Times New Roman"/>
                <w:lang w:val="lv-LV"/>
              </w:rPr>
              <w:t>valdes locekli var atsa</w:t>
            </w:r>
            <w:r w:rsidR="005F68FA" w:rsidRPr="002759D6">
              <w:rPr>
                <w:rFonts w:ascii="Times New Roman" w:hAnsi="Times New Roman" w:cs="Times New Roman"/>
                <w:lang w:val="lv-LV"/>
              </w:rPr>
              <w:t>ukt, ja tam ir svarīgs iemesls.</w:t>
            </w:r>
            <w:r w:rsidR="005F68FA" w:rsidRPr="001E4248">
              <w:rPr>
                <w:rFonts w:ascii="Times New Roman" w:hAnsi="Times New Roman" w:cs="Times New Roman"/>
                <w:lang w:val="lv-LV"/>
              </w:rPr>
              <w:t xml:space="preserve">  </w:t>
            </w:r>
            <w:r w:rsidR="001E4248" w:rsidRPr="001E4248">
              <w:rPr>
                <w:rFonts w:ascii="Times New Roman" w:hAnsi="Times New Roman" w:cs="Times New Roman"/>
                <w:color w:val="000000"/>
                <w:lang w:val="lv-LV"/>
              </w:rPr>
              <w:t>Gan L</w:t>
            </w:r>
            <w:r w:rsidR="001E4248">
              <w:rPr>
                <w:rFonts w:ascii="Times New Roman" w:hAnsi="Times New Roman" w:cs="Times New Roman"/>
                <w:color w:val="000000"/>
                <w:lang w:val="lv-LV"/>
              </w:rPr>
              <w:t>ikumā, gan Komerclikumā</w:t>
            </w:r>
            <w:r w:rsidR="001E4248" w:rsidRPr="001E4248">
              <w:rPr>
                <w:rFonts w:ascii="Times New Roman" w:hAnsi="Times New Roman" w:cs="Times New Roman"/>
                <w:color w:val="000000"/>
                <w:lang w:val="lv-LV"/>
              </w:rPr>
              <w:t xml:space="preserve"> norādītais pamats valdes locekļa atsaukšanai – “svarīgs iemesls” ir </w:t>
            </w:r>
            <w:proofErr w:type="spellStart"/>
            <w:r w:rsidR="001E4248" w:rsidRPr="001E4248">
              <w:rPr>
                <w:rFonts w:ascii="Times New Roman" w:hAnsi="Times New Roman" w:cs="Times New Roman"/>
                <w:color w:val="000000"/>
                <w:lang w:val="lv-LV"/>
              </w:rPr>
              <w:t>ģenerālklauzula</w:t>
            </w:r>
            <w:proofErr w:type="spellEnd"/>
            <w:r w:rsidR="001E4248" w:rsidRPr="001E4248">
              <w:rPr>
                <w:rFonts w:ascii="Times New Roman" w:hAnsi="Times New Roman" w:cs="Times New Roman"/>
                <w:color w:val="000000"/>
                <w:lang w:val="lv-LV"/>
              </w:rPr>
              <w:t>, kuras saturu nepieciešams pie</w:t>
            </w:r>
            <w:r w:rsidR="00252005">
              <w:rPr>
                <w:rFonts w:ascii="Times New Roman" w:hAnsi="Times New Roman" w:cs="Times New Roman"/>
                <w:color w:val="000000"/>
                <w:lang w:val="lv-LV"/>
              </w:rPr>
              <w:t>p</w:t>
            </w:r>
            <w:r w:rsidR="001E4248" w:rsidRPr="001E4248">
              <w:rPr>
                <w:rFonts w:ascii="Times New Roman" w:hAnsi="Times New Roman" w:cs="Times New Roman"/>
                <w:color w:val="000000"/>
                <w:lang w:val="lv-LV"/>
              </w:rPr>
              <w:t xml:space="preserve">ildīt normu piemērotājam. Lai arī minētajos pantos ir uzskaitīti gadījumi, kas uzskatāmi par svarīgu iemeslu, minēto normu gramatiskā interpretācija ļauj viennozīmīgi secināt, ka šie uzskaitītie gadījumi nav visi iespējamie. </w:t>
            </w:r>
            <w:r w:rsidR="001E4248" w:rsidRPr="001E4248">
              <w:rPr>
                <w:rFonts w:ascii="Times New Roman" w:hAnsi="Times New Roman" w:cs="Times New Roman"/>
                <w:lang w:val="lv-LV"/>
              </w:rPr>
              <w:t xml:space="preserve"> Nepieciešamība pildīt Likuma un MK noteikumu nosacījumus šajā gadījumā</w:t>
            </w:r>
            <w:proofErr w:type="gramStart"/>
            <w:r w:rsidR="001E4248" w:rsidRPr="001E4248">
              <w:rPr>
                <w:rFonts w:ascii="Times New Roman" w:hAnsi="Times New Roman" w:cs="Times New Roman"/>
                <w:lang w:val="lv-LV"/>
              </w:rPr>
              <w:t xml:space="preserve">  </w:t>
            </w:r>
            <w:proofErr w:type="gramEnd"/>
            <w:r w:rsidR="001E4248" w:rsidRPr="001E4248">
              <w:rPr>
                <w:rFonts w:ascii="Times New Roman" w:hAnsi="Times New Roman" w:cs="Times New Roman"/>
                <w:lang w:val="lv-LV"/>
              </w:rPr>
              <w:t>ir uzskatāma par svarīgu iemeslu.</w:t>
            </w:r>
          </w:p>
          <w:p w:rsidR="00355D85" w:rsidRPr="00A8158E" w:rsidRDefault="00355D85" w:rsidP="00C03ACB">
            <w:pPr>
              <w:pStyle w:val="NormalWeb"/>
              <w:spacing w:before="0" w:beforeAutospacing="0" w:after="0" w:afterAutospacing="0"/>
              <w:ind w:left="720"/>
              <w:jc w:val="both"/>
              <w:rPr>
                <w:rFonts w:ascii="Times New Roman" w:hAnsi="Times New Roman" w:cs="Times New Roman"/>
                <w:lang w:val="lv-LV"/>
              </w:rPr>
            </w:pPr>
          </w:p>
          <w:p w:rsidR="00E826C5" w:rsidRPr="00E80835" w:rsidRDefault="003F4F1B" w:rsidP="00CC16B8">
            <w:pPr>
              <w:pStyle w:val="NormalWeb"/>
              <w:spacing w:before="0" w:beforeAutospacing="0" w:after="0" w:afterAutospacing="0"/>
              <w:jc w:val="both"/>
              <w:rPr>
                <w:rFonts w:ascii="Times New Roman" w:hAnsi="Times New Roman" w:cs="Times New Roman"/>
                <w:lang w:val="lv-LV"/>
              </w:rPr>
            </w:pPr>
            <w:r w:rsidRPr="00B52E9F">
              <w:rPr>
                <w:rFonts w:ascii="Times New Roman" w:hAnsi="Times New Roman" w:cs="Times New Roman"/>
                <w:color w:val="000000" w:themeColor="text1"/>
                <w:lang w:val="lv-LV"/>
              </w:rPr>
              <w:t xml:space="preserve">Noteikumu projekta saskaņošanas laikā Valsts sekretāru sanāksmē 17.09.2015. izsludināts </w:t>
            </w:r>
            <w:proofErr w:type="spellStart"/>
            <w:r w:rsidRPr="00B52E9F">
              <w:rPr>
                <w:rFonts w:ascii="Times New Roman" w:hAnsi="Times New Roman" w:cs="Times New Roman"/>
                <w:color w:val="000000" w:themeColor="text1"/>
                <w:lang w:val="lv-LV"/>
              </w:rPr>
              <w:t>Pārresoru</w:t>
            </w:r>
            <w:proofErr w:type="spellEnd"/>
            <w:r w:rsidRPr="00B52E9F">
              <w:rPr>
                <w:rFonts w:ascii="Times New Roman" w:hAnsi="Times New Roman" w:cs="Times New Roman"/>
                <w:color w:val="000000" w:themeColor="text1"/>
                <w:lang w:val="lv-LV"/>
              </w:rPr>
              <w:t xml:space="preserve"> koordinācijas centra izstrādātais noteikumu projekts “Noteikumi par publiskas personas kapitālsabiedrību un publiski privāto kapitālsabiedrību </w:t>
            </w:r>
            <w:r w:rsidR="000D0F52" w:rsidRPr="00B52E9F">
              <w:rPr>
                <w:rFonts w:ascii="Times New Roman" w:hAnsi="Times New Roman" w:cs="Times New Roman"/>
                <w:color w:val="000000" w:themeColor="text1"/>
                <w:lang w:val="lv-LV"/>
              </w:rPr>
              <w:t>valdes un padomes locekļu maksimālo mēneša atlīdzības apmēru</w:t>
            </w:r>
            <w:r w:rsidRPr="00B52E9F">
              <w:rPr>
                <w:rFonts w:ascii="Times New Roman" w:hAnsi="Times New Roman" w:cs="Times New Roman"/>
                <w:color w:val="000000" w:themeColor="text1"/>
                <w:lang w:val="lv-LV"/>
              </w:rPr>
              <w:t>”</w:t>
            </w:r>
            <w:r w:rsidR="000D0F52" w:rsidRPr="00B52E9F">
              <w:rPr>
                <w:rFonts w:ascii="Times New Roman" w:hAnsi="Times New Roman" w:cs="Times New Roman"/>
                <w:color w:val="000000" w:themeColor="text1"/>
                <w:lang w:val="lv-LV"/>
              </w:rPr>
              <w:t xml:space="preserve"> (VSS-956)</w:t>
            </w:r>
            <w:r w:rsidRPr="00B52E9F">
              <w:rPr>
                <w:rFonts w:ascii="Times New Roman" w:hAnsi="Times New Roman" w:cs="Times New Roman"/>
                <w:color w:val="000000" w:themeColor="text1"/>
                <w:lang w:val="lv-LV"/>
              </w:rPr>
              <w:t xml:space="preserve">, kurā </w:t>
            </w:r>
            <w:r w:rsidR="000D0F52" w:rsidRPr="00B52E9F">
              <w:rPr>
                <w:rFonts w:ascii="Times New Roman" w:hAnsi="Times New Roman" w:cs="Times New Roman"/>
                <w:color w:val="000000" w:themeColor="text1"/>
                <w:lang w:val="lv-LV"/>
              </w:rPr>
              <w:t xml:space="preserve">arī ir </w:t>
            </w:r>
            <w:r w:rsidRPr="00B52E9F">
              <w:rPr>
                <w:rFonts w:ascii="Times New Roman" w:hAnsi="Times New Roman" w:cs="Times New Roman"/>
                <w:color w:val="000000" w:themeColor="text1"/>
                <w:lang w:val="lv-LV"/>
              </w:rPr>
              <w:t>noteikti kapitālsabiedrības lielumu raksturojošie kritēriji, un kapitālsabiedrības lielumu izvērtēšanas un noteikšanas nosacījumi. Ņemot vērā, ka abu normatīvo aktu piemērošana būs savā starpā saistīta, tad</w:t>
            </w:r>
            <w:proofErr w:type="gramStart"/>
            <w:r w:rsidRPr="00B52E9F">
              <w:rPr>
                <w:rFonts w:ascii="Times New Roman" w:hAnsi="Times New Roman" w:cs="Times New Roman"/>
                <w:color w:val="000000" w:themeColor="text1"/>
                <w:lang w:val="lv-LV"/>
              </w:rPr>
              <w:t xml:space="preserve">  </w:t>
            </w:r>
            <w:proofErr w:type="gramEnd"/>
            <w:r w:rsidR="000D0F52" w:rsidRPr="00B52E9F">
              <w:rPr>
                <w:rFonts w:ascii="Times New Roman" w:hAnsi="Times New Roman" w:cs="Times New Roman"/>
                <w:color w:val="000000" w:themeColor="text1"/>
                <w:lang w:val="lv-LV"/>
              </w:rPr>
              <w:t xml:space="preserve">noteikumu projektā ietvertās normas par kapitālsabiedrību lieluma kritērijiem un robežu vērtībām  ir saskaņotas ar </w:t>
            </w:r>
            <w:r w:rsidRPr="00B52E9F">
              <w:rPr>
                <w:rFonts w:ascii="Times New Roman" w:hAnsi="Times New Roman" w:cs="Times New Roman"/>
                <w:color w:val="000000" w:themeColor="text1"/>
                <w:lang w:val="lv-LV"/>
              </w:rPr>
              <w:t>VSS-</w:t>
            </w:r>
            <w:r w:rsidR="000D0F52" w:rsidRPr="00B52E9F">
              <w:rPr>
                <w:rFonts w:ascii="Times New Roman" w:hAnsi="Times New Roman" w:cs="Times New Roman"/>
                <w:color w:val="000000" w:themeColor="text1"/>
                <w:lang w:val="lv-LV"/>
              </w:rPr>
              <w:t>956</w:t>
            </w:r>
            <w:r w:rsidRPr="00B52E9F">
              <w:rPr>
                <w:rFonts w:ascii="Times New Roman" w:hAnsi="Times New Roman" w:cs="Times New Roman"/>
                <w:color w:val="000000" w:themeColor="text1"/>
                <w:lang w:val="lv-LV"/>
              </w:rPr>
              <w:t xml:space="preserve"> izsludinātajā noteikumu projektā</w:t>
            </w:r>
            <w:r w:rsidR="000D0F52" w:rsidRPr="00B52E9F">
              <w:rPr>
                <w:rFonts w:ascii="Times New Roman" w:hAnsi="Times New Roman" w:cs="Times New Roman"/>
                <w:color w:val="000000" w:themeColor="text1"/>
                <w:lang w:val="lv-LV"/>
              </w:rPr>
              <w:t xml:space="preserve"> ietverto regulējumu.</w:t>
            </w:r>
            <w:r w:rsidRPr="00B52E9F">
              <w:rPr>
                <w:rFonts w:ascii="Times New Roman" w:hAnsi="Times New Roman" w:cs="Times New Roman"/>
                <w:color w:val="000000" w:themeColor="text1"/>
                <w:lang w:val="lv-LV"/>
              </w:rPr>
              <w:t xml:space="preserve"> </w:t>
            </w:r>
          </w:p>
        </w:tc>
      </w:tr>
      <w:tr w:rsidR="00E826C5" w:rsidRPr="00883DA1" w:rsidTr="00DA5C2E">
        <w:trPr>
          <w:trHeight w:val="585"/>
        </w:trPr>
        <w:tc>
          <w:tcPr>
            <w:tcW w:w="483" w:type="dxa"/>
          </w:tcPr>
          <w:p w:rsidR="00E826C5" w:rsidRPr="0082310C" w:rsidRDefault="00E826C5" w:rsidP="005A6EF3">
            <w:pPr>
              <w:pStyle w:val="naiskr"/>
              <w:spacing w:before="0" w:after="0"/>
              <w:jc w:val="center"/>
            </w:pPr>
            <w:r w:rsidRPr="0082310C">
              <w:lastRenderedPageBreak/>
              <w:t>3.</w:t>
            </w:r>
          </w:p>
        </w:tc>
        <w:tc>
          <w:tcPr>
            <w:tcW w:w="2268" w:type="dxa"/>
          </w:tcPr>
          <w:p w:rsidR="00E826C5" w:rsidRPr="0082310C" w:rsidRDefault="00E826C5" w:rsidP="005A6EF3">
            <w:pPr>
              <w:pStyle w:val="naiskr"/>
              <w:spacing w:before="0" w:after="0"/>
            </w:pPr>
            <w:r w:rsidRPr="0082310C">
              <w:t>Projekta izstrādē iesaistītās institūcijas</w:t>
            </w:r>
          </w:p>
        </w:tc>
        <w:tc>
          <w:tcPr>
            <w:tcW w:w="7035" w:type="dxa"/>
          </w:tcPr>
          <w:p w:rsidR="00E826C5" w:rsidRPr="00F75C5A" w:rsidRDefault="00586B7F" w:rsidP="00393DCA">
            <w:pPr>
              <w:spacing w:after="120"/>
              <w:jc w:val="both"/>
            </w:pPr>
            <w:proofErr w:type="spellStart"/>
            <w:r>
              <w:t>Pārresoru</w:t>
            </w:r>
            <w:proofErr w:type="spellEnd"/>
            <w:r>
              <w:t xml:space="preserve"> koordinācijas centrs</w:t>
            </w:r>
          </w:p>
        </w:tc>
      </w:tr>
      <w:tr w:rsidR="00E826C5" w:rsidRPr="00883DA1" w:rsidTr="0009223E">
        <w:tc>
          <w:tcPr>
            <w:tcW w:w="483" w:type="dxa"/>
          </w:tcPr>
          <w:p w:rsidR="00E826C5" w:rsidRPr="0082310C" w:rsidRDefault="00E826C5" w:rsidP="005A6EF3">
            <w:pPr>
              <w:pStyle w:val="naiskr"/>
              <w:spacing w:before="0" w:after="0"/>
              <w:jc w:val="center"/>
            </w:pPr>
            <w:r w:rsidRPr="0082310C">
              <w:t>4.</w:t>
            </w:r>
          </w:p>
        </w:tc>
        <w:tc>
          <w:tcPr>
            <w:tcW w:w="2268" w:type="dxa"/>
          </w:tcPr>
          <w:p w:rsidR="00E826C5" w:rsidRPr="0082310C" w:rsidRDefault="00E826C5" w:rsidP="005A6EF3">
            <w:pPr>
              <w:pStyle w:val="naiskr"/>
              <w:spacing w:before="0" w:after="0"/>
            </w:pPr>
            <w:r w:rsidRPr="0082310C">
              <w:t>Cita informācija</w:t>
            </w:r>
          </w:p>
        </w:tc>
        <w:tc>
          <w:tcPr>
            <w:tcW w:w="7035" w:type="dxa"/>
          </w:tcPr>
          <w:p w:rsidR="00E826C5" w:rsidRPr="0067061C" w:rsidRDefault="00586B7F" w:rsidP="00612ED6">
            <w:pPr>
              <w:jc w:val="both"/>
              <w:rPr>
                <w:bCs/>
              </w:rPr>
            </w:pPr>
            <w:r>
              <w:rPr>
                <w:bCs/>
              </w:rPr>
              <w:t xml:space="preserve">Pieņemot </w:t>
            </w:r>
            <w:r w:rsidR="00393DCA">
              <w:rPr>
                <w:bCs/>
              </w:rPr>
              <w:t xml:space="preserve">šo </w:t>
            </w:r>
            <w:r>
              <w:rPr>
                <w:bCs/>
              </w:rPr>
              <w:t xml:space="preserve">noteikumu projektu, </w:t>
            </w:r>
            <w:r w:rsidR="00393DCA">
              <w:rPr>
                <w:bCs/>
              </w:rPr>
              <w:t>attiecībā uz valdes un padomes locekļu skaitu publisko personu kapitālsabiedrībās un tam simtprocentīgi piederošajās kapitālsabiedrībās vairs nebūs piemērojami</w:t>
            </w:r>
            <w:proofErr w:type="gramStart"/>
            <w:r w:rsidR="00393DCA">
              <w:rPr>
                <w:bCs/>
              </w:rPr>
              <w:t xml:space="preserve"> </w:t>
            </w:r>
            <w:r>
              <w:rPr>
                <w:bCs/>
              </w:rPr>
              <w:t xml:space="preserve"> </w:t>
            </w:r>
            <w:proofErr w:type="gramEnd"/>
            <w:r>
              <w:rPr>
                <w:bCs/>
              </w:rPr>
              <w:t>Ministru kabineta 201</w:t>
            </w:r>
            <w:r w:rsidR="00393DCA">
              <w:rPr>
                <w:bCs/>
              </w:rPr>
              <w:t>0</w:t>
            </w:r>
            <w:r>
              <w:rPr>
                <w:bCs/>
              </w:rPr>
              <w:t xml:space="preserve">.gada </w:t>
            </w:r>
            <w:r w:rsidR="00393DCA">
              <w:rPr>
                <w:bCs/>
              </w:rPr>
              <w:t>30.marta</w:t>
            </w:r>
            <w:r>
              <w:rPr>
                <w:bCs/>
              </w:rPr>
              <w:t xml:space="preserve"> </w:t>
            </w:r>
            <w:r w:rsidR="00393DCA">
              <w:rPr>
                <w:bCs/>
              </w:rPr>
              <w:t>noteikumi Nr.311</w:t>
            </w:r>
            <w:r w:rsidR="0082310C" w:rsidRPr="0082310C">
              <w:rPr>
                <w:bCs/>
              </w:rPr>
              <w:t xml:space="preserve"> „</w:t>
            </w:r>
            <w:r w:rsidR="00393DCA">
              <w:rPr>
                <w:bCs/>
              </w:rPr>
              <w:t>Noteikumi par valsts vai pašvaldību kapitālsabiedrību valdes locekļu skaitu, padomes un valdes locekļa, pašvaldības kapitāldaļu turētāja pārstāvja un atbildīgā darbinieka atlīdzību</w:t>
            </w:r>
            <w:r w:rsidR="0082310C" w:rsidRPr="0082310C">
              <w:t>”</w:t>
            </w:r>
            <w:r w:rsidR="00265CB0">
              <w:t>. Citos likumos var būt noteiktas normas, kuras nosaka</w:t>
            </w:r>
            <w:proofErr w:type="gramStart"/>
            <w:r w:rsidR="00265CB0">
              <w:t xml:space="preserve">  </w:t>
            </w:r>
            <w:proofErr w:type="gramEnd"/>
            <w:r w:rsidR="00265CB0">
              <w:t xml:space="preserve">atšķirīgu valdes vai padomes locekļu skaitu nekā </w:t>
            </w:r>
            <w:r w:rsidR="00265CB0">
              <w:lastRenderedPageBreak/>
              <w:t xml:space="preserve">tas būtu izrietošs no šī noteikumu projekta. Šāda situācija ir attiecināma uz „Attīstības finanšu institūcija </w:t>
            </w:r>
            <w:proofErr w:type="spellStart"/>
            <w:r w:rsidR="00265CB0">
              <w:t>Altum</w:t>
            </w:r>
            <w:proofErr w:type="spellEnd"/>
            <w:r w:rsidR="00265CB0">
              <w:t>”</w:t>
            </w:r>
            <w:r w:rsidR="00FC5BCB">
              <w:t xml:space="preserve"> un uz VSIA “Latvijas Nacionālā Opera un Balets”</w:t>
            </w:r>
            <w:r w:rsidR="00265CB0">
              <w:t>.</w:t>
            </w:r>
          </w:p>
        </w:tc>
      </w:tr>
    </w:tbl>
    <w:p w:rsidR="009D4EF6" w:rsidRPr="00883DA1" w:rsidRDefault="009D4EF6" w:rsidP="00A25063">
      <w:pPr>
        <w:pStyle w:val="naisf"/>
        <w:spacing w:before="0" w:after="0"/>
        <w:ind w:firstLine="0"/>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5"/>
        <w:gridCol w:w="2268"/>
        <w:gridCol w:w="7053"/>
      </w:tblGrid>
      <w:tr w:rsidR="009A0027" w:rsidRPr="00883DA1" w:rsidTr="001932F6">
        <w:trPr>
          <w:jc w:val="center"/>
        </w:trPr>
        <w:tc>
          <w:tcPr>
            <w:tcW w:w="9856" w:type="dxa"/>
            <w:gridSpan w:val="3"/>
          </w:tcPr>
          <w:p w:rsidR="00FE4973" w:rsidRPr="00883DA1" w:rsidRDefault="00FE4973" w:rsidP="00A25063">
            <w:pPr>
              <w:pStyle w:val="naisnod"/>
              <w:spacing w:before="0" w:after="0"/>
            </w:pPr>
            <w:r w:rsidRPr="00883DA1">
              <w:t>II.</w:t>
            </w:r>
            <w:r w:rsidRPr="00883DA1">
              <w:rPr>
                <w:bCs w:val="0"/>
              </w:rPr>
              <w:t xml:space="preserve"> Tiesību akta projekta ietekme uz sabiedrību, tautsaimniecības attīstību un administratīvo slogu</w:t>
            </w:r>
          </w:p>
        </w:tc>
      </w:tr>
      <w:tr w:rsidR="00906989" w:rsidRPr="00883DA1" w:rsidTr="00AA370A">
        <w:trPr>
          <w:jc w:val="center"/>
        </w:trPr>
        <w:tc>
          <w:tcPr>
            <w:tcW w:w="535" w:type="dxa"/>
          </w:tcPr>
          <w:p w:rsidR="00906989" w:rsidRPr="00883DA1" w:rsidRDefault="00906989" w:rsidP="00A25063">
            <w:pPr>
              <w:pStyle w:val="naiskr"/>
              <w:tabs>
                <w:tab w:val="left" w:pos="2628"/>
              </w:tabs>
              <w:spacing w:before="0" w:after="0"/>
              <w:jc w:val="center"/>
              <w:rPr>
                <w:iCs/>
              </w:rPr>
            </w:pPr>
            <w:r w:rsidRPr="00883DA1">
              <w:rPr>
                <w:iCs/>
              </w:rPr>
              <w:t>1.</w:t>
            </w:r>
          </w:p>
        </w:tc>
        <w:tc>
          <w:tcPr>
            <w:tcW w:w="2268" w:type="dxa"/>
          </w:tcPr>
          <w:p w:rsidR="00906989" w:rsidRPr="00883DA1" w:rsidRDefault="00906989" w:rsidP="00A25063">
            <w:pPr>
              <w:pStyle w:val="naiskr"/>
              <w:spacing w:before="0" w:after="0"/>
              <w:rPr>
                <w:iCs/>
              </w:rPr>
            </w:pPr>
            <w:r w:rsidRPr="00883DA1">
              <w:t>Sabiedrības mērķgrupas, kuras tiesiskais regulējums ietekmē vai varētu ietekmēt</w:t>
            </w:r>
          </w:p>
        </w:tc>
        <w:tc>
          <w:tcPr>
            <w:tcW w:w="7053" w:type="dxa"/>
          </w:tcPr>
          <w:p w:rsidR="002E3ABF" w:rsidRPr="007C79AF" w:rsidRDefault="007C79AF" w:rsidP="00265CB0">
            <w:pPr>
              <w:jc w:val="both"/>
            </w:pPr>
            <w:r w:rsidRPr="007C79AF">
              <w:t>Publiskas personas kā kapitāla daļu un kapitālsabiedrību turētāji, publisko personu kapitālsabiedrības</w:t>
            </w:r>
            <w:r w:rsidR="00265CB0">
              <w:t>.</w:t>
            </w:r>
          </w:p>
        </w:tc>
      </w:tr>
      <w:tr w:rsidR="000123E4" w:rsidRPr="00883DA1" w:rsidTr="00AA370A">
        <w:trPr>
          <w:jc w:val="center"/>
        </w:trPr>
        <w:tc>
          <w:tcPr>
            <w:tcW w:w="535" w:type="dxa"/>
          </w:tcPr>
          <w:p w:rsidR="00906989" w:rsidRPr="00883DA1" w:rsidRDefault="00906989" w:rsidP="00A25063">
            <w:pPr>
              <w:pStyle w:val="naiskr"/>
              <w:tabs>
                <w:tab w:val="left" w:pos="2628"/>
              </w:tabs>
              <w:spacing w:before="0" w:after="0"/>
              <w:jc w:val="center"/>
              <w:rPr>
                <w:iCs/>
              </w:rPr>
            </w:pPr>
            <w:r w:rsidRPr="00883DA1">
              <w:rPr>
                <w:iCs/>
              </w:rPr>
              <w:t>2.</w:t>
            </w:r>
          </w:p>
        </w:tc>
        <w:tc>
          <w:tcPr>
            <w:tcW w:w="2268" w:type="dxa"/>
          </w:tcPr>
          <w:p w:rsidR="00906989" w:rsidRPr="00883DA1" w:rsidRDefault="00906989" w:rsidP="00A25063">
            <w:pPr>
              <w:pStyle w:val="naiskr"/>
              <w:spacing w:before="0" w:after="0"/>
            </w:pPr>
            <w:r w:rsidRPr="00883DA1">
              <w:t>Tiesiskā regulējuma ietekme uz tautsaimniecību un administratīvo slogu</w:t>
            </w:r>
          </w:p>
        </w:tc>
        <w:tc>
          <w:tcPr>
            <w:tcW w:w="7053" w:type="dxa"/>
          </w:tcPr>
          <w:p w:rsidR="007C79AF" w:rsidRDefault="00E80835" w:rsidP="007C79AF">
            <w:pPr>
              <w:pStyle w:val="naiskr"/>
              <w:spacing w:before="0" w:after="120"/>
              <w:jc w:val="both"/>
            </w:pPr>
            <w:r>
              <w:t xml:space="preserve">Ņemot vērā, ka </w:t>
            </w:r>
            <w:r w:rsidR="00265CB0">
              <w:t>jau šobrīd pastāv regulējums valdes un padomes locekļu skaita noteikšanai</w:t>
            </w:r>
            <w:r>
              <w:t xml:space="preserve">, kas </w:t>
            </w:r>
            <w:r w:rsidR="00265CB0">
              <w:t>tiek un tiks izmantots līdz šo noteikumu spēkā stāšanās brīdim</w:t>
            </w:r>
            <w:r>
              <w:t>, ar</w:t>
            </w:r>
            <w:r w:rsidR="007C79AF">
              <w:t xml:space="preserve"> </w:t>
            </w:r>
            <w:r w:rsidR="00265CB0">
              <w:t xml:space="preserve">šiem </w:t>
            </w:r>
            <w:r>
              <w:t>noteikumiem</w:t>
            </w:r>
            <w:r w:rsidR="007C79AF">
              <w:t xml:space="preserve"> netiek radīts jauns administratīvais slogs, tiek nodrošināta </w:t>
            </w:r>
            <w:r w:rsidR="008938F6" w:rsidRPr="008C5F9F">
              <w:rPr>
                <w:bCs/>
              </w:rPr>
              <w:t>Publiskas personas kapitāla daļu un</w:t>
            </w:r>
            <w:r w:rsidR="008938F6">
              <w:rPr>
                <w:bCs/>
              </w:rPr>
              <w:t xml:space="preserve"> </w:t>
            </w:r>
            <w:r w:rsidR="008938F6" w:rsidRPr="008C5F9F">
              <w:rPr>
                <w:bCs/>
              </w:rPr>
              <w:t>kapi</w:t>
            </w:r>
            <w:r w:rsidR="008938F6">
              <w:rPr>
                <w:bCs/>
              </w:rPr>
              <w:t>tālsabiedrību pārvaldības likumā</w:t>
            </w:r>
            <w:r w:rsidR="007C79AF">
              <w:t xml:space="preserve"> noteikto uzdevumu izpilde.</w:t>
            </w:r>
            <w:r w:rsidR="007C79AF" w:rsidRPr="00CA7FB8">
              <w:t xml:space="preserve"> </w:t>
            </w:r>
          </w:p>
          <w:p w:rsidR="000E435E" w:rsidRPr="00517DFF" w:rsidRDefault="008938F6" w:rsidP="007C79AF">
            <w:pPr>
              <w:pStyle w:val="naiskr"/>
              <w:spacing w:before="0" w:after="120"/>
              <w:jc w:val="both"/>
            </w:pPr>
            <w:r w:rsidRPr="008938F6">
              <w:t>Tiesiskajam regulējumam ir netieša pozitīva ietekme uz tautsaimniecību, jo tas ir vērsts uz to kapitālsabiedrību pārvaldības uzlabošanu, kurās dalībnieks ir valsts, sekmējot profesionālu un kompetentu kapitālsabiedrības pārvaldes institūciju darbību</w:t>
            </w:r>
            <w:r>
              <w:t>.</w:t>
            </w:r>
          </w:p>
        </w:tc>
      </w:tr>
      <w:tr w:rsidR="00906989" w:rsidRPr="00883DA1" w:rsidTr="00AA370A">
        <w:trPr>
          <w:jc w:val="center"/>
        </w:trPr>
        <w:tc>
          <w:tcPr>
            <w:tcW w:w="535" w:type="dxa"/>
          </w:tcPr>
          <w:p w:rsidR="00906989" w:rsidRPr="00883DA1" w:rsidRDefault="00906989" w:rsidP="00A25063">
            <w:pPr>
              <w:pStyle w:val="naiskr"/>
              <w:tabs>
                <w:tab w:val="left" w:pos="2628"/>
              </w:tabs>
              <w:spacing w:before="0" w:after="0"/>
              <w:jc w:val="center"/>
              <w:rPr>
                <w:iCs/>
              </w:rPr>
            </w:pPr>
            <w:r w:rsidRPr="00883DA1">
              <w:rPr>
                <w:iCs/>
              </w:rPr>
              <w:t>3.</w:t>
            </w:r>
          </w:p>
        </w:tc>
        <w:tc>
          <w:tcPr>
            <w:tcW w:w="2268" w:type="dxa"/>
          </w:tcPr>
          <w:p w:rsidR="00906989" w:rsidRPr="00883DA1" w:rsidRDefault="00906989" w:rsidP="00A25063">
            <w:pPr>
              <w:pStyle w:val="naiskr"/>
              <w:tabs>
                <w:tab w:val="left" w:pos="2628"/>
              </w:tabs>
              <w:spacing w:before="0" w:after="0"/>
              <w:rPr>
                <w:iCs/>
              </w:rPr>
            </w:pPr>
            <w:r w:rsidRPr="00883DA1">
              <w:t>Administratīvo izmaksu monetārs novērtējums</w:t>
            </w:r>
          </w:p>
        </w:tc>
        <w:tc>
          <w:tcPr>
            <w:tcW w:w="7053" w:type="dxa"/>
          </w:tcPr>
          <w:p w:rsidR="00906989" w:rsidRPr="00883DA1" w:rsidRDefault="00A73151" w:rsidP="007C79AF">
            <w:pPr>
              <w:jc w:val="both"/>
              <w:rPr>
                <w:iCs/>
              </w:rPr>
            </w:pPr>
            <w:bookmarkStart w:id="1" w:name="p25"/>
            <w:bookmarkStart w:id="2" w:name="p-468670"/>
            <w:bookmarkEnd w:id="1"/>
            <w:bookmarkEnd w:id="2"/>
            <w:r w:rsidRPr="00A73151">
              <w:t> </w:t>
            </w:r>
            <w:r>
              <w:t>S</w:t>
            </w:r>
            <w:r w:rsidRPr="00A73151">
              <w:t>abiedrības grupām un institūcijām projekta tiesiskais regulējums nemaina tiesības un pienākumus, kā arī veicamās darbības</w:t>
            </w:r>
          </w:p>
        </w:tc>
      </w:tr>
      <w:tr w:rsidR="00906989" w:rsidRPr="00883DA1" w:rsidTr="00AA370A">
        <w:trPr>
          <w:jc w:val="center"/>
        </w:trPr>
        <w:tc>
          <w:tcPr>
            <w:tcW w:w="535" w:type="dxa"/>
          </w:tcPr>
          <w:p w:rsidR="00906989" w:rsidRPr="00883DA1" w:rsidRDefault="00745DA1" w:rsidP="00A25063">
            <w:pPr>
              <w:pStyle w:val="naiskr"/>
              <w:tabs>
                <w:tab w:val="left" w:pos="2628"/>
              </w:tabs>
              <w:spacing w:before="0" w:after="0"/>
              <w:jc w:val="center"/>
              <w:rPr>
                <w:iCs/>
              </w:rPr>
            </w:pPr>
            <w:r w:rsidRPr="00883DA1">
              <w:rPr>
                <w:iCs/>
              </w:rPr>
              <w:t>4.</w:t>
            </w:r>
          </w:p>
        </w:tc>
        <w:tc>
          <w:tcPr>
            <w:tcW w:w="2268" w:type="dxa"/>
          </w:tcPr>
          <w:p w:rsidR="00906989" w:rsidRPr="00883DA1" w:rsidRDefault="00906989" w:rsidP="00A25063">
            <w:pPr>
              <w:pStyle w:val="naiskr"/>
              <w:tabs>
                <w:tab w:val="left" w:pos="2628"/>
              </w:tabs>
              <w:spacing w:before="0" w:after="0"/>
            </w:pPr>
            <w:r w:rsidRPr="00883DA1">
              <w:t>Cita informācija</w:t>
            </w:r>
          </w:p>
        </w:tc>
        <w:tc>
          <w:tcPr>
            <w:tcW w:w="7053" w:type="dxa"/>
          </w:tcPr>
          <w:p w:rsidR="00906989" w:rsidRPr="00883DA1" w:rsidRDefault="007C79AF" w:rsidP="00481327">
            <w:pPr>
              <w:pStyle w:val="naiskr"/>
              <w:tabs>
                <w:tab w:val="left" w:pos="2628"/>
              </w:tabs>
              <w:spacing w:before="0" w:after="0"/>
              <w:jc w:val="both"/>
            </w:pPr>
            <w:r>
              <w:t>Nav</w:t>
            </w:r>
          </w:p>
        </w:tc>
      </w:tr>
    </w:tbl>
    <w:p w:rsidR="00777387" w:rsidRDefault="00777387" w:rsidP="00A25063">
      <w:pPr>
        <w:pStyle w:val="naisf"/>
        <w:spacing w:before="0" w:after="0"/>
        <w:ind w:firstLine="0"/>
      </w:pPr>
    </w:p>
    <w:tbl>
      <w:tblPr>
        <w:tblW w:w="9924" w:type="dxa"/>
        <w:tblInd w:w="-4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10"/>
        <w:gridCol w:w="2410"/>
        <w:gridCol w:w="6804"/>
      </w:tblGrid>
      <w:tr w:rsidR="002A60C9" w:rsidRPr="002A60C9" w:rsidTr="00777387">
        <w:tc>
          <w:tcPr>
            <w:tcW w:w="9924" w:type="dxa"/>
            <w:gridSpan w:val="3"/>
            <w:tcBorders>
              <w:top w:val="outset" w:sz="6" w:space="0" w:color="auto"/>
              <w:left w:val="outset" w:sz="6" w:space="0" w:color="auto"/>
              <w:bottom w:val="outset" w:sz="6" w:space="0" w:color="auto"/>
              <w:right w:val="outset" w:sz="6" w:space="0" w:color="auto"/>
            </w:tcBorders>
          </w:tcPr>
          <w:p w:rsidR="002A60C9" w:rsidRPr="002A60C9" w:rsidRDefault="002A60C9" w:rsidP="002A60C9">
            <w:pPr>
              <w:pStyle w:val="naisf"/>
              <w:spacing w:before="0" w:after="0"/>
              <w:rPr>
                <w:b/>
                <w:bCs/>
              </w:rPr>
            </w:pPr>
            <w:r w:rsidRPr="002A60C9">
              <w:rPr>
                <w:b/>
                <w:bCs/>
              </w:rPr>
              <w:t>V. Tiesību akta projekta atbilstība Latvijas Republikas starptautiskajām saistībām</w:t>
            </w:r>
          </w:p>
        </w:tc>
      </w:tr>
      <w:tr w:rsidR="002A60C9" w:rsidRPr="002A60C9" w:rsidTr="00777387">
        <w:tc>
          <w:tcPr>
            <w:tcW w:w="710" w:type="dxa"/>
            <w:tcBorders>
              <w:top w:val="outset" w:sz="6" w:space="0" w:color="auto"/>
              <w:left w:val="outset" w:sz="6" w:space="0" w:color="auto"/>
              <w:bottom w:val="outset" w:sz="6" w:space="0" w:color="auto"/>
              <w:right w:val="outset" w:sz="6" w:space="0" w:color="auto"/>
            </w:tcBorders>
          </w:tcPr>
          <w:p w:rsidR="002A60C9" w:rsidRPr="002A60C9" w:rsidRDefault="002A60C9" w:rsidP="002A60C9">
            <w:pPr>
              <w:pStyle w:val="naisf"/>
            </w:pPr>
            <w:r w:rsidRPr="002A60C9">
              <w:t> 1.</w:t>
            </w:r>
          </w:p>
        </w:tc>
        <w:tc>
          <w:tcPr>
            <w:tcW w:w="2410" w:type="dxa"/>
            <w:tcBorders>
              <w:top w:val="outset" w:sz="6" w:space="0" w:color="auto"/>
              <w:left w:val="outset" w:sz="6" w:space="0" w:color="auto"/>
              <w:bottom w:val="outset" w:sz="6" w:space="0" w:color="auto"/>
              <w:right w:val="outset" w:sz="6" w:space="0" w:color="auto"/>
            </w:tcBorders>
          </w:tcPr>
          <w:p w:rsidR="002A60C9" w:rsidRPr="002A60C9" w:rsidRDefault="002A60C9" w:rsidP="002A60C9">
            <w:pPr>
              <w:pStyle w:val="naisf"/>
            </w:pPr>
            <w:r w:rsidRPr="002A60C9">
              <w:t>Saistības pret Eiropas Savienību</w:t>
            </w:r>
          </w:p>
        </w:tc>
        <w:tc>
          <w:tcPr>
            <w:tcW w:w="6804" w:type="dxa"/>
            <w:tcBorders>
              <w:top w:val="outset" w:sz="6" w:space="0" w:color="auto"/>
              <w:left w:val="outset" w:sz="6" w:space="0" w:color="auto"/>
              <w:bottom w:val="outset" w:sz="6" w:space="0" w:color="auto"/>
              <w:right w:val="outset" w:sz="6" w:space="0" w:color="auto"/>
            </w:tcBorders>
          </w:tcPr>
          <w:p w:rsidR="002A60C9" w:rsidRPr="002A60C9" w:rsidRDefault="002A60C9" w:rsidP="002A60C9">
            <w:pPr>
              <w:pStyle w:val="naisf"/>
            </w:pPr>
            <w:r w:rsidRPr="002A60C9">
              <w:t>Projekts šo jomu neskar</w:t>
            </w:r>
          </w:p>
        </w:tc>
      </w:tr>
      <w:tr w:rsidR="002A60C9" w:rsidRPr="002A60C9" w:rsidTr="00777387">
        <w:tc>
          <w:tcPr>
            <w:tcW w:w="710" w:type="dxa"/>
            <w:tcBorders>
              <w:top w:val="outset" w:sz="6" w:space="0" w:color="auto"/>
              <w:left w:val="outset" w:sz="6" w:space="0" w:color="auto"/>
              <w:bottom w:val="outset" w:sz="6" w:space="0" w:color="auto"/>
              <w:right w:val="outset" w:sz="6" w:space="0" w:color="auto"/>
            </w:tcBorders>
          </w:tcPr>
          <w:p w:rsidR="002A60C9" w:rsidRPr="002A60C9" w:rsidRDefault="002A60C9" w:rsidP="002A60C9">
            <w:pPr>
              <w:pStyle w:val="naisf"/>
            </w:pPr>
            <w:r w:rsidRPr="002A60C9">
              <w:t> 2.</w:t>
            </w:r>
          </w:p>
        </w:tc>
        <w:tc>
          <w:tcPr>
            <w:tcW w:w="2410" w:type="dxa"/>
            <w:tcBorders>
              <w:top w:val="outset" w:sz="6" w:space="0" w:color="auto"/>
              <w:left w:val="outset" w:sz="6" w:space="0" w:color="auto"/>
              <w:bottom w:val="outset" w:sz="6" w:space="0" w:color="auto"/>
              <w:right w:val="outset" w:sz="6" w:space="0" w:color="auto"/>
            </w:tcBorders>
          </w:tcPr>
          <w:p w:rsidR="002A60C9" w:rsidRPr="002A60C9" w:rsidRDefault="002A60C9" w:rsidP="002A60C9">
            <w:pPr>
              <w:pStyle w:val="naisf"/>
            </w:pPr>
            <w:r w:rsidRPr="002A60C9">
              <w:t>Citas starptautiskās saistības</w:t>
            </w:r>
          </w:p>
        </w:tc>
        <w:tc>
          <w:tcPr>
            <w:tcW w:w="6804" w:type="dxa"/>
            <w:tcBorders>
              <w:top w:val="outset" w:sz="6" w:space="0" w:color="auto"/>
              <w:left w:val="outset" w:sz="6" w:space="0" w:color="auto"/>
              <w:bottom w:val="outset" w:sz="6" w:space="0" w:color="auto"/>
              <w:right w:val="outset" w:sz="6" w:space="0" w:color="auto"/>
            </w:tcBorders>
          </w:tcPr>
          <w:p w:rsidR="002A60C9" w:rsidRPr="002A60C9" w:rsidRDefault="002A60C9" w:rsidP="00777387">
            <w:pPr>
              <w:pStyle w:val="naisf"/>
              <w:ind w:firstLine="0"/>
            </w:pPr>
            <w:r w:rsidRPr="002A60C9">
              <w:t xml:space="preserve">Latvijas pievienošanās OECD Ceļa karte (apstiprināta OECD padomē 2013. gada 15. oktobrī). OECD vadlīnijas valsts kapitālsabiedrību pārvaldībai (OECD </w:t>
            </w:r>
            <w:proofErr w:type="spellStart"/>
            <w:r w:rsidRPr="002A60C9">
              <w:rPr>
                <w:i/>
              </w:rPr>
              <w:t>Guidelines</w:t>
            </w:r>
            <w:proofErr w:type="spellEnd"/>
            <w:r w:rsidRPr="002A60C9">
              <w:rPr>
                <w:i/>
              </w:rPr>
              <w:t xml:space="preserve"> </w:t>
            </w:r>
            <w:proofErr w:type="spellStart"/>
            <w:r w:rsidRPr="002A60C9">
              <w:rPr>
                <w:i/>
              </w:rPr>
              <w:t>on</w:t>
            </w:r>
            <w:proofErr w:type="spellEnd"/>
            <w:r w:rsidRPr="002A60C9">
              <w:rPr>
                <w:i/>
              </w:rPr>
              <w:t xml:space="preserve"> </w:t>
            </w:r>
            <w:proofErr w:type="spellStart"/>
            <w:r w:rsidRPr="002A60C9">
              <w:rPr>
                <w:i/>
              </w:rPr>
              <w:t>Corporate</w:t>
            </w:r>
            <w:proofErr w:type="spellEnd"/>
            <w:r w:rsidRPr="002A60C9">
              <w:rPr>
                <w:i/>
              </w:rPr>
              <w:t xml:space="preserve"> </w:t>
            </w:r>
            <w:proofErr w:type="spellStart"/>
            <w:r w:rsidRPr="002A60C9">
              <w:rPr>
                <w:i/>
              </w:rPr>
              <w:t>Governance</w:t>
            </w:r>
            <w:proofErr w:type="spellEnd"/>
            <w:r w:rsidRPr="002A60C9">
              <w:rPr>
                <w:i/>
              </w:rPr>
              <w:t xml:space="preserve"> </w:t>
            </w:r>
            <w:proofErr w:type="spellStart"/>
            <w:r w:rsidRPr="002A60C9">
              <w:rPr>
                <w:i/>
              </w:rPr>
              <w:t>of</w:t>
            </w:r>
            <w:proofErr w:type="spellEnd"/>
            <w:r w:rsidRPr="002A60C9">
              <w:rPr>
                <w:i/>
              </w:rPr>
              <w:t xml:space="preserve"> </w:t>
            </w:r>
            <w:proofErr w:type="spellStart"/>
            <w:r w:rsidRPr="002A60C9">
              <w:rPr>
                <w:i/>
              </w:rPr>
              <w:t>State-owned</w:t>
            </w:r>
            <w:proofErr w:type="spellEnd"/>
            <w:r w:rsidRPr="002A60C9">
              <w:rPr>
                <w:i/>
              </w:rPr>
              <w:t xml:space="preserve"> </w:t>
            </w:r>
            <w:proofErr w:type="spellStart"/>
            <w:r w:rsidRPr="002A60C9">
              <w:rPr>
                <w:i/>
              </w:rPr>
              <w:t>Enterprises</w:t>
            </w:r>
            <w:proofErr w:type="spellEnd"/>
            <w:r w:rsidRPr="002A60C9">
              <w:rPr>
                <w:i/>
              </w:rPr>
              <w:t>, 2005</w:t>
            </w:r>
            <w:r w:rsidRPr="002A60C9">
              <w:t xml:space="preserve"> http://www.oecd.org/daf/ca/oecdguidelinesoncorporategovernanceofstate-ownedenterprises.htm)</w:t>
            </w:r>
          </w:p>
        </w:tc>
      </w:tr>
      <w:tr w:rsidR="002A60C9" w:rsidRPr="002A60C9" w:rsidTr="00777387">
        <w:tc>
          <w:tcPr>
            <w:tcW w:w="710" w:type="dxa"/>
            <w:tcBorders>
              <w:top w:val="outset" w:sz="6" w:space="0" w:color="auto"/>
              <w:left w:val="outset" w:sz="6" w:space="0" w:color="auto"/>
              <w:bottom w:val="outset" w:sz="6" w:space="0" w:color="auto"/>
              <w:right w:val="outset" w:sz="6" w:space="0" w:color="auto"/>
            </w:tcBorders>
          </w:tcPr>
          <w:p w:rsidR="002A60C9" w:rsidRPr="002A60C9" w:rsidRDefault="002A60C9" w:rsidP="002A60C9">
            <w:pPr>
              <w:pStyle w:val="naisf"/>
            </w:pPr>
            <w:r w:rsidRPr="002A60C9">
              <w:t> 3.</w:t>
            </w:r>
          </w:p>
        </w:tc>
        <w:tc>
          <w:tcPr>
            <w:tcW w:w="2410" w:type="dxa"/>
            <w:tcBorders>
              <w:top w:val="outset" w:sz="6" w:space="0" w:color="auto"/>
              <w:left w:val="outset" w:sz="6" w:space="0" w:color="auto"/>
              <w:bottom w:val="outset" w:sz="6" w:space="0" w:color="auto"/>
              <w:right w:val="outset" w:sz="6" w:space="0" w:color="auto"/>
            </w:tcBorders>
          </w:tcPr>
          <w:p w:rsidR="002A60C9" w:rsidRPr="002A60C9" w:rsidRDefault="002A60C9" w:rsidP="002A60C9">
            <w:pPr>
              <w:pStyle w:val="naisf"/>
            </w:pPr>
            <w:r w:rsidRPr="002A60C9">
              <w:t>Cita informācija</w:t>
            </w:r>
          </w:p>
        </w:tc>
        <w:tc>
          <w:tcPr>
            <w:tcW w:w="6804" w:type="dxa"/>
            <w:tcBorders>
              <w:top w:val="outset" w:sz="6" w:space="0" w:color="auto"/>
              <w:left w:val="outset" w:sz="6" w:space="0" w:color="auto"/>
              <w:bottom w:val="outset" w:sz="6" w:space="0" w:color="auto"/>
              <w:right w:val="outset" w:sz="6" w:space="0" w:color="auto"/>
            </w:tcBorders>
          </w:tcPr>
          <w:p w:rsidR="002A60C9" w:rsidRPr="002A60C9" w:rsidRDefault="00A73151" w:rsidP="00A73151">
            <w:pPr>
              <w:pStyle w:val="naisf"/>
              <w:ind w:firstLine="0"/>
            </w:pPr>
            <w:r>
              <w:t>Nav</w:t>
            </w:r>
          </w:p>
        </w:tc>
      </w:tr>
    </w:tbl>
    <w:p w:rsidR="002A60C9" w:rsidRDefault="002A60C9" w:rsidP="00A25063">
      <w:pPr>
        <w:pStyle w:val="naisf"/>
        <w:spacing w:before="0" w:after="0"/>
        <w:ind w:firstLine="0"/>
      </w:pPr>
    </w:p>
    <w:tbl>
      <w:tblPr>
        <w:tblW w:w="9924"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924"/>
      </w:tblGrid>
      <w:tr w:rsidR="00777387" w:rsidRPr="00777387" w:rsidTr="00777387">
        <w:trPr>
          <w:trHeight w:val="523"/>
        </w:trPr>
        <w:tc>
          <w:tcPr>
            <w:tcW w:w="9924" w:type="dxa"/>
            <w:tcBorders>
              <w:top w:val="outset" w:sz="6" w:space="0" w:color="auto"/>
              <w:left w:val="outset" w:sz="6" w:space="0" w:color="auto"/>
              <w:bottom w:val="outset" w:sz="6" w:space="0" w:color="auto"/>
              <w:right w:val="outset" w:sz="6" w:space="0" w:color="auto"/>
            </w:tcBorders>
            <w:vAlign w:val="center"/>
          </w:tcPr>
          <w:p w:rsidR="00777387" w:rsidRPr="00777387" w:rsidRDefault="00777387" w:rsidP="00777387">
            <w:pPr>
              <w:pStyle w:val="naisf"/>
              <w:spacing w:before="0"/>
              <w:rPr>
                <w:b/>
                <w:bCs/>
              </w:rPr>
            </w:pPr>
            <w:r w:rsidRPr="00777387">
              <w:rPr>
                <w:b/>
                <w:bCs/>
              </w:rPr>
              <w:t>1. tabula</w:t>
            </w:r>
          </w:p>
          <w:p w:rsidR="00777387" w:rsidRPr="00777387" w:rsidRDefault="00777387" w:rsidP="00777387">
            <w:pPr>
              <w:pStyle w:val="naisf"/>
              <w:spacing w:after="0"/>
              <w:rPr>
                <w:b/>
                <w:bCs/>
              </w:rPr>
            </w:pPr>
            <w:r w:rsidRPr="00777387">
              <w:rPr>
                <w:b/>
                <w:bCs/>
              </w:rPr>
              <w:t>Tiesību akta projekta atbilstība ES tiesību aktiem</w:t>
            </w:r>
          </w:p>
        </w:tc>
      </w:tr>
      <w:tr w:rsidR="00777387" w:rsidRPr="00777387" w:rsidTr="00777387">
        <w:tc>
          <w:tcPr>
            <w:tcW w:w="9924" w:type="dxa"/>
            <w:tcBorders>
              <w:top w:val="outset" w:sz="6" w:space="0" w:color="auto"/>
              <w:left w:val="outset" w:sz="6" w:space="0" w:color="auto"/>
              <w:bottom w:val="outset" w:sz="6" w:space="0" w:color="auto"/>
              <w:right w:val="outset" w:sz="6" w:space="0" w:color="auto"/>
            </w:tcBorders>
            <w:vAlign w:val="center"/>
          </w:tcPr>
          <w:p w:rsidR="00777387" w:rsidRPr="00777387" w:rsidRDefault="00777387" w:rsidP="00777387">
            <w:pPr>
              <w:pStyle w:val="naisf"/>
            </w:pPr>
            <w:r w:rsidRPr="00777387">
              <w:t>Nav attiecināms</w:t>
            </w:r>
          </w:p>
        </w:tc>
      </w:tr>
    </w:tbl>
    <w:p w:rsidR="002A60C9" w:rsidRDefault="002A60C9" w:rsidP="00A25063">
      <w:pPr>
        <w:pStyle w:val="naisf"/>
        <w:spacing w:before="0" w:after="0"/>
        <w:ind w:firstLine="0"/>
      </w:pPr>
    </w:p>
    <w:tbl>
      <w:tblPr>
        <w:tblW w:w="9924"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2836"/>
        <w:gridCol w:w="1562"/>
        <w:gridCol w:w="1698"/>
        <w:gridCol w:w="3828"/>
      </w:tblGrid>
      <w:tr w:rsidR="00777387" w:rsidRPr="00777387" w:rsidTr="00777387">
        <w:trPr>
          <w:trHeight w:val="792"/>
        </w:trPr>
        <w:tc>
          <w:tcPr>
            <w:tcW w:w="9924" w:type="dxa"/>
            <w:gridSpan w:val="4"/>
            <w:vAlign w:val="center"/>
          </w:tcPr>
          <w:p w:rsidR="00777387" w:rsidRPr="00777387" w:rsidRDefault="00777387" w:rsidP="00777387">
            <w:pPr>
              <w:pStyle w:val="naisf"/>
              <w:spacing w:before="0"/>
              <w:rPr>
                <w:b/>
                <w:bCs/>
              </w:rPr>
            </w:pPr>
            <w:r w:rsidRPr="00777387">
              <w:rPr>
                <w:b/>
                <w:bCs/>
              </w:rPr>
              <w:t>2. tabula</w:t>
            </w:r>
          </w:p>
          <w:p w:rsidR="00777387" w:rsidRPr="00777387" w:rsidRDefault="00777387" w:rsidP="00777387">
            <w:pPr>
              <w:pStyle w:val="naisf"/>
              <w:rPr>
                <w:b/>
                <w:bCs/>
              </w:rPr>
            </w:pPr>
            <w:r w:rsidRPr="00777387">
              <w:rPr>
                <w:b/>
                <w:bCs/>
              </w:rPr>
              <w:t>Ar tiesību akta projektu uzņemtās saistības, kas izriet no starptautiskajiem tiesību aktiem vai starptautiskas institūcijas vai organizācijas dokumentiem</w:t>
            </w:r>
          </w:p>
          <w:p w:rsidR="00777387" w:rsidRPr="00777387" w:rsidRDefault="00777387" w:rsidP="00777387">
            <w:pPr>
              <w:pStyle w:val="naisf"/>
              <w:spacing w:after="0"/>
              <w:rPr>
                <w:b/>
                <w:bCs/>
              </w:rPr>
            </w:pPr>
            <w:r w:rsidRPr="00777387">
              <w:rPr>
                <w:b/>
                <w:bCs/>
              </w:rPr>
              <w:t>Pasākumi šo saistību izpildei</w:t>
            </w:r>
          </w:p>
        </w:tc>
      </w:tr>
      <w:tr w:rsidR="00777387" w:rsidRPr="00777387" w:rsidTr="00777387">
        <w:trPr>
          <w:trHeight w:val="1596"/>
        </w:trPr>
        <w:tc>
          <w:tcPr>
            <w:tcW w:w="4398" w:type="dxa"/>
            <w:gridSpan w:val="2"/>
            <w:vAlign w:val="center"/>
          </w:tcPr>
          <w:p w:rsidR="00777387" w:rsidRPr="00777387" w:rsidRDefault="00777387" w:rsidP="00777387">
            <w:pPr>
              <w:pStyle w:val="naisf"/>
              <w:spacing w:before="0" w:after="0"/>
            </w:pPr>
            <w:r w:rsidRPr="00777387">
              <w:lastRenderedPageBreak/>
              <w:t>Attiecīgā starptautiskā tiesību akta vai starptautiskas institūcijas vai organizācijas dokumenta (turpmāk – starptautiskais dokuments) datums, numurs un nosaukums</w:t>
            </w:r>
          </w:p>
        </w:tc>
        <w:tc>
          <w:tcPr>
            <w:tcW w:w="5526" w:type="dxa"/>
            <w:gridSpan w:val="2"/>
          </w:tcPr>
          <w:p w:rsidR="00777387" w:rsidRPr="00777387" w:rsidRDefault="00777387" w:rsidP="00777387">
            <w:pPr>
              <w:pStyle w:val="naisf"/>
              <w:spacing w:before="0" w:after="0"/>
            </w:pPr>
            <w:r w:rsidRPr="00777387">
              <w:t xml:space="preserve">OECD vadlīnijas valsts kapitālsabiedrību pārvaldībai (OECD </w:t>
            </w:r>
            <w:proofErr w:type="spellStart"/>
            <w:r w:rsidRPr="00777387">
              <w:rPr>
                <w:i/>
              </w:rPr>
              <w:t>Guidelines</w:t>
            </w:r>
            <w:proofErr w:type="spellEnd"/>
            <w:r w:rsidRPr="00777387">
              <w:rPr>
                <w:i/>
              </w:rPr>
              <w:t xml:space="preserve"> </w:t>
            </w:r>
            <w:proofErr w:type="spellStart"/>
            <w:r w:rsidRPr="00777387">
              <w:rPr>
                <w:i/>
              </w:rPr>
              <w:t>on</w:t>
            </w:r>
            <w:proofErr w:type="spellEnd"/>
            <w:r w:rsidRPr="00777387">
              <w:rPr>
                <w:i/>
              </w:rPr>
              <w:t xml:space="preserve"> </w:t>
            </w:r>
            <w:proofErr w:type="spellStart"/>
            <w:r w:rsidRPr="00777387">
              <w:rPr>
                <w:i/>
              </w:rPr>
              <w:t>Corporate</w:t>
            </w:r>
            <w:proofErr w:type="spellEnd"/>
            <w:r w:rsidRPr="00777387">
              <w:rPr>
                <w:i/>
              </w:rPr>
              <w:t xml:space="preserve"> </w:t>
            </w:r>
            <w:proofErr w:type="spellStart"/>
            <w:r w:rsidRPr="00777387">
              <w:rPr>
                <w:i/>
              </w:rPr>
              <w:t>Governance</w:t>
            </w:r>
            <w:proofErr w:type="spellEnd"/>
            <w:r w:rsidRPr="00777387">
              <w:rPr>
                <w:i/>
              </w:rPr>
              <w:t xml:space="preserve"> </w:t>
            </w:r>
            <w:proofErr w:type="spellStart"/>
            <w:r w:rsidRPr="00777387">
              <w:rPr>
                <w:i/>
              </w:rPr>
              <w:t>of</w:t>
            </w:r>
            <w:proofErr w:type="spellEnd"/>
            <w:r w:rsidRPr="00777387">
              <w:rPr>
                <w:i/>
              </w:rPr>
              <w:t xml:space="preserve"> </w:t>
            </w:r>
            <w:proofErr w:type="spellStart"/>
            <w:r w:rsidRPr="00777387">
              <w:rPr>
                <w:i/>
              </w:rPr>
              <w:t>State</w:t>
            </w:r>
            <w:proofErr w:type="spellEnd"/>
            <w:r w:rsidRPr="00777387">
              <w:rPr>
                <w:i/>
              </w:rPr>
              <w:t xml:space="preserve"> </w:t>
            </w:r>
            <w:proofErr w:type="spellStart"/>
            <w:r w:rsidRPr="00777387">
              <w:rPr>
                <w:i/>
              </w:rPr>
              <w:t>ownedEnterprises</w:t>
            </w:r>
            <w:proofErr w:type="spellEnd"/>
            <w:r w:rsidRPr="00777387">
              <w:rPr>
                <w:i/>
              </w:rPr>
              <w:t xml:space="preserve">, 2005) </w:t>
            </w:r>
            <w:r w:rsidRPr="00777387">
              <w:t>(http://www.oecd.org/daf/ca/oecdguidelinesoncorporategovernanceofstate-ownedenterprises.htm)</w:t>
            </w:r>
          </w:p>
        </w:tc>
      </w:tr>
      <w:tr w:rsidR="00777387" w:rsidRPr="00777387" w:rsidTr="00777387">
        <w:trPr>
          <w:trHeight w:val="341"/>
        </w:trPr>
        <w:tc>
          <w:tcPr>
            <w:tcW w:w="2836" w:type="dxa"/>
            <w:vAlign w:val="center"/>
          </w:tcPr>
          <w:p w:rsidR="00777387" w:rsidRPr="00777387" w:rsidRDefault="00777387" w:rsidP="00777387">
            <w:pPr>
              <w:pStyle w:val="naisf"/>
            </w:pPr>
            <w:r w:rsidRPr="00777387">
              <w:t>A</w:t>
            </w:r>
          </w:p>
        </w:tc>
        <w:tc>
          <w:tcPr>
            <w:tcW w:w="3260" w:type="dxa"/>
            <w:gridSpan w:val="2"/>
            <w:vAlign w:val="center"/>
          </w:tcPr>
          <w:p w:rsidR="00777387" w:rsidRPr="00777387" w:rsidRDefault="00777387" w:rsidP="00777387">
            <w:pPr>
              <w:pStyle w:val="naisf"/>
            </w:pPr>
            <w:r w:rsidRPr="00777387">
              <w:t>B</w:t>
            </w:r>
          </w:p>
        </w:tc>
        <w:tc>
          <w:tcPr>
            <w:tcW w:w="3828" w:type="dxa"/>
            <w:vAlign w:val="center"/>
          </w:tcPr>
          <w:p w:rsidR="00777387" w:rsidRPr="00777387" w:rsidRDefault="00777387" w:rsidP="00777387">
            <w:pPr>
              <w:pStyle w:val="naisf"/>
            </w:pPr>
            <w:r w:rsidRPr="00777387">
              <w:t>C</w:t>
            </w:r>
          </w:p>
        </w:tc>
      </w:tr>
      <w:tr w:rsidR="00777387" w:rsidRPr="00777387" w:rsidTr="00777387">
        <w:trPr>
          <w:trHeight w:val="341"/>
        </w:trPr>
        <w:tc>
          <w:tcPr>
            <w:tcW w:w="2836" w:type="dxa"/>
          </w:tcPr>
          <w:p w:rsidR="00777387" w:rsidRPr="00777387" w:rsidRDefault="00777387" w:rsidP="00777387">
            <w:pPr>
              <w:pStyle w:val="naisf"/>
            </w:pPr>
            <w:r w:rsidRPr="00777387">
              <w:t>Starptautiskās saistības (pēc būtības), kas izriet no norādītā starptautiskā dokumenta.</w:t>
            </w:r>
          </w:p>
          <w:p w:rsidR="00777387" w:rsidRPr="00777387" w:rsidRDefault="00777387" w:rsidP="00777387">
            <w:pPr>
              <w:pStyle w:val="naisf"/>
            </w:pPr>
            <w:r w:rsidRPr="00777387">
              <w:t> </w:t>
            </w:r>
          </w:p>
          <w:p w:rsidR="00777387" w:rsidRPr="00777387" w:rsidRDefault="00777387" w:rsidP="00777387">
            <w:pPr>
              <w:pStyle w:val="naisf"/>
            </w:pPr>
            <w:r w:rsidRPr="00777387">
              <w:t>Konkrēti veicamie pasākumi vai uzdevumi, kas nepieciešami šo starptautisko saistību izpildei</w:t>
            </w:r>
          </w:p>
        </w:tc>
        <w:tc>
          <w:tcPr>
            <w:tcW w:w="3260" w:type="dxa"/>
            <w:gridSpan w:val="2"/>
          </w:tcPr>
          <w:p w:rsidR="00777387" w:rsidRPr="00777387" w:rsidRDefault="00777387" w:rsidP="00777387">
            <w:pPr>
              <w:pStyle w:val="naisf"/>
            </w:pPr>
            <w:r w:rsidRPr="00777387">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828" w:type="dxa"/>
          </w:tcPr>
          <w:p w:rsidR="00777387" w:rsidRPr="00777387" w:rsidRDefault="00777387" w:rsidP="00777387">
            <w:pPr>
              <w:pStyle w:val="naisf"/>
            </w:pPr>
            <w:r w:rsidRPr="00777387">
              <w:t>Informācija par to, vai starptautiskās saistības, kas minētas šīs tabulas A ailē, tiek izpildītas pilnībā vai daļēji. </w:t>
            </w:r>
          </w:p>
          <w:p w:rsidR="00777387" w:rsidRPr="00777387" w:rsidRDefault="00777387" w:rsidP="00777387">
            <w:pPr>
              <w:pStyle w:val="naisf"/>
            </w:pPr>
            <w:r w:rsidRPr="00777387">
              <w:t>Ja attiecīgās starptautiskās saistības tiek izpildītas daļēji, sniedz attiecīgu skaidrojumu, kā arī precīzi norāda, kad un kādā veidā starptautiskās saistības tiks izpildītas pilnībā. </w:t>
            </w:r>
          </w:p>
          <w:p w:rsidR="00777387" w:rsidRPr="00777387" w:rsidRDefault="00777387" w:rsidP="00777387">
            <w:pPr>
              <w:pStyle w:val="naisf"/>
            </w:pPr>
            <w:r w:rsidRPr="00777387">
              <w:t>Norāda institūciju, kas ir atbildīga par šo saistību izpildi pilnībā</w:t>
            </w:r>
          </w:p>
        </w:tc>
      </w:tr>
      <w:tr w:rsidR="00777387" w:rsidRPr="00777387" w:rsidTr="00777387">
        <w:trPr>
          <w:trHeight w:val="560"/>
        </w:trPr>
        <w:tc>
          <w:tcPr>
            <w:tcW w:w="2836" w:type="dxa"/>
          </w:tcPr>
          <w:p w:rsidR="00777387" w:rsidRPr="00777387" w:rsidRDefault="00777387" w:rsidP="00777387">
            <w:pPr>
              <w:pStyle w:val="naisf"/>
            </w:pPr>
            <w:r w:rsidRPr="00777387">
              <w:t xml:space="preserve">OECD vadlīnijas valsts kapitālsabiedrību pārvaldībai </w:t>
            </w:r>
          </w:p>
        </w:tc>
        <w:tc>
          <w:tcPr>
            <w:tcW w:w="3260" w:type="dxa"/>
            <w:gridSpan w:val="2"/>
          </w:tcPr>
          <w:p w:rsidR="00777387" w:rsidRPr="00777387" w:rsidRDefault="00777387" w:rsidP="0082310C">
            <w:pPr>
              <w:pStyle w:val="naisf"/>
            </w:pPr>
            <w:r w:rsidRPr="00777387">
              <w:t xml:space="preserve">Starptautisko saistību izpilde tiks nodrošināta ar </w:t>
            </w:r>
            <w:r w:rsidR="0082310C">
              <w:t>noteikumu</w:t>
            </w:r>
            <w:r w:rsidRPr="00777387">
              <w:t xml:space="preserve"> projekta pieņemšanu </w:t>
            </w:r>
          </w:p>
        </w:tc>
        <w:tc>
          <w:tcPr>
            <w:tcW w:w="3828" w:type="dxa"/>
          </w:tcPr>
          <w:p w:rsidR="00777387" w:rsidRPr="00777387" w:rsidRDefault="00777387" w:rsidP="00777387">
            <w:pPr>
              <w:pStyle w:val="naisf"/>
            </w:pPr>
            <w:r w:rsidRPr="00777387">
              <w:t>Starptautiskās saistības, kas minētas šīs tabulas A ailē, tiek izpildītas attiecībā uz kandidātu atlases procesu.</w:t>
            </w:r>
          </w:p>
          <w:p w:rsidR="00777387" w:rsidRPr="00777387" w:rsidRDefault="00777387" w:rsidP="00CC16B8">
            <w:pPr>
              <w:pStyle w:val="naisf"/>
            </w:pPr>
            <w:r w:rsidRPr="00777387">
              <w:t>Pilnīgu saistību izpildi nodrošina</w:t>
            </w:r>
            <w:r w:rsidR="0082310C">
              <w:t xml:space="preserve"> arī</w:t>
            </w:r>
            <w:r w:rsidRPr="00777387">
              <w:t xml:space="preserve"> </w:t>
            </w:r>
            <w:r w:rsidRPr="00777387">
              <w:rPr>
                <w:bCs/>
              </w:rPr>
              <w:t>Publisko personu kapitālsabiedrību un kapitāla daļu pārvaldības likums.</w:t>
            </w:r>
          </w:p>
        </w:tc>
      </w:tr>
      <w:tr w:rsidR="00777387" w:rsidRPr="00777387" w:rsidTr="00777387">
        <w:trPr>
          <w:trHeight w:val="161"/>
        </w:trPr>
        <w:tc>
          <w:tcPr>
            <w:tcW w:w="2836" w:type="dxa"/>
            <w:vAlign w:val="center"/>
          </w:tcPr>
          <w:p w:rsidR="00777387" w:rsidRPr="00777387" w:rsidRDefault="00777387" w:rsidP="00777387">
            <w:pPr>
              <w:pStyle w:val="naisf"/>
            </w:pPr>
            <w:r w:rsidRPr="00777387">
              <w:t>Vai starptautiskajā dokumentā paredzētās saistības nav pretrunā ar jau esošajām Latvijas Republikas starptautiskajām saistībām</w:t>
            </w:r>
          </w:p>
        </w:tc>
        <w:tc>
          <w:tcPr>
            <w:tcW w:w="7088" w:type="dxa"/>
            <w:gridSpan w:val="3"/>
          </w:tcPr>
          <w:p w:rsidR="00777387" w:rsidRPr="00777387" w:rsidRDefault="00777387" w:rsidP="00777387">
            <w:pPr>
              <w:pStyle w:val="naisf"/>
            </w:pPr>
            <w:r w:rsidRPr="00777387">
              <w:t>Paredzētās saistības nav pretrunā ar jau esošajām Latvijas Republikas starptautiskajām saistībām</w:t>
            </w:r>
          </w:p>
        </w:tc>
      </w:tr>
      <w:tr w:rsidR="00777387" w:rsidRPr="00777387" w:rsidTr="00777387">
        <w:trPr>
          <w:trHeight w:val="388"/>
        </w:trPr>
        <w:tc>
          <w:tcPr>
            <w:tcW w:w="2836" w:type="dxa"/>
          </w:tcPr>
          <w:p w:rsidR="00777387" w:rsidRPr="00777387" w:rsidRDefault="00777387" w:rsidP="00777387">
            <w:pPr>
              <w:pStyle w:val="naisf"/>
              <w:spacing w:before="0" w:after="0"/>
            </w:pPr>
            <w:r w:rsidRPr="00777387">
              <w:t>Cita informācija</w:t>
            </w:r>
          </w:p>
        </w:tc>
        <w:tc>
          <w:tcPr>
            <w:tcW w:w="7088" w:type="dxa"/>
            <w:gridSpan w:val="3"/>
          </w:tcPr>
          <w:p w:rsidR="00777387" w:rsidRPr="00777387" w:rsidRDefault="00777387" w:rsidP="00777387">
            <w:pPr>
              <w:pStyle w:val="naisf"/>
              <w:spacing w:before="0" w:after="0"/>
            </w:pPr>
            <w:r w:rsidRPr="00777387">
              <w:t>Nav</w:t>
            </w:r>
          </w:p>
        </w:tc>
      </w:tr>
    </w:tbl>
    <w:p w:rsidR="00777387" w:rsidRDefault="00777387" w:rsidP="00A25063">
      <w:pPr>
        <w:pStyle w:val="naisf"/>
        <w:spacing w:before="0" w:after="0"/>
        <w:ind w:firstLine="0"/>
      </w:pPr>
    </w:p>
    <w:tbl>
      <w:tblPr>
        <w:tblW w:w="9906"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78"/>
        <w:gridCol w:w="3010"/>
        <w:gridCol w:w="6118"/>
      </w:tblGrid>
      <w:tr w:rsidR="009A0027" w:rsidRPr="00B87C51" w:rsidTr="00ED5BD1">
        <w:trPr>
          <w:jc w:val="center"/>
        </w:trPr>
        <w:tc>
          <w:tcPr>
            <w:tcW w:w="9906" w:type="dxa"/>
            <w:gridSpan w:val="3"/>
          </w:tcPr>
          <w:p w:rsidR="00FE4973" w:rsidRPr="00B87C51" w:rsidRDefault="00FE4973" w:rsidP="00E218E6">
            <w:pPr>
              <w:pStyle w:val="naisnod"/>
              <w:spacing w:before="0" w:after="0"/>
            </w:pPr>
            <w:r w:rsidRPr="00B87C51">
              <w:t>V</w:t>
            </w:r>
            <w:r w:rsidR="00EB14E3" w:rsidRPr="00B87C51">
              <w:t>I</w:t>
            </w:r>
            <w:r w:rsidRPr="00B87C51">
              <w:t xml:space="preserve">. </w:t>
            </w:r>
            <w:r w:rsidRPr="00B87C51">
              <w:rPr>
                <w:bCs w:val="0"/>
              </w:rPr>
              <w:t>Sabiedrības līdzdalība un komunikācijas aktivitātes</w:t>
            </w:r>
          </w:p>
        </w:tc>
      </w:tr>
      <w:tr w:rsidR="00906989" w:rsidRPr="00B87C51" w:rsidTr="00ED5BD1">
        <w:trPr>
          <w:jc w:val="center"/>
        </w:trPr>
        <w:tc>
          <w:tcPr>
            <w:tcW w:w="778" w:type="dxa"/>
          </w:tcPr>
          <w:p w:rsidR="00906989" w:rsidRPr="00B87C51" w:rsidRDefault="00906989" w:rsidP="00A25063">
            <w:pPr>
              <w:pStyle w:val="naiskr"/>
              <w:tabs>
                <w:tab w:val="left" w:pos="2628"/>
              </w:tabs>
              <w:spacing w:before="0" w:after="0"/>
              <w:jc w:val="center"/>
              <w:rPr>
                <w:iCs/>
              </w:rPr>
            </w:pPr>
            <w:r w:rsidRPr="00B87C51">
              <w:rPr>
                <w:iCs/>
              </w:rPr>
              <w:t>1.</w:t>
            </w:r>
          </w:p>
        </w:tc>
        <w:tc>
          <w:tcPr>
            <w:tcW w:w="3010" w:type="dxa"/>
          </w:tcPr>
          <w:p w:rsidR="00906989" w:rsidRPr="00B87C51" w:rsidRDefault="00906989" w:rsidP="00A25063">
            <w:pPr>
              <w:pStyle w:val="naiskr"/>
              <w:tabs>
                <w:tab w:val="left" w:pos="2628"/>
              </w:tabs>
              <w:spacing w:before="0" w:after="0"/>
              <w:rPr>
                <w:iCs/>
              </w:rPr>
            </w:pPr>
            <w:r w:rsidRPr="00B87C51">
              <w:t>Plānotās sabiedrības līdzdalības un komunikācijas aktivitātes saistībā ar projektu</w:t>
            </w:r>
          </w:p>
        </w:tc>
        <w:tc>
          <w:tcPr>
            <w:tcW w:w="6118" w:type="dxa"/>
          </w:tcPr>
          <w:p w:rsidR="003864FE" w:rsidRPr="00B87C51" w:rsidRDefault="00B87C51" w:rsidP="00B87C51">
            <w:pPr>
              <w:pStyle w:val="naiskr"/>
              <w:tabs>
                <w:tab w:val="left" w:pos="2628"/>
              </w:tabs>
              <w:spacing w:before="0" w:after="0"/>
              <w:jc w:val="both"/>
              <w:rPr>
                <w:iCs/>
              </w:rPr>
            </w:pPr>
            <w:r w:rsidRPr="00B87C51">
              <w:rPr>
                <w:iCs/>
              </w:rPr>
              <w:t xml:space="preserve">Noteikumu projekts uz divām nedēļām tiks publicēts </w:t>
            </w:r>
            <w:proofErr w:type="spellStart"/>
            <w:r w:rsidRPr="00B87C51">
              <w:rPr>
                <w:iCs/>
              </w:rPr>
              <w:t>Pārresoru</w:t>
            </w:r>
            <w:proofErr w:type="spellEnd"/>
            <w:r w:rsidRPr="00B87C51">
              <w:rPr>
                <w:iCs/>
              </w:rPr>
              <w:t xml:space="preserve"> koordinācijas centra interneta vietnē, aicinot sabiedrību sniegt par to viedokli un priekšlikumus</w:t>
            </w:r>
          </w:p>
        </w:tc>
      </w:tr>
      <w:tr w:rsidR="00DA5C2E" w:rsidRPr="00B87C51" w:rsidTr="00ED5BD1">
        <w:trPr>
          <w:jc w:val="center"/>
        </w:trPr>
        <w:tc>
          <w:tcPr>
            <w:tcW w:w="778" w:type="dxa"/>
          </w:tcPr>
          <w:p w:rsidR="00DA5C2E" w:rsidRPr="00B87C51" w:rsidRDefault="00DA5C2E" w:rsidP="00A25063">
            <w:pPr>
              <w:pStyle w:val="naiskr"/>
              <w:tabs>
                <w:tab w:val="left" w:pos="2628"/>
              </w:tabs>
              <w:spacing w:before="0" w:after="0"/>
              <w:jc w:val="center"/>
              <w:rPr>
                <w:iCs/>
              </w:rPr>
            </w:pPr>
            <w:r w:rsidRPr="00B87C51">
              <w:rPr>
                <w:iCs/>
              </w:rPr>
              <w:t>2.</w:t>
            </w:r>
          </w:p>
        </w:tc>
        <w:tc>
          <w:tcPr>
            <w:tcW w:w="3010" w:type="dxa"/>
          </w:tcPr>
          <w:p w:rsidR="00DA5C2E" w:rsidRPr="00B87C51" w:rsidRDefault="00DA5C2E" w:rsidP="00A25063">
            <w:pPr>
              <w:pStyle w:val="naiskr"/>
              <w:tabs>
                <w:tab w:val="left" w:pos="2628"/>
              </w:tabs>
              <w:spacing w:before="0" w:after="0"/>
            </w:pPr>
            <w:r w:rsidRPr="00B87C51">
              <w:t>Sabiedrības līdzdalība projekta izstrādē</w:t>
            </w:r>
          </w:p>
        </w:tc>
        <w:tc>
          <w:tcPr>
            <w:tcW w:w="6118" w:type="dxa"/>
          </w:tcPr>
          <w:p w:rsidR="00DA5C2E" w:rsidRPr="00B87C51" w:rsidRDefault="00B87C51">
            <w:r w:rsidRPr="00B87C51">
              <w:t>Informācija tiks apkopota pēc priekšlikumu sniegšanas termiņa beigām</w:t>
            </w:r>
          </w:p>
        </w:tc>
      </w:tr>
      <w:tr w:rsidR="00DA5C2E" w:rsidRPr="00B87C51" w:rsidTr="00ED5BD1">
        <w:trPr>
          <w:jc w:val="center"/>
        </w:trPr>
        <w:tc>
          <w:tcPr>
            <w:tcW w:w="778" w:type="dxa"/>
          </w:tcPr>
          <w:p w:rsidR="00DA5C2E" w:rsidRPr="00B87C51" w:rsidRDefault="00DA5C2E" w:rsidP="00A25063">
            <w:pPr>
              <w:pStyle w:val="naiskr"/>
              <w:tabs>
                <w:tab w:val="left" w:pos="2628"/>
              </w:tabs>
              <w:spacing w:before="0" w:after="0"/>
              <w:jc w:val="center"/>
              <w:rPr>
                <w:iCs/>
              </w:rPr>
            </w:pPr>
            <w:r w:rsidRPr="00B87C51">
              <w:rPr>
                <w:iCs/>
              </w:rPr>
              <w:t>3.</w:t>
            </w:r>
          </w:p>
        </w:tc>
        <w:tc>
          <w:tcPr>
            <w:tcW w:w="3010" w:type="dxa"/>
          </w:tcPr>
          <w:p w:rsidR="00DA5C2E" w:rsidRPr="00B87C51" w:rsidRDefault="00DA5C2E" w:rsidP="00A25063">
            <w:pPr>
              <w:pStyle w:val="naiskr"/>
              <w:tabs>
                <w:tab w:val="left" w:pos="2628"/>
              </w:tabs>
              <w:spacing w:before="0" w:after="0"/>
              <w:rPr>
                <w:iCs/>
              </w:rPr>
            </w:pPr>
            <w:r w:rsidRPr="00B87C51">
              <w:t>Sabiedrības līdzdalības rezultāti</w:t>
            </w:r>
          </w:p>
        </w:tc>
        <w:tc>
          <w:tcPr>
            <w:tcW w:w="6118" w:type="dxa"/>
          </w:tcPr>
          <w:p w:rsidR="00DA5C2E" w:rsidRPr="00B87C51" w:rsidRDefault="00745DA1" w:rsidP="00745DA1">
            <w:r>
              <w:t>Priekšlikumi netika saņemti</w:t>
            </w:r>
          </w:p>
        </w:tc>
      </w:tr>
      <w:tr w:rsidR="00DA5C2E" w:rsidRPr="00B87C51" w:rsidTr="00ED5BD1">
        <w:trPr>
          <w:jc w:val="center"/>
        </w:trPr>
        <w:tc>
          <w:tcPr>
            <w:tcW w:w="778" w:type="dxa"/>
          </w:tcPr>
          <w:p w:rsidR="00DA5C2E" w:rsidRPr="00B87C51" w:rsidRDefault="00DA5C2E" w:rsidP="00A25063">
            <w:pPr>
              <w:pStyle w:val="naiskr"/>
              <w:tabs>
                <w:tab w:val="left" w:pos="2628"/>
              </w:tabs>
              <w:spacing w:before="0" w:after="0"/>
              <w:jc w:val="center"/>
              <w:rPr>
                <w:iCs/>
              </w:rPr>
            </w:pPr>
            <w:r w:rsidRPr="00B87C51">
              <w:rPr>
                <w:iCs/>
              </w:rPr>
              <w:t>4.</w:t>
            </w:r>
          </w:p>
        </w:tc>
        <w:tc>
          <w:tcPr>
            <w:tcW w:w="3010" w:type="dxa"/>
          </w:tcPr>
          <w:p w:rsidR="00DA5C2E" w:rsidRPr="00B87C51" w:rsidRDefault="00DA5C2E" w:rsidP="00A25063">
            <w:pPr>
              <w:pStyle w:val="naiskr"/>
              <w:tabs>
                <w:tab w:val="left" w:pos="2628"/>
              </w:tabs>
              <w:spacing w:before="0" w:after="0"/>
            </w:pPr>
            <w:r w:rsidRPr="00B87C51">
              <w:t>Cita informācija</w:t>
            </w:r>
          </w:p>
        </w:tc>
        <w:tc>
          <w:tcPr>
            <w:tcW w:w="6118" w:type="dxa"/>
          </w:tcPr>
          <w:p w:rsidR="00DA5C2E" w:rsidRPr="00B87C51" w:rsidRDefault="00B87C51">
            <w:r w:rsidRPr="00B87C51">
              <w:t>Nav</w:t>
            </w:r>
          </w:p>
        </w:tc>
      </w:tr>
    </w:tbl>
    <w:p w:rsidR="004907B8" w:rsidRPr="00B87C51" w:rsidRDefault="004907B8" w:rsidP="004907B8">
      <w:pPr>
        <w:pStyle w:val="naisf"/>
        <w:spacing w:before="0" w:after="0"/>
        <w:ind w:firstLine="0"/>
      </w:pPr>
    </w:p>
    <w:tbl>
      <w:tblPr>
        <w:tblW w:w="9862"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38"/>
        <w:gridCol w:w="3260"/>
        <w:gridCol w:w="6048"/>
        <w:gridCol w:w="16"/>
      </w:tblGrid>
      <w:tr w:rsidR="004907B8" w:rsidRPr="00B87C51" w:rsidTr="003F7D40">
        <w:trPr>
          <w:gridAfter w:val="1"/>
          <w:wAfter w:w="16" w:type="dxa"/>
          <w:jc w:val="center"/>
        </w:trPr>
        <w:tc>
          <w:tcPr>
            <w:tcW w:w="9846" w:type="dxa"/>
            <w:gridSpan w:val="3"/>
            <w:tcBorders>
              <w:top w:val="single" w:sz="4" w:space="0" w:color="auto"/>
              <w:left w:val="single" w:sz="4" w:space="0" w:color="auto"/>
              <w:bottom w:val="single" w:sz="4" w:space="0" w:color="auto"/>
              <w:right w:val="single" w:sz="4" w:space="0" w:color="auto"/>
            </w:tcBorders>
          </w:tcPr>
          <w:p w:rsidR="004907B8" w:rsidRPr="00B87C51" w:rsidRDefault="004907B8" w:rsidP="00E218E6">
            <w:pPr>
              <w:pStyle w:val="naisnod"/>
              <w:spacing w:before="0" w:after="0"/>
            </w:pPr>
            <w:r w:rsidRPr="00B87C51">
              <w:t>V</w:t>
            </w:r>
            <w:r w:rsidR="001F46CC" w:rsidRPr="00B87C51">
              <w:t>I</w:t>
            </w:r>
            <w:r w:rsidR="00EB14E3" w:rsidRPr="00B87C51">
              <w:t>I</w:t>
            </w:r>
            <w:r w:rsidRPr="00B87C51">
              <w:t>. Tiesību akta projekta izpildes nodrošināšana un tās ietekme uz institūcijām</w:t>
            </w:r>
          </w:p>
        </w:tc>
      </w:tr>
      <w:tr w:rsidR="004907B8" w:rsidRPr="00B87C51"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rsidR="004907B8" w:rsidRPr="00B87C51" w:rsidRDefault="004907B8" w:rsidP="003F7D40">
            <w:pPr>
              <w:pStyle w:val="naisnod"/>
              <w:spacing w:before="0" w:after="0"/>
              <w:rPr>
                <w:b w:val="0"/>
              </w:rPr>
            </w:pPr>
            <w:r w:rsidRPr="00B87C51">
              <w:rPr>
                <w:b w:val="0"/>
              </w:rPr>
              <w:t>1.</w:t>
            </w:r>
          </w:p>
        </w:tc>
        <w:tc>
          <w:tcPr>
            <w:tcW w:w="3260" w:type="dxa"/>
            <w:tcBorders>
              <w:top w:val="single" w:sz="4" w:space="0" w:color="auto"/>
              <w:left w:val="single" w:sz="4" w:space="0" w:color="auto"/>
              <w:bottom w:val="single" w:sz="4" w:space="0" w:color="auto"/>
              <w:right w:val="single" w:sz="4" w:space="0" w:color="auto"/>
            </w:tcBorders>
          </w:tcPr>
          <w:p w:rsidR="004907B8" w:rsidRPr="00B87C51" w:rsidRDefault="004907B8" w:rsidP="003F7D40">
            <w:pPr>
              <w:pStyle w:val="naisnod"/>
              <w:spacing w:before="0" w:after="0"/>
              <w:jc w:val="left"/>
              <w:rPr>
                <w:b w:val="0"/>
              </w:rPr>
            </w:pPr>
            <w:r w:rsidRPr="00B87C51">
              <w:rPr>
                <w:b w:val="0"/>
              </w:rPr>
              <w:t>Projekta izpildē iesaistītās institūcijas</w:t>
            </w:r>
          </w:p>
        </w:tc>
        <w:tc>
          <w:tcPr>
            <w:tcW w:w="6048" w:type="dxa"/>
            <w:tcBorders>
              <w:top w:val="single" w:sz="4" w:space="0" w:color="auto"/>
              <w:left w:val="single" w:sz="4" w:space="0" w:color="auto"/>
              <w:bottom w:val="single" w:sz="4" w:space="0" w:color="auto"/>
              <w:right w:val="single" w:sz="4" w:space="0" w:color="auto"/>
            </w:tcBorders>
          </w:tcPr>
          <w:p w:rsidR="004907B8" w:rsidRPr="00B87C51" w:rsidRDefault="001144F0" w:rsidP="0082310C">
            <w:pPr>
              <w:pStyle w:val="naisnod"/>
              <w:spacing w:before="0" w:after="0"/>
              <w:jc w:val="both"/>
              <w:rPr>
                <w:b w:val="0"/>
              </w:rPr>
            </w:pPr>
            <w:r w:rsidRPr="00B87C51">
              <w:rPr>
                <w:b w:val="0"/>
              </w:rPr>
              <w:t xml:space="preserve">Valsts kapitāla daļu turētāji, </w:t>
            </w:r>
            <w:proofErr w:type="spellStart"/>
            <w:r w:rsidRPr="00B87C51">
              <w:rPr>
                <w:b w:val="0"/>
              </w:rPr>
              <w:t>Pārresoru</w:t>
            </w:r>
            <w:proofErr w:type="spellEnd"/>
            <w:r w:rsidRPr="00B87C51">
              <w:rPr>
                <w:b w:val="0"/>
              </w:rPr>
              <w:t xml:space="preserve"> koordinācijas centrs</w:t>
            </w:r>
          </w:p>
        </w:tc>
      </w:tr>
      <w:tr w:rsidR="004907B8" w:rsidRPr="00883DA1"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rsidR="004907B8" w:rsidRPr="00B87C51" w:rsidRDefault="004907B8" w:rsidP="003F7D40">
            <w:pPr>
              <w:pStyle w:val="naisnod"/>
              <w:spacing w:before="0" w:after="0"/>
              <w:rPr>
                <w:b w:val="0"/>
              </w:rPr>
            </w:pPr>
            <w:r w:rsidRPr="00B87C51">
              <w:rPr>
                <w:b w:val="0"/>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4907B8" w:rsidRPr="00B87C51" w:rsidRDefault="004907B8" w:rsidP="003F7D40">
            <w:r w:rsidRPr="00B87C51">
              <w:t>Projekta izpildes ietekme uz pārvaldes funkcijām un institucionālo struktūru.</w:t>
            </w:r>
          </w:p>
          <w:p w:rsidR="004907B8" w:rsidRPr="00B87C51" w:rsidRDefault="004907B8" w:rsidP="003F7D40">
            <w:pPr>
              <w:pStyle w:val="naisnod"/>
              <w:spacing w:before="0" w:after="0"/>
              <w:jc w:val="left"/>
              <w:rPr>
                <w:b w:val="0"/>
              </w:rPr>
            </w:pPr>
            <w:r w:rsidRPr="00B87C51">
              <w:rPr>
                <w:b w:val="0"/>
                <w:bCs w:val="0"/>
              </w:rPr>
              <w:t>Jaunu institūciju izveide, esošu institūciju likvidācija vai reorganizācija, to ietekme uz institūcijas cilvēkresursiem</w:t>
            </w:r>
          </w:p>
        </w:tc>
        <w:tc>
          <w:tcPr>
            <w:tcW w:w="6048" w:type="dxa"/>
            <w:tcBorders>
              <w:top w:val="single" w:sz="4" w:space="0" w:color="auto"/>
              <w:left w:val="single" w:sz="4" w:space="0" w:color="auto"/>
              <w:bottom w:val="single" w:sz="4" w:space="0" w:color="auto"/>
              <w:right w:val="single" w:sz="4" w:space="0" w:color="auto"/>
            </w:tcBorders>
          </w:tcPr>
          <w:p w:rsidR="00B87C51" w:rsidRPr="00B87C51" w:rsidRDefault="00B87C51" w:rsidP="00B87C51">
            <w:pPr>
              <w:pStyle w:val="naisnod"/>
              <w:spacing w:before="0" w:after="0"/>
              <w:jc w:val="both"/>
              <w:rPr>
                <w:b w:val="0"/>
                <w:color w:val="FF0000"/>
              </w:rPr>
            </w:pPr>
            <w:r w:rsidRPr="00B87C51">
              <w:rPr>
                <w:b w:val="0"/>
              </w:rPr>
              <w:t>Netiek veidotas jaunas vai likvidētas esošās institūcijas</w:t>
            </w:r>
          </w:p>
        </w:tc>
      </w:tr>
      <w:tr w:rsidR="004907B8" w:rsidRPr="00883DA1" w:rsidTr="00CB67C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538" w:type="dxa"/>
            <w:tcBorders>
              <w:top w:val="outset" w:sz="6" w:space="0" w:color="auto"/>
              <w:left w:val="outset" w:sz="6" w:space="0" w:color="auto"/>
              <w:bottom w:val="outset" w:sz="6" w:space="0" w:color="auto"/>
              <w:right w:val="outset" w:sz="6" w:space="0" w:color="auto"/>
            </w:tcBorders>
          </w:tcPr>
          <w:p w:rsidR="004907B8" w:rsidRPr="00883DA1" w:rsidRDefault="004907B8" w:rsidP="003F7D40">
            <w:pPr>
              <w:rPr>
                <w:bCs/>
              </w:rPr>
            </w:pPr>
            <w:r w:rsidRPr="00883DA1">
              <w:rPr>
                <w:bCs/>
              </w:rPr>
              <w:t>3.</w:t>
            </w:r>
          </w:p>
        </w:tc>
        <w:tc>
          <w:tcPr>
            <w:tcW w:w="3260" w:type="dxa"/>
            <w:tcBorders>
              <w:top w:val="outset" w:sz="6" w:space="0" w:color="auto"/>
              <w:left w:val="outset" w:sz="6" w:space="0" w:color="auto"/>
              <w:bottom w:val="outset" w:sz="6" w:space="0" w:color="auto"/>
              <w:right w:val="outset" w:sz="6" w:space="0" w:color="auto"/>
            </w:tcBorders>
          </w:tcPr>
          <w:p w:rsidR="004907B8" w:rsidRPr="00883DA1" w:rsidRDefault="004907B8" w:rsidP="003F7D40">
            <w:r w:rsidRPr="00883DA1">
              <w:t>Cita informācija</w:t>
            </w:r>
          </w:p>
        </w:tc>
        <w:tc>
          <w:tcPr>
            <w:tcW w:w="6064" w:type="dxa"/>
            <w:gridSpan w:val="2"/>
            <w:tcBorders>
              <w:top w:val="outset" w:sz="6" w:space="0" w:color="auto"/>
              <w:left w:val="outset" w:sz="6" w:space="0" w:color="auto"/>
              <w:bottom w:val="outset" w:sz="6" w:space="0" w:color="auto"/>
              <w:right w:val="outset" w:sz="6" w:space="0" w:color="auto"/>
            </w:tcBorders>
          </w:tcPr>
          <w:p w:rsidR="004907B8" w:rsidRPr="00883DA1" w:rsidRDefault="00DA5C2E" w:rsidP="003F7D40">
            <w:pPr>
              <w:rPr>
                <w:bCs/>
              </w:rPr>
            </w:pPr>
            <w:r w:rsidRPr="00872E27">
              <w:rPr>
                <w:iCs/>
              </w:rPr>
              <w:t>Nav</w:t>
            </w:r>
          </w:p>
        </w:tc>
      </w:tr>
    </w:tbl>
    <w:p w:rsidR="00745DA1" w:rsidRDefault="00745DA1" w:rsidP="000D0F52">
      <w:pPr>
        <w:pStyle w:val="naisf"/>
        <w:spacing w:before="0" w:after="0"/>
        <w:ind w:firstLine="0"/>
        <w:rPr>
          <w:szCs w:val="28"/>
        </w:rPr>
      </w:pPr>
    </w:p>
    <w:p w:rsidR="000D0F52" w:rsidRDefault="000D0F52" w:rsidP="000D0F52">
      <w:pPr>
        <w:pStyle w:val="naisf"/>
        <w:spacing w:before="0" w:after="0"/>
        <w:ind w:firstLine="0"/>
      </w:pPr>
      <w:r w:rsidRPr="00BD66E9">
        <w:rPr>
          <w:szCs w:val="28"/>
        </w:rPr>
        <w:t xml:space="preserve">Anotācijas </w:t>
      </w:r>
      <w:r>
        <w:rPr>
          <w:szCs w:val="28"/>
        </w:rPr>
        <w:t xml:space="preserve">III un </w:t>
      </w:r>
      <w:r w:rsidRPr="00BD66E9">
        <w:rPr>
          <w:szCs w:val="28"/>
        </w:rPr>
        <w:t xml:space="preserve">IV sadaļa – </w:t>
      </w:r>
      <w:r w:rsidR="004226D7">
        <w:rPr>
          <w:szCs w:val="28"/>
        </w:rPr>
        <w:t xml:space="preserve">noteikumu </w:t>
      </w:r>
      <w:r w:rsidRPr="00BD66E9">
        <w:rPr>
          <w:szCs w:val="28"/>
        </w:rPr>
        <w:t>projekts šo jomu neskar.</w:t>
      </w:r>
    </w:p>
    <w:p w:rsidR="004226D7" w:rsidRDefault="004226D7" w:rsidP="004226D7">
      <w:pPr>
        <w:jc w:val="both"/>
      </w:pPr>
    </w:p>
    <w:p w:rsidR="00D2113A" w:rsidRDefault="00D2113A" w:rsidP="004226D7">
      <w:pPr>
        <w:jc w:val="both"/>
      </w:pPr>
    </w:p>
    <w:p w:rsidR="00CC16B8" w:rsidRPr="00927911" w:rsidRDefault="00CC16B8" w:rsidP="004226D7">
      <w:pPr>
        <w:jc w:val="both"/>
      </w:pPr>
    </w:p>
    <w:p w:rsidR="004226D7" w:rsidRPr="00927911" w:rsidRDefault="004226D7" w:rsidP="004226D7">
      <w:pPr>
        <w:tabs>
          <w:tab w:val="left" w:pos="6663"/>
        </w:tabs>
        <w:jc w:val="both"/>
      </w:pPr>
      <w:r w:rsidRPr="00927911">
        <w:t>Ministru prezidente</w:t>
      </w:r>
      <w:r w:rsidRPr="00927911">
        <w:tab/>
        <w:t>Laimdota Straujuma</w:t>
      </w:r>
    </w:p>
    <w:p w:rsidR="004226D7" w:rsidRDefault="004226D7" w:rsidP="004226D7">
      <w:pPr>
        <w:tabs>
          <w:tab w:val="left" w:pos="6663"/>
        </w:tabs>
        <w:ind w:firstLine="709"/>
        <w:jc w:val="both"/>
      </w:pPr>
    </w:p>
    <w:p w:rsidR="00D2113A" w:rsidRDefault="00D2113A" w:rsidP="004226D7">
      <w:pPr>
        <w:tabs>
          <w:tab w:val="left" w:pos="6663"/>
        </w:tabs>
        <w:ind w:firstLine="709"/>
        <w:jc w:val="both"/>
      </w:pPr>
    </w:p>
    <w:p w:rsidR="002759D6" w:rsidRPr="00927911" w:rsidRDefault="002759D6" w:rsidP="004226D7">
      <w:pPr>
        <w:tabs>
          <w:tab w:val="left" w:pos="6663"/>
        </w:tabs>
        <w:ind w:firstLine="709"/>
        <w:jc w:val="both"/>
      </w:pPr>
    </w:p>
    <w:p w:rsidR="004226D7" w:rsidRPr="00927911" w:rsidRDefault="004226D7" w:rsidP="004226D7">
      <w:pPr>
        <w:tabs>
          <w:tab w:val="left" w:pos="6663"/>
        </w:tabs>
        <w:jc w:val="both"/>
      </w:pPr>
      <w:r w:rsidRPr="00927911">
        <w:t>Finanšu ministrs</w:t>
      </w:r>
      <w:r>
        <w:tab/>
      </w:r>
      <w:r w:rsidRPr="00927911">
        <w:t xml:space="preserve"> Jānis Reirs</w:t>
      </w:r>
    </w:p>
    <w:p w:rsidR="004226D7" w:rsidRDefault="004226D7" w:rsidP="004226D7">
      <w:pPr>
        <w:ind w:right="-340"/>
        <w:jc w:val="both"/>
      </w:pPr>
    </w:p>
    <w:p w:rsidR="00D2113A" w:rsidRDefault="00D2113A" w:rsidP="004226D7">
      <w:pPr>
        <w:ind w:right="-340"/>
        <w:jc w:val="both"/>
      </w:pPr>
    </w:p>
    <w:p w:rsidR="00D2113A" w:rsidRPr="00927911" w:rsidRDefault="00D2113A" w:rsidP="004226D7">
      <w:pPr>
        <w:ind w:right="-340"/>
        <w:jc w:val="both"/>
      </w:pPr>
    </w:p>
    <w:p w:rsidR="004226D7" w:rsidRPr="00927911" w:rsidRDefault="004226D7" w:rsidP="004226D7">
      <w:pPr>
        <w:ind w:right="-340"/>
        <w:jc w:val="both"/>
      </w:pPr>
      <w:r w:rsidRPr="00927911">
        <w:t>Vīza:</w:t>
      </w:r>
    </w:p>
    <w:p w:rsidR="004226D7" w:rsidRPr="00927911" w:rsidRDefault="004226D7" w:rsidP="004226D7">
      <w:pPr>
        <w:ind w:right="-340"/>
        <w:jc w:val="both"/>
      </w:pPr>
      <w:proofErr w:type="spellStart"/>
      <w:r w:rsidRPr="00927911">
        <w:t>Pārresoru</w:t>
      </w:r>
      <w:proofErr w:type="spellEnd"/>
      <w:r w:rsidRPr="00927911">
        <w:t xml:space="preserve"> koordinācijas centra vadītājs</w:t>
      </w:r>
      <w:r>
        <w:tab/>
      </w:r>
      <w:r>
        <w:tab/>
      </w:r>
      <w:r>
        <w:tab/>
      </w:r>
      <w:r>
        <w:tab/>
      </w:r>
      <w:proofErr w:type="gramStart"/>
      <w:r w:rsidR="002759D6">
        <w:t xml:space="preserve">   </w:t>
      </w:r>
      <w:proofErr w:type="gramEnd"/>
      <w:r w:rsidRPr="00927911">
        <w:t>Pēteris Vilks</w:t>
      </w:r>
    </w:p>
    <w:p w:rsidR="00A360BA" w:rsidRDefault="00A360BA" w:rsidP="00A360BA">
      <w:pPr>
        <w:jc w:val="both"/>
        <w:rPr>
          <w:sz w:val="18"/>
          <w:szCs w:val="18"/>
        </w:rPr>
      </w:pPr>
      <w:r w:rsidRPr="0084307C">
        <w:br/>
      </w:r>
      <w:r w:rsidR="00252005">
        <w:rPr>
          <w:sz w:val="18"/>
          <w:szCs w:val="18"/>
        </w:rPr>
        <w:t>0</w:t>
      </w:r>
      <w:r w:rsidR="00D2113A">
        <w:rPr>
          <w:sz w:val="18"/>
          <w:szCs w:val="18"/>
        </w:rPr>
        <w:t>9</w:t>
      </w:r>
      <w:r w:rsidR="00252005">
        <w:rPr>
          <w:sz w:val="18"/>
          <w:szCs w:val="18"/>
        </w:rPr>
        <w:t>.10</w:t>
      </w:r>
      <w:r>
        <w:rPr>
          <w:sz w:val="18"/>
          <w:szCs w:val="18"/>
        </w:rPr>
        <w:t xml:space="preserve">.2015. </w:t>
      </w:r>
      <w:r w:rsidR="00D2113A">
        <w:rPr>
          <w:sz w:val="18"/>
          <w:szCs w:val="18"/>
        </w:rPr>
        <w:t>09</w:t>
      </w:r>
      <w:r w:rsidR="004226D7">
        <w:rPr>
          <w:sz w:val="18"/>
          <w:szCs w:val="18"/>
        </w:rPr>
        <w:t>.</w:t>
      </w:r>
      <w:r w:rsidR="00D2113A">
        <w:rPr>
          <w:sz w:val="18"/>
          <w:szCs w:val="18"/>
        </w:rPr>
        <w:t>0</w:t>
      </w:r>
      <w:r w:rsidR="004226D7">
        <w:rPr>
          <w:sz w:val="18"/>
          <w:szCs w:val="18"/>
        </w:rPr>
        <w:t>5</w:t>
      </w:r>
    </w:p>
    <w:p w:rsidR="004226D7" w:rsidRPr="0084307C" w:rsidRDefault="00745DA1" w:rsidP="00A360BA">
      <w:pPr>
        <w:jc w:val="both"/>
        <w:rPr>
          <w:sz w:val="18"/>
          <w:szCs w:val="18"/>
        </w:rPr>
      </w:pPr>
      <w:r>
        <w:rPr>
          <w:sz w:val="18"/>
          <w:szCs w:val="18"/>
        </w:rPr>
        <w:t>1 654</w:t>
      </w:r>
    </w:p>
    <w:p w:rsidR="00A360BA" w:rsidRPr="0084307C" w:rsidRDefault="00A360BA" w:rsidP="00A360BA">
      <w:pPr>
        <w:jc w:val="both"/>
        <w:rPr>
          <w:bCs/>
          <w:sz w:val="18"/>
          <w:szCs w:val="18"/>
        </w:rPr>
      </w:pPr>
      <w:proofErr w:type="spellStart"/>
      <w:r w:rsidRPr="0084307C">
        <w:rPr>
          <w:bCs/>
          <w:sz w:val="18"/>
          <w:szCs w:val="18"/>
        </w:rPr>
        <w:t>V.Vesperis</w:t>
      </w:r>
      <w:proofErr w:type="spellEnd"/>
      <w:r w:rsidRPr="0084307C">
        <w:rPr>
          <w:bCs/>
          <w:sz w:val="18"/>
          <w:szCs w:val="18"/>
        </w:rPr>
        <w:t xml:space="preserve"> </w:t>
      </w:r>
      <w:r w:rsidRPr="0084307C">
        <w:rPr>
          <w:sz w:val="18"/>
          <w:szCs w:val="18"/>
        </w:rPr>
        <w:t>67082812</w:t>
      </w:r>
    </w:p>
    <w:p w:rsidR="00A360BA" w:rsidRPr="0084307C" w:rsidRDefault="00362010" w:rsidP="00A360BA">
      <w:pPr>
        <w:jc w:val="both"/>
      </w:pPr>
      <w:hyperlink r:id="rId13" w:history="1">
        <w:r w:rsidR="00A360BA" w:rsidRPr="0084307C">
          <w:rPr>
            <w:rStyle w:val="Hyperlink"/>
            <w:sz w:val="18"/>
            <w:szCs w:val="18"/>
          </w:rPr>
          <w:t>vladislavs.vesperis@pkc.mk.gov.lv</w:t>
        </w:r>
      </w:hyperlink>
    </w:p>
    <w:p w:rsidR="00BF4B68" w:rsidRDefault="00BF4B68" w:rsidP="00A360BA">
      <w:pPr>
        <w:pStyle w:val="NoSpacing"/>
        <w:tabs>
          <w:tab w:val="left" w:pos="6804"/>
        </w:tabs>
        <w:rPr>
          <w:noProof/>
          <w:sz w:val="20"/>
          <w:szCs w:val="20"/>
        </w:rPr>
      </w:pPr>
    </w:p>
    <w:sectPr w:rsidR="00BF4B68" w:rsidSect="00B14D9F">
      <w:headerReference w:type="even" r:id="rId14"/>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10" w:rsidRDefault="00362010">
      <w:r>
        <w:separator/>
      </w:r>
    </w:p>
  </w:endnote>
  <w:endnote w:type="continuationSeparator" w:id="0">
    <w:p w:rsidR="00362010" w:rsidRDefault="0036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FA" w:rsidRPr="00A360BA" w:rsidRDefault="00845DFA" w:rsidP="00845DFA">
    <w:pPr>
      <w:jc w:val="both"/>
    </w:pPr>
    <w:r w:rsidRPr="00A360BA">
      <w:rPr>
        <w:color w:val="000000"/>
        <w:sz w:val="16"/>
        <w:szCs w:val="16"/>
      </w:rPr>
      <w:t>PKCAnot_</w:t>
    </w:r>
    <w:r w:rsidR="00D2113A">
      <w:rPr>
        <w:color w:val="000000"/>
        <w:sz w:val="16"/>
        <w:szCs w:val="16"/>
      </w:rPr>
      <w:t>09</w:t>
    </w:r>
    <w:r w:rsidR="00252005">
      <w:rPr>
        <w:color w:val="000000"/>
        <w:sz w:val="16"/>
        <w:szCs w:val="16"/>
      </w:rPr>
      <w:t>10</w:t>
    </w:r>
    <w:r w:rsidRPr="00A360BA">
      <w:rPr>
        <w:color w:val="000000"/>
        <w:sz w:val="16"/>
        <w:szCs w:val="16"/>
      </w:rPr>
      <w:t xml:space="preserve">2015_VunP_skaits; </w:t>
    </w:r>
    <w:r w:rsidRPr="00A360BA">
      <w:rPr>
        <w:sz w:val="16"/>
        <w:szCs w:val="16"/>
      </w:rPr>
      <w:t xml:space="preserve">Ministru kabineta noteikumu projekta </w:t>
    </w:r>
    <w:r w:rsidRPr="00A360BA">
      <w:rPr>
        <w:bCs/>
        <w:sz w:val="16"/>
        <w:szCs w:val="16"/>
      </w:rPr>
      <w:t>„Noteikumi par publiskas personas kapitālsabiedrību un publisk</w:t>
    </w:r>
    <w:r>
      <w:rPr>
        <w:bCs/>
        <w:sz w:val="16"/>
        <w:szCs w:val="16"/>
      </w:rPr>
      <w:t xml:space="preserve">i privāto </w:t>
    </w:r>
    <w:r w:rsidRPr="00A360BA">
      <w:rPr>
        <w:bCs/>
        <w:sz w:val="16"/>
        <w:szCs w:val="16"/>
      </w:rPr>
      <w:t>kapitālsabiedrību valdes un padomes locekļu skaitu atbilstoši kapitālsabiedrības lielumu raksturojošiem rādītājiem</w:t>
    </w:r>
    <w:r w:rsidRPr="00A360BA">
      <w:rPr>
        <w:color w:val="000000"/>
        <w:sz w:val="16"/>
        <w:szCs w:val="16"/>
      </w:rPr>
      <w:t>” sākotnējās ietekmes novērtējuma ziņojums (anotācija)</w:t>
    </w:r>
  </w:p>
  <w:p w:rsidR="00845DFA" w:rsidRDefault="00845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0B" w:rsidRPr="00A360BA" w:rsidRDefault="00A360BA" w:rsidP="00A360BA">
    <w:pPr>
      <w:jc w:val="both"/>
    </w:pPr>
    <w:r w:rsidRPr="00A360BA">
      <w:rPr>
        <w:color w:val="000000"/>
        <w:sz w:val="16"/>
        <w:szCs w:val="16"/>
      </w:rPr>
      <w:t>PKCAnot_</w:t>
    </w:r>
    <w:r w:rsidR="00D2113A">
      <w:rPr>
        <w:color w:val="000000"/>
        <w:sz w:val="16"/>
        <w:szCs w:val="16"/>
      </w:rPr>
      <w:t>09</w:t>
    </w:r>
    <w:r w:rsidR="00252005">
      <w:rPr>
        <w:color w:val="000000"/>
        <w:sz w:val="16"/>
        <w:szCs w:val="16"/>
      </w:rPr>
      <w:t>10</w:t>
    </w:r>
    <w:r w:rsidRPr="00A360BA">
      <w:rPr>
        <w:color w:val="000000"/>
        <w:sz w:val="16"/>
        <w:szCs w:val="16"/>
      </w:rPr>
      <w:t xml:space="preserve">2015_VunP_skaits; </w:t>
    </w:r>
    <w:r w:rsidRPr="00A360BA">
      <w:rPr>
        <w:sz w:val="16"/>
        <w:szCs w:val="16"/>
      </w:rPr>
      <w:t xml:space="preserve">Ministru kabineta noteikumu projekta </w:t>
    </w:r>
    <w:r w:rsidRPr="00A360BA">
      <w:rPr>
        <w:bCs/>
        <w:sz w:val="16"/>
        <w:szCs w:val="16"/>
      </w:rPr>
      <w:t>„Noteikumi par publiskas personas kapitālsabiedrību un publisk</w:t>
    </w:r>
    <w:r w:rsidR="00845DFA">
      <w:rPr>
        <w:bCs/>
        <w:sz w:val="16"/>
        <w:szCs w:val="16"/>
      </w:rPr>
      <w:t xml:space="preserve">i privāto </w:t>
    </w:r>
    <w:r w:rsidRPr="00A360BA">
      <w:rPr>
        <w:bCs/>
        <w:sz w:val="16"/>
        <w:szCs w:val="16"/>
      </w:rPr>
      <w:t>kapitālsabiedrību valdes un padomes locekļu skaitu atbilstoši kapitālsabiedrības lielumu raksturojošiem rādītājiem</w:t>
    </w:r>
    <w:r w:rsidRPr="00A360BA">
      <w:rPr>
        <w:color w:val="000000"/>
        <w:sz w:val="16"/>
        <w:szCs w:val="16"/>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10" w:rsidRDefault="00362010">
      <w:r>
        <w:separator/>
      </w:r>
    </w:p>
  </w:footnote>
  <w:footnote w:type="continuationSeparator" w:id="0">
    <w:p w:rsidR="00362010" w:rsidRDefault="00362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0B" w:rsidRDefault="00CD6C0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6C0B" w:rsidRDefault="00CD6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524254"/>
      <w:docPartObj>
        <w:docPartGallery w:val="Page Numbers (Top of Page)"/>
        <w:docPartUnique/>
      </w:docPartObj>
    </w:sdtPr>
    <w:sdtEndPr>
      <w:rPr>
        <w:noProof/>
      </w:rPr>
    </w:sdtEndPr>
    <w:sdtContent>
      <w:p w:rsidR="00CD6C0B" w:rsidRDefault="00CD6C0B">
        <w:pPr>
          <w:pStyle w:val="Header"/>
          <w:jc w:val="center"/>
        </w:pPr>
        <w:r>
          <w:fldChar w:fldCharType="begin"/>
        </w:r>
        <w:r>
          <w:instrText xml:space="preserve"> PAGE   \* MERGEFORMAT </w:instrText>
        </w:r>
        <w:r>
          <w:fldChar w:fldCharType="separate"/>
        </w:r>
        <w:r w:rsidR="00D51D0D">
          <w:rPr>
            <w:noProof/>
          </w:rPr>
          <w:t>6</w:t>
        </w:r>
        <w:r>
          <w:rPr>
            <w:noProof/>
          </w:rPr>
          <w:fldChar w:fldCharType="end"/>
        </w:r>
      </w:p>
    </w:sdtContent>
  </w:sdt>
  <w:p w:rsidR="00CD6C0B" w:rsidRDefault="00CD6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2265F"/>
    <w:multiLevelType w:val="hybridMultilevel"/>
    <w:tmpl w:val="1C72A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DF77F3"/>
    <w:multiLevelType w:val="hybridMultilevel"/>
    <w:tmpl w:val="FCF03A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D273C4C"/>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BE527F"/>
    <w:multiLevelType w:val="hybridMultilevel"/>
    <w:tmpl w:val="87346FF2"/>
    <w:lvl w:ilvl="0" w:tplc="563CBF54">
      <w:numFmt w:val="bullet"/>
      <w:lvlText w:val="•"/>
      <w:lvlJc w:val="left"/>
      <w:pPr>
        <w:ind w:left="720" w:hanging="720"/>
      </w:pPr>
      <w:rPr>
        <w:rFonts w:ascii="Cambria" w:eastAsia="Times New Roman"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BB5769"/>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D71EFE"/>
    <w:multiLevelType w:val="hybridMultilevel"/>
    <w:tmpl w:val="71682624"/>
    <w:lvl w:ilvl="0" w:tplc="04260001">
      <w:start w:val="1"/>
      <w:numFmt w:val="bullet"/>
      <w:lvlText w:val=""/>
      <w:lvlJc w:val="left"/>
      <w:pPr>
        <w:ind w:left="437" w:hanging="360"/>
      </w:pPr>
      <w:rPr>
        <w:rFonts w:ascii="Symbol" w:hAnsi="Symbol"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11">
    <w:nsid w:val="28935C9B"/>
    <w:multiLevelType w:val="hybridMultilevel"/>
    <w:tmpl w:val="EB720664"/>
    <w:lvl w:ilvl="0" w:tplc="7B46969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A8F6691"/>
    <w:multiLevelType w:val="hybridMultilevel"/>
    <w:tmpl w:val="F866E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30A43753"/>
    <w:multiLevelType w:val="hybridMultilevel"/>
    <w:tmpl w:val="48A2D9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32C6F3C"/>
    <w:multiLevelType w:val="multilevel"/>
    <w:tmpl w:val="45BE1552"/>
    <w:lvl w:ilvl="0">
      <w:start w:val="18"/>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3E5BE5"/>
    <w:multiLevelType w:val="multilevel"/>
    <w:tmpl w:val="06880D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9D1149"/>
    <w:multiLevelType w:val="hybridMultilevel"/>
    <w:tmpl w:val="D6FE8818"/>
    <w:lvl w:ilvl="0" w:tplc="7690007E">
      <w:start w:val="1"/>
      <w:numFmt w:val="bullet"/>
      <w:lvlText w:val=""/>
      <w:lvlJc w:val="left"/>
      <w:pPr>
        <w:ind w:left="11" w:hanging="360"/>
      </w:pPr>
      <w:rPr>
        <w:rFonts w:ascii="Symbol" w:hAnsi="Symbol" w:cs="Symbol" w:hint="default"/>
        <w:color w:val="auto"/>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cs="Wingdings" w:hint="default"/>
      </w:rPr>
    </w:lvl>
    <w:lvl w:ilvl="3" w:tplc="04090001">
      <w:start w:val="1"/>
      <w:numFmt w:val="bullet"/>
      <w:lvlText w:val=""/>
      <w:lvlJc w:val="left"/>
      <w:pPr>
        <w:ind w:left="2171" w:hanging="360"/>
      </w:pPr>
      <w:rPr>
        <w:rFonts w:ascii="Symbol" w:hAnsi="Symbol" w:cs="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cs="Wingdings" w:hint="default"/>
      </w:rPr>
    </w:lvl>
    <w:lvl w:ilvl="6" w:tplc="04090001">
      <w:start w:val="1"/>
      <w:numFmt w:val="bullet"/>
      <w:lvlText w:val=""/>
      <w:lvlJc w:val="left"/>
      <w:pPr>
        <w:ind w:left="4331" w:hanging="360"/>
      </w:pPr>
      <w:rPr>
        <w:rFonts w:ascii="Symbol" w:hAnsi="Symbol" w:cs="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cs="Wingdings" w:hint="default"/>
      </w:rPr>
    </w:lvl>
  </w:abstractNum>
  <w:abstractNum w:abstractNumId="20">
    <w:nsid w:val="3D0932AD"/>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DEF453D"/>
    <w:multiLevelType w:val="hybridMultilevel"/>
    <w:tmpl w:val="C5EA5A8C"/>
    <w:lvl w:ilvl="0" w:tplc="53E61B46">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2">
    <w:nsid w:val="40511776"/>
    <w:multiLevelType w:val="multilevel"/>
    <w:tmpl w:val="34B2DBE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86A4179"/>
    <w:multiLevelType w:val="hybridMultilevel"/>
    <w:tmpl w:val="65AE5C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4E363671"/>
    <w:multiLevelType w:val="hybridMultilevel"/>
    <w:tmpl w:val="A3C09D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4F0B2EC2"/>
    <w:multiLevelType w:val="hybridMultilevel"/>
    <w:tmpl w:val="E5081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27478FD"/>
    <w:multiLevelType w:val="hybridMultilevel"/>
    <w:tmpl w:val="CDC8F5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42F5E97"/>
    <w:multiLevelType w:val="hybridMultilevel"/>
    <w:tmpl w:val="ECC03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E0959CA"/>
    <w:multiLevelType w:val="hybridMultilevel"/>
    <w:tmpl w:val="7ED4F0FE"/>
    <w:lvl w:ilvl="0" w:tplc="C9AC7B8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11B0DE9"/>
    <w:multiLevelType w:val="hybridMultilevel"/>
    <w:tmpl w:val="16168970"/>
    <w:lvl w:ilvl="0" w:tplc="E0F487A4">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5582010"/>
    <w:multiLevelType w:val="hybridMultilevel"/>
    <w:tmpl w:val="EB720664"/>
    <w:lvl w:ilvl="0" w:tplc="7B46969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5A70775"/>
    <w:multiLevelType w:val="hybridMultilevel"/>
    <w:tmpl w:val="D59A0E2C"/>
    <w:lvl w:ilvl="0" w:tplc="1BE0C0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A407289"/>
    <w:multiLevelType w:val="hybridMultilevel"/>
    <w:tmpl w:val="A76C7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EE763D6"/>
    <w:multiLevelType w:val="hybridMultilevel"/>
    <w:tmpl w:val="7ED4F0FE"/>
    <w:lvl w:ilvl="0" w:tplc="C9AC7B8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2DC2D90"/>
    <w:multiLevelType w:val="hybridMultilevel"/>
    <w:tmpl w:val="F866E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63066A0"/>
    <w:multiLevelType w:val="hybridMultilevel"/>
    <w:tmpl w:val="2D30DC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A0C7B6C"/>
    <w:multiLevelType w:val="hybridMultilevel"/>
    <w:tmpl w:val="4948B0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6">
    <w:nsid w:val="7B2D2E98"/>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36"/>
  </w:num>
  <w:num w:numId="3">
    <w:abstractNumId w:val="9"/>
  </w:num>
  <w:num w:numId="4">
    <w:abstractNumId w:val="6"/>
  </w:num>
  <w:num w:numId="5">
    <w:abstractNumId w:val="2"/>
  </w:num>
  <w:num w:numId="6">
    <w:abstractNumId w:val="31"/>
  </w:num>
  <w:num w:numId="7">
    <w:abstractNumId w:val="38"/>
  </w:num>
  <w:num w:numId="8">
    <w:abstractNumId w:val="24"/>
  </w:num>
  <w:num w:numId="9">
    <w:abstractNumId w:val="8"/>
  </w:num>
  <w:num w:numId="10">
    <w:abstractNumId w:val="25"/>
  </w:num>
  <w:num w:numId="11">
    <w:abstractNumId w:val="26"/>
  </w:num>
  <w:num w:numId="12">
    <w:abstractNumId w:val="32"/>
  </w:num>
  <w:num w:numId="13">
    <w:abstractNumId w:val="35"/>
  </w:num>
  <w:num w:numId="14">
    <w:abstractNumId w:val="0"/>
  </w:num>
  <w:num w:numId="15">
    <w:abstractNumId w:val="14"/>
  </w:num>
  <w:num w:numId="16">
    <w:abstractNumId w:val="16"/>
  </w:num>
  <w:num w:numId="17">
    <w:abstractNumId w:val="33"/>
  </w:num>
  <w:num w:numId="18">
    <w:abstractNumId w:val="1"/>
  </w:num>
  <w:num w:numId="19">
    <w:abstractNumId w:val="27"/>
  </w:num>
  <w:num w:numId="20">
    <w:abstractNumId w:val="28"/>
  </w:num>
  <w:num w:numId="21">
    <w:abstractNumId w:val="19"/>
  </w:num>
  <w:num w:numId="22">
    <w:abstractNumId w:val="3"/>
  </w:num>
  <w:num w:numId="23">
    <w:abstractNumId w:val="45"/>
  </w:num>
  <w:num w:numId="24">
    <w:abstractNumId w:val="10"/>
  </w:num>
  <w:num w:numId="25">
    <w:abstractNumId w:val="41"/>
  </w:num>
  <w:num w:numId="26">
    <w:abstractNumId w:val="19"/>
  </w:num>
  <w:num w:numId="27">
    <w:abstractNumId w:val="5"/>
  </w:num>
  <w:num w:numId="28">
    <w:abstractNumId w:val="4"/>
  </w:num>
  <w:num w:numId="29">
    <w:abstractNumId w:val="20"/>
  </w:num>
  <w:num w:numId="30">
    <w:abstractNumId w:val="7"/>
  </w:num>
  <w:num w:numId="31">
    <w:abstractNumId w:val="46"/>
  </w:num>
  <w:num w:numId="32">
    <w:abstractNumId w:val="18"/>
  </w:num>
  <w:num w:numId="33">
    <w:abstractNumId w:val="17"/>
  </w:num>
  <w:num w:numId="34">
    <w:abstractNumId w:val="37"/>
  </w:num>
  <w:num w:numId="35">
    <w:abstractNumId w:val="29"/>
  </w:num>
  <w:num w:numId="36">
    <w:abstractNumId w:val="11"/>
  </w:num>
  <w:num w:numId="37">
    <w:abstractNumId w:val="43"/>
  </w:num>
  <w:num w:numId="38">
    <w:abstractNumId w:val="34"/>
  </w:num>
  <w:num w:numId="39">
    <w:abstractNumId w:val="40"/>
  </w:num>
  <w:num w:numId="40">
    <w:abstractNumId w:val="12"/>
  </w:num>
  <w:num w:numId="41">
    <w:abstractNumId w:val="39"/>
  </w:num>
  <w:num w:numId="42">
    <w:abstractNumId w:val="42"/>
  </w:num>
  <w:num w:numId="43">
    <w:abstractNumId w:val="21"/>
  </w:num>
  <w:num w:numId="44">
    <w:abstractNumId w:val="22"/>
  </w:num>
  <w:num w:numId="45">
    <w:abstractNumId w:val="30"/>
  </w:num>
  <w:num w:numId="46">
    <w:abstractNumId w:val="15"/>
  </w:num>
  <w:num w:numId="47">
    <w:abstractNumId w:val="4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308F"/>
    <w:rsid w:val="00003517"/>
    <w:rsid w:val="00005687"/>
    <w:rsid w:val="0000641C"/>
    <w:rsid w:val="00011C00"/>
    <w:rsid w:val="00011D24"/>
    <w:rsid w:val="000123E4"/>
    <w:rsid w:val="00013430"/>
    <w:rsid w:val="00013FF4"/>
    <w:rsid w:val="00015213"/>
    <w:rsid w:val="0001682D"/>
    <w:rsid w:val="00017BCC"/>
    <w:rsid w:val="00017EAF"/>
    <w:rsid w:val="00020FE1"/>
    <w:rsid w:val="000214DF"/>
    <w:rsid w:val="000219F1"/>
    <w:rsid w:val="00022E13"/>
    <w:rsid w:val="0002627A"/>
    <w:rsid w:val="00027394"/>
    <w:rsid w:val="00027866"/>
    <w:rsid w:val="00027E49"/>
    <w:rsid w:val="00032388"/>
    <w:rsid w:val="000347CE"/>
    <w:rsid w:val="00035CE2"/>
    <w:rsid w:val="00035DDF"/>
    <w:rsid w:val="00044FC0"/>
    <w:rsid w:val="00053EE5"/>
    <w:rsid w:val="00053F1A"/>
    <w:rsid w:val="0005553B"/>
    <w:rsid w:val="000604D2"/>
    <w:rsid w:val="00061587"/>
    <w:rsid w:val="00065241"/>
    <w:rsid w:val="000675A9"/>
    <w:rsid w:val="00067A2F"/>
    <w:rsid w:val="00070D7A"/>
    <w:rsid w:val="00074B12"/>
    <w:rsid w:val="000760DB"/>
    <w:rsid w:val="00080AD1"/>
    <w:rsid w:val="00081991"/>
    <w:rsid w:val="00083587"/>
    <w:rsid w:val="0009005E"/>
    <w:rsid w:val="00090BFB"/>
    <w:rsid w:val="00090DFB"/>
    <w:rsid w:val="0009223E"/>
    <w:rsid w:val="000941C5"/>
    <w:rsid w:val="000971F9"/>
    <w:rsid w:val="00097549"/>
    <w:rsid w:val="000A37F0"/>
    <w:rsid w:val="000A6451"/>
    <w:rsid w:val="000A6E86"/>
    <w:rsid w:val="000A75E5"/>
    <w:rsid w:val="000B064E"/>
    <w:rsid w:val="000B0C7C"/>
    <w:rsid w:val="000B63CA"/>
    <w:rsid w:val="000B69CF"/>
    <w:rsid w:val="000B7357"/>
    <w:rsid w:val="000C1E30"/>
    <w:rsid w:val="000C299B"/>
    <w:rsid w:val="000C5F5A"/>
    <w:rsid w:val="000C6DD5"/>
    <w:rsid w:val="000C788D"/>
    <w:rsid w:val="000C790C"/>
    <w:rsid w:val="000D051B"/>
    <w:rsid w:val="000D0F52"/>
    <w:rsid w:val="000D3AED"/>
    <w:rsid w:val="000D452C"/>
    <w:rsid w:val="000D5A7F"/>
    <w:rsid w:val="000E0375"/>
    <w:rsid w:val="000E0F36"/>
    <w:rsid w:val="000E3068"/>
    <w:rsid w:val="000E435E"/>
    <w:rsid w:val="000E5FF6"/>
    <w:rsid w:val="000E7EE1"/>
    <w:rsid w:val="000F061D"/>
    <w:rsid w:val="000F1982"/>
    <w:rsid w:val="000F4794"/>
    <w:rsid w:val="000F522F"/>
    <w:rsid w:val="00100EF9"/>
    <w:rsid w:val="001010FC"/>
    <w:rsid w:val="00102C2B"/>
    <w:rsid w:val="00102E86"/>
    <w:rsid w:val="00105059"/>
    <w:rsid w:val="00105A65"/>
    <w:rsid w:val="0010687E"/>
    <w:rsid w:val="001071C2"/>
    <w:rsid w:val="00107336"/>
    <w:rsid w:val="001144F0"/>
    <w:rsid w:val="00115838"/>
    <w:rsid w:val="00117E30"/>
    <w:rsid w:val="00124F12"/>
    <w:rsid w:val="00126BAE"/>
    <w:rsid w:val="00126BC8"/>
    <w:rsid w:val="001347F7"/>
    <w:rsid w:val="00135A81"/>
    <w:rsid w:val="00141024"/>
    <w:rsid w:val="001417B4"/>
    <w:rsid w:val="00141C09"/>
    <w:rsid w:val="0014222F"/>
    <w:rsid w:val="00142604"/>
    <w:rsid w:val="00144E3A"/>
    <w:rsid w:val="00146F25"/>
    <w:rsid w:val="0015060C"/>
    <w:rsid w:val="00151100"/>
    <w:rsid w:val="00155DD2"/>
    <w:rsid w:val="00155E7E"/>
    <w:rsid w:val="0016018A"/>
    <w:rsid w:val="001602ED"/>
    <w:rsid w:val="00161F0E"/>
    <w:rsid w:val="00162455"/>
    <w:rsid w:val="00165B11"/>
    <w:rsid w:val="0016758D"/>
    <w:rsid w:val="001679AF"/>
    <w:rsid w:val="00170C59"/>
    <w:rsid w:val="00170D65"/>
    <w:rsid w:val="00170E2A"/>
    <w:rsid w:val="001713F3"/>
    <w:rsid w:val="001717AD"/>
    <w:rsid w:val="00173B38"/>
    <w:rsid w:val="0017664C"/>
    <w:rsid w:val="0017676A"/>
    <w:rsid w:val="00177394"/>
    <w:rsid w:val="00180ABF"/>
    <w:rsid w:val="00182C18"/>
    <w:rsid w:val="00183CC2"/>
    <w:rsid w:val="001900E4"/>
    <w:rsid w:val="00190F88"/>
    <w:rsid w:val="001913E3"/>
    <w:rsid w:val="001917DF"/>
    <w:rsid w:val="001924EB"/>
    <w:rsid w:val="00192DDB"/>
    <w:rsid w:val="001932F6"/>
    <w:rsid w:val="00193868"/>
    <w:rsid w:val="00195F7A"/>
    <w:rsid w:val="00197064"/>
    <w:rsid w:val="00197F8A"/>
    <w:rsid w:val="001A05C8"/>
    <w:rsid w:val="001A1369"/>
    <w:rsid w:val="001A2C8D"/>
    <w:rsid w:val="001A2E25"/>
    <w:rsid w:val="001A3E35"/>
    <w:rsid w:val="001A4066"/>
    <w:rsid w:val="001A5131"/>
    <w:rsid w:val="001A6AE4"/>
    <w:rsid w:val="001A7068"/>
    <w:rsid w:val="001A769D"/>
    <w:rsid w:val="001A7B4C"/>
    <w:rsid w:val="001B01FD"/>
    <w:rsid w:val="001B4A71"/>
    <w:rsid w:val="001B595D"/>
    <w:rsid w:val="001C2E78"/>
    <w:rsid w:val="001C5B2B"/>
    <w:rsid w:val="001C612F"/>
    <w:rsid w:val="001D166B"/>
    <w:rsid w:val="001D1780"/>
    <w:rsid w:val="001D1BF6"/>
    <w:rsid w:val="001D390F"/>
    <w:rsid w:val="001D5B54"/>
    <w:rsid w:val="001D79C3"/>
    <w:rsid w:val="001E1DBF"/>
    <w:rsid w:val="001E3070"/>
    <w:rsid w:val="001E4248"/>
    <w:rsid w:val="001E4639"/>
    <w:rsid w:val="001E4A7D"/>
    <w:rsid w:val="001F1D58"/>
    <w:rsid w:val="001F353A"/>
    <w:rsid w:val="001F4209"/>
    <w:rsid w:val="001F43A8"/>
    <w:rsid w:val="001F46CC"/>
    <w:rsid w:val="001F5CD6"/>
    <w:rsid w:val="00200CC7"/>
    <w:rsid w:val="00202B5E"/>
    <w:rsid w:val="00202D9C"/>
    <w:rsid w:val="00204489"/>
    <w:rsid w:val="00206600"/>
    <w:rsid w:val="0020681D"/>
    <w:rsid w:val="00210D0B"/>
    <w:rsid w:val="002113D4"/>
    <w:rsid w:val="0021263D"/>
    <w:rsid w:val="00213F0C"/>
    <w:rsid w:val="00214094"/>
    <w:rsid w:val="0021592D"/>
    <w:rsid w:val="00215A98"/>
    <w:rsid w:val="00220098"/>
    <w:rsid w:val="00221C11"/>
    <w:rsid w:val="00222D76"/>
    <w:rsid w:val="00223EB0"/>
    <w:rsid w:val="00223EB1"/>
    <w:rsid w:val="002257D7"/>
    <w:rsid w:val="002259E6"/>
    <w:rsid w:val="00231344"/>
    <w:rsid w:val="0023229E"/>
    <w:rsid w:val="00233198"/>
    <w:rsid w:val="0023436E"/>
    <w:rsid w:val="002347C0"/>
    <w:rsid w:val="002349E7"/>
    <w:rsid w:val="00241A6C"/>
    <w:rsid w:val="0024252D"/>
    <w:rsid w:val="00242D2B"/>
    <w:rsid w:val="00244294"/>
    <w:rsid w:val="00247D3C"/>
    <w:rsid w:val="00250B39"/>
    <w:rsid w:val="00251ADB"/>
    <w:rsid w:val="00252005"/>
    <w:rsid w:val="00252AAD"/>
    <w:rsid w:val="00256987"/>
    <w:rsid w:val="00262E2B"/>
    <w:rsid w:val="002640EA"/>
    <w:rsid w:val="00265CB0"/>
    <w:rsid w:val="00270429"/>
    <w:rsid w:val="002716A4"/>
    <w:rsid w:val="002723E9"/>
    <w:rsid w:val="002736F6"/>
    <w:rsid w:val="00273FC0"/>
    <w:rsid w:val="002759D6"/>
    <w:rsid w:val="00276CEA"/>
    <w:rsid w:val="00277929"/>
    <w:rsid w:val="002818DF"/>
    <w:rsid w:val="002820A2"/>
    <w:rsid w:val="0028246C"/>
    <w:rsid w:val="002824DE"/>
    <w:rsid w:val="00283255"/>
    <w:rsid w:val="00283B82"/>
    <w:rsid w:val="002846E9"/>
    <w:rsid w:val="00284C34"/>
    <w:rsid w:val="00286096"/>
    <w:rsid w:val="0028612F"/>
    <w:rsid w:val="002869A6"/>
    <w:rsid w:val="00287B63"/>
    <w:rsid w:val="0029066C"/>
    <w:rsid w:val="00294B19"/>
    <w:rsid w:val="00297969"/>
    <w:rsid w:val="002A129A"/>
    <w:rsid w:val="002A1E1C"/>
    <w:rsid w:val="002A3E3E"/>
    <w:rsid w:val="002A50A8"/>
    <w:rsid w:val="002A60C9"/>
    <w:rsid w:val="002A7512"/>
    <w:rsid w:val="002B04AE"/>
    <w:rsid w:val="002B0982"/>
    <w:rsid w:val="002B10D4"/>
    <w:rsid w:val="002B1263"/>
    <w:rsid w:val="002B50DB"/>
    <w:rsid w:val="002C10A7"/>
    <w:rsid w:val="002C12AB"/>
    <w:rsid w:val="002C5C60"/>
    <w:rsid w:val="002C69D8"/>
    <w:rsid w:val="002C7CAC"/>
    <w:rsid w:val="002D3306"/>
    <w:rsid w:val="002D4244"/>
    <w:rsid w:val="002D48AA"/>
    <w:rsid w:val="002D7875"/>
    <w:rsid w:val="002D7BAA"/>
    <w:rsid w:val="002D7DC7"/>
    <w:rsid w:val="002D7F54"/>
    <w:rsid w:val="002E09A7"/>
    <w:rsid w:val="002E37E7"/>
    <w:rsid w:val="002E3ABF"/>
    <w:rsid w:val="002E3FF4"/>
    <w:rsid w:val="002E4126"/>
    <w:rsid w:val="002E559B"/>
    <w:rsid w:val="002F22AC"/>
    <w:rsid w:val="002F5B9B"/>
    <w:rsid w:val="002F5FDC"/>
    <w:rsid w:val="002F7078"/>
    <w:rsid w:val="002F759C"/>
    <w:rsid w:val="002F78C8"/>
    <w:rsid w:val="003006CA"/>
    <w:rsid w:val="00301CF3"/>
    <w:rsid w:val="0030288C"/>
    <w:rsid w:val="003032C1"/>
    <w:rsid w:val="00303F8C"/>
    <w:rsid w:val="003040EA"/>
    <w:rsid w:val="00304FC1"/>
    <w:rsid w:val="00305FF9"/>
    <w:rsid w:val="00306656"/>
    <w:rsid w:val="00312C59"/>
    <w:rsid w:val="00317C67"/>
    <w:rsid w:val="00321247"/>
    <w:rsid w:val="00326979"/>
    <w:rsid w:val="0032715C"/>
    <w:rsid w:val="003341C6"/>
    <w:rsid w:val="00334E28"/>
    <w:rsid w:val="00336268"/>
    <w:rsid w:val="003366D2"/>
    <w:rsid w:val="00336B3B"/>
    <w:rsid w:val="00337CA5"/>
    <w:rsid w:val="003418FC"/>
    <w:rsid w:val="0034270B"/>
    <w:rsid w:val="00347E5D"/>
    <w:rsid w:val="00347F0C"/>
    <w:rsid w:val="00351F16"/>
    <w:rsid w:val="003520BC"/>
    <w:rsid w:val="00352763"/>
    <w:rsid w:val="0035496B"/>
    <w:rsid w:val="00354EEC"/>
    <w:rsid w:val="00355D85"/>
    <w:rsid w:val="00356795"/>
    <w:rsid w:val="00360FBC"/>
    <w:rsid w:val="00362010"/>
    <w:rsid w:val="00362478"/>
    <w:rsid w:val="0036369F"/>
    <w:rsid w:val="00363EF3"/>
    <w:rsid w:val="003654F7"/>
    <w:rsid w:val="00370642"/>
    <w:rsid w:val="00375B25"/>
    <w:rsid w:val="003763D4"/>
    <w:rsid w:val="003807FF"/>
    <w:rsid w:val="0038132C"/>
    <w:rsid w:val="003835E3"/>
    <w:rsid w:val="00384BE5"/>
    <w:rsid w:val="00384E2B"/>
    <w:rsid w:val="00386488"/>
    <w:rsid w:val="003864FE"/>
    <w:rsid w:val="00386DB2"/>
    <w:rsid w:val="003878A9"/>
    <w:rsid w:val="00390D8B"/>
    <w:rsid w:val="00391748"/>
    <w:rsid w:val="00393DCA"/>
    <w:rsid w:val="00394313"/>
    <w:rsid w:val="00396542"/>
    <w:rsid w:val="0039685B"/>
    <w:rsid w:val="003968DF"/>
    <w:rsid w:val="003A0AA3"/>
    <w:rsid w:val="003A31A6"/>
    <w:rsid w:val="003A3C61"/>
    <w:rsid w:val="003A6A3C"/>
    <w:rsid w:val="003A7F0C"/>
    <w:rsid w:val="003A7F55"/>
    <w:rsid w:val="003A7F79"/>
    <w:rsid w:val="003B2A0F"/>
    <w:rsid w:val="003B426E"/>
    <w:rsid w:val="003B6404"/>
    <w:rsid w:val="003B67A2"/>
    <w:rsid w:val="003B67D0"/>
    <w:rsid w:val="003B787E"/>
    <w:rsid w:val="003C06BD"/>
    <w:rsid w:val="003C35C6"/>
    <w:rsid w:val="003C449B"/>
    <w:rsid w:val="003C48C9"/>
    <w:rsid w:val="003C6409"/>
    <w:rsid w:val="003D1AA2"/>
    <w:rsid w:val="003D21FF"/>
    <w:rsid w:val="003D698A"/>
    <w:rsid w:val="003D770B"/>
    <w:rsid w:val="003D7FEA"/>
    <w:rsid w:val="003E493E"/>
    <w:rsid w:val="003F0112"/>
    <w:rsid w:val="003F071A"/>
    <w:rsid w:val="003F160B"/>
    <w:rsid w:val="003F1E50"/>
    <w:rsid w:val="003F4D77"/>
    <w:rsid w:val="003F4F1B"/>
    <w:rsid w:val="003F7754"/>
    <w:rsid w:val="003F7D40"/>
    <w:rsid w:val="00400032"/>
    <w:rsid w:val="00400B5B"/>
    <w:rsid w:val="004056ED"/>
    <w:rsid w:val="00405A00"/>
    <w:rsid w:val="00410246"/>
    <w:rsid w:val="00412FA3"/>
    <w:rsid w:val="00413396"/>
    <w:rsid w:val="004179DE"/>
    <w:rsid w:val="004179F4"/>
    <w:rsid w:val="00420870"/>
    <w:rsid w:val="004226D7"/>
    <w:rsid w:val="004268F6"/>
    <w:rsid w:val="00427C10"/>
    <w:rsid w:val="0043100E"/>
    <w:rsid w:val="0043130A"/>
    <w:rsid w:val="00432422"/>
    <w:rsid w:val="00432D0C"/>
    <w:rsid w:val="0043791B"/>
    <w:rsid w:val="00440FC7"/>
    <w:rsid w:val="00441187"/>
    <w:rsid w:val="00441483"/>
    <w:rsid w:val="00441BCB"/>
    <w:rsid w:val="0044429E"/>
    <w:rsid w:val="0045176A"/>
    <w:rsid w:val="0045202F"/>
    <w:rsid w:val="00456332"/>
    <w:rsid w:val="00456663"/>
    <w:rsid w:val="00456A48"/>
    <w:rsid w:val="00461826"/>
    <w:rsid w:val="00462EF0"/>
    <w:rsid w:val="00466561"/>
    <w:rsid w:val="00467DD9"/>
    <w:rsid w:val="004704CE"/>
    <w:rsid w:val="004728D4"/>
    <w:rsid w:val="0047358D"/>
    <w:rsid w:val="00475AF2"/>
    <w:rsid w:val="004800F9"/>
    <w:rsid w:val="00481327"/>
    <w:rsid w:val="00483475"/>
    <w:rsid w:val="00486B38"/>
    <w:rsid w:val="004907B8"/>
    <w:rsid w:val="0049134A"/>
    <w:rsid w:val="00491694"/>
    <w:rsid w:val="004918A5"/>
    <w:rsid w:val="0049345F"/>
    <w:rsid w:val="00493584"/>
    <w:rsid w:val="004A58CB"/>
    <w:rsid w:val="004B1795"/>
    <w:rsid w:val="004B4F59"/>
    <w:rsid w:val="004B56DD"/>
    <w:rsid w:val="004B5B0C"/>
    <w:rsid w:val="004C020F"/>
    <w:rsid w:val="004C1AFD"/>
    <w:rsid w:val="004C49D2"/>
    <w:rsid w:val="004C558B"/>
    <w:rsid w:val="004C7A0E"/>
    <w:rsid w:val="004D0231"/>
    <w:rsid w:val="004D492F"/>
    <w:rsid w:val="004D526B"/>
    <w:rsid w:val="004D564C"/>
    <w:rsid w:val="004D5C7F"/>
    <w:rsid w:val="004E2E8D"/>
    <w:rsid w:val="004E59E1"/>
    <w:rsid w:val="004E6B86"/>
    <w:rsid w:val="004E70A7"/>
    <w:rsid w:val="004F098F"/>
    <w:rsid w:val="004F1F88"/>
    <w:rsid w:val="004F304C"/>
    <w:rsid w:val="004F585C"/>
    <w:rsid w:val="004F5F1B"/>
    <w:rsid w:val="004F67DF"/>
    <w:rsid w:val="005006EF"/>
    <w:rsid w:val="00502374"/>
    <w:rsid w:val="005026E7"/>
    <w:rsid w:val="005037C5"/>
    <w:rsid w:val="005046D4"/>
    <w:rsid w:val="005060A1"/>
    <w:rsid w:val="00506F1D"/>
    <w:rsid w:val="00507009"/>
    <w:rsid w:val="0051005B"/>
    <w:rsid w:val="00514A1C"/>
    <w:rsid w:val="005156F3"/>
    <w:rsid w:val="00515B9E"/>
    <w:rsid w:val="00516072"/>
    <w:rsid w:val="00517DFF"/>
    <w:rsid w:val="00527517"/>
    <w:rsid w:val="00530649"/>
    <w:rsid w:val="0053070D"/>
    <w:rsid w:val="00531404"/>
    <w:rsid w:val="00531FC8"/>
    <w:rsid w:val="005332EC"/>
    <w:rsid w:val="00534418"/>
    <w:rsid w:val="005353AB"/>
    <w:rsid w:val="00535E98"/>
    <w:rsid w:val="00540310"/>
    <w:rsid w:val="00542E6A"/>
    <w:rsid w:val="005450C6"/>
    <w:rsid w:val="00553AA3"/>
    <w:rsid w:val="005542A6"/>
    <w:rsid w:val="00554DE2"/>
    <w:rsid w:val="00554F08"/>
    <w:rsid w:val="00555391"/>
    <w:rsid w:val="005560BC"/>
    <w:rsid w:val="005573BE"/>
    <w:rsid w:val="00562633"/>
    <w:rsid w:val="00572700"/>
    <w:rsid w:val="005739B0"/>
    <w:rsid w:val="00576D97"/>
    <w:rsid w:val="00580468"/>
    <w:rsid w:val="00582231"/>
    <w:rsid w:val="00583F9F"/>
    <w:rsid w:val="0058435B"/>
    <w:rsid w:val="0058603B"/>
    <w:rsid w:val="00586B7F"/>
    <w:rsid w:val="00587093"/>
    <w:rsid w:val="00587C30"/>
    <w:rsid w:val="0059431B"/>
    <w:rsid w:val="005A38C3"/>
    <w:rsid w:val="005A39CC"/>
    <w:rsid w:val="005A44ED"/>
    <w:rsid w:val="005A6055"/>
    <w:rsid w:val="005A6EF3"/>
    <w:rsid w:val="005B0D8F"/>
    <w:rsid w:val="005B4730"/>
    <w:rsid w:val="005B505C"/>
    <w:rsid w:val="005C0006"/>
    <w:rsid w:val="005C138A"/>
    <w:rsid w:val="005C3777"/>
    <w:rsid w:val="005C4634"/>
    <w:rsid w:val="005D01D9"/>
    <w:rsid w:val="005D12DA"/>
    <w:rsid w:val="005D2C3C"/>
    <w:rsid w:val="005E05D7"/>
    <w:rsid w:val="005E12A5"/>
    <w:rsid w:val="005E13A7"/>
    <w:rsid w:val="005E3735"/>
    <w:rsid w:val="005E41E7"/>
    <w:rsid w:val="005E450F"/>
    <w:rsid w:val="005F0C0D"/>
    <w:rsid w:val="005F126D"/>
    <w:rsid w:val="005F2B04"/>
    <w:rsid w:val="005F3D9B"/>
    <w:rsid w:val="005F5FD1"/>
    <w:rsid w:val="005F68FA"/>
    <w:rsid w:val="0060432A"/>
    <w:rsid w:val="00605497"/>
    <w:rsid w:val="0060730F"/>
    <w:rsid w:val="00612ED6"/>
    <w:rsid w:val="006135BC"/>
    <w:rsid w:val="0061419B"/>
    <w:rsid w:val="006161B7"/>
    <w:rsid w:val="00617FD6"/>
    <w:rsid w:val="0062298A"/>
    <w:rsid w:val="00622BB8"/>
    <w:rsid w:val="00624690"/>
    <w:rsid w:val="00625C4A"/>
    <w:rsid w:val="00626514"/>
    <w:rsid w:val="00626589"/>
    <w:rsid w:val="006268B0"/>
    <w:rsid w:val="00627271"/>
    <w:rsid w:val="00627C9A"/>
    <w:rsid w:val="00630F37"/>
    <w:rsid w:val="00632064"/>
    <w:rsid w:val="006339A0"/>
    <w:rsid w:val="00637F83"/>
    <w:rsid w:val="00640460"/>
    <w:rsid w:val="006408AC"/>
    <w:rsid w:val="006413A8"/>
    <w:rsid w:val="00641ECC"/>
    <w:rsid w:val="00642E56"/>
    <w:rsid w:val="0064388A"/>
    <w:rsid w:val="00644238"/>
    <w:rsid w:val="006447FA"/>
    <w:rsid w:val="00645609"/>
    <w:rsid w:val="00651E00"/>
    <w:rsid w:val="00651E4A"/>
    <w:rsid w:val="00653744"/>
    <w:rsid w:val="006538D4"/>
    <w:rsid w:val="00655110"/>
    <w:rsid w:val="0066093B"/>
    <w:rsid w:val="00661D25"/>
    <w:rsid w:val="006638F9"/>
    <w:rsid w:val="00664480"/>
    <w:rsid w:val="00665683"/>
    <w:rsid w:val="00665740"/>
    <w:rsid w:val="00666B7D"/>
    <w:rsid w:val="006711FB"/>
    <w:rsid w:val="00672D31"/>
    <w:rsid w:val="00674572"/>
    <w:rsid w:val="006766C8"/>
    <w:rsid w:val="006806C9"/>
    <w:rsid w:val="006849F5"/>
    <w:rsid w:val="00687763"/>
    <w:rsid w:val="0069161F"/>
    <w:rsid w:val="00692B0D"/>
    <w:rsid w:val="00692E1D"/>
    <w:rsid w:val="00693C78"/>
    <w:rsid w:val="00693E0E"/>
    <w:rsid w:val="00693FB6"/>
    <w:rsid w:val="00695BB7"/>
    <w:rsid w:val="00697088"/>
    <w:rsid w:val="006A1AE3"/>
    <w:rsid w:val="006A73C1"/>
    <w:rsid w:val="006B042F"/>
    <w:rsid w:val="006B4929"/>
    <w:rsid w:val="006B6062"/>
    <w:rsid w:val="006B61F9"/>
    <w:rsid w:val="006B653F"/>
    <w:rsid w:val="006B7823"/>
    <w:rsid w:val="006C0F3B"/>
    <w:rsid w:val="006C30E1"/>
    <w:rsid w:val="006C3DE1"/>
    <w:rsid w:val="006C4607"/>
    <w:rsid w:val="006C5440"/>
    <w:rsid w:val="006C5E36"/>
    <w:rsid w:val="006D0440"/>
    <w:rsid w:val="006D0922"/>
    <w:rsid w:val="006D2766"/>
    <w:rsid w:val="006D45B8"/>
    <w:rsid w:val="006D48F1"/>
    <w:rsid w:val="006D6CFB"/>
    <w:rsid w:val="006D7E24"/>
    <w:rsid w:val="006E0518"/>
    <w:rsid w:val="006E0CDD"/>
    <w:rsid w:val="006E1540"/>
    <w:rsid w:val="006E5458"/>
    <w:rsid w:val="006E5AF5"/>
    <w:rsid w:val="006E65EF"/>
    <w:rsid w:val="006E70BE"/>
    <w:rsid w:val="006F0F87"/>
    <w:rsid w:val="006F2B0F"/>
    <w:rsid w:val="006F3F60"/>
    <w:rsid w:val="006F45BE"/>
    <w:rsid w:val="007004FC"/>
    <w:rsid w:val="00701CA0"/>
    <w:rsid w:val="0070251A"/>
    <w:rsid w:val="00706670"/>
    <w:rsid w:val="00710D2A"/>
    <w:rsid w:val="00711F59"/>
    <w:rsid w:val="0072417C"/>
    <w:rsid w:val="00724502"/>
    <w:rsid w:val="00724E19"/>
    <w:rsid w:val="00725E39"/>
    <w:rsid w:val="007319F1"/>
    <w:rsid w:val="00734450"/>
    <w:rsid w:val="00734E33"/>
    <w:rsid w:val="00737B70"/>
    <w:rsid w:val="00741006"/>
    <w:rsid w:val="00745DA1"/>
    <w:rsid w:val="00745F67"/>
    <w:rsid w:val="00745FEE"/>
    <w:rsid w:val="00747903"/>
    <w:rsid w:val="0075039E"/>
    <w:rsid w:val="00750B0F"/>
    <w:rsid w:val="00752D9D"/>
    <w:rsid w:val="00754784"/>
    <w:rsid w:val="00756245"/>
    <w:rsid w:val="007579A0"/>
    <w:rsid w:val="00757C6E"/>
    <w:rsid w:val="00762BDA"/>
    <w:rsid w:val="00765346"/>
    <w:rsid w:val="007666F9"/>
    <w:rsid w:val="00770284"/>
    <w:rsid w:val="007736F1"/>
    <w:rsid w:val="00774AE2"/>
    <w:rsid w:val="00777387"/>
    <w:rsid w:val="00777543"/>
    <w:rsid w:val="007805FD"/>
    <w:rsid w:val="00783474"/>
    <w:rsid w:val="007839BC"/>
    <w:rsid w:val="00784422"/>
    <w:rsid w:val="00784CE4"/>
    <w:rsid w:val="0079000A"/>
    <w:rsid w:val="00793C37"/>
    <w:rsid w:val="00795903"/>
    <w:rsid w:val="007964D6"/>
    <w:rsid w:val="00796DA2"/>
    <w:rsid w:val="007A00DA"/>
    <w:rsid w:val="007A01F9"/>
    <w:rsid w:val="007A0B44"/>
    <w:rsid w:val="007A1AC3"/>
    <w:rsid w:val="007A2008"/>
    <w:rsid w:val="007A28B9"/>
    <w:rsid w:val="007A3846"/>
    <w:rsid w:val="007A3BCF"/>
    <w:rsid w:val="007A41DC"/>
    <w:rsid w:val="007A4258"/>
    <w:rsid w:val="007A4E59"/>
    <w:rsid w:val="007A5B7B"/>
    <w:rsid w:val="007A66D8"/>
    <w:rsid w:val="007B03AC"/>
    <w:rsid w:val="007B2596"/>
    <w:rsid w:val="007B2CB6"/>
    <w:rsid w:val="007B3B54"/>
    <w:rsid w:val="007B3FA0"/>
    <w:rsid w:val="007B4BC6"/>
    <w:rsid w:val="007C01F1"/>
    <w:rsid w:val="007C0F2C"/>
    <w:rsid w:val="007C2BCC"/>
    <w:rsid w:val="007C35B2"/>
    <w:rsid w:val="007C4EF0"/>
    <w:rsid w:val="007C79AF"/>
    <w:rsid w:val="007D099D"/>
    <w:rsid w:val="007D0D7E"/>
    <w:rsid w:val="007D39BA"/>
    <w:rsid w:val="007D7BA1"/>
    <w:rsid w:val="007E2664"/>
    <w:rsid w:val="007E3ABF"/>
    <w:rsid w:val="007E44C5"/>
    <w:rsid w:val="007E5BFA"/>
    <w:rsid w:val="007E6689"/>
    <w:rsid w:val="007E731C"/>
    <w:rsid w:val="007F0A03"/>
    <w:rsid w:val="007F2F05"/>
    <w:rsid w:val="007F3D26"/>
    <w:rsid w:val="007F517A"/>
    <w:rsid w:val="007F63CB"/>
    <w:rsid w:val="007F7EAD"/>
    <w:rsid w:val="008042B2"/>
    <w:rsid w:val="00810040"/>
    <w:rsid w:val="00810A3A"/>
    <w:rsid w:val="00810B2F"/>
    <w:rsid w:val="0081257D"/>
    <w:rsid w:val="0081292B"/>
    <w:rsid w:val="00813AC1"/>
    <w:rsid w:val="00813F27"/>
    <w:rsid w:val="008164C8"/>
    <w:rsid w:val="0082007B"/>
    <w:rsid w:val="008201D2"/>
    <w:rsid w:val="0082023A"/>
    <w:rsid w:val="008215B8"/>
    <w:rsid w:val="00821A7A"/>
    <w:rsid w:val="0082310C"/>
    <w:rsid w:val="008237B0"/>
    <w:rsid w:val="00823882"/>
    <w:rsid w:val="008253F8"/>
    <w:rsid w:val="00826B74"/>
    <w:rsid w:val="00826C67"/>
    <w:rsid w:val="00826F98"/>
    <w:rsid w:val="008325E4"/>
    <w:rsid w:val="00832A2B"/>
    <w:rsid w:val="00834CA6"/>
    <w:rsid w:val="00834DA0"/>
    <w:rsid w:val="008373E6"/>
    <w:rsid w:val="0083777F"/>
    <w:rsid w:val="00842724"/>
    <w:rsid w:val="00842B02"/>
    <w:rsid w:val="008433E8"/>
    <w:rsid w:val="00843A2D"/>
    <w:rsid w:val="00845811"/>
    <w:rsid w:val="00845DFA"/>
    <w:rsid w:val="00846994"/>
    <w:rsid w:val="00846C48"/>
    <w:rsid w:val="00847023"/>
    <w:rsid w:val="0084741A"/>
    <w:rsid w:val="00850451"/>
    <w:rsid w:val="00852042"/>
    <w:rsid w:val="008534C9"/>
    <w:rsid w:val="008547A5"/>
    <w:rsid w:val="0085599D"/>
    <w:rsid w:val="00855FF4"/>
    <w:rsid w:val="00861813"/>
    <w:rsid w:val="00863340"/>
    <w:rsid w:val="0086587D"/>
    <w:rsid w:val="00870547"/>
    <w:rsid w:val="00870D1A"/>
    <w:rsid w:val="0087510C"/>
    <w:rsid w:val="00880C36"/>
    <w:rsid w:val="00881B32"/>
    <w:rsid w:val="00883DA1"/>
    <w:rsid w:val="00890442"/>
    <w:rsid w:val="008938F6"/>
    <w:rsid w:val="00893E73"/>
    <w:rsid w:val="008968D2"/>
    <w:rsid w:val="0089738E"/>
    <w:rsid w:val="008A05B8"/>
    <w:rsid w:val="008A0753"/>
    <w:rsid w:val="008A7B89"/>
    <w:rsid w:val="008B4465"/>
    <w:rsid w:val="008B50FF"/>
    <w:rsid w:val="008B5FDB"/>
    <w:rsid w:val="008B6B16"/>
    <w:rsid w:val="008C2F07"/>
    <w:rsid w:val="008C3F78"/>
    <w:rsid w:val="008C50F4"/>
    <w:rsid w:val="008C5649"/>
    <w:rsid w:val="008C7668"/>
    <w:rsid w:val="008D632E"/>
    <w:rsid w:val="008E44A2"/>
    <w:rsid w:val="008E697D"/>
    <w:rsid w:val="008F1A6E"/>
    <w:rsid w:val="008F6857"/>
    <w:rsid w:val="008F6991"/>
    <w:rsid w:val="0090267E"/>
    <w:rsid w:val="009030FB"/>
    <w:rsid w:val="00903263"/>
    <w:rsid w:val="009032AB"/>
    <w:rsid w:val="00906989"/>
    <w:rsid w:val="00906A21"/>
    <w:rsid w:val="009079C3"/>
    <w:rsid w:val="00910462"/>
    <w:rsid w:val="00915AB1"/>
    <w:rsid w:val="00917532"/>
    <w:rsid w:val="00917600"/>
    <w:rsid w:val="009202D1"/>
    <w:rsid w:val="00920E7B"/>
    <w:rsid w:val="009235BA"/>
    <w:rsid w:val="00924023"/>
    <w:rsid w:val="00924CE2"/>
    <w:rsid w:val="00925B9F"/>
    <w:rsid w:val="009275AC"/>
    <w:rsid w:val="009309EB"/>
    <w:rsid w:val="00931AED"/>
    <w:rsid w:val="00932431"/>
    <w:rsid w:val="00937644"/>
    <w:rsid w:val="009428E7"/>
    <w:rsid w:val="00943042"/>
    <w:rsid w:val="00945766"/>
    <w:rsid w:val="009476A3"/>
    <w:rsid w:val="009500EE"/>
    <w:rsid w:val="0095334F"/>
    <w:rsid w:val="0095423D"/>
    <w:rsid w:val="00954D8F"/>
    <w:rsid w:val="009563FF"/>
    <w:rsid w:val="00956C8B"/>
    <w:rsid w:val="0096336F"/>
    <w:rsid w:val="00964673"/>
    <w:rsid w:val="009656DE"/>
    <w:rsid w:val="00965897"/>
    <w:rsid w:val="0096765C"/>
    <w:rsid w:val="00967848"/>
    <w:rsid w:val="009714D2"/>
    <w:rsid w:val="009727E4"/>
    <w:rsid w:val="00974399"/>
    <w:rsid w:val="00975C3A"/>
    <w:rsid w:val="0097750A"/>
    <w:rsid w:val="00980194"/>
    <w:rsid w:val="00980BF4"/>
    <w:rsid w:val="009864BB"/>
    <w:rsid w:val="0098773B"/>
    <w:rsid w:val="00987B16"/>
    <w:rsid w:val="00990AB2"/>
    <w:rsid w:val="00992E99"/>
    <w:rsid w:val="009934C5"/>
    <w:rsid w:val="009945B8"/>
    <w:rsid w:val="00994C0F"/>
    <w:rsid w:val="009A0027"/>
    <w:rsid w:val="009A28FD"/>
    <w:rsid w:val="009A33ED"/>
    <w:rsid w:val="009A6B0C"/>
    <w:rsid w:val="009A7205"/>
    <w:rsid w:val="009B118C"/>
    <w:rsid w:val="009B22D7"/>
    <w:rsid w:val="009B2A92"/>
    <w:rsid w:val="009B37E9"/>
    <w:rsid w:val="009B4270"/>
    <w:rsid w:val="009B72ED"/>
    <w:rsid w:val="009C30E0"/>
    <w:rsid w:val="009C5659"/>
    <w:rsid w:val="009C6DEB"/>
    <w:rsid w:val="009D022D"/>
    <w:rsid w:val="009D27A6"/>
    <w:rsid w:val="009D4EF6"/>
    <w:rsid w:val="009D6504"/>
    <w:rsid w:val="009E1204"/>
    <w:rsid w:val="009E12D7"/>
    <w:rsid w:val="009E159A"/>
    <w:rsid w:val="009E242E"/>
    <w:rsid w:val="009E4BD1"/>
    <w:rsid w:val="009E661A"/>
    <w:rsid w:val="009E6A34"/>
    <w:rsid w:val="009E6C0C"/>
    <w:rsid w:val="009E73AB"/>
    <w:rsid w:val="009F0513"/>
    <w:rsid w:val="009F1276"/>
    <w:rsid w:val="009F15E6"/>
    <w:rsid w:val="009F5710"/>
    <w:rsid w:val="009F7D7D"/>
    <w:rsid w:val="00A00B9B"/>
    <w:rsid w:val="00A01B80"/>
    <w:rsid w:val="00A0461C"/>
    <w:rsid w:val="00A05E77"/>
    <w:rsid w:val="00A06077"/>
    <w:rsid w:val="00A06781"/>
    <w:rsid w:val="00A074C3"/>
    <w:rsid w:val="00A100ED"/>
    <w:rsid w:val="00A102CE"/>
    <w:rsid w:val="00A1367E"/>
    <w:rsid w:val="00A1509C"/>
    <w:rsid w:val="00A16653"/>
    <w:rsid w:val="00A228CD"/>
    <w:rsid w:val="00A238AE"/>
    <w:rsid w:val="00A249B9"/>
    <w:rsid w:val="00A25063"/>
    <w:rsid w:val="00A26187"/>
    <w:rsid w:val="00A27177"/>
    <w:rsid w:val="00A31A9E"/>
    <w:rsid w:val="00A31F77"/>
    <w:rsid w:val="00A34260"/>
    <w:rsid w:val="00A360BA"/>
    <w:rsid w:val="00A370C8"/>
    <w:rsid w:val="00A43390"/>
    <w:rsid w:val="00A4412C"/>
    <w:rsid w:val="00A4727A"/>
    <w:rsid w:val="00A513CA"/>
    <w:rsid w:val="00A5160D"/>
    <w:rsid w:val="00A523F9"/>
    <w:rsid w:val="00A549E0"/>
    <w:rsid w:val="00A55B57"/>
    <w:rsid w:val="00A5727C"/>
    <w:rsid w:val="00A6048E"/>
    <w:rsid w:val="00A63203"/>
    <w:rsid w:val="00A648A4"/>
    <w:rsid w:val="00A65338"/>
    <w:rsid w:val="00A67B6A"/>
    <w:rsid w:val="00A70CFD"/>
    <w:rsid w:val="00A72A0B"/>
    <w:rsid w:val="00A72CAB"/>
    <w:rsid w:val="00A73151"/>
    <w:rsid w:val="00A77110"/>
    <w:rsid w:val="00A77DBB"/>
    <w:rsid w:val="00A77F80"/>
    <w:rsid w:val="00A8158E"/>
    <w:rsid w:val="00A81E42"/>
    <w:rsid w:val="00A82F8D"/>
    <w:rsid w:val="00A83620"/>
    <w:rsid w:val="00A840D5"/>
    <w:rsid w:val="00A8481B"/>
    <w:rsid w:val="00A864FE"/>
    <w:rsid w:val="00A86F41"/>
    <w:rsid w:val="00A8776B"/>
    <w:rsid w:val="00A87D04"/>
    <w:rsid w:val="00A950C5"/>
    <w:rsid w:val="00A955A3"/>
    <w:rsid w:val="00A95777"/>
    <w:rsid w:val="00A970C6"/>
    <w:rsid w:val="00A97749"/>
    <w:rsid w:val="00AA16DE"/>
    <w:rsid w:val="00AA1BF0"/>
    <w:rsid w:val="00AA1D25"/>
    <w:rsid w:val="00AA370A"/>
    <w:rsid w:val="00AA4189"/>
    <w:rsid w:val="00AA51C5"/>
    <w:rsid w:val="00AB2B1A"/>
    <w:rsid w:val="00AB397F"/>
    <w:rsid w:val="00AB54FD"/>
    <w:rsid w:val="00AB5832"/>
    <w:rsid w:val="00AB6ACB"/>
    <w:rsid w:val="00AC19C6"/>
    <w:rsid w:val="00AC5008"/>
    <w:rsid w:val="00AC51F2"/>
    <w:rsid w:val="00AC6CE0"/>
    <w:rsid w:val="00AD104F"/>
    <w:rsid w:val="00AD3269"/>
    <w:rsid w:val="00AD3936"/>
    <w:rsid w:val="00AD4425"/>
    <w:rsid w:val="00AD64BC"/>
    <w:rsid w:val="00AD6822"/>
    <w:rsid w:val="00AE0B4B"/>
    <w:rsid w:val="00AE0EAC"/>
    <w:rsid w:val="00AE5066"/>
    <w:rsid w:val="00AE5E24"/>
    <w:rsid w:val="00AE61B7"/>
    <w:rsid w:val="00AE6CBA"/>
    <w:rsid w:val="00AE79AD"/>
    <w:rsid w:val="00AF162A"/>
    <w:rsid w:val="00AF2549"/>
    <w:rsid w:val="00AF35E4"/>
    <w:rsid w:val="00AF5CDE"/>
    <w:rsid w:val="00AF6A09"/>
    <w:rsid w:val="00B032F8"/>
    <w:rsid w:val="00B07B64"/>
    <w:rsid w:val="00B11A57"/>
    <w:rsid w:val="00B13AD1"/>
    <w:rsid w:val="00B13C8A"/>
    <w:rsid w:val="00B14D9F"/>
    <w:rsid w:val="00B1533C"/>
    <w:rsid w:val="00B162F5"/>
    <w:rsid w:val="00B17E83"/>
    <w:rsid w:val="00B211C3"/>
    <w:rsid w:val="00B2262C"/>
    <w:rsid w:val="00B22AA6"/>
    <w:rsid w:val="00B22ABD"/>
    <w:rsid w:val="00B248D6"/>
    <w:rsid w:val="00B25597"/>
    <w:rsid w:val="00B25658"/>
    <w:rsid w:val="00B267B9"/>
    <w:rsid w:val="00B32AAA"/>
    <w:rsid w:val="00B32E23"/>
    <w:rsid w:val="00B33E09"/>
    <w:rsid w:val="00B3594E"/>
    <w:rsid w:val="00B40930"/>
    <w:rsid w:val="00B40D37"/>
    <w:rsid w:val="00B41A9A"/>
    <w:rsid w:val="00B4248B"/>
    <w:rsid w:val="00B4663A"/>
    <w:rsid w:val="00B50708"/>
    <w:rsid w:val="00B50C68"/>
    <w:rsid w:val="00B51293"/>
    <w:rsid w:val="00B52B1E"/>
    <w:rsid w:val="00B52E9F"/>
    <w:rsid w:val="00B55481"/>
    <w:rsid w:val="00B56C32"/>
    <w:rsid w:val="00B56D61"/>
    <w:rsid w:val="00B57ACF"/>
    <w:rsid w:val="00B61E4D"/>
    <w:rsid w:val="00B62845"/>
    <w:rsid w:val="00B64BB1"/>
    <w:rsid w:val="00B7276F"/>
    <w:rsid w:val="00B73166"/>
    <w:rsid w:val="00B73D56"/>
    <w:rsid w:val="00B74379"/>
    <w:rsid w:val="00B75648"/>
    <w:rsid w:val="00B77372"/>
    <w:rsid w:val="00B8426C"/>
    <w:rsid w:val="00B84642"/>
    <w:rsid w:val="00B85104"/>
    <w:rsid w:val="00B86462"/>
    <w:rsid w:val="00B866A4"/>
    <w:rsid w:val="00B87C51"/>
    <w:rsid w:val="00B9193F"/>
    <w:rsid w:val="00B91B8D"/>
    <w:rsid w:val="00B93597"/>
    <w:rsid w:val="00B94E90"/>
    <w:rsid w:val="00BA569A"/>
    <w:rsid w:val="00BA64D3"/>
    <w:rsid w:val="00BA7CAD"/>
    <w:rsid w:val="00BB0A82"/>
    <w:rsid w:val="00BB7C94"/>
    <w:rsid w:val="00BC0A9D"/>
    <w:rsid w:val="00BC33E2"/>
    <w:rsid w:val="00BC54D5"/>
    <w:rsid w:val="00BD02BB"/>
    <w:rsid w:val="00BD0F53"/>
    <w:rsid w:val="00BD3D8C"/>
    <w:rsid w:val="00BD494D"/>
    <w:rsid w:val="00BD4D26"/>
    <w:rsid w:val="00BD51AD"/>
    <w:rsid w:val="00BD5A4C"/>
    <w:rsid w:val="00BD7064"/>
    <w:rsid w:val="00BD7A1F"/>
    <w:rsid w:val="00BE1763"/>
    <w:rsid w:val="00BE17D8"/>
    <w:rsid w:val="00BE1959"/>
    <w:rsid w:val="00BE5530"/>
    <w:rsid w:val="00BF40ED"/>
    <w:rsid w:val="00BF43FE"/>
    <w:rsid w:val="00BF4B68"/>
    <w:rsid w:val="00BF5BC2"/>
    <w:rsid w:val="00BF75BE"/>
    <w:rsid w:val="00C03ACB"/>
    <w:rsid w:val="00C10939"/>
    <w:rsid w:val="00C109F4"/>
    <w:rsid w:val="00C10EA6"/>
    <w:rsid w:val="00C1133D"/>
    <w:rsid w:val="00C143E5"/>
    <w:rsid w:val="00C16414"/>
    <w:rsid w:val="00C238B2"/>
    <w:rsid w:val="00C255EE"/>
    <w:rsid w:val="00C27A08"/>
    <w:rsid w:val="00C31312"/>
    <w:rsid w:val="00C31E36"/>
    <w:rsid w:val="00C31EE7"/>
    <w:rsid w:val="00C326C6"/>
    <w:rsid w:val="00C33ACD"/>
    <w:rsid w:val="00C35295"/>
    <w:rsid w:val="00C368D6"/>
    <w:rsid w:val="00C36ADD"/>
    <w:rsid w:val="00C36E74"/>
    <w:rsid w:val="00C40595"/>
    <w:rsid w:val="00C41621"/>
    <w:rsid w:val="00C41B7C"/>
    <w:rsid w:val="00C4296B"/>
    <w:rsid w:val="00C42C22"/>
    <w:rsid w:val="00C43E88"/>
    <w:rsid w:val="00C4465F"/>
    <w:rsid w:val="00C449FA"/>
    <w:rsid w:val="00C45BEF"/>
    <w:rsid w:val="00C501F6"/>
    <w:rsid w:val="00C516AD"/>
    <w:rsid w:val="00C53106"/>
    <w:rsid w:val="00C5384F"/>
    <w:rsid w:val="00C53D75"/>
    <w:rsid w:val="00C56964"/>
    <w:rsid w:val="00C656D5"/>
    <w:rsid w:val="00C67103"/>
    <w:rsid w:val="00C703F3"/>
    <w:rsid w:val="00C71BB9"/>
    <w:rsid w:val="00C736FB"/>
    <w:rsid w:val="00C74DEE"/>
    <w:rsid w:val="00C7762C"/>
    <w:rsid w:val="00C82A12"/>
    <w:rsid w:val="00C945FA"/>
    <w:rsid w:val="00C94613"/>
    <w:rsid w:val="00C94C28"/>
    <w:rsid w:val="00C95F30"/>
    <w:rsid w:val="00CA15AA"/>
    <w:rsid w:val="00CA2B59"/>
    <w:rsid w:val="00CA569B"/>
    <w:rsid w:val="00CA71A3"/>
    <w:rsid w:val="00CB0247"/>
    <w:rsid w:val="00CB0985"/>
    <w:rsid w:val="00CB0A64"/>
    <w:rsid w:val="00CB3440"/>
    <w:rsid w:val="00CB3FC2"/>
    <w:rsid w:val="00CB4084"/>
    <w:rsid w:val="00CB5188"/>
    <w:rsid w:val="00CB616A"/>
    <w:rsid w:val="00CB66F6"/>
    <w:rsid w:val="00CB67C8"/>
    <w:rsid w:val="00CB7479"/>
    <w:rsid w:val="00CC1692"/>
    <w:rsid w:val="00CC16B8"/>
    <w:rsid w:val="00CC7AC4"/>
    <w:rsid w:val="00CD138B"/>
    <w:rsid w:val="00CD223F"/>
    <w:rsid w:val="00CD3E31"/>
    <w:rsid w:val="00CD617D"/>
    <w:rsid w:val="00CD6C0B"/>
    <w:rsid w:val="00CD7117"/>
    <w:rsid w:val="00CD74A3"/>
    <w:rsid w:val="00CE0527"/>
    <w:rsid w:val="00CE1668"/>
    <w:rsid w:val="00CE1DEE"/>
    <w:rsid w:val="00CE2631"/>
    <w:rsid w:val="00CE27C5"/>
    <w:rsid w:val="00CE30D0"/>
    <w:rsid w:val="00CE50A6"/>
    <w:rsid w:val="00CE5B23"/>
    <w:rsid w:val="00CF1D94"/>
    <w:rsid w:val="00CF573B"/>
    <w:rsid w:val="00CF65CE"/>
    <w:rsid w:val="00CF70AD"/>
    <w:rsid w:val="00CF7729"/>
    <w:rsid w:val="00CF7C93"/>
    <w:rsid w:val="00D00059"/>
    <w:rsid w:val="00D009CE"/>
    <w:rsid w:val="00D02F34"/>
    <w:rsid w:val="00D0487F"/>
    <w:rsid w:val="00D05BA6"/>
    <w:rsid w:val="00D07558"/>
    <w:rsid w:val="00D107FA"/>
    <w:rsid w:val="00D11555"/>
    <w:rsid w:val="00D115B5"/>
    <w:rsid w:val="00D12275"/>
    <w:rsid w:val="00D12766"/>
    <w:rsid w:val="00D12AB6"/>
    <w:rsid w:val="00D154E5"/>
    <w:rsid w:val="00D20E4E"/>
    <w:rsid w:val="00D20FF4"/>
    <w:rsid w:val="00D2113A"/>
    <w:rsid w:val="00D212D8"/>
    <w:rsid w:val="00D22B0E"/>
    <w:rsid w:val="00D22C26"/>
    <w:rsid w:val="00D24D2C"/>
    <w:rsid w:val="00D271E8"/>
    <w:rsid w:val="00D34B3F"/>
    <w:rsid w:val="00D35881"/>
    <w:rsid w:val="00D36916"/>
    <w:rsid w:val="00D426A5"/>
    <w:rsid w:val="00D442BD"/>
    <w:rsid w:val="00D44A23"/>
    <w:rsid w:val="00D4659D"/>
    <w:rsid w:val="00D479AF"/>
    <w:rsid w:val="00D47F67"/>
    <w:rsid w:val="00D512BD"/>
    <w:rsid w:val="00D51D0D"/>
    <w:rsid w:val="00D55399"/>
    <w:rsid w:val="00D55859"/>
    <w:rsid w:val="00D564E9"/>
    <w:rsid w:val="00D606B2"/>
    <w:rsid w:val="00D60FCD"/>
    <w:rsid w:val="00D71E21"/>
    <w:rsid w:val="00D72CD1"/>
    <w:rsid w:val="00D736C3"/>
    <w:rsid w:val="00D73C93"/>
    <w:rsid w:val="00D76573"/>
    <w:rsid w:val="00D805F0"/>
    <w:rsid w:val="00D81427"/>
    <w:rsid w:val="00D83214"/>
    <w:rsid w:val="00D83E21"/>
    <w:rsid w:val="00D8737F"/>
    <w:rsid w:val="00D901A0"/>
    <w:rsid w:val="00D902ED"/>
    <w:rsid w:val="00D920E7"/>
    <w:rsid w:val="00D92E2F"/>
    <w:rsid w:val="00D93B58"/>
    <w:rsid w:val="00D9438B"/>
    <w:rsid w:val="00DA2241"/>
    <w:rsid w:val="00DA5C2E"/>
    <w:rsid w:val="00DA664C"/>
    <w:rsid w:val="00DA78A7"/>
    <w:rsid w:val="00DA7DA5"/>
    <w:rsid w:val="00DB0440"/>
    <w:rsid w:val="00DB0616"/>
    <w:rsid w:val="00DB073B"/>
    <w:rsid w:val="00DB264F"/>
    <w:rsid w:val="00DB3A6E"/>
    <w:rsid w:val="00DB615F"/>
    <w:rsid w:val="00DB7308"/>
    <w:rsid w:val="00DB7352"/>
    <w:rsid w:val="00DB78F0"/>
    <w:rsid w:val="00DC0CEA"/>
    <w:rsid w:val="00DC17B0"/>
    <w:rsid w:val="00DC2E43"/>
    <w:rsid w:val="00DC34AC"/>
    <w:rsid w:val="00DC55A3"/>
    <w:rsid w:val="00DD095C"/>
    <w:rsid w:val="00DD0A7A"/>
    <w:rsid w:val="00DD1020"/>
    <w:rsid w:val="00DD1330"/>
    <w:rsid w:val="00DD1D1D"/>
    <w:rsid w:val="00DD26E3"/>
    <w:rsid w:val="00DD28E0"/>
    <w:rsid w:val="00DD3231"/>
    <w:rsid w:val="00DD4AD9"/>
    <w:rsid w:val="00DE0B83"/>
    <w:rsid w:val="00DE0D0F"/>
    <w:rsid w:val="00DE1A81"/>
    <w:rsid w:val="00DE1C13"/>
    <w:rsid w:val="00DE2677"/>
    <w:rsid w:val="00DE4D02"/>
    <w:rsid w:val="00DE4E10"/>
    <w:rsid w:val="00DE7083"/>
    <w:rsid w:val="00DE7949"/>
    <w:rsid w:val="00DF0A05"/>
    <w:rsid w:val="00DF2B15"/>
    <w:rsid w:val="00DF4689"/>
    <w:rsid w:val="00DF5AF9"/>
    <w:rsid w:val="00DF6797"/>
    <w:rsid w:val="00DF6A1A"/>
    <w:rsid w:val="00E00E03"/>
    <w:rsid w:val="00E02ABF"/>
    <w:rsid w:val="00E0557E"/>
    <w:rsid w:val="00E1023A"/>
    <w:rsid w:val="00E14995"/>
    <w:rsid w:val="00E1642A"/>
    <w:rsid w:val="00E166B0"/>
    <w:rsid w:val="00E179CD"/>
    <w:rsid w:val="00E20341"/>
    <w:rsid w:val="00E20769"/>
    <w:rsid w:val="00E20F2C"/>
    <w:rsid w:val="00E218E6"/>
    <w:rsid w:val="00E23250"/>
    <w:rsid w:val="00E23E8D"/>
    <w:rsid w:val="00E246E3"/>
    <w:rsid w:val="00E252F3"/>
    <w:rsid w:val="00E253EB"/>
    <w:rsid w:val="00E30E9F"/>
    <w:rsid w:val="00E311A3"/>
    <w:rsid w:val="00E37F98"/>
    <w:rsid w:val="00E409BA"/>
    <w:rsid w:val="00E41CDE"/>
    <w:rsid w:val="00E462E7"/>
    <w:rsid w:val="00E46559"/>
    <w:rsid w:val="00E5022C"/>
    <w:rsid w:val="00E62175"/>
    <w:rsid w:val="00E6670C"/>
    <w:rsid w:val="00E7437E"/>
    <w:rsid w:val="00E744B2"/>
    <w:rsid w:val="00E76F0D"/>
    <w:rsid w:val="00E776E8"/>
    <w:rsid w:val="00E80835"/>
    <w:rsid w:val="00E826C5"/>
    <w:rsid w:val="00E83AD7"/>
    <w:rsid w:val="00E86AD5"/>
    <w:rsid w:val="00E92C1F"/>
    <w:rsid w:val="00E94DA1"/>
    <w:rsid w:val="00E95D4B"/>
    <w:rsid w:val="00E96E3C"/>
    <w:rsid w:val="00EA02AF"/>
    <w:rsid w:val="00EA20DE"/>
    <w:rsid w:val="00EA3187"/>
    <w:rsid w:val="00EA3C1F"/>
    <w:rsid w:val="00EA4241"/>
    <w:rsid w:val="00EA5176"/>
    <w:rsid w:val="00EA5325"/>
    <w:rsid w:val="00EA6728"/>
    <w:rsid w:val="00EA688A"/>
    <w:rsid w:val="00EA6D0E"/>
    <w:rsid w:val="00EA6E89"/>
    <w:rsid w:val="00EA76B8"/>
    <w:rsid w:val="00EB0D3C"/>
    <w:rsid w:val="00EB0FC5"/>
    <w:rsid w:val="00EB14E3"/>
    <w:rsid w:val="00EB199F"/>
    <w:rsid w:val="00EB4F0F"/>
    <w:rsid w:val="00EC23F7"/>
    <w:rsid w:val="00EC3D88"/>
    <w:rsid w:val="00EC4684"/>
    <w:rsid w:val="00EC4BD8"/>
    <w:rsid w:val="00EC63EB"/>
    <w:rsid w:val="00ED23A9"/>
    <w:rsid w:val="00ED25EB"/>
    <w:rsid w:val="00ED3684"/>
    <w:rsid w:val="00ED412F"/>
    <w:rsid w:val="00ED5BD1"/>
    <w:rsid w:val="00EE20B3"/>
    <w:rsid w:val="00EE403C"/>
    <w:rsid w:val="00EE60CA"/>
    <w:rsid w:val="00EF0186"/>
    <w:rsid w:val="00EF0B43"/>
    <w:rsid w:val="00EF0E3C"/>
    <w:rsid w:val="00EF36B2"/>
    <w:rsid w:val="00EF3CB9"/>
    <w:rsid w:val="00EF5800"/>
    <w:rsid w:val="00EF5887"/>
    <w:rsid w:val="00EF77F9"/>
    <w:rsid w:val="00F068C5"/>
    <w:rsid w:val="00F1231C"/>
    <w:rsid w:val="00F1246B"/>
    <w:rsid w:val="00F143FE"/>
    <w:rsid w:val="00F16CC4"/>
    <w:rsid w:val="00F17432"/>
    <w:rsid w:val="00F17B35"/>
    <w:rsid w:val="00F201EC"/>
    <w:rsid w:val="00F208A9"/>
    <w:rsid w:val="00F2102F"/>
    <w:rsid w:val="00F22360"/>
    <w:rsid w:val="00F22CAF"/>
    <w:rsid w:val="00F23DB4"/>
    <w:rsid w:val="00F24E23"/>
    <w:rsid w:val="00F31A26"/>
    <w:rsid w:val="00F328FE"/>
    <w:rsid w:val="00F37796"/>
    <w:rsid w:val="00F41D75"/>
    <w:rsid w:val="00F4459C"/>
    <w:rsid w:val="00F44E34"/>
    <w:rsid w:val="00F508C7"/>
    <w:rsid w:val="00F50AB3"/>
    <w:rsid w:val="00F5139D"/>
    <w:rsid w:val="00F5498A"/>
    <w:rsid w:val="00F55314"/>
    <w:rsid w:val="00F55977"/>
    <w:rsid w:val="00F62F43"/>
    <w:rsid w:val="00F63DAC"/>
    <w:rsid w:val="00F64A42"/>
    <w:rsid w:val="00F6677F"/>
    <w:rsid w:val="00F66DA3"/>
    <w:rsid w:val="00F71B07"/>
    <w:rsid w:val="00F7454F"/>
    <w:rsid w:val="00F745ED"/>
    <w:rsid w:val="00F74C18"/>
    <w:rsid w:val="00F77511"/>
    <w:rsid w:val="00F77988"/>
    <w:rsid w:val="00F77F48"/>
    <w:rsid w:val="00F82FD3"/>
    <w:rsid w:val="00F83D68"/>
    <w:rsid w:val="00F846BB"/>
    <w:rsid w:val="00F86CC1"/>
    <w:rsid w:val="00F873D3"/>
    <w:rsid w:val="00F932CC"/>
    <w:rsid w:val="00F9397B"/>
    <w:rsid w:val="00F95719"/>
    <w:rsid w:val="00F96687"/>
    <w:rsid w:val="00F96858"/>
    <w:rsid w:val="00FA0FD5"/>
    <w:rsid w:val="00FA3396"/>
    <w:rsid w:val="00FA6DD0"/>
    <w:rsid w:val="00FB2B33"/>
    <w:rsid w:val="00FB30F1"/>
    <w:rsid w:val="00FB331B"/>
    <w:rsid w:val="00FB3580"/>
    <w:rsid w:val="00FB37FF"/>
    <w:rsid w:val="00FB3AD8"/>
    <w:rsid w:val="00FB53E7"/>
    <w:rsid w:val="00FB5BAF"/>
    <w:rsid w:val="00FB62D6"/>
    <w:rsid w:val="00FB69DD"/>
    <w:rsid w:val="00FC5BCB"/>
    <w:rsid w:val="00FD2A8A"/>
    <w:rsid w:val="00FD4D57"/>
    <w:rsid w:val="00FD501C"/>
    <w:rsid w:val="00FD5301"/>
    <w:rsid w:val="00FE2265"/>
    <w:rsid w:val="00FE4973"/>
    <w:rsid w:val="00FE4B5F"/>
    <w:rsid w:val="00FE5A2C"/>
    <w:rsid w:val="00FE6FA7"/>
    <w:rsid w:val="00FF1DA3"/>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90056972">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ladislavs.vesperis@pkc.mk.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
    <DKP xmlns="2e5bb04e-596e-45bd-9003-43ca78b1ba1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4.xml><?xml version="1.0" encoding="utf-8"?>
<ds:datastoreItem xmlns:ds="http://schemas.openxmlformats.org/officeDocument/2006/customXml" ds:itemID="{DDDCC67E-0AFD-4574-BB20-E1C86079BCCD}">
  <ds:schemaRefs>
    <ds:schemaRef ds:uri="http://schemas.microsoft.com/office/2006/metadata/properties"/>
    <ds:schemaRef ds:uri="http://schemas.microsoft.com/office/infopath/2007/PartnerControls"/>
    <ds:schemaRef ds:uri="2e5bb04e-596e-45bd-9003-43ca78b1ba16"/>
  </ds:schemaRefs>
</ds:datastoreItem>
</file>

<file path=customXml/itemProps5.xml><?xml version="1.0" encoding="utf-8"?>
<ds:datastoreItem xmlns:ds="http://schemas.openxmlformats.org/officeDocument/2006/customXml" ds:itemID="{0D85B65B-2733-477B-BBE0-9BA86CEB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8968</Words>
  <Characters>5112</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publiskas personas kapitālsabiedrību un publiskas personas kapitālsabiedrību un publiski privāto kapitālsabiedrību valdes un padomes locekļu skaitu atbilstoši kapitālsabiedrības lielumu raksturojošiem rā</vt:lpstr>
      <vt:lpstr>Likumprojekta „Grozījumi Gada pārskatu likumā"</vt:lpstr>
    </vt:vector>
  </TitlesOfParts>
  <Manager>P.Vilks</Manager>
  <Company>PKC</Company>
  <LinksUpToDate>false</LinksUpToDate>
  <CharactersWithSpaces>14052</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publiskas personas kapitālsabiedrību un publiskas personas kapitālsabiedrību un publiski privāto kapitālsabiedrību valdes un padomes locekļu skaitu atbilstoši kapitālsabiedrības lielumu raksturojošiem rādītājiem”</dc:title>
  <dc:subject>Anotācija</dc:subject>
  <dc:creator>Vladislavs Vesperis, tel. 67082812, e-pasts - vladislavs.vesperis@pkc.mk.gov.lv</dc:creator>
  <cp:lastModifiedBy>Laimdota Adlere</cp:lastModifiedBy>
  <cp:revision>2</cp:revision>
  <cp:lastPrinted>2015-10-15T09:21:00Z</cp:lastPrinted>
  <dcterms:created xsi:type="dcterms:W3CDTF">2015-10-15T09:22:00Z</dcterms:created>
  <dcterms:modified xsi:type="dcterms:W3CDTF">2015-10-15T09:22:00Z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