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1" w:rsidRPr="00B26271" w:rsidRDefault="00B26271" w:rsidP="00B26271">
      <w:pPr>
        <w:snapToGrid/>
        <w:spacing w:before="100" w:beforeAutospacing="1" w:after="100" w:afterAutospacing="1"/>
        <w:jc w:val="center"/>
        <w:outlineLvl w:val="4"/>
        <w:rPr>
          <w:b/>
          <w:bCs/>
          <w:sz w:val="20"/>
          <w:szCs w:val="20"/>
          <w:lang w:val="lv-LV" w:eastAsia="lv-LV"/>
        </w:rPr>
      </w:pPr>
      <w:r w:rsidRPr="00B26271">
        <w:rPr>
          <w:b/>
          <w:bCs/>
          <w:sz w:val="20"/>
          <w:szCs w:val="20"/>
          <w:lang w:val="lv-LV" w:eastAsia="lv-LV"/>
        </w:rPr>
        <w:t>DECISION II/14 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> 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center"/>
        <w:outlineLvl w:val="4"/>
        <w:rPr>
          <w:b/>
          <w:bCs/>
          <w:sz w:val="20"/>
          <w:szCs w:val="20"/>
          <w:lang w:val="lv-LV" w:eastAsia="lv-LV"/>
        </w:rPr>
      </w:pPr>
      <w:r w:rsidRPr="00B26271">
        <w:rPr>
          <w:b/>
          <w:bCs/>
          <w:sz w:val="20"/>
          <w:szCs w:val="20"/>
          <w:lang w:val="lv-LV" w:eastAsia="lv-LV"/>
        </w:rPr>
        <w:t>AMENDMENT TO THE ESPOO CONVENTION 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i/>
          <w:iCs/>
          <w:lang w:val="lv-LV" w:eastAsia="lv-LV"/>
        </w:rPr>
        <w:t>The</w:t>
      </w:r>
      <w:proofErr w:type="spellEnd"/>
      <w:r w:rsidRPr="00B26271">
        <w:rPr>
          <w:i/>
          <w:iCs/>
          <w:lang w:val="lv-LV" w:eastAsia="lv-LV"/>
        </w:rPr>
        <w:t xml:space="preserve"> </w:t>
      </w:r>
      <w:proofErr w:type="spellStart"/>
      <w:r w:rsidRPr="00B26271">
        <w:rPr>
          <w:i/>
          <w:iCs/>
          <w:lang w:val="lv-LV" w:eastAsia="lv-LV"/>
        </w:rPr>
        <w:t>Meeting</w:t>
      </w:r>
      <w:proofErr w:type="spellEnd"/>
      <w:r w:rsidRPr="00B26271">
        <w:rPr>
          <w:i/>
          <w:iCs/>
          <w:lang w:val="lv-LV" w:eastAsia="lv-LV"/>
        </w:rPr>
        <w:t>,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i/>
          <w:iCs/>
          <w:lang w:val="lv-LV" w:eastAsia="lv-LV"/>
        </w:rPr>
        <w:t>Wishing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modify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Espoo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with</w:t>
      </w:r>
      <w:proofErr w:type="spellEnd"/>
      <w:r w:rsidRPr="00B26271">
        <w:rPr>
          <w:lang w:val="lv-LV" w:eastAsia="lv-LV"/>
        </w:rPr>
        <w:t xml:space="preserve"> a </w:t>
      </w:r>
      <w:proofErr w:type="spellStart"/>
      <w:r w:rsidRPr="00B26271">
        <w:rPr>
          <w:lang w:val="lv-LV" w:eastAsia="lv-LV"/>
        </w:rPr>
        <w:t>view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clarifying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public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may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participate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procedures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under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includes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civil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society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and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particular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nongovernmental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organizations</w:t>
      </w:r>
      <w:proofErr w:type="spellEnd"/>
      <w:r w:rsidRPr="00B26271">
        <w:rPr>
          <w:lang w:val="lv-LV" w:eastAsia="lv-LV"/>
        </w:rPr>
        <w:t>, 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i/>
          <w:iCs/>
          <w:lang w:val="lv-LV" w:eastAsia="lv-LV"/>
        </w:rPr>
        <w:t>Recalling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13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Oslo </w:t>
      </w:r>
      <w:proofErr w:type="spellStart"/>
      <w:r w:rsidRPr="00B26271">
        <w:rPr>
          <w:lang w:val="lv-LV" w:eastAsia="lv-LV"/>
        </w:rPr>
        <w:t>Declaration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Ministers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Environment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and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European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Community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Commissioner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for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Environment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assembled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at</w:t>
      </w:r>
      <w:proofErr w:type="spellEnd"/>
      <w:r w:rsidRPr="00B26271">
        <w:rPr>
          <w:lang w:val="lv-LV" w:eastAsia="lv-LV"/>
        </w:rPr>
        <w:t xml:space="preserve"> Oslo </w:t>
      </w:r>
      <w:proofErr w:type="spellStart"/>
      <w:r w:rsidRPr="00B26271">
        <w:rPr>
          <w:lang w:val="lv-LV" w:eastAsia="lv-LV"/>
        </w:rPr>
        <w:t>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occasion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first </w:t>
      </w:r>
      <w:bookmarkStart w:id="0" w:name="_GoBack"/>
      <w:bookmarkEnd w:id="0"/>
      <w:proofErr w:type="spellStart"/>
      <w:r w:rsidRPr="00B26271">
        <w:rPr>
          <w:lang w:val="lv-LV" w:eastAsia="lv-LV"/>
        </w:rPr>
        <w:t>meeting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Espoo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,  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i/>
          <w:iCs/>
          <w:lang w:val="lv-LV" w:eastAsia="lv-LV"/>
        </w:rPr>
        <w:t>Wishing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allow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States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situated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outside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UN/ECE </w:t>
      </w:r>
      <w:proofErr w:type="spellStart"/>
      <w:r w:rsidRPr="00B26271">
        <w:rPr>
          <w:lang w:val="lv-LV" w:eastAsia="lv-LV"/>
        </w:rPr>
        <w:t>region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become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,  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i/>
          <w:iCs/>
          <w:lang w:val="lv-LV" w:eastAsia="lv-LV"/>
        </w:rPr>
        <w:t>Adopts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following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amendments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: 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 xml:space="preserve">(a) At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end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Article</w:t>
      </w:r>
      <w:proofErr w:type="spellEnd"/>
      <w:r w:rsidRPr="00B26271">
        <w:rPr>
          <w:lang w:val="lv-LV" w:eastAsia="lv-LV"/>
        </w:rPr>
        <w:t xml:space="preserve"> 1 (x),</w:t>
      </w:r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after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persons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insert</w:t>
      </w:r>
      <w:proofErr w:type="spellEnd"/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lang w:val="lv-LV" w:eastAsia="lv-LV"/>
        </w:rPr>
        <w:t>and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accordance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with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national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legislation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practice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their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associations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organizations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groups</w:t>
      </w:r>
      <w:proofErr w:type="spellEnd"/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 xml:space="preserve">(b)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Article</w:t>
      </w:r>
      <w:proofErr w:type="spellEnd"/>
      <w:r w:rsidRPr="00B26271">
        <w:rPr>
          <w:lang w:val="lv-LV" w:eastAsia="lv-LV"/>
        </w:rPr>
        <w:t xml:space="preserve"> 17, </w:t>
      </w:r>
      <w:proofErr w:type="spellStart"/>
      <w:r w:rsidRPr="00B26271">
        <w:rPr>
          <w:lang w:val="lv-LV" w:eastAsia="lv-LV"/>
        </w:rPr>
        <w:t>after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2, </w:t>
      </w:r>
      <w:proofErr w:type="spellStart"/>
      <w:r w:rsidRPr="00B26271">
        <w:rPr>
          <w:lang w:val="lv-LV" w:eastAsia="lv-LV"/>
        </w:rPr>
        <w:t>insert</w:t>
      </w:r>
      <w:proofErr w:type="spellEnd"/>
      <w:r w:rsidRPr="00B26271">
        <w:rPr>
          <w:lang w:val="lv-LV" w:eastAsia="lv-LV"/>
        </w:rPr>
        <w:t xml:space="preserve"> a </w:t>
      </w:r>
      <w:proofErr w:type="spellStart"/>
      <w:r w:rsidRPr="00B26271">
        <w:rPr>
          <w:lang w:val="lv-LV" w:eastAsia="lv-LV"/>
        </w:rPr>
        <w:t>new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reading</w:t>
      </w:r>
      <w:proofErr w:type="spellEnd"/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 xml:space="preserve">3. </w:t>
      </w:r>
      <w:proofErr w:type="spellStart"/>
      <w:r w:rsidRPr="00B26271">
        <w:rPr>
          <w:lang w:val="lv-LV" w:eastAsia="lv-LV"/>
        </w:rPr>
        <w:t>Any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other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State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not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referred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2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this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Article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that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is</w:t>
      </w:r>
      <w:proofErr w:type="spellEnd"/>
      <w:r w:rsidRPr="00B26271">
        <w:rPr>
          <w:lang w:val="lv-LV" w:eastAsia="lv-LV"/>
        </w:rPr>
        <w:t xml:space="preserve"> a </w:t>
      </w:r>
      <w:proofErr w:type="spellStart"/>
      <w:r w:rsidRPr="00B26271">
        <w:rPr>
          <w:lang w:val="lv-LV" w:eastAsia="lv-LV"/>
        </w:rPr>
        <w:t>Member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United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Nations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may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accede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upon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approval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by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Meeting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.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Meeting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shall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not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consider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approve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any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request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for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accession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by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such</w:t>
      </w:r>
      <w:proofErr w:type="spellEnd"/>
      <w:r w:rsidRPr="00B26271">
        <w:rPr>
          <w:lang w:val="lv-LV" w:eastAsia="lv-LV"/>
        </w:rPr>
        <w:t xml:space="preserve"> a </w:t>
      </w:r>
      <w:proofErr w:type="spellStart"/>
      <w:r w:rsidRPr="00B26271">
        <w:rPr>
          <w:lang w:val="lv-LV" w:eastAsia="lv-LV"/>
        </w:rPr>
        <w:t>State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until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this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has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entered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into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force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for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all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States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and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organizations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were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on</w:t>
      </w:r>
      <w:proofErr w:type="spellEnd"/>
      <w:r w:rsidRPr="00B26271">
        <w:rPr>
          <w:lang w:val="lv-LV" w:eastAsia="lv-LV"/>
        </w:rPr>
        <w:t xml:space="preserve"> 27 </w:t>
      </w:r>
      <w:proofErr w:type="spellStart"/>
      <w:r w:rsidRPr="00B26271">
        <w:rPr>
          <w:lang w:val="lv-LV" w:eastAsia="lv-LV"/>
        </w:rPr>
        <w:t>February</w:t>
      </w:r>
      <w:proofErr w:type="spellEnd"/>
      <w:r w:rsidRPr="00B26271">
        <w:rPr>
          <w:lang w:val="lv-LV" w:eastAsia="lv-LV"/>
        </w:rPr>
        <w:t xml:space="preserve"> 2001. 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proofErr w:type="spellStart"/>
      <w:r w:rsidRPr="00B26271">
        <w:rPr>
          <w:b/>
          <w:bCs/>
          <w:lang w:val="lv-LV" w:eastAsia="lv-LV"/>
        </w:rPr>
        <w:t>and</w:t>
      </w:r>
      <w:proofErr w:type="spellEnd"/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renumber</w:t>
      </w:r>
      <w:proofErr w:type="spellEnd"/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the</w:t>
      </w:r>
      <w:proofErr w:type="spellEnd"/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remaining</w:t>
      </w:r>
      <w:proofErr w:type="spellEnd"/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paragraphs</w:t>
      </w:r>
      <w:proofErr w:type="spellEnd"/>
      <w:r w:rsidRPr="00B26271">
        <w:rPr>
          <w:b/>
          <w:bCs/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accordingly</w:t>
      </w:r>
      <w:proofErr w:type="spellEnd"/>
      <w:r w:rsidRPr="00B26271">
        <w:rPr>
          <w:b/>
          <w:bCs/>
          <w:lang w:val="lv-LV" w:eastAsia="lv-LV"/>
        </w:rPr>
        <w:t>.</w:t>
      </w:r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 xml:space="preserve">(c) At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end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Article</w:t>
      </w:r>
      <w:proofErr w:type="spellEnd"/>
      <w:r w:rsidRPr="00B26271">
        <w:rPr>
          <w:lang w:val="lv-LV" w:eastAsia="lv-LV"/>
        </w:rPr>
        <w:t xml:space="preserve"> 17, </w:t>
      </w:r>
      <w:proofErr w:type="spellStart"/>
      <w:r w:rsidRPr="00B26271">
        <w:rPr>
          <w:lang w:val="lv-LV" w:eastAsia="lv-LV"/>
        </w:rPr>
        <w:t>insert</w:t>
      </w:r>
      <w:proofErr w:type="spellEnd"/>
      <w:r w:rsidRPr="00B26271">
        <w:rPr>
          <w:lang w:val="lv-LV" w:eastAsia="lv-LV"/>
        </w:rPr>
        <w:t xml:space="preserve"> a </w:t>
      </w:r>
      <w:proofErr w:type="spellStart"/>
      <w:r w:rsidRPr="00B26271">
        <w:rPr>
          <w:lang w:val="lv-LV" w:eastAsia="lv-LV"/>
        </w:rPr>
        <w:t>new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paragraph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b/>
          <w:bCs/>
          <w:lang w:val="lv-LV" w:eastAsia="lv-LV"/>
        </w:rPr>
        <w:t>reading</w:t>
      </w:r>
      <w:proofErr w:type="spellEnd"/>
    </w:p>
    <w:p w:rsidR="00B26271" w:rsidRPr="00B26271" w:rsidRDefault="00B26271" w:rsidP="00B26271">
      <w:pPr>
        <w:snapToGrid/>
        <w:spacing w:before="100" w:beforeAutospacing="1" w:after="100" w:afterAutospacing="1"/>
        <w:jc w:val="left"/>
        <w:rPr>
          <w:lang w:val="lv-LV" w:eastAsia="lv-LV"/>
        </w:rPr>
      </w:pPr>
      <w:r w:rsidRPr="00B26271">
        <w:rPr>
          <w:lang w:val="lv-LV" w:eastAsia="lv-LV"/>
        </w:rPr>
        <w:t xml:space="preserve">7. </w:t>
      </w:r>
      <w:proofErr w:type="spellStart"/>
      <w:r w:rsidRPr="00B26271">
        <w:rPr>
          <w:lang w:val="lv-LV" w:eastAsia="lv-LV"/>
        </w:rPr>
        <w:t>Any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State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organization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ratifies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accepts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approves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this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shall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be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deemed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simultaneously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ratify</w:t>
      </w:r>
      <w:proofErr w:type="spellEnd"/>
      <w:r w:rsidRPr="00B26271">
        <w:rPr>
          <w:lang w:val="lv-LV" w:eastAsia="lv-LV"/>
        </w:rPr>
        <w:t xml:space="preserve">, </w:t>
      </w:r>
      <w:proofErr w:type="spellStart"/>
      <w:r w:rsidRPr="00B26271">
        <w:rPr>
          <w:lang w:val="lv-LV" w:eastAsia="lv-LV"/>
        </w:rPr>
        <w:t>accept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or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approve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amendment</w:t>
      </w:r>
      <w:proofErr w:type="spellEnd"/>
      <w:r w:rsidRPr="00B26271">
        <w:rPr>
          <w:lang w:val="lv-LV" w:eastAsia="lv-LV"/>
        </w:rPr>
        <w:t xml:space="preserve"> to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Convention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set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out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in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decision</w:t>
      </w:r>
      <w:proofErr w:type="spellEnd"/>
      <w:r w:rsidRPr="00B26271">
        <w:rPr>
          <w:lang w:val="lv-LV" w:eastAsia="lv-LV"/>
        </w:rPr>
        <w:t xml:space="preserve"> II/14 </w:t>
      </w:r>
      <w:proofErr w:type="spellStart"/>
      <w:r w:rsidRPr="00B26271">
        <w:rPr>
          <w:lang w:val="lv-LV" w:eastAsia="lv-LV"/>
        </w:rPr>
        <w:t>taken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at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second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meeting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of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the</w:t>
      </w:r>
      <w:proofErr w:type="spellEnd"/>
      <w:r w:rsidRPr="00B26271">
        <w:rPr>
          <w:lang w:val="lv-LV" w:eastAsia="lv-LV"/>
        </w:rPr>
        <w:t xml:space="preserve"> </w:t>
      </w:r>
      <w:proofErr w:type="spellStart"/>
      <w:r w:rsidRPr="00B26271">
        <w:rPr>
          <w:lang w:val="lv-LV" w:eastAsia="lv-LV"/>
        </w:rPr>
        <w:t>Parties</w:t>
      </w:r>
      <w:proofErr w:type="spellEnd"/>
      <w:r w:rsidRPr="00B26271">
        <w:rPr>
          <w:lang w:val="lv-LV" w:eastAsia="lv-LV"/>
        </w:rPr>
        <w:t xml:space="preserve">. </w:t>
      </w:r>
    </w:p>
    <w:p w:rsidR="00E76076" w:rsidRPr="00B26271" w:rsidRDefault="00E76076" w:rsidP="00B26271">
      <w:pPr>
        <w:rPr>
          <w:lang w:val="lv-LV"/>
        </w:rPr>
      </w:pPr>
    </w:p>
    <w:sectPr w:rsidR="00E76076" w:rsidRPr="00B2627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5D" w:rsidRDefault="0040095D" w:rsidP="0040095D">
      <w:pPr>
        <w:spacing w:before="0" w:after="0"/>
      </w:pPr>
      <w:r>
        <w:separator/>
      </w:r>
    </w:p>
  </w:endnote>
  <w:endnote w:type="continuationSeparator" w:id="0">
    <w:p w:rsidR="0040095D" w:rsidRDefault="0040095D" w:rsidP="004009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5D" w:rsidRPr="0040095D" w:rsidRDefault="00CB5021" w:rsidP="0040095D">
    <w:pPr>
      <w:rPr>
        <w:sz w:val="20"/>
        <w:szCs w:val="20"/>
      </w:rPr>
    </w:pPr>
    <w:r>
      <w:rPr>
        <w:sz w:val="20"/>
        <w:szCs w:val="20"/>
      </w:rPr>
      <w:t>VARAMPIEL3</w:t>
    </w:r>
    <w:r w:rsidR="000C0AFA">
      <w:rPr>
        <w:sz w:val="20"/>
        <w:szCs w:val="20"/>
      </w:rPr>
      <w:t>_31</w:t>
    </w:r>
    <w:r w:rsidR="0040095D" w:rsidRPr="0040095D">
      <w:rPr>
        <w:sz w:val="20"/>
        <w:szCs w:val="20"/>
      </w:rPr>
      <w:t xml:space="preserve">0815_ESPO_EN; </w:t>
    </w:r>
    <w:hyperlink r:id="rId1" w:tgtFrame="_blank" w:history="1"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1991.gada 25.februāra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Espo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Konvencijas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par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ietekmes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uz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vidi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novērtējumu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pārrobežu</w:t>
      </w:r>
      <w:proofErr w:type="spellEnd"/>
      <w:r w:rsidR="0040095D" w:rsidRPr="0040095D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="0040095D" w:rsidRPr="0040095D">
        <w:rPr>
          <w:rStyle w:val="Hyperlink"/>
          <w:color w:val="auto"/>
          <w:sz w:val="20"/>
          <w:szCs w:val="20"/>
          <w:u w:val="none"/>
        </w:rPr>
        <w:t>kontekstā</w:t>
      </w:r>
      <w:proofErr w:type="spellEnd"/>
    </w:hyperlink>
    <w:r w:rsidR="0040095D" w:rsidRPr="0040095D">
      <w:rPr>
        <w:sz w:val="20"/>
        <w:szCs w:val="20"/>
      </w:rPr>
      <w:t xml:space="preserve"> </w:t>
    </w:r>
    <w:proofErr w:type="spellStart"/>
    <w:r w:rsidR="0040095D" w:rsidRPr="0040095D">
      <w:rPr>
        <w:sz w:val="20"/>
        <w:szCs w:val="20"/>
      </w:rPr>
      <w:t>pirmais</w:t>
    </w:r>
    <w:proofErr w:type="spellEnd"/>
    <w:r w:rsidR="0040095D" w:rsidRPr="0040095D">
      <w:rPr>
        <w:sz w:val="20"/>
        <w:szCs w:val="20"/>
      </w:rPr>
      <w:t xml:space="preserve"> </w:t>
    </w:r>
    <w:proofErr w:type="spellStart"/>
    <w:r w:rsidR="0040095D" w:rsidRPr="0040095D">
      <w:rPr>
        <w:sz w:val="20"/>
        <w:szCs w:val="20"/>
      </w:rPr>
      <w:t>grozījums</w:t>
    </w:r>
    <w:proofErr w:type="spellEnd"/>
  </w:p>
  <w:p w:rsidR="0040095D" w:rsidRDefault="0040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5D" w:rsidRDefault="0040095D" w:rsidP="0040095D">
      <w:pPr>
        <w:spacing w:before="0" w:after="0"/>
      </w:pPr>
      <w:r>
        <w:separator/>
      </w:r>
    </w:p>
  </w:footnote>
  <w:footnote w:type="continuationSeparator" w:id="0">
    <w:p w:rsidR="0040095D" w:rsidRDefault="0040095D" w:rsidP="0040095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686E"/>
    <w:multiLevelType w:val="singleLevel"/>
    <w:tmpl w:val="6292DC68"/>
    <w:name w:val="Considérant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DC"/>
    <w:rsid w:val="000C0AFA"/>
    <w:rsid w:val="00114201"/>
    <w:rsid w:val="00176FBB"/>
    <w:rsid w:val="001B508B"/>
    <w:rsid w:val="00213C4C"/>
    <w:rsid w:val="0040095D"/>
    <w:rsid w:val="004524DC"/>
    <w:rsid w:val="00954B3F"/>
    <w:rsid w:val="00B26271"/>
    <w:rsid w:val="00CB5021"/>
    <w:rsid w:val="00E76076"/>
    <w:rsid w:val="00E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D723-1EBE-4ACA-9360-87FAE915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DC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B26271"/>
    <w:pPr>
      <w:snapToGrid/>
      <w:spacing w:before="100" w:beforeAutospacing="1" w:after="100" w:afterAutospacing="1"/>
      <w:jc w:val="left"/>
      <w:outlineLvl w:val="4"/>
    </w:pPr>
    <w:rPr>
      <w:b/>
      <w:bCs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ash1">
    <w:name w:val="List Dash 1"/>
    <w:basedOn w:val="Normal"/>
    <w:rsid w:val="004524DC"/>
    <w:pPr>
      <w:numPr>
        <w:numId w:val="1"/>
      </w:numPr>
    </w:pPr>
  </w:style>
  <w:style w:type="paragraph" w:customStyle="1" w:styleId="Annexetitreacte">
    <w:name w:val="Annexe titre (acte)"/>
    <w:basedOn w:val="Normal"/>
    <w:next w:val="Normal"/>
    <w:rsid w:val="004524DC"/>
    <w:pPr>
      <w:jc w:val="center"/>
    </w:pPr>
    <w:rPr>
      <w:b/>
      <w:bCs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2627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bodytext">
    <w:name w:val="bodytext"/>
    <w:basedOn w:val="Normal"/>
    <w:rsid w:val="00B26271"/>
    <w:pPr>
      <w:snapToGrid/>
      <w:spacing w:before="100" w:beforeAutospacing="1" w:after="100" w:afterAutospacing="1"/>
      <w:jc w:val="left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0095D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09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095D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09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semiHidden/>
    <w:unhideWhenUsed/>
    <w:rsid w:val="00400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ikumi.lv/ta/id/213483-1991-gada-25-februara-espo-konvencija-par-ietekmes-uz-vidi-novertejumu-parrobezu-kontek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Sandija Balka</dc:creator>
  <cp:keywords/>
  <dc:description/>
  <cp:lastModifiedBy>Sandija Balka</cp:lastModifiedBy>
  <cp:revision>5</cp:revision>
  <dcterms:created xsi:type="dcterms:W3CDTF">2015-08-17T13:24:00Z</dcterms:created>
  <dcterms:modified xsi:type="dcterms:W3CDTF">2015-09-02T10:45:00Z</dcterms:modified>
</cp:coreProperties>
</file>