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82" w:rsidRPr="007F1309" w:rsidRDefault="00D24D82" w:rsidP="00D24D82">
      <w:pPr>
        <w:spacing w:after="60"/>
        <w:jc w:val="right"/>
        <w:rPr>
          <w:rFonts w:ascii="Times New Roman" w:eastAsia="Times New Roman" w:hAnsi="Times New Roman"/>
          <w:b/>
          <w:sz w:val="28"/>
          <w:szCs w:val="28"/>
          <w:lang w:val="lv-LV" w:eastAsia="lv-LV"/>
        </w:rPr>
      </w:pPr>
      <w:r w:rsidRPr="007F1309">
        <w:rPr>
          <w:rFonts w:ascii="Times New Roman" w:eastAsia="Times New Roman" w:hAnsi="Times New Roman"/>
          <w:i/>
          <w:sz w:val="24"/>
          <w:szCs w:val="24"/>
          <w:lang w:val="lv-LV" w:eastAsia="lv-LV"/>
        </w:rPr>
        <w:t>Pielikums</w:t>
      </w:r>
      <w:r w:rsidRPr="007F1309">
        <w:rPr>
          <w:rFonts w:ascii="Times New Roman" w:eastAsia="Times New Roman" w:hAnsi="Times New Roman"/>
          <w:b/>
          <w:sz w:val="28"/>
          <w:szCs w:val="28"/>
          <w:lang w:val="lv-LV" w:eastAsia="lv-LV"/>
        </w:rPr>
        <w:t xml:space="preserve"> </w:t>
      </w:r>
    </w:p>
    <w:p w:rsidR="00D24D82" w:rsidRPr="007F1309" w:rsidRDefault="00D24D82" w:rsidP="00D24D82">
      <w:pPr>
        <w:spacing w:after="60"/>
        <w:jc w:val="right"/>
        <w:rPr>
          <w:rFonts w:ascii="Times New Roman" w:eastAsia="Times New Roman" w:hAnsi="Times New Roman"/>
          <w:b/>
          <w:sz w:val="28"/>
          <w:szCs w:val="28"/>
          <w:lang w:val="lv-LV" w:eastAsia="lv-LV"/>
        </w:rPr>
      </w:pPr>
    </w:p>
    <w:p w:rsidR="00D24D82" w:rsidRPr="007F1309" w:rsidRDefault="00D24D82" w:rsidP="00D24D82">
      <w:pPr>
        <w:spacing w:after="60"/>
        <w:jc w:val="center"/>
        <w:rPr>
          <w:rFonts w:ascii="Times New Roman" w:eastAsia="Calibri" w:hAnsi="Times New Roman"/>
          <w:b/>
          <w:sz w:val="26"/>
          <w:szCs w:val="26"/>
          <w:lang w:val="lv-LV"/>
        </w:rPr>
      </w:pPr>
      <w:r w:rsidRPr="007F1309">
        <w:rPr>
          <w:rFonts w:ascii="Times New Roman" w:eastAsia="Calibri" w:hAnsi="Times New Roman"/>
          <w:b/>
          <w:sz w:val="26"/>
          <w:szCs w:val="26"/>
          <w:lang w:val="lv-LV"/>
        </w:rPr>
        <w:t>Integrēto teritoriālo investīciju specifisko atbalsta mērķu finansējuma kopējais apjoms katram nacionālās nozīmes attīstības centram un kopējie rezultatīvie rādītāji nacionālas nozīmes attīstības centru grupai</w:t>
      </w:r>
    </w:p>
    <w:p w:rsidR="00D24D82" w:rsidRPr="007F1309" w:rsidRDefault="00D24D82" w:rsidP="00D24D82">
      <w:pPr>
        <w:spacing w:after="60"/>
        <w:jc w:val="right"/>
        <w:rPr>
          <w:rFonts w:ascii="Times New Roman" w:eastAsia="Times New Roman" w:hAnsi="Times New Roman"/>
          <w:i/>
          <w:sz w:val="24"/>
          <w:szCs w:val="24"/>
          <w:lang w:val="lv-LV" w:eastAsia="lv-LV"/>
        </w:rPr>
      </w:pPr>
    </w:p>
    <w:p w:rsidR="00D24D82" w:rsidRPr="007F1309" w:rsidRDefault="00D24D82" w:rsidP="00D24D82">
      <w:pPr>
        <w:spacing w:after="60"/>
        <w:jc w:val="center"/>
        <w:rPr>
          <w:rFonts w:ascii="Times New Roman" w:eastAsia="Times New Roman" w:hAnsi="Times New Roman"/>
          <w:b/>
          <w:sz w:val="24"/>
          <w:szCs w:val="24"/>
          <w:lang w:val="lv-LV" w:eastAsia="lv-LV"/>
        </w:rPr>
      </w:pPr>
      <w:r w:rsidRPr="007F1309">
        <w:rPr>
          <w:rFonts w:ascii="Times New Roman" w:eastAsia="Times New Roman" w:hAnsi="Times New Roman"/>
          <w:b/>
          <w:sz w:val="24"/>
          <w:szCs w:val="24"/>
          <w:lang w:val="lv-LV" w:eastAsia="lv-LV"/>
        </w:rPr>
        <w:t xml:space="preserve">I </w:t>
      </w:r>
      <w:r w:rsidRPr="007F1309">
        <w:rPr>
          <w:rFonts w:ascii="Times New Roman" w:eastAsia="Calibri" w:hAnsi="Times New Roman"/>
          <w:b/>
          <w:sz w:val="26"/>
          <w:szCs w:val="26"/>
          <w:lang w:val="lv-LV"/>
        </w:rPr>
        <w:t>Integrēto teritoriālo investīciju specifisko atbalsta mērķu finansējuma kopējais apjoms katram nacionālās nozīmes attīstības centram</w:t>
      </w:r>
      <w:r w:rsidRPr="007F1309">
        <w:rPr>
          <w:rFonts w:ascii="Times New Roman" w:eastAsia="Calibri" w:hAnsi="Times New Roman"/>
          <w:b/>
          <w:sz w:val="26"/>
          <w:vertAlign w:val="superscript"/>
          <w:lang w:val="lv-LV"/>
        </w:rPr>
        <w:footnoteReference w:id="1"/>
      </w:r>
      <w:r w:rsidRPr="007F1309">
        <w:rPr>
          <w:rFonts w:ascii="Times New Roman" w:eastAsia="Calibri" w:hAnsi="Times New Roman"/>
          <w:b/>
          <w:sz w:val="26"/>
          <w:vertAlign w:val="superscript"/>
          <w:lang w:val="lv-LV"/>
        </w:rPr>
        <w:footnoteReference w:id="2"/>
      </w:r>
    </w:p>
    <w:p w:rsidR="00D24D82" w:rsidRPr="007F1309" w:rsidRDefault="00D24D82" w:rsidP="00D24D82">
      <w:pPr>
        <w:spacing w:after="60"/>
        <w:jc w:val="center"/>
        <w:rPr>
          <w:rFonts w:ascii="Times New Roman" w:eastAsia="Times New Roman" w:hAnsi="Times New Roman"/>
          <w:sz w:val="24"/>
          <w:szCs w:val="24"/>
          <w:lang w:val="lv-LV" w:eastAsia="lv-LV"/>
        </w:rPr>
      </w:pP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843"/>
        <w:gridCol w:w="3075"/>
      </w:tblGrid>
      <w:tr w:rsidR="00D24D82" w:rsidRPr="007F1309" w:rsidTr="00544ADD">
        <w:trPr>
          <w:jc w:val="center"/>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 xml:space="preserve">Nacionālās nozīmes attīstības centrs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Specifiskais atbalsta mērķis/</w:t>
            </w:r>
          </w:p>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pasākums</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 xml:space="preserve">Kopējais ERAF finansējuma apjoms </w:t>
            </w: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Daugavpils pilsēta</w:t>
            </w:r>
          </w:p>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5707" w:rsidRPr="007F1309" w:rsidRDefault="0037392B" w:rsidP="00AA5707">
            <w:pPr>
              <w:jc w:val="center"/>
              <w:rPr>
                <w:rFonts w:ascii="Times New Roman" w:hAnsi="Times New Roman"/>
                <w:sz w:val="24"/>
                <w:szCs w:val="32"/>
              </w:rPr>
            </w:pPr>
            <w:r w:rsidRPr="007F1309">
              <w:rPr>
                <w:rFonts w:ascii="Times New Roman" w:hAnsi="Times New Roman"/>
                <w:sz w:val="24"/>
                <w:szCs w:val="32"/>
              </w:rPr>
              <w:t>34 366 064 euro</w:t>
            </w:r>
          </w:p>
          <w:p w:rsidR="00AA5707" w:rsidRPr="007F1309" w:rsidRDefault="00AA5707" w:rsidP="00D24D82">
            <w:pPr>
              <w:jc w:val="center"/>
              <w:rPr>
                <w:rFonts w:ascii="Times New Roman" w:eastAsia="Calibri" w:hAnsi="Times New Roman"/>
                <w:bCs/>
                <w:sz w:val="24"/>
                <w:szCs w:val="36"/>
                <w:lang w:val="lv-LV"/>
              </w:rPr>
            </w:pP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Liepājas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33 378 514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Rēzeknes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25 522 356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Jelgavas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5707" w:rsidRPr="007F1309" w:rsidRDefault="00AA5707" w:rsidP="00AA5707">
            <w:pPr>
              <w:jc w:val="center"/>
              <w:rPr>
                <w:rFonts w:ascii="Times New Roman" w:eastAsia="Calibri" w:hAnsi="Times New Roman"/>
                <w:bCs/>
                <w:sz w:val="24"/>
                <w:szCs w:val="36"/>
                <w:lang w:val="lv-LV"/>
              </w:rPr>
            </w:pPr>
          </w:p>
          <w:p w:rsidR="00AA5707" w:rsidRPr="007F1309" w:rsidRDefault="0037392B" w:rsidP="00AA5707">
            <w:pPr>
              <w:jc w:val="center"/>
              <w:rPr>
                <w:rFonts w:ascii="Times New Roman" w:hAnsi="Times New Roman"/>
                <w:sz w:val="24"/>
                <w:szCs w:val="24"/>
              </w:rPr>
            </w:pPr>
            <w:r w:rsidRPr="007F1309">
              <w:rPr>
                <w:rFonts w:ascii="Times New Roman" w:hAnsi="Times New Roman"/>
                <w:sz w:val="24"/>
                <w:szCs w:val="24"/>
              </w:rPr>
              <w:t>27 914 114 euro</w:t>
            </w:r>
          </w:p>
          <w:p w:rsidR="00AA5707" w:rsidRPr="007F1309" w:rsidRDefault="00AA5707" w:rsidP="00D24D82">
            <w:pPr>
              <w:jc w:val="center"/>
              <w:rPr>
                <w:rFonts w:ascii="Times New Roman" w:eastAsia="Calibri" w:hAnsi="Times New Roman"/>
                <w:bCs/>
                <w:sz w:val="24"/>
                <w:szCs w:val="36"/>
                <w:lang w:val="lv-LV"/>
              </w:rPr>
            </w:pP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Ventspils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25 522 356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Jūrmalas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25 522 356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Jēkabpils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21 223 822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trHeight w:val="259"/>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Valmieras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5707" w:rsidRPr="007F1309" w:rsidRDefault="00AA5707" w:rsidP="00AA5707">
            <w:pPr>
              <w:jc w:val="center"/>
              <w:rPr>
                <w:rFonts w:ascii="Times New Roman" w:eastAsia="Calibri" w:hAnsi="Times New Roman"/>
                <w:bCs/>
                <w:sz w:val="24"/>
                <w:szCs w:val="36"/>
                <w:lang w:val="lv-LV"/>
              </w:rPr>
            </w:pPr>
          </w:p>
          <w:p w:rsidR="00AA5707" w:rsidRPr="007F1309" w:rsidRDefault="0037392B" w:rsidP="00AA5707">
            <w:pPr>
              <w:jc w:val="center"/>
              <w:rPr>
                <w:rFonts w:ascii="Times New Roman" w:hAnsi="Times New Roman"/>
                <w:sz w:val="24"/>
                <w:szCs w:val="24"/>
              </w:rPr>
            </w:pPr>
            <w:r w:rsidRPr="007F1309">
              <w:rPr>
                <w:rFonts w:ascii="Times New Roman" w:hAnsi="Times New Roman"/>
                <w:sz w:val="24"/>
                <w:szCs w:val="24"/>
              </w:rPr>
              <w:t>21 201 322 euro</w:t>
            </w:r>
          </w:p>
          <w:p w:rsidR="00AA5707" w:rsidRPr="007F1309" w:rsidRDefault="00AA5707" w:rsidP="00D24D82">
            <w:pPr>
              <w:jc w:val="center"/>
              <w:rPr>
                <w:rFonts w:ascii="Times New Roman" w:eastAsia="Calibri" w:hAnsi="Times New Roman"/>
                <w:bCs/>
                <w:sz w:val="24"/>
                <w:szCs w:val="36"/>
                <w:lang w:val="lv-LV"/>
              </w:rPr>
            </w:pP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Rīgas pilsēta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3.3.1.</w:t>
            </w: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bCs/>
                <w:sz w:val="24"/>
                <w:szCs w:val="36"/>
                <w:lang w:val="lv-LV"/>
              </w:rPr>
            </w:pPr>
            <w:r w:rsidRPr="007F1309">
              <w:rPr>
                <w:rFonts w:ascii="Times New Roman" w:eastAsia="Calibri" w:hAnsi="Times New Roman"/>
                <w:bCs/>
                <w:sz w:val="24"/>
                <w:szCs w:val="36"/>
                <w:lang w:val="lv-LV"/>
              </w:rPr>
              <w:t>35 060 104 euro</w:t>
            </w:r>
          </w:p>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5.6.2.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8.1.2.</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8.1.3.</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2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Calibri" w:hAnsi="Times New Roman"/>
                <w:sz w:val="24"/>
                <w:szCs w:val="24"/>
                <w:lang w:val="lv-LV"/>
              </w:rPr>
              <w:t>9.3.1.1.</w:t>
            </w:r>
          </w:p>
        </w:tc>
        <w:tc>
          <w:tcPr>
            <w:tcW w:w="3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D24D82" w:rsidP="00D24D82">
            <w:pPr>
              <w:jc w:val="center"/>
              <w:rPr>
                <w:rFonts w:ascii="Times New Roman" w:eastAsia="Calibri" w:hAnsi="Times New Roman"/>
                <w:sz w:val="24"/>
                <w:szCs w:val="24"/>
                <w:lang w:val="lv-LV"/>
              </w:rPr>
            </w:pPr>
          </w:p>
        </w:tc>
      </w:tr>
      <w:tr w:rsidR="00D24D82" w:rsidRPr="007F1309" w:rsidTr="00544ADD">
        <w:trPr>
          <w:jc w:val="center"/>
        </w:trPr>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D82" w:rsidRPr="007F1309" w:rsidRDefault="00D24D82" w:rsidP="00D24D82">
            <w:pPr>
              <w:jc w:val="center"/>
              <w:rPr>
                <w:rFonts w:ascii="Times New Roman" w:eastAsia="Calibri" w:hAnsi="Times New Roman"/>
                <w:sz w:val="24"/>
                <w:szCs w:val="24"/>
                <w:highlight w:val="yellow"/>
                <w:lang w:val="lv-LV"/>
              </w:rPr>
            </w:pPr>
            <w:r w:rsidRPr="007F1309">
              <w:rPr>
                <w:rFonts w:ascii="Times New Roman" w:eastAsia="Calibri" w:hAnsi="Times New Roman"/>
                <w:sz w:val="24"/>
                <w:szCs w:val="24"/>
                <w:lang w:val="lv-LV"/>
              </w:rPr>
              <w:t>Kopā</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D24D82" w:rsidRPr="007F1309" w:rsidRDefault="00AA5707" w:rsidP="00AA5707">
            <w:pPr>
              <w:jc w:val="center"/>
              <w:rPr>
                <w:rFonts w:ascii="Times New Roman" w:eastAsia="Calibri" w:hAnsi="Times New Roman"/>
                <w:b/>
                <w:sz w:val="24"/>
                <w:szCs w:val="24"/>
              </w:rPr>
            </w:pPr>
            <w:r w:rsidRPr="007F1309">
              <w:rPr>
                <w:rFonts w:ascii="Times New Roman" w:eastAsia="Calibri" w:hAnsi="Times New Roman"/>
                <w:b/>
                <w:bCs/>
                <w:sz w:val="24"/>
                <w:szCs w:val="24"/>
              </w:rPr>
              <w:t>  249 711 008</w:t>
            </w:r>
            <w:r w:rsidR="00D24D82" w:rsidRPr="007F1309">
              <w:rPr>
                <w:rFonts w:ascii="Times New Roman" w:eastAsia="Calibri" w:hAnsi="Times New Roman"/>
                <w:b/>
                <w:bCs/>
                <w:sz w:val="24"/>
                <w:szCs w:val="24"/>
              </w:rPr>
              <w:t xml:space="preserve"> euro*</w:t>
            </w:r>
          </w:p>
        </w:tc>
      </w:tr>
    </w:tbl>
    <w:p w:rsidR="00D24D82" w:rsidRPr="007F1309" w:rsidRDefault="00D24D82" w:rsidP="00D24D82">
      <w:pPr>
        <w:jc w:val="both"/>
        <w:rPr>
          <w:rFonts w:eastAsia="Calibri"/>
          <w:sz w:val="32"/>
          <w:szCs w:val="28"/>
          <w:lang w:val="lv-LV"/>
        </w:rPr>
      </w:pPr>
    </w:p>
    <w:p w:rsidR="00D24D82" w:rsidRPr="007F1309" w:rsidRDefault="00D24D82" w:rsidP="00D24D82">
      <w:pPr>
        <w:spacing w:after="60"/>
        <w:ind w:left="567"/>
        <w:jc w:val="both"/>
        <w:rPr>
          <w:rFonts w:ascii="Times New Roman" w:eastAsia="Calibri" w:hAnsi="Times New Roman"/>
          <w:szCs w:val="28"/>
          <w:lang w:val="lv-LV"/>
        </w:rPr>
      </w:pPr>
      <w:r w:rsidRPr="007F1309">
        <w:rPr>
          <w:rFonts w:ascii="Times New Roman" w:eastAsia="Calibri" w:hAnsi="Times New Roman"/>
          <w:szCs w:val="28"/>
          <w:lang w:val="lv-LV"/>
        </w:rPr>
        <w:t xml:space="preserve">* Kopējais integrēto teritoriālo investīciju (turpmāk – ITI) finansējums ir </w:t>
      </w:r>
      <w:r w:rsidR="0037392B" w:rsidRPr="007F1309">
        <w:rPr>
          <w:rFonts w:ascii="Times New Roman" w:eastAsia="Calibri" w:hAnsi="Times New Roman"/>
          <w:b/>
          <w:bCs/>
          <w:sz w:val="24"/>
          <w:szCs w:val="24"/>
          <w:lang w:val="lv-LV"/>
        </w:rPr>
        <w:t>249</w:t>
      </w:r>
      <w:r w:rsidR="00AA5707" w:rsidRPr="007F1309">
        <w:rPr>
          <w:rFonts w:ascii="Times New Roman" w:eastAsia="Calibri" w:hAnsi="Times New Roman"/>
          <w:b/>
          <w:bCs/>
          <w:sz w:val="24"/>
          <w:szCs w:val="24"/>
          <w:lang w:val="lv-LV"/>
        </w:rPr>
        <w:t> 711 008</w:t>
      </w:r>
      <w:r w:rsidR="0037392B" w:rsidRPr="007F1309">
        <w:rPr>
          <w:rFonts w:ascii="Times New Roman" w:eastAsia="Calibri" w:hAnsi="Times New Roman"/>
          <w:b/>
          <w:bCs/>
          <w:sz w:val="24"/>
          <w:szCs w:val="24"/>
          <w:lang w:val="lv-LV"/>
        </w:rPr>
        <w:t xml:space="preserve"> </w:t>
      </w:r>
      <w:r w:rsidRPr="007F1309">
        <w:rPr>
          <w:rFonts w:ascii="Times New Roman" w:eastAsia="Calibri" w:hAnsi="Times New Roman"/>
          <w:szCs w:val="28"/>
          <w:lang w:val="lv-LV"/>
        </w:rPr>
        <w:t>euro</w:t>
      </w:r>
      <w:r w:rsidR="00D57985" w:rsidRPr="007F1309">
        <w:rPr>
          <w:rFonts w:ascii="Times New Roman" w:eastAsia="Calibri" w:hAnsi="Times New Roman"/>
          <w:szCs w:val="28"/>
          <w:lang w:val="lv-LV"/>
        </w:rPr>
        <w:t xml:space="preserve">, t.sk. </w:t>
      </w:r>
      <w:r w:rsidRPr="007F1309">
        <w:rPr>
          <w:rFonts w:ascii="Times New Roman" w:eastAsia="Calibri" w:hAnsi="Times New Roman"/>
          <w:szCs w:val="28"/>
          <w:lang w:val="lv-LV"/>
        </w:rPr>
        <w:t xml:space="preserve"> 53 671 164 euro piešķirtais virssaistību finansējums</w:t>
      </w:r>
      <w:r w:rsidR="00D57985" w:rsidRPr="007F1309">
        <w:rPr>
          <w:rFonts w:ascii="Times New Roman" w:eastAsia="Calibri" w:hAnsi="Times New Roman"/>
          <w:szCs w:val="28"/>
          <w:lang w:val="lv-LV"/>
        </w:rPr>
        <w:t xml:space="preserve">. </w:t>
      </w:r>
      <w:r w:rsidRPr="007F1309">
        <w:rPr>
          <w:rFonts w:ascii="Times New Roman" w:eastAsia="Calibri" w:hAnsi="Times New Roman"/>
          <w:szCs w:val="28"/>
          <w:lang w:val="lv-LV"/>
        </w:rPr>
        <w:t xml:space="preserve">Ņemot vērā Ministru kabineta 2015.gada 29.septembra sēdes protokola </w:t>
      </w:r>
      <w:r w:rsidRPr="007F1309">
        <w:rPr>
          <w:rFonts w:ascii="Times New Roman" w:eastAsia="Times New Roman" w:hAnsi="Times New Roman"/>
          <w:szCs w:val="24"/>
          <w:lang w:val="lv-LV" w:eastAsia="lv-LV"/>
        </w:rPr>
        <w:t xml:space="preserve">Nr.51 57.§ „Informatīvais ziņojums „Par atbalstāmajām darbībām un priekšatlases kritērijiem 8.1.2. specifiskā atbalsta mērķa „Uzlabot vispārējās izglītības iestāžu mācību vidi” ietvaros”” 4.punktu, </w:t>
      </w:r>
      <w:r w:rsidRPr="007F1309">
        <w:rPr>
          <w:rFonts w:ascii="Times New Roman" w:eastAsia="Calibri" w:hAnsi="Times New Roman"/>
          <w:szCs w:val="28"/>
          <w:lang w:val="lv-LV"/>
        </w:rPr>
        <w:t>precīzs finansējuma apmērs profesionālās izglītības iestādēm 8.1.3. SAM ietvaros, tai skaitā tām, kuras atrodas nacionālas nozīmes attīstības centros, tiks noteikts ar atsevišķu Ministru kabineta lēmumu.</w:t>
      </w:r>
    </w:p>
    <w:p w:rsidR="00D24D82" w:rsidRPr="007F1309" w:rsidRDefault="00D24D82" w:rsidP="00D24D82">
      <w:pPr>
        <w:spacing w:after="60"/>
        <w:ind w:left="567"/>
        <w:jc w:val="both"/>
        <w:rPr>
          <w:rFonts w:ascii="Times New Roman" w:eastAsia="Calibri" w:hAnsi="Times New Roman"/>
          <w:szCs w:val="28"/>
          <w:lang w:val="lv-LV"/>
        </w:rPr>
      </w:pPr>
      <w:r w:rsidRPr="007F1309">
        <w:rPr>
          <w:rFonts w:ascii="Times New Roman" w:eastAsia="Calibri" w:hAnsi="Times New Roman"/>
          <w:szCs w:val="28"/>
          <w:lang w:val="lv-LV"/>
        </w:rPr>
        <w:t>Saskaņā ar informatīvajā ziņojumā „Par priekšnosacījumiem integrēto teritoriālo investīciju ieviešanā – Ministru kabineta rīkojumu saturs” un saskaņā ar Ministru kabineta 2015.gada 29.septembra sēdes protokola Nr.51 57.§ „Informatīvais ziņojums „Par atbalstāmajām darbībām un priekšatlases kritērijiem 8.1.2. specifiskā atbalsta mērķa „Uzlabot vispārējās izglītības iestāžu mācību vidi” ietvaros”” 4.punktu a</w:t>
      </w:r>
      <w:r w:rsidRPr="007F1309">
        <w:rPr>
          <w:rFonts w:ascii="Times New Roman" w:eastAsia="Calibri" w:hAnsi="Times New Roman"/>
          <w:bCs/>
          <w:szCs w:val="28"/>
          <w:lang w:val="lv-LV"/>
        </w:rPr>
        <w:t xml:space="preserve">tšķirībā no informatīvajā ziņojumā „Par pilsētvides un policentriskās attīstības investīciju ieviešanas principiem Eiropas Savienības fondos 2014.-2020.gadam” minētā 8.1.2.SAM ITI finansējuma 30 000 000 </w:t>
      </w:r>
      <w:r w:rsidRPr="007F1309">
        <w:rPr>
          <w:rFonts w:ascii="Times New Roman" w:eastAsia="Calibri" w:hAnsi="Times New Roman"/>
          <w:bCs/>
          <w:i/>
          <w:szCs w:val="28"/>
          <w:lang w:val="lv-LV"/>
        </w:rPr>
        <w:t>euro</w:t>
      </w:r>
      <w:r w:rsidRPr="007F1309">
        <w:rPr>
          <w:rFonts w:ascii="Times New Roman" w:eastAsia="Calibri" w:hAnsi="Times New Roman"/>
          <w:bCs/>
          <w:szCs w:val="28"/>
          <w:lang w:val="lv-LV"/>
        </w:rPr>
        <w:t xml:space="preserve"> apmērā Izglītības un zinātnes ministrija (turpmāk – IZM), pamatojoties uz statistikas datiem par izglītojamo skaitu nacionālas nozīmes attīstības centru vispārizglītojošajās skolās, ir palielinājusi 8.1.2.SAM ITI finansējumu vispārējās izglītības iestādēs par 9 000 000 euro. Papildus, ņemot vērā, ka valsts ģimnāzijas nacionālas nozīmes attīstības centros ir pašvaldību dibinātas vispārējās izglītības iestādes, kā arī paredzot līdzīgus īstenošanas nosacījumus (8.1.2.SAM atbalstāmās darbības) valsts ģimnāzijās un vispārējās vidējās izglītības iestādēs, lai varētu veidot vienotu infrastruktūru vairākām pašvaldības pārziņā esošām vispārējās izglītības iestādēm, vienlaikus vienkāršojot ES fondu apguves procesu, 8.1.2.SAM ITI finansējuma kopējais apmērs ir palielināts par 19 131 500 euro, kopā 8.1.2.SAM ITI finansējumu paredzot 58 131 500 euro apmērā. </w:t>
      </w:r>
    </w:p>
    <w:p w:rsidR="00D24D82" w:rsidRPr="007F1309" w:rsidRDefault="00D24D82" w:rsidP="00D24D82">
      <w:pPr>
        <w:jc w:val="both"/>
        <w:rPr>
          <w:rFonts w:ascii="Times New Roman" w:eastAsia="Calibri" w:hAnsi="Times New Roman"/>
          <w:sz w:val="24"/>
          <w:szCs w:val="28"/>
          <w:lang w:val="lv-LV"/>
        </w:rPr>
      </w:pPr>
    </w:p>
    <w:p w:rsidR="00D24D82" w:rsidRPr="007F1309" w:rsidRDefault="00D24D82" w:rsidP="00D24D82">
      <w:pPr>
        <w:jc w:val="both"/>
        <w:rPr>
          <w:rFonts w:ascii="Times New Roman" w:eastAsia="Calibri" w:hAnsi="Times New Roman"/>
          <w:sz w:val="24"/>
          <w:szCs w:val="24"/>
          <w:lang w:val="lv-LV"/>
        </w:rPr>
      </w:pPr>
    </w:p>
    <w:p w:rsidR="00D24D82" w:rsidRPr="007F1309" w:rsidRDefault="00D24D82" w:rsidP="00D24D82">
      <w:pPr>
        <w:jc w:val="center"/>
        <w:rPr>
          <w:rFonts w:ascii="Times New Roman" w:eastAsia="Calibri" w:hAnsi="Times New Roman"/>
          <w:sz w:val="24"/>
          <w:szCs w:val="24"/>
          <w:lang w:val="lv-LV"/>
        </w:rPr>
      </w:pPr>
      <w:r w:rsidRPr="007F1309">
        <w:rPr>
          <w:rFonts w:ascii="Times New Roman" w:eastAsia="Times New Roman" w:hAnsi="Times New Roman"/>
          <w:b/>
          <w:sz w:val="28"/>
          <w:szCs w:val="28"/>
          <w:lang w:val="lv-LV" w:eastAsia="lv-LV"/>
        </w:rPr>
        <w:t xml:space="preserve">II </w:t>
      </w:r>
      <w:r w:rsidRPr="007F1309">
        <w:rPr>
          <w:rFonts w:ascii="Times New Roman" w:eastAsia="Calibri" w:hAnsi="Times New Roman"/>
          <w:b/>
          <w:sz w:val="26"/>
          <w:szCs w:val="26"/>
          <w:lang w:val="lv-LV"/>
        </w:rPr>
        <w:t>Kopējie sasniedzamie rezultatīvie rādītāji nacionālas nozīmes attīstības centru grupai</w:t>
      </w:r>
    </w:p>
    <w:p w:rsidR="00D24D82" w:rsidRPr="007F1309" w:rsidRDefault="00D24D82" w:rsidP="00D24D82">
      <w:pPr>
        <w:jc w:val="both"/>
        <w:rPr>
          <w:rFonts w:ascii="Times New Roman" w:eastAsia="Calibri" w:hAnsi="Times New Roman"/>
          <w:sz w:val="24"/>
          <w:szCs w:val="24"/>
          <w:lang w:val="lv-LV"/>
        </w:rPr>
      </w:pPr>
    </w:p>
    <w:tbl>
      <w:tblPr>
        <w:tblStyle w:val="TableGrid"/>
        <w:tblW w:w="0" w:type="auto"/>
        <w:tblLayout w:type="fixed"/>
        <w:tblLook w:val="04A0"/>
      </w:tblPr>
      <w:tblGrid>
        <w:gridCol w:w="1809"/>
        <w:gridCol w:w="3544"/>
        <w:gridCol w:w="2061"/>
        <w:gridCol w:w="1873"/>
      </w:tblGrid>
      <w:tr w:rsidR="00D24D82" w:rsidRPr="007F1309" w:rsidTr="00544ADD">
        <w:tc>
          <w:tcPr>
            <w:tcW w:w="1809" w:type="dxa"/>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Specifiskais atbalsta mērķis/</w:t>
            </w:r>
          </w:p>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pasākums</w:t>
            </w:r>
          </w:p>
        </w:tc>
        <w:tc>
          <w:tcPr>
            <w:tcW w:w="3544" w:type="dxa"/>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Rezultāts; dokuments, kurā tas noteikts (DP-darbības programma, DPP-darbības programmas papildinājums)</w:t>
            </w:r>
          </w:p>
        </w:tc>
        <w:tc>
          <w:tcPr>
            <w:tcW w:w="2061" w:type="dxa"/>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Rezultāta vērtība par DP/DPP apstiprināto finansējumu</w:t>
            </w:r>
          </w:p>
        </w:tc>
        <w:tc>
          <w:tcPr>
            <w:tcW w:w="1873" w:type="dxa"/>
          </w:tcPr>
          <w:p w:rsidR="00D24D82" w:rsidRPr="007F1309" w:rsidRDefault="00D24D82" w:rsidP="00D24D82">
            <w:pPr>
              <w:jc w:val="center"/>
              <w:rPr>
                <w:rFonts w:ascii="Times New Roman" w:eastAsia="Calibri" w:hAnsi="Times New Roman"/>
                <w:b/>
                <w:sz w:val="24"/>
                <w:szCs w:val="24"/>
                <w:lang w:val="lv-LV"/>
              </w:rPr>
            </w:pPr>
            <w:r w:rsidRPr="007F1309">
              <w:rPr>
                <w:rFonts w:ascii="Times New Roman" w:eastAsia="Calibri" w:hAnsi="Times New Roman"/>
                <w:b/>
                <w:sz w:val="24"/>
                <w:szCs w:val="24"/>
                <w:lang w:val="lv-LV"/>
              </w:rPr>
              <w:t>Rezultāta vērtība par piešķirtajām virssaistībām</w:t>
            </w:r>
          </w:p>
        </w:tc>
      </w:tr>
      <w:tr w:rsidR="00D24D82" w:rsidRPr="007F1309" w:rsidTr="00544ADD">
        <w:tc>
          <w:tcPr>
            <w:tcW w:w="1809" w:type="dxa"/>
            <w:vMerge w:val="restart"/>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 xml:space="preserve">3.3.1. </w:t>
            </w: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4"/>
                <w:lang w:val="lv-LV"/>
              </w:rPr>
            </w:pPr>
            <w:r w:rsidRPr="007F1309">
              <w:rPr>
                <w:rFonts w:ascii="Times New Roman" w:hAnsi="Times New Roman"/>
                <w:sz w:val="24"/>
                <w:szCs w:val="24"/>
                <w:lang w:val="lv-LV"/>
              </w:rPr>
              <w:t>Komersantu, kuri guvuši labumu no publisko investīciju projekta, nefinanšu investīcijas nemateriālajos ieguldījumos un pamatlīdzekļos (faktiskajās cenās, euro) (DPP)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rPr>
              <w:t>10 911 633</w:t>
            </w:r>
          </w:p>
        </w:tc>
        <w:tc>
          <w:tcPr>
            <w:tcW w:w="1873" w:type="dxa"/>
          </w:tcPr>
          <w:p w:rsidR="00D24D82" w:rsidRPr="007F1309" w:rsidRDefault="00D24D82" w:rsidP="00D24D82">
            <w:pPr>
              <w:jc w:val="both"/>
              <w:rPr>
                <w:rFonts w:ascii="Times New Roman" w:eastAsia="Calibri" w:hAnsi="Times New Roman"/>
                <w:sz w:val="24"/>
                <w:szCs w:val="24"/>
                <w:highlight w:val="yellow"/>
              </w:rPr>
            </w:pPr>
            <w:r w:rsidRPr="007F1309">
              <w:rPr>
                <w:rFonts w:ascii="Times New Roman" w:eastAsia="Calibri" w:hAnsi="Times New Roman"/>
                <w:sz w:val="24"/>
                <w:szCs w:val="24"/>
              </w:rPr>
              <w:t>5 979 549</w:t>
            </w: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4"/>
                <w:lang w:val="lv-LV"/>
              </w:rPr>
            </w:pPr>
            <w:r w:rsidRPr="007F1309">
              <w:rPr>
                <w:rFonts w:ascii="Times New Roman" w:hAnsi="Times New Roman"/>
                <w:sz w:val="24"/>
                <w:szCs w:val="24"/>
                <w:lang w:val="lv-LV"/>
              </w:rPr>
              <w:t>Nodarbinātības pieaugums atbalstītajos uzņēmumos (pilnslodzes ekvivalents) (DP)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179</w:t>
            </w:r>
          </w:p>
        </w:tc>
        <w:tc>
          <w:tcPr>
            <w:tcW w:w="1873" w:type="dxa"/>
          </w:tcPr>
          <w:p w:rsidR="00D24D82" w:rsidRPr="007F1309" w:rsidRDefault="00D24D82" w:rsidP="00D24D82">
            <w:pPr>
              <w:jc w:val="both"/>
              <w:rPr>
                <w:rFonts w:ascii="Times New Roman" w:eastAsia="Calibri" w:hAnsi="Times New Roman"/>
                <w:sz w:val="24"/>
                <w:szCs w:val="24"/>
              </w:rPr>
            </w:pPr>
            <w:r w:rsidRPr="007F1309">
              <w:rPr>
                <w:rFonts w:ascii="Times New Roman" w:eastAsia="Calibri" w:hAnsi="Times New Roman"/>
                <w:sz w:val="24"/>
                <w:szCs w:val="24"/>
              </w:rPr>
              <w:t>98</w:t>
            </w:r>
          </w:p>
          <w:p w:rsidR="00D24D82" w:rsidRPr="007F1309" w:rsidRDefault="00D24D82" w:rsidP="00D24D82">
            <w:pPr>
              <w:jc w:val="both"/>
              <w:rPr>
                <w:rFonts w:ascii="Times New Roman" w:eastAsia="Calibri" w:hAnsi="Times New Roman"/>
                <w:sz w:val="24"/>
                <w:szCs w:val="24"/>
                <w:highlight w:val="yellow"/>
                <w:lang w:val="lv-LV"/>
              </w:rPr>
            </w:pP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4"/>
                <w:lang w:val="lv-LV"/>
              </w:rPr>
            </w:pPr>
            <w:r w:rsidRPr="007F1309">
              <w:rPr>
                <w:rFonts w:ascii="Times New Roman" w:hAnsi="Times New Roman"/>
                <w:sz w:val="24"/>
                <w:szCs w:val="24"/>
                <w:lang w:val="lv-LV"/>
              </w:rPr>
              <w:t>To komersantu skaits, kuri saņēmuši atbalstu (DP)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34</w:t>
            </w:r>
          </w:p>
        </w:tc>
        <w:tc>
          <w:tcPr>
            <w:tcW w:w="1873" w:type="dxa"/>
          </w:tcPr>
          <w:p w:rsidR="00D24D82" w:rsidRPr="007F1309" w:rsidRDefault="00D24D82" w:rsidP="00D24D82">
            <w:pPr>
              <w:jc w:val="both"/>
              <w:rPr>
                <w:rFonts w:ascii="Times New Roman" w:eastAsia="Calibri" w:hAnsi="Times New Roman"/>
                <w:sz w:val="24"/>
                <w:szCs w:val="24"/>
                <w:highlight w:val="yellow"/>
                <w:lang w:val="lv-LV"/>
              </w:rPr>
            </w:pPr>
            <w:r w:rsidRPr="007F1309">
              <w:rPr>
                <w:rFonts w:ascii="Times New Roman" w:eastAsia="Calibri" w:hAnsi="Times New Roman"/>
                <w:sz w:val="24"/>
                <w:szCs w:val="24"/>
                <w:lang w:val="lv-LV"/>
              </w:rPr>
              <w:t>19</w:t>
            </w:r>
          </w:p>
        </w:tc>
      </w:tr>
      <w:tr w:rsidR="00D24D82" w:rsidRPr="007F1309" w:rsidTr="00544ADD">
        <w:tc>
          <w:tcPr>
            <w:tcW w:w="1809" w:type="dxa"/>
            <w:vMerge w:val="restart"/>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 xml:space="preserve">5.6.2. </w:t>
            </w: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Komersantu, kuri guvuši labumu no publisko investīciju projekta, nefinanšu investīcijas nemateriālajos ieguldījumos un pamatlīdzekļos (faktiskajās cenās, euro) (DPP)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92 138 673</w:t>
            </w:r>
          </w:p>
          <w:p w:rsidR="00D24D82" w:rsidRPr="007F1309" w:rsidRDefault="00D24D82" w:rsidP="00D24D82">
            <w:pPr>
              <w:jc w:val="both"/>
              <w:rPr>
                <w:rFonts w:ascii="Times New Roman" w:eastAsia="Calibri" w:hAnsi="Times New Roman"/>
                <w:sz w:val="24"/>
                <w:szCs w:val="24"/>
                <w:lang w:val="lv-LV"/>
              </w:rPr>
            </w:pPr>
          </w:p>
        </w:tc>
        <w:tc>
          <w:tcPr>
            <w:tcW w:w="1873" w:type="dxa"/>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27 580 800</w:t>
            </w:r>
          </w:p>
          <w:p w:rsidR="00D24D82" w:rsidRPr="007F1309" w:rsidRDefault="00D24D82" w:rsidP="00D24D82">
            <w:pPr>
              <w:jc w:val="both"/>
              <w:rPr>
                <w:rFonts w:ascii="Times New Roman" w:eastAsia="Calibri" w:hAnsi="Times New Roman"/>
                <w:sz w:val="24"/>
                <w:szCs w:val="24"/>
                <w:highlight w:val="yellow"/>
                <w:lang w:val="lv-LV"/>
              </w:rPr>
            </w:pP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Nodarbinātības pieaugums atbalstītajos uzņēmumos (pilnslodzes ekvivalents) (DPP)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1 511</w:t>
            </w:r>
          </w:p>
          <w:p w:rsidR="00D24D82" w:rsidRPr="007F1309" w:rsidRDefault="00D24D82" w:rsidP="00D24D82">
            <w:pPr>
              <w:jc w:val="both"/>
              <w:rPr>
                <w:rFonts w:ascii="Times New Roman" w:eastAsia="Calibri" w:hAnsi="Times New Roman"/>
                <w:sz w:val="24"/>
                <w:szCs w:val="24"/>
                <w:lang w:val="lv-LV"/>
              </w:rPr>
            </w:pPr>
          </w:p>
        </w:tc>
        <w:tc>
          <w:tcPr>
            <w:tcW w:w="1873" w:type="dxa"/>
          </w:tcPr>
          <w:p w:rsidR="00D24D82" w:rsidRPr="007F1309" w:rsidRDefault="00D24D82" w:rsidP="00D24D82">
            <w:pPr>
              <w:jc w:val="both"/>
              <w:rPr>
                <w:rFonts w:ascii="Times New Roman" w:eastAsia="Calibri" w:hAnsi="Times New Roman"/>
                <w:sz w:val="24"/>
                <w:szCs w:val="24"/>
                <w:highlight w:val="yellow"/>
                <w:lang w:val="lv-LV"/>
              </w:rPr>
            </w:pPr>
            <w:r w:rsidRPr="007F1309">
              <w:rPr>
                <w:rFonts w:ascii="Times New Roman" w:eastAsia="Calibri" w:hAnsi="Times New Roman"/>
                <w:sz w:val="24"/>
                <w:szCs w:val="24"/>
                <w:lang w:val="lv-LV"/>
              </w:rPr>
              <w:t>453</w:t>
            </w: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0"/>
                <w:lang w:val="lv-LV"/>
              </w:rPr>
            </w:pPr>
            <w:r w:rsidRPr="007F1309">
              <w:rPr>
                <w:rFonts w:ascii="Times New Roman" w:hAnsi="Times New Roman"/>
                <w:sz w:val="24"/>
                <w:szCs w:val="20"/>
                <w:lang w:val="lv-LV"/>
              </w:rPr>
              <w:t>Kopējā atjaunotās zemes platība (ha) (DP)</w:t>
            </w:r>
          </w:p>
          <w:p w:rsidR="00D24D82" w:rsidRPr="007F1309" w:rsidRDefault="00D24D82" w:rsidP="00D24D82">
            <w:pPr>
              <w:jc w:val="both"/>
              <w:rPr>
                <w:rFonts w:ascii="Times New Roman" w:eastAsia="Calibri" w:hAnsi="Times New Roman"/>
                <w:sz w:val="24"/>
                <w:szCs w:val="24"/>
                <w:lang w:val="lv-LV"/>
              </w:rPr>
            </w:pP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217</w:t>
            </w:r>
          </w:p>
          <w:p w:rsidR="00D24D82" w:rsidRPr="007F1309" w:rsidRDefault="00D24D82" w:rsidP="00D24D82">
            <w:pPr>
              <w:jc w:val="both"/>
              <w:rPr>
                <w:rFonts w:ascii="Times New Roman" w:eastAsia="Calibri" w:hAnsi="Times New Roman"/>
                <w:sz w:val="24"/>
                <w:szCs w:val="24"/>
                <w:lang w:val="lv-LV"/>
              </w:rPr>
            </w:pPr>
          </w:p>
        </w:tc>
        <w:tc>
          <w:tcPr>
            <w:tcW w:w="1873" w:type="dxa"/>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65</w:t>
            </w:r>
          </w:p>
          <w:p w:rsidR="00D24D82" w:rsidRPr="007F1309" w:rsidRDefault="00D24D82" w:rsidP="00D24D82">
            <w:pPr>
              <w:jc w:val="both"/>
              <w:rPr>
                <w:rFonts w:ascii="Times New Roman" w:eastAsia="Calibri" w:hAnsi="Times New Roman"/>
                <w:sz w:val="24"/>
                <w:szCs w:val="24"/>
                <w:highlight w:val="yellow"/>
                <w:lang w:val="lv-LV"/>
              </w:rPr>
            </w:pP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0"/>
                <w:lang w:val="lv-LV"/>
              </w:rPr>
            </w:pPr>
            <w:r w:rsidRPr="007F1309">
              <w:rPr>
                <w:rFonts w:ascii="Times New Roman" w:hAnsi="Times New Roman"/>
                <w:sz w:val="24"/>
                <w:szCs w:val="20"/>
                <w:lang w:val="lv-LV"/>
              </w:rPr>
              <w:t>To komersantu skaits, kuri saņēmuši atbalstu (DPP)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Tiks uzkrātas faktiskās vērtības</w:t>
            </w:r>
          </w:p>
        </w:tc>
        <w:tc>
          <w:tcPr>
            <w:tcW w:w="1873" w:type="dxa"/>
          </w:tcPr>
          <w:p w:rsidR="00D24D82" w:rsidRPr="007F1309" w:rsidRDefault="00D24D82" w:rsidP="00D24D82">
            <w:pPr>
              <w:jc w:val="both"/>
              <w:rPr>
                <w:rFonts w:ascii="Times New Roman" w:eastAsia="Calibri" w:hAnsi="Times New Roman"/>
                <w:sz w:val="24"/>
                <w:szCs w:val="24"/>
                <w:highlight w:val="yellow"/>
                <w:lang w:val="lv-LV"/>
              </w:rPr>
            </w:pPr>
            <w:r w:rsidRPr="007F1309">
              <w:rPr>
                <w:rFonts w:ascii="Times New Roman" w:eastAsia="Calibri" w:hAnsi="Times New Roman"/>
                <w:sz w:val="24"/>
                <w:szCs w:val="24"/>
                <w:lang w:val="lv-LV"/>
              </w:rPr>
              <w:t>Tiks uzkrātas faktiskās vērtības</w:t>
            </w:r>
          </w:p>
        </w:tc>
      </w:tr>
      <w:tr w:rsidR="00D24D82" w:rsidRPr="007F1309" w:rsidTr="00544ADD">
        <w:tc>
          <w:tcPr>
            <w:tcW w:w="1809" w:type="dxa"/>
            <w:vMerge w:val="restart"/>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4.2.2.</w:t>
            </w:r>
          </w:p>
        </w:tc>
        <w:tc>
          <w:tcPr>
            <w:tcW w:w="3544" w:type="dxa"/>
            <w:shd w:val="clear" w:color="auto" w:fill="auto"/>
          </w:tcPr>
          <w:p w:rsidR="00D24D82" w:rsidRPr="007F1309" w:rsidRDefault="00D24D82" w:rsidP="00D24D82">
            <w:pPr>
              <w:autoSpaceDE w:val="0"/>
              <w:autoSpaceDN w:val="0"/>
              <w:adjustRightInd w:val="0"/>
              <w:jc w:val="both"/>
              <w:rPr>
                <w:rFonts w:ascii="Times New Roman" w:hAnsi="Times New Roman"/>
                <w:sz w:val="24"/>
                <w:szCs w:val="24"/>
                <w:lang w:val="lv-LV"/>
              </w:rPr>
            </w:pPr>
            <w:r w:rsidRPr="007F1309">
              <w:rPr>
                <w:rFonts w:ascii="Times New Roman" w:hAnsi="Times New Roman"/>
                <w:sz w:val="24"/>
                <w:szCs w:val="24"/>
                <w:lang w:val="lv-LV"/>
              </w:rPr>
              <w:t>Primārās enerģijas gada patēriņa samazinājums sabiedriskajās ēkās (DP), kwh/gadā</w:t>
            </w:r>
          </w:p>
        </w:tc>
        <w:tc>
          <w:tcPr>
            <w:tcW w:w="2061" w:type="dxa"/>
            <w:shd w:val="clear" w:color="auto" w:fill="auto"/>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rPr>
              <w:t>6 859 119</w:t>
            </w:r>
          </w:p>
          <w:p w:rsidR="00D24D82" w:rsidRPr="007F1309" w:rsidRDefault="00D24D82" w:rsidP="00D24D82">
            <w:pPr>
              <w:jc w:val="both"/>
              <w:rPr>
                <w:rFonts w:ascii="Times New Roman" w:eastAsia="Calibri" w:hAnsi="Times New Roman"/>
                <w:sz w:val="24"/>
                <w:szCs w:val="24"/>
                <w:lang w:val="lv-LV"/>
              </w:rPr>
            </w:pPr>
          </w:p>
        </w:tc>
        <w:tc>
          <w:tcPr>
            <w:tcW w:w="1873" w:type="dxa"/>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rPr>
              <w:t>3 470 468</w:t>
            </w:r>
          </w:p>
          <w:p w:rsidR="00D24D82" w:rsidRPr="007F1309" w:rsidRDefault="00D24D82" w:rsidP="00D24D82">
            <w:pPr>
              <w:jc w:val="both"/>
              <w:rPr>
                <w:rFonts w:ascii="Times New Roman" w:eastAsia="Calibri" w:hAnsi="Times New Roman"/>
                <w:sz w:val="24"/>
                <w:szCs w:val="24"/>
                <w:highlight w:val="green"/>
                <w:lang w:val="lv-LV"/>
              </w:rPr>
            </w:pP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Aprēķinātais siltumnīcefekta gāzu samazinājums gadā (CO2 ekvivalenta tonnas) (DP)</w:t>
            </w:r>
          </w:p>
        </w:tc>
        <w:tc>
          <w:tcPr>
            <w:tcW w:w="2061" w:type="dxa"/>
            <w:shd w:val="clear" w:color="auto" w:fill="auto"/>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rPr>
              <w:t>1 730</w:t>
            </w:r>
          </w:p>
          <w:p w:rsidR="00D24D82" w:rsidRPr="007F1309" w:rsidRDefault="00D24D82" w:rsidP="00D24D82">
            <w:pPr>
              <w:jc w:val="both"/>
              <w:rPr>
                <w:rFonts w:ascii="Times New Roman" w:eastAsia="Calibri" w:hAnsi="Times New Roman"/>
                <w:sz w:val="24"/>
                <w:szCs w:val="24"/>
                <w:lang w:val="lv-LV"/>
              </w:rPr>
            </w:pPr>
          </w:p>
        </w:tc>
        <w:tc>
          <w:tcPr>
            <w:tcW w:w="1873" w:type="dxa"/>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rPr>
              <w:t>875</w:t>
            </w:r>
          </w:p>
          <w:p w:rsidR="00D24D82" w:rsidRPr="007F1309" w:rsidRDefault="00D24D82" w:rsidP="00D24D82">
            <w:pPr>
              <w:jc w:val="both"/>
              <w:rPr>
                <w:rFonts w:ascii="Times New Roman" w:eastAsia="Calibri" w:hAnsi="Times New Roman"/>
                <w:sz w:val="24"/>
                <w:szCs w:val="24"/>
                <w:highlight w:val="green"/>
                <w:lang w:val="lv-LV"/>
              </w:rPr>
            </w:pP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No atjaunojamiem energoresursiem ražotā papildjauda</w:t>
            </w:r>
          </w:p>
        </w:tc>
        <w:tc>
          <w:tcPr>
            <w:tcW w:w="2061" w:type="dxa"/>
            <w:shd w:val="clear" w:color="auto" w:fill="auto"/>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lang w:val="lv-LV"/>
              </w:rPr>
              <w:t>Tiks uzkrātas faktiskās vērtības</w:t>
            </w:r>
          </w:p>
        </w:tc>
        <w:tc>
          <w:tcPr>
            <w:tcW w:w="1873" w:type="dxa"/>
          </w:tcPr>
          <w:p w:rsidR="00D24D82" w:rsidRPr="007F1309" w:rsidRDefault="00D24D82" w:rsidP="00D24D82">
            <w:pPr>
              <w:jc w:val="both"/>
              <w:rPr>
                <w:rFonts w:ascii="Times New Roman" w:eastAsia="Calibri" w:hAnsi="Times New Roman"/>
                <w:sz w:val="24"/>
              </w:rPr>
            </w:pPr>
            <w:r w:rsidRPr="007F1309">
              <w:rPr>
                <w:rFonts w:ascii="Times New Roman" w:eastAsia="Calibri" w:hAnsi="Times New Roman"/>
                <w:sz w:val="24"/>
                <w:lang w:val="lv-LV"/>
              </w:rPr>
              <w:t>Tiks uzkrātas faktiskās vērtības</w:t>
            </w:r>
          </w:p>
        </w:tc>
      </w:tr>
      <w:tr w:rsidR="00D24D82" w:rsidRPr="007F1309" w:rsidTr="00544ADD">
        <w:tc>
          <w:tcPr>
            <w:tcW w:w="1809"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 xml:space="preserve">8.1.2. </w:t>
            </w: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Pakalpojumu sniegšanas veiktspēja modernizētajā infrastruktūrā (izglītojamie) (DP)</w:t>
            </w:r>
          </w:p>
        </w:tc>
        <w:tc>
          <w:tcPr>
            <w:tcW w:w="2061"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22 800</w:t>
            </w:r>
          </w:p>
        </w:tc>
        <w:tc>
          <w:tcPr>
            <w:tcW w:w="1873"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1 671</w:t>
            </w:r>
          </w:p>
        </w:tc>
      </w:tr>
      <w:tr w:rsidR="00D24D82" w:rsidRPr="007F1309" w:rsidTr="00544ADD">
        <w:tc>
          <w:tcPr>
            <w:tcW w:w="1809"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lastRenderedPageBreak/>
              <w:t xml:space="preserve">8.1.3. </w:t>
            </w:r>
          </w:p>
        </w:tc>
        <w:tc>
          <w:tcPr>
            <w:tcW w:w="3544"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Pakalpojumu sniegšanas veiktspēja atbalstītajā profesionālās izglītības infrastruktūrā (izglītojamie) (DPP)</w:t>
            </w:r>
          </w:p>
        </w:tc>
        <w:tc>
          <w:tcPr>
            <w:tcW w:w="2061" w:type="dxa"/>
            <w:shd w:val="clear" w:color="auto" w:fill="auto"/>
          </w:tcPr>
          <w:p w:rsidR="00D24D82" w:rsidRPr="007F1309" w:rsidRDefault="00D24D82" w:rsidP="007F1309">
            <w:pPr>
              <w:jc w:val="both"/>
              <w:rPr>
                <w:rFonts w:ascii="Times New Roman" w:eastAsia="Calibri" w:hAnsi="Times New Roman"/>
                <w:sz w:val="24"/>
                <w:szCs w:val="24"/>
                <w:lang w:val="lv-LV"/>
              </w:rPr>
            </w:pPr>
            <w:r w:rsidRPr="007F1309">
              <w:rPr>
                <w:rFonts w:ascii="Times New Roman" w:eastAsia="Calibri" w:hAnsi="Times New Roman"/>
                <w:sz w:val="24"/>
                <w:szCs w:val="28"/>
                <w:lang w:val="lv-LV"/>
              </w:rPr>
              <w:t xml:space="preserve">Ne mazāk kā </w:t>
            </w:r>
            <w:r w:rsidR="000F1BC0" w:rsidRPr="007F1309">
              <w:rPr>
                <w:rFonts w:ascii="Times New Roman" w:eastAsia="Calibri" w:hAnsi="Times New Roman"/>
                <w:sz w:val="24"/>
                <w:szCs w:val="28"/>
                <w:lang w:val="lv-LV"/>
              </w:rPr>
              <w:t>693</w:t>
            </w:r>
            <w:r w:rsidRPr="007F1309">
              <w:rPr>
                <w:rFonts w:ascii="Times New Roman" w:eastAsia="Times New Roman" w:hAnsi="Times New Roman"/>
                <w:sz w:val="24"/>
                <w:vertAlign w:val="superscript"/>
                <w:lang w:val="lv-LV"/>
              </w:rPr>
              <w:footnoteReference w:id="3"/>
            </w:r>
          </w:p>
        </w:tc>
        <w:tc>
          <w:tcPr>
            <w:tcW w:w="1873" w:type="dxa"/>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Nav attiecināms</w:t>
            </w:r>
          </w:p>
        </w:tc>
      </w:tr>
      <w:tr w:rsidR="00D24D82" w:rsidRPr="007F1309" w:rsidTr="00544ADD">
        <w:tc>
          <w:tcPr>
            <w:tcW w:w="1809" w:type="dxa"/>
            <w:vMerge w:val="restart"/>
            <w:shd w:val="clear" w:color="auto" w:fill="auto"/>
          </w:tcPr>
          <w:p w:rsidR="00D24D82" w:rsidRPr="007F1309" w:rsidRDefault="00D24D82" w:rsidP="00D24D82">
            <w:pPr>
              <w:jc w:val="both"/>
              <w:rPr>
                <w:rFonts w:ascii="Times New Roman" w:eastAsia="Calibri" w:hAnsi="Times New Roman"/>
                <w:sz w:val="24"/>
                <w:szCs w:val="24"/>
                <w:lang w:val="lv-LV"/>
              </w:rPr>
            </w:pPr>
            <w:r w:rsidRPr="007F1309">
              <w:rPr>
                <w:rFonts w:ascii="Times New Roman" w:eastAsia="Calibri" w:hAnsi="Times New Roman"/>
                <w:sz w:val="24"/>
                <w:szCs w:val="24"/>
                <w:lang w:val="lv-LV"/>
              </w:rPr>
              <w:t>9.3.1.1.</w:t>
            </w:r>
            <w:r w:rsidRPr="007F1309">
              <w:rPr>
                <w:rFonts w:ascii="Times New Roman" w:eastAsia="Calibri" w:hAnsi="Times New Roman"/>
                <w:sz w:val="24"/>
                <w:vertAlign w:val="superscript"/>
                <w:lang w:val="lv-LV"/>
              </w:rPr>
              <w:footnoteReference w:id="4"/>
            </w:r>
          </w:p>
        </w:tc>
        <w:tc>
          <w:tcPr>
            <w:tcW w:w="3544" w:type="dxa"/>
            <w:shd w:val="clear" w:color="auto" w:fill="auto"/>
          </w:tcPr>
          <w:p w:rsidR="00D24D82" w:rsidRPr="007F1309" w:rsidRDefault="00D24D82" w:rsidP="00D24D82">
            <w:pPr>
              <w:jc w:val="both"/>
              <w:rPr>
                <w:rFonts w:ascii="Times New Roman" w:hAnsi="Times New Roman"/>
                <w:sz w:val="24"/>
                <w:szCs w:val="24"/>
                <w:lang w:val="lv-LV"/>
              </w:rPr>
            </w:pPr>
            <w:r w:rsidRPr="007F1309">
              <w:rPr>
                <w:rFonts w:ascii="Times New Roman" w:hAnsi="Times New Roman"/>
                <w:sz w:val="24"/>
                <w:szCs w:val="24"/>
                <w:lang w:val="lv-LV"/>
              </w:rPr>
              <w:t>Izveidoto un/vai labiekārtoto vietu skaits bērnu aprūpei ģimeniskā vidē (DP)</w:t>
            </w:r>
          </w:p>
        </w:tc>
        <w:tc>
          <w:tcPr>
            <w:tcW w:w="2061" w:type="dxa"/>
            <w:shd w:val="clear" w:color="auto" w:fill="auto"/>
          </w:tcPr>
          <w:p w:rsidR="00D24D82" w:rsidRPr="007F1309" w:rsidRDefault="00D24D82" w:rsidP="00D24D82">
            <w:pPr>
              <w:jc w:val="both"/>
              <w:rPr>
                <w:rFonts w:ascii="Times New Roman" w:hAnsi="Times New Roman"/>
                <w:sz w:val="24"/>
                <w:szCs w:val="24"/>
                <w:lang w:val="lv-LV"/>
              </w:rPr>
            </w:pPr>
            <w:r w:rsidRPr="007F1309">
              <w:rPr>
                <w:rFonts w:ascii="Times New Roman" w:hAnsi="Times New Roman"/>
                <w:sz w:val="24"/>
                <w:szCs w:val="24"/>
                <w:lang w:val="lv-LV"/>
              </w:rPr>
              <w:t>223 vietas</w:t>
            </w:r>
          </w:p>
        </w:tc>
        <w:tc>
          <w:tcPr>
            <w:tcW w:w="1873" w:type="dxa"/>
          </w:tcPr>
          <w:p w:rsidR="00D24D82" w:rsidRPr="007F1309" w:rsidRDefault="00D24D82" w:rsidP="00D24D82">
            <w:pPr>
              <w:jc w:val="both"/>
              <w:rPr>
                <w:rFonts w:ascii="Times New Roman" w:hAnsi="Times New Roman"/>
                <w:sz w:val="24"/>
                <w:szCs w:val="24"/>
                <w:lang w:val="lv-LV"/>
              </w:rPr>
            </w:pPr>
            <w:r w:rsidRPr="007F1309">
              <w:rPr>
                <w:rFonts w:ascii="Times New Roman" w:hAnsi="Times New Roman" w:cs="Consolas"/>
                <w:sz w:val="24"/>
                <w:szCs w:val="24"/>
                <w:lang w:val="lv-LV"/>
              </w:rPr>
              <w:t>Nav attiecināms</w:t>
            </w:r>
          </w:p>
        </w:tc>
      </w:tr>
      <w:tr w:rsidR="00D24D82" w:rsidRPr="007F1309" w:rsidTr="00544ADD">
        <w:tc>
          <w:tcPr>
            <w:tcW w:w="1809" w:type="dxa"/>
            <w:vMerge/>
            <w:shd w:val="clear" w:color="auto" w:fill="auto"/>
          </w:tcPr>
          <w:p w:rsidR="00D24D82" w:rsidRPr="007F1309" w:rsidRDefault="00D24D82" w:rsidP="00D24D82">
            <w:pPr>
              <w:jc w:val="both"/>
              <w:rPr>
                <w:rFonts w:ascii="Times New Roman" w:eastAsia="Calibri" w:hAnsi="Times New Roman"/>
                <w:sz w:val="24"/>
                <w:szCs w:val="24"/>
                <w:lang w:val="lv-LV"/>
              </w:rPr>
            </w:pPr>
          </w:p>
        </w:tc>
        <w:tc>
          <w:tcPr>
            <w:tcW w:w="3544" w:type="dxa"/>
            <w:shd w:val="clear" w:color="auto" w:fill="auto"/>
          </w:tcPr>
          <w:p w:rsidR="00D24D82" w:rsidRPr="007F1309" w:rsidRDefault="00D24D82" w:rsidP="00D24D82">
            <w:pPr>
              <w:jc w:val="both"/>
              <w:rPr>
                <w:rFonts w:ascii="Times New Roman" w:hAnsi="Times New Roman" w:cs="Consolas"/>
                <w:sz w:val="24"/>
                <w:szCs w:val="24"/>
                <w:lang w:val="lv-LV"/>
              </w:rPr>
            </w:pPr>
            <w:r w:rsidRPr="007F1309">
              <w:rPr>
                <w:rFonts w:ascii="Times New Roman" w:hAnsi="Times New Roman"/>
                <w:sz w:val="24"/>
                <w:szCs w:val="24"/>
                <w:lang w:val="lv-LV"/>
              </w:rPr>
              <w:t>Izveidoto un/vai labiekārtoto vietu skaits sabiedrībā balstītu pakalpojumu sniegšanai personām ar garīga rakstura traucējumiem (DP)</w:t>
            </w:r>
          </w:p>
        </w:tc>
        <w:tc>
          <w:tcPr>
            <w:tcW w:w="2061" w:type="dxa"/>
            <w:shd w:val="clear" w:color="auto" w:fill="auto"/>
          </w:tcPr>
          <w:p w:rsidR="00D24D82" w:rsidRPr="007F1309" w:rsidRDefault="00D24D82" w:rsidP="00D24D82">
            <w:pPr>
              <w:jc w:val="both"/>
              <w:rPr>
                <w:rFonts w:ascii="Times New Roman" w:hAnsi="Times New Roman"/>
                <w:sz w:val="24"/>
                <w:szCs w:val="24"/>
                <w:lang w:val="lv-LV"/>
              </w:rPr>
            </w:pPr>
            <w:r w:rsidRPr="007F1309">
              <w:rPr>
                <w:rFonts w:ascii="Times New Roman" w:hAnsi="Times New Roman"/>
                <w:sz w:val="24"/>
                <w:szCs w:val="24"/>
                <w:lang w:val="lv-LV"/>
              </w:rPr>
              <w:t>715 vietas</w:t>
            </w:r>
          </w:p>
        </w:tc>
        <w:tc>
          <w:tcPr>
            <w:tcW w:w="1873" w:type="dxa"/>
          </w:tcPr>
          <w:p w:rsidR="00D24D82" w:rsidRPr="007F1309" w:rsidRDefault="00D24D82" w:rsidP="00D24D82">
            <w:pPr>
              <w:jc w:val="both"/>
              <w:rPr>
                <w:rFonts w:ascii="Times New Roman" w:hAnsi="Times New Roman"/>
                <w:sz w:val="24"/>
                <w:szCs w:val="24"/>
                <w:lang w:val="lv-LV"/>
              </w:rPr>
            </w:pPr>
            <w:r w:rsidRPr="007F1309">
              <w:rPr>
                <w:rFonts w:ascii="Times New Roman" w:hAnsi="Times New Roman" w:cs="Consolas"/>
                <w:sz w:val="24"/>
                <w:szCs w:val="24"/>
                <w:lang w:val="lv-LV"/>
              </w:rPr>
              <w:t>Nav attiecināms</w:t>
            </w:r>
          </w:p>
        </w:tc>
      </w:tr>
    </w:tbl>
    <w:p w:rsidR="00D24D82" w:rsidRPr="007F1309" w:rsidRDefault="00D24D82" w:rsidP="00D24D82">
      <w:pPr>
        <w:jc w:val="both"/>
        <w:rPr>
          <w:rFonts w:ascii="Times New Roman" w:eastAsia="Calibri" w:hAnsi="Times New Roman"/>
          <w:sz w:val="24"/>
          <w:szCs w:val="24"/>
          <w:lang w:val="lv-LV"/>
        </w:rPr>
      </w:pPr>
    </w:p>
    <w:p w:rsidR="000103A5" w:rsidRPr="007F1309" w:rsidRDefault="000103A5" w:rsidP="00D24D82">
      <w:pPr>
        <w:rPr>
          <w:szCs w:val="20"/>
        </w:rPr>
      </w:pPr>
    </w:p>
    <w:sectPr w:rsidR="000103A5" w:rsidRPr="007F1309" w:rsidSect="00D24D82">
      <w:footerReference w:type="default" r:id="rId8"/>
      <w:footerReference w:type="first" r:id="rId9"/>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99" w:rsidRDefault="00AA7299" w:rsidP="00CD7CE8">
      <w:r>
        <w:separator/>
      </w:r>
    </w:p>
  </w:endnote>
  <w:endnote w:type="continuationSeparator" w:id="0">
    <w:p w:rsidR="00AA7299" w:rsidRDefault="00AA7299"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391"/>
      <w:docPartObj>
        <w:docPartGallery w:val="Page Numbers (Bottom of Page)"/>
        <w:docPartUnique/>
      </w:docPartObj>
    </w:sdtPr>
    <w:sdtContent>
      <w:p w:rsidR="00C41007" w:rsidRDefault="004A58D1">
        <w:pPr>
          <w:pStyle w:val="Footer"/>
          <w:jc w:val="right"/>
        </w:pPr>
        <w:r w:rsidRPr="00C41007">
          <w:rPr>
            <w:rFonts w:ascii="Times New Roman" w:hAnsi="Times New Roman"/>
            <w:sz w:val="24"/>
          </w:rPr>
          <w:fldChar w:fldCharType="begin"/>
        </w:r>
        <w:r w:rsidR="00C41007" w:rsidRPr="00C41007">
          <w:rPr>
            <w:rFonts w:ascii="Times New Roman" w:hAnsi="Times New Roman"/>
            <w:sz w:val="24"/>
          </w:rPr>
          <w:instrText xml:space="preserve"> PAGE   \* MERGEFORMAT </w:instrText>
        </w:r>
        <w:r w:rsidRPr="00C41007">
          <w:rPr>
            <w:rFonts w:ascii="Times New Roman" w:hAnsi="Times New Roman"/>
            <w:sz w:val="24"/>
          </w:rPr>
          <w:fldChar w:fldCharType="separate"/>
        </w:r>
        <w:r w:rsidR="00AB21EC">
          <w:rPr>
            <w:rFonts w:ascii="Times New Roman" w:hAnsi="Times New Roman"/>
            <w:noProof/>
            <w:sz w:val="24"/>
          </w:rPr>
          <w:t>4</w:t>
        </w:r>
        <w:r w:rsidRPr="00C41007">
          <w:rPr>
            <w:rFonts w:ascii="Times New Roman" w:hAnsi="Times New Roman"/>
            <w:sz w:val="24"/>
          </w:rPr>
          <w:fldChar w:fldCharType="end"/>
        </w:r>
      </w:p>
    </w:sdtContent>
  </w:sdt>
  <w:p w:rsidR="00C41007" w:rsidRPr="00D24D82" w:rsidRDefault="00D24D82">
    <w:pPr>
      <w:pStyle w:val="Footer"/>
      <w:rPr>
        <w:rFonts w:ascii="Times New Roman" w:hAnsi="Times New Roman"/>
        <w:sz w:val="20"/>
        <w:lang w:val="lv-LV"/>
      </w:rPr>
    </w:pPr>
    <w:r>
      <w:rPr>
        <w:rFonts w:ascii="Times New Roman" w:hAnsi="Times New Roman"/>
        <w:sz w:val="20"/>
        <w:lang w:val="lv-LV"/>
      </w:rPr>
      <w:t>VARAMPiel_</w:t>
    </w:r>
    <w:r w:rsidR="00AA5707">
      <w:rPr>
        <w:rFonts w:ascii="Times New Roman" w:hAnsi="Times New Roman"/>
        <w:sz w:val="20"/>
        <w:lang w:val="lv-LV"/>
      </w:rPr>
      <w:t>13</w:t>
    </w:r>
    <w:r>
      <w:rPr>
        <w:rFonts w:ascii="Times New Roman" w:hAnsi="Times New Roman"/>
        <w:sz w:val="20"/>
        <w:lang w:val="lv-LV"/>
      </w:rPr>
      <w:t>1015_ITI_SAM</w:t>
    </w:r>
    <w:r w:rsidRPr="006A2927">
      <w:rPr>
        <w:rFonts w:ascii="Times New Roman" w:hAnsi="Times New Roman"/>
        <w:sz w:val="20"/>
        <w:lang w:val="lv-LV"/>
      </w:rPr>
      <w:t>; Ministru kabineta rīkojuma “Par integrēto teritoriālo investīciju specifisko atbalsta mērķu finansējuma kopējo apjomu katram nacionālās nozīmes attīstības centram un kopējiem rezultatīvajiem rādītājiem nacionālas nozīmes attīstības centru grupai”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82" w:rsidRPr="00D24D82" w:rsidRDefault="00D24D82">
    <w:pPr>
      <w:pStyle w:val="Footer"/>
      <w:rPr>
        <w:rFonts w:ascii="Times New Roman" w:hAnsi="Times New Roman"/>
        <w:sz w:val="20"/>
        <w:lang w:val="lv-LV"/>
      </w:rPr>
    </w:pPr>
    <w:r>
      <w:rPr>
        <w:rFonts w:ascii="Times New Roman" w:hAnsi="Times New Roman"/>
        <w:sz w:val="20"/>
        <w:lang w:val="lv-LV"/>
      </w:rPr>
      <w:t>VARAMPiel_</w:t>
    </w:r>
    <w:r w:rsidR="00AA5707">
      <w:rPr>
        <w:rFonts w:ascii="Times New Roman" w:hAnsi="Times New Roman"/>
        <w:sz w:val="20"/>
        <w:lang w:val="lv-LV"/>
      </w:rPr>
      <w:t>13</w:t>
    </w:r>
    <w:r>
      <w:rPr>
        <w:rFonts w:ascii="Times New Roman" w:hAnsi="Times New Roman"/>
        <w:sz w:val="20"/>
        <w:lang w:val="lv-LV"/>
      </w:rPr>
      <w:t>1015_ITI_SAM</w:t>
    </w:r>
    <w:r w:rsidRPr="006A2927">
      <w:rPr>
        <w:rFonts w:ascii="Times New Roman" w:hAnsi="Times New Roman"/>
        <w:sz w:val="20"/>
        <w:lang w:val="lv-LV"/>
      </w:rPr>
      <w:t>; Ministru kabineta rīkojuma “Par integrēto teritoriālo investīciju specifisko atbalsta mērķu finansējuma kopējo apjomu katram nacionālās nozīmes attīstības centram un kopējiem rezultatīvajiem rādītājiem nacionālas nozīmes attīstības centru grupai”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99" w:rsidRDefault="00AA7299" w:rsidP="00CD7CE8">
      <w:r>
        <w:separator/>
      </w:r>
    </w:p>
  </w:footnote>
  <w:footnote w:type="continuationSeparator" w:id="0">
    <w:p w:rsidR="00AA7299" w:rsidRDefault="00AA7299" w:rsidP="00CD7CE8">
      <w:r>
        <w:continuationSeparator/>
      </w:r>
    </w:p>
  </w:footnote>
  <w:footnote w:id="1">
    <w:p w:rsidR="00D24D82" w:rsidRPr="006309BE" w:rsidRDefault="00D24D82" w:rsidP="00D24D82">
      <w:pPr>
        <w:pStyle w:val="FootnoteText"/>
        <w:rPr>
          <w:rFonts w:ascii="Times New Roman" w:hAnsi="Times New Roman"/>
          <w:lang w:val="lv-LV"/>
        </w:rPr>
      </w:pPr>
      <w:r w:rsidRPr="00FE08DD">
        <w:rPr>
          <w:rStyle w:val="FootnoteReference"/>
          <w:rFonts w:ascii="Times New Roman" w:hAnsi="Times New Roman"/>
        </w:rPr>
        <w:footnoteRef/>
      </w:r>
      <w:r w:rsidRPr="00FE08DD">
        <w:rPr>
          <w:rFonts w:ascii="Times New Roman" w:hAnsi="Times New Roman"/>
        </w:rPr>
        <w:t xml:space="preserve"> </w:t>
      </w:r>
      <w:r w:rsidRPr="00FE08DD">
        <w:rPr>
          <w:rFonts w:ascii="Times New Roman" w:eastAsia="Times New Roman" w:hAnsi="Times New Roman"/>
          <w:lang w:val="lv-LV" w:eastAsia="lv-LV"/>
        </w:rPr>
        <w:t xml:space="preserve">Finansējums noteikts pašvaldību projektiem -  projektu iesniedzējs ir pašvaldības vai to iestādes un komersanti, </w:t>
      </w:r>
      <w:r w:rsidRPr="006309BE">
        <w:rPr>
          <w:rFonts w:ascii="Times New Roman" w:eastAsia="Times New Roman" w:hAnsi="Times New Roman"/>
          <w:lang w:val="lv-LV" w:eastAsia="lv-LV"/>
        </w:rPr>
        <w:t>kas veic pašvaldību deleģēto pārvaldes uzdevumu izpildi.</w:t>
      </w:r>
    </w:p>
  </w:footnote>
  <w:footnote w:id="2">
    <w:p w:rsidR="00D24D82" w:rsidRPr="006309BE" w:rsidRDefault="00D24D82" w:rsidP="00D24D82">
      <w:pPr>
        <w:pStyle w:val="FootnoteText"/>
        <w:rPr>
          <w:lang w:val="lv-LV"/>
        </w:rPr>
      </w:pPr>
      <w:r w:rsidRPr="006309BE">
        <w:rPr>
          <w:rStyle w:val="FootnoteReference"/>
          <w:rFonts w:ascii="Times New Roman" w:hAnsi="Times New Roman"/>
        </w:rPr>
        <w:footnoteRef/>
      </w:r>
      <w:r w:rsidRPr="006309BE">
        <w:rPr>
          <w:rFonts w:ascii="Times New Roman" w:hAnsi="Times New Roman"/>
        </w:rPr>
        <w:t xml:space="preserve"> </w:t>
      </w:r>
      <w:r w:rsidRPr="00376BEE">
        <w:rPr>
          <w:rFonts w:ascii="Times New Roman" w:hAnsi="Times New Roman"/>
          <w:lang w:val="lv-LV"/>
        </w:rPr>
        <w:t xml:space="preserve">Ievērojot Ministru kabineta 2015.gada 25.augusta sēdes protokollēmuma (prot. Nr.41 35.§) „Informatīvais ziņojums „Par priekšnosacījumiem integrēto teritoriālo investīciju ieviešanā – Ministru kabineta rīkojumu saturs”” 5.punktā noteikto, </w:t>
      </w:r>
      <w:r>
        <w:rPr>
          <w:rFonts w:ascii="Times New Roman" w:hAnsi="Times New Roman"/>
          <w:lang w:val="lv-LV"/>
        </w:rPr>
        <w:t xml:space="preserve">šajā informatīvajā ziņojumā paredzētais </w:t>
      </w:r>
      <w:r w:rsidRPr="00376BEE">
        <w:rPr>
          <w:rFonts w:ascii="Times New Roman" w:hAnsi="Times New Roman"/>
          <w:lang w:val="lv-LV"/>
        </w:rPr>
        <w:t>darbības progra</w:t>
      </w:r>
      <w:r>
        <w:rPr>
          <w:rFonts w:ascii="Times New Roman" w:hAnsi="Times New Roman"/>
          <w:lang w:val="lv-LV"/>
        </w:rPr>
        <w:t>mmā „</w:t>
      </w:r>
      <w:r w:rsidRPr="00376BEE">
        <w:rPr>
          <w:rFonts w:ascii="Times New Roman" w:hAnsi="Times New Roman"/>
          <w:lang w:val="lv-LV"/>
        </w:rPr>
        <w:t xml:space="preserve">Izaugsme un nodarbinātība” iezīmētā ITI finansējuma elastības princips neattiecas uz 8.1.2. un 8.1.3. </w:t>
      </w:r>
      <w:r>
        <w:rPr>
          <w:rFonts w:ascii="Times New Roman" w:hAnsi="Times New Roman"/>
          <w:lang w:val="lv-LV"/>
        </w:rPr>
        <w:t>SAM</w:t>
      </w:r>
      <w:r w:rsidRPr="00376BEE">
        <w:rPr>
          <w:rFonts w:ascii="Times New Roman" w:hAnsi="Times New Roman"/>
          <w:lang w:val="lv-LV"/>
        </w:rPr>
        <w:t xml:space="preserve"> un 9.3.1.1. pasākumu, kuru ietvaros plānotie sasniedzamie rezultāti nekorelē ar citu </w:t>
      </w:r>
      <w:r>
        <w:rPr>
          <w:rFonts w:ascii="Times New Roman" w:hAnsi="Times New Roman"/>
          <w:lang w:val="lv-LV"/>
        </w:rPr>
        <w:t>ITI</w:t>
      </w:r>
      <w:r w:rsidRPr="00376BEE">
        <w:rPr>
          <w:rFonts w:ascii="Times New Roman" w:hAnsi="Times New Roman"/>
          <w:lang w:val="lv-LV"/>
        </w:rPr>
        <w:t xml:space="preserve"> ietvarā plānoto </w:t>
      </w:r>
      <w:r>
        <w:rPr>
          <w:rFonts w:ascii="Times New Roman" w:hAnsi="Times New Roman"/>
          <w:lang w:val="lv-LV"/>
        </w:rPr>
        <w:t>SAM</w:t>
      </w:r>
      <w:r w:rsidRPr="00376BEE">
        <w:rPr>
          <w:rFonts w:ascii="Times New Roman" w:hAnsi="Times New Roman"/>
          <w:lang w:val="lv-LV"/>
        </w:rPr>
        <w:t xml:space="preserve"> sasniedzamajiem rezultātiem.</w:t>
      </w:r>
    </w:p>
  </w:footnote>
  <w:footnote w:id="3">
    <w:p w:rsidR="00D24D82" w:rsidRPr="00387A6B" w:rsidRDefault="00D24D82" w:rsidP="00D24D82">
      <w:pPr>
        <w:pStyle w:val="FootnoteText"/>
        <w:jc w:val="both"/>
        <w:rPr>
          <w:lang w:val="lv-LV"/>
        </w:rPr>
      </w:pPr>
      <w:r w:rsidRPr="00387A6B">
        <w:rPr>
          <w:rStyle w:val="FootnoteReference"/>
          <w:rFonts w:ascii="Times New Roman" w:hAnsi="Times New Roman"/>
          <w:lang w:val="lv-LV"/>
        </w:rPr>
        <w:footnoteRef/>
      </w:r>
      <w:r w:rsidRPr="00387A6B">
        <w:rPr>
          <w:rFonts w:ascii="Times New Roman" w:hAnsi="Times New Roman"/>
          <w:lang w:val="lv-LV"/>
        </w:rPr>
        <w:t xml:space="preserve"> Kopējais iznākuma rādītājs 8.1.3.SAM ietvaros ir 10 800 audzēkņi. </w:t>
      </w:r>
      <w:r w:rsidRPr="00387A6B">
        <w:rPr>
          <w:rFonts w:ascii="Times New Roman" w:hAnsi="Times New Roman"/>
          <w:lang w:val="lv-LV"/>
        </w:rPr>
        <w:t>Vienlaikus vēršam uzmanību, ka 8.1.3.SAM gadījumā, kamēr nav apstiprināti Ministru kabineta noteikumi par 8.1.3.SAM ieviešanas nosacījumiem, iepriekš minētā informācija ir uzskatāma kā indikatīva.</w:t>
      </w:r>
    </w:p>
  </w:footnote>
  <w:footnote w:id="4">
    <w:p w:rsidR="00D24D82" w:rsidRPr="00D57985" w:rsidRDefault="00D24D82" w:rsidP="00D24D82">
      <w:pPr>
        <w:pStyle w:val="PlainText"/>
        <w:rPr>
          <w:rFonts w:ascii="Times New Roman" w:hAnsi="Times New Roman"/>
          <w:sz w:val="20"/>
          <w:lang w:val="lv-LV"/>
        </w:rPr>
      </w:pPr>
      <w:r w:rsidRPr="00387A6B">
        <w:rPr>
          <w:rStyle w:val="FootnoteReference"/>
          <w:rFonts w:ascii="Times New Roman" w:hAnsi="Times New Roman"/>
          <w:sz w:val="20"/>
          <w:lang w:val="lv-LV"/>
        </w:rPr>
        <w:footnoteRef/>
      </w:r>
      <w:r w:rsidRPr="00387A6B">
        <w:rPr>
          <w:rFonts w:ascii="Times New Roman" w:hAnsi="Times New Roman"/>
          <w:sz w:val="20"/>
          <w:lang w:val="lv-LV"/>
        </w:rPr>
        <w:t xml:space="preserve"> Attiecībā uz 9.3.1. SAM sniegtā informācijā par plānotajiem iznākuma rādītājiem ir indikatīva, pamatotas iznākuma rādītāju vērtības Labklājibas ministrija varēs sniegt tikai pēc DP 9.2.2. SAM „Palielināt kvalitatīvu institucionālai aprūpei alternatīvu sociālo pakalpojumu dzīvesvietā un ģimeniskai videi pietuvinātu pakalpojumu pieejamību personām ar invaliditāti un bērniem” 9.2.2.1.pasākuma „Deinstitucionalizācija” ietvaros veikto deinstitucionalizācijas plānu izstrādes (pēc 2016.gada 31.decembra).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29">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3"/>
  </w:num>
  <w:num w:numId="3">
    <w:abstractNumId w:val="2"/>
  </w:num>
  <w:num w:numId="4">
    <w:abstractNumId w:val="5"/>
  </w:num>
  <w:num w:numId="5">
    <w:abstractNumId w:val="19"/>
  </w:num>
  <w:num w:numId="6">
    <w:abstractNumId w:val="28"/>
  </w:num>
  <w:num w:numId="7">
    <w:abstractNumId w:val="9"/>
  </w:num>
  <w:num w:numId="8">
    <w:abstractNumId w:val="26"/>
  </w:num>
  <w:num w:numId="9">
    <w:abstractNumId w:val="11"/>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6"/>
  </w:num>
  <w:num w:numId="15">
    <w:abstractNumId w:val="1"/>
  </w:num>
  <w:num w:numId="16">
    <w:abstractNumId w:val="12"/>
  </w:num>
  <w:num w:numId="17">
    <w:abstractNumId w:val="17"/>
  </w:num>
  <w:num w:numId="18">
    <w:abstractNumId w:val="15"/>
  </w:num>
  <w:num w:numId="19">
    <w:abstractNumId w:val="27"/>
  </w:num>
  <w:num w:numId="20">
    <w:abstractNumId w:val="25"/>
  </w:num>
  <w:num w:numId="21">
    <w:abstractNumId w:val="29"/>
  </w:num>
  <w:num w:numId="22">
    <w:abstractNumId w:val="22"/>
  </w:num>
  <w:num w:numId="23">
    <w:abstractNumId w:val="13"/>
  </w:num>
  <w:num w:numId="24">
    <w:abstractNumId w:val="21"/>
  </w:num>
  <w:num w:numId="25">
    <w:abstractNumId w:val="31"/>
  </w:num>
  <w:num w:numId="26">
    <w:abstractNumId w:val="14"/>
  </w:num>
  <w:num w:numId="27">
    <w:abstractNumId w:val="4"/>
  </w:num>
  <w:num w:numId="28">
    <w:abstractNumId w:val="8"/>
  </w:num>
  <w:num w:numId="29">
    <w:abstractNumId w:val="33"/>
  </w:num>
  <w:num w:numId="30">
    <w:abstractNumId w:val="24"/>
  </w:num>
  <w:num w:numId="31">
    <w:abstractNumId w:val="32"/>
  </w:num>
  <w:num w:numId="32">
    <w:abstractNumId w:val="7"/>
  </w:num>
  <w:num w:numId="3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C00D4"/>
    <w:rsid w:val="000C4237"/>
    <w:rsid w:val="000C4911"/>
    <w:rsid w:val="000D2DDD"/>
    <w:rsid w:val="000D7207"/>
    <w:rsid w:val="000E11E8"/>
    <w:rsid w:val="000E1547"/>
    <w:rsid w:val="000F0A3A"/>
    <w:rsid w:val="000F0E90"/>
    <w:rsid w:val="000F1445"/>
    <w:rsid w:val="000F1BC0"/>
    <w:rsid w:val="000F22DD"/>
    <w:rsid w:val="000F2FB0"/>
    <w:rsid w:val="000F5277"/>
    <w:rsid w:val="00100F61"/>
    <w:rsid w:val="00104F10"/>
    <w:rsid w:val="00107FAB"/>
    <w:rsid w:val="001143C2"/>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DA"/>
    <w:rsid w:val="00146ECF"/>
    <w:rsid w:val="001563C1"/>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C65"/>
    <w:rsid w:val="001D67F0"/>
    <w:rsid w:val="001E15F5"/>
    <w:rsid w:val="001E211A"/>
    <w:rsid w:val="001E363A"/>
    <w:rsid w:val="001E7260"/>
    <w:rsid w:val="001E7719"/>
    <w:rsid w:val="001E7849"/>
    <w:rsid w:val="001F0086"/>
    <w:rsid w:val="001F6632"/>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3B0F"/>
    <w:rsid w:val="002C3D19"/>
    <w:rsid w:val="002D0C9D"/>
    <w:rsid w:val="002E09D8"/>
    <w:rsid w:val="002E4566"/>
    <w:rsid w:val="002E468F"/>
    <w:rsid w:val="002E6DCC"/>
    <w:rsid w:val="002F236D"/>
    <w:rsid w:val="002F3590"/>
    <w:rsid w:val="002F6FF9"/>
    <w:rsid w:val="002F7E02"/>
    <w:rsid w:val="003006C4"/>
    <w:rsid w:val="00301A93"/>
    <w:rsid w:val="00303494"/>
    <w:rsid w:val="00304A51"/>
    <w:rsid w:val="00306EDA"/>
    <w:rsid w:val="003110E6"/>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392B"/>
    <w:rsid w:val="003749D6"/>
    <w:rsid w:val="00376B83"/>
    <w:rsid w:val="00377108"/>
    <w:rsid w:val="00377627"/>
    <w:rsid w:val="00384E80"/>
    <w:rsid w:val="00387A6B"/>
    <w:rsid w:val="00387D4E"/>
    <w:rsid w:val="00391442"/>
    <w:rsid w:val="00395044"/>
    <w:rsid w:val="00397D84"/>
    <w:rsid w:val="003A0891"/>
    <w:rsid w:val="003A2352"/>
    <w:rsid w:val="003A2454"/>
    <w:rsid w:val="003A2B2A"/>
    <w:rsid w:val="003A2F79"/>
    <w:rsid w:val="003A3071"/>
    <w:rsid w:val="003A39AB"/>
    <w:rsid w:val="003A4093"/>
    <w:rsid w:val="003B2FF2"/>
    <w:rsid w:val="003B3A82"/>
    <w:rsid w:val="003B6159"/>
    <w:rsid w:val="003B678C"/>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731B"/>
    <w:rsid w:val="00494268"/>
    <w:rsid w:val="00495E15"/>
    <w:rsid w:val="0049673C"/>
    <w:rsid w:val="0049713B"/>
    <w:rsid w:val="004A1A38"/>
    <w:rsid w:val="004A3E25"/>
    <w:rsid w:val="004A4396"/>
    <w:rsid w:val="004A4AB6"/>
    <w:rsid w:val="004A58D1"/>
    <w:rsid w:val="004A5A71"/>
    <w:rsid w:val="004A66B6"/>
    <w:rsid w:val="004A79F5"/>
    <w:rsid w:val="004B41F0"/>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48BF"/>
    <w:rsid w:val="004E7843"/>
    <w:rsid w:val="004F0DBA"/>
    <w:rsid w:val="004F1AA2"/>
    <w:rsid w:val="004F417F"/>
    <w:rsid w:val="004F49CF"/>
    <w:rsid w:val="004F7A94"/>
    <w:rsid w:val="005006B8"/>
    <w:rsid w:val="005018BF"/>
    <w:rsid w:val="00505169"/>
    <w:rsid w:val="00511F19"/>
    <w:rsid w:val="005124FB"/>
    <w:rsid w:val="00512812"/>
    <w:rsid w:val="00513E03"/>
    <w:rsid w:val="00514CEA"/>
    <w:rsid w:val="0051517B"/>
    <w:rsid w:val="00522DE6"/>
    <w:rsid w:val="005244F6"/>
    <w:rsid w:val="005250A5"/>
    <w:rsid w:val="00525639"/>
    <w:rsid w:val="00526EB9"/>
    <w:rsid w:val="00530F63"/>
    <w:rsid w:val="005320A5"/>
    <w:rsid w:val="00534176"/>
    <w:rsid w:val="00537F3D"/>
    <w:rsid w:val="00540DF3"/>
    <w:rsid w:val="00542519"/>
    <w:rsid w:val="005451EE"/>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5AEB"/>
    <w:rsid w:val="00676088"/>
    <w:rsid w:val="006826F0"/>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2BC7"/>
    <w:rsid w:val="006E40F3"/>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210BC"/>
    <w:rsid w:val="00721E34"/>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3F9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B2D54"/>
    <w:rsid w:val="007B3F63"/>
    <w:rsid w:val="007B5E9F"/>
    <w:rsid w:val="007B6A75"/>
    <w:rsid w:val="007B6C55"/>
    <w:rsid w:val="007B763E"/>
    <w:rsid w:val="007B7C39"/>
    <w:rsid w:val="007C3CBB"/>
    <w:rsid w:val="007C5872"/>
    <w:rsid w:val="007D247C"/>
    <w:rsid w:val="007D7946"/>
    <w:rsid w:val="007D7CAA"/>
    <w:rsid w:val="007E1989"/>
    <w:rsid w:val="007E2CBE"/>
    <w:rsid w:val="007E32E0"/>
    <w:rsid w:val="007E39C8"/>
    <w:rsid w:val="007E5D47"/>
    <w:rsid w:val="007E64B4"/>
    <w:rsid w:val="007E652D"/>
    <w:rsid w:val="007E7D57"/>
    <w:rsid w:val="007F1308"/>
    <w:rsid w:val="007F1309"/>
    <w:rsid w:val="007F2FD2"/>
    <w:rsid w:val="007F34CE"/>
    <w:rsid w:val="007F66BF"/>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0D15"/>
    <w:rsid w:val="00862244"/>
    <w:rsid w:val="00864352"/>
    <w:rsid w:val="008667AB"/>
    <w:rsid w:val="00872EE5"/>
    <w:rsid w:val="0087526B"/>
    <w:rsid w:val="008772D3"/>
    <w:rsid w:val="00877B65"/>
    <w:rsid w:val="00881EF9"/>
    <w:rsid w:val="00882155"/>
    <w:rsid w:val="00882B89"/>
    <w:rsid w:val="00887958"/>
    <w:rsid w:val="0089029F"/>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6053"/>
    <w:rsid w:val="008C6603"/>
    <w:rsid w:val="008D1297"/>
    <w:rsid w:val="008D2929"/>
    <w:rsid w:val="008D6C8D"/>
    <w:rsid w:val="008D76F0"/>
    <w:rsid w:val="008E7B0C"/>
    <w:rsid w:val="008F368D"/>
    <w:rsid w:val="008F45DC"/>
    <w:rsid w:val="008F4DA5"/>
    <w:rsid w:val="008F4DBC"/>
    <w:rsid w:val="009008C7"/>
    <w:rsid w:val="00900C30"/>
    <w:rsid w:val="00900E8F"/>
    <w:rsid w:val="00902359"/>
    <w:rsid w:val="009031C7"/>
    <w:rsid w:val="00920749"/>
    <w:rsid w:val="00922468"/>
    <w:rsid w:val="00940D07"/>
    <w:rsid w:val="0094192B"/>
    <w:rsid w:val="00942A55"/>
    <w:rsid w:val="00952AED"/>
    <w:rsid w:val="0095459C"/>
    <w:rsid w:val="00954EB1"/>
    <w:rsid w:val="009578BB"/>
    <w:rsid w:val="00960B6F"/>
    <w:rsid w:val="00960C38"/>
    <w:rsid w:val="0096283D"/>
    <w:rsid w:val="00966C58"/>
    <w:rsid w:val="00971FE0"/>
    <w:rsid w:val="00973224"/>
    <w:rsid w:val="0097464E"/>
    <w:rsid w:val="009762D8"/>
    <w:rsid w:val="0097695E"/>
    <w:rsid w:val="0098044A"/>
    <w:rsid w:val="0098057F"/>
    <w:rsid w:val="00980A82"/>
    <w:rsid w:val="0098138C"/>
    <w:rsid w:val="009825C6"/>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C1777"/>
    <w:rsid w:val="009C4C57"/>
    <w:rsid w:val="009C7B47"/>
    <w:rsid w:val="009C7BDF"/>
    <w:rsid w:val="009C7F95"/>
    <w:rsid w:val="009D4E4E"/>
    <w:rsid w:val="009E1F29"/>
    <w:rsid w:val="009E271E"/>
    <w:rsid w:val="009E2F52"/>
    <w:rsid w:val="009E319F"/>
    <w:rsid w:val="009E3FCE"/>
    <w:rsid w:val="009E45F5"/>
    <w:rsid w:val="009E60C7"/>
    <w:rsid w:val="009F1027"/>
    <w:rsid w:val="009F2B7E"/>
    <w:rsid w:val="009F2E25"/>
    <w:rsid w:val="009F3C1C"/>
    <w:rsid w:val="009F3DD5"/>
    <w:rsid w:val="009F6DAB"/>
    <w:rsid w:val="009F71DF"/>
    <w:rsid w:val="009F7F41"/>
    <w:rsid w:val="00A0166E"/>
    <w:rsid w:val="00A0268A"/>
    <w:rsid w:val="00A04BB6"/>
    <w:rsid w:val="00A07523"/>
    <w:rsid w:val="00A109B8"/>
    <w:rsid w:val="00A10B6D"/>
    <w:rsid w:val="00A11FE6"/>
    <w:rsid w:val="00A1504B"/>
    <w:rsid w:val="00A1587D"/>
    <w:rsid w:val="00A162A4"/>
    <w:rsid w:val="00A166E3"/>
    <w:rsid w:val="00A21203"/>
    <w:rsid w:val="00A238C8"/>
    <w:rsid w:val="00A25715"/>
    <w:rsid w:val="00A30EC2"/>
    <w:rsid w:val="00A31194"/>
    <w:rsid w:val="00A40B33"/>
    <w:rsid w:val="00A45F0F"/>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A5707"/>
    <w:rsid w:val="00AA7299"/>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772D"/>
    <w:rsid w:val="00AE1193"/>
    <w:rsid w:val="00AE40BD"/>
    <w:rsid w:val="00AF0756"/>
    <w:rsid w:val="00AF106F"/>
    <w:rsid w:val="00AF1ADC"/>
    <w:rsid w:val="00AF20E5"/>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2634"/>
    <w:rsid w:val="00B65AC0"/>
    <w:rsid w:val="00B67E3E"/>
    <w:rsid w:val="00B707A6"/>
    <w:rsid w:val="00B73218"/>
    <w:rsid w:val="00B739ED"/>
    <w:rsid w:val="00B768BE"/>
    <w:rsid w:val="00B8012A"/>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3DD2"/>
    <w:rsid w:val="00CA4D3A"/>
    <w:rsid w:val="00CA58C5"/>
    <w:rsid w:val="00CA6B2A"/>
    <w:rsid w:val="00CA6C1F"/>
    <w:rsid w:val="00CB0C3E"/>
    <w:rsid w:val="00CB1F88"/>
    <w:rsid w:val="00CC19EF"/>
    <w:rsid w:val="00CC65FD"/>
    <w:rsid w:val="00CD1CC2"/>
    <w:rsid w:val="00CD6121"/>
    <w:rsid w:val="00CD62B8"/>
    <w:rsid w:val="00CD7CE8"/>
    <w:rsid w:val="00CE2AF3"/>
    <w:rsid w:val="00CE5E38"/>
    <w:rsid w:val="00CE7BAD"/>
    <w:rsid w:val="00CF2313"/>
    <w:rsid w:val="00CF2C80"/>
    <w:rsid w:val="00CF4516"/>
    <w:rsid w:val="00CF4D22"/>
    <w:rsid w:val="00CF6717"/>
    <w:rsid w:val="00CF6F03"/>
    <w:rsid w:val="00D00A77"/>
    <w:rsid w:val="00D07182"/>
    <w:rsid w:val="00D2092C"/>
    <w:rsid w:val="00D20EBE"/>
    <w:rsid w:val="00D22B1B"/>
    <w:rsid w:val="00D23B58"/>
    <w:rsid w:val="00D24D82"/>
    <w:rsid w:val="00D27E64"/>
    <w:rsid w:val="00D31FA4"/>
    <w:rsid w:val="00D329A3"/>
    <w:rsid w:val="00D3575B"/>
    <w:rsid w:val="00D36BB3"/>
    <w:rsid w:val="00D40D61"/>
    <w:rsid w:val="00D41026"/>
    <w:rsid w:val="00D45676"/>
    <w:rsid w:val="00D50DC0"/>
    <w:rsid w:val="00D52EBC"/>
    <w:rsid w:val="00D54191"/>
    <w:rsid w:val="00D549DB"/>
    <w:rsid w:val="00D56A01"/>
    <w:rsid w:val="00D56E8F"/>
    <w:rsid w:val="00D57985"/>
    <w:rsid w:val="00D6174B"/>
    <w:rsid w:val="00D63CF5"/>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6224"/>
    <w:rsid w:val="00E06390"/>
    <w:rsid w:val="00E068A0"/>
    <w:rsid w:val="00E06964"/>
    <w:rsid w:val="00E12A29"/>
    <w:rsid w:val="00E13EF1"/>
    <w:rsid w:val="00E16527"/>
    <w:rsid w:val="00E2567F"/>
    <w:rsid w:val="00E2571A"/>
    <w:rsid w:val="00E34B09"/>
    <w:rsid w:val="00E41356"/>
    <w:rsid w:val="00E41448"/>
    <w:rsid w:val="00E41C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83696"/>
    <w:rsid w:val="00F838EF"/>
    <w:rsid w:val="00F85313"/>
    <w:rsid w:val="00F87A4E"/>
    <w:rsid w:val="00F914AC"/>
    <w:rsid w:val="00F91DF2"/>
    <w:rsid w:val="00F92646"/>
    <w:rsid w:val="00F963C4"/>
    <w:rsid w:val="00FA2D53"/>
    <w:rsid w:val="00FA35B7"/>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23188-91E7-4275-82F3-587F431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5</cp:revision>
  <cp:lastPrinted>2015-10-13T07:08:00Z</cp:lastPrinted>
  <dcterms:created xsi:type="dcterms:W3CDTF">2015-10-13T07:12:00Z</dcterms:created>
  <dcterms:modified xsi:type="dcterms:W3CDTF">2015-10-13T07:59:00Z</dcterms:modified>
</cp:coreProperties>
</file>