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C0" w:rsidRPr="00576895" w:rsidRDefault="00647FC0" w:rsidP="00647FC0">
      <w:pPr>
        <w:pStyle w:val="Title"/>
        <w:rPr>
          <w:rFonts w:ascii="Times New Roman" w:hAnsi="Times New Roman" w:cs="Times New Roman"/>
          <w:color w:val="auto"/>
          <w:sz w:val="28"/>
          <w:szCs w:val="28"/>
          <w:lang w:val="lv-LV"/>
        </w:rPr>
      </w:pPr>
      <w:bookmarkStart w:id="0" w:name="_GoBack"/>
      <w:bookmarkEnd w:id="0"/>
      <w:r w:rsidRPr="00576895">
        <w:rPr>
          <w:rFonts w:ascii="Times New Roman" w:hAnsi="Times New Roman" w:cs="Times New Roman"/>
          <w:color w:val="auto"/>
          <w:sz w:val="28"/>
          <w:szCs w:val="28"/>
          <w:lang w:val="lv-LV"/>
        </w:rPr>
        <w:t xml:space="preserve">Vienošanās par </w:t>
      </w:r>
      <w:r w:rsidR="006A25DA">
        <w:rPr>
          <w:rFonts w:ascii="Times New Roman" w:hAnsi="Times New Roman" w:cs="Times New Roman"/>
          <w:color w:val="auto"/>
          <w:sz w:val="28"/>
          <w:szCs w:val="28"/>
          <w:lang w:val="lv-LV"/>
        </w:rPr>
        <w:t xml:space="preserve"> Interreg </w:t>
      </w:r>
      <w:r w:rsidRPr="00576895">
        <w:rPr>
          <w:rFonts w:ascii="Times New Roman" w:hAnsi="Times New Roman" w:cs="Times New Roman"/>
          <w:color w:val="auto"/>
          <w:sz w:val="28"/>
          <w:szCs w:val="28"/>
          <w:lang w:val="lv-LV"/>
        </w:rPr>
        <w:t>Bal</w:t>
      </w:r>
      <w:r w:rsidR="00A23CC2">
        <w:rPr>
          <w:rFonts w:ascii="Times New Roman" w:hAnsi="Times New Roman" w:cs="Times New Roman"/>
          <w:color w:val="auto"/>
          <w:sz w:val="28"/>
          <w:szCs w:val="28"/>
          <w:lang w:val="lv-LV"/>
        </w:rPr>
        <w:t xml:space="preserve">tijas jūras reģiona programmas </w:t>
      </w:r>
      <w:r w:rsidRPr="00576895">
        <w:rPr>
          <w:rFonts w:ascii="Times New Roman" w:hAnsi="Times New Roman" w:cs="Times New Roman"/>
          <w:color w:val="auto"/>
          <w:sz w:val="28"/>
          <w:szCs w:val="28"/>
          <w:lang w:val="lv-LV"/>
        </w:rPr>
        <w:t>2014</w:t>
      </w:r>
      <w:r w:rsidR="00A23CC2">
        <w:rPr>
          <w:rFonts w:ascii="Times New Roman" w:hAnsi="Times New Roman" w:cs="Times New Roman"/>
          <w:color w:val="auto"/>
          <w:sz w:val="28"/>
          <w:szCs w:val="28"/>
          <w:lang w:val="lv-LV"/>
        </w:rPr>
        <w:t>.-2020.gadam</w:t>
      </w:r>
      <w:r w:rsidRPr="00576895">
        <w:rPr>
          <w:rFonts w:ascii="Times New Roman" w:hAnsi="Times New Roman" w:cs="Times New Roman"/>
          <w:color w:val="auto"/>
          <w:sz w:val="28"/>
          <w:szCs w:val="28"/>
          <w:lang w:val="lv-LV"/>
        </w:rPr>
        <w:t xml:space="preserve"> </w:t>
      </w:r>
      <w:r w:rsidR="00EC73E7">
        <w:rPr>
          <w:rFonts w:ascii="Times New Roman" w:hAnsi="Times New Roman" w:cs="Times New Roman"/>
          <w:color w:val="auto"/>
          <w:sz w:val="28"/>
          <w:szCs w:val="28"/>
          <w:lang w:val="lv-LV"/>
        </w:rPr>
        <w:t xml:space="preserve">(Baltijas jūras reģiona transnacionālās sadarbības programma) </w:t>
      </w:r>
      <w:r w:rsidRPr="00576895">
        <w:rPr>
          <w:rFonts w:ascii="Times New Roman" w:hAnsi="Times New Roman" w:cs="Times New Roman"/>
          <w:color w:val="auto"/>
          <w:sz w:val="28"/>
          <w:szCs w:val="28"/>
          <w:lang w:val="lv-LV"/>
        </w:rPr>
        <w:t xml:space="preserve">pārvaldības, finanšu un kontroles sistēmām </w:t>
      </w:r>
    </w:p>
    <w:p w:rsidR="00647FC0" w:rsidRPr="00576895" w:rsidRDefault="00647FC0" w:rsidP="00647FC0">
      <w:pPr>
        <w:tabs>
          <w:tab w:val="left" w:pos="7874"/>
        </w:tabs>
        <w:spacing w:line="240" w:lineRule="auto"/>
        <w:rPr>
          <w:rFonts w:ascii="Times New Roman" w:hAnsi="Times New Roman" w:cs="Times New Roman"/>
          <w:sz w:val="28"/>
          <w:szCs w:val="28"/>
          <w:lang w:val="lv-LV"/>
        </w:rPr>
      </w:pPr>
      <w:r w:rsidRPr="00576895">
        <w:rPr>
          <w:rFonts w:ascii="Times New Roman" w:hAnsi="Times New Roman" w:cs="Times New Roman"/>
          <w:sz w:val="28"/>
          <w:szCs w:val="28"/>
          <w:lang w:val="lv-LV"/>
        </w:rPr>
        <w:tab/>
      </w:r>
    </w:p>
    <w:p w:rsidR="00647FC0" w:rsidRPr="00A23CC2" w:rsidRDefault="00A23CC2" w:rsidP="00647FC0">
      <w:pPr>
        <w:autoSpaceDE/>
        <w:autoSpaceDN/>
        <w:adjustRightInd/>
        <w:spacing w:before="120" w:line="240" w:lineRule="atLeast"/>
        <w:rPr>
          <w:rFonts w:ascii="Times New Roman" w:eastAsia="Times New Roman" w:hAnsi="Times New Roman" w:cs="Times New Roman"/>
          <w:b/>
          <w:caps/>
          <w:color w:val="auto"/>
          <w:szCs w:val="24"/>
          <w:lang w:val="lv-LV" w:eastAsia="en-GB"/>
        </w:rPr>
      </w:pPr>
      <w:r w:rsidRPr="00A23CC2">
        <w:rPr>
          <w:rFonts w:ascii="Times New Roman" w:hAnsi="Times New Roman" w:cs="Times New Roman"/>
          <w:b/>
          <w:color w:val="auto"/>
          <w:szCs w:val="24"/>
          <w:lang w:val="lv-LV"/>
        </w:rPr>
        <w:t>IEVADS</w:t>
      </w:r>
    </w:p>
    <w:p w:rsidR="00647FC0" w:rsidRPr="00576895" w:rsidRDefault="00647FC0" w:rsidP="00647FC0">
      <w:pPr>
        <w:autoSpaceDE/>
        <w:autoSpaceDN/>
        <w:adjustRightInd/>
        <w:spacing w:before="180" w:line="240" w:lineRule="atLeast"/>
        <w:rPr>
          <w:rFonts w:ascii="Times New Roman" w:eastAsia="Times New Roman" w:hAnsi="Times New Roman" w:cs="Times New Roman"/>
          <w:b/>
          <w:caps/>
          <w:color w:val="auto"/>
          <w:szCs w:val="24"/>
          <w:lang w:val="lv-LV" w:eastAsia="en-GB"/>
        </w:rPr>
      </w:pPr>
      <w:r w:rsidRPr="00576895">
        <w:rPr>
          <w:rFonts w:ascii="Times New Roman" w:eastAsia="Times New Roman" w:hAnsi="Times New Roman" w:cs="Times New Roman"/>
          <w:b/>
          <w:caps/>
          <w:color w:val="auto"/>
          <w:szCs w:val="24"/>
          <w:lang w:val="lv-LV" w:eastAsia="en-GB"/>
        </w:rPr>
        <w:t>1.daļa – GALVENIE IEVIEŠANAS NOTEIKUMI</w:t>
      </w:r>
    </w:p>
    <w:p w:rsidR="00647FC0" w:rsidRPr="00576895" w:rsidRDefault="00FF039A" w:rsidP="00647FC0">
      <w:pPr>
        <w:autoSpaceDE/>
        <w:autoSpaceDN/>
        <w:adjustRightInd/>
        <w:spacing w:before="120" w:after="120" w:line="240" w:lineRule="atLeast"/>
        <w:rPr>
          <w:rFonts w:ascii="Times New Roman" w:eastAsia="Times New Roman" w:hAnsi="Times New Roman" w:cs="Times New Roman"/>
          <w:color w:val="auto"/>
          <w:szCs w:val="24"/>
          <w:lang w:val="lv-LV" w:eastAsia="en-GB"/>
        </w:rPr>
      </w:pPr>
      <w:r>
        <w:rPr>
          <w:rFonts w:ascii="Times New Roman" w:eastAsia="Times New Roman" w:hAnsi="Times New Roman" w:cs="Times New Roman"/>
          <w:color w:val="auto"/>
          <w:szCs w:val="24"/>
          <w:lang w:val="lv-LV" w:eastAsia="en-GB"/>
        </w:rPr>
        <w:t>1.pants</w:t>
      </w:r>
      <w:r w:rsidR="00647FC0" w:rsidRPr="00576895">
        <w:rPr>
          <w:rFonts w:ascii="Times New Roman" w:eastAsia="Times New Roman" w:hAnsi="Times New Roman" w:cs="Times New Roman"/>
          <w:color w:val="auto"/>
          <w:szCs w:val="24"/>
          <w:lang w:val="lv-LV" w:eastAsia="en-GB"/>
        </w:rPr>
        <w:t>: Mērķis un apjoms</w:t>
      </w:r>
    </w:p>
    <w:p w:rsidR="00647FC0" w:rsidRPr="00576895" w:rsidRDefault="00FF039A" w:rsidP="00647FC0">
      <w:pPr>
        <w:autoSpaceDE/>
        <w:autoSpaceDN/>
        <w:adjustRightInd/>
        <w:spacing w:before="120" w:after="60" w:line="240" w:lineRule="atLeast"/>
        <w:rPr>
          <w:rFonts w:ascii="Times New Roman" w:eastAsia="Times New Roman" w:hAnsi="Times New Roman" w:cs="Times New Roman"/>
          <w:color w:val="auto"/>
          <w:szCs w:val="24"/>
          <w:lang w:val="lv-LV" w:eastAsia="en-GB"/>
        </w:rPr>
      </w:pPr>
      <w:r>
        <w:rPr>
          <w:rFonts w:ascii="Times New Roman" w:eastAsia="Times New Roman" w:hAnsi="Times New Roman" w:cs="Times New Roman"/>
          <w:color w:val="auto"/>
          <w:szCs w:val="24"/>
          <w:lang w:val="lv-LV" w:eastAsia="en-GB"/>
        </w:rPr>
        <w:t>2.pan</w:t>
      </w:r>
      <w:r w:rsidR="00647FC0" w:rsidRPr="00576895">
        <w:rPr>
          <w:rFonts w:ascii="Times New Roman" w:eastAsia="Times New Roman" w:hAnsi="Times New Roman" w:cs="Times New Roman"/>
          <w:color w:val="auto"/>
          <w:szCs w:val="24"/>
          <w:lang w:val="lv-LV" w:eastAsia="en-GB"/>
        </w:rPr>
        <w:t>ts: Galvenā ieviešanas struktūra un procedūras</w:t>
      </w:r>
    </w:p>
    <w:p w:rsidR="00647FC0" w:rsidRPr="00576895" w:rsidRDefault="00647FC0" w:rsidP="00647FC0">
      <w:pPr>
        <w:numPr>
          <w:ilvl w:val="0"/>
          <w:numId w:val="3"/>
        </w:numPr>
        <w:autoSpaceDE/>
        <w:autoSpaceDN/>
        <w:adjustRightInd/>
        <w:spacing w:before="40" w:line="240" w:lineRule="atLeast"/>
        <w:ind w:left="851" w:hanging="567"/>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Vadošā iestāde</w:t>
      </w:r>
      <w:r w:rsidR="00A23CC2">
        <w:rPr>
          <w:rFonts w:ascii="Times New Roman" w:eastAsia="Times New Roman" w:hAnsi="Times New Roman" w:cs="Times New Roman"/>
          <w:color w:val="auto"/>
          <w:szCs w:val="24"/>
          <w:lang w:val="lv-LV" w:eastAsia="en-GB"/>
        </w:rPr>
        <w:t xml:space="preserve"> (VI)</w:t>
      </w:r>
    </w:p>
    <w:p w:rsidR="00647FC0" w:rsidRPr="00576895" w:rsidRDefault="00647FC0" w:rsidP="00647FC0">
      <w:pPr>
        <w:numPr>
          <w:ilvl w:val="0"/>
          <w:numId w:val="3"/>
        </w:numPr>
        <w:autoSpaceDE/>
        <w:autoSpaceDN/>
        <w:adjustRightInd/>
        <w:spacing w:before="40" w:line="240" w:lineRule="atLeast"/>
        <w:ind w:left="851" w:hanging="567"/>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Kopīgais sekretariāts</w:t>
      </w:r>
      <w:r w:rsidR="00A23CC2">
        <w:rPr>
          <w:rFonts w:ascii="Times New Roman" w:eastAsia="Times New Roman" w:hAnsi="Times New Roman" w:cs="Times New Roman"/>
          <w:color w:val="auto"/>
          <w:szCs w:val="24"/>
          <w:lang w:val="lv-LV" w:eastAsia="en-GB"/>
        </w:rPr>
        <w:t xml:space="preserve"> (KS)</w:t>
      </w:r>
    </w:p>
    <w:p w:rsidR="00647FC0" w:rsidRPr="00576895" w:rsidRDefault="00647FC0" w:rsidP="00647FC0">
      <w:pPr>
        <w:numPr>
          <w:ilvl w:val="0"/>
          <w:numId w:val="3"/>
        </w:numPr>
        <w:autoSpaceDE/>
        <w:autoSpaceDN/>
        <w:adjustRightInd/>
        <w:spacing w:before="40" w:line="240" w:lineRule="atLeast"/>
        <w:ind w:left="851" w:hanging="567"/>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VI/KS personāla un vadības kārtība</w:t>
      </w:r>
    </w:p>
    <w:p w:rsidR="00647FC0" w:rsidRPr="00576895" w:rsidRDefault="00647FC0" w:rsidP="00647FC0">
      <w:pPr>
        <w:numPr>
          <w:ilvl w:val="0"/>
          <w:numId w:val="3"/>
        </w:numPr>
        <w:autoSpaceDE/>
        <w:autoSpaceDN/>
        <w:adjustRightInd/>
        <w:spacing w:before="40" w:line="240" w:lineRule="atLeast"/>
        <w:ind w:left="851" w:hanging="567"/>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Kontaktpunkti</w:t>
      </w:r>
    </w:p>
    <w:p w:rsidR="00647FC0" w:rsidRPr="00576895" w:rsidRDefault="00647FC0" w:rsidP="00647FC0">
      <w:pPr>
        <w:numPr>
          <w:ilvl w:val="0"/>
          <w:numId w:val="3"/>
        </w:numPr>
        <w:autoSpaceDE/>
        <w:autoSpaceDN/>
        <w:adjustRightInd/>
        <w:spacing w:before="40" w:line="240" w:lineRule="atLeast"/>
        <w:ind w:left="851" w:hanging="567"/>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Uzraudzības komiteja</w:t>
      </w:r>
    </w:p>
    <w:p w:rsidR="00647FC0" w:rsidRPr="00576895" w:rsidRDefault="00647FC0" w:rsidP="00647FC0">
      <w:pPr>
        <w:numPr>
          <w:ilvl w:val="0"/>
          <w:numId w:val="3"/>
        </w:numPr>
        <w:autoSpaceDE/>
        <w:autoSpaceDN/>
        <w:adjustRightInd/>
        <w:spacing w:before="40" w:line="240" w:lineRule="atLeast"/>
        <w:ind w:left="851" w:hanging="567"/>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Revīzijas iestāde un otrā līmeņa revidenti</w:t>
      </w:r>
    </w:p>
    <w:p w:rsidR="00647FC0" w:rsidRPr="00576895" w:rsidRDefault="00647FC0" w:rsidP="00647FC0">
      <w:pPr>
        <w:numPr>
          <w:ilvl w:val="0"/>
          <w:numId w:val="3"/>
        </w:numPr>
        <w:autoSpaceDE/>
        <w:autoSpaceDN/>
        <w:adjustRightInd/>
        <w:spacing w:before="40" w:line="240" w:lineRule="atLeast"/>
        <w:ind w:left="851" w:hanging="567"/>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Vadības pārbaudes, finanšu kontrolieru loma</w:t>
      </w:r>
    </w:p>
    <w:p w:rsidR="00647FC0" w:rsidRPr="00576895" w:rsidRDefault="00FF039A" w:rsidP="00647FC0">
      <w:pPr>
        <w:autoSpaceDE/>
        <w:autoSpaceDN/>
        <w:adjustRightInd/>
        <w:spacing w:before="120" w:after="60" w:line="240" w:lineRule="atLeast"/>
        <w:rPr>
          <w:rFonts w:ascii="Times New Roman" w:eastAsia="Times New Roman" w:hAnsi="Times New Roman" w:cs="Times New Roman"/>
          <w:color w:val="auto"/>
          <w:szCs w:val="24"/>
          <w:lang w:val="lv-LV" w:eastAsia="en-GB"/>
        </w:rPr>
      </w:pPr>
      <w:r>
        <w:rPr>
          <w:rFonts w:ascii="Times New Roman" w:eastAsia="Times New Roman" w:hAnsi="Times New Roman" w:cs="Times New Roman"/>
          <w:color w:val="auto"/>
          <w:szCs w:val="24"/>
          <w:lang w:val="lv-LV" w:eastAsia="en-GB"/>
        </w:rPr>
        <w:t>3.pan</w:t>
      </w:r>
      <w:r w:rsidR="00647FC0" w:rsidRPr="00576895">
        <w:rPr>
          <w:rFonts w:ascii="Times New Roman" w:eastAsia="Times New Roman" w:hAnsi="Times New Roman" w:cs="Times New Roman"/>
          <w:color w:val="auto"/>
          <w:szCs w:val="24"/>
          <w:lang w:val="lv-LV" w:eastAsia="en-GB"/>
        </w:rPr>
        <w:t>ts: Tehniskās palīdzības budžets</w:t>
      </w:r>
    </w:p>
    <w:p w:rsidR="00647FC0" w:rsidRPr="00576895" w:rsidRDefault="00647FC0" w:rsidP="00647FC0">
      <w:pPr>
        <w:numPr>
          <w:ilvl w:val="0"/>
          <w:numId w:val="30"/>
        </w:numPr>
        <w:autoSpaceDE/>
        <w:autoSpaceDN/>
        <w:adjustRightInd/>
        <w:spacing w:before="40" w:line="240" w:lineRule="atLeast"/>
        <w:ind w:left="709" w:hanging="425"/>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 xml:space="preserve">Programmas pārvaldības finansēšana  </w:t>
      </w:r>
    </w:p>
    <w:p w:rsidR="00647FC0" w:rsidRPr="00576895" w:rsidRDefault="00647FC0" w:rsidP="00647FC0">
      <w:pPr>
        <w:numPr>
          <w:ilvl w:val="0"/>
          <w:numId w:val="30"/>
        </w:numPr>
        <w:autoSpaceDE/>
        <w:autoSpaceDN/>
        <w:adjustRightInd/>
        <w:spacing w:before="40" w:line="240" w:lineRule="atLeast"/>
        <w:ind w:left="709" w:hanging="425"/>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Noteikumi par tehniskās palīdzības izdevumu atbilstību</w:t>
      </w:r>
    </w:p>
    <w:p w:rsidR="00647FC0" w:rsidRPr="00576895" w:rsidRDefault="00FF039A" w:rsidP="00647FC0">
      <w:pPr>
        <w:autoSpaceDE/>
        <w:autoSpaceDN/>
        <w:adjustRightInd/>
        <w:spacing w:before="120" w:after="60" w:line="240" w:lineRule="atLeast"/>
        <w:rPr>
          <w:rFonts w:ascii="Times New Roman" w:eastAsia="Times New Roman" w:hAnsi="Times New Roman" w:cs="Times New Roman"/>
          <w:color w:val="auto"/>
          <w:szCs w:val="24"/>
          <w:lang w:val="lv-LV" w:eastAsia="en-GB"/>
        </w:rPr>
      </w:pPr>
      <w:r>
        <w:rPr>
          <w:rFonts w:ascii="Times New Roman" w:eastAsia="Times New Roman" w:hAnsi="Times New Roman" w:cs="Times New Roman"/>
          <w:color w:val="auto"/>
          <w:szCs w:val="24"/>
          <w:lang w:val="lv-LV" w:eastAsia="en-GB"/>
        </w:rPr>
        <w:t>4.pan</w:t>
      </w:r>
      <w:r w:rsidR="00647FC0" w:rsidRPr="00576895">
        <w:rPr>
          <w:rFonts w:ascii="Times New Roman" w:eastAsia="Times New Roman" w:hAnsi="Times New Roman" w:cs="Times New Roman"/>
          <w:color w:val="auto"/>
          <w:szCs w:val="24"/>
          <w:lang w:val="lv-LV" w:eastAsia="en-GB"/>
        </w:rPr>
        <w:t>ts: Uz galvenajām ieviešanas procedūrām attiecināmā kārtība</w:t>
      </w:r>
    </w:p>
    <w:p w:rsidR="00647FC0" w:rsidRPr="00576895" w:rsidRDefault="00647FC0" w:rsidP="00647FC0">
      <w:pPr>
        <w:numPr>
          <w:ilvl w:val="0"/>
          <w:numId w:val="31"/>
        </w:numPr>
        <w:autoSpaceDE/>
        <w:autoSpaceDN/>
        <w:adjustRightInd/>
        <w:spacing w:before="40" w:line="240" w:lineRule="atLeast"/>
        <w:ind w:left="851" w:hanging="567"/>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Projekta izvērtēšanas, apstiprināšanas un līguma slēgšanas process</w:t>
      </w:r>
    </w:p>
    <w:p w:rsidR="00647FC0" w:rsidRPr="00576895" w:rsidRDefault="00647FC0" w:rsidP="00647FC0">
      <w:pPr>
        <w:numPr>
          <w:ilvl w:val="0"/>
          <w:numId w:val="31"/>
        </w:numPr>
        <w:autoSpaceDE/>
        <w:autoSpaceDN/>
        <w:adjustRightInd/>
        <w:spacing w:before="40" w:line="240" w:lineRule="atLeast"/>
        <w:ind w:left="851" w:hanging="567"/>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Programmas konti un maksājumu procedūra</w:t>
      </w:r>
    </w:p>
    <w:p w:rsidR="00647FC0" w:rsidRPr="00576895" w:rsidRDefault="00647FC0" w:rsidP="00647FC0">
      <w:pPr>
        <w:numPr>
          <w:ilvl w:val="0"/>
          <w:numId w:val="31"/>
        </w:numPr>
        <w:autoSpaceDE/>
        <w:autoSpaceDN/>
        <w:adjustRightInd/>
        <w:spacing w:before="40" w:line="240" w:lineRule="atLeast"/>
        <w:ind w:left="851" w:hanging="567"/>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Uzraudzība</w:t>
      </w:r>
    </w:p>
    <w:p w:rsidR="00647FC0" w:rsidRPr="00576895" w:rsidRDefault="00647FC0" w:rsidP="00647FC0">
      <w:pPr>
        <w:numPr>
          <w:ilvl w:val="0"/>
          <w:numId w:val="31"/>
        </w:numPr>
        <w:autoSpaceDE/>
        <w:autoSpaceDN/>
        <w:adjustRightInd/>
        <w:spacing w:before="40" w:line="240" w:lineRule="atLeast"/>
        <w:ind w:left="851" w:hanging="567"/>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Sūdzību risināšana</w:t>
      </w:r>
    </w:p>
    <w:p w:rsidR="00647FC0" w:rsidRPr="00576895" w:rsidRDefault="00FF039A" w:rsidP="00647FC0">
      <w:pPr>
        <w:autoSpaceDE/>
        <w:autoSpaceDN/>
        <w:adjustRightInd/>
        <w:spacing w:before="120" w:after="60" w:line="240" w:lineRule="atLeast"/>
        <w:rPr>
          <w:rFonts w:ascii="Times New Roman" w:eastAsia="Times New Roman" w:hAnsi="Times New Roman" w:cs="Times New Roman"/>
          <w:color w:val="auto"/>
          <w:szCs w:val="24"/>
          <w:lang w:val="lv-LV" w:eastAsia="en-GB"/>
        </w:rPr>
      </w:pPr>
      <w:r>
        <w:rPr>
          <w:rFonts w:ascii="Times New Roman" w:eastAsia="Times New Roman" w:hAnsi="Times New Roman" w:cs="Times New Roman"/>
          <w:color w:val="auto"/>
          <w:szCs w:val="24"/>
          <w:lang w:val="lv-LV" w:eastAsia="en-GB"/>
        </w:rPr>
        <w:t>5.pan</w:t>
      </w:r>
      <w:r w:rsidR="00647FC0" w:rsidRPr="00576895">
        <w:rPr>
          <w:rFonts w:ascii="Times New Roman" w:eastAsia="Times New Roman" w:hAnsi="Times New Roman" w:cs="Times New Roman"/>
          <w:color w:val="auto"/>
          <w:szCs w:val="24"/>
          <w:lang w:val="lv-LV" w:eastAsia="en-GB"/>
        </w:rPr>
        <w:t xml:space="preserve">ts: Vienošanās ieviešanas problēmu gadījumā </w:t>
      </w:r>
    </w:p>
    <w:p w:rsidR="00647FC0" w:rsidRPr="00576895" w:rsidRDefault="00647FC0" w:rsidP="00647FC0">
      <w:pPr>
        <w:numPr>
          <w:ilvl w:val="0"/>
          <w:numId w:val="32"/>
        </w:numPr>
        <w:autoSpaceDE/>
        <w:autoSpaceDN/>
        <w:adjustRightInd/>
        <w:spacing w:before="40" w:line="240" w:lineRule="atLeast"/>
        <w:ind w:left="851" w:hanging="567"/>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Vispārīga informācija</w:t>
      </w:r>
    </w:p>
    <w:p w:rsidR="00647FC0" w:rsidRPr="00576895" w:rsidRDefault="00647FC0" w:rsidP="00647FC0">
      <w:pPr>
        <w:numPr>
          <w:ilvl w:val="0"/>
          <w:numId w:val="32"/>
        </w:numPr>
        <w:autoSpaceDE/>
        <w:autoSpaceDN/>
        <w:adjustRightInd/>
        <w:spacing w:before="40" w:line="240" w:lineRule="atLeast"/>
        <w:ind w:left="851" w:hanging="567"/>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Maksājumu pārtraukšana/apturēšana</w:t>
      </w:r>
    </w:p>
    <w:p w:rsidR="00647FC0" w:rsidRPr="00576895" w:rsidRDefault="00647FC0" w:rsidP="00647FC0">
      <w:pPr>
        <w:numPr>
          <w:ilvl w:val="0"/>
          <w:numId w:val="32"/>
        </w:numPr>
        <w:autoSpaceDE/>
        <w:autoSpaceDN/>
        <w:adjustRightInd/>
        <w:spacing w:before="40" w:line="240" w:lineRule="atLeast"/>
        <w:ind w:left="851" w:hanging="567"/>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Projekti attiecībā uz kuriem ir ierosināti tiesas vai citi procesi</w:t>
      </w:r>
    </w:p>
    <w:p w:rsidR="00647FC0" w:rsidRPr="00576895" w:rsidRDefault="00647FC0" w:rsidP="00647FC0">
      <w:pPr>
        <w:numPr>
          <w:ilvl w:val="0"/>
          <w:numId w:val="32"/>
        </w:numPr>
        <w:autoSpaceDE/>
        <w:autoSpaceDN/>
        <w:adjustRightInd/>
        <w:spacing w:before="40" w:line="240" w:lineRule="atLeast"/>
        <w:ind w:left="851" w:hanging="567"/>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 xml:space="preserve">Bankrotējušie projekti </w:t>
      </w:r>
    </w:p>
    <w:p w:rsidR="00647FC0" w:rsidRPr="00576895" w:rsidRDefault="00647FC0" w:rsidP="00647FC0">
      <w:pPr>
        <w:numPr>
          <w:ilvl w:val="0"/>
          <w:numId w:val="32"/>
        </w:numPr>
        <w:autoSpaceDE/>
        <w:autoSpaceDN/>
        <w:adjustRightInd/>
        <w:spacing w:before="40" w:line="240" w:lineRule="atLeast"/>
        <w:ind w:left="851" w:hanging="567"/>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 xml:space="preserve">Neatbilstības un zaudējumu atlīdzināšanas procedūra </w:t>
      </w:r>
    </w:p>
    <w:p w:rsidR="00647FC0" w:rsidRPr="00576895" w:rsidRDefault="00647FC0" w:rsidP="00647FC0">
      <w:pPr>
        <w:numPr>
          <w:ilvl w:val="0"/>
          <w:numId w:val="32"/>
        </w:numPr>
        <w:autoSpaceDE/>
        <w:autoSpaceDN/>
        <w:adjustRightInd/>
        <w:spacing w:before="40" w:line="240" w:lineRule="atLeast"/>
        <w:ind w:left="851" w:hanging="567"/>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 xml:space="preserve">Saistību noteikšana </w:t>
      </w:r>
    </w:p>
    <w:p w:rsidR="00647FC0" w:rsidRPr="00576895" w:rsidRDefault="00647FC0" w:rsidP="00647FC0">
      <w:pPr>
        <w:numPr>
          <w:ilvl w:val="0"/>
          <w:numId w:val="32"/>
        </w:numPr>
        <w:autoSpaceDE/>
        <w:autoSpaceDN/>
        <w:adjustRightInd/>
        <w:spacing w:before="40" w:line="240" w:lineRule="atLeast"/>
        <w:ind w:left="851" w:hanging="567"/>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 xml:space="preserve">Sistēmas kļūdas un finanšu korekcijas </w:t>
      </w:r>
    </w:p>
    <w:p w:rsidR="00647FC0" w:rsidRPr="00576895" w:rsidRDefault="00FF039A" w:rsidP="00647FC0">
      <w:pPr>
        <w:autoSpaceDE/>
        <w:autoSpaceDN/>
        <w:adjustRightInd/>
        <w:spacing w:before="120" w:after="120" w:line="240" w:lineRule="atLeast"/>
        <w:rPr>
          <w:rFonts w:ascii="Times New Roman" w:eastAsia="Times New Roman" w:hAnsi="Times New Roman" w:cs="Times New Roman"/>
          <w:color w:val="auto"/>
          <w:szCs w:val="24"/>
          <w:lang w:val="lv-LV" w:eastAsia="en-GB"/>
        </w:rPr>
      </w:pPr>
      <w:r>
        <w:rPr>
          <w:rFonts w:ascii="Times New Roman" w:eastAsia="Times New Roman" w:hAnsi="Times New Roman" w:cs="Times New Roman"/>
          <w:color w:val="auto"/>
          <w:szCs w:val="24"/>
          <w:lang w:val="lv-LV" w:eastAsia="en-GB"/>
        </w:rPr>
        <w:t>6.pant</w:t>
      </w:r>
      <w:r w:rsidR="00647FC0" w:rsidRPr="00576895">
        <w:rPr>
          <w:rFonts w:ascii="Times New Roman" w:eastAsia="Times New Roman" w:hAnsi="Times New Roman" w:cs="Times New Roman"/>
          <w:color w:val="auto"/>
          <w:szCs w:val="24"/>
          <w:lang w:val="lv-LV" w:eastAsia="en-GB"/>
        </w:rPr>
        <w:t>ts: Programmas slēgšanas kārtība</w:t>
      </w:r>
    </w:p>
    <w:p w:rsidR="00647FC0" w:rsidRPr="00576895" w:rsidRDefault="00647FC0" w:rsidP="00647FC0">
      <w:pPr>
        <w:autoSpaceDE/>
        <w:autoSpaceDN/>
        <w:adjustRightInd/>
        <w:spacing w:before="180" w:line="240" w:lineRule="atLeast"/>
        <w:rPr>
          <w:rFonts w:ascii="Times New Roman" w:eastAsia="Times New Roman" w:hAnsi="Times New Roman" w:cs="Times New Roman"/>
          <w:b/>
          <w:caps/>
          <w:color w:val="auto"/>
          <w:szCs w:val="24"/>
          <w:lang w:val="lv-LV" w:eastAsia="en-GB"/>
        </w:rPr>
      </w:pPr>
      <w:r w:rsidRPr="00576895">
        <w:rPr>
          <w:rFonts w:ascii="Times New Roman" w:eastAsia="Times New Roman" w:hAnsi="Times New Roman" w:cs="Times New Roman"/>
          <w:b/>
          <w:caps/>
          <w:color w:val="auto"/>
          <w:szCs w:val="24"/>
          <w:lang w:val="lv-LV" w:eastAsia="en-GB"/>
        </w:rPr>
        <w:t xml:space="preserve">2.daļa – citi noteikumi </w:t>
      </w:r>
    </w:p>
    <w:p w:rsidR="00647FC0" w:rsidRPr="00576895" w:rsidRDefault="00FF039A" w:rsidP="00647FC0">
      <w:pPr>
        <w:tabs>
          <w:tab w:val="left" w:pos="8489"/>
        </w:tabs>
        <w:autoSpaceDE/>
        <w:autoSpaceDN/>
        <w:adjustRightInd/>
        <w:spacing w:before="120" w:after="120" w:line="240" w:lineRule="atLeast"/>
        <w:rPr>
          <w:rFonts w:ascii="Times New Roman" w:eastAsia="Times New Roman" w:hAnsi="Times New Roman" w:cs="Times New Roman"/>
          <w:color w:val="auto"/>
          <w:szCs w:val="24"/>
          <w:lang w:val="lv-LV" w:eastAsia="en-GB"/>
        </w:rPr>
      </w:pPr>
      <w:r>
        <w:rPr>
          <w:rFonts w:ascii="Times New Roman" w:eastAsia="Times New Roman" w:hAnsi="Times New Roman" w:cs="Times New Roman"/>
          <w:color w:val="auto"/>
          <w:szCs w:val="24"/>
          <w:lang w:val="lv-LV" w:eastAsia="en-GB"/>
        </w:rPr>
        <w:t>7.pant</w:t>
      </w:r>
      <w:r w:rsidR="00647FC0" w:rsidRPr="00576895">
        <w:rPr>
          <w:rFonts w:ascii="Times New Roman" w:eastAsia="Times New Roman" w:hAnsi="Times New Roman" w:cs="Times New Roman"/>
          <w:color w:val="auto"/>
          <w:szCs w:val="24"/>
          <w:lang w:val="lv-LV" w:eastAsia="en-GB"/>
        </w:rPr>
        <w:t xml:space="preserve">s: Izmaiņas ieviešanas struktūrās </w:t>
      </w:r>
      <w:r w:rsidR="00647FC0" w:rsidRPr="00576895">
        <w:rPr>
          <w:rFonts w:ascii="Times New Roman" w:eastAsia="Times New Roman" w:hAnsi="Times New Roman" w:cs="Times New Roman"/>
          <w:color w:val="auto"/>
          <w:szCs w:val="24"/>
          <w:lang w:val="lv-LV" w:eastAsia="en-GB"/>
        </w:rPr>
        <w:tab/>
      </w:r>
    </w:p>
    <w:p w:rsidR="00647FC0" w:rsidRPr="00576895" w:rsidRDefault="00FF039A" w:rsidP="00647FC0">
      <w:pPr>
        <w:autoSpaceDE/>
        <w:autoSpaceDN/>
        <w:adjustRightInd/>
        <w:spacing w:before="120" w:after="120" w:line="240" w:lineRule="atLeast"/>
        <w:rPr>
          <w:rFonts w:ascii="Times New Roman" w:eastAsia="Times New Roman" w:hAnsi="Times New Roman" w:cs="Times New Roman"/>
          <w:color w:val="auto"/>
          <w:szCs w:val="24"/>
          <w:lang w:val="lv-LV" w:eastAsia="en-GB"/>
        </w:rPr>
      </w:pPr>
      <w:r>
        <w:rPr>
          <w:rFonts w:ascii="Times New Roman" w:eastAsia="Times New Roman" w:hAnsi="Times New Roman" w:cs="Times New Roman"/>
          <w:color w:val="auto"/>
          <w:szCs w:val="24"/>
          <w:lang w:val="lv-LV" w:eastAsia="en-GB"/>
        </w:rPr>
        <w:t>8.pan</w:t>
      </w:r>
      <w:r w:rsidR="00647FC0" w:rsidRPr="00576895">
        <w:rPr>
          <w:rFonts w:ascii="Times New Roman" w:eastAsia="Times New Roman" w:hAnsi="Times New Roman" w:cs="Times New Roman"/>
          <w:color w:val="auto"/>
          <w:szCs w:val="24"/>
          <w:lang w:val="lv-LV" w:eastAsia="en-GB"/>
        </w:rPr>
        <w:t>ts: Saskaņoto noteikumu un termiņu neievērošana - sankcijas</w:t>
      </w:r>
    </w:p>
    <w:p w:rsidR="00647FC0" w:rsidRPr="00576895" w:rsidRDefault="00FF039A" w:rsidP="00647FC0">
      <w:pPr>
        <w:autoSpaceDE/>
        <w:autoSpaceDN/>
        <w:adjustRightInd/>
        <w:spacing w:before="120" w:after="120" w:line="240" w:lineRule="atLeast"/>
        <w:rPr>
          <w:rFonts w:ascii="Times New Roman" w:eastAsia="Times New Roman" w:hAnsi="Times New Roman" w:cs="Times New Roman"/>
          <w:color w:val="auto"/>
          <w:szCs w:val="24"/>
          <w:lang w:val="lv-LV" w:eastAsia="en-GB"/>
        </w:rPr>
      </w:pPr>
      <w:r>
        <w:rPr>
          <w:rFonts w:ascii="Times New Roman" w:eastAsia="Times New Roman" w:hAnsi="Times New Roman" w:cs="Times New Roman"/>
          <w:color w:val="auto"/>
          <w:szCs w:val="24"/>
          <w:lang w:val="lv-LV" w:eastAsia="en-GB"/>
        </w:rPr>
        <w:t>9.pan</w:t>
      </w:r>
      <w:r w:rsidR="00647FC0" w:rsidRPr="00576895">
        <w:rPr>
          <w:rFonts w:ascii="Times New Roman" w:eastAsia="Times New Roman" w:hAnsi="Times New Roman" w:cs="Times New Roman"/>
          <w:color w:val="auto"/>
          <w:szCs w:val="24"/>
          <w:lang w:val="lv-LV" w:eastAsia="en-GB"/>
        </w:rPr>
        <w:t>ts: Noslēguma noteikumi</w:t>
      </w:r>
    </w:p>
    <w:p w:rsidR="00647FC0" w:rsidRPr="00576895" w:rsidRDefault="00647FC0" w:rsidP="00647FC0">
      <w:pPr>
        <w:rPr>
          <w:rFonts w:ascii="Times New Roman" w:eastAsia="Times New Roman" w:hAnsi="Times New Roman" w:cs="Times New Roman"/>
          <w:color w:val="auto"/>
          <w:szCs w:val="24"/>
          <w:lang w:val="lv-LV" w:eastAsia="en-GB"/>
        </w:rPr>
        <w:sectPr w:rsidR="00647FC0" w:rsidRPr="00576895" w:rsidSect="009F0863">
          <w:headerReference w:type="default" r:id="rId9"/>
          <w:footerReference w:type="default" r:id="rId10"/>
          <w:headerReference w:type="first" r:id="rId11"/>
          <w:footerReference w:type="first" r:id="rId12"/>
          <w:pgSz w:w="11906" w:h="16838"/>
          <w:pgMar w:top="1520" w:right="1077" w:bottom="1276" w:left="1560" w:header="284" w:footer="179" w:gutter="0"/>
          <w:pgNumType w:start="1"/>
          <w:cols w:space="708"/>
          <w:docGrid w:linePitch="360"/>
        </w:sectPr>
      </w:pPr>
      <w:r w:rsidRPr="00576895">
        <w:rPr>
          <w:rFonts w:ascii="Times New Roman" w:eastAsia="Times New Roman" w:hAnsi="Times New Roman" w:cs="Times New Roman"/>
          <w:b/>
          <w:caps/>
          <w:color w:val="auto"/>
          <w:szCs w:val="24"/>
          <w:lang w:val="lv-LV" w:eastAsia="en-GB"/>
        </w:rPr>
        <w:t xml:space="preserve">pielikums: </w:t>
      </w:r>
      <w:r w:rsidRPr="00576895">
        <w:rPr>
          <w:rFonts w:ascii="Times New Roman" w:eastAsia="Times New Roman" w:hAnsi="Times New Roman" w:cs="Times New Roman"/>
          <w:color w:val="auto"/>
          <w:szCs w:val="24"/>
          <w:lang w:val="lv-LV" w:eastAsia="en-GB"/>
        </w:rPr>
        <w:t>Nacionālās saistības un līdzfinansējums tehniskajai palīdzībai (TP)</w:t>
      </w:r>
    </w:p>
    <w:p w:rsidR="00647FC0" w:rsidRPr="00576895" w:rsidRDefault="00647FC0" w:rsidP="00647FC0">
      <w:pPr>
        <w:tabs>
          <w:tab w:val="left" w:pos="2207"/>
          <w:tab w:val="left" w:pos="4105"/>
        </w:tabs>
        <w:autoSpaceDE/>
        <w:autoSpaceDN/>
        <w:adjustRightInd/>
        <w:spacing w:before="480" w:after="120" w:line="360" w:lineRule="auto"/>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en-US"/>
        </w:rPr>
        <w:lastRenderedPageBreak/>
        <w:t>Ievērojot</w:t>
      </w:r>
      <w:r w:rsidRPr="00576895">
        <w:rPr>
          <w:rFonts w:ascii="Times New Roman" w:eastAsia="Times New Roman" w:hAnsi="Times New Roman" w:cs="Times New Roman"/>
          <w:color w:val="auto"/>
          <w:szCs w:val="24"/>
          <w:lang w:val="lv-LV" w:eastAsia="en-US"/>
        </w:rPr>
        <w:tab/>
      </w:r>
      <w:r w:rsidRPr="00576895">
        <w:rPr>
          <w:rFonts w:ascii="Times New Roman" w:eastAsia="Times New Roman" w:hAnsi="Times New Roman" w:cs="Times New Roman"/>
          <w:color w:val="auto"/>
          <w:szCs w:val="24"/>
          <w:lang w:val="lv-LV" w:eastAsia="en-US"/>
        </w:rPr>
        <w:tab/>
      </w:r>
    </w:p>
    <w:p w:rsidR="00647FC0" w:rsidRPr="00576895" w:rsidRDefault="00647FC0" w:rsidP="00647FC0">
      <w:pPr>
        <w:pStyle w:val="BodyText"/>
        <w:numPr>
          <w:ilvl w:val="0"/>
          <w:numId w:val="4"/>
        </w:numPr>
        <w:tabs>
          <w:tab w:val="clear" w:pos="567"/>
          <w:tab w:val="num" w:pos="709"/>
        </w:tabs>
        <w:spacing w:before="120" w:after="120" w:line="260" w:lineRule="atLeast"/>
        <w:ind w:left="426" w:hanging="284"/>
        <w:rPr>
          <w:szCs w:val="24"/>
          <w:lang w:val="lv-LV"/>
        </w:rPr>
      </w:pPr>
      <w:r w:rsidRPr="00576895">
        <w:rPr>
          <w:szCs w:val="24"/>
          <w:lang w:val="lv-LV"/>
        </w:rPr>
        <w:t>2013.gada 17.decembra EIROPAS PARLAMENTA UN PADOMES REGULU (ES) Nr. 1303/2013, kurā noteikti kopīgi noteikumi attiecībā uz  Eiropas Reģionālo attīstības fondu, Eiropas Sociālo fondu, Kohēzijas fondu, Eiropas Lauku attīstības fondu un Eiropas jūrlietu un zivsaimniecības fondu, kā arī Eiropas Reģionālo attīstības fonda, Eiropas Sociālo fonda, Kohēzijas fonda un Eiropas jūrlietu un zivsaimniecības fonda vispārīgi noteikumi un atceļ Padomes regulu (EK) Nr. 1083/2006</w:t>
      </w:r>
      <w:r w:rsidR="00A23CC2">
        <w:rPr>
          <w:szCs w:val="24"/>
          <w:lang w:val="lv-LV"/>
        </w:rPr>
        <w:t xml:space="preserve"> (turpmāk - Regula</w:t>
      </w:r>
      <w:r w:rsidR="00A23CC2" w:rsidRPr="00576895">
        <w:rPr>
          <w:szCs w:val="24"/>
          <w:lang w:val="lv-LV"/>
        </w:rPr>
        <w:t xml:space="preserve"> (ES) Nr. 1303/2013</w:t>
      </w:r>
      <w:r w:rsidR="00A23CC2">
        <w:rPr>
          <w:szCs w:val="24"/>
          <w:lang w:val="lv-LV"/>
        </w:rPr>
        <w:t>)</w:t>
      </w:r>
      <w:r w:rsidRPr="00576895">
        <w:rPr>
          <w:szCs w:val="24"/>
          <w:lang w:val="lv-LV"/>
        </w:rPr>
        <w:t>,</w:t>
      </w:r>
    </w:p>
    <w:p w:rsidR="00647FC0" w:rsidRPr="00576895" w:rsidRDefault="00647FC0" w:rsidP="00647FC0">
      <w:pPr>
        <w:pStyle w:val="BodyText"/>
        <w:numPr>
          <w:ilvl w:val="0"/>
          <w:numId w:val="4"/>
        </w:numPr>
        <w:tabs>
          <w:tab w:val="clear" w:pos="567"/>
          <w:tab w:val="num" w:pos="709"/>
        </w:tabs>
        <w:spacing w:before="120" w:after="120" w:line="260" w:lineRule="atLeast"/>
        <w:ind w:left="426" w:hanging="284"/>
        <w:rPr>
          <w:szCs w:val="24"/>
          <w:lang w:val="lv-LV"/>
        </w:rPr>
      </w:pPr>
      <w:r w:rsidRPr="00576895">
        <w:rPr>
          <w:szCs w:val="24"/>
          <w:lang w:val="lv-LV"/>
        </w:rPr>
        <w:t>2013.gada 17.decembra EIROPAS PARLAMENTA UN PADOMES REGULU (ES) Nr. 1301/2013 par Eiropas reģionālās attīstības fondu un īpašiem noteikumiem attiecībā uz mērķi "Investīcijas izaugsmei un nodarbinātībai" un par Regulas (EK) Nr. 1080/2006 atcelšanu</w:t>
      </w:r>
      <w:r w:rsidR="00A23CC2">
        <w:rPr>
          <w:szCs w:val="24"/>
          <w:lang w:val="lv-LV"/>
        </w:rPr>
        <w:t xml:space="preserve"> (turpmāk - Regula (ES) Nr. 1301</w:t>
      </w:r>
      <w:r w:rsidR="00A23CC2" w:rsidRPr="00576895">
        <w:rPr>
          <w:szCs w:val="24"/>
          <w:lang w:val="lv-LV"/>
        </w:rPr>
        <w:t>/2013</w:t>
      </w:r>
      <w:r w:rsidR="00A23CC2">
        <w:rPr>
          <w:szCs w:val="24"/>
          <w:lang w:val="lv-LV"/>
        </w:rPr>
        <w:t>)</w:t>
      </w:r>
      <w:r w:rsidRPr="00576895">
        <w:rPr>
          <w:szCs w:val="24"/>
          <w:lang w:val="lv-LV"/>
        </w:rPr>
        <w:t>,</w:t>
      </w:r>
    </w:p>
    <w:p w:rsidR="00647FC0" w:rsidRPr="00576895" w:rsidRDefault="00647FC0" w:rsidP="00647FC0">
      <w:pPr>
        <w:pStyle w:val="BodyText"/>
        <w:numPr>
          <w:ilvl w:val="0"/>
          <w:numId w:val="4"/>
        </w:numPr>
        <w:tabs>
          <w:tab w:val="clear" w:pos="567"/>
          <w:tab w:val="num" w:pos="709"/>
        </w:tabs>
        <w:spacing w:before="120" w:after="120" w:line="260" w:lineRule="atLeast"/>
        <w:ind w:left="426" w:hanging="284"/>
        <w:rPr>
          <w:szCs w:val="24"/>
          <w:lang w:val="lv-LV"/>
        </w:rPr>
      </w:pPr>
      <w:r w:rsidRPr="00576895">
        <w:rPr>
          <w:szCs w:val="24"/>
          <w:lang w:val="lv-LV"/>
        </w:rPr>
        <w:t>2013.gada 17.decembra EIROPAS PARLAMENTA UN PADOMES REGULU (ES) Nr. 1299/2013 par īpašiem noteikumiem par atbalstu no Eiropas Reģionālās attīstības fonda saistībā ar mērķi "Eiropas teritoriālā sadarbība"</w:t>
      </w:r>
      <w:r w:rsidR="00A23CC2">
        <w:rPr>
          <w:szCs w:val="24"/>
          <w:lang w:val="lv-LV"/>
        </w:rPr>
        <w:t xml:space="preserve"> (turpmāk - Regula (ES) Nr. 1299</w:t>
      </w:r>
      <w:r w:rsidR="00A23CC2" w:rsidRPr="00576895">
        <w:rPr>
          <w:szCs w:val="24"/>
          <w:lang w:val="lv-LV"/>
        </w:rPr>
        <w:t>/2013</w:t>
      </w:r>
      <w:r w:rsidR="00A23CC2">
        <w:rPr>
          <w:szCs w:val="24"/>
          <w:lang w:val="lv-LV"/>
        </w:rPr>
        <w:t>)</w:t>
      </w:r>
      <w:r w:rsidRPr="00576895">
        <w:rPr>
          <w:szCs w:val="24"/>
          <w:lang w:val="lv-LV"/>
        </w:rPr>
        <w:t>,</w:t>
      </w:r>
    </w:p>
    <w:p w:rsidR="00647FC0" w:rsidRPr="00576895" w:rsidRDefault="00647FC0" w:rsidP="00647FC0">
      <w:pPr>
        <w:pStyle w:val="BodyText"/>
        <w:numPr>
          <w:ilvl w:val="0"/>
          <w:numId w:val="4"/>
        </w:numPr>
        <w:tabs>
          <w:tab w:val="clear" w:pos="567"/>
          <w:tab w:val="num" w:pos="709"/>
        </w:tabs>
        <w:spacing w:before="120" w:after="120" w:line="260" w:lineRule="atLeast"/>
        <w:ind w:left="426" w:hanging="284"/>
        <w:rPr>
          <w:szCs w:val="24"/>
          <w:lang w:val="lv-LV"/>
        </w:rPr>
      </w:pPr>
      <w:r w:rsidRPr="00576895">
        <w:rPr>
          <w:szCs w:val="24"/>
          <w:lang w:val="lv-LV"/>
        </w:rPr>
        <w:t>2012.gada 25.oktobra EIROPAS PARLAMENTA UN PADOMES REGULU (ES, Euratom) Nr. 966/2012 par finanšu noteikumiem, kurus piemēro Savienības vispārējam budžetam un par Padomes Regulas (EK, Euratom) Nr. 1605/2002 atcelšanu,</w:t>
      </w:r>
    </w:p>
    <w:p w:rsidR="00647FC0" w:rsidRPr="00576895" w:rsidRDefault="00647FC0" w:rsidP="00647FC0">
      <w:pPr>
        <w:pStyle w:val="BodyText"/>
        <w:numPr>
          <w:ilvl w:val="0"/>
          <w:numId w:val="4"/>
        </w:numPr>
        <w:tabs>
          <w:tab w:val="clear" w:pos="567"/>
          <w:tab w:val="num" w:pos="709"/>
        </w:tabs>
        <w:spacing w:before="120" w:after="120" w:line="260" w:lineRule="atLeast"/>
        <w:ind w:left="426" w:hanging="284"/>
        <w:rPr>
          <w:szCs w:val="24"/>
          <w:lang w:val="lv-LV"/>
        </w:rPr>
      </w:pPr>
      <w:r w:rsidRPr="00576895">
        <w:rPr>
          <w:szCs w:val="24"/>
          <w:lang w:val="lv-LV"/>
        </w:rPr>
        <w:t>saskaņā ar augstāk minētajām Regulām piemērotos īstenošanas aktus un deleģētos aktus,</w:t>
      </w:r>
    </w:p>
    <w:p w:rsidR="00647FC0" w:rsidRPr="00576895" w:rsidRDefault="00647FC0" w:rsidP="00647FC0">
      <w:pPr>
        <w:pStyle w:val="BodyText"/>
        <w:numPr>
          <w:ilvl w:val="0"/>
          <w:numId w:val="4"/>
        </w:numPr>
        <w:tabs>
          <w:tab w:val="clear" w:pos="567"/>
          <w:tab w:val="num" w:pos="709"/>
        </w:tabs>
        <w:spacing w:before="120" w:after="120" w:line="260" w:lineRule="atLeast"/>
        <w:ind w:left="426" w:hanging="284"/>
        <w:rPr>
          <w:szCs w:val="24"/>
          <w:lang w:val="lv-LV"/>
        </w:rPr>
      </w:pPr>
      <w:r w:rsidRPr="00576895">
        <w:rPr>
          <w:szCs w:val="24"/>
          <w:lang w:val="lv-LV"/>
        </w:rPr>
        <w:t>Sadarbības programmu “Interreg Baltijas jūras reģiona programma” (CCI 2014TC16M5TN001) – turpmāk tekstā “Programma”,</w:t>
      </w:r>
    </w:p>
    <w:p w:rsidR="00647FC0" w:rsidRPr="00576895" w:rsidRDefault="00647FC0" w:rsidP="00647FC0">
      <w:pPr>
        <w:pStyle w:val="BodyText"/>
        <w:numPr>
          <w:ilvl w:val="0"/>
          <w:numId w:val="4"/>
        </w:numPr>
        <w:tabs>
          <w:tab w:val="clear" w:pos="567"/>
          <w:tab w:val="num" w:pos="709"/>
        </w:tabs>
        <w:spacing w:before="120" w:after="120" w:line="260" w:lineRule="atLeast"/>
        <w:ind w:left="426" w:hanging="284"/>
        <w:rPr>
          <w:szCs w:val="24"/>
          <w:lang w:val="lv-LV"/>
        </w:rPr>
      </w:pPr>
      <w:r w:rsidRPr="00576895">
        <w:rPr>
          <w:szCs w:val="24"/>
          <w:lang w:val="lv-LV"/>
        </w:rPr>
        <w:t>saskaņā ar Regulas (ES) Nr. 1303/2013 29(4).pantu par Programmas  apstiprināšanu ar Eiropas Komisijas lēmumu (2014.gada 18.decembra lēmums Nr. C(2014)10146).</w:t>
      </w:r>
    </w:p>
    <w:p w:rsidR="00647FC0" w:rsidRPr="00576895" w:rsidRDefault="00647FC0" w:rsidP="00647FC0">
      <w:pPr>
        <w:autoSpaceDE/>
        <w:autoSpaceDN/>
        <w:adjustRightInd/>
        <w:spacing w:before="120" w:after="120"/>
        <w:ind w:left="426"/>
        <w:jc w:val="both"/>
        <w:rPr>
          <w:rFonts w:ascii="Times New Roman" w:eastAsia="Times New Roman" w:hAnsi="Times New Roman" w:cs="Times New Roman"/>
          <w:color w:val="auto"/>
          <w:szCs w:val="24"/>
          <w:lang w:val="lv-LV" w:eastAsia="en-US"/>
        </w:rPr>
      </w:pPr>
    </w:p>
    <w:p w:rsidR="00647FC0" w:rsidRPr="00576895" w:rsidRDefault="00647FC0" w:rsidP="00647FC0">
      <w:pPr>
        <w:spacing w:line="260" w:lineRule="atLeast"/>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b/>
          <w:color w:val="auto"/>
          <w:szCs w:val="24"/>
          <w:lang w:val="lv-LV" w:eastAsia="en-GB"/>
        </w:rPr>
        <w:t>Latvijas Republika</w:t>
      </w:r>
      <w:r w:rsidRPr="00576895">
        <w:rPr>
          <w:rFonts w:ascii="Times New Roman" w:eastAsia="Times New Roman" w:hAnsi="Times New Roman" w:cs="Times New Roman"/>
          <w:color w:val="auto"/>
          <w:szCs w:val="24"/>
          <w:lang w:val="lv-LV" w:eastAsia="en-GB"/>
        </w:rPr>
        <w:t xml:space="preserve">, kuru pārstāv </w:t>
      </w:r>
      <w:r w:rsidRPr="00576895">
        <w:rPr>
          <w:rFonts w:ascii="Times New Roman" w:hAnsi="Times New Roman" w:cs="Times New Roman"/>
          <w:b/>
          <w:color w:val="auto"/>
          <w:szCs w:val="24"/>
          <w:lang w:val="lv-LV"/>
        </w:rPr>
        <w:t xml:space="preserve">Vides aizsardzības un reģionālās attīstības ministrija, </w:t>
      </w:r>
      <w:r w:rsidRPr="00576895">
        <w:rPr>
          <w:rFonts w:ascii="Times New Roman" w:eastAsia="Times New Roman" w:hAnsi="Times New Roman" w:cs="Times New Roman"/>
          <w:color w:val="auto"/>
          <w:szCs w:val="24"/>
          <w:lang w:val="lv-LV" w:eastAsia="en-GB"/>
        </w:rPr>
        <w:t xml:space="preserve">Peldu iela 25, Rīga, LV-1494, </w:t>
      </w:r>
      <w:r w:rsidRPr="00576895">
        <w:rPr>
          <w:rFonts w:ascii="Times New Roman" w:eastAsia="Times New Roman" w:hAnsi="Times New Roman" w:cs="Times New Roman"/>
          <w:b/>
          <w:color w:val="auto"/>
          <w:szCs w:val="24"/>
          <w:lang w:val="lv-LV" w:eastAsia="en-GB"/>
        </w:rPr>
        <w:t>LATVIJA</w:t>
      </w:r>
    </w:p>
    <w:p w:rsidR="00647FC0" w:rsidRPr="00576895" w:rsidRDefault="00647FC0" w:rsidP="00647FC0">
      <w:pPr>
        <w:spacing w:before="240" w:after="240"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 xml:space="preserve">un </w:t>
      </w:r>
    </w:p>
    <w:p w:rsidR="00647FC0" w:rsidRPr="00576895" w:rsidRDefault="00647FC0" w:rsidP="00647FC0">
      <w:pPr>
        <w:spacing w:before="240" w:after="240"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b/>
          <w:color w:val="auto"/>
          <w:szCs w:val="24"/>
          <w:lang w:val="lv-LV" w:eastAsia="en-GB"/>
        </w:rPr>
        <w:t>Investitionsbank Schleswig-Holstein, Fleethörn 29-31, 24103 Ķīle, Vācija</w:t>
      </w:r>
      <w:r w:rsidRPr="00576895">
        <w:rPr>
          <w:rFonts w:ascii="Times New Roman" w:eastAsia="Times New Roman" w:hAnsi="Times New Roman" w:cs="Times New Roman"/>
          <w:color w:val="auto"/>
          <w:szCs w:val="24"/>
          <w:lang w:val="lv-LV" w:eastAsia="en-GB"/>
        </w:rPr>
        <w:t>, kuru pārstāv tās Valde, turpmāk tekstā “IB.SH”,</w:t>
      </w:r>
    </w:p>
    <w:p w:rsidR="00647FC0" w:rsidRPr="00576895" w:rsidRDefault="00647FC0" w:rsidP="00647FC0">
      <w:pPr>
        <w:spacing w:before="240" w:after="120" w:line="240" w:lineRule="auto"/>
        <w:rPr>
          <w:rFonts w:ascii="Times New Roman" w:eastAsia="Times New Roman" w:hAnsi="Times New Roman" w:cs="Times New Roman"/>
          <w:color w:val="auto"/>
          <w:szCs w:val="24"/>
          <w:lang w:val="lv-LV" w:eastAsia="en-GB"/>
        </w:rPr>
        <w:sectPr w:rsidR="00647FC0" w:rsidRPr="00576895" w:rsidSect="00EC73E7">
          <w:headerReference w:type="default" r:id="rId13"/>
          <w:footerReference w:type="default" r:id="rId14"/>
          <w:pgSz w:w="11906" w:h="16838"/>
          <w:pgMar w:top="1228" w:right="1077" w:bottom="1134" w:left="1134" w:header="284" w:footer="717" w:gutter="0"/>
          <w:pgNumType w:start="1"/>
          <w:cols w:space="708"/>
          <w:docGrid w:linePitch="360"/>
        </w:sectPr>
      </w:pPr>
      <w:r w:rsidRPr="00576895">
        <w:rPr>
          <w:rFonts w:ascii="Times New Roman" w:eastAsia="Times New Roman" w:hAnsi="Times New Roman" w:cs="Times New Roman"/>
          <w:color w:val="auto"/>
          <w:szCs w:val="24"/>
          <w:lang w:val="lv-LV" w:eastAsia="en-GB"/>
        </w:rPr>
        <w:t>ar šo vienojas par šādiem Programmas ieviešanu regulējošiem noteikumiem:</w:t>
      </w:r>
    </w:p>
    <w:p w:rsidR="00647FC0" w:rsidRPr="00576895" w:rsidRDefault="00A23CC2" w:rsidP="00647FC0">
      <w:pPr>
        <w:pStyle w:val="Heading1"/>
        <w:ind w:left="360" w:hanging="360"/>
        <w:jc w:val="center"/>
        <w:rPr>
          <w:rFonts w:ascii="Times New Roman" w:hAnsi="Times New Roman" w:cs="Times New Roman"/>
          <w:smallCaps/>
          <w:color w:val="auto"/>
          <w:sz w:val="24"/>
          <w:szCs w:val="24"/>
          <w:lang w:val="lv-LV"/>
        </w:rPr>
      </w:pPr>
      <w:r>
        <w:rPr>
          <w:rFonts w:ascii="Times New Roman" w:hAnsi="Times New Roman" w:cs="Times New Roman"/>
          <w:smallCaps/>
          <w:color w:val="auto"/>
          <w:sz w:val="24"/>
          <w:szCs w:val="24"/>
          <w:lang w:val="lv-LV"/>
        </w:rPr>
        <w:lastRenderedPageBreak/>
        <w:t>IEVADS</w:t>
      </w:r>
    </w:p>
    <w:p w:rsidR="00647FC0" w:rsidRPr="00576895" w:rsidRDefault="00647FC0" w:rsidP="00647FC0">
      <w:pPr>
        <w:spacing w:before="120" w:after="120"/>
        <w:jc w:val="both"/>
        <w:rPr>
          <w:rFonts w:ascii="Times New Roman" w:hAnsi="Times New Roman" w:cs="Times New Roman"/>
          <w:color w:val="auto"/>
          <w:szCs w:val="24"/>
          <w:lang w:val="lv-LV"/>
        </w:rPr>
      </w:pPr>
      <w:r w:rsidRPr="00576895">
        <w:rPr>
          <w:rFonts w:ascii="Times New Roman" w:hAnsi="Times New Roman" w:cs="Times New Roman"/>
          <w:color w:val="auto"/>
          <w:szCs w:val="24"/>
          <w:lang w:val="lv-LV"/>
        </w:rPr>
        <w:t xml:space="preserve">Saskaņā ar Regulas (ES) Nr. 1303/2013 123(9).pantu, valstis, kuras piedalās Programmā (kopā sauktas – „dalībvalstis”, atsevišķi – „dalībvalsts”), tas ir, Eiropas Savienības dalībvalstis Dānijas Karaliste, Igaunijas Republika, Somijas Republika (tai skaitā, Ālandu salas), Vācijas Federatīvā Republika, Latvijas Republika, Lietuvas Republika, Polijas Republika un Zviedrijas Karaliste, un partnervalsts Norvēģijas Republika, piekrīt sagatavot identiska satura </w:t>
      </w:r>
      <w:r w:rsidR="00B37763">
        <w:rPr>
          <w:rFonts w:ascii="Times New Roman" w:hAnsi="Times New Roman" w:cs="Times New Roman"/>
          <w:color w:val="auto"/>
          <w:szCs w:val="24"/>
          <w:lang w:val="lv-LV"/>
        </w:rPr>
        <w:t>v</w:t>
      </w:r>
      <w:r w:rsidRPr="00576895">
        <w:rPr>
          <w:rFonts w:ascii="Times New Roman" w:hAnsi="Times New Roman" w:cs="Times New Roman"/>
          <w:color w:val="auto"/>
          <w:szCs w:val="24"/>
          <w:lang w:val="lv-LV"/>
        </w:rPr>
        <w:t xml:space="preserve">ienošanos </w:t>
      </w:r>
      <w:r w:rsidR="00B37763">
        <w:rPr>
          <w:rFonts w:ascii="Times New Roman" w:hAnsi="Times New Roman" w:cs="Times New Roman"/>
          <w:color w:val="auto"/>
          <w:szCs w:val="24"/>
          <w:lang w:val="lv-LV"/>
        </w:rPr>
        <w:t xml:space="preserve">(turpmāk – Vienošanās) </w:t>
      </w:r>
      <w:r w:rsidRPr="00576895">
        <w:rPr>
          <w:rFonts w:ascii="Times New Roman" w:hAnsi="Times New Roman" w:cs="Times New Roman"/>
          <w:color w:val="auto"/>
          <w:szCs w:val="24"/>
          <w:lang w:val="lv-LV"/>
        </w:rPr>
        <w:t xml:space="preserve">ar IB.SH, kas ir noteikta kā </w:t>
      </w:r>
      <w:r w:rsidR="00B37763">
        <w:rPr>
          <w:rFonts w:ascii="Times New Roman" w:hAnsi="Times New Roman" w:cs="Times New Roman"/>
          <w:color w:val="auto"/>
          <w:szCs w:val="24"/>
          <w:lang w:val="lv-LV"/>
        </w:rPr>
        <w:t>programmas v</w:t>
      </w:r>
      <w:r w:rsidRPr="00576895">
        <w:rPr>
          <w:rFonts w:ascii="Times New Roman" w:hAnsi="Times New Roman" w:cs="Times New Roman"/>
          <w:color w:val="auto"/>
          <w:szCs w:val="24"/>
          <w:lang w:val="lv-LV"/>
        </w:rPr>
        <w:t xml:space="preserve">adošā un </w:t>
      </w:r>
      <w:r w:rsidR="00B37763">
        <w:rPr>
          <w:rFonts w:ascii="Times New Roman" w:hAnsi="Times New Roman" w:cs="Times New Roman"/>
          <w:color w:val="auto"/>
          <w:szCs w:val="24"/>
          <w:lang w:val="lv-LV"/>
        </w:rPr>
        <w:t>s</w:t>
      </w:r>
      <w:r w:rsidRPr="00576895">
        <w:rPr>
          <w:rFonts w:ascii="Times New Roman" w:hAnsi="Times New Roman" w:cs="Times New Roman"/>
          <w:color w:val="auto"/>
          <w:szCs w:val="24"/>
          <w:lang w:val="lv-LV"/>
        </w:rPr>
        <w:t>ertifikācijas iestāde</w:t>
      </w:r>
      <w:r w:rsidR="00B37763">
        <w:rPr>
          <w:rFonts w:ascii="Times New Roman" w:hAnsi="Times New Roman" w:cs="Times New Roman"/>
          <w:color w:val="auto"/>
          <w:szCs w:val="24"/>
          <w:lang w:val="lv-LV"/>
        </w:rPr>
        <w:t xml:space="preserve"> (turpmāk attiecīgi – Vadošā iestāde un Sertifikācijas iestāde)</w:t>
      </w:r>
      <w:r w:rsidRPr="00576895">
        <w:rPr>
          <w:rFonts w:ascii="Times New Roman" w:hAnsi="Times New Roman" w:cs="Times New Roman"/>
          <w:color w:val="auto"/>
          <w:szCs w:val="24"/>
          <w:lang w:val="lv-LV"/>
        </w:rPr>
        <w:t xml:space="preserve">, un Programmas Kopīgā sekretariāta </w:t>
      </w:r>
      <w:r w:rsidR="00451C72">
        <w:rPr>
          <w:rFonts w:ascii="Times New Roman" w:hAnsi="Times New Roman" w:cs="Times New Roman"/>
          <w:color w:val="auto"/>
          <w:szCs w:val="24"/>
          <w:lang w:val="lv-LV"/>
        </w:rPr>
        <w:t>uzņemošā institūcija</w:t>
      </w:r>
      <w:r w:rsidRPr="00576895">
        <w:rPr>
          <w:rFonts w:ascii="Times New Roman" w:hAnsi="Times New Roman" w:cs="Times New Roman"/>
          <w:color w:val="auto"/>
          <w:szCs w:val="24"/>
          <w:lang w:val="lv-LV"/>
        </w:rPr>
        <w:t>.</w:t>
      </w:r>
    </w:p>
    <w:p w:rsidR="00647FC0" w:rsidRPr="00576895" w:rsidRDefault="00647FC0" w:rsidP="00647FC0">
      <w:pPr>
        <w:spacing w:before="120" w:after="120"/>
        <w:jc w:val="both"/>
        <w:rPr>
          <w:rFonts w:ascii="Times New Roman" w:hAnsi="Times New Roman" w:cs="Times New Roman"/>
          <w:color w:val="auto"/>
          <w:szCs w:val="24"/>
          <w:lang w:val="lv-LV"/>
        </w:rPr>
      </w:pPr>
      <w:r w:rsidRPr="00576895">
        <w:rPr>
          <w:rFonts w:ascii="Times New Roman" w:hAnsi="Times New Roman" w:cs="Times New Roman"/>
          <w:color w:val="auto"/>
          <w:szCs w:val="24"/>
          <w:lang w:val="lv-LV"/>
        </w:rPr>
        <w:t>Procesuālu iemeslu dēļ katra dalībvalsts parakst</w:t>
      </w:r>
      <w:r w:rsidR="007B5970">
        <w:rPr>
          <w:rFonts w:ascii="Times New Roman" w:hAnsi="Times New Roman" w:cs="Times New Roman"/>
          <w:color w:val="auto"/>
          <w:szCs w:val="24"/>
          <w:lang w:val="lv-LV"/>
        </w:rPr>
        <w:t>a</w:t>
      </w:r>
      <w:r w:rsidRPr="00576895">
        <w:rPr>
          <w:rFonts w:ascii="Times New Roman" w:hAnsi="Times New Roman" w:cs="Times New Roman"/>
          <w:color w:val="auto"/>
          <w:szCs w:val="24"/>
          <w:lang w:val="lv-LV"/>
        </w:rPr>
        <w:t xml:space="preserve"> divpusēju Vienošanos ar IB.SH. Tomēr, dalībvalstis piekrīt, ka visas šīs Vienošanās par Interreg Baltijas jūras reģiona programmas 2014.-2020.gadam pārvaldības, finanšu un kontroles sistēmām (turpmāk tekstā „Vienošanās”) noformētie eksemplāri veido daudzpusēju Vienošanos, kurā grozījumu</w:t>
      </w:r>
      <w:r w:rsidR="00946CD4">
        <w:rPr>
          <w:rFonts w:ascii="Times New Roman" w:hAnsi="Times New Roman" w:cs="Times New Roman"/>
          <w:color w:val="auto"/>
          <w:szCs w:val="24"/>
          <w:lang w:val="lv-LV"/>
        </w:rPr>
        <w:t>s</w:t>
      </w:r>
      <w:r w:rsidRPr="00576895">
        <w:rPr>
          <w:rFonts w:ascii="Times New Roman" w:hAnsi="Times New Roman" w:cs="Times New Roman"/>
          <w:color w:val="auto"/>
          <w:szCs w:val="24"/>
          <w:lang w:val="lv-LV"/>
        </w:rPr>
        <w:t xml:space="preserve"> drīkst veikt tikai ar vienbalsīgu dalībvalstu un IB.SH lēmumu.</w:t>
      </w:r>
    </w:p>
    <w:p w:rsidR="00647FC0" w:rsidRPr="00576895" w:rsidRDefault="00647FC0" w:rsidP="00647FC0">
      <w:pPr>
        <w:spacing w:before="120" w:after="120"/>
        <w:jc w:val="both"/>
        <w:rPr>
          <w:rFonts w:ascii="Times New Roman" w:hAnsi="Times New Roman" w:cs="Times New Roman"/>
          <w:color w:val="auto"/>
          <w:szCs w:val="24"/>
          <w:lang w:val="lv-LV"/>
        </w:rPr>
      </w:pPr>
      <w:r w:rsidRPr="00576895">
        <w:rPr>
          <w:rFonts w:ascii="Times New Roman" w:hAnsi="Times New Roman" w:cs="Times New Roman"/>
          <w:color w:val="auto"/>
          <w:szCs w:val="24"/>
          <w:lang w:val="lv-LV"/>
        </w:rPr>
        <w:t xml:space="preserve">Papildus augstāk minētajam dalībvalstis piekrīt atvērt Programmu arī partneriem no Baltkrievijas un Krievijas, ar nosacījumu, ka Baltkrievijas Republika un Krievijas Federācija piekrīt Programmas pārvaldības, finansēšanas un kontroles noteikumiem. </w:t>
      </w:r>
    </w:p>
    <w:p w:rsidR="00647FC0" w:rsidRPr="00576895" w:rsidRDefault="00647FC0" w:rsidP="00647FC0">
      <w:pPr>
        <w:spacing w:before="120" w:after="120"/>
        <w:jc w:val="both"/>
        <w:rPr>
          <w:rFonts w:ascii="Times New Roman" w:hAnsi="Times New Roman" w:cs="Times New Roman"/>
          <w:color w:val="auto"/>
          <w:szCs w:val="24"/>
          <w:lang w:val="lv-LV"/>
        </w:rPr>
      </w:pPr>
      <w:r w:rsidRPr="00576895">
        <w:rPr>
          <w:rFonts w:ascii="Times New Roman" w:hAnsi="Times New Roman" w:cs="Times New Roman"/>
          <w:color w:val="auto"/>
          <w:szCs w:val="24"/>
          <w:lang w:val="lv-LV"/>
        </w:rPr>
        <w:t xml:space="preserve">Šie un turpmākie īpašie noteikumi attiecībā uz Baltkrievijas Republikas un Krievijas Federācijas iesaisti Programmā tiks noteikti </w:t>
      </w:r>
      <w:r w:rsidR="00B37763">
        <w:rPr>
          <w:rFonts w:ascii="Times New Roman" w:hAnsi="Times New Roman" w:cs="Times New Roman"/>
          <w:color w:val="auto"/>
          <w:szCs w:val="24"/>
          <w:lang w:val="lv-LV"/>
        </w:rPr>
        <w:t>f</w:t>
      </w:r>
      <w:r w:rsidRPr="00576895">
        <w:rPr>
          <w:rFonts w:ascii="Times New Roman" w:hAnsi="Times New Roman" w:cs="Times New Roman"/>
          <w:color w:val="auto"/>
          <w:szCs w:val="24"/>
          <w:lang w:val="lv-LV"/>
        </w:rPr>
        <w:t>inansēšanas līgumos, kuri saskaņā ar Regulas (ES) Nr. 1299/2013 26.pantu, tiks parakstīti starp Eiropas Komisiju, abu valstu valdībām un Vācijas Federatīvo Republiku kā dalībvalsti, kas darbojas kā Programmas Vadošā iestāde.</w:t>
      </w:r>
      <w:r w:rsidRPr="00576895">
        <w:rPr>
          <w:rStyle w:val="FootnoteReference"/>
          <w:rFonts w:ascii="Times New Roman" w:hAnsi="Times New Roman" w:cs="Times New Roman"/>
          <w:color w:val="auto"/>
          <w:szCs w:val="24"/>
          <w:lang w:val="lv-LV"/>
        </w:rPr>
        <w:footnoteReference w:id="1"/>
      </w:r>
    </w:p>
    <w:p w:rsidR="00647FC0" w:rsidRPr="00576895" w:rsidRDefault="00647FC0" w:rsidP="00647FC0">
      <w:pPr>
        <w:spacing w:before="120" w:after="120"/>
        <w:jc w:val="both"/>
        <w:rPr>
          <w:rFonts w:ascii="Times New Roman" w:hAnsi="Times New Roman" w:cs="Times New Roman"/>
          <w:szCs w:val="24"/>
          <w:lang w:val="lv-LV"/>
        </w:rPr>
      </w:pPr>
      <w:r w:rsidRPr="00576895">
        <w:rPr>
          <w:rFonts w:ascii="Times New Roman" w:hAnsi="Times New Roman" w:cs="Times New Roman"/>
          <w:color w:val="auto"/>
          <w:szCs w:val="24"/>
          <w:lang w:val="lv-LV"/>
        </w:rPr>
        <w:t xml:space="preserve">Turklāt saskaņā ar Regulas (ES) Nr. 1299/2013 20.pantu, dalībvalstis vienojas atvērt Programmu </w:t>
      </w:r>
      <w:r w:rsidRPr="00451C72">
        <w:rPr>
          <w:rFonts w:ascii="Times New Roman" w:hAnsi="Times New Roman" w:cs="Times New Roman"/>
          <w:color w:val="auto"/>
          <w:szCs w:val="24"/>
          <w:lang w:val="lv-LV"/>
        </w:rPr>
        <w:t>ārpus t</w:t>
      </w:r>
      <w:r w:rsidR="00CF2255">
        <w:rPr>
          <w:rFonts w:ascii="Times New Roman" w:hAnsi="Times New Roman" w:cs="Times New Roman"/>
          <w:color w:val="auto"/>
          <w:szCs w:val="24"/>
          <w:lang w:val="lv-LV"/>
        </w:rPr>
        <w:t>o</w:t>
      </w:r>
      <w:r w:rsidRPr="00451C72">
        <w:rPr>
          <w:rFonts w:ascii="Times New Roman" w:hAnsi="Times New Roman" w:cs="Times New Roman"/>
          <w:color w:val="auto"/>
          <w:szCs w:val="24"/>
          <w:lang w:val="lv-LV"/>
        </w:rPr>
        <w:t xml:space="preserve"> robežām esošiem partneriem, ar nosacījumu, ka jebkura šāda valsts, kuras teritorijā atrodas </w:t>
      </w:r>
      <w:r w:rsidR="00451C72" w:rsidRPr="00451C72">
        <w:rPr>
          <w:rFonts w:ascii="Times New Roman" w:hAnsi="Times New Roman" w:cs="Times New Roman"/>
          <w:color w:val="auto"/>
          <w:szCs w:val="24"/>
          <w:lang w:val="lv-LV"/>
        </w:rPr>
        <w:t>konkrētais</w:t>
      </w:r>
      <w:r w:rsidRPr="00451C72">
        <w:rPr>
          <w:rFonts w:ascii="Times New Roman" w:hAnsi="Times New Roman" w:cs="Times New Roman"/>
          <w:color w:val="auto"/>
          <w:szCs w:val="24"/>
          <w:lang w:val="lv-LV"/>
        </w:rPr>
        <w:t xml:space="preserve"> partneris, piekrīt Programmas pārvaldības, finanšu un kontroles noteikumiem. Vienošan</w:t>
      </w:r>
      <w:r w:rsidR="00CF2255">
        <w:rPr>
          <w:rFonts w:ascii="Times New Roman" w:hAnsi="Times New Roman" w:cs="Times New Roman"/>
          <w:color w:val="auto"/>
          <w:szCs w:val="24"/>
          <w:lang w:val="lv-LV"/>
        </w:rPr>
        <w:t>ai</w:t>
      </w:r>
      <w:r w:rsidRPr="00451C72">
        <w:rPr>
          <w:rFonts w:ascii="Times New Roman" w:hAnsi="Times New Roman" w:cs="Times New Roman"/>
          <w:color w:val="auto"/>
          <w:szCs w:val="24"/>
          <w:lang w:val="lv-LV"/>
        </w:rPr>
        <w:t xml:space="preserve"> par Interreg Baltijas jūras reģiona programmas 2014.-2020.gadam pārvaldības, finanšu un kontroles sistēmām līd</w:t>
      </w:r>
      <w:r w:rsidR="00CF2255">
        <w:rPr>
          <w:rFonts w:ascii="Times New Roman" w:hAnsi="Times New Roman" w:cs="Times New Roman"/>
          <w:color w:val="auto"/>
          <w:szCs w:val="24"/>
          <w:lang w:val="lv-LV"/>
        </w:rPr>
        <w:t>zvērtīgas</w:t>
      </w:r>
      <w:r w:rsidRPr="00451C72">
        <w:rPr>
          <w:rFonts w:ascii="Times New Roman" w:hAnsi="Times New Roman" w:cs="Times New Roman"/>
          <w:color w:val="auto"/>
          <w:szCs w:val="24"/>
          <w:lang w:val="lv-LV"/>
        </w:rPr>
        <w:t xml:space="preserve"> </w:t>
      </w:r>
      <w:r w:rsidR="00CF2255">
        <w:rPr>
          <w:rFonts w:ascii="Times New Roman" w:hAnsi="Times New Roman" w:cs="Times New Roman"/>
          <w:color w:val="auto"/>
          <w:szCs w:val="24"/>
          <w:lang w:val="lv-LV"/>
        </w:rPr>
        <w:t>v</w:t>
      </w:r>
      <w:r w:rsidRPr="00451C72">
        <w:rPr>
          <w:rFonts w:ascii="Times New Roman" w:hAnsi="Times New Roman" w:cs="Times New Roman"/>
          <w:color w:val="auto"/>
          <w:szCs w:val="24"/>
          <w:lang w:val="lv-LV"/>
        </w:rPr>
        <w:t xml:space="preserve">ienošanās parakstīšana ar </w:t>
      </w:r>
      <w:r w:rsidR="00451C72" w:rsidRPr="00451C72">
        <w:rPr>
          <w:rFonts w:ascii="Times New Roman" w:hAnsi="Times New Roman" w:cs="Times New Roman"/>
          <w:color w:val="auto"/>
          <w:szCs w:val="24"/>
          <w:lang w:val="lv-LV"/>
        </w:rPr>
        <w:t>konkrēto</w:t>
      </w:r>
      <w:r w:rsidRPr="00451C72">
        <w:rPr>
          <w:rFonts w:ascii="Times New Roman" w:hAnsi="Times New Roman" w:cs="Times New Roman"/>
          <w:color w:val="auto"/>
          <w:szCs w:val="24"/>
          <w:lang w:val="lv-LV"/>
        </w:rPr>
        <w:t xml:space="preserve"> valsti ir obligāta pirms Programmas maksājumu veikšanas šiem partneriem.</w:t>
      </w:r>
      <w:r w:rsidRPr="00576895">
        <w:rPr>
          <w:rFonts w:ascii="Times New Roman" w:hAnsi="Times New Roman" w:cs="Times New Roman"/>
          <w:color w:val="auto"/>
          <w:szCs w:val="24"/>
          <w:lang w:val="lv-LV"/>
        </w:rPr>
        <w:t xml:space="preserve"> </w:t>
      </w:r>
      <w:r w:rsidRPr="00576895">
        <w:rPr>
          <w:rFonts w:ascii="Times New Roman" w:hAnsi="Times New Roman" w:cs="Times New Roman"/>
          <w:szCs w:val="24"/>
          <w:lang w:val="lv-LV"/>
        </w:rPr>
        <w:br w:type="page"/>
      </w:r>
    </w:p>
    <w:p w:rsidR="00647FC0" w:rsidRPr="00576895" w:rsidRDefault="00647FC0" w:rsidP="00647FC0">
      <w:pPr>
        <w:pStyle w:val="Heading1"/>
        <w:spacing w:before="840" w:after="120"/>
        <w:ind w:left="357" w:hanging="357"/>
        <w:jc w:val="center"/>
        <w:rPr>
          <w:rFonts w:ascii="Times New Roman" w:hAnsi="Times New Roman" w:cs="Times New Roman"/>
          <w:smallCaps/>
          <w:color w:val="auto"/>
          <w:sz w:val="24"/>
          <w:szCs w:val="24"/>
          <w:lang w:val="lv-LV"/>
        </w:rPr>
      </w:pPr>
      <w:r w:rsidRPr="00576895">
        <w:rPr>
          <w:rFonts w:ascii="Times New Roman" w:hAnsi="Times New Roman" w:cs="Times New Roman"/>
          <w:smallCaps/>
          <w:sz w:val="24"/>
          <w:szCs w:val="24"/>
          <w:lang w:val="lv-LV"/>
        </w:rPr>
        <w:lastRenderedPageBreak/>
        <w:tab/>
      </w:r>
      <w:r w:rsidRPr="00576895">
        <w:rPr>
          <w:rFonts w:ascii="Times New Roman" w:hAnsi="Times New Roman" w:cs="Times New Roman"/>
          <w:smallCaps/>
          <w:color w:val="auto"/>
          <w:sz w:val="24"/>
          <w:szCs w:val="24"/>
          <w:lang w:val="lv-LV"/>
        </w:rPr>
        <w:tab/>
        <w:t>1.daļa – Galvenie ieviešanas noteikumi</w:t>
      </w:r>
    </w:p>
    <w:p w:rsidR="00647FC0" w:rsidRPr="00576895" w:rsidRDefault="00FF039A" w:rsidP="00647FC0">
      <w:pPr>
        <w:pStyle w:val="Heading1"/>
        <w:spacing w:before="360" w:after="120"/>
        <w:ind w:left="357" w:hanging="357"/>
        <w:jc w:val="center"/>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1.pan</w:t>
      </w:r>
      <w:r w:rsidR="00647FC0" w:rsidRPr="00576895">
        <w:rPr>
          <w:rFonts w:ascii="Times New Roman" w:hAnsi="Times New Roman" w:cs="Times New Roman"/>
          <w:color w:val="auto"/>
          <w:sz w:val="24"/>
          <w:szCs w:val="24"/>
          <w:lang w:val="lv-LV"/>
        </w:rPr>
        <w:t>ts: Mērķis un apjoms</w:t>
      </w:r>
    </w:p>
    <w:p w:rsidR="00647FC0" w:rsidRPr="00576895" w:rsidRDefault="00647FC0" w:rsidP="00647FC0">
      <w:pPr>
        <w:jc w:val="both"/>
        <w:rPr>
          <w:rFonts w:ascii="Times New Roman" w:hAnsi="Times New Roman" w:cs="Times New Roman"/>
          <w:color w:val="auto"/>
          <w:szCs w:val="24"/>
          <w:lang w:val="lv-LV"/>
        </w:rPr>
      </w:pPr>
      <w:r w:rsidRPr="00576895">
        <w:rPr>
          <w:rFonts w:ascii="Times New Roman" w:hAnsi="Times New Roman" w:cs="Times New Roman"/>
          <w:color w:val="auto"/>
          <w:szCs w:val="24"/>
          <w:lang w:val="lv-LV"/>
        </w:rPr>
        <w:t>Vienošanās nosaka Programmas pārvaldības, finanšu un kontroles sistēmu pamatnoteikumus un kārtību sekmīgai Programmas uzsākšanai un ieviešanai visā tās darbības periodā.</w:t>
      </w:r>
    </w:p>
    <w:p w:rsidR="00647FC0" w:rsidRPr="00576895" w:rsidRDefault="00FF039A" w:rsidP="00647FC0">
      <w:pPr>
        <w:pStyle w:val="Heading1"/>
        <w:spacing w:before="600" w:after="120"/>
        <w:ind w:left="357" w:hanging="357"/>
        <w:jc w:val="center"/>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2.pan</w:t>
      </w:r>
      <w:r w:rsidR="00647FC0" w:rsidRPr="00576895">
        <w:rPr>
          <w:rFonts w:ascii="Times New Roman" w:hAnsi="Times New Roman" w:cs="Times New Roman"/>
          <w:color w:val="auto"/>
          <w:sz w:val="24"/>
          <w:szCs w:val="24"/>
          <w:lang w:val="lv-LV"/>
        </w:rPr>
        <w:t>ts: Galvenā ieviešanas struktūra un procedūras</w:t>
      </w:r>
    </w:p>
    <w:p w:rsidR="00647FC0" w:rsidRPr="00576895" w:rsidRDefault="00647FC0" w:rsidP="00647FC0">
      <w:pPr>
        <w:jc w:val="both"/>
        <w:rPr>
          <w:rFonts w:ascii="Times New Roman" w:hAnsi="Times New Roman" w:cs="Times New Roman"/>
          <w:color w:val="auto"/>
          <w:szCs w:val="24"/>
          <w:lang w:val="lv-LV"/>
        </w:rPr>
      </w:pPr>
      <w:r w:rsidRPr="00576895">
        <w:rPr>
          <w:rFonts w:ascii="Times New Roman" w:hAnsi="Times New Roman" w:cs="Times New Roman"/>
          <w:color w:val="auto"/>
          <w:szCs w:val="24"/>
          <w:lang w:val="lv-LV"/>
        </w:rPr>
        <w:t>Programma ti</w:t>
      </w:r>
      <w:r w:rsidR="007B5970">
        <w:rPr>
          <w:rFonts w:ascii="Times New Roman" w:hAnsi="Times New Roman" w:cs="Times New Roman"/>
          <w:color w:val="auto"/>
          <w:szCs w:val="24"/>
          <w:lang w:val="lv-LV"/>
        </w:rPr>
        <w:t xml:space="preserve">ek ieviesta </w:t>
      </w:r>
      <w:r w:rsidRPr="00576895">
        <w:rPr>
          <w:rFonts w:ascii="Times New Roman" w:hAnsi="Times New Roman" w:cs="Times New Roman"/>
          <w:color w:val="auto"/>
          <w:szCs w:val="24"/>
          <w:lang w:val="lv-LV"/>
        </w:rPr>
        <w:t>ar šādu Programmas iestāžu starpniecību: Vadošā iestāde (atbildīga arī par Sertifikācijas iestādes funkciju veikšanu), Kopīg</w:t>
      </w:r>
      <w:r w:rsidR="00E054C7">
        <w:rPr>
          <w:rFonts w:ascii="Times New Roman" w:hAnsi="Times New Roman" w:cs="Times New Roman"/>
          <w:color w:val="auto"/>
          <w:szCs w:val="24"/>
          <w:lang w:val="lv-LV"/>
        </w:rPr>
        <w:t>ai</w:t>
      </w:r>
      <w:r w:rsidRPr="00576895">
        <w:rPr>
          <w:rFonts w:ascii="Times New Roman" w:hAnsi="Times New Roman" w:cs="Times New Roman"/>
          <w:color w:val="auto"/>
          <w:szCs w:val="24"/>
          <w:lang w:val="lv-LV"/>
        </w:rPr>
        <w:t>s sekretariāts, Uzraudzības komiteja (turpmāk tekstā “UK”) un</w:t>
      </w:r>
      <w:r w:rsidR="00E054C7">
        <w:rPr>
          <w:rFonts w:ascii="Times New Roman" w:hAnsi="Times New Roman" w:cs="Times New Roman"/>
          <w:color w:val="auto"/>
          <w:szCs w:val="24"/>
          <w:lang w:val="lv-LV"/>
        </w:rPr>
        <w:t xml:space="preserve"> Programmas revīzijas iestāde</w:t>
      </w:r>
      <w:r w:rsidRPr="00576895">
        <w:rPr>
          <w:rFonts w:ascii="Times New Roman" w:hAnsi="Times New Roman" w:cs="Times New Roman"/>
          <w:color w:val="auto"/>
          <w:szCs w:val="24"/>
          <w:lang w:val="lv-LV"/>
        </w:rPr>
        <w:t xml:space="preserve"> </w:t>
      </w:r>
      <w:r w:rsidR="00E054C7">
        <w:rPr>
          <w:rFonts w:ascii="Times New Roman" w:hAnsi="Times New Roman" w:cs="Times New Roman"/>
          <w:color w:val="auto"/>
          <w:szCs w:val="24"/>
          <w:lang w:val="lv-LV"/>
        </w:rPr>
        <w:t xml:space="preserve">(turpmāk - </w:t>
      </w:r>
      <w:r w:rsidRPr="00576895">
        <w:rPr>
          <w:rFonts w:ascii="Times New Roman" w:hAnsi="Times New Roman" w:cs="Times New Roman"/>
          <w:color w:val="auto"/>
          <w:szCs w:val="24"/>
          <w:lang w:val="lv-LV"/>
        </w:rPr>
        <w:t>Revīzijas iestāde</w:t>
      </w:r>
      <w:r w:rsidR="00E054C7">
        <w:rPr>
          <w:rFonts w:ascii="Times New Roman" w:hAnsi="Times New Roman" w:cs="Times New Roman"/>
          <w:color w:val="auto"/>
          <w:szCs w:val="24"/>
          <w:lang w:val="lv-LV"/>
        </w:rPr>
        <w:t>)</w:t>
      </w:r>
      <w:r w:rsidRPr="00576895">
        <w:rPr>
          <w:rFonts w:ascii="Times New Roman" w:hAnsi="Times New Roman" w:cs="Times New Roman"/>
          <w:color w:val="auto"/>
          <w:szCs w:val="24"/>
          <w:lang w:val="lv-LV"/>
        </w:rPr>
        <w:t>, kurai tiek nodrošināts revidentu grupas atbalsts.</w:t>
      </w:r>
    </w:p>
    <w:p w:rsidR="00647FC0" w:rsidRPr="00576895" w:rsidRDefault="00647FC0" w:rsidP="00647FC0">
      <w:pPr>
        <w:pStyle w:val="Heading2"/>
        <w:spacing w:before="360"/>
        <w:ind w:left="0" w:firstLine="0"/>
        <w:jc w:val="center"/>
        <w:rPr>
          <w:rFonts w:ascii="Times New Roman" w:hAnsi="Times New Roman" w:cs="Times New Roman"/>
          <w:color w:val="auto"/>
          <w:u w:val="single"/>
          <w:lang w:val="lv-LV" w:eastAsia="en-GB"/>
        </w:rPr>
      </w:pPr>
      <w:r w:rsidRPr="00576895">
        <w:rPr>
          <w:rFonts w:ascii="Times New Roman" w:hAnsi="Times New Roman" w:cs="Times New Roman"/>
          <w:color w:val="auto"/>
          <w:u w:val="single"/>
          <w:lang w:val="lv-LV" w:eastAsia="en-GB"/>
        </w:rPr>
        <w:t>Vadošā iestāde</w:t>
      </w:r>
    </w:p>
    <w:p w:rsidR="00647FC0" w:rsidRPr="00576895" w:rsidRDefault="00647FC0" w:rsidP="00647FC0">
      <w:pPr>
        <w:numPr>
          <w:ilvl w:val="0"/>
          <w:numId w:val="5"/>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b/>
          <w:color w:val="auto"/>
          <w:szCs w:val="24"/>
          <w:lang w:val="lv-LV" w:eastAsia="en-GB"/>
        </w:rPr>
        <w:t>Vadošā iestāde</w:t>
      </w:r>
      <w:r w:rsidRPr="00576895">
        <w:rPr>
          <w:rFonts w:ascii="Times New Roman" w:eastAsia="Times New Roman" w:hAnsi="Times New Roman" w:cs="Times New Roman"/>
          <w:color w:val="auto"/>
          <w:szCs w:val="24"/>
          <w:lang w:val="lv-LV" w:eastAsia="en-GB"/>
        </w:rPr>
        <w:t xml:space="preserve"> (turpmāk tekstā “VI”) ir atbildīga par visu Programmas ieviešanas un pārvaldīšanas procesu, tai skaitā, sadarbību ar citām Programmas iestādēm tādām kā Uzraudzības komiteja  (UK) un Revīzijas iestāde, kā arī Eiropas Komisiju un citām ES finansētām programmām.  </w:t>
      </w:r>
    </w:p>
    <w:p w:rsidR="00647FC0" w:rsidRPr="00576895" w:rsidRDefault="00647FC0" w:rsidP="00647FC0">
      <w:pPr>
        <w:numPr>
          <w:ilvl w:val="0"/>
          <w:numId w:val="5"/>
        </w:numPr>
        <w:autoSpaceDE/>
        <w:autoSpaceDN/>
        <w:adjustRightInd/>
        <w:spacing w:before="180" w:after="6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 xml:space="preserve">2014.gada 14.maijā dalībvalstis nolēma pilnvarot </w:t>
      </w:r>
    </w:p>
    <w:p w:rsidR="00647FC0" w:rsidRPr="00576895" w:rsidRDefault="00EE244D" w:rsidP="00647FC0">
      <w:pPr>
        <w:autoSpaceDE/>
        <w:autoSpaceDN/>
        <w:adjustRightInd/>
        <w:spacing w:before="60" w:after="60" w:line="260" w:lineRule="atLeast"/>
        <w:ind w:left="142"/>
        <w:jc w:val="center"/>
        <w:rPr>
          <w:rFonts w:ascii="Times New Roman" w:eastAsia="Times New Roman" w:hAnsi="Times New Roman" w:cs="Times New Roman"/>
          <w:color w:val="auto"/>
          <w:szCs w:val="24"/>
          <w:lang w:val="lv-LV" w:eastAsia="en-GB"/>
        </w:rPr>
      </w:pPr>
      <w:r w:rsidRPr="00EE244D">
        <w:rPr>
          <w:rFonts w:ascii="Times New Roman" w:eastAsia="Times New Roman" w:hAnsi="Times New Roman" w:cs="Times New Roman"/>
          <w:color w:val="auto"/>
          <w:szCs w:val="24"/>
          <w:lang w:val="lv-LV" w:eastAsia="en-GB"/>
        </w:rPr>
        <w:t xml:space="preserve">Investitionsbank Schleswig-Holstein </w:t>
      </w:r>
      <w:r w:rsidR="00647FC0" w:rsidRPr="00576895">
        <w:rPr>
          <w:rFonts w:ascii="Times New Roman" w:eastAsia="Times New Roman" w:hAnsi="Times New Roman" w:cs="Times New Roman"/>
          <w:color w:val="auto"/>
          <w:szCs w:val="24"/>
          <w:lang w:val="lv-LV" w:eastAsia="en-GB"/>
        </w:rPr>
        <w:t>(IB.SH), Ķīle, Vācija,</w:t>
      </w:r>
    </w:p>
    <w:p w:rsidR="00647FC0" w:rsidRPr="00576895" w:rsidRDefault="00647FC0" w:rsidP="00647FC0">
      <w:pPr>
        <w:autoSpaceDE/>
        <w:autoSpaceDN/>
        <w:adjustRightInd/>
        <w:spacing w:line="260" w:lineRule="atLeast"/>
        <w:ind w:left="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 xml:space="preserve">veikt Programmas Vadošās iestādes funkcijas. </w:t>
      </w:r>
    </w:p>
    <w:p w:rsidR="00647FC0" w:rsidRPr="00576895" w:rsidRDefault="00647FC0" w:rsidP="00647FC0">
      <w:pPr>
        <w:numPr>
          <w:ilvl w:val="0"/>
          <w:numId w:val="5"/>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fr-FR"/>
        </w:rPr>
        <w:t>VI vei</w:t>
      </w:r>
      <w:r w:rsidR="007B5970">
        <w:rPr>
          <w:rFonts w:ascii="Times New Roman" w:eastAsia="Times New Roman" w:hAnsi="Times New Roman" w:cs="Times New Roman"/>
          <w:color w:val="auto"/>
          <w:szCs w:val="24"/>
          <w:lang w:val="lv-LV" w:eastAsia="fr-FR"/>
        </w:rPr>
        <w:t>c</w:t>
      </w:r>
      <w:r w:rsidRPr="00576895">
        <w:rPr>
          <w:rFonts w:ascii="Times New Roman" w:eastAsia="Times New Roman" w:hAnsi="Times New Roman" w:cs="Times New Roman"/>
          <w:color w:val="auto"/>
          <w:szCs w:val="24"/>
          <w:lang w:val="lv-LV" w:eastAsia="fr-FR"/>
        </w:rPr>
        <w:t xml:space="preserve"> Regulas (ES) Nr. 1303/2013 125.pantā noteiktās funkcijas. Saskaņā ar Regulas (ES) 1299/2013 23.pantu, VI izveido </w:t>
      </w:r>
      <w:r w:rsidRPr="00576895">
        <w:rPr>
          <w:rFonts w:ascii="Times New Roman" w:eastAsia="Times New Roman" w:hAnsi="Times New Roman" w:cs="Times New Roman"/>
          <w:b/>
          <w:color w:val="auto"/>
          <w:szCs w:val="24"/>
          <w:lang w:val="lv-LV" w:eastAsia="en-GB"/>
        </w:rPr>
        <w:t xml:space="preserve">Kopīgu sekretariātu </w:t>
      </w:r>
      <w:r w:rsidRPr="00576895">
        <w:rPr>
          <w:rFonts w:ascii="Times New Roman" w:eastAsia="Times New Roman" w:hAnsi="Times New Roman" w:cs="Times New Roman"/>
          <w:color w:val="auto"/>
          <w:szCs w:val="24"/>
          <w:lang w:val="lv-LV" w:eastAsia="en-GB"/>
        </w:rPr>
        <w:t xml:space="preserve">(turpmāk tekstā “KS”), kura uzdevums </w:t>
      </w:r>
      <w:r w:rsidR="00542577">
        <w:rPr>
          <w:rFonts w:ascii="Times New Roman" w:eastAsia="Times New Roman" w:hAnsi="Times New Roman" w:cs="Times New Roman"/>
          <w:color w:val="auto"/>
          <w:szCs w:val="24"/>
          <w:lang w:val="lv-LV" w:eastAsia="en-GB"/>
        </w:rPr>
        <w:t>ir</w:t>
      </w:r>
      <w:r w:rsidR="00542577" w:rsidRPr="00576895">
        <w:rPr>
          <w:rFonts w:ascii="Times New Roman" w:eastAsia="Times New Roman" w:hAnsi="Times New Roman" w:cs="Times New Roman"/>
          <w:color w:val="auto"/>
          <w:szCs w:val="24"/>
          <w:lang w:val="lv-LV" w:eastAsia="en-GB"/>
        </w:rPr>
        <w:t xml:space="preserve"> </w:t>
      </w:r>
      <w:r w:rsidRPr="00576895">
        <w:rPr>
          <w:rFonts w:ascii="Times New Roman" w:eastAsia="Times New Roman" w:hAnsi="Times New Roman" w:cs="Times New Roman"/>
          <w:color w:val="auto"/>
          <w:szCs w:val="24"/>
          <w:lang w:val="lv-LV" w:eastAsia="en-GB"/>
        </w:rPr>
        <w:t xml:space="preserve">sniegt atbalstu VI un UK funkciju veikšanā.  </w:t>
      </w:r>
    </w:p>
    <w:p w:rsidR="00647FC0" w:rsidRPr="00576895" w:rsidRDefault="00647FC0" w:rsidP="00647FC0">
      <w:pPr>
        <w:numPr>
          <w:ilvl w:val="0"/>
          <w:numId w:val="5"/>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fr-FR"/>
        </w:rPr>
        <w:t>Pamatojoties uz Regula</w:t>
      </w:r>
      <w:r w:rsidR="007B5970">
        <w:rPr>
          <w:rFonts w:ascii="Times New Roman" w:eastAsia="Times New Roman" w:hAnsi="Times New Roman" w:cs="Times New Roman"/>
          <w:color w:val="auto"/>
          <w:szCs w:val="24"/>
          <w:lang w:val="lv-LV" w:eastAsia="fr-FR"/>
        </w:rPr>
        <w:t>s</w:t>
      </w:r>
      <w:r w:rsidRPr="00576895">
        <w:rPr>
          <w:rFonts w:ascii="Times New Roman" w:eastAsia="Times New Roman" w:hAnsi="Times New Roman" w:cs="Times New Roman"/>
          <w:color w:val="auto"/>
          <w:szCs w:val="24"/>
          <w:lang w:val="lv-LV" w:eastAsia="fr-FR"/>
        </w:rPr>
        <w:t xml:space="preserve"> (ES) Nr. 1299/2013 21(1).pantu, VI </w:t>
      </w:r>
      <w:r w:rsidR="007B5970">
        <w:rPr>
          <w:rFonts w:ascii="Times New Roman" w:eastAsia="Times New Roman" w:hAnsi="Times New Roman" w:cs="Times New Roman"/>
          <w:color w:val="auto"/>
          <w:szCs w:val="24"/>
          <w:lang w:val="lv-LV" w:eastAsia="fr-FR"/>
        </w:rPr>
        <w:t>ir</w:t>
      </w:r>
      <w:r w:rsidRPr="00576895">
        <w:rPr>
          <w:rFonts w:ascii="Times New Roman" w:eastAsia="Times New Roman" w:hAnsi="Times New Roman" w:cs="Times New Roman"/>
          <w:color w:val="auto"/>
          <w:szCs w:val="24"/>
          <w:lang w:val="lv-LV" w:eastAsia="fr-FR"/>
        </w:rPr>
        <w:t xml:space="preserve"> atbildīga arī par Sertifikācijas iestādes funkciju veikšanu </w:t>
      </w:r>
      <w:r w:rsidRPr="00576895">
        <w:rPr>
          <w:rFonts w:ascii="Times New Roman" w:eastAsia="Times New Roman" w:hAnsi="Times New Roman" w:cs="Times New Roman"/>
          <w:color w:val="auto"/>
          <w:szCs w:val="24"/>
          <w:lang w:val="lv-LV" w:eastAsia="en-GB"/>
        </w:rPr>
        <w:t>atbilstoši Regulas (ES) Nr. 1303/2013 126.pantā un Regulas (ES) Nr. 1299/2013 21(2).pantā noteiktajam.</w:t>
      </w:r>
    </w:p>
    <w:p w:rsidR="00647FC0" w:rsidRPr="00576895" w:rsidRDefault="00647FC0" w:rsidP="00647FC0">
      <w:pPr>
        <w:numPr>
          <w:ilvl w:val="0"/>
          <w:numId w:val="5"/>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 xml:space="preserve">Parakstot šo Vienošanos, IB.SH piekrīt veikt attiecīgās funkcijas saskaņā ar augstāk minētajām ES Regulām, Programmu, Eiropas Komisijas lēmumu par Programmas apstiprināšanu, šo Vienošanos un Programmas vadlīnijām. Neierobežojot šos noteikumus, IB.SH </w:t>
      </w:r>
      <w:r w:rsidR="007B5970" w:rsidRPr="00576895">
        <w:rPr>
          <w:rFonts w:ascii="Times New Roman" w:eastAsia="Times New Roman" w:hAnsi="Times New Roman" w:cs="Times New Roman"/>
          <w:color w:val="auto"/>
          <w:szCs w:val="24"/>
          <w:lang w:val="lv-LV" w:eastAsia="fr-FR"/>
        </w:rPr>
        <w:t>pild</w:t>
      </w:r>
      <w:r w:rsidR="007B5970">
        <w:rPr>
          <w:rFonts w:ascii="Times New Roman" w:eastAsia="Times New Roman" w:hAnsi="Times New Roman" w:cs="Times New Roman"/>
          <w:color w:val="auto"/>
          <w:szCs w:val="24"/>
          <w:lang w:val="lv-LV" w:eastAsia="fr-FR"/>
        </w:rPr>
        <w:t>a</w:t>
      </w:r>
      <w:r w:rsidR="007B5970" w:rsidRPr="00576895">
        <w:rPr>
          <w:rFonts w:ascii="Times New Roman" w:eastAsia="Times New Roman" w:hAnsi="Times New Roman" w:cs="Times New Roman"/>
          <w:color w:val="auto"/>
          <w:szCs w:val="24"/>
          <w:lang w:val="lv-LV" w:eastAsia="fr-FR"/>
        </w:rPr>
        <w:t xml:space="preserve"> </w:t>
      </w:r>
      <w:r w:rsidRPr="00576895">
        <w:rPr>
          <w:rFonts w:ascii="Times New Roman" w:eastAsia="Times New Roman" w:hAnsi="Times New Roman" w:cs="Times New Roman"/>
          <w:color w:val="auto"/>
          <w:szCs w:val="24"/>
          <w:lang w:val="lv-LV" w:eastAsia="fr-FR"/>
        </w:rPr>
        <w:t xml:space="preserve">savus pienākumus pilnā apmērā saskaņā ar Vācijas Federatīvās Republikas institucionālajām, tiesiskajām un finanšu sistēmām.  </w:t>
      </w:r>
    </w:p>
    <w:p w:rsidR="00647FC0" w:rsidRPr="00576895" w:rsidRDefault="00647FC0" w:rsidP="00647FC0">
      <w:pPr>
        <w:numPr>
          <w:ilvl w:val="0"/>
          <w:numId w:val="5"/>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Valstis, kuras piedalās šajā Programmā, snie</w:t>
      </w:r>
      <w:r w:rsidR="00542577">
        <w:rPr>
          <w:rFonts w:ascii="Times New Roman" w:eastAsia="Times New Roman" w:hAnsi="Times New Roman" w:cs="Times New Roman"/>
          <w:color w:val="auto"/>
          <w:szCs w:val="24"/>
          <w:lang w:val="lv-LV" w:eastAsia="fr-FR"/>
        </w:rPr>
        <w:t>dz</w:t>
      </w:r>
      <w:r w:rsidRPr="00576895">
        <w:rPr>
          <w:rFonts w:ascii="Times New Roman" w:eastAsia="Times New Roman" w:hAnsi="Times New Roman" w:cs="Times New Roman"/>
          <w:color w:val="auto"/>
          <w:szCs w:val="24"/>
          <w:lang w:val="lv-LV" w:eastAsia="fr-FR"/>
        </w:rPr>
        <w:t xml:space="preserve"> atbalstu IB.SH, lai tā varētu veikt savas funkcijas saskaņā ar noteikumiem.  </w:t>
      </w:r>
    </w:p>
    <w:p w:rsidR="00647FC0" w:rsidRPr="00576895" w:rsidRDefault="00647FC0" w:rsidP="00647FC0">
      <w:pPr>
        <w:numPr>
          <w:ilvl w:val="0"/>
          <w:numId w:val="5"/>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 xml:space="preserve">VI neveic pārbaudes visā Programmas teritorijā atbilstoši Regulas (ES) Nr. 1303/2013 125(4)(a).pantam. Šī iemesla dēļ un pamatojoties uz Regulas (ES) Nr. 1299/2013 23(4).pantu, katra dalībvalsts nosaka iestādes vai personas, kuras </w:t>
      </w:r>
      <w:r w:rsidR="007B5970">
        <w:rPr>
          <w:rFonts w:ascii="Times New Roman" w:eastAsia="Times New Roman" w:hAnsi="Times New Roman" w:cs="Times New Roman"/>
          <w:color w:val="auto"/>
          <w:szCs w:val="24"/>
          <w:lang w:val="lv-LV" w:eastAsia="fr-FR"/>
        </w:rPr>
        <w:t>ir</w:t>
      </w:r>
      <w:r w:rsidR="007B5970" w:rsidRPr="00576895">
        <w:rPr>
          <w:rFonts w:ascii="Times New Roman" w:eastAsia="Times New Roman" w:hAnsi="Times New Roman" w:cs="Times New Roman"/>
          <w:color w:val="auto"/>
          <w:szCs w:val="24"/>
          <w:lang w:val="lv-LV" w:eastAsia="fr-FR"/>
        </w:rPr>
        <w:t xml:space="preserve"> </w:t>
      </w:r>
      <w:r w:rsidRPr="00576895">
        <w:rPr>
          <w:rFonts w:ascii="Times New Roman" w:eastAsia="Times New Roman" w:hAnsi="Times New Roman" w:cs="Times New Roman"/>
          <w:color w:val="auto"/>
          <w:szCs w:val="24"/>
          <w:lang w:val="lv-LV" w:eastAsia="fr-FR"/>
        </w:rPr>
        <w:t xml:space="preserve">atbildīgas par šādu pārbaužu veikšanu saistībā ar šajās teritorijās esošiem finansējuma saņēmējiem (turpmāk tekstā “pirmā līmeņa kontrolieris” vai “kontrolieris”). Savukārt VI ir jāpārliecinās, ka katra projektā dalību ņēmušā finansējuma saņēmēja izdevumus, saskaņā ar Regulas (ES) Nr. 1299/2013 23(4).pantu, ir pārbaudījis kontrolieris.   </w:t>
      </w:r>
    </w:p>
    <w:p w:rsidR="00647FC0" w:rsidRPr="00576895" w:rsidRDefault="00647FC0" w:rsidP="00647FC0">
      <w:pPr>
        <w:numPr>
          <w:ilvl w:val="0"/>
          <w:numId w:val="5"/>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lastRenderedPageBreak/>
        <w:t xml:space="preserve">Izņēmuma kārtā attiecībā uz (g) apakšpunktā minētajiem noteikumiem un nacionālo pirmā līmeņa kontrolieru vietā, VI drīkst veikt īpaša veida projektu vadības pārbaudes. Detalizēta informācija tiks noteikta Programmas vadlīnijās. </w:t>
      </w:r>
    </w:p>
    <w:p w:rsidR="00647FC0" w:rsidRPr="00576895" w:rsidRDefault="00647FC0" w:rsidP="00647FC0">
      <w:pPr>
        <w:numPr>
          <w:ilvl w:val="0"/>
          <w:numId w:val="5"/>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 xml:space="preserve">VI tiks finansēta tikai no Programmas tehniskās palīdzības (TP) budžeta. </w:t>
      </w:r>
    </w:p>
    <w:p w:rsidR="00647FC0" w:rsidRPr="00576895" w:rsidRDefault="00647FC0" w:rsidP="00647FC0">
      <w:pPr>
        <w:numPr>
          <w:ilvl w:val="0"/>
          <w:numId w:val="5"/>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Attiecībā uz koordinācijas lomu dalībvalstu teritorijā, VI sabiedrotie pirmajā instancē ir UK biedri, kuri pārstāv nacionālās par Programmu atbildīgās iestādes. Tādēļ UK biedri un viņu pārstāvji ir galvenās kontaktpersonas attiecībā uz visiem ar Programmas ieviešanu dalībvalstīs saistītajiem pieprasījumiem, ziņojumiem, utt.</w:t>
      </w:r>
    </w:p>
    <w:p w:rsidR="00647FC0" w:rsidRPr="00576895" w:rsidRDefault="00647FC0" w:rsidP="00647FC0">
      <w:pPr>
        <w:pStyle w:val="Heading2"/>
        <w:spacing w:before="400"/>
        <w:ind w:left="0" w:firstLine="0"/>
        <w:jc w:val="center"/>
        <w:rPr>
          <w:rFonts w:ascii="Times New Roman" w:hAnsi="Times New Roman" w:cs="Times New Roman"/>
          <w:color w:val="auto"/>
          <w:u w:val="single"/>
          <w:lang w:val="lv-LV" w:eastAsia="en-GB"/>
        </w:rPr>
      </w:pPr>
      <w:r w:rsidRPr="00576895">
        <w:rPr>
          <w:rFonts w:ascii="Times New Roman" w:hAnsi="Times New Roman" w:cs="Times New Roman"/>
          <w:color w:val="auto"/>
          <w:u w:val="single"/>
          <w:lang w:val="lv-LV" w:eastAsia="en-GB"/>
        </w:rPr>
        <w:t>Kopīgais sekretariāts</w:t>
      </w:r>
    </w:p>
    <w:p w:rsidR="00647FC0" w:rsidRPr="00576895" w:rsidRDefault="00647FC0" w:rsidP="00647FC0">
      <w:pPr>
        <w:numPr>
          <w:ilvl w:val="0"/>
          <w:numId w:val="7"/>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 xml:space="preserve">VI ir atbildīga par programmas </w:t>
      </w:r>
      <w:r w:rsidRPr="00576895">
        <w:rPr>
          <w:rFonts w:ascii="Times New Roman" w:eastAsia="Times New Roman" w:hAnsi="Times New Roman" w:cs="Times New Roman"/>
          <w:b/>
          <w:color w:val="auto"/>
          <w:szCs w:val="24"/>
          <w:lang w:val="lv-LV" w:eastAsia="fr-FR"/>
        </w:rPr>
        <w:t>Kopīga sekretariāta</w:t>
      </w:r>
      <w:r w:rsidRPr="00576895">
        <w:rPr>
          <w:rFonts w:ascii="Times New Roman" w:eastAsia="Times New Roman" w:hAnsi="Times New Roman" w:cs="Times New Roman"/>
          <w:color w:val="auto"/>
          <w:szCs w:val="24"/>
          <w:lang w:val="lv-LV" w:eastAsia="fr-FR"/>
        </w:rPr>
        <w:t xml:space="preserve"> (KS) izveidi. Galveno KS biroju Rostokā (Vācija) vadīs IB.SH.</w:t>
      </w:r>
    </w:p>
    <w:p w:rsidR="00647FC0" w:rsidRPr="00576895" w:rsidRDefault="00647FC0" w:rsidP="00647FC0">
      <w:pPr>
        <w:numPr>
          <w:ilvl w:val="0"/>
          <w:numId w:val="7"/>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 xml:space="preserve">Sadarbībā ar IB.SH, Rīgā (Latvija) tiks izveidota KS filiāle. KS Rīgas filiāli vadīs Latvijas Valsts reģionālās attīstības aģentūra (turpmāk tekstā “VRAA”). Detalizēta informācija par filiāles darbību tiks noteikta starp IB.SH un VRAA noslēgtajā līgumā. </w:t>
      </w:r>
    </w:p>
    <w:p w:rsidR="00647FC0" w:rsidRPr="00576895" w:rsidRDefault="00647FC0" w:rsidP="00647FC0">
      <w:pPr>
        <w:numPr>
          <w:ilvl w:val="0"/>
          <w:numId w:val="7"/>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 xml:space="preserve">KS darbosies kā viena kopīga funkcionāla vienība, kuru vadīs viens direktors, taču tam būs divas atrašanās vietas. Lai gan personāls daļēji atradīsies Rīgā, tas ir daļa no attiecīgās komandas, kuras vadītāja darba vieta ir Rostokas birojs. KS Rīgas filiāles personāls ikdienas darbā cieši sadarbosies ar kolēģiem no Rostokas biroja. </w:t>
      </w:r>
    </w:p>
    <w:p w:rsidR="00647FC0" w:rsidRPr="00576895" w:rsidRDefault="00647FC0" w:rsidP="00647FC0">
      <w:pPr>
        <w:numPr>
          <w:ilvl w:val="0"/>
          <w:numId w:val="7"/>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 xml:space="preserve">Programmas ietvaros KS veiks lielāko daļu ikdienas darba uzdevumu apjomu, kas saistīti ar vispārējo Programmas ieviešanu, proti, Regulas (ES) Nr. 1299/2013 23(2).pantā noteiktos uzdevumus. </w:t>
      </w:r>
      <w:r w:rsidRPr="00576895">
        <w:rPr>
          <w:rFonts w:ascii="Times New Roman" w:eastAsia="Times New Roman" w:hAnsi="Times New Roman" w:cs="Times New Roman"/>
          <w:smallCaps/>
          <w:color w:val="auto"/>
          <w:szCs w:val="24"/>
          <w:lang w:val="lv-LV" w:eastAsia="fr-FR"/>
        </w:rPr>
        <w:t>KS</w:t>
      </w:r>
      <w:r w:rsidRPr="00576895">
        <w:rPr>
          <w:rFonts w:ascii="Times New Roman" w:eastAsia="Times New Roman" w:hAnsi="Times New Roman" w:cs="Times New Roman"/>
          <w:color w:val="auto"/>
          <w:szCs w:val="24"/>
          <w:lang w:val="lv-LV" w:eastAsia="fr-FR"/>
        </w:rPr>
        <w:t xml:space="preserve"> ir galvenā kontaktpersona iedzīvotājiem, kuri interesējas par Programmu, potenciālajiem finansējuma saņēmējiem un izvēlētajiem/esošajiem projektiem. </w:t>
      </w:r>
    </w:p>
    <w:p w:rsidR="00647FC0" w:rsidRPr="00576895" w:rsidRDefault="00647FC0" w:rsidP="00647FC0">
      <w:pPr>
        <w:numPr>
          <w:ilvl w:val="0"/>
          <w:numId w:val="7"/>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KS tiks finansēts tikai no Programmas TP budžeta.</w:t>
      </w:r>
    </w:p>
    <w:p w:rsidR="00647FC0" w:rsidRPr="00576895" w:rsidRDefault="00647FC0" w:rsidP="00647FC0">
      <w:pPr>
        <w:numPr>
          <w:ilvl w:val="0"/>
          <w:numId w:val="7"/>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 xml:space="preserve">KS pilnībā uzsāks savu darbību tiklīdz Eiropas Komisija būs apstiprinājusi Programmu un UK būs apstiprinājusi TP budžetu. </w:t>
      </w:r>
    </w:p>
    <w:p w:rsidR="00647FC0" w:rsidRPr="00576895" w:rsidRDefault="00647FC0" w:rsidP="00647FC0">
      <w:pPr>
        <w:pStyle w:val="Heading2"/>
        <w:spacing w:before="400"/>
        <w:ind w:left="0" w:firstLine="0"/>
        <w:jc w:val="center"/>
        <w:rPr>
          <w:rFonts w:ascii="Times New Roman" w:hAnsi="Times New Roman" w:cs="Times New Roman"/>
          <w:color w:val="auto"/>
          <w:u w:val="single"/>
          <w:lang w:val="lv-LV" w:eastAsia="en-GB"/>
        </w:rPr>
      </w:pPr>
      <w:r w:rsidRPr="00576895">
        <w:rPr>
          <w:rFonts w:ascii="Times New Roman" w:hAnsi="Times New Roman" w:cs="Times New Roman"/>
          <w:color w:val="auto"/>
          <w:u w:val="single"/>
          <w:lang w:val="lv-LV" w:eastAsia="en-GB"/>
        </w:rPr>
        <w:t>VI</w:t>
      </w:r>
      <w:r w:rsidR="004D18E5">
        <w:rPr>
          <w:rFonts w:ascii="Times New Roman" w:hAnsi="Times New Roman" w:cs="Times New Roman"/>
          <w:color w:val="auto"/>
          <w:u w:val="single"/>
          <w:lang w:val="lv-LV" w:eastAsia="en-GB"/>
        </w:rPr>
        <w:t xml:space="preserve"> </w:t>
      </w:r>
      <w:r w:rsidRPr="00576895">
        <w:rPr>
          <w:rFonts w:ascii="Times New Roman" w:hAnsi="Times New Roman" w:cs="Times New Roman"/>
          <w:color w:val="auto"/>
          <w:u w:val="single"/>
          <w:lang w:val="lv-LV" w:eastAsia="en-GB"/>
        </w:rPr>
        <w:t>/</w:t>
      </w:r>
      <w:r w:rsidR="004D18E5">
        <w:rPr>
          <w:rFonts w:ascii="Times New Roman" w:hAnsi="Times New Roman" w:cs="Times New Roman"/>
          <w:color w:val="auto"/>
          <w:u w:val="single"/>
          <w:lang w:val="lv-LV" w:eastAsia="en-GB"/>
        </w:rPr>
        <w:t xml:space="preserve"> </w:t>
      </w:r>
      <w:r w:rsidRPr="00576895">
        <w:rPr>
          <w:rFonts w:ascii="Times New Roman" w:hAnsi="Times New Roman" w:cs="Times New Roman"/>
          <w:color w:val="auto"/>
          <w:u w:val="single"/>
          <w:lang w:val="lv-LV" w:eastAsia="en-GB"/>
        </w:rPr>
        <w:t>KS personāla un vadības kārtība</w:t>
      </w:r>
    </w:p>
    <w:p w:rsidR="00647FC0" w:rsidRPr="00576895" w:rsidRDefault="00647FC0" w:rsidP="00647FC0">
      <w:pPr>
        <w:numPr>
          <w:ilvl w:val="0"/>
          <w:numId w:val="8"/>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VI un KS uzdevumus veic IB.SH departaments “Interreg Baltijas jūras reģions”. Departamenta organizatoriskā struktūra tiks no</w:t>
      </w:r>
      <w:r w:rsidR="002B0C70">
        <w:rPr>
          <w:rFonts w:ascii="Times New Roman" w:eastAsia="Times New Roman" w:hAnsi="Times New Roman" w:cs="Times New Roman"/>
          <w:color w:val="auto"/>
          <w:szCs w:val="24"/>
          <w:lang w:val="lv-LV" w:eastAsia="fr-FR"/>
        </w:rPr>
        <w:t>rādīta</w:t>
      </w:r>
      <w:r w:rsidRPr="00576895">
        <w:rPr>
          <w:rFonts w:ascii="Times New Roman" w:eastAsia="Times New Roman" w:hAnsi="Times New Roman" w:cs="Times New Roman"/>
          <w:color w:val="auto"/>
          <w:szCs w:val="24"/>
          <w:lang w:val="lv-LV" w:eastAsia="fr-FR"/>
        </w:rPr>
        <w:t xml:space="preserve"> Programmas interneta vietnē. </w:t>
      </w:r>
    </w:p>
    <w:p w:rsidR="00647FC0" w:rsidRPr="00576895" w:rsidRDefault="00647FC0" w:rsidP="00647FC0">
      <w:pPr>
        <w:numPr>
          <w:ilvl w:val="0"/>
          <w:numId w:val="8"/>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VI un KS vadītāja darba vieta būs Rostokā, viņš/viņa būs vienlīdz atbildīgs(-a) par VI un KS, un iesniegs ziņojums tieši IB.SH valdei.</w:t>
      </w:r>
    </w:p>
    <w:p w:rsidR="00647FC0" w:rsidRPr="00576895" w:rsidRDefault="00647FC0" w:rsidP="00647FC0">
      <w:pPr>
        <w:numPr>
          <w:ilvl w:val="0"/>
          <w:numId w:val="8"/>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 xml:space="preserve">VI un KS Rostokā un Ķīlē (Vācija) strādājošā personāla darba devējs </w:t>
      </w:r>
      <w:r w:rsidR="007B5970">
        <w:rPr>
          <w:rFonts w:ascii="Times New Roman" w:eastAsia="Times New Roman" w:hAnsi="Times New Roman" w:cs="Times New Roman"/>
          <w:color w:val="auto"/>
          <w:szCs w:val="24"/>
          <w:lang w:val="lv-LV" w:eastAsia="fr-FR"/>
        </w:rPr>
        <w:t>ir</w:t>
      </w:r>
      <w:r w:rsidR="007B5970" w:rsidRPr="00576895">
        <w:rPr>
          <w:rFonts w:ascii="Times New Roman" w:eastAsia="Times New Roman" w:hAnsi="Times New Roman" w:cs="Times New Roman"/>
          <w:color w:val="auto"/>
          <w:szCs w:val="24"/>
          <w:lang w:val="lv-LV" w:eastAsia="fr-FR"/>
        </w:rPr>
        <w:t xml:space="preserve"> </w:t>
      </w:r>
      <w:r w:rsidRPr="00576895">
        <w:rPr>
          <w:rFonts w:ascii="Times New Roman" w:eastAsia="Times New Roman" w:hAnsi="Times New Roman" w:cs="Times New Roman"/>
          <w:color w:val="auto"/>
          <w:szCs w:val="24"/>
          <w:lang w:val="lv-LV" w:eastAsia="fr-FR"/>
        </w:rPr>
        <w:t xml:space="preserve">IB.SH. Rīgas filiālē (Latvija) strādājošā personāla daba devējs </w:t>
      </w:r>
      <w:r w:rsidR="007B5970">
        <w:rPr>
          <w:rFonts w:ascii="Times New Roman" w:eastAsia="Times New Roman" w:hAnsi="Times New Roman" w:cs="Times New Roman"/>
          <w:color w:val="auto"/>
          <w:szCs w:val="24"/>
          <w:lang w:val="lv-LV" w:eastAsia="fr-FR"/>
        </w:rPr>
        <w:t>ir</w:t>
      </w:r>
      <w:r w:rsidR="007B5970" w:rsidRPr="00576895">
        <w:rPr>
          <w:rFonts w:ascii="Times New Roman" w:eastAsia="Times New Roman" w:hAnsi="Times New Roman" w:cs="Times New Roman"/>
          <w:color w:val="auto"/>
          <w:szCs w:val="24"/>
          <w:lang w:val="lv-LV" w:eastAsia="fr-FR"/>
        </w:rPr>
        <w:t xml:space="preserve"> </w:t>
      </w:r>
      <w:r w:rsidRPr="00576895">
        <w:rPr>
          <w:rFonts w:ascii="Times New Roman" w:eastAsia="Times New Roman" w:hAnsi="Times New Roman" w:cs="Times New Roman"/>
          <w:color w:val="auto"/>
          <w:szCs w:val="24"/>
          <w:lang w:val="lv-LV" w:eastAsia="fr-FR"/>
        </w:rPr>
        <w:t>VRAA, kas sadarbībā ar IB.SH darbojas kā filiāles operators.</w:t>
      </w:r>
    </w:p>
    <w:p w:rsidR="00647FC0" w:rsidRPr="00576895" w:rsidRDefault="004D18E5" w:rsidP="00647FC0">
      <w:pPr>
        <w:numPr>
          <w:ilvl w:val="0"/>
          <w:numId w:val="8"/>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Pr>
          <w:rFonts w:ascii="Times New Roman" w:eastAsia="Times New Roman" w:hAnsi="Times New Roman" w:cs="Times New Roman"/>
          <w:color w:val="auto"/>
          <w:szCs w:val="24"/>
          <w:lang w:val="lv-LV" w:eastAsia="en-GB"/>
        </w:rPr>
        <w:t xml:space="preserve">Nodarbināšana </w:t>
      </w:r>
      <w:r w:rsidR="00D901B9">
        <w:rPr>
          <w:rFonts w:ascii="Times New Roman" w:eastAsia="Times New Roman" w:hAnsi="Times New Roman" w:cs="Times New Roman"/>
          <w:color w:val="auto"/>
          <w:szCs w:val="24"/>
          <w:lang w:val="lv-LV" w:eastAsia="en-GB"/>
        </w:rPr>
        <w:t xml:space="preserve">ir </w:t>
      </w:r>
      <w:r>
        <w:rPr>
          <w:rFonts w:ascii="Times New Roman" w:eastAsia="Times New Roman" w:hAnsi="Times New Roman" w:cs="Times New Roman"/>
          <w:color w:val="auto"/>
          <w:szCs w:val="24"/>
          <w:lang w:val="lv-LV" w:eastAsia="en-GB"/>
        </w:rPr>
        <w:t>organizēta saskaņā ar Uzraudzības komitejas</w:t>
      </w:r>
      <w:r w:rsidR="00647FC0" w:rsidRPr="00576895">
        <w:rPr>
          <w:rFonts w:ascii="Times New Roman" w:eastAsia="Times New Roman" w:hAnsi="Times New Roman" w:cs="Times New Roman"/>
          <w:color w:val="auto"/>
          <w:szCs w:val="24"/>
          <w:lang w:val="lv-LV" w:eastAsia="en-GB"/>
        </w:rPr>
        <w:t xml:space="preserve"> apstiprināto TP budžetu. KS </w:t>
      </w:r>
      <w:r w:rsidR="00D901B9">
        <w:rPr>
          <w:rFonts w:ascii="Times New Roman" w:eastAsia="Times New Roman" w:hAnsi="Times New Roman" w:cs="Times New Roman"/>
          <w:color w:val="auto"/>
          <w:szCs w:val="24"/>
          <w:lang w:val="lv-LV" w:eastAsia="en-GB"/>
        </w:rPr>
        <w:t>ir</w:t>
      </w:r>
      <w:r w:rsidR="00D901B9" w:rsidRPr="00576895">
        <w:rPr>
          <w:rFonts w:ascii="Times New Roman" w:eastAsia="Times New Roman" w:hAnsi="Times New Roman" w:cs="Times New Roman"/>
          <w:color w:val="auto"/>
          <w:szCs w:val="24"/>
          <w:lang w:val="lv-LV" w:eastAsia="en-GB"/>
        </w:rPr>
        <w:t xml:space="preserve"> </w:t>
      </w:r>
      <w:r w:rsidR="00647FC0" w:rsidRPr="00576895">
        <w:rPr>
          <w:rFonts w:ascii="Times New Roman" w:eastAsia="Times New Roman" w:hAnsi="Times New Roman" w:cs="Times New Roman"/>
          <w:color w:val="auto"/>
          <w:szCs w:val="24"/>
          <w:lang w:val="lv-LV" w:eastAsia="en-GB"/>
        </w:rPr>
        <w:t>starptautisks personāls, ieteicams no visām dalībvalstīm. VI un KS personāla darba uzdevumi ir noteikti individuālos amata aprakstos</w:t>
      </w:r>
      <w:r w:rsidR="00647FC0" w:rsidRPr="00576895">
        <w:rPr>
          <w:rFonts w:ascii="Times New Roman" w:eastAsia="Times New Roman" w:hAnsi="Times New Roman" w:cs="Times New Roman"/>
          <w:color w:val="auto"/>
          <w:szCs w:val="24"/>
          <w:lang w:val="lv-LV" w:eastAsia="fr-FR"/>
        </w:rPr>
        <w:t>.</w:t>
      </w:r>
    </w:p>
    <w:p w:rsidR="00647FC0" w:rsidRPr="00576895" w:rsidRDefault="00647FC0" w:rsidP="00647FC0">
      <w:pPr>
        <w:pStyle w:val="Heading2"/>
        <w:spacing w:before="400"/>
        <w:ind w:left="0" w:firstLine="0"/>
        <w:jc w:val="center"/>
        <w:rPr>
          <w:rFonts w:ascii="Times New Roman" w:hAnsi="Times New Roman" w:cs="Times New Roman"/>
          <w:color w:val="auto"/>
          <w:u w:val="single"/>
          <w:lang w:val="lv-LV" w:eastAsia="en-GB"/>
        </w:rPr>
      </w:pPr>
      <w:r w:rsidRPr="00576895">
        <w:rPr>
          <w:rFonts w:ascii="Times New Roman" w:hAnsi="Times New Roman" w:cs="Times New Roman"/>
          <w:color w:val="auto"/>
          <w:u w:val="single"/>
          <w:lang w:val="lv-LV" w:eastAsia="en-GB"/>
        </w:rPr>
        <w:lastRenderedPageBreak/>
        <w:t>Kontaktpunkti</w:t>
      </w:r>
    </w:p>
    <w:p w:rsidR="00647FC0" w:rsidRPr="00576895" w:rsidRDefault="00647FC0" w:rsidP="00647FC0">
      <w:pPr>
        <w:spacing w:before="180" w:after="120" w:line="260" w:lineRule="atLeast"/>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Dalībvalstis var pieņemt lēmumu par kontaktpunkta (-u) (KP) izveidi, lai informētu pieteikumu iesniedzējus un finansējuma saņēmējus par Programmu.</w:t>
      </w:r>
    </w:p>
    <w:p w:rsidR="00647FC0" w:rsidRPr="00576895" w:rsidRDefault="00647FC0" w:rsidP="00647FC0">
      <w:pPr>
        <w:pStyle w:val="Heading2"/>
        <w:spacing w:before="400"/>
        <w:ind w:left="0" w:firstLine="0"/>
        <w:jc w:val="center"/>
        <w:rPr>
          <w:rFonts w:ascii="Times New Roman" w:hAnsi="Times New Roman" w:cs="Times New Roman"/>
          <w:color w:val="auto"/>
          <w:u w:val="single"/>
          <w:lang w:val="lv-LV" w:eastAsia="en-GB"/>
        </w:rPr>
      </w:pPr>
      <w:r w:rsidRPr="00576895">
        <w:rPr>
          <w:rFonts w:ascii="Times New Roman" w:hAnsi="Times New Roman" w:cs="Times New Roman"/>
          <w:color w:val="auto"/>
          <w:u w:val="single"/>
          <w:lang w:val="lv-LV" w:eastAsia="en-GB"/>
        </w:rPr>
        <w:t>Uzraudzības komiteja</w:t>
      </w:r>
    </w:p>
    <w:p w:rsidR="00647FC0" w:rsidRPr="00576895" w:rsidRDefault="00647FC0" w:rsidP="00647FC0">
      <w:pPr>
        <w:numPr>
          <w:ilvl w:val="0"/>
          <w:numId w:val="9"/>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fr-FR"/>
        </w:rPr>
        <w:t>Trīs mēnešu laikā pēc dienas, kad paziņots par Programmas apstiprināšanu, dalībvalstis vienojoties ar VI izveido Uzraudzības komiteju (UK) atbilstoši Regulas (ES) Nr. 1303/2013 47.pantam.</w:t>
      </w:r>
    </w:p>
    <w:p w:rsidR="00647FC0" w:rsidRPr="00576895" w:rsidRDefault="00647FC0" w:rsidP="00647FC0">
      <w:pPr>
        <w:numPr>
          <w:ilvl w:val="0"/>
          <w:numId w:val="9"/>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 xml:space="preserve">Saskaņā ar Regulas (ES) Nr. 1303/2013 48.pantu, katra dalībvalsts deleģē līdz trim pārstāvjiem un to vietniekus darbam UK. UK biedri ir fiziskas personas, kuras pārstāv iestādes un organizācijas atbilstoši katras dalībvalsts lēmumam. Biedriem jāpārstāv vismaz nacionālo iestādi, kas ir atbildīga par Programmu un attiecīgās dalībvalsts reģionālo līmeni. Turpmāk UK kā padomdevējus ietver arī </w:t>
      </w:r>
      <w:r w:rsidRPr="00576895">
        <w:rPr>
          <w:rFonts w:ascii="Times New Roman" w:eastAsia="Times New Roman" w:hAnsi="Times New Roman" w:cs="Times New Roman"/>
          <w:color w:val="auto"/>
          <w:szCs w:val="24"/>
          <w:lang w:val="lv-LV" w:eastAsia="en-US"/>
        </w:rPr>
        <w:t>VI/KS pārstāvjus. Arī Eiropas Komisija kā padomdevējs piedal</w:t>
      </w:r>
      <w:r w:rsidR="00D901B9">
        <w:rPr>
          <w:rFonts w:ascii="Times New Roman" w:eastAsia="Times New Roman" w:hAnsi="Times New Roman" w:cs="Times New Roman"/>
          <w:color w:val="auto"/>
          <w:szCs w:val="24"/>
          <w:lang w:val="lv-LV" w:eastAsia="en-US"/>
        </w:rPr>
        <w:t>ās</w:t>
      </w:r>
      <w:r w:rsidRPr="00576895">
        <w:rPr>
          <w:rFonts w:ascii="Times New Roman" w:eastAsia="Times New Roman" w:hAnsi="Times New Roman" w:cs="Times New Roman"/>
          <w:color w:val="auto"/>
          <w:szCs w:val="24"/>
          <w:lang w:val="lv-LV" w:eastAsia="en-US"/>
        </w:rPr>
        <w:t xml:space="preserve"> UK darba procesā. </w:t>
      </w:r>
    </w:p>
    <w:p w:rsidR="00647FC0" w:rsidRPr="00576895" w:rsidRDefault="00647FC0" w:rsidP="00647FC0">
      <w:pPr>
        <w:numPr>
          <w:ilvl w:val="0"/>
          <w:numId w:val="9"/>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en-US"/>
        </w:rPr>
        <w:t>Par ikviena UK biedra  un vietnieka iecelšanu un atsaukšanu nekavējoties ir jāinformē VI/KS.</w:t>
      </w:r>
    </w:p>
    <w:p w:rsidR="00647FC0" w:rsidRPr="00576895" w:rsidRDefault="00647FC0" w:rsidP="00647FC0">
      <w:pPr>
        <w:numPr>
          <w:ilvl w:val="0"/>
          <w:numId w:val="9"/>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 xml:space="preserve">Saskaņā ar Regulas (ES) Nr. 1303/2013 49.pantu, UK </w:t>
      </w:r>
      <w:r w:rsidR="00D901B9" w:rsidRPr="00576895">
        <w:rPr>
          <w:rFonts w:ascii="Times New Roman" w:eastAsia="Times New Roman" w:hAnsi="Times New Roman" w:cs="Times New Roman"/>
          <w:color w:val="auto"/>
          <w:szCs w:val="24"/>
          <w:lang w:val="lv-LV" w:eastAsia="fr-FR"/>
        </w:rPr>
        <w:t>uzrau</w:t>
      </w:r>
      <w:r w:rsidR="00D901B9">
        <w:rPr>
          <w:rFonts w:ascii="Times New Roman" w:eastAsia="Times New Roman" w:hAnsi="Times New Roman" w:cs="Times New Roman"/>
          <w:color w:val="auto"/>
          <w:szCs w:val="24"/>
          <w:lang w:val="lv-LV" w:eastAsia="fr-FR"/>
        </w:rPr>
        <w:t>ga</w:t>
      </w:r>
      <w:r w:rsidR="00D901B9" w:rsidRPr="00576895">
        <w:rPr>
          <w:rFonts w:ascii="Times New Roman" w:eastAsia="Times New Roman" w:hAnsi="Times New Roman" w:cs="Times New Roman"/>
          <w:color w:val="auto"/>
          <w:szCs w:val="24"/>
          <w:lang w:val="lv-LV" w:eastAsia="fr-FR"/>
        </w:rPr>
        <w:t xml:space="preserve"> </w:t>
      </w:r>
      <w:r w:rsidRPr="00576895">
        <w:rPr>
          <w:rFonts w:ascii="Times New Roman" w:eastAsia="Times New Roman" w:hAnsi="Times New Roman" w:cs="Times New Roman"/>
          <w:color w:val="auto"/>
          <w:szCs w:val="24"/>
          <w:lang w:val="lv-LV" w:eastAsia="fr-FR"/>
        </w:rPr>
        <w:t>Programmas ieviešanas procesu un progresu Programmas mērķu sasniegšanā. UK vei</w:t>
      </w:r>
      <w:r w:rsidR="00D901B9">
        <w:rPr>
          <w:rFonts w:ascii="Times New Roman" w:eastAsia="Times New Roman" w:hAnsi="Times New Roman" w:cs="Times New Roman"/>
          <w:color w:val="auto"/>
          <w:szCs w:val="24"/>
          <w:lang w:val="lv-LV" w:eastAsia="fr-FR"/>
        </w:rPr>
        <w:t>c</w:t>
      </w:r>
      <w:r w:rsidRPr="00576895">
        <w:rPr>
          <w:rFonts w:ascii="Times New Roman" w:eastAsia="Times New Roman" w:hAnsi="Times New Roman" w:cs="Times New Roman"/>
          <w:color w:val="auto"/>
          <w:szCs w:val="24"/>
          <w:lang w:val="lv-LV" w:eastAsia="fr-FR"/>
        </w:rPr>
        <w:t xml:space="preserve"> Regulas (ES) Nr. 1303/2013 110.punktā noteiktās funkcijas un projektu atlasi atbilstoši Regulas (ES) Nr. 1299/2013 12.pantam. Turklāt UK apstiprin</w:t>
      </w:r>
      <w:r w:rsidR="00D901B9">
        <w:rPr>
          <w:rFonts w:ascii="Times New Roman" w:eastAsia="Times New Roman" w:hAnsi="Times New Roman" w:cs="Times New Roman"/>
          <w:color w:val="auto"/>
          <w:szCs w:val="24"/>
          <w:lang w:val="lv-LV" w:eastAsia="fr-FR"/>
        </w:rPr>
        <w:t>a</w:t>
      </w:r>
      <w:r w:rsidRPr="00576895">
        <w:rPr>
          <w:rFonts w:ascii="Times New Roman" w:eastAsia="Times New Roman" w:hAnsi="Times New Roman" w:cs="Times New Roman"/>
          <w:color w:val="auto"/>
          <w:szCs w:val="24"/>
          <w:lang w:val="lv-LV" w:eastAsia="fr-FR"/>
        </w:rPr>
        <w:t xml:space="preserve"> Programmas vadlīnijas, ko izstrādājusi VI/KS vienojoties ar UK.</w:t>
      </w:r>
    </w:p>
    <w:p w:rsidR="00647FC0" w:rsidRPr="00576895" w:rsidRDefault="00647FC0" w:rsidP="00647FC0">
      <w:pPr>
        <w:numPr>
          <w:ilvl w:val="0"/>
          <w:numId w:val="9"/>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fr-FR"/>
        </w:rPr>
        <w:t>UK biedri piedal</w:t>
      </w:r>
      <w:r w:rsidR="00D901B9">
        <w:rPr>
          <w:rFonts w:ascii="Times New Roman" w:eastAsia="Times New Roman" w:hAnsi="Times New Roman" w:cs="Times New Roman"/>
          <w:color w:val="auto"/>
          <w:szCs w:val="24"/>
          <w:lang w:val="lv-LV" w:eastAsia="fr-FR"/>
        </w:rPr>
        <w:t>ās</w:t>
      </w:r>
      <w:r w:rsidRPr="00576895">
        <w:rPr>
          <w:rFonts w:ascii="Times New Roman" w:eastAsia="Times New Roman" w:hAnsi="Times New Roman" w:cs="Times New Roman"/>
          <w:color w:val="auto"/>
          <w:szCs w:val="24"/>
          <w:lang w:val="lv-LV" w:eastAsia="fr-FR"/>
        </w:rPr>
        <w:t xml:space="preserve"> Programmas sagatavošanas, ieviešanas, uzraudzības un novērtēšanas procesā atbilstoši Regulas (ES) Nr. 1303/2013 5(2).panta noteikumiem. </w:t>
      </w:r>
    </w:p>
    <w:p w:rsidR="00647FC0" w:rsidRPr="00576895" w:rsidRDefault="00647FC0" w:rsidP="00647FC0">
      <w:pPr>
        <w:numPr>
          <w:ilvl w:val="0"/>
          <w:numId w:val="9"/>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en-US"/>
        </w:rPr>
        <w:t xml:space="preserve">UK biedru atbildība, noteikumi par UK biedru objektivitāti un citi noteikumi </w:t>
      </w:r>
      <w:r w:rsidR="00D901B9">
        <w:rPr>
          <w:rFonts w:ascii="Times New Roman" w:eastAsia="Times New Roman" w:hAnsi="Times New Roman" w:cs="Times New Roman"/>
          <w:color w:val="auto"/>
          <w:szCs w:val="24"/>
          <w:lang w:val="lv-LV" w:eastAsia="en-US"/>
        </w:rPr>
        <w:t>ir</w:t>
      </w:r>
      <w:r w:rsidR="00D901B9" w:rsidRPr="00576895">
        <w:rPr>
          <w:rFonts w:ascii="Times New Roman" w:eastAsia="Times New Roman" w:hAnsi="Times New Roman" w:cs="Times New Roman"/>
          <w:color w:val="auto"/>
          <w:szCs w:val="24"/>
          <w:lang w:val="lv-LV" w:eastAsia="en-US"/>
        </w:rPr>
        <w:t xml:space="preserve"> </w:t>
      </w:r>
      <w:r w:rsidRPr="00576895">
        <w:rPr>
          <w:rFonts w:ascii="Times New Roman" w:eastAsia="Times New Roman" w:hAnsi="Times New Roman" w:cs="Times New Roman"/>
          <w:color w:val="auto"/>
          <w:szCs w:val="24"/>
          <w:lang w:val="lv-LV" w:eastAsia="en-US"/>
        </w:rPr>
        <w:t xml:space="preserve">definēti UK rakstiskā reglamentā. Šis reglaments </w:t>
      </w:r>
      <w:r w:rsidR="00D901B9">
        <w:rPr>
          <w:rFonts w:ascii="Times New Roman" w:eastAsia="Times New Roman" w:hAnsi="Times New Roman" w:cs="Times New Roman"/>
          <w:color w:val="auto"/>
          <w:szCs w:val="24"/>
          <w:lang w:val="lv-LV" w:eastAsia="en-US"/>
        </w:rPr>
        <w:t>ir</w:t>
      </w:r>
      <w:r w:rsidR="00D901B9" w:rsidRPr="00576895">
        <w:rPr>
          <w:rFonts w:ascii="Times New Roman" w:eastAsia="Times New Roman" w:hAnsi="Times New Roman" w:cs="Times New Roman"/>
          <w:color w:val="auto"/>
          <w:szCs w:val="24"/>
          <w:lang w:val="lv-LV" w:eastAsia="en-US"/>
        </w:rPr>
        <w:t xml:space="preserve"> </w:t>
      </w:r>
      <w:r w:rsidRPr="00576895">
        <w:rPr>
          <w:rFonts w:ascii="Times New Roman" w:eastAsia="Times New Roman" w:hAnsi="Times New Roman" w:cs="Times New Roman"/>
          <w:color w:val="auto"/>
          <w:szCs w:val="24"/>
          <w:lang w:val="lv-LV" w:eastAsia="en-US"/>
        </w:rPr>
        <w:t>apstiprināts pirmajā UK sanāksmē sadarbībā ar VI/KS.</w:t>
      </w:r>
    </w:p>
    <w:p w:rsidR="00647FC0" w:rsidRPr="00576895" w:rsidRDefault="00647FC0" w:rsidP="00647FC0">
      <w:pPr>
        <w:pStyle w:val="Heading2"/>
        <w:spacing w:before="400"/>
        <w:ind w:left="0" w:firstLine="0"/>
        <w:jc w:val="center"/>
        <w:rPr>
          <w:rFonts w:ascii="Times New Roman" w:hAnsi="Times New Roman" w:cs="Times New Roman"/>
          <w:color w:val="auto"/>
          <w:u w:val="single"/>
          <w:lang w:val="lv-LV" w:eastAsia="en-GB"/>
        </w:rPr>
      </w:pPr>
      <w:r w:rsidRPr="00576895">
        <w:rPr>
          <w:rFonts w:ascii="Times New Roman" w:hAnsi="Times New Roman" w:cs="Times New Roman"/>
          <w:color w:val="auto"/>
          <w:u w:val="single"/>
          <w:lang w:val="lv-LV" w:eastAsia="en-GB"/>
        </w:rPr>
        <w:t xml:space="preserve">Revīzijas </w:t>
      </w:r>
      <w:r w:rsidR="004D18E5">
        <w:rPr>
          <w:rFonts w:ascii="Times New Roman" w:hAnsi="Times New Roman" w:cs="Times New Roman"/>
          <w:color w:val="auto"/>
          <w:u w:val="single"/>
          <w:lang w:val="lv-LV" w:eastAsia="en-GB"/>
        </w:rPr>
        <w:t>iestāde un otrā līmeņa revīzija</w:t>
      </w:r>
    </w:p>
    <w:p w:rsidR="00647FC0" w:rsidRPr="00576895" w:rsidRDefault="00647FC0" w:rsidP="00647FC0">
      <w:pPr>
        <w:numPr>
          <w:ilvl w:val="0"/>
          <w:numId w:val="10"/>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fr-FR"/>
        </w:rPr>
        <w:t xml:space="preserve">Saskaņā ar Regulas (ES) Nr. 1299/2013 21.pantu, viena Revīzijas iestāde </w:t>
      </w:r>
      <w:r w:rsidR="00D901B9" w:rsidRPr="00576895">
        <w:rPr>
          <w:rFonts w:ascii="Times New Roman" w:eastAsia="Times New Roman" w:hAnsi="Times New Roman" w:cs="Times New Roman"/>
          <w:color w:val="auto"/>
          <w:szCs w:val="24"/>
          <w:lang w:val="lv-LV" w:eastAsia="fr-FR"/>
        </w:rPr>
        <w:t>atr</w:t>
      </w:r>
      <w:r w:rsidR="00D901B9">
        <w:rPr>
          <w:rFonts w:ascii="Times New Roman" w:eastAsia="Times New Roman" w:hAnsi="Times New Roman" w:cs="Times New Roman"/>
          <w:color w:val="auto"/>
          <w:szCs w:val="24"/>
          <w:lang w:val="lv-LV" w:eastAsia="fr-FR"/>
        </w:rPr>
        <w:t>odas</w:t>
      </w:r>
      <w:r w:rsidR="00D901B9" w:rsidRPr="00576895">
        <w:rPr>
          <w:rFonts w:ascii="Times New Roman" w:eastAsia="Times New Roman" w:hAnsi="Times New Roman" w:cs="Times New Roman"/>
          <w:color w:val="auto"/>
          <w:szCs w:val="24"/>
          <w:lang w:val="lv-LV" w:eastAsia="fr-FR"/>
        </w:rPr>
        <w:t xml:space="preserve"> </w:t>
      </w:r>
      <w:r w:rsidRPr="00576895">
        <w:rPr>
          <w:rFonts w:ascii="Times New Roman" w:eastAsia="Times New Roman" w:hAnsi="Times New Roman" w:cs="Times New Roman"/>
          <w:color w:val="auto"/>
          <w:szCs w:val="24"/>
          <w:lang w:val="lv-LV" w:eastAsia="fr-FR"/>
        </w:rPr>
        <w:t>Vadošās iestādes dalībvalstī, tas ir, Vācijā</w:t>
      </w:r>
      <w:r w:rsidRPr="00576895">
        <w:rPr>
          <w:rFonts w:ascii="Times New Roman" w:eastAsia="Times New Roman" w:hAnsi="Times New Roman" w:cs="Times New Roman"/>
          <w:color w:val="auto"/>
          <w:szCs w:val="24"/>
          <w:lang w:val="lv-LV" w:eastAsia="en-GB"/>
        </w:rPr>
        <w:t xml:space="preserve">. Šī iestāde </w:t>
      </w:r>
      <w:r w:rsidR="00D901B9">
        <w:rPr>
          <w:rFonts w:ascii="Times New Roman" w:eastAsia="Times New Roman" w:hAnsi="Times New Roman" w:cs="Times New Roman"/>
          <w:color w:val="auto"/>
          <w:szCs w:val="24"/>
          <w:lang w:val="lv-LV" w:eastAsia="en-GB"/>
        </w:rPr>
        <w:t>ir</w:t>
      </w:r>
      <w:r w:rsidR="00D901B9" w:rsidRPr="00576895">
        <w:rPr>
          <w:rFonts w:ascii="Times New Roman" w:eastAsia="Times New Roman" w:hAnsi="Times New Roman" w:cs="Times New Roman"/>
          <w:color w:val="auto"/>
          <w:szCs w:val="24"/>
          <w:lang w:val="lv-LV" w:eastAsia="en-GB"/>
        </w:rPr>
        <w:t xml:space="preserve"> </w:t>
      </w:r>
      <w:r w:rsidRPr="00576895">
        <w:rPr>
          <w:rFonts w:ascii="Times New Roman" w:eastAsia="Times New Roman" w:hAnsi="Times New Roman" w:cs="Times New Roman"/>
          <w:color w:val="auto"/>
          <w:szCs w:val="24"/>
          <w:lang w:val="lv-LV" w:eastAsia="en-GB"/>
        </w:rPr>
        <w:t>deleģēta darboties kā Programmas Revīzijas iestāde:</w:t>
      </w:r>
    </w:p>
    <w:p w:rsidR="00647FC0" w:rsidRPr="00576895" w:rsidRDefault="00647FC0" w:rsidP="00647FC0">
      <w:pPr>
        <w:autoSpaceDE/>
        <w:autoSpaceDN/>
        <w:adjustRightInd/>
        <w:spacing w:before="120" w:after="60" w:line="260" w:lineRule="atLeast"/>
        <w:ind w:left="142"/>
        <w:jc w:val="center"/>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Tieslietu, Kultūras un Eiropas lietu ministrija, Schleswig-Holstein, Ķīle, Vācija</w:t>
      </w:r>
    </w:p>
    <w:p w:rsidR="00647FC0" w:rsidRPr="00576895" w:rsidRDefault="00647FC0" w:rsidP="00647FC0">
      <w:pPr>
        <w:numPr>
          <w:ilvl w:val="0"/>
          <w:numId w:val="10"/>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Revīzijas iestāde vei</w:t>
      </w:r>
      <w:r w:rsidR="00D901B9">
        <w:rPr>
          <w:rFonts w:ascii="Times New Roman" w:eastAsia="Times New Roman" w:hAnsi="Times New Roman" w:cs="Times New Roman"/>
          <w:color w:val="auto"/>
          <w:szCs w:val="24"/>
          <w:lang w:val="lv-LV" w:eastAsia="fr-FR"/>
        </w:rPr>
        <w:t>c</w:t>
      </w:r>
      <w:r w:rsidRPr="00576895">
        <w:rPr>
          <w:rFonts w:ascii="Times New Roman" w:eastAsia="Times New Roman" w:hAnsi="Times New Roman" w:cs="Times New Roman"/>
          <w:color w:val="auto"/>
          <w:szCs w:val="24"/>
          <w:lang w:val="lv-LV" w:eastAsia="fr-FR"/>
        </w:rPr>
        <w:t xml:space="preserve"> Regulas (ES) Nr. 1303/2013 127.pantā noteiktās funkcijas</w:t>
      </w:r>
      <w:r w:rsidRPr="00576895">
        <w:rPr>
          <w:rFonts w:ascii="Times New Roman" w:eastAsia="Times New Roman" w:hAnsi="Times New Roman" w:cs="Times New Roman"/>
          <w:color w:val="auto"/>
          <w:szCs w:val="24"/>
          <w:lang w:val="lv-LV" w:eastAsia="en-GB"/>
        </w:rPr>
        <w:t>.</w:t>
      </w:r>
      <w:r w:rsidRPr="00576895">
        <w:rPr>
          <w:rFonts w:ascii="Times New Roman" w:eastAsia="Times New Roman" w:hAnsi="Times New Roman" w:cs="Times New Roman"/>
          <w:color w:val="auto"/>
          <w:szCs w:val="24"/>
          <w:lang w:val="lv-LV" w:eastAsia="fr-FR"/>
        </w:rPr>
        <w:t xml:space="preserve"> Neierobežojot šos not</w:t>
      </w:r>
      <w:r w:rsidR="004D18E5">
        <w:rPr>
          <w:rFonts w:ascii="Times New Roman" w:eastAsia="Times New Roman" w:hAnsi="Times New Roman" w:cs="Times New Roman"/>
          <w:color w:val="auto"/>
          <w:szCs w:val="24"/>
          <w:lang w:val="lv-LV" w:eastAsia="fr-FR"/>
        </w:rPr>
        <w:t>eikumus, Revīzijas iestāde vei</w:t>
      </w:r>
      <w:r w:rsidR="00D901B9">
        <w:rPr>
          <w:rFonts w:ascii="Times New Roman" w:eastAsia="Times New Roman" w:hAnsi="Times New Roman" w:cs="Times New Roman"/>
          <w:color w:val="auto"/>
          <w:szCs w:val="24"/>
          <w:lang w:val="lv-LV" w:eastAsia="fr-FR"/>
        </w:rPr>
        <w:t>c</w:t>
      </w:r>
      <w:r w:rsidRPr="00576895">
        <w:rPr>
          <w:rFonts w:ascii="Times New Roman" w:eastAsia="Times New Roman" w:hAnsi="Times New Roman" w:cs="Times New Roman"/>
          <w:color w:val="auto"/>
          <w:szCs w:val="24"/>
          <w:lang w:val="lv-LV" w:eastAsia="fr-FR"/>
        </w:rPr>
        <w:t xml:space="preserve"> savus uzdevumus pilnā apmērā saskaņā ar Vācijas Federatīvās Republikas institucionālajām, tiesiskajām un finanšu sistēmām.</w:t>
      </w:r>
    </w:p>
    <w:p w:rsidR="00647FC0" w:rsidRPr="00576895" w:rsidRDefault="00647FC0" w:rsidP="00647FC0">
      <w:pPr>
        <w:numPr>
          <w:ilvl w:val="0"/>
          <w:numId w:val="10"/>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 xml:space="preserve">Piemērojot Regulas (ES) Nr. 1299/2013 25(2).pantu, Revīzijas iestādei </w:t>
      </w:r>
      <w:r w:rsidR="00D901B9" w:rsidRPr="00576895">
        <w:rPr>
          <w:rFonts w:ascii="Times New Roman" w:eastAsia="Times New Roman" w:hAnsi="Times New Roman" w:cs="Times New Roman"/>
          <w:color w:val="auto"/>
          <w:szCs w:val="24"/>
          <w:lang w:val="lv-LV" w:eastAsia="en-GB"/>
        </w:rPr>
        <w:t>palīd</w:t>
      </w:r>
      <w:r w:rsidR="00D901B9">
        <w:rPr>
          <w:rFonts w:ascii="Times New Roman" w:eastAsia="Times New Roman" w:hAnsi="Times New Roman" w:cs="Times New Roman"/>
          <w:color w:val="auto"/>
          <w:szCs w:val="24"/>
          <w:lang w:val="lv-LV" w:eastAsia="en-GB"/>
        </w:rPr>
        <w:t>z</w:t>
      </w:r>
      <w:r w:rsidR="00D901B9" w:rsidRPr="00576895">
        <w:rPr>
          <w:rFonts w:ascii="Times New Roman" w:eastAsia="Times New Roman" w:hAnsi="Times New Roman" w:cs="Times New Roman"/>
          <w:color w:val="auto"/>
          <w:szCs w:val="24"/>
          <w:lang w:val="lv-LV" w:eastAsia="en-GB"/>
        </w:rPr>
        <w:t xml:space="preserve"> </w:t>
      </w:r>
      <w:r w:rsidRPr="00576895">
        <w:rPr>
          <w:rFonts w:ascii="Times New Roman" w:eastAsia="Times New Roman" w:hAnsi="Times New Roman" w:cs="Times New Roman"/>
          <w:b/>
          <w:color w:val="auto"/>
          <w:szCs w:val="24"/>
          <w:lang w:val="lv-LV" w:eastAsia="en-GB"/>
        </w:rPr>
        <w:t>Revidentu grupa</w:t>
      </w:r>
      <w:r w:rsidRPr="00576895">
        <w:rPr>
          <w:rFonts w:ascii="Times New Roman" w:eastAsia="Times New Roman" w:hAnsi="Times New Roman" w:cs="Times New Roman"/>
          <w:color w:val="auto"/>
          <w:szCs w:val="24"/>
          <w:lang w:val="lv-LV" w:eastAsia="en-GB"/>
        </w:rPr>
        <w:t xml:space="preserve">,  kuru veido katras dalībvalsts pārstāvji. Katra dalībvalsts </w:t>
      </w:r>
      <w:r w:rsidR="00D901B9">
        <w:rPr>
          <w:rFonts w:ascii="Times New Roman" w:eastAsia="Times New Roman" w:hAnsi="Times New Roman" w:cs="Times New Roman"/>
          <w:color w:val="auto"/>
          <w:szCs w:val="24"/>
          <w:lang w:val="lv-LV" w:eastAsia="en-GB"/>
        </w:rPr>
        <w:t>ir</w:t>
      </w:r>
      <w:r w:rsidR="00D901B9" w:rsidRPr="00576895">
        <w:rPr>
          <w:rFonts w:ascii="Times New Roman" w:eastAsia="Times New Roman" w:hAnsi="Times New Roman" w:cs="Times New Roman"/>
          <w:color w:val="auto"/>
          <w:szCs w:val="24"/>
          <w:lang w:val="lv-LV" w:eastAsia="en-GB"/>
        </w:rPr>
        <w:t xml:space="preserve"> </w:t>
      </w:r>
      <w:r w:rsidRPr="00576895">
        <w:rPr>
          <w:rFonts w:ascii="Times New Roman" w:eastAsia="Times New Roman" w:hAnsi="Times New Roman" w:cs="Times New Roman"/>
          <w:color w:val="auto"/>
          <w:szCs w:val="24"/>
          <w:lang w:val="lv-LV" w:eastAsia="en-GB"/>
        </w:rPr>
        <w:t xml:space="preserve">atbildīga par tās teritorijā veiktajām revīzijām (turpmāk tekstā “otrā līmeņa revīzijas/revidenti” vai “OLR”) atbilstoši augstāk minētajā pantā noteiktajam. Detalizēta informācija tiks iekļauta Programmas vadlīnijās. </w:t>
      </w:r>
    </w:p>
    <w:p w:rsidR="00647FC0" w:rsidRPr="00576895" w:rsidRDefault="00647FC0" w:rsidP="00647FC0">
      <w:pPr>
        <w:numPr>
          <w:ilvl w:val="0"/>
          <w:numId w:val="10"/>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 xml:space="preserve">Pārstāvjiem ir jābūt tiesīgiem revidentu grupā pieņemt lēmumus attiecīgās dalībvalsts vārdā. Tie </w:t>
      </w:r>
      <w:r w:rsidR="00D901B9">
        <w:rPr>
          <w:rFonts w:ascii="Times New Roman" w:eastAsia="Times New Roman" w:hAnsi="Times New Roman" w:cs="Times New Roman"/>
          <w:color w:val="auto"/>
          <w:szCs w:val="24"/>
          <w:lang w:val="lv-LV" w:eastAsia="en-GB"/>
        </w:rPr>
        <w:t>ir</w:t>
      </w:r>
      <w:r w:rsidR="00D901B9" w:rsidRPr="00576895">
        <w:rPr>
          <w:rFonts w:ascii="Times New Roman" w:eastAsia="Times New Roman" w:hAnsi="Times New Roman" w:cs="Times New Roman"/>
          <w:color w:val="auto"/>
          <w:szCs w:val="24"/>
          <w:lang w:val="lv-LV" w:eastAsia="en-GB"/>
        </w:rPr>
        <w:t xml:space="preserve"> </w:t>
      </w:r>
      <w:r w:rsidRPr="00576895">
        <w:rPr>
          <w:rFonts w:ascii="Times New Roman" w:eastAsia="Times New Roman" w:hAnsi="Times New Roman" w:cs="Times New Roman"/>
          <w:color w:val="auto"/>
          <w:szCs w:val="24"/>
          <w:lang w:val="lv-LV" w:eastAsia="en-GB"/>
        </w:rPr>
        <w:t xml:space="preserve">funkcionāli neatkarīgi no UK biedriem un kontrolieriem, kas deleģēti saskaņā ar Regulas (ES) Nr. 1299/2013 23(4).panta noteikumiem, un jebkādām projekta darbībām un finansēm. </w:t>
      </w:r>
    </w:p>
    <w:p w:rsidR="00647FC0" w:rsidRPr="00D901B9" w:rsidRDefault="00647FC0" w:rsidP="00D901B9">
      <w:pPr>
        <w:numPr>
          <w:ilvl w:val="0"/>
          <w:numId w:val="10"/>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lastRenderedPageBreak/>
        <w:t xml:space="preserve">Revidentu grupa ir jāizveido </w:t>
      </w:r>
      <w:r w:rsidR="004D18E5">
        <w:rPr>
          <w:rFonts w:ascii="Times New Roman" w:eastAsia="Times New Roman" w:hAnsi="Times New Roman" w:cs="Times New Roman"/>
          <w:color w:val="auto"/>
          <w:szCs w:val="24"/>
          <w:lang w:val="lv-LV" w:eastAsia="en-GB"/>
        </w:rPr>
        <w:t>vēlākais</w:t>
      </w:r>
      <w:r w:rsidRPr="00576895">
        <w:rPr>
          <w:rFonts w:ascii="Times New Roman" w:eastAsia="Times New Roman" w:hAnsi="Times New Roman" w:cs="Times New Roman"/>
          <w:color w:val="auto"/>
          <w:szCs w:val="24"/>
          <w:lang w:val="lv-LV" w:eastAsia="en-GB"/>
        </w:rPr>
        <w:t xml:space="preserve"> trīs mēnešu laikā pēc lēmuma par Programmas apstiprināšanu. Revidentu grupa izstrādā</w:t>
      </w:r>
      <w:r w:rsidRPr="00D901B9">
        <w:rPr>
          <w:rFonts w:ascii="Times New Roman" w:eastAsia="Times New Roman" w:hAnsi="Times New Roman" w:cs="Times New Roman"/>
          <w:color w:val="auto"/>
          <w:szCs w:val="24"/>
          <w:lang w:val="lv-LV" w:eastAsia="en-GB"/>
        </w:rPr>
        <w:t xml:space="preserve"> un pirmās sanāksmes laikā apstiprin</w:t>
      </w:r>
      <w:r w:rsidR="00D901B9">
        <w:rPr>
          <w:rFonts w:ascii="Times New Roman" w:eastAsia="Times New Roman" w:hAnsi="Times New Roman" w:cs="Times New Roman"/>
          <w:color w:val="auto"/>
          <w:szCs w:val="24"/>
          <w:lang w:val="lv-LV" w:eastAsia="en-GB"/>
        </w:rPr>
        <w:t>a</w:t>
      </w:r>
      <w:r w:rsidRPr="00D901B9">
        <w:rPr>
          <w:rFonts w:ascii="Times New Roman" w:eastAsia="Times New Roman" w:hAnsi="Times New Roman" w:cs="Times New Roman"/>
          <w:color w:val="auto"/>
          <w:szCs w:val="24"/>
          <w:lang w:val="lv-LV" w:eastAsia="en-GB"/>
        </w:rPr>
        <w:t xml:space="preserve"> savu reglamentu, un to </w:t>
      </w:r>
      <w:r w:rsidR="00D901B9" w:rsidRPr="00D901B9">
        <w:rPr>
          <w:rFonts w:ascii="Times New Roman" w:eastAsia="Times New Roman" w:hAnsi="Times New Roman" w:cs="Times New Roman"/>
          <w:color w:val="auto"/>
          <w:szCs w:val="24"/>
          <w:lang w:val="lv-LV" w:eastAsia="en-GB"/>
        </w:rPr>
        <w:t>vad</w:t>
      </w:r>
      <w:r w:rsidR="00D901B9">
        <w:rPr>
          <w:rFonts w:ascii="Times New Roman" w:eastAsia="Times New Roman" w:hAnsi="Times New Roman" w:cs="Times New Roman"/>
          <w:color w:val="auto"/>
          <w:szCs w:val="24"/>
          <w:lang w:val="lv-LV" w:eastAsia="en-GB"/>
        </w:rPr>
        <w:t xml:space="preserve">a </w:t>
      </w:r>
      <w:r w:rsidRPr="00D901B9">
        <w:rPr>
          <w:rFonts w:ascii="Times New Roman" w:eastAsia="Times New Roman" w:hAnsi="Times New Roman" w:cs="Times New Roman"/>
          <w:color w:val="auto"/>
          <w:szCs w:val="24"/>
          <w:lang w:val="lv-LV" w:eastAsia="en-GB"/>
        </w:rPr>
        <w:t xml:space="preserve">Revīzijas iestāde. </w:t>
      </w:r>
    </w:p>
    <w:p w:rsidR="00647FC0" w:rsidRPr="00576895" w:rsidRDefault="00647FC0" w:rsidP="00647FC0">
      <w:pPr>
        <w:numPr>
          <w:ilvl w:val="0"/>
          <w:numId w:val="10"/>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 xml:space="preserve">Revīzijas iestāde daļēji </w:t>
      </w:r>
      <w:r w:rsidR="00D901B9">
        <w:rPr>
          <w:rFonts w:ascii="Times New Roman" w:eastAsia="Times New Roman" w:hAnsi="Times New Roman" w:cs="Times New Roman"/>
          <w:color w:val="auto"/>
          <w:szCs w:val="24"/>
          <w:lang w:val="lv-LV" w:eastAsia="fr-FR"/>
        </w:rPr>
        <w:t>tiek</w:t>
      </w:r>
      <w:r w:rsidR="00D901B9" w:rsidRPr="00576895">
        <w:rPr>
          <w:rFonts w:ascii="Times New Roman" w:eastAsia="Times New Roman" w:hAnsi="Times New Roman" w:cs="Times New Roman"/>
          <w:color w:val="auto"/>
          <w:szCs w:val="24"/>
          <w:lang w:val="lv-LV" w:eastAsia="fr-FR"/>
        </w:rPr>
        <w:t xml:space="preserve"> </w:t>
      </w:r>
      <w:r w:rsidRPr="00576895">
        <w:rPr>
          <w:rFonts w:ascii="Times New Roman" w:eastAsia="Times New Roman" w:hAnsi="Times New Roman" w:cs="Times New Roman"/>
          <w:color w:val="auto"/>
          <w:szCs w:val="24"/>
          <w:lang w:val="lv-LV" w:eastAsia="fr-FR"/>
        </w:rPr>
        <w:t>finansēta no TP budžeta (ar Programmu saistītie uzdevumi, kā tas ir noteikts  Regulas (ES) Nr. 1303/2013 127.pantā, kā arī revidentu grupas vadītāja amats).</w:t>
      </w:r>
    </w:p>
    <w:p w:rsidR="00647FC0" w:rsidRPr="00576895" w:rsidRDefault="00647FC0" w:rsidP="00647FC0">
      <w:pPr>
        <w:numPr>
          <w:ilvl w:val="0"/>
          <w:numId w:val="10"/>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 xml:space="preserve">Revīzijas grupas pārstāvju un valsts otrā līmeņa revidentu veiktos pienākumus, saskaņā ar Regulas (ES) Nr. 1299/2013 25(2).pantu, finansē tikai attiecīgā dalībvalsts.  </w:t>
      </w:r>
    </w:p>
    <w:p w:rsidR="00647FC0" w:rsidRPr="00576895" w:rsidRDefault="00647FC0" w:rsidP="00647FC0">
      <w:pPr>
        <w:pStyle w:val="Heading2"/>
        <w:spacing w:before="400"/>
        <w:ind w:left="0" w:firstLine="0"/>
        <w:jc w:val="center"/>
        <w:rPr>
          <w:rFonts w:ascii="Times New Roman" w:hAnsi="Times New Roman" w:cs="Times New Roman"/>
          <w:color w:val="auto"/>
          <w:u w:val="single"/>
          <w:lang w:val="lv-LV" w:eastAsia="en-GB"/>
        </w:rPr>
      </w:pPr>
      <w:r w:rsidRPr="00576895">
        <w:rPr>
          <w:rFonts w:ascii="Times New Roman" w:hAnsi="Times New Roman" w:cs="Times New Roman"/>
          <w:color w:val="auto"/>
          <w:u w:val="single"/>
          <w:lang w:val="lv-LV" w:eastAsia="en-GB"/>
        </w:rPr>
        <w:t>Vadības pārbaudes, finanšu kontrolieru loma</w:t>
      </w:r>
    </w:p>
    <w:p w:rsidR="00647FC0" w:rsidRPr="00576895" w:rsidRDefault="00647FC0" w:rsidP="00647FC0">
      <w:pPr>
        <w:numPr>
          <w:ilvl w:val="0"/>
          <w:numId w:val="12"/>
        </w:numPr>
        <w:autoSpaceDE/>
        <w:autoSpaceDN/>
        <w:adjustRightInd/>
        <w:spacing w:before="180" w:after="120" w:line="260" w:lineRule="atLeast"/>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 xml:space="preserve">Tā kā VI neveic pārbaudes atbilstoši Regulas (ES) Nr. 1303/2013 125(4)(a).pantam  visā Programmas teritorijā (salīdzinoši, </w:t>
      </w:r>
      <w:r w:rsidR="00995364">
        <w:rPr>
          <w:rFonts w:ascii="Times New Roman" w:eastAsia="Times New Roman" w:hAnsi="Times New Roman" w:cs="Times New Roman"/>
          <w:color w:val="auto"/>
          <w:szCs w:val="24"/>
          <w:lang w:val="lv-LV" w:eastAsia="en-GB"/>
        </w:rPr>
        <w:t>Vienošanās</w:t>
      </w:r>
      <w:r w:rsidR="00995364" w:rsidRPr="00576895">
        <w:rPr>
          <w:rFonts w:ascii="Times New Roman" w:eastAsia="Times New Roman" w:hAnsi="Times New Roman" w:cs="Times New Roman"/>
          <w:color w:val="auto"/>
          <w:szCs w:val="24"/>
          <w:lang w:val="lv-LV" w:eastAsia="en-GB"/>
        </w:rPr>
        <w:t xml:space="preserve"> </w:t>
      </w:r>
      <w:r w:rsidRPr="00576895">
        <w:rPr>
          <w:rFonts w:ascii="Times New Roman" w:eastAsia="Times New Roman" w:hAnsi="Times New Roman" w:cs="Times New Roman"/>
          <w:color w:val="auto"/>
          <w:szCs w:val="24"/>
          <w:lang w:val="lv-LV" w:eastAsia="en-GB"/>
        </w:rPr>
        <w:t>2.1(g).punkts), pārbaudes saskaņā ar Regulas (ES) Nr. 1299/2013 23(4).pantu veiks pirmā līmeņa</w:t>
      </w:r>
      <w:r w:rsidR="00105C12">
        <w:rPr>
          <w:rFonts w:ascii="Times New Roman" w:eastAsia="Times New Roman" w:hAnsi="Times New Roman" w:cs="Times New Roman"/>
          <w:color w:val="auto"/>
          <w:szCs w:val="24"/>
          <w:lang w:val="lv-LV" w:eastAsia="en-GB"/>
        </w:rPr>
        <w:t xml:space="preserve"> finanšu</w:t>
      </w:r>
      <w:r w:rsidRPr="00576895">
        <w:rPr>
          <w:rFonts w:ascii="Times New Roman" w:eastAsia="Times New Roman" w:hAnsi="Times New Roman" w:cs="Times New Roman"/>
          <w:color w:val="auto"/>
          <w:szCs w:val="24"/>
          <w:lang w:val="lv-LV" w:eastAsia="en-GB"/>
        </w:rPr>
        <w:t xml:space="preserve"> kontrolieri. Šādos gadījumos </w:t>
      </w:r>
      <w:r w:rsidRPr="00576895">
        <w:rPr>
          <w:rFonts w:ascii="Times New Roman" w:eastAsia="Times New Roman" w:hAnsi="Times New Roman" w:cs="Times New Roman"/>
          <w:color w:val="auto"/>
          <w:szCs w:val="24"/>
          <w:lang w:val="lv-LV" w:eastAsia="fr-FR"/>
        </w:rPr>
        <w:t xml:space="preserve">VI ir jāpārliecinās, ka pirmā līmeņa </w:t>
      </w:r>
      <w:r w:rsidR="00105C12">
        <w:rPr>
          <w:rFonts w:ascii="Times New Roman" w:eastAsia="Times New Roman" w:hAnsi="Times New Roman" w:cs="Times New Roman"/>
          <w:color w:val="auto"/>
          <w:szCs w:val="24"/>
          <w:lang w:val="lv-LV" w:eastAsia="fr-FR"/>
        </w:rPr>
        <w:t xml:space="preserve">finanšu </w:t>
      </w:r>
      <w:r w:rsidRPr="00576895">
        <w:rPr>
          <w:rFonts w:ascii="Times New Roman" w:eastAsia="Times New Roman" w:hAnsi="Times New Roman" w:cs="Times New Roman"/>
          <w:color w:val="auto"/>
          <w:szCs w:val="24"/>
          <w:lang w:val="lv-LV" w:eastAsia="fr-FR"/>
        </w:rPr>
        <w:t xml:space="preserve">kontrolieris ir pārbaudījis katra projektā iesaistītā finansējuma saņēmēja izdevumus. </w:t>
      </w:r>
      <w:r w:rsidRPr="00576895">
        <w:rPr>
          <w:rFonts w:ascii="Times New Roman" w:eastAsia="Times New Roman" w:hAnsi="Times New Roman" w:cs="Times New Roman"/>
          <w:color w:val="auto"/>
          <w:szCs w:val="24"/>
          <w:lang w:val="lv-LV" w:eastAsia="en-GB"/>
        </w:rPr>
        <w:t xml:space="preserve"> Detalizēta informācija tiks iekļauta Programmas vadlīnijās.</w:t>
      </w:r>
    </w:p>
    <w:p w:rsidR="00647FC0" w:rsidRPr="00576895" w:rsidRDefault="00647FC0" w:rsidP="00647FC0">
      <w:pPr>
        <w:numPr>
          <w:ilvl w:val="0"/>
          <w:numId w:val="12"/>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Katra dalībvalsts deleģē pirmā līmeņa</w:t>
      </w:r>
      <w:r w:rsidR="00105C12">
        <w:rPr>
          <w:rFonts w:ascii="Times New Roman" w:eastAsia="Times New Roman" w:hAnsi="Times New Roman" w:cs="Times New Roman"/>
          <w:color w:val="auto"/>
          <w:szCs w:val="24"/>
          <w:lang w:val="lv-LV" w:eastAsia="en-GB"/>
        </w:rPr>
        <w:t xml:space="preserve"> finanšu</w:t>
      </w:r>
      <w:r w:rsidRPr="00576895">
        <w:rPr>
          <w:rFonts w:ascii="Times New Roman" w:eastAsia="Times New Roman" w:hAnsi="Times New Roman" w:cs="Times New Roman"/>
          <w:color w:val="auto"/>
          <w:szCs w:val="24"/>
          <w:lang w:val="lv-LV" w:eastAsia="en-GB"/>
        </w:rPr>
        <w:t xml:space="preserve"> kontrolieri(-us), kas </w:t>
      </w:r>
      <w:r w:rsidR="00D901B9">
        <w:rPr>
          <w:rFonts w:ascii="Times New Roman" w:eastAsia="Times New Roman" w:hAnsi="Times New Roman" w:cs="Times New Roman"/>
          <w:color w:val="auto"/>
          <w:szCs w:val="24"/>
          <w:lang w:val="lv-LV" w:eastAsia="en-GB"/>
        </w:rPr>
        <w:t>ir</w:t>
      </w:r>
      <w:r w:rsidRPr="00576895">
        <w:rPr>
          <w:rFonts w:ascii="Times New Roman" w:eastAsia="Times New Roman" w:hAnsi="Times New Roman" w:cs="Times New Roman"/>
          <w:color w:val="auto"/>
          <w:szCs w:val="24"/>
          <w:lang w:val="lv-LV" w:eastAsia="en-GB"/>
        </w:rPr>
        <w:t xml:space="preserve"> atbildīgs par pārbaužu veikšanu attiecībā uz konkrētās dalībvalsts teritorijā </w:t>
      </w:r>
      <w:r w:rsidR="00105C12">
        <w:rPr>
          <w:rFonts w:ascii="Times New Roman" w:eastAsia="Times New Roman" w:hAnsi="Times New Roman" w:cs="Times New Roman"/>
          <w:color w:val="auto"/>
          <w:szCs w:val="24"/>
          <w:lang w:val="lv-LV" w:eastAsia="en-GB"/>
        </w:rPr>
        <w:t>reģistrētajiem</w:t>
      </w:r>
      <w:r w:rsidRPr="00576895">
        <w:rPr>
          <w:rFonts w:ascii="Times New Roman" w:eastAsia="Times New Roman" w:hAnsi="Times New Roman" w:cs="Times New Roman"/>
          <w:color w:val="auto"/>
          <w:szCs w:val="24"/>
          <w:lang w:val="lv-LV" w:eastAsia="en-GB"/>
        </w:rPr>
        <w:t xml:space="preserve"> finansējuma saņēmējiem. Izņēmumi ir noteikti šī</w:t>
      </w:r>
      <w:r w:rsidR="00995364">
        <w:rPr>
          <w:rFonts w:ascii="Times New Roman" w:eastAsia="Times New Roman" w:hAnsi="Times New Roman" w:cs="Times New Roman"/>
          <w:color w:val="auto"/>
          <w:szCs w:val="24"/>
          <w:lang w:val="lv-LV" w:eastAsia="en-GB"/>
        </w:rPr>
        <w:t>s Vienošanās</w:t>
      </w:r>
      <w:r w:rsidRPr="00576895">
        <w:rPr>
          <w:rFonts w:ascii="Times New Roman" w:eastAsia="Times New Roman" w:hAnsi="Times New Roman" w:cs="Times New Roman"/>
          <w:color w:val="auto"/>
          <w:szCs w:val="24"/>
          <w:lang w:val="lv-LV" w:eastAsia="en-GB"/>
        </w:rPr>
        <w:t xml:space="preserve"> 2.1(h).punktā. </w:t>
      </w:r>
    </w:p>
    <w:p w:rsidR="00647FC0" w:rsidRPr="00576895" w:rsidRDefault="00647FC0" w:rsidP="00647FC0">
      <w:pPr>
        <w:numPr>
          <w:ilvl w:val="0"/>
          <w:numId w:val="12"/>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 xml:space="preserve">Pastāv divas pirmā līmeņa </w:t>
      </w:r>
      <w:r w:rsidR="00105C12">
        <w:rPr>
          <w:rFonts w:ascii="Times New Roman" w:eastAsia="Times New Roman" w:hAnsi="Times New Roman" w:cs="Times New Roman"/>
          <w:color w:val="auto"/>
          <w:szCs w:val="24"/>
          <w:lang w:val="lv-LV" w:eastAsia="en-GB"/>
        </w:rPr>
        <w:t xml:space="preserve">finanšu </w:t>
      </w:r>
      <w:r w:rsidRPr="00576895">
        <w:rPr>
          <w:rFonts w:ascii="Times New Roman" w:eastAsia="Times New Roman" w:hAnsi="Times New Roman" w:cs="Times New Roman"/>
          <w:color w:val="auto"/>
          <w:szCs w:val="24"/>
          <w:lang w:val="lv-LV" w:eastAsia="en-GB"/>
        </w:rPr>
        <w:t>kontroles sistēmas (turpmāk tekstā “PLK sistēma”) – central</w:t>
      </w:r>
      <w:r w:rsidR="00105C12">
        <w:rPr>
          <w:rFonts w:ascii="Times New Roman" w:eastAsia="Times New Roman" w:hAnsi="Times New Roman" w:cs="Times New Roman"/>
          <w:color w:val="auto"/>
          <w:szCs w:val="24"/>
          <w:lang w:val="lv-LV" w:eastAsia="en-GB"/>
        </w:rPr>
        <w:t xml:space="preserve">izēta un decentralizēta sistēma - </w:t>
      </w:r>
      <w:r w:rsidRPr="00576895">
        <w:rPr>
          <w:rFonts w:ascii="Times New Roman" w:eastAsia="Times New Roman" w:hAnsi="Times New Roman" w:cs="Times New Roman"/>
          <w:color w:val="auto"/>
          <w:szCs w:val="24"/>
          <w:lang w:val="lv-LV" w:eastAsia="en-GB"/>
        </w:rPr>
        <w:t xml:space="preserve"> kuras piemēro dalībvalstis, šo sistēmu skaidrojums ir sniegts Programmas vadlīnijās. </w:t>
      </w:r>
    </w:p>
    <w:p w:rsidR="00647FC0" w:rsidRPr="00576895" w:rsidRDefault="00647FC0" w:rsidP="00647FC0">
      <w:pPr>
        <w:numPr>
          <w:ilvl w:val="0"/>
          <w:numId w:val="12"/>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fr-FR"/>
        </w:rPr>
        <w:t xml:space="preserve">Katra dalībvalsts individuāli noteiks </w:t>
      </w:r>
      <w:r w:rsidR="00105C12">
        <w:rPr>
          <w:rFonts w:ascii="Times New Roman" w:eastAsia="Times New Roman" w:hAnsi="Times New Roman" w:cs="Times New Roman"/>
          <w:color w:val="auto"/>
          <w:szCs w:val="24"/>
          <w:lang w:val="lv-LV" w:eastAsia="fr-FR"/>
        </w:rPr>
        <w:t xml:space="preserve">pirmā līmeņa finanšu </w:t>
      </w:r>
      <w:r w:rsidRPr="00576895">
        <w:rPr>
          <w:rFonts w:ascii="Times New Roman" w:eastAsia="Times New Roman" w:hAnsi="Times New Roman" w:cs="Times New Roman"/>
          <w:color w:val="auto"/>
          <w:szCs w:val="24"/>
          <w:lang w:val="lv-LV" w:eastAsia="fr-FR"/>
        </w:rPr>
        <w:t xml:space="preserve">kontroliera deleģēšanas metodi un tā katrai dalībvalstij var būt atšķirīga. </w:t>
      </w:r>
    </w:p>
    <w:p w:rsidR="00647FC0" w:rsidRPr="00576895" w:rsidRDefault="00647FC0" w:rsidP="00647FC0">
      <w:pPr>
        <w:numPr>
          <w:ilvl w:val="0"/>
          <w:numId w:val="12"/>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en-US"/>
        </w:rPr>
        <w:t xml:space="preserve">Par ikviena </w:t>
      </w:r>
      <w:r w:rsidR="00105C12">
        <w:rPr>
          <w:rFonts w:ascii="Times New Roman" w:eastAsia="Times New Roman" w:hAnsi="Times New Roman" w:cs="Times New Roman"/>
          <w:color w:val="auto"/>
          <w:szCs w:val="24"/>
          <w:lang w:val="lv-LV" w:eastAsia="en-US"/>
        </w:rPr>
        <w:t xml:space="preserve">pirmā līmeņa finanšu kontroliera </w:t>
      </w:r>
      <w:r w:rsidRPr="00576895">
        <w:rPr>
          <w:rFonts w:ascii="Times New Roman" w:eastAsia="Times New Roman" w:hAnsi="Times New Roman" w:cs="Times New Roman"/>
          <w:color w:val="auto"/>
          <w:szCs w:val="24"/>
          <w:lang w:val="lv-LV" w:eastAsia="en-US"/>
        </w:rPr>
        <w:t>iecelšanu un atsaukšanu nekavējoties ir jāinformē VI/KS</w:t>
      </w:r>
      <w:r w:rsidRPr="00576895">
        <w:rPr>
          <w:rFonts w:ascii="Times New Roman" w:eastAsia="Times New Roman" w:hAnsi="Times New Roman" w:cs="Times New Roman"/>
          <w:color w:val="auto"/>
          <w:szCs w:val="24"/>
          <w:lang w:val="lv-LV" w:eastAsia="en-GB"/>
        </w:rPr>
        <w:t xml:space="preserve">. </w:t>
      </w:r>
    </w:p>
    <w:p w:rsidR="00647FC0" w:rsidRPr="00576895" w:rsidRDefault="00647FC0" w:rsidP="00647FC0">
      <w:pPr>
        <w:numPr>
          <w:ilvl w:val="0"/>
          <w:numId w:val="12"/>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 xml:space="preserve">Lai nodrošinātu visu dalībvalstu sistēmu un </w:t>
      </w:r>
      <w:r w:rsidR="00105C12">
        <w:rPr>
          <w:rFonts w:ascii="Times New Roman" w:eastAsia="Times New Roman" w:hAnsi="Times New Roman" w:cs="Times New Roman"/>
          <w:color w:val="auto"/>
          <w:szCs w:val="24"/>
          <w:lang w:val="lv-LV" w:eastAsia="en-US"/>
        </w:rPr>
        <w:t xml:space="preserve">pirmā līmeņa finanšu </w:t>
      </w:r>
      <w:r w:rsidRPr="00576895">
        <w:rPr>
          <w:rFonts w:ascii="Times New Roman" w:eastAsia="Times New Roman" w:hAnsi="Times New Roman" w:cs="Times New Roman"/>
          <w:color w:val="auto"/>
          <w:szCs w:val="24"/>
          <w:lang w:val="lv-LV" w:eastAsia="en-GB"/>
        </w:rPr>
        <w:t xml:space="preserve">kontrolieru saskaņotību, katrai dalībvalstij ir jāiesniedz VI/KS un Revīzijas iestādei PLK sistēmas detalizēts apraksts, izmantojot VI/KS sagatavotu veidlapu. Gadījumā, ja PLK sistēmā tiek veiktas jebkādas izmaiņas, VI/KS un Revīzijas iestādei ir nekavējoties jāiesniedz šī apraksta aktualizētā versija. </w:t>
      </w:r>
    </w:p>
    <w:p w:rsidR="00647FC0" w:rsidRPr="00576895" w:rsidRDefault="00647FC0" w:rsidP="00647FC0">
      <w:pPr>
        <w:numPr>
          <w:ilvl w:val="0"/>
          <w:numId w:val="12"/>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en-GB"/>
        </w:rPr>
        <w:t xml:space="preserve">Turklāt VI/KS ir jāsniedz atbalsts </w:t>
      </w:r>
      <w:r w:rsidR="00105C12">
        <w:rPr>
          <w:rFonts w:ascii="Times New Roman" w:eastAsia="Times New Roman" w:hAnsi="Times New Roman" w:cs="Times New Roman"/>
          <w:color w:val="auto"/>
          <w:szCs w:val="24"/>
          <w:lang w:val="lv-LV" w:eastAsia="en-US"/>
        </w:rPr>
        <w:t xml:space="preserve">pirmā līmeņa finanšu </w:t>
      </w:r>
      <w:r w:rsidRPr="00576895">
        <w:rPr>
          <w:rFonts w:ascii="Times New Roman" w:eastAsia="Times New Roman" w:hAnsi="Times New Roman" w:cs="Times New Roman"/>
          <w:color w:val="auto"/>
          <w:szCs w:val="24"/>
          <w:lang w:val="lv-LV" w:eastAsia="en-GB"/>
        </w:rPr>
        <w:t xml:space="preserve">kontrolieru ikdienā, nodrošinot būtiskāko informāciju par projektiem un izdevumu pārbaudei paredzētiem standarta instrumentiem </w:t>
      </w:r>
      <w:r w:rsidRPr="00576895">
        <w:rPr>
          <w:rFonts w:ascii="Times New Roman" w:eastAsia="Times New Roman" w:hAnsi="Times New Roman" w:cs="Times New Roman"/>
          <w:color w:val="auto"/>
          <w:szCs w:val="24"/>
          <w:lang w:val="lv-LV" w:eastAsia="en-US"/>
        </w:rPr>
        <w:t xml:space="preserve">(piem., standarta kontroles apstiprinājums, kontroles ziņojums un kontrollapa). Šie, ar Eiropas teritoriālās sadarbības programmām harmonizētie, instrumenti tiks izmantoti kā standarta prasības visās dalībvalstīs, tādējādi nodrošinot kontrolieru saskaņotību un veikto pārbaužu caurskatāmību.  </w:t>
      </w:r>
    </w:p>
    <w:p w:rsidR="00647FC0" w:rsidRPr="00576895" w:rsidRDefault="00647FC0" w:rsidP="00647FC0">
      <w:pPr>
        <w:numPr>
          <w:ilvl w:val="0"/>
          <w:numId w:val="12"/>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en-US"/>
        </w:rPr>
        <w:t xml:space="preserve">Pirmajā gadījumā, katra dalībvalsts, neatkarīgi no </w:t>
      </w:r>
      <w:r w:rsidR="00105C12">
        <w:rPr>
          <w:rFonts w:ascii="Times New Roman" w:eastAsia="Times New Roman" w:hAnsi="Times New Roman" w:cs="Times New Roman"/>
          <w:color w:val="auto"/>
          <w:szCs w:val="24"/>
          <w:lang w:val="lv-LV" w:eastAsia="en-US"/>
        </w:rPr>
        <w:t xml:space="preserve">pirmā līmeņa finanšu </w:t>
      </w:r>
      <w:r w:rsidRPr="00576895">
        <w:rPr>
          <w:rFonts w:ascii="Times New Roman" w:eastAsia="Times New Roman" w:hAnsi="Times New Roman" w:cs="Times New Roman"/>
          <w:color w:val="auto"/>
          <w:szCs w:val="24"/>
          <w:lang w:val="lv-LV" w:eastAsia="en-US"/>
        </w:rPr>
        <w:t xml:space="preserve">kontrolieru deleģēšanas fakta, ir atbildīga par kontrolieru apmācību attiecībā uz ES, Programmas un nacionālajām prasībām, kā arī veiktās kontroles kvalitātes pārbaudi. VI/KS nodrošinās pirmā līmeņa kontrolieru apmācību Programmas līmenī. </w:t>
      </w:r>
    </w:p>
    <w:p w:rsidR="00647FC0" w:rsidRPr="00576895" w:rsidRDefault="00105C12" w:rsidP="00647FC0">
      <w:pPr>
        <w:numPr>
          <w:ilvl w:val="0"/>
          <w:numId w:val="12"/>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Pr>
          <w:rFonts w:ascii="Times New Roman" w:eastAsia="Times New Roman" w:hAnsi="Times New Roman" w:cs="Times New Roman"/>
          <w:color w:val="auto"/>
          <w:szCs w:val="24"/>
          <w:lang w:val="lv-LV" w:eastAsia="en-US"/>
        </w:rPr>
        <w:t xml:space="preserve">Pirmā līmeņa finanšu </w:t>
      </w:r>
      <w:r>
        <w:rPr>
          <w:rFonts w:ascii="Times New Roman" w:eastAsia="Times New Roman" w:hAnsi="Times New Roman" w:cs="Times New Roman"/>
          <w:color w:val="auto"/>
          <w:szCs w:val="24"/>
          <w:lang w:val="lv-LV" w:eastAsia="en-GB"/>
        </w:rPr>
        <w:t>k</w:t>
      </w:r>
      <w:r w:rsidR="00647FC0" w:rsidRPr="00576895">
        <w:rPr>
          <w:rFonts w:ascii="Times New Roman" w:eastAsia="Times New Roman" w:hAnsi="Times New Roman" w:cs="Times New Roman"/>
          <w:color w:val="auto"/>
          <w:szCs w:val="24"/>
          <w:lang w:val="lv-LV" w:eastAsia="en-GB"/>
        </w:rPr>
        <w:t>ontrolieriem vienmēr ir:</w:t>
      </w:r>
    </w:p>
    <w:p w:rsidR="00647FC0" w:rsidRPr="00576895" w:rsidRDefault="00647FC0" w:rsidP="00647FC0">
      <w:pPr>
        <w:numPr>
          <w:ilvl w:val="1"/>
          <w:numId w:val="11"/>
        </w:numPr>
        <w:autoSpaceDE/>
        <w:autoSpaceDN/>
        <w:adjustRightInd/>
        <w:spacing w:before="60" w:after="120" w:line="260" w:lineRule="atLeast"/>
        <w:ind w:left="992" w:right="197" w:hanging="357"/>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jābūt neatkarīgiem no finansējuma saņēmējiem, kurus viņi pārbauda;</w:t>
      </w:r>
    </w:p>
    <w:p w:rsidR="00647FC0" w:rsidRPr="00576895" w:rsidRDefault="00647FC0" w:rsidP="00647FC0">
      <w:pPr>
        <w:numPr>
          <w:ilvl w:val="1"/>
          <w:numId w:val="11"/>
        </w:numPr>
        <w:autoSpaceDE/>
        <w:autoSpaceDN/>
        <w:adjustRightInd/>
        <w:spacing w:before="60" w:after="120" w:line="260" w:lineRule="atLeast"/>
        <w:ind w:left="992" w:right="197" w:hanging="357"/>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jāatbilst dalībvalstu noteiktajam kvalifikācijas līmenim;</w:t>
      </w:r>
    </w:p>
    <w:p w:rsidR="00647FC0" w:rsidRPr="00576895" w:rsidRDefault="00647FC0" w:rsidP="00647FC0">
      <w:pPr>
        <w:numPr>
          <w:ilvl w:val="1"/>
          <w:numId w:val="11"/>
        </w:numPr>
        <w:autoSpaceDE/>
        <w:autoSpaceDN/>
        <w:adjustRightInd/>
        <w:spacing w:before="60" w:after="120" w:line="260" w:lineRule="atLeast"/>
        <w:ind w:left="992" w:right="197" w:hanging="357"/>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lastRenderedPageBreak/>
        <w:t>jāpilda ES regulās un valsts likumdošanā noteiktās prasības attiecībā uz pirmā līmeņa kontrolēm.</w:t>
      </w:r>
    </w:p>
    <w:p w:rsidR="00647FC0" w:rsidRPr="00576895" w:rsidRDefault="00105C12" w:rsidP="00647FC0">
      <w:pPr>
        <w:numPr>
          <w:ilvl w:val="0"/>
          <w:numId w:val="12"/>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Pr>
          <w:rFonts w:ascii="Times New Roman" w:eastAsia="Times New Roman" w:hAnsi="Times New Roman" w:cs="Times New Roman"/>
          <w:color w:val="auto"/>
          <w:szCs w:val="24"/>
          <w:lang w:val="lv-LV" w:eastAsia="en-US"/>
        </w:rPr>
        <w:t>Pirmā līmeņa finanšu k</w:t>
      </w:r>
      <w:r w:rsidR="00647FC0" w:rsidRPr="00576895">
        <w:rPr>
          <w:rFonts w:ascii="Times New Roman" w:eastAsia="Times New Roman" w:hAnsi="Times New Roman" w:cs="Times New Roman"/>
          <w:color w:val="auto"/>
          <w:szCs w:val="24"/>
          <w:lang w:val="lv-LV" w:eastAsia="en-US"/>
        </w:rPr>
        <w:t xml:space="preserve">ontrolieriem ir jāpārliecinās, ka līdzfinansētie produkti un pakalpojumi ir tikuši piegādāti un katra Programmas labuma guvēja deklarētie izdevumi ir samaksāti un atbilst piemērojamiem likumiem, Programmai un projektu atbalsta nosacījumiem. VI/KS ir tiesīgi </w:t>
      </w:r>
      <w:r>
        <w:rPr>
          <w:rFonts w:ascii="Times New Roman" w:eastAsia="Times New Roman" w:hAnsi="Times New Roman" w:cs="Times New Roman"/>
          <w:color w:val="auto"/>
          <w:szCs w:val="24"/>
          <w:lang w:val="lv-LV" w:eastAsia="en-US"/>
        </w:rPr>
        <w:t xml:space="preserve">pirmā līmeņa finanšu </w:t>
      </w:r>
      <w:r w:rsidR="00647FC0" w:rsidRPr="00576895">
        <w:rPr>
          <w:rFonts w:ascii="Times New Roman" w:eastAsia="Times New Roman" w:hAnsi="Times New Roman" w:cs="Times New Roman"/>
          <w:color w:val="auto"/>
          <w:szCs w:val="24"/>
          <w:lang w:val="lv-LV" w:eastAsia="en-US"/>
        </w:rPr>
        <w:t>kontrolieriem pieprasīt saglabāt programmas elektroniskās uzraudzības sistēmā veikto pārbaužu dokumentus.</w:t>
      </w:r>
    </w:p>
    <w:p w:rsidR="00647FC0" w:rsidRPr="00576895" w:rsidRDefault="00647FC0" w:rsidP="00647FC0">
      <w:pPr>
        <w:numPr>
          <w:ilvl w:val="0"/>
          <w:numId w:val="12"/>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en-US"/>
        </w:rPr>
        <w:t xml:space="preserve">Dalībvalstis nodrošina, ka </w:t>
      </w:r>
      <w:r w:rsidR="00105C12">
        <w:rPr>
          <w:rFonts w:ascii="Times New Roman" w:eastAsia="Times New Roman" w:hAnsi="Times New Roman" w:cs="Times New Roman"/>
          <w:color w:val="auto"/>
          <w:szCs w:val="24"/>
          <w:lang w:val="lv-LV" w:eastAsia="en-US"/>
        </w:rPr>
        <w:t xml:space="preserve">pirmā līmeņa finanšu </w:t>
      </w:r>
      <w:r w:rsidRPr="00576895">
        <w:rPr>
          <w:rFonts w:ascii="Times New Roman" w:eastAsia="Times New Roman" w:hAnsi="Times New Roman" w:cs="Times New Roman"/>
          <w:color w:val="auto"/>
          <w:szCs w:val="24"/>
          <w:lang w:val="lv-LV" w:eastAsia="en-US"/>
        </w:rPr>
        <w:t xml:space="preserve">kontrolieri var pārbaudīt izdevumus divu mēnešu laikā no brīža, kad saņemti dokumenti no finansējuma saņēmēja. Tādējādi projekta partneri var savlaicīgi iesniegt apliecinātos partneru pārskatus vadošajam partnerim un vadošā partnera kontrolieri var veikt iesniegto dokumentu apkopojumu un pārbaudi. Vadošais partneris Programmā noteikto trīs mēnešu laikā iesniedz pārskatus VI/KS. Savlaicīga ziņojumu iesniegšana būs pamatojums savlaicīgai projekta izdevumu atmaksai. </w:t>
      </w:r>
    </w:p>
    <w:p w:rsidR="00647FC0" w:rsidRPr="00576895" w:rsidRDefault="00647FC0" w:rsidP="00647FC0">
      <w:pPr>
        <w:numPr>
          <w:ilvl w:val="0"/>
          <w:numId w:val="12"/>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Attiecībā uz TP izdevumiem, katra organizācija, kas izmanto TP būs atbildīga par to, lai TP izdevumi tiktu pārbaudīti un sertificēti saskaņā ar atbilstošo valsts PLK sistēmu (atkarībā no organizācijas ģeogrāfiskās atrašanās vietas).</w:t>
      </w:r>
    </w:p>
    <w:p w:rsidR="00105C12" w:rsidRPr="00105C12" w:rsidRDefault="00647FC0" w:rsidP="00105C12">
      <w:pPr>
        <w:numPr>
          <w:ilvl w:val="0"/>
          <w:numId w:val="12"/>
        </w:numPr>
        <w:autoSpaceDE/>
        <w:autoSpaceDN/>
        <w:adjustRightInd/>
        <w:spacing w:before="180" w:after="120" w:line="260" w:lineRule="atLeast"/>
        <w:ind w:left="284" w:hanging="284"/>
        <w:jc w:val="both"/>
        <w:rPr>
          <w:rFonts w:ascii="Times New Roman" w:hAnsi="Times New Roman" w:cs="Times New Roman"/>
          <w:szCs w:val="24"/>
          <w:lang w:val="lv-LV"/>
        </w:rPr>
      </w:pPr>
      <w:r w:rsidRPr="00576895">
        <w:rPr>
          <w:rFonts w:ascii="Times New Roman" w:eastAsia="Times New Roman" w:hAnsi="Times New Roman" w:cs="Times New Roman"/>
          <w:color w:val="auto"/>
          <w:szCs w:val="24"/>
          <w:lang w:val="lv-LV" w:eastAsia="en-US"/>
        </w:rPr>
        <w:t xml:space="preserve">Atkarībā no nacionālās pieejas, PLK sistēmas, kā arī faktiskās pirmā līmeņa kontroles pārbaužu izmaksas </w:t>
      </w:r>
      <w:r w:rsidR="00D901B9">
        <w:rPr>
          <w:rFonts w:ascii="Times New Roman" w:eastAsia="Times New Roman" w:hAnsi="Times New Roman" w:cs="Times New Roman"/>
          <w:color w:val="auto"/>
          <w:szCs w:val="24"/>
          <w:lang w:val="lv-LV" w:eastAsia="en-US"/>
        </w:rPr>
        <w:t>tiek</w:t>
      </w:r>
      <w:r w:rsidR="00D901B9" w:rsidRPr="00576895">
        <w:rPr>
          <w:rFonts w:ascii="Times New Roman" w:eastAsia="Times New Roman" w:hAnsi="Times New Roman" w:cs="Times New Roman"/>
          <w:color w:val="auto"/>
          <w:szCs w:val="24"/>
          <w:lang w:val="lv-LV" w:eastAsia="en-US"/>
        </w:rPr>
        <w:t xml:space="preserve"> </w:t>
      </w:r>
      <w:r w:rsidRPr="00576895">
        <w:rPr>
          <w:rFonts w:ascii="Times New Roman" w:eastAsia="Times New Roman" w:hAnsi="Times New Roman" w:cs="Times New Roman"/>
          <w:color w:val="auto"/>
          <w:szCs w:val="24"/>
          <w:lang w:val="lv-LV" w:eastAsia="en-US"/>
        </w:rPr>
        <w:t xml:space="preserve">apmaksātas no valsts finanšu resursiem vai tās </w:t>
      </w:r>
      <w:r w:rsidR="00D901B9" w:rsidRPr="00576895">
        <w:rPr>
          <w:rFonts w:ascii="Times New Roman" w:eastAsia="Times New Roman" w:hAnsi="Times New Roman" w:cs="Times New Roman"/>
          <w:color w:val="auto"/>
          <w:szCs w:val="24"/>
          <w:lang w:val="lv-LV" w:eastAsia="en-US"/>
        </w:rPr>
        <w:t>se</w:t>
      </w:r>
      <w:r w:rsidR="00D901B9">
        <w:rPr>
          <w:rFonts w:ascii="Times New Roman" w:eastAsia="Times New Roman" w:hAnsi="Times New Roman" w:cs="Times New Roman"/>
          <w:color w:val="auto"/>
          <w:szCs w:val="24"/>
          <w:lang w:val="lv-LV" w:eastAsia="en-US"/>
        </w:rPr>
        <w:t xml:space="preserve">dz </w:t>
      </w:r>
      <w:r w:rsidRPr="00576895">
        <w:rPr>
          <w:rFonts w:ascii="Times New Roman" w:eastAsia="Times New Roman" w:hAnsi="Times New Roman" w:cs="Times New Roman"/>
          <w:color w:val="auto"/>
          <w:szCs w:val="24"/>
          <w:lang w:val="lv-LV" w:eastAsia="en-US"/>
        </w:rPr>
        <w:t xml:space="preserve">finansējuma saņēmējs, taču tās nevar tikt apmaksātas no Programmas TP budžeta. Taču, TP izdevumu pirmā līmeņa </w:t>
      </w:r>
      <w:r w:rsidR="00105C12">
        <w:rPr>
          <w:rFonts w:ascii="Times New Roman" w:eastAsia="Times New Roman" w:hAnsi="Times New Roman" w:cs="Times New Roman"/>
          <w:color w:val="auto"/>
          <w:szCs w:val="24"/>
          <w:lang w:val="lv-LV" w:eastAsia="en-US"/>
        </w:rPr>
        <w:t xml:space="preserve">finanšu </w:t>
      </w:r>
      <w:r w:rsidRPr="00576895">
        <w:rPr>
          <w:rFonts w:ascii="Times New Roman" w:eastAsia="Times New Roman" w:hAnsi="Times New Roman" w:cs="Times New Roman"/>
          <w:color w:val="auto"/>
          <w:szCs w:val="24"/>
          <w:lang w:val="lv-LV" w:eastAsia="en-US"/>
        </w:rPr>
        <w:t xml:space="preserve">kontroles izmaksas </w:t>
      </w:r>
      <w:r w:rsidR="00D901B9" w:rsidRPr="00576895">
        <w:rPr>
          <w:rFonts w:ascii="Times New Roman" w:eastAsia="Times New Roman" w:hAnsi="Times New Roman" w:cs="Times New Roman"/>
          <w:color w:val="auto"/>
          <w:szCs w:val="24"/>
          <w:lang w:val="lv-LV" w:eastAsia="en-US"/>
        </w:rPr>
        <w:t>ti</w:t>
      </w:r>
      <w:r w:rsidR="00D901B9">
        <w:rPr>
          <w:rFonts w:ascii="Times New Roman" w:eastAsia="Times New Roman" w:hAnsi="Times New Roman" w:cs="Times New Roman"/>
          <w:color w:val="auto"/>
          <w:szCs w:val="24"/>
          <w:lang w:val="lv-LV" w:eastAsia="en-US"/>
        </w:rPr>
        <w:t xml:space="preserve">ek </w:t>
      </w:r>
      <w:r w:rsidRPr="00576895">
        <w:rPr>
          <w:rFonts w:ascii="Times New Roman" w:eastAsia="Times New Roman" w:hAnsi="Times New Roman" w:cs="Times New Roman"/>
          <w:color w:val="auto"/>
          <w:szCs w:val="24"/>
          <w:lang w:val="lv-LV" w:eastAsia="en-US"/>
        </w:rPr>
        <w:t>apmaksātas no Programmas TP budžeta.</w:t>
      </w:r>
    </w:p>
    <w:p w:rsidR="00105C12" w:rsidRDefault="00105C12" w:rsidP="00105C12">
      <w:pPr>
        <w:autoSpaceDE/>
        <w:autoSpaceDN/>
        <w:adjustRightInd/>
        <w:spacing w:before="180" w:after="120" w:line="260" w:lineRule="atLeast"/>
        <w:ind w:left="284"/>
        <w:jc w:val="both"/>
        <w:rPr>
          <w:rFonts w:ascii="Times New Roman" w:hAnsi="Times New Roman" w:cs="Times New Roman"/>
          <w:szCs w:val="24"/>
          <w:lang w:val="lv-LV"/>
        </w:rPr>
      </w:pPr>
    </w:p>
    <w:p w:rsidR="00647FC0" w:rsidRPr="00105C12" w:rsidRDefault="00FF039A" w:rsidP="00105C12">
      <w:pPr>
        <w:autoSpaceDE/>
        <w:autoSpaceDN/>
        <w:adjustRightInd/>
        <w:spacing w:before="180" w:after="120" w:line="260" w:lineRule="atLeast"/>
        <w:ind w:left="284"/>
        <w:jc w:val="center"/>
        <w:rPr>
          <w:rFonts w:ascii="Times New Roman" w:hAnsi="Times New Roman" w:cs="Times New Roman"/>
          <w:b/>
          <w:szCs w:val="24"/>
          <w:lang w:val="lv-LV"/>
        </w:rPr>
      </w:pPr>
      <w:r>
        <w:rPr>
          <w:rFonts w:ascii="Times New Roman" w:hAnsi="Times New Roman" w:cs="Times New Roman"/>
          <w:b/>
          <w:color w:val="auto"/>
          <w:szCs w:val="24"/>
          <w:lang w:val="lv-LV"/>
        </w:rPr>
        <w:t>3.pan</w:t>
      </w:r>
      <w:r w:rsidR="00647FC0" w:rsidRPr="00105C12">
        <w:rPr>
          <w:rFonts w:ascii="Times New Roman" w:hAnsi="Times New Roman" w:cs="Times New Roman"/>
          <w:b/>
          <w:color w:val="auto"/>
          <w:szCs w:val="24"/>
          <w:lang w:val="lv-LV"/>
        </w:rPr>
        <w:t>ts: Tehniskās palīdzības budžets</w:t>
      </w:r>
    </w:p>
    <w:p w:rsidR="00647FC0" w:rsidRPr="00576895" w:rsidRDefault="00647FC0" w:rsidP="00647FC0">
      <w:pPr>
        <w:pStyle w:val="Heading2"/>
        <w:numPr>
          <w:ilvl w:val="0"/>
          <w:numId w:val="33"/>
        </w:numPr>
        <w:spacing w:before="240"/>
        <w:ind w:left="0" w:firstLine="62"/>
        <w:jc w:val="center"/>
        <w:rPr>
          <w:rFonts w:ascii="Times New Roman" w:hAnsi="Times New Roman" w:cs="Times New Roman"/>
          <w:color w:val="auto"/>
          <w:u w:val="single"/>
          <w:lang w:val="lv-LV" w:eastAsia="en-GB"/>
        </w:rPr>
      </w:pPr>
      <w:r w:rsidRPr="00576895">
        <w:rPr>
          <w:rFonts w:ascii="Times New Roman" w:hAnsi="Times New Roman" w:cs="Times New Roman"/>
          <w:color w:val="auto"/>
          <w:u w:val="single"/>
          <w:lang w:val="lv-LV" w:eastAsia="en-GB"/>
        </w:rPr>
        <w:t>Programmas pārvaldības finansēšana</w:t>
      </w:r>
    </w:p>
    <w:p w:rsidR="00647FC0" w:rsidRPr="00576895" w:rsidRDefault="00647FC0" w:rsidP="00647FC0">
      <w:pPr>
        <w:numPr>
          <w:ilvl w:val="0"/>
          <w:numId w:val="15"/>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 xml:space="preserve">Programmas pārvaldības izdevumi, kurās iekļautas ar VI un KS saistītās izmaksas laikā posmā no 2014.gada 1.janvāra līdz 2023.gada 31.decembrim (attiecīgi, Regulas (ES) Nr. 1303/2013 65(2).pants) </w:t>
      </w:r>
      <w:r w:rsidR="00D901B9" w:rsidRPr="00576895">
        <w:rPr>
          <w:rFonts w:ascii="Times New Roman" w:eastAsia="Times New Roman" w:hAnsi="Times New Roman" w:cs="Times New Roman"/>
          <w:color w:val="auto"/>
          <w:szCs w:val="24"/>
          <w:lang w:val="lv-LV" w:eastAsia="en-GB"/>
        </w:rPr>
        <w:t>ti</w:t>
      </w:r>
      <w:r w:rsidR="00D901B9">
        <w:rPr>
          <w:rFonts w:ascii="Times New Roman" w:eastAsia="Times New Roman" w:hAnsi="Times New Roman" w:cs="Times New Roman"/>
          <w:color w:val="auto"/>
          <w:szCs w:val="24"/>
          <w:lang w:val="lv-LV" w:eastAsia="en-GB"/>
        </w:rPr>
        <w:t>ek</w:t>
      </w:r>
      <w:r w:rsidR="00D901B9" w:rsidRPr="00576895">
        <w:rPr>
          <w:rFonts w:ascii="Times New Roman" w:eastAsia="Times New Roman" w:hAnsi="Times New Roman" w:cs="Times New Roman"/>
          <w:color w:val="auto"/>
          <w:szCs w:val="24"/>
          <w:lang w:val="lv-LV" w:eastAsia="en-GB"/>
        </w:rPr>
        <w:t xml:space="preserve"> </w:t>
      </w:r>
      <w:r w:rsidRPr="00576895">
        <w:rPr>
          <w:rFonts w:ascii="Times New Roman" w:eastAsia="Times New Roman" w:hAnsi="Times New Roman" w:cs="Times New Roman"/>
          <w:color w:val="auto"/>
          <w:szCs w:val="24"/>
          <w:lang w:val="lv-LV" w:eastAsia="en-GB"/>
        </w:rPr>
        <w:t>pilnībā finansē</w:t>
      </w:r>
      <w:r w:rsidR="00BC5CEE">
        <w:rPr>
          <w:rFonts w:ascii="Times New Roman" w:eastAsia="Times New Roman" w:hAnsi="Times New Roman" w:cs="Times New Roman"/>
          <w:color w:val="auto"/>
          <w:szCs w:val="24"/>
          <w:lang w:val="lv-LV" w:eastAsia="en-GB"/>
        </w:rPr>
        <w:t>tas no TP</w:t>
      </w:r>
      <w:r w:rsidRPr="00576895">
        <w:rPr>
          <w:rFonts w:ascii="Times New Roman" w:eastAsia="Times New Roman" w:hAnsi="Times New Roman" w:cs="Times New Roman"/>
          <w:color w:val="auto"/>
          <w:szCs w:val="24"/>
          <w:lang w:val="lv-LV" w:eastAsia="en-GB"/>
        </w:rPr>
        <w:t xml:space="preserve"> budžeta (prioritāšu skala Nr.5) kā to ir apstiprinājusi UK. Revīzijas iestādes izmaksas daļēji </w:t>
      </w:r>
      <w:r w:rsidR="00D901B9" w:rsidRPr="00576895">
        <w:rPr>
          <w:rFonts w:ascii="Times New Roman" w:eastAsia="Times New Roman" w:hAnsi="Times New Roman" w:cs="Times New Roman"/>
          <w:color w:val="auto"/>
          <w:szCs w:val="24"/>
          <w:lang w:val="lv-LV" w:eastAsia="en-GB"/>
        </w:rPr>
        <w:t>ti</w:t>
      </w:r>
      <w:r w:rsidR="00D901B9">
        <w:rPr>
          <w:rFonts w:ascii="Times New Roman" w:eastAsia="Times New Roman" w:hAnsi="Times New Roman" w:cs="Times New Roman"/>
          <w:color w:val="auto"/>
          <w:szCs w:val="24"/>
          <w:lang w:val="lv-LV" w:eastAsia="en-GB"/>
        </w:rPr>
        <w:t>ek</w:t>
      </w:r>
      <w:r w:rsidR="00D901B9" w:rsidRPr="00576895">
        <w:rPr>
          <w:rFonts w:ascii="Times New Roman" w:eastAsia="Times New Roman" w:hAnsi="Times New Roman" w:cs="Times New Roman"/>
          <w:color w:val="auto"/>
          <w:szCs w:val="24"/>
          <w:lang w:val="lv-LV" w:eastAsia="en-GB"/>
        </w:rPr>
        <w:t xml:space="preserve"> </w:t>
      </w:r>
      <w:r w:rsidRPr="00576895">
        <w:rPr>
          <w:rFonts w:ascii="Times New Roman" w:eastAsia="Times New Roman" w:hAnsi="Times New Roman" w:cs="Times New Roman"/>
          <w:color w:val="auto"/>
          <w:szCs w:val="24"/>
          <w:lang w:val="lv-LV" w:eastAsia="en-GB"/>
        </w:rPr>
        <w:t>segtas no T</w:t>
      </w:r>
      <w:r w:rsidR="00797A27">
        <w:rPr>
          <w:rFonts w:ascii="Times New Roman" w:eastAsia="Times New Roman" w:hAnsi="Times New Roman" w:cs="Times New Roman"/>
          <w:color w:val="auto"/>
          <w:szCs w:val="24"/>
          <w:lang w:val="lv-LV" w:eastAsia="en-GB"/>
        </w:rPr>
        <w:t>P</w:t>
      </w:r>
      <w:r w:rsidRPr="00576895">
        <w:rPr>
          <w:rFonts w:ascii="Times New Roman" w:eastAsia="Times New Roman" w:hAnsi="Times New Roman" w:cs="Times New Roman"/>
          <w:color w:val="auto"/>
          <w:szCs w:val="24"/>
          <w:lang w:val="lv-LV" w:eastAsia="en-GB"/>
        </w:rPr>
        <w:t xml:space="preserve"> budžeta (attiecīgi, šī</w:t>
      </w:r>
      <w:r w:rsidR="00995364">
        <w:rPr>
          <w:rFonts w:ascii="Times New Roman" w:eastAsia="Times New Roman" w:hAnsi="Times New Roman" w:cs="Times New Roman"/>
          <w:color w:val="auto"/>
          <w:szCs w:val="24"/>
          <w:lang w:val="lv-LV" w:eastAsia="en-GB"/>
        </w:rPr>
        <w:t>s</w:t>
      </w:r>
      <w:r w:rsidRPr="00576895">
        <w:rPr>
          <w:rFonts w:ascii="Times New Roman" w:eastAsia="Times New Roman" w:hAnsi="Times New Roman" w:cs="Times New Roman"/>
          <w:color w:val="auto"/>
          <w:szCs w:val="24"/>
          <w:lang w:val="lv-LV" w:eastAsia="en-GB"/>
        </w:rPr>
        <w:t xml:space="preserve"> </w:t>
      </w:r>
      <w:r w:rsidR="00995364">
        <w:rPr>
          <w:rFonts w:ascii="Times New Roman" w:eastAsia="Times New Roman" w:hAnsi="Times New Roman" w:cs="Times New Roman"/>
          <w:color w:val="auto"/>
          <w:szCs w:val="24"/>
          <w:lang w:val="lv-LV" w:eastAsia="en-GB"/>
        </w:rPr>
        <w:t>Vienošanās</w:t>
      </w:r>
      <w:r w:rsidRPr="00576895">
        <w:rPr>
          <w:rFonts w:ascii="Times New Roman" w:eastAsia="Times New Roman" w:hAnsi="Times New Roman" w:cs="Times New Roman"/>
          <w:color w:val="auto"/>
          <w:szCs w:val="24"/>
          <w:lang w:val="lv-LV" w:eastAsia="en-GB"/>
        </w:rPr>
        <w:t xml:space="preserve"> 2.6(f).punkts).</w:t>
      </w:r>
    </w:p>
    <w:p w:rsidR="00647FC0" w:rsidRPr="00576895" w:rsidRDefault="00647FC0" w:rsidP="00647FC0">
      <w:pPr>
        <w:numPr>
          <w:ilvl w:val="0"/>
          <w:numId w:val="15"/>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 xml:space="preserve">Programmā ir noteikts kopējais TP apmērs. </w:t>
      </w:r>
    </w:p>
    <w:p w:rsidR="00647FC0" w:rsidRPr="00576895" w:rsidRDefault="00647FC0" w:rsidP="00647FC0">
      <w:pPr>
        <w:numPr>
          <w:ilvl w:val="0"/>
          <w:numId w:val="15"/>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TP budžets tiks finansēts no šādiem avotiem:</w:t>
      </w:r>
    </w:p>
    <w:p w:rsidR="00647FC0" w:rsidRPr="00576895" w:rsidRDefault="00647FC0" w:rsidP="00647FC0">
      <w:pPr>
        <w:numPr>
          <w:ilvl w:val="1"/>
          <w:numId w:val="11"/>
        </w:numPr>
        <w:autoSpaceDE/>
        <w:autoSpaceDN/>
        <w:adjustRightInd/>
        <w:spacing w:before="60" w:after="120" w:line="260" w:lineRule="atLeast"/>
        <w:ind w:left="992" w:right="197" w:hanging="357"/>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en-GB"/>
        </w:rPr>
        <w:t>6% no kopējās Eiropas reģionālā attīstības fonda (ERAF) summas, kas Programmai piešķirta saskaņā ar Regulas (ES) Nr. 1299/2013 17.pantu un attiecīgais Dalībvalsts nacionālais līdzfinansējums, un Krievijas un Baltkrievijas līdzfinansējums (proporcionāli - 75% no ERAF un 25% no nacionālā ieguldījuma) gadījumā, ja šīs valstis piedalās. ERAF piešķiršana ietver Programmai paredzēto Eiropas kaimiņattiecību instrumenta (EKI) nodrošināto ieguldījumu, kura pārvaldība tiks veikta kopīgi atbilstoši ETS noteikumiem</w:t>
      </w:r>
      <w:r w:rsidRPr="00576895">
        <w:rPr>
          <w:rFonts w:ascii="Times New Roman" w:eastAsia="Times New Roman" w:hAnsi="Times New Roman" w:cs="Times New Roman"/>
          <w:color w:val="auto"/>
          <w:szCs w:val="24"/>
          <w:vertAlign w:val="superscript"/>
          <w:lang w:val="lv-LV" w:eastAsia="en-GB"/>
        </w:rPr>
        <w:footnoteReference w:id="2"/>
      </w:r>
      <w:r w:rsidRPr="00576895">
        <w:rPr>
          <w:rFonts w:ascii="Times New Roman" w:eastAsia="Times New Roman" w:hAnsi="Times New Roman" w:cs="Times New Roman"/>
          <w:color w:val="auto"/>
          <w:szCs w:val="24"/>
          <w:lang w:val="lv-LV" w:eastAsia="en-GB"/>
        </w:rPr>
        <w:t xml:space="preserve">. </w:t>
      </w:r>
    </w:p>
    <w:p w:rsidR="00647FC0" w:rsidRPr="00576895" w:rsidRDefault="00647FC0" w:rsidP="00647FC0">
      <w:pPr>
        <w:spacing w:before="60" w:after="120" w:line="260" w:lineRule="atLeast"/>
        <w:ind w:left="992" w:right="197"/>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lastRenderedPageBreak/>
        <w:t>Dalībvalstīm ir jāveic ieguldījums TP proporcionāli attiecīgās valsts individuāli piešķirtajai ERAF summai Programmai, izņemot, daļu, kas veidojas no EKI.</w:t>
      </w:r>
    </w:p>
    <w:p w:rsidR="00647FC0" w:rsidRPr="00576895" w:rsidRDefault="00647FC0" w:rsidP="00647FC0">
      <w:pPr>
        <w:spacing w:before="60" w:after="120" w:line="260" w:lineRule="atLeast"/>
        <w:ind w:left="992" w:right="197"/>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fr-FR"/>
        </w:rPr>
        <w:t>Krievijas un Baltkrievijas dalības gadījumā, šīm valstīm ir jāveic ieguldījums TP proporcionāli attiecīgās valsts individuāli (indikatīvai) piešķirtajai ERAF summai Programmai, kas veidojas no EKI</w:t>
      </w:r>
      <w:r w:rsidRPr="00576895">
        <w:rPr>
          <w:rStyle w:val="FootnoteReference"/>
          <w:rFonts w:ascii="Times New Roman" w:eastAsia="Times New Roman" w:hAnsi="Times New Roman" w:cs="Times New Roman"/>
          <w:color w:val="auto"/>
          <w:szCs w:val="24"/>
          <w:lang w:val="lv-LV" w:eastAsia="fr-FR"/>
        </w:rPr>
        <w:footnoteReference w:id="3"/>
      </w:r>
      <w:r w:rsidRPr="00576895">
        <w:rPr>
          <w:rFonts w:ascii="Times New Roman" w:eastAsia="Times New Roman" w:hAnsi="Times New Roman" w:cs="Times New Roman"/>
          <w:color w:val="auto"/>
          <w:szCs w:val="24"/>
          <w:lang w:val="lv-LV" w:eastAsia="fr-FR"/>
        </w:rPr>
        <w:t>.</w:t>
      </w:r>
      <w:r w:rsidRPr="00576895">
        <w:rPr>
          <w:rFonts w:ascii="Times New Roman" w:eastAsia="Times New Roman" w:hAnsi="Times New Roman" w:cs="Times New Roman"/>
          <w:color w:val="auto"/>
          <w:szCs w:val="24"/>
          <w:lang w:val="lv-LV" w:eastAsia="en-GB"/>
        </w:rPr>
        <w:t xml:space="preserve"> </w:t>
      </w:r>
    </w:p>
    <w:p w:rsidR="00647FC0" w:rsidRPr="00576895" w:rsidRDefault="00647FC0" w:rsidP="00647FC0">
      <w:pPr>
        <w:numPr>
          <w:ilvl w:val="1"/>
          <w:numId w:val="11"/>
        </w:numPr>
        <w:autoSpaceDE/>
        <w:autoSpaceDN/>
        <w:adjustRightInd/>
        <w:spacing w:before="60" w:after="120" w:line="260" w:lineRule="atLeast"/>
        <w:ind w:left="993" w:right="197" w:hanging="357"/>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en-GB"/>
        </w:rPr>
        <w:t>6% no kopējiem Programmai piešķirtajiem Norvēģijas nacionālajiem fondiem un attiecīgā Norvēģijas valsts līdzfinansējuma (proporcionāli - 75% no Norvēģijas nacionālo fondu ieguldījuma un 25% no nacionālā ieguldījuma).</w:t>
      </w:r>
      <w:r w:rsidRPr="00576895">
        <w:rPr>
          <w:rFonts w:ascii="Times New Roman" w:eastAsia="Times New Roman" w:hAnsi="Times New Roman" w:cs="Times New Roman"/>
          <w:color w:val="auto"/>
          <w:szCs w:val="24"/>
          <w:lang w:val="lv-LV" w:eastAsia="fr-FR"/>
        </w:rPr>
        <w:t xml:space="preserve"> </w:t>
      </w:r>
    </w:p>
    <w:p w:rsidR="00647FC0" w:rsidRPr="00576895" w:rsidRDefault="00647FC0" w:rsidP="00647FC0">
      <w:pPr>
        <w:numPr>
          <w:ilvl w:val="1"/>
          <w:numId w:val="11"/>
        </w:numPr>
        <w:autoSpaceDE/>
        <w:autoSpaceDN/>
        <w:adjustRightInd/>
        <w:spacing w:before="60" w:after="120" w:line="260" w:lineRule="atLeast"/>
        <w:ind w:left="992" w:right="197" w:hanging="357"/>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Krievijas dalības gadījumā, īpaša daļa no Programmai piešķirtajiem kopējiem Krievijas nacionālajiem fondiem un attiecīgā Krievijas nacionālā finansējuma (nepieciešams noteikt proporciju no Krievijas fondu ieguldījuma un nacionālā ieguldījuma).</w:t>
      </w:r>
    </w:p>
    <w:p w:rsidR="00647FC0" w:rsidRPr="00576895" w:rsidRDefault="00647FC0" w:rsidP="00647FC0">
      <w:pPr>
        <w:numPr>
          <w:ilvl w:val="0"/>
          <w:numId w:val="15"/>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en-GB"/>
        </w:rPr>
        <w:t xml:space="preserve">Pirmajā UK sanāksmē </w:t>
      </w:r>
      <w:r w:rsidR="00D901B9">
        <w:rPr>
          <w:rFonts w:ascii="Times New Roman" w:eastAsia="Times New Roman" w:hAnsi="Times New Roman" w:cs="Times New Roman"/>
          <w:color w:val="auto"/>
          <w:szCs w:val="24"/>
          <w:lang w:val="lv-LV" w:eastAsia="en-GB"/>
        </w:rPr>
        <w:t>ir</w:t>
      </w:r>
      <w:r w:rsidRPr="00576895">
        <w:rPr>
          <w:rFonts w:ascii="Times New Roman" w:eastAsia="Times New Roman" w:hAnsi="Times New Roman" w:cs="Times New Roman"/>
          <w:color w:val="auto"/>
          <w:szCs w:val="24"/>
          <w:lang w:val="lv-LV" w:eastAsia="en-GB"/>
        </w:rPr>
        <w:t xml:space="preserve"> apstiprināts detalizēts TP budžeta plāns, tostarp, indikatīvās nacionālā līdzfinansējuma daļas visam attiecināmajam periodam no 2014.gada līdz 2023.gadam. TP finansēšanas plāns ir šī</w:t>
      </w:r>
      <w:r w:rsidR="00995364">
        <w:rPr>
          <w:rFonts w:ascii="Times New Roman" w:eastAsia="Times New Roman" w:hAnsi="Times New Roman" w:cs="Times New Roman"/>
          <w:color w:val="auto"/>
          <w:szCs w:val="24"/>
          <w:lang w:val="lv-LV" w:eastAsia="en-GB"/>
        </w:rPr>
        <w:t xml:space="preserve">s Vienošanās </w:t>
      </w:r>
      <w:r w:rsidRPr="00576895">
        <w:rPr>
          <w:rFonts w:ascii="Times New Roman" w:eastAsia="Times New Roman" w:hAnsi="Times New Roman" w:cs="Times New Roman"/>
          <w:color w:val="auto"/>
          <w:szCs w:val="24"/>
          <w:lang w:val="lv-LV" w:eastAsia="en-GB"/>
        </w:rPr>
        <w:t>daļa (skatīt Pielikumu).</w:t>
      </w:r>
    </w:p>
    <w:p w:rsidR="00647FC0" w:rsidRPr="00576895" w:rsidRDefault="00647FC0" w:rsidP="00647FC0">
      <w:pPr>
        <w:numPr>
          <w:ilvl w:val="0"/>
          <w:numId w:val="15"/>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IB.SH no dalībvalstīm saņem līdzfinansējuma maksājumus TP budžetā un vei</w:t>
      </w:r>
      <w:r w:rsidR="00D901B9">
        <w:rPr>
          <w:rFonts w:ascii="Times New Roman" w:eastAsia="Times New Roman" w:hAnsi="Times New Roman" w:cs="Times New Roman"/>
          <w:color w:val="auto"/>
          <w:szCs w:val="24"/>
          <w:lang w:val="lv-LV" w:eastAsia="fr-FR"/>
        </w:rPr>
        <w:t>c</w:t>
      </w:r>
      <w:r w:rsidRPr="00576895">
        <w:rPr>
          <w:rFonts w:ascii="Times New Roman" w:eastAsia="Times New Roman" w:hAnsi="Times New Roman" w:cs="Times New Roman"/>
          <w:color w:val="auto"/>
          <w:szCs w:val="24"/>
          <w:lang w:val="lv-LV" w:eastAsia="fr-FR"/>
        </w:rPr>
        <w:t xml:space="preserve"> dalībvalstu ieguldījuma TP budžetā administrēšanu atsevišķos kontos (ES Dalībvalstu TP līdzfinansējuma konts, Norvēģijas konts un Krievijas konts, gadījumā, ja šī valsts piedalās). </w:t>
      </w:r>
    </w:p>
    <w:p w:rsidR="00647FC0" w:rsidRPr="00576895" w:rsidRDefault="00647FC0" w:rsidP="00647FC0">
      <w:pPr>
        <w:numPr>
          <w:ilvl w:val="0"/>
          <w:numId w:val="15"/>
        </w:numPr>
        <w:autoSpaceDE/>
        <w:autoSpaceDN/>
        <w:adjustRightInd/>
        <w:spacing w:before="180" w:after="120" w:line="260" w:lineRule="atLeast"/>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Laika periodā no 2015.gada līdz 2022.gadam dalībvalstīm savs ieguldījums uz saistīto kontu ir jāpārskaita astoņos vienādos ikgadējos maksājumos. Ikgadējais maksājums ir jāveic līdz attiecīgā gada 15.martam (sākot ar 2016.gadu; 2015.gadā maksājums tiks pieprasīts gada otrajā pusē pēc šī</w:t>
      </w:r>
      <w:r w:rsidR="00995364">
        <w:rPr>
          <w:rFonts w:ascii="Times New Roman" w:eastAsia="Times New Roman" w:hAnsi="Times New Roman" w:cs="Times New Roman"/>
          <w:color w:val="auto"/>
          <w:szCs w:val="24"/>
          <w:lang w:val="lv-LV" w:eastAsia="fr-FR"/>
        </w:rPr>
        <w:t>s Vienošanās</w:t>
      </w:r>
      <w:r w:rsidRPr="00576895">
        <w:rPr>
          <w:rFonts w:ascii="Times New Roman" w:eastAsia="Times New Roman" w:hAnsi="Times New Roman" w:cs="Times New Roman"/>
          <w:color w:val="auto"/>
          <w:szCs w:val="24"/>
          <w:lang w:val="lv-LV" w:eastAsia="fr-FR"/>
        </w:rPr>
        <w:t xml:space="preserve"> parakstīšanas).</w:t>
      </w:r>
    </w:p>
    <w:p w:rsidR="00647FC0" w:rsidRPr="00576895" w:rsidRDefault="00647FC0" w:rsidP="00647FC0">
      <w:pPr>
        <w:pStyle w:val="ListParagraph"/>
        <w:numPr>
          <w:ilvl w:val="0"/>
          <w:numId w:val="15"/>
        </w:numPr>
        <w:spacing w:before="180" w:after="120" w:line="260" w:lineRule="atLeast"/>
        <w:jc w:val="both"/>
        <w:rPr>
          <w:rFonts w:eastAsia="Times New Roman"/>
          <w:lang w:val="lv-LV" w:eastAsia="fr-FR"/>
        </w:rPr>
      </w:pPr>
      <w:r w:rsidRPr="00576895">
        <w:rPr>
          <w:rFonts w:eastAsia="Times New Roman"/>
          <w:lang w:val="lv-LV" w:eastAsia="fr-FR"/>
        </w:rPr>
        <w:t>IB.SH jebkādus uzkrātos procentus nosūtīs uz attiecīgo kontu. Detalizēta informācija ir noteikta š</w:t>
      </w:r>
      <w:r w:rsidR="00995364">
        <w:rPr>
          <w:rFonts w:eastAsia="Times New Roman"/>
          <w:lang w:val="lv-LV" w:eastAsia="fr-FR"/>
        </w:rPr>
        <w:t>īs Vienošanās</w:t>
      </w:r>
      <w:r w:rsidRPr="00576895">
        <w:rPr>
          <w:rFonts w:eastAsia="Times New Roman"/>
          <w:lang w:val="lv-LV" w:eastAsia="fr-FR"/>
        </w:rPr>
        <w:t xml:space="preserve"> 4.2(b).punktā).</w:t>
      </w:r>
    </w:p>
    <w:p w:rsidR="00647FC0" w:rsidRPr="00576895" w:rsidRDefault="00647FC0" w:rsidP="00647FC0">
      <w:pPr>
        <w:numPr>
          <w:ilvl w:val="0"/>
          <w:numId w:val="15"/>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en-GB"/>
        </w:rPr>
        <w:t xml:space="preserve">Nacionālie ieguldījumi TP, kuri nebūs izmantoti 2023.gada beigās, kā arī kontos izveidojušās procentu atmaksas, </w:t>
      </w:r>
      <w:r w:rsidR="00D901B9" w:rsidRPr="00576895">
        <w:rPr>
          <w:rFonts w:ascii="Times New Roman" w:eastAsia="Times New Roman" w:hAnsi="Times New Roman" w:cs="Times New Roman"/>
          <w:color w:val="auto"/>
          <w:szCs w:val="24"/>
          <w:lang w:val="lv-LV" w:eastAsia="en-GB"/>
        </w:rPr>
        <w:t>ti</w:t>
      </w:r>
      <w:r w:rsidR="00D901B9">
        <w:rPr>
          <w:rFonts w:ascii="Times New Roman" w:eastAsia="Times New Roman" w:hAnsi="Times New Roman" w:cs="Times New Roman"/>
          <w:color w:val="auto"/>
          <w:szCs w:val="24"/>
          <w:lang w:val="lv-LV" w:eastAsia="en-GB"/>
        </w:rPr>
        <w:t>ek</w:t>
      </w:r>
      <w:r w:rsidR="00D901B9" w:rsidRPr="00576895">
        <w:rPr>
          <w:rFonts w:ascii="Times New Roman" w:eastAsia="Times New Roman" w:hAnsi="Times New Roman" w:cs="Times New Roman"/>
          <w:color w:val="auto"/>
          <w:szCs w:val="24"/>
          <w:lang w:val="lv-LV" w:eastAsia="en-GB"/>
        </w:rPr>
        <w:t xml:space="preserve"> </w:t>
      </w:r>
      <w:r w:rsidRPr="00576895">
        <w:rPr>
          <w:rFonts w:ascii="Times New Roman" w:eastAsia="Times New Roman" w:hAnsi="Times New Roman" w:cs="Times New Roman"/>
          <w:color w:val="auto"/>
          <w:szCs w:val="24"/>
          <w:lang w:val="lv-LV" w:eastAsia="en-GB"/>
        </w:rPr>
        <w:t>uzskatīt</w:t>
      </w:r>
      <w:r w:rsidR="00D901B9">
        <w:rPr>
          <w:rFonts w:ascii="Times New Roman" w:eastAsia="Times New Roman" w:hAnsi="Times New Roman" w:cs="Times New Roman"/>
          <w:color w:val="auto"/>
          <w:szCs w:val="24"/>
          <w:lang w:val="lv-LV" w:eastAsia="en-GB"/>
        </w:rPr>
        <w:t>i</w:t>
      </w:r>
      <w:r w:rsidRPr="00576895">
        <w:rPr>
          <w:rFonts w:ascii="Times New Roman" w:eastAsia="Times New Roman" w:hAnsi="Times New Roman" w:cs="Times New Roman"/>
          <w:color w:val="auto"/>
          <w:szCs w:val="24"/>
          <w:lang w:val="lv-LV" w:eastAsia="en-GB"/>
        </w:rPr>
        <w:t xml:space="preserve"> kā attiecīgās dalībvalsts resursi. </w:t>
      </w:r>
    </w:p>
    <w:p w:rsidR="00647FC0" w:rsidRPr="00576895" w:rsidRDefault="00647FC0" w:rsidP="00647FC0">
      <w:pPr>
        <w:numPr>
          <w:ilvl w:val="0"/>
          <w:numId w:val="15"/>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 xml:space="preserve">Attiecībā uz TP budžeta izmantošanu, līdz katra gada 31.maijam (2017. un 2019.gadā līdz 30.jūnijam) IB.SH dalībvalstīm </w:t>
      </w:r>
      <w:r w:rsidR="00D901B9" w:rsidRPr="00576895">
        <w:rPr>
          <w:rFonts w:ascii="Times New Roman" w:eastAsia="Times New Roman" w:hAnsi="Times New Roman" w:cs="Times New Roman"/>
          <w:color w:val="auto"/>
          <w:szCs w:val="24"/>
          <w:lang w:val="lv-LV" w:eastAsia="fr-FR"/>
        </w:rPr>
        <w:t>iesnie</w:t>
      </w:r>
      <w:r w:rsidR="00D901B9">
        <w:rPr>
          <w:rFonts w:ascii="Times New Roman" w:eastAsia="Times New Roman" w:hAnsi="Times New Roman" w:cs="Times New Roman"/>
          <w:color w:val="auto"/>
          <w:szCs w:val="24"/>
          <w:lang w:val="lv-LV" w:eastAsia="fr-FR"/>
        </w:rPr>
        <w:t>dz</w:t>
      </w:r>
      <w:r w:rsidR="00D901B9" w:rsidRPr="00576895">
        <w:rPr>
          <w:rFonts w:ascii="Times New Roman" w:eastAsia="Times New Roman" w:hAnsi="Times New Roman" w:cs="Times New Roman"/>
          <w:color w:val="auto"/>
          <w:szCs w:val="24"/>
          <w:lang w:val="lv-LV" w:eastAsia="fr-FR"/>
        </w:rPr>
        <w:t xml:space="preserve"> </w:t>
      </w:r>
      <w:r w:rsidRPr="00576895">
        <w:rPr>
          <w:rFonts w:ascii="Times New Roman" w:eastAsia="Times New Roman" w:hAnsi="Times New Roman" w:cs="Times New Roman"/>
          <w:color w:val="auto"/>
          <w:szCs w:val="24"/>
          <w:lang w:val="lv-LV" w:eastAsia="fr-FR"/>
        </w:rPr>
        <w:t>izdevumu pārskatu, kurā iekļauta informācija par kontā ģenerētajiem procentiem, un procentu ieņēmumu izmantošanu. Šis pārskats būs daļa no Programmas ieviešanas gada ziņojumiem – pirmo reizi tiks sagatavots 2016.gadā.</w:t>
      </w:r>
    </w:p>
    <w:p w:rsidR="00647FC0" w:rsidRPr="00576895" w:rsidRDefault="00647FC0" w:rsidP="00647FC0">
      <w:pPr>
        <w:numPr>
          <w:ilvl w:val="0"/>
          <w:numId w:val="15"/>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Gadījumā, ja tiek mainīts Programmas budžets, ir nepieciešams koriģēt arī attiecīgos nacionālos ieguldījumus TP budžetā. TP budžeta izmaiņām ir jābūt apstiprinātām UK.</w:t>
      </w:r>
    </w:p>
    <w:p w:rsidR="00647FC0" w:rsidRPr="00576895" w:rsidRDefault="00647FC0" w:rsidP="00647FC0">
      <w:pPr>
        <w:numPr>
          <w:ilvl w:val="0"/>
          <w:numId w:val="15"/>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en-GB"/>
        </w:rPr>
        <w:t xml:space="preserve">Izdevumi, kuri </w:t>
      </w:r>
      <w:r w:rsidRPr="00576895">
        <w:rPr>
          <w:rFonts w:ascii="Times New Roman" w:eastAsia="Times New Roman" w:hAnsi="Times New Roman" w:cs="Times New Roman"/>
          <w:color w:val="auto"/>
          <w:szCs w:val="24"/>
          <w:lang w:val="lv-LV" w:eastAsia="fr-FR"/>
        </w:rPr>
        <w:t xml:space="preserve">IB.SH radušies pēc 2023.gada 31.decembra saistībā ar nepieciešamo programmas slēgšanas dokumentu sagatavošanu, iesniegšanu un papildināšanu līdz Eiropas Komisijas noslēguma bilancei, iespēju robežās </w:t>
      </w:r>
      <w:r w:rsidR="00D901B9" w:rsidRPr="00576895">
        <w:rPr>
          <w:rFonts w:ascii="Times New Roman" w:eastAsia="Times New Roman" w:hAnsi="Times New Roman" w:cs="Times New Roman"/>
          <w:color w:val="auto"/>
          <w:szCs w:val="24"/>
          <w:lang w:val="lv-LV" w:eastAsia="fr-FR"/>
        </w:rPr>
        <w:t>ti</w:t>
      </w:r>
      <w:r w:rsidR="00D901B9">
        <w:rPr>
          <w:rFonts w:ascii="Times New Roman" w:eastAsia="Times New Roman" w:hAnsi="Times New Roman" w:cs="Times New Roman"/>
          <w:color w:val="auto"/>
          <w:szCs w:val="24"/>
          <w:lang w:val="lv-LV" w:eastAsia="fr-FR"/>
        </w:rPr>
        <w:t>ek</w:t>
      </w:r>
      <w:r w:rsidR="00D901B9" w:rsidRPr="00576895">
        <w:rPr>
          <w:rFonts w:ascii="Times New Roman" w:eastAsia="Times New Roman" w:hAnsi="Times New Roman" w:cs="Times New Roman"/>
          <w:color w:val="auto"/>
          <w:szCs w:val="24"/>
          <w:lang w:val="lv-LV" w:eastAsia="fr-FR"/>
        </w:rPr>
        <w:t xml:space="preserve"> </w:t>
      </w:r>
      <w:r w:rsidRPr="00576895">
        <w:rPr>
          <w:rFonts w:ascii="Times New Roman" w:eastAsia="Times New Roman" w:hAnsi="Times New Roman" w:cs="Times New Roman"/>
          <w:color w:val="auto"/>
          <w:szCs w:val="24"/>
          <w:lang w:val="lv-LV" w:eastAsia="fr-FR"/>
        </w:rPr>
        <w:t>segti no nākamās programmas TP budžeta.  Ja šādas programmas nav vai Programmas struktūra ir būtiski izmainīta un/vai nākamās programmas pārvaldību vei</w:t>
      </w:r>
      <w:r w:rsidR="00D901B9">
        <w:rPr>
          <w:rFonts w:ascii="Times New Roman" w:eastAsia="Times New Roman" w:hAnsi="Times New Roman" w:cs="Times New Roman"/>
          <w:color w:val="auto"/>
          <w:szCs w:val="24"/>
          <w:lang w:val="lv-LV" w:eastAsia="fr-FR"/>
        </w:rPr>
        <w:t>c</w:t>
      </w:r>
      <w:r w:rsidRPr="00576895">
        <w:rPr>
          <w:rFonts w:ascii="Times New Roman" w:eastAsia="Times New Roman" w:hAnsi="Times New Roman" w:cs="Times New Roman"/>
          <w:color w:val="auto"/>
          <w:szCs w:val="24"/>
          <w:lang w:val="lv-LV" w:eastAsia="fr-FR"/>
        </w:rPr>
        <w:t xml:space="preserve"> cita organizācija (nevis IB.SH), IB.SH ir tiesīga sastādīt budžetu attiecībā uz </w:t>
      </w:r>
      <w:r w:rsidRPr="00576895">
        <w:rPr>
          <w:rFonts w:ascii="Times New Roman" w:eastAsia="Times New Roman" w:hAnsi="Times New Roman" w:cs="Times New Roman"/>
          <w:color w:val="auto"/>
          <w:szCs w:val="24"/>
          <w:lang w:val="lv-LV" w:eastAsia="fr-FR"/>
        </w:rPr>
        <w:lastRenderedPageBreak/>
        <w:t>visām ar Programmas slēgšanu saistītajām darbībām, kuru finansēs dalībvalstis. Šis budžets dalībvalstīm ir iepriekš jāapstiprina.</w:t>
      </w:r>
    </w:p>
    <w:p w:rsidR="00647FC0" w:rsidRPr="00576895" w:rsidRDefault="00647FC0" w:rsidP="00647FC0">
      <w:pPr>
        <w:pStyle w:val="Heading2"/>
        <w:numPr>
          <w:ilvl w:val="0"/>
          <w:numId w:val="33"/>
        </w:numPr>
        <w:spacing w:before="400"/>
        <w:ind w:left="0" w:firstLine="62"/>
        <w:jc w:val="center"/>
        <w:rPr>
          <w:rFonts w:ascii="Times New Roman" w:hAnsi="Times New Roman" w:cs="Times New Roman"/>
          <w:color w:val="auto"/>
          <w:u w:val="single"/>
          <w:lang w:val="lv-LV" w:eastAsia="en-GB"/>
        </w:rPr>
      </w:pPr>
      <w:r w:rsidRPr="00576895">
        <w:rPr>
          <w:rFonts w:ascii="Times New Roman" w:hAnsi="Times New Roman" w:cs="Times New Roman"/>
          <w:color w:val="auto"/>
          <w:u w:val="single"/>
          <w:lang w:val="lv-LV" w:eastAsia="en-GB"/>
        </w:rPr>
        <w:t>Noteikumi par tehniskās palīdzības izdevumu atbilstību</w:t>
      </w:r>
    </w:p>
    <w:p w:rsidR="00647FC0" w:rsidRPr="00576895" w:rsidRDefault="00647FC0" w:rsidP="00647FC0">
      <w:pPr>
        <w:numPr>
          <w:ilvl w:val="0"/>
          <w:numId w:val="13"/>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 xml:space="preserve">Pamatojoties uz Regulas (ES) Nr. 1303/2013 59.pantu un Regulas (ES) Nr. 1299/2013 18(2).pantu, un parakstot šo </w:t>
      </w:r>
      <w:r w:rsidR="00995364">
        <w:rPr>
          <w:rFonts w:ascii="Times New Roman" w:eastAsia="Times New Roman" w:hAnsi="Times New Roman" w:cs="Times New Roman"/>
          <w:color w:val="auto"/>
          <w:szCs w:val="24"/>
          <w:lang w:val="lv-LV" w:eastAsia="fr-FR"/>
        </w:rPr>
        <w:t>Vienošanos</w:t>
      </w:r>
      <w:r w:rsidRPr="00576895">
        <w:rPr>
          <w:rFonts w:ascii="Times New Roman" w:eastAsia="Times New Roman" w:hAnsi="Times New Roman" w:cs="Times New Roman"/>
          <w:color w:val="auto"/>
          <w:szCs w:val="24"/>
          <w:lang w:val="lv-LV" w:eastAsia="fr-FR"/>
        </w:rPr>
        <w:t xml:space="preserve">, dalībvalstis nepārprotami piekrīt šādiem noteikumiem par TP izdevumi attiecināmību. Izdevumi ir attiecināmi saskaņā ar deleģētajiem aktiem, kuri pieņemti pamatojoties uz Regulas (ES) Nr. 1299/2013 18(1).punktu. </w:t>
      </w:r>
    </w:p>
    <w:p w:rsidR="00647FC0" w:rsidRPr="00576895" w:rsidRDefault="00647FC0" w:rsidP="00647FC0">
      <w:pPr>
        <w:numPr>
          <w:ilvl w:val="0"/>
          <w:numId w:val="13"/>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 xml:space="preserve">TP izdevumi </w:t>
      </w:r>
      <w:r w:rsidR="00D901B9" w:rsidRPr="00576895">
        <w:rPr>
          <w:rFonts w:ascii="Times New Roman" w:eastAsia="Times New Roman" w:hAnsi="Times New Roman" w:cs="Times New Roman"/>
          <w:color w:val="auto"/>
          <w:szCs w:val="24"/>
          <w:lang w:val="lv-LV" w:eastAsia="fr-FR"/>
        </w:rPr>
        <w:t>ti</w:t>
      </w:r>
      <w:r w:rsidR="00D901B9">
        <w:rPr>
          <w:rFonts w:ascii="Times New Roman" w:eastAsia="Times New Roman" w:hAnsi="Times New Roman" w:cs="Times New Roman"/>
          <w:color w:val="auto"/>
          <w:szCs w:val="24"/>
          <w:lang w:val="lv-LV" w:eastAsia="fr-FR"/>
        </w:rPr>
        <w:t>ek</w:t>
      </w:r>
      <w:r w:rsidR="00D901B9" w:rsidRPr="00576895">
        <w:rPr>
          <w:rFonts w:ascii="Times New Roman" w:eastAsia="Times New Roman" w:hAnsi="Times New Roman" w:cs="Times New Roman"/>
          <w:color w:val="auto"/>
          <w:szCs w:val="24"/>
          <w:lang w:val="lv-LV" w:eastAsia="fr-FR"/>
        </w:rPr>
        <w:t xml:space="preserve"> </w:t>
      </w:r>
      <w:r w:rsidRPr="00576895">
        <w:rPr>
          <w:rFonts w:ascii="Times New Roman" w:eastAsia="Times New Roman" w:hAnsi="Times New Roman" w:cs="Times New Roman"/>
          <w:color w:val="auto"/>
          <w:szCs w:val="24"/>
          <w:lang w:val="lv-LV" w:eastAsia="fr-FR"/>
        </w:rPr>
        <w:t xml:space="preserve">atlīdzināti, ja tie </w:t>
      </w:r>
      <w:r w:rsidR="00D901B9">
        <w:rPr>
          <w:rFonts w:ascii="Times New Roman" w:eastAsia="Times New Roman" w:hAnsi="Times New Roman" w:cs="Times New Roman"/>
          <w:color w:val="auto"/>
          <w:szCs w:val="24"/>
          <w:lang w:val="lv-LV" w:eastAsia="fr-FR"/>
        </w:rPr>
        <w:t>ir</w:t>
      </w:r>
      <w:r w:rsidR="00D901B9" w:rsidRPr="00576895">
        <w:rPr>
          <w:rFonts w:ascii="Times New Roman" w:eastAsia="Times New Roman" w:hAnsi="Times New Roman" w:cs="Times New Roman"/>
          <w:color w:val="auto"/>
          <w:szCs w:val="24"/>
          <w:lang w:val="lv-LV" w:eastAsia="fr-FR"/>
        </w:rPr>
        <w:t xml:space="preserve"> </w:t>
      </w:r>
      <w:r w:rsidRPr="00576895">
        <w:rPr>
          <w:rFonts w:ascii="Times New Roman" w:eastAsia="Times New Roman" w:hAnsi="Times New Roman" w:cs="Times New Roman"/>
          <w:color w:val="auto"/>
          <w:szCs w:val="24"/>
          <w:lang w:val="lv-LV" w:eastAsia="fr-FR"/>
        </w:rPr>
        <w:t xml:space="preserve">radušies un </w:t>
      </w:r>
      <w:r w:rsidR="00D901B9">
        <w:rPr>
          <w:rFonts w:ascii="Times New Roman" w:eastAsia="Times New Roman" w:hAnsi="Times New Roman" w:cs="Times New Roman"/>
          <w:color w:val="auto"/>
          <w:szCs w:val="24"/>
          <w:lang w:val="lv-LV" w:eastAsia="fr-FR"/>
        </w:rPr>
        <w:t>ir</w:t>
      </w:r>
      <w:r w:rsidR="00D901B9" w:rsidRPr="00576895">
        <w:rPr>
          <w:rFonts w:ascii="Times New Roman" w:eastAsia="Times New Roman" w:hAnsi="Times New Roman" w:cs="Times New Roman"/>
          <w:color w:val="auto"/>
          <w:szCs w:val="24"/>
          <w:lang w:val="lv-LV" w:eastAsia="fr-FR"/>
        </w:rPr>
        <w:t xml:space="preserve"> </w:t>
      </w:r>
      <w:r w:rsidRPr="00576895">
        <w:rPr>
          <w:rFonts w:ascii="Times New Roman" w:eastAsia="Times New Roman" w:hAnsi="Times New Roman" w:cs="Times New Roman"/>
          <w:color w:val="auto"/>
          <w:szCs w:val="24"/>
          <w:lang w:val="lv-LV" w:eastAsia="fr-FR"/>
        </w:rPr>
        <w:t xml:space="preserve">apmaksāti Programmas attiecināmības periodā no 2014.gada 1.janvāra līdz 2023.gada 31.decembrim. </w:t>
      </w:r>
    </w:p>
    <w:p w:rsidR="00647FC0" w:rsidRPr="00576895" w:rsidRDefault="00647FC0" w:rsidP="00647FC0">
      <w:pPr>
        <w:numPr>
          <w:ilvl w:val="0"/>
          <w:numId w:val="13"/>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Saskaņā ar finanšu pārvaldības principiem, no TP budžeta var tikt finansēti ar Programmas pārvaldību saistīti izdevumi, kuri atbilst šādām izmaksu kategorijām:</w:t>
      </w:r>
    </w:p>
    <w:p w:rsidR="00647FC0" w:rsidRPr="00576895" w:rsidRDefault="00647FC0" w:rsidP="00647FC0">
      <w:pPr>
        <w:numPr>
          <w:ilvl w:val="1"/>
          <w:numId w:val="11"/>
        </w:numPr>
        <w:autoSpaceDE/>
        <w:autoSpaceDN/>
        <w:adjustRightInd/>
        <w:spacing w:before="60" w:after="120" w:line="260" w:lineRule="atLeast"/>
        <w:ind w:left="993" w:hanging="357"/>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en-GB"/>
        </w:rPr>
        <w:t>personāla izmaksas</w:t>
      </w:r>
    </w:p>
    <w:p w:rsidR="00647FC0" w:rsidRPr="00576895" w:rsidRDefault="00647FC0" w:rsidP="00647FC0">
      <w:pPr>
        <w:numPr>
          <w:ilvl w:val="1"/>
          <w:numId w:val="29"/>
        </w:numPr>
        <w:autoSpaceDE/>
        <w:autoSpaceDN/>
        <w:adjustRightInd/>
        <w:spacing w:after="120" w:line="260" w:lineRule="atLeast"/>
        <w:ind w:left="1276" w:hanging="283"/>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en-GB"/>
        </w:rPr>
        <w:t>algu izmaksas</w:t>
      </w:r>
    </w:p>
    <w:p w:rsidR="00647FC0" w:rsidRPr="00576895" w:rsidRDefault="00647FC0" w:rsidP="00647FC0">
      <w:pPr>
        <w:numPr>
          <w:ilvl w:val="1"/>
          <w:numId w:val="29"/>
        </w:numPr>
        <w:autoSpaceDE/>
        <w:autoSpaceDN/>
        <w:adjustRightInd/>
        <w:spacing w:after="120" w:line="260" w:lineRule="atLeast"/>
        <w:ind w:left="1276" w:hanging="283"/>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sociālo nodokļu izmaksas</w:t>
      </w:r>
    </w:p>
    <w:p w:rsidR="00647FC0" w:rsidRPr="00576895" w:rsidRDefault="00647FC0" w:rsidP="00647FC0">
      <w:pPr>
        <w:numPr>
          <w:ilvl w:val="1"/>
          <w:numId w:val="29"/>
        </w:numPr>
        <w:autoSpaceDE/>
        <w:autoSpaceDN/>
        <w:adjustRightInd/>
        <w:spacing w:after="120" w:line="260" w:lineRule="atLeast"/>
        <w:ind w:left="1276" w:hanging="283"/>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en-GB"/>
        </w:rPr>
        <w:t>pārvietošanās izmaksu dotācijas, ārkārtēji, dotācijas pienācīgām nomas maksām</w:t>
      </w:r>
      <w:r w:rsidRPr="00576895">
        <w:rPr>
          <w:rFonts w:ascii="Times New Roman" w:eastAsia="Times New Roman" w:hAnsi="Times New Roman" w:cs="Times New Roman"/>
          <w:color w:val="auto"/>
          <w:szCs w:val="24"/>
          <w:lang w:val="lv-LV" w:eastAsia="fr-FR"/>
        </w:rPr>
        <w:t>,</w:t>
      </w:r>
    </w:p>
    <w:p w:rsidR="00647FC0" w:rsidRPr="00576895" w:rsidRDefault="00647FC0" w:rsidP="00647FC0">
      <w:pPr>
        <w:numPr>
          <w:ilvl w:val="1"/>
          <w:numId w:val="29"/>
        </w:numPr>
        <w:autoSpaceDE/>
        <w:autoSpaceDN/>
        <w:adjustRightInd/>
        <w:spacing w:after="120" w:line="260" w:lineRule="atLeast"/>
        <w:ind w:left="1276" w:hanging="283"/>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en-GB"/>
        </w:rPr>
        <w:t>individuālo apmācību un kvalifikācijas celšanas pasākumu izmaksas</w:t>
      </w:r>
      <w:r w:rsidRPr="00576895">
        <w:rPr>
          <w:rFonts w:ascii="Times New Roman" w:eastAsia="Times New Roman" w:hAnsi="Times New Roman" w:cs="Times New Roman"/>
          <w:color w:val="auto"/>
          <w:szCs w:val="24"/>
          <w:lang w:val="lv-LV" w:eastAsia="fr-FR"/>
        </w:rPr>
        <w:t>,</w:t>
      </w:r>
    </w:p>
    <w:p w:rsidR="00647FC0" w:rsidRPr="00576895" w:rsidRDefault="00647FC0" w:rsidP="00647FC0">
      <w:pPr>
        <w:numPr>
          <w:ilvl w:val="1"/>
          <w:numId w:val="29"/>
        </w:numPr>
        <w:autoSpaceDE/>
        <w:autoSpaceDN/>
        <w:adjustRightInd/>
        <w:spacing w:after="120" w:line="260" w:lineRule="atLeast"/>
        <w:ind w:left="1276" w:hanging="283"/>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en-GB"/>
        </w:rPr>
        <w:t>ikdienas standarta maksājumi</w:t>
      </w:r>
      <w:r w:rsidRPr="00576895">
        <w:rPr>
          <w:rFonts w:ascii="Times New Roman" w:eastAsia="Times New Roman" w:hAnsi="Times New Roman" w:cs="Times New Roman"/>
          <w:color w:val="auto"/>
          <w:szCs w:val="24"/>
          <w:lang w:val="lv-LV" w:eastAsia="fr-FR"/>
        </w:rPr>
        <w:t xml:space="preserve"> un pabalsti saskaņā ar IB.SH vai VRAA iekšējiem noteikumiem un procedūrām (piem., kapitāla veidošanas ietaupījumu maksājumi; papildus slimības pabalstiem veiktie maksājami; </w:t>
      </w:r>
      <w:r w:rsidR="00451C72" w:rsidRPr="00451C72">
        <w:rPr>
          <w:rFonts w:ascii="Times New Roman" w:eastAsia="Times New Roman" w:hAnsi="Times New Roman" w:cs="Times New Roman"/>
          <w:color w:val="auto"/>
          <w:szCs w:val="24"/>
          <w:lang w:val="lv-LV" w:eastAsia="fr-FR"/>
        </w:rPr>
        <w:t>kopsummas</w:t>
      </w:r>
      <w:r w:rsidRPr="00451C72">
        <w:rPr>
          <w:rFonts w:ascii="Times New Roman" w:eastAsia="Times New Roman" w:hAnsi="Times New Roman" w:cs="Times New Roman"/>
          <w:color w:val="auto"/>
          <w:szCs w:val="24"/>
          <w:lang w:val="lv-LV" w:eastAsia="fr-FR"/>
        </w:rPr>
        <w:t xml:space="preserve"> maksājums jubilejās, tādās kā desmit darba gadu jubileja, kāzas un bērna dzimšana),</w:t>
      </w:r>
    </w:p>
    <w:p w:rsidR="00647FC0" w:rsidRPr="00576895" w:rsidRDefault="00647FC0" w:rsidP="00647FC0">
      <w:pPr>
        <w:numPr>
          <w:ilvl w:val="1"/>
          <w:numId w:val="11"/>
        </w:numPr>
        <w:autoSpaceDE/>
        <w:autoSpaceDN/>
        <w:adjustRightInd/>
        <w:spacing w:before="60" w:after="120" w:line="260" w:lineRule="atLeast"/>
        <w:ind w:left="993" w:hanging="357"/>
        <w:jc w:val="both"/>
        <w:rPr>
          <w:rFonts w:ascii="Times New Roman" w:eastAsia="Times New Roman" w:hAnsi="Times New Roman" w:cs="Times New Roman"/>
          <w:b/>
          <w:color w:val="auto"/>
          <w:szCs w:val="24"/>
          <w:lang w:val="lv-LV" w:eastAsia="fr-FR"/>
        </w:rPr>
      </w:pPr>
      <w:r w:rsidRPr="00576895">
        <w:rPr>
          <w:rFonts w:ascii="Times New Roman" w:eastAsia="Times New Roman" w:hAnsi="Times New Roman" w:cs="Times New Roman"/>
          <w:color w:val="auto"/>
          <w:szCs w:val="24"/>
          <w:lang w:val="lv-LV" w:eastAsia="en-GB"/>
        </w:rPr>
        <w:t>materiālizmaksas</w:t>
      </w:r>
      <w:r w:rsidRPr="00576895">
        <w:rPr>
          <w:rFonts w:ascii="Times New Roman" w:eastAsia="Times New Roman" w:hAnsi="Times New Roman" w:cs="Times New Roman"/>
          <w:color w:val="auto"/>
          <w:szCs w:val="24"/>
          <w:lang w:val="lv-LV" w:eastAsia="fr-FR"/>
        </w:rPr>
        <w:t xml:space="preserve"> (piem., biroja ikdienas izmaksas, sakaru izmaksas, komandējumu izmaksas, ar datoru sistēmām un datu bāzēm saistītās izmaksas, noma, marketinga un pasākumu izmaksas, ārpakalpojumu izmaksas (piem., novērtējumu, apmācību un audita izdevumi)),</w:t>
      </w:r>
    </w:p>
    <w:p w:rsidR="00647FC0" w:rsidRPr="00576895" w:rsidRDefault="00647FC0" w:rsidP="00647FC0">
      <w:pPr>
        <w:numPr>
          <w:ilvl w:val="1"/>
          <w:numId w:val="11"/>
        </w:numPr>
        <w:autoSpaceDE/>
        <w:autoSpaceDN/>
        <w:adjustRightInd/>
        <w:spacing w:before="60" w:after="120" w:line="260" w:lineRule="atLeast"/>
        <w:ind w:left="993" w:hanging="357"/>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administratīvie pakalpojumi (tiešie izdevumi par Programmas ieviešanas pakalpojumiem, kurus nodrošinājuši citi IB.SH un VRAA departamenti, kuri nav VI un KS personāls, piemēram, kontroles departaments, juridiskais departaments, grāmatvedība, personāla vadības departaments, utt. vai trešās personas),</w:t>
      </w:r>
    </w:p>
    <w:p w:rsidR="00647FC0" w:rsidRPr="00576895" w:rsidRDefault="00647FC0" w:rsidP="00647FC0">
      <w:pPr>
        <w:numPr>
          <w:ilvl w:val="1"/>
          <w:numId w:val="11"/>
        </w:numPr>
        <w:autoSpaceDE/>
        <w:autoSpaceDN/>
        <w:adjustRightInd/>
        <w:spacing w:before="60" w:after="120" w:line="260" w:lineRule="atLeast"/>
        <w:ind w:left="993" w:hanging="357"/>
        <w:jc w:val="both"/>
        <w:rPr>
          <w:rFonts w:ascii="Times New Roman" w:eastAsia="Times New Roman" w:hAnsi="Times New Roman" w:cs="Times New Roman"/>
          <w:b/>
          <w:color w:val="auto"/>
          <w:szCs w:val="24"/>
          <w:lang w:val="lv-LV" w:eastAsia="fr-FR"/>
        </w:rPr>
      </w:pPr>
      <w:r w:rsidRPr="00576895">
        <w:rPr>
          <w:rFonts w:ascii="Times New Roman" w:eastAsia="Times New Roman" w:hAnsi="Times New Roman" w:cs="Times New Roman"/>
          <w:color w:val="auto"/>
          <w:szCs w:val="24"/>
          <w:lang w:val="lv-LV" w:eastAsia="fr-FR"/>
        </w:rPr>
        <w:t>papildu izdevumi, tādi kā netiešās administratīvās izmaksas, kuras nevar būt tieši ziņotas attiecībā uz Programmu, bet ir balstītas uz faktiskām uz Programmas ieviešanu attiecināmām izmaksām un Programmai ir piešķirtas proporcionāli saskaņā ar savlaicīgi pamatotu skaidru un objektīvu metodi.</w:t>
      </w:r>
    </w:p>
    <w:p w:rsidR="00647FC0" w:rsidRPr="00576895" w:rsidRDefault="00647FC0" w:rsidP="00647FC0">
      <w:pPr>
        <w:numPr>
          <w:ilvl w:val="0"/>
          <w:numId w:val="13"/>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fr-FR"/>
        </w:rPr>
        <w:t xml:space="preserve">Augstāk minētie noteikumi </w:t>
      </w:r>
      <w:r w:rsidR="00D901B9" w:rsidRPr="00576895">
        <w:rPr>
          <w:rFonts w:ascii="Times New Roman" w:eastAsia="Times New Roman" w:hAnsi="Times New Roman" w:cs="Times New Roman"/>
          <w:color w:val="auto"/>
          <w:szCs w:val="24"/>
          <w:lang w:val="lv-LV" w:eastAsia="fr-FR"/>
        </w:rPr>
        <w:t>ti</w:t>
      </w:r>
      <w:r w:rsidR="00D901B9">
        <w:rPr>
          <w:rFonts w:ascii="Times New Roman" w:eastAsia="Times New Roman" w:hAnsi="Times New Roman" w:cs="Times New Roman"/>
          <w:color w:val="auto"/>
          <w:szCs w:val="24"/>
          <w:lang w:val="lv-LV" w:eastAsia="fr-FR"/>
        </w:rPr>
        <w:t>ek</w:t>
      </w:r>
      <w:r w:rsidR="00D901B9" w:rsidRPr="00576895">
        <w:rPr>
          <w:rFonts w:ascii="Times New Roman" w:eastAsia="Times New Roman" w:hAnsi="Times New Roman" w:cs="Times New Roman"/>
          <w:color w:val="auto"/>
          <w:szCs w:val="24"/>
          <w:lang w:val="lv-LV" w:eastAsia="fr-FR"/>
        </w:rPr>
        <w:t xml:space="preserve"> </w:t>
      </w:r>
      <w:r w:rsidRPr="00576895">
        <w:rPr>
          <w:rFonts w:ascii="Times New Roman" w:eastAsia="Times New Roman" w:hAnsi="Times New Roman" w:cs="Times New Roman"/>
          <w:color w:val="auto"/>
          <w:szCs w:val="24"/>
          <w:lang w:val="lv-LV" w:eastAsia="fr-FR"/>
        </w:rPr>
        <w:t>piemēroti Revīzijas iestādes izmaksām daļēji segtām no TP budžeta (attiecīgi šī</w:t>
      </w:r>
      <w:r w:rsidR="00995364">
        <w:rPr>
          <w:rFonts w:ascii="Times New Roman" w:eastAsia="Times New Roman" w:hAnsi="Times New Roman" w:cs="Times New Roman"/>
          <w:color w:val="auto"/>
          <w:szCs w:val="24"/>
          <w:lang w:val="lv-LV" w:eastAsia="fr-FR"/>
        </w:rPr>
        <w:t>s Vienošanās</w:t>
      </w:r>
      <w:r w:rsidRPr="00576895">
        <w:rPr>
          <w:rFonts w:ascii="Times New Roman" w:eastAsia="Times New Roman" w:hAnsi="Times New Roman" w:cs="Times New Roman"/>
          <w:color w:val="auto"/>
          <w:szCs w:val="24"/>
          <w:lang w:val="lv-LV" w:eastAsia="fr-FR"/>
        </w:rPr>
        <w:t xml:space="preserve"> 2.6(f).punkts) saskaņā ar UK lēmumiem.</w:t>
      </w:r>
    </w:p>
    <w:p w:rsidR="00647FC0" w:rsidRPr="00576895" w:rsidRDefault="00FF039A" w:rsidP="00647FC0">
      <w:pPr>
        <w:pStyle w:val="Heading1"/>
        <w:spacing w:before="600" w:after="0"/>
        <w:ind w:left="357" w:hanging="357"/>
        <w:jc w:val="center"/>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4.pan</w:t>
      </w:r>
      <w:r w:rsidR="00647FC0" w:rsidRPr="00576895">
        <w:rPr>
          <w:rFonts w:ascii="Times New Roman" w:hAnsi="Times New Roman" w:cs="Times New Roman"/>
          <w:color w:val="auto"/>
          <w:sz w:val="24"/>
          <w:szCs w:val="24"/>
          <w:lang w:val="lv-LV"/>
        </w:rPr>
        <w:t>ts: Uz galvenajām ieviešanas procedūrām attiecināmā kārtība</w:t>
      </w:r>
    </w:p>
    <w:p w:rsidR="00647FC0" w:rsidRPr="00576895" w:rsidRDefault="00647FC0" w:rsidP="00647FC0">
      <w:pPr>
        <w:pStyle w:val="Heading2"/>
        <w:numPr>
          <w:ilvl w:val="0"/>
          <w:numId w:val="34"/>
        </w:numPr>
        <w:spacing w:before="240"/>
        <w:ind w:left="141" w:hanging="79"/>
        <w:jc w:val="center"/>
        <w:rPr>
          <w:rFonts w:ascii="Times New Roman" w:hAnsi="Times New Roman" w:cs="Times New Roman"/>
          <w:color w:val="auto"/>
          <w:u w:val="single"/>
          <w:lang w:val="lv-LV" w:eastAsia="en-GB"/>
        </w:rPr>
      </w:pPr>
      <w:r w:rsidRPr="00576895">
        <w:rPr>
          <w:rFonts w:ascii="Times New Roman" w:hAnsi="Times New Roman" w:cs="Times New Roman"/>
          <w:color w:val="auto"/>
          <w:u w:val="single"/>
          <w:lang w:val="lv-LV" w:eastAsia="en-GB"/>
        </w:rPr>
        <w:t>Projekta izvērtēšanas, apstiprināšanas un līguma slēgšanas process</w:t>
      </w:r>
    </w:p>
    <w:p w:rsidR="00647FC0" w:rsidRPr="00576895" w:rsidRDefault="00647FC0" w:rsidP="00647FC0">
      <w:pPr>
        <w:numPr>
          <w:ilvl w:val="0"/>
          <w:numId w:val="14"/>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fr-FR"/>
        </w:rPr>
        <w:lastRenderedPageBreak/>
        <w:t xml:space="preserve">Projekta pieteikumus var iesniegt pēc izsludinātā projektu konkursa. Detalizēta informācija par pieteikuma, izvērtēšanas un atlases procedūru tiks iekļauta Programmas vadlīnijās. </w:t>
      </w:r>
    </w:p>
    <w:p w:rsidR="00647FC0" w:rsidRPr="00576895" w:rsidRDefault="00647FC0" w:rsidP="00647FC0">
      <w:pPr>
        <w:numPr>
          <w:ilvl w:val="0"/>
          <w:numId w:val="14"/>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en-US"/>
        </w:rPr>
        <w:t xml:space="preserve">KS organizē un garantē visu pieteikumu objektīvu izvērtēšanu, pamatojoties uz UK apstiprinātiem atbilstības un kvalitātes kritērijiem.  </w:t>
      </w:r>
    </w:p>
    <w:p w:rsidR="00647FC0" w:rsidRPr="00576895" w:rsidRDefault="00647FC0" w:rsidP="00647FC0">
      <w:pPr>
        <w:numPr>
          <w:ilvl w:val="0"/>
          <w:numId w:val="14"/>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en-US"/>
        </w:rPr>
        <w:t>Iesniegtie pieteikumi būs pieejami UK biedriem, tostarp, izvērtējuma rezultāti un piedāvājums projektu atlasei.</w:t>
      </w:r>
    </w:p>
    <w:p w:rsidR="00647FC0" w:rsidRPr="00576895" w:rsidRDefault="00647FC0" w:rsidP="00647FC0">
      <w:pPr>
        <w:numPr>
          <w:ilvl w:val="0"/>
          <w:numId w:val="14"/>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Pirms projektu apstiprināšanas UK, dalībvalstis veiks potenciālo finansējuma saņēmēju atbilstības un  juridiskā statusa pārbaudi, kā arī nepieciešamības gadījumā, veiks katras dalībvalsts teritorijā esošo finansējuma saņēmēju apstiprināšanu nacionālā līmenī.</w:t>
      </w:r>
    </w:p>
    <w:p w:rsidR="00647FC0" w:rsidRPr="00576895" w:rsidRDefault="00647FC0" w:rsidP="00647FC0">
      <w:pPr>
        <w:numPr>
          <w:ilvl w:val="0"/>
          <w:numId w:val="14"/>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en-US"/>
        </w:rPr>
        <w:t xml:space="preserve">UK atlasīs projektus saskaņā ar Regulas (ES) Nr. 1299/2013 12(1).pantu, ņemot vērā stratēģisko nozīmi un darbību kvalitāti. Detalizēti lēmumu pieņemšanas nosacījumi būs noteikti UK reglamentā. </w:t>
      </w:r>
    </w:p>
    <w:p w:rsidR="00647FC0" w:rsidRPr="00576895" w:rsidRDefault="00647FC0" w:rsidP="00647FC0">
      <w:pPr>
        <w:numPr>
          <w:ilvl w:val="0"/>
          <w:numId w:val="14"/>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en-US"/>
        </w:rPr>
        <w:t xml:space="preserve">Par UK veiktā atlases procesa iznākumu VI/KS informēs projektu vadošos partnerus, informējot par iemesliem, kādēļ pieteikums nebija piemērots vai netika apstiprināts. </w:t>
      </w:r>
    </w:p>
    <w:p w:rsidR="00647FC0" w:rsidRPr="00105C12" w:rsidRDefault="00647FC0" w:rsidP="00647FC0">
      <w:pPr>
        <w:numPr>
          <w:ilvl w:val="0"/>
          <w:numId w:val="14"/>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Pēc UK veiktās pieteikumu atlases finansējuma piešķiršanai, VI un apstiprinātā projekta vadošais partneris noslē</w:t>
      </w:r>
      <w:r w:rsidR="00D901B9">
        <w:rPr>
          <w:rFonts w:ascii="Times New Roman" w:eastAsia="Times New Roman" w:hAnsi="Times New Roman" w:cs="Times New Roman"/>
          <w:color w:val="auto"/>
          <w:szCs w:val="24"/>
          <w:lang w:val="lv-LV" w:eastAsia="fr-FR"/>
        </w:rPr>
        <w:t>dz</w:t>
      </w:r>
      <w:r w:rsidRPr="00576895">
        <w:rPr>
          <w:rFonts w:ascii="Times New Roman" w:eastAsia="Times New Roman" w:hAnsi="Times New Roman" w:cs="Times New Roman"/>
          <w:color w:val="auto"/>
          <w:szCs w:val="24"/>
          <w:lang w:val="lv-LV" w:eastAsia="fr-FR"/>
        </w:rPr>
        <w:t xml:space="preserve"> Finansēšanas līgumu. Pirms līguma noslēgšanas uz Regulas (ES) Nr. 1299/2013 12(5).pantu balstītais līguma projekts ti</w:t>
      </w:r>
      <w:r w:rsidR="00D901B9">
        <w:rPr>
          <w:rFonts w:ascii="Times New Roman" w:eastAsia="Times New Roman" w:hAnsi="Times New Roman" w:cs="Times New Roman"/>
          <w:color w:val="auto"/>
          <w:szCs w:val="24"/>
          <w:lang w:val="lv-LV" w:eastAsia="fr-FR"/>
        </w:rPr>
        <w:t>ek</w:t>
      </w:r>
      <w:r w:rsidRPr="00576895">
        <w:rPr>
          <w:rFonts w:ascii="Times New Roman" w:eastAsia="Times New Roman" w:hAnsi="Times New Roman" w:cs="Times New Roman"/>
          <w:color w:val="auto"/>
          <w:szCs w:val="24"/>
          <w:lang w:val="lv-LV" w:eastAsia="fr-FR"/>
        </w:rPr>
        <w:t xml:space="preserve"> iesniegts UK vai UK darba grupai. Finansēšanas līgumu parakst</w:t>
      </w:r>
      <w:r w:rsidR="00D901B9">
        <w:rPr>
          <w:rFonts w:ascii="Times New Roman" w:eastAsia="Times New Roman" w:hAnsi="Times New Roman" w:cs="Times New Roman"/>
          <w:color w:val="auto"/>
          <w:szCs w:val="24"/>
          <w:lang w:val="lv-LV" w:eastAsia="fr-FR"/>
        </w:rPr>
        <w:t>a</w:t>
      </w:r>
      <w:r w:rsidRPr="00576895">
        <w:rPr>
          <w:rFonts w:ascii="Times New Roman" w:eastAsia="Times New Roman" w:hAnsi="Times New Roman" w:cs="Times New Roman"/>
          <w:color w:val="auto"/>
          <w:szCs w:val="24"/>
          <w:lang w:val="lv-LV" w:eastAsia="fr-FR"/>
        </w:rPr>
        <w:t xml:space="preserve"> VI vai tās vārdā p IB.SH nodarbināti KS darbinieki. Darbībām paredzētie līdzekļi ti</w:t>
      </w:r>
      <w:r w:rsidR="00D901B9">
        <w:rPr>
          <w:rFonts w:ascii="Times New Roman" w:eastAsia="Times New Roman" w:hAnsi="Times New Roman" w:cs="Times New Roman"/>
          <w:color w:val="auto"/>
          <w:szCs w:val="24"/>
          <w:lang w:val="lv-LV" w:eastAsia="fr-FR"/>
        </w:rPr>
        <w:t>ek</w:t>
      </w:r>
      <w:r w:rsidRPr="00576895">
        <w:rPr>
          <w:rFonts w:ascii="Times New Roman" w:eastAsia="Times New Roman" w:hAnsi="Times New Roman" w:cs="Times New Roman"/>
          <w:color w:val="auto"/>
          <w:szCs w:val="24"/>
          <w:lang w:val="lv-LV" w:eastAsia="fr-FR"/>
        </w:rPr>
        <w:t xml:space="preserve"> piešķirti tikai euro (€) valūtā.</w:t>
      </w:r>
    </w:p>
    <w:p w:rsidR="00647FC0" w:rsidRPr="00576895" w:rsidRDefault="00647FC0" w:rsidP="00647FC0">
      <w:pPr>
        <w:pStyle w:val="Heading2"/>
        <w:numPr>
          <w:ilvl w:val="0"/>
          <w:numId w:val="34"/>
        </w:numPr>
        <w:spacing w:before="400"/>
        <w:ind w:left="0" w:firstLine="62"/>
        <w:jc w:val="center"/>
        <w:rPr>
          <w:rFonts w:ascii="Times New Roman" w:hAnsi="Times New Roman" w:cs="Times New Roman"/>
          <w:color w:val="auto"/>
          <w:u w:val="single"/>
          <w:lang w:val="lv-LV" w:eastAsia="en-GB"/>
        </w:rPr>
      </w:pPr>
      <w:r w:rsidRPr="00576895">
        <w:rPr>
          <w:rFonts w:ascii="Times New Roman" w:hAnsi="Times New Roman" w:cs="Times New Roman"/>
          <w:color w:val="auto"/>
          <w:u w:val="single"/>
          <w:lang w:val="lv-LV" w:eastAsia="en-GB"/>
        </w:rPr>
        <w:t>Programmas konti un maksājumu procedūra</w:t>
      </w:r>
    </w:p>
    <w:p w:rsidR="00647FC0" w:rsidRPr="00576895" w:rsidRDefault="00647FC0" w:rsidP="00647FC0">
      <w:pPr>
        <w:numPr>
          <w:ilvl w:val="0"/>
          <w:numId w:val="16"/>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Tiklīdz Eiropas Komisija būs apstiprinājusi Programmu, VI izveidos atsevišķus kontus katram finansējuma avotam (ERAF, EKI, Norvēģija, un Krievija</w:t>
      </w:r>
      <w:r w:rsidRPr="00576895">
        <w:rPr>
          <w:rFonts w:ascii="Times New Roman" w:eastAsia="Times New Roman" w:hAnsi="Times New Roman" w:cs="Times New Roman"/>
          <w:color w:val="auto"/>
          <w:szCs w:val="24"/>
          <w:vertAlign w:val="superscript"/>
          <w:lang w:val="lv-LV" w:eastAsia="fr-FR"/>
        </w:rPr>
        <w:footnoteReference w:id="4"/>
      </w:r>
      <w:r w:rsidRPr="00576895">
        <w:rPr>
          <w:rFonts w:ascii="Times New Roman" w:eastAsia="Times New Roman" w:hAnsi="Times New Roman" w:cs="Times New Roman"/>
          <w:color w:val="auto"/>
          <w:szCs w:val="24"/>
          <w:lang w:val="lv-LV" w:eastAsia="fr-FR"/>
        </w:rPr>
        <w:t>, ja tiek piemērots) un nacionālajiem ieguldījumiem TP (attiecīgi, šī</w:t>
      </w:r>
      <w:r w:rsidR="00995364">
        <w:rPr>
          <w:rFonts w:ascii="Times New Roman" w:eastAsia="Times New Roman" w:hAnsi="Times New Roman" w:cs="Times New Roman"/>
          <w:color w:val="auto"/>
          <w:szCs w:val="24"/>
          <w:lang w:val="lv-LV" w:eastAsia="fr-FR"/>
        </w:rPr>
        <w:t>s Vienošanās</w:t>
      </w:r>
      <w:r w:rsidRPr="00576895">
        <w:rPr>
          <w:rFonts w:ascii="Times New Roman" w:eastAsia="Times New Roman" w:hAnsi="Times New Roman" w:cs="Times New Roman"/>
          <w:color w:val="auto"/>
          <w:szCs w:val="24"/>
          <w:lang w:val="lv-LV" w:eastAsia="fr-FR"/>
        </w:rPr>
        <w:t xml:space="preserve"> 3.1.punkts).</w:t>
      </w:r>
    </w:p>
    <w:p w:rsidR="00647FC0" w:rsidRPr="00576895" w:rsidRDefault="00647FC0" w:rsidP="00647FC0">
      <w:pPr>
        <w:numPr>
          <w:ilvl w:val="0"/>
          <w:numId w:val="16"/>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 xml:space="preserve">IB.SH jebkādus uzkrātos </w:t>
      </w:r>
      <w:r w:rsidRPr="00451C72">
        <w:rPr>
          <w:rFonts w:ascii="Times New Roman" w:eastAsia="Times New Roman" w:hAnsi="Times New Roman" w:cs="Times New Roman"/>
          <w:color w:val="auto"/>
          <w:szCs w:val="24"/>
          <w:lang w:val="lv-LV" w:eastAsia="fr-FR"/>
        </w:rPr>
        <w:t>procentus nosūtīs</w:t>
      </w:r>
      <w:r w:rsidRPr="00576895">
        <w:rPr>
          <w:rFonts w:ascii="Times New Roman" w:eastAsia="Times New Roman" w:hAnsi="Times New Roman" w:cs="Times New Roman"/>
          <w:color w:val="auto"/>
          <w:szCs w:val="24"/>
          <w:lang w:val="lv-LV" w:eastAsia="fr-FR"/>
        </w:rPr>
        <w:t xml:space="preserve"> uz attiecīgo kontu. </w:t>
      </w:r>
    </w:p>
    <w:p w:rsidR="00647FC0" w:rsidRPr="00576895" w:rsidRDefault="00647FC0" w:rsidP="00647FC0">
      <w:pPr>
        <w:numPr>
          <w:ilvl w:val="1"/>
          <w:numId w:val="11"/>
        </w:numPr>
        <w:autoSpaceDE/>
        <w:autoSpaceDN/>
        <w:adjustRightInd/>
        <w:spacing w:before="60" w:after="120" w:line="260" w:lineRule="atLeast"/>
        <w:ind w:left="993" w:right="197" w:hanging="357"/>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u w:val="single"/>
          <w:lang w:val="lv-LV" w:eastAsia="fr-FR"/>
        </w:rPr>
        <w:t>ERAF</w:t>
      </w:r>
      <w:r w:rsidRPr="00576895">
        <w:rPr>
          <w:rFonts w:ascii="Times New Roman" w:eastAsia="Times New Roman" w:hAnsi="Times New Roman" w:cs="Times New Roman"/>
          <w:color w:val="auto"/>
          <w:szCs w:val="24"/>
          <w:lang w:val="lv-LV" w:eastAsia="fr-FR"/>
        </w:rPr>
        <w:t xml:space="preserve"> un </w:t>
      </w:r>
      <w:r w:rsidRPr="00576895">
        <w:rPr>
          <w:rFonts w:ascii="Times New Roman" w:eastAsia="Times New Roman" w:hAnsi="Times New Roman" w:cs="Times New Roman"/>
          <w:color w:val="auto"/>
          <w:szCs w:val="24"/>
          <w:u w:val="single"/>
          <w:lang w:val="lv-LV" w:eastAsia="fr-FR"/>
        </w:rPr>
        <w:t>EKI</w:t>
      </w:r>
      <w:r w:rsidRPr="00576895">
        <w:rPr>
          <w:rFonts w:ascii="Times New Roman" w:eastAsia="Times New Roman" w:hAnsi="Times New Roman" w:cs="Times New Roman"/>
          <w:color w:val="auto"/>
          <w:szCs w:val="24"/>
          <w:lang w:val="lv-LV" w:eastAsia="fr-FR"/>
        </w:rPr>
        <w:t xml:space="preserve"> kontā ģenerētie procenti tiek uzskatīti par Programmas resursiem. UK ir jāpieņem lēmums par procentu ieņēmumu izmantošanu Programmas labā. </w:t>
      </w:r>
    </w:p>
    <w:p w:rsidR="00647FC0" w:rsidRPr="00576895" w:rsidRDefault="00647FC0" w:rsidP="00647FC0">
      <w:pPr>
        <w:numPr>
          <w:ilvl w:val="1"/>
          <w:numId w:val="11"/>
        </w:numPr>
        <w:autoSpaceDE/>
        <w:autoSpaceDN/>
        <w:adjustRightInd/>
        <w:spacing w:before="60" w:after="120" w:line="260" w:lineRule="atLeast"/>
        <w:ind w:left="993" w:right="197" w:hanging="357"/>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u w:val="single"/>
          <w:lang w:val="lv-LV" w:eastAsia="fr-FR"/>
        </w:rPr>
        <w:t>Norvēģijas</w:t>
      </w:r>
      <w:r w:rsidRPr="00576895">
        <w:rPr>
          <w:rFonts w:ascii="Times New Roman" w:eastAsia="Times New Roman" w:hAnsi="Times New Roman" w:cs="Times New Roman"/>
          <w:color w:val="auto"/>
          <w:szCs w:val="24"/>
          <w:lang w:val="lv-LV" w:eastAsia="fr-FR"/>
        </w:rPr>
        <w:t xml:space="preserve"> kontā ģenerētie procenti tiek uzskatīti tikai un vienīgi par Norvēģijas līdzekļiem. </w:t>
      </w:r>
    </w:p>
    <w:p w:rsidR="00647FC0" w:rsidRPr="00576895" w:rsidRDefault="00647FC0" w:rsidP="00647FC0">
      <w:pPr>
        <w:numPr>
          <w:ilvl w:val="1"/>
          <w:numId w:val="11"/>
        </w:numPr>
        <w:autoSpaceDE/>
        <w:autoSpaceDN/>
        <w:adjustRightInd/>
        <w:spacing w:before="60" w:after="120" w:line="260" w:lineRule="atLeast"/>
        <w:ind w:left="993" w:right="197" w:hanging="357"/>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u w:val="single"/>
          <w:lang w:val="lv-LV" w:eastAsia="fr-FR"/>
        </w:rPr>
        <w:t>Krievijas</w:t>
      </w:r>
      <w:r w:rsidRPr="00576895">
        <w:rPr>
          <w:rFonts w:ascii="Times New Roman" w:eastAsia="Times New Roman" w:hAnsi="Times New Roman" w:cs="Times New Roman"/>
          <w:color w:val="auto"/>
          <w:szCs w:val="24"/>
          <w:lang w:val="lv-LV" w:eastAsia="fr-FR"/>
        </w:rPr>
        <w:t xml:space="preserve"> kontā ģenerētie procenti tiek uzskatīti tikai un vienīgi par Krievijas līdzekļiem.</w:t>
      </w:r>
    </w:p>
    <w:p w:rsidR="00647FC0" w:rsidRPr="00576895" w:rsidRDefault="00647FC0" w:rsidP="00647FC0">
      <w:pPr>
        <w:numPr>
          <w:ilvl w:val="0"/>
          <w:numId w:val="16"/>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fr-FR"/>
        </w:rPr>
        <w:t xml:space="preserve">Pārsvarā gadījumu tiek piemērots atlīdzības  princips. Tas nozīmē, ka Programmas līdzfinansējums projektiem tiks izmaksāts tikai pēc tam, kad VI/KS būs apstiprinājis sertificēta projekta maksājuma pieprasījumu, ar nosacījumu, ja Eiropas Komisija ir nodrošinājusi līdzekļu pieejamību un, Norvēģijas vai Krievijas partneru dalības gadījumā – līdzekļu pieejamību ir nodrošinājusi Norvēģijas Karaliste vai Krievijas Federācija. </w:t>
      </w:r>
      <w:r w:rsidRPr="00576895">
        <w:rPr>
          <w:rFonts w:ascii="Times New Roman" w:eastAsia="Times New Roman" w:hAnsi="Times New Roman" w:cs="Times New Roman"/>
          <w:color w:val="auto"/>
          <w:szCs w:val="24"/>
          <w:lang w:val="lv-LV" w:eastAsia="en-US"/>
        </w:rPr>
        <w:t xml:space="preserve"> </w:t>
      </w:r>
    </w:p>
    <w:p w:rsidR="00647FC0" w:rsidRPr="00576895" w:rsidRDefault="00647FC0" w:rsidP="00647FC0">
      <w:pPr>
        <w:numPr>
          <w:ilvl w:val="0"/>
          <w:numId w:val="16"/>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en-GB"/>
        </w:rPr>
        <w:t xml:space="preserve">VI ir atbildīga par maksājumu saņemšanu no Eiropas Komisijas, Norvēģijas un Krievijas gadījumā, ja šī valsts piedalās, un maksājumu veikšanu vadošajiem finansējuma saņēmējiem (vadošajiem partneriem).  Katrs darbības (projekta) vadošais partneris ir ir atbildīgs par subsīdiju, </w:t>
      </w:r>
      <w:r w:rsidRPr="00576895">
        <w:rPr>
          <w:rFonts w:ascii="Times New Roman" w:eastAsia="Times New Roman" w:hAnsi="Times New Roman" w:cs="Times New Roman"/>
          <w:color w:val="auto"/>
          <w:szCs w:val="24"/>
          <w:lang w:val="lv-LV" w:eastAsia="en-GB"/>
        </w:rPr>
        <w:lastRenderedPageBreak/>
        <w:t xml:space="preserve">kuras saņemtas no VI, piešķiršanu attiecīgā projekta finansējuma saņēmējiem (projekta partneriem). </w:t>
      </w:r>
    </w:p>
    <w:p w:rsidR="00647FC0" w:rsidRPr="00576895" w:rsidRDefault="00647FC0" w:rsidP="00647FC0">
      <w:pPr>
        <w:pStyle w:val="Heading2"/>
        <w:numPr>
          <w:ilvl w:val="0"/>
          <w:numId w:val="34"/>
        </w:numPr>
        <w:spacing w:before="400"/>
        <w:ind w:left="0" w:firstLine="62"/>
        <w:jc w:val="center"/>
        <w:rPr>
          <w:rFonts w:ascii="Times New Roman" w:hAnsi="Times New Roman" w:cs="Times New Roman"/>
          <w:color w:val="auto"/>
          <w:u w:val="single"/>
          <w:lang w:val="lv-LV" w:eastAsia="en-GB"/>
        </w:rPr>
      </w:pPr>
      <w:r w:rsidRPr="00576895">
        <w:rPr>
          <w:rFonts w:ascii="Times New Roman" w:hAnsi="Times New Roman" w:cs="Times New Roman"/>
          <w:color w:val="auto"/>
          <w:u w:val="single"/>
          <w:lang w:val="lv-LV" w:eastAsia="en-GB"/>
        </w:rPr>
        <w:t>Uzraudzība</w:t>
      </w:r>
    </w:p>
    <w:p w:rsidR="00647FC0" w:rsidRPr="00576895" w:rsidRDefault="00647FC0" w:rsidP="00647FC0">
      <w:pPr>
        <w:numPr>
          <w:ilvl w:val="0"/>
          <w:numId w:val="17"/>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en-US"/>
        </w:rPr>
        <w:t xml:space="preserve">Saskaņā ar Regulas (ES) Nr. 1303/2013 122(3).panta noteikumiem tiks izveidotas datorizētas sistēmas. Šīs sistēmas nodrošinās informācijas apmaiņas procesu starp vadošajiem projektu partneriem un VI/KS, kā arī daļēji ar Revīzijas iestādi, pirmā līmeņa kontrolieriem un revidentu grupu. Sistēmas veicinās sadarbspēju un ļaus vadošajiem projektu partneriem  kodēt visu ar maksājumu pieprasījumiem saistīto informāciju. </w:t>
      </w:r>
    </w:p>
    <w:p w:rsidR="00647FC0" w:rsidRPr="00576895" w:rsidRDefault="00647FC0" w:rsidP="00647FC0">
      <w:pPr>
        <w:numPr>
          <w:ilvl w:val="0"/>
          <w:numId w:val="17"/>
        </w:numPr>
        <w:autoSpaceDE/>
        <w:autoSpaceDN/>
        <w:adjustRightInd/>
        <w:spacing w:before="180" w:after="120" w:line="260" w:lineRule="atLeast"/>
        <w:ind w:left="284" w:hanging="284"/>
        <w:jc w:val="both"/>
        <w:rPr>
          <w:rFonts w:ascii="Times New Roman" w:eastAsia="Times New Roman" w:hAnsi="Times New Roman" w:cs="Times New Roman"/>
          <w:szCs w:val="24"/>
          <w:lang w:val="lv-LV" w:eastAsia="en-US"/>
        </w:rPr>
      </w:pPr>
      <w:r w:rsidRPr="00576895">
        <w:rPr>
          <w:rFonts w:ascii="Times New Roman" w:eastAsia="Times New Roman" w:hAnsi="Times New Roman" w:cs="Times New Roman"/>
          <w:color w:val="auto"/>
          <w:szCs w:val="24"/>
          <w:lang w:val="lv-LV" w:eastAsia="en-US"/>
        </w:rPr>
        <w:t>Iepriekšējās programmas kontekstā tika izveidota labi funkcionējoša datorizēta projekta uzraudzības sistēma un tā tiks pielāgota Programmai. Jauna uzraudzības sistēma tiks izveidota 2015./2016.gadā un šī sistēma sāks darbu līdz pirmā projektu konkursa brīdim (2.etaps).</w:t>
      </w:r>
      <w:r w:rsidRPr="00576895">
        <w:rPr>
          <w:rFonts w:ascii="Times New Roman" w:eastAsia="Times New Roman" w:hAnsi="Times New Roman" w:cs="Times New Roman"/>
          <w:szCs w:val="24"/>
          <w:lang w:val="lv-LV" w:eastAsia="en-US"/>
        </w:rPr>
        <w:br w:type="page"/>
      </w:r>
    </w:p>
    <w:p w:rsidR="00647FC0" w:rsidRPr="00576895" w:rsidRDefault="00647FC0" w:rsidP="00647FC0">
      <w:pPr>
        <w:pStyle w:val="Heading2"/>
        <w:numPr>
          <w:ilvl w:val="0"/>
          <w:numId w:val="34"/>
        </w:numPr>
        <w:spacing w:before="400"/>
        <w:ind w:left="0" w:firstLine="62"/>
        <w:jc w:val="center"/>
        <w:rPr>
          <w:rFonts w:ascii="Times New Roman" w:hAnsi="Times New Roman" w:cs="Times New Roman"/>
          <w:color w:val="auto"/>
          <w:u w:val="single"/>
          <w:lang w:val="lv-LV" w:eastAsia="en-GB"/>
        </w:rPr>
      </w:pPr>
      <w:r w:rsidRPr="00576895">
        <w:rPr>
          <w:rFonts w:ascii="Times New Roman" w:hAnsi="Times New Roman" w:cs="Times New Roman"/>
          <w:color w:val="auto"/>
          <w:u w:val="single"/>
          <w:lang w:val="lv-LV" w:eastAsia="en-GB"/>
        </w:rPr>
        <w:lastRenderedPageBreak/>
        <w:t>Sūdzību risināšana</w:t>
      </w:r>
    </w:p>
    <w:p w:rsidR="00647FC0" w:rsidRPr="00576895" w:rsidRDefault="00647FC0" w:rsidP="00647FC0">
      <w:pPr>
        <w:numPr>
          <w:ilvl w:val="0"/>
          <w:numId w:val="18"/>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Pieteikumu iesniedzēji un finansējuma saņēmēji var iesniegt sūdzības un VI/KS izskat</w:t>
      </w:r>
      <w:r w:rsidR="00D901B9">
        <w:rPr>
          <w:rFonts w:ascii="Times New Roman" w:eastAsia="Times New Roman" w:hAnsi="Times New Roman" w:cs="Times New Roman"/>
          <w:color w:val="auto"/>
          <w:szCs w:val="24"/>
          <w:lang w:val="lv-LV" w:eastAsia="en-GB"/>
        </w:rPr>
        <w:t>a</w:t>
      </w:r>
      <w:r w:rsidRPr="00576895">
        <w:rPr>
          <w:rFonts w:ascii="Times New Roman" w:eastAsia="Times New Roman" w:hAnsi="Times New Roman" w:cs="Times New Roman"/>
          <w:color w:val="auto"/>
          <w:szCs w:val="24"/>
          <w:lang w:val="lv-LV" w:eastAsia="en-GB"/>
        </w:rPr>
        <w:t xml:space="preserve"> šīs sūdzības un snie</w:t>
      </w:r>
      <w:r w:rsidR="00D901B9">
        <w:rPr>
          <w:rFonts w:ascii="Times New Roman" w:eastAsia="Times New Roman" w:hAnsi="Times New Roman" w:cs="Times New Roman"/>
          <w:color w:val="auto"/>
          <w:szCs w:val="24"/>
          <w:lang w:val="lv-LV" w:eastAsia="en-GB"/>
        </w:rPr>
        <w:t>dz</w:t>
      </w:r>
      <w:r w:rsidRPr="00576895">
        <w:rPr>
          <w:rFonts w:ascii="Times New Roman" w:eastAsia="Times New Roman" w:hAnsi="Times New Roman" w:cs="Times New Roman"/>
          <w:color w:val="auto"/>
          <w:szCs w:val="24"/>
          <w:lang w:val="lv-LV" w:eastAsia="en-GB"/>
        </w:rPr>
        <w:t xml:space="preserve"> atbildi. Nepieciešamības gadījumā, sūdzības ti</w:t>
      </w:r>
      <w:r w:rsidR="00D901B9">
        <w:rPr>
          <w:rFonts w:ascii="Times New Roman" w:eastAsia="Times New Roman" w:hAnsi="Times New Roman" w:cs="Times New Roman"/>
          <w:color w:val="auto"/>
          <w:szCs w:val="24"/>
          <w:lang w:val="lv-LV" w:eastAsia="en-GB"/>
        </w:rPr>
        <w:t>ek</w:t>
      </w:r>
      <w:r w:rsidRPr="00576895">
        <w:rPr>
          <w:rFonts w:ascii="Times New Roman" w:eastAsia="Times New Roman" w:hAnsi="Times New Roman" w:cs="Times New Roman"/>
          <w:color w:val="auto"/>
          <w:szCs w:val="24"/>
          <w:lang w:val="lv-LV" w:eastAsia="en-GB"/>
        </w:rPr>
        <w:t xml:space="preserve"> izskatītas un atbilde ti</w:t>
      </w:r>
      <w:r w:rsidR="00D901B9">
        <w:rPr>
          <w:rFonts w:ascii="Times New Roman" w:eastAsia="Times New Roman" w:hAnsi="Times New Roman" w:cs="Times New Roman"/>
          <w:color w:val="auto"/>
          <w:szCs w:val="24"/>
          <w:lang w:val="lv-LV" w:eastAsia="en-GB"/>
        </w:rPr>
        <w:t>ek</w:t>
      </w:r>
      <w:r w:rsidRPr="00576895">
        <w:rPr>
          <w:rFonts w:ascii="Times New Roman" w:eastAsia="Times New Roman" w:hAnsi="Times New Roman" w:cs="Times New Roman"/>
          <w:color w:val="auto"/>
          <w:szCs w:val="24"/>
          <w:lang w:val="lv-LV" w:eastAsia="en-GB"/>
        </w:rPr>
        <w:t xml:space="preserve"> sniegta, konsultējoties ar UK vadītāju un VI/KS. UK vadītājs var pieņemt lēmumu par sūdzības nosūtīšanu UK galīgā lēmuma pieņemšanai. Tāpat, sūdzību izvērtēšanas nolūkos, UK var izveidot darba grupu vai speciālu komisiju. UK regulāri tiks iesniegts pārskats par UK vadītāja un VI/KS izskatītajām un atbildētajām sūdzībām. </w:t>
      </w:r>
    </w:p>
    <w:p w:rsidR="00647FC0" w:rsidRPr="00576895" w:rsidRDefault="00647FC0" w:rsidP="00647FC0">
      <w:pPr>
        <w:numPr>
          <w:ilvl w:val="0"/>
          <w:numId w:val="18"/>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en-US"/>
        </w:rPr>
        <w:t xml:space="preserve">Termins „sūdzība” Programmas terminoloģijā attiecas uz projekta izvērtēšanas procesu un pareizību, tādējādi ietekmējot lēmumu par finansēšanu, uz revīziju un kontroli, kā arī projekta ieviešanu un uzraudzību. </w:t>
      </w:r>
    </w:p>
    <w:p w:rsidR="00647FC0" w:rsidRPr="00576895" w:rsidRDefault="00647FC0" w:rsidP="00647FC0">
      <w:pPr>
        <w:numPr>
          <w:ilvl w:val="0"/>
          <w:numId w:val="18"/>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en-US"/>
        </w:rPr>
        <w:t xml:space="preserve">Sūdzības ir jāadresē atbildīgai iestādei vai administrācijai, ievērojot noteiktu hierarhiju atkarībā no pārvaldības un kontroles sistēmas struktūras. Detalizēts sūdzību procedūru apraksts </w:t>
      </w:r>
      <w:r w:rsidR="00D901B9">
        <w:rPr>
          <w:rFonts w:ascii="Times New Roman" w:eastAsia="Times New Roman" w:hAnsi="Times New Roman" w:cs="Times New Roman"/>
          <w:color w:val="auto"/>
          <w:szCs w:val="24"/>
          <w:lang w:val="lv-LV" w:eastAsia="en-US"/>
        </w:rPr>
        <w:t xml:space="preserve">ir </w:t>
      </w:r>
      <w:r w:rsidRPr="00576895">
        <w:rPr>
          <w:rFonts w:ascii="Times New Roman" w:eastAsia="Times New Roman" w:hAnsi="Times New Roman" w:cs="Times New Roman"/>
          <w:color w:val="auto"/>
          <w:szCs w:val="24"/>
          <w:lang w:val="lv-LV" w:eastAsia="en-US"/>
        </w:rPr>
        <w:t>nodrošināts Programmas vadlīnijās.</w:t>
      </w:r>
    </w:p>
    <w:p w:rsidR="00647FC0" w:rsidRPr="00576895" w:rsidRDefault="00FF039A" w:rsidP="00647FC0">
      <w:pPr>
        <w:pStyle w:val="Heading1"/>
        <w:spacing w:before="600" w:after="0"/>
        <w:ind w:left="357" w:hanging="357"/>
        <w:jc w:val="center"/>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5.pan</w:t>
      </w:r>
      <w:r w:rsidR="00647FC0" w:rsidRPr="00576895">
        <w:rPr>
          <w:rFonts w:ascii="Times New Roman" w:hAnsi="Times New Roman" w:cs="Times New Roman"/>
          <w:color w:val="auto"/>
          <w:sz w:val="24"/>
          <w:szCs w:val="24"/>
          <w:lang w:val="lv-LV"/>
        </w:rPr>
        <w:t xml:space="preserve">ts: Vienošanās ieviešanas problēmu gadījumā </w:t>
      </w:r>
    </w:p>
    <w:p w:rsidR="00647FC0" w:rsidRPr="00576895" w:rsidRDefault="00647FC0" w:rsidP="00647FC0">
      <w:pPr>
        <w:pStyle w:val="Heading2"/>
        <w:numPr>
          <w:ilvl w:val="0"/>
          <w:numId w:val="35"/>
        </w:numPr>
        <w:spacing w:before="240"/>
        <w:ind w:left="141" w:hanging="79"/>
        <w:jc w:val="center"/>
        <w:rPr>
          <w:rFonts w:ascii="Times New Roman" w:hAnsi="Times New Roman" w:cs="Times New Roman"/>
          <w:color w:val="auto"/>
          <w:u w:val="single"/>
          <w:lang w:val="lv-LV" w:eastAsia="en-GB"/>
        </w:rPr>
      </w:pPr>
      <w:r w:rsidRPr="00576895">
        <w:rPr>
          <w:rFonts w:ascii="Times New Roman" w:hAnsi="Times New Roman" w:cs="Times New Roman"/>
          <w:color w:val="auto"/>
          <w:u w:val="single"/>
          <w:lang w:val="lv-LV" w:eastAsia="en-GB"/>
        </w:rPr>
        <w:t>Vispārīga informācija</w:t>
      </w:r>
    </w:p>
    <w:p w:rsidR="00647FC0" w:rsidRPr="00576895" w:rsidRDefault="00647FC0" w:rsidP="00647FC0">
      <w:pPr>
        <w:numPr>
          <w:ilvl w:val="0"/>
          <w:numId w:val="21"/>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Ieviešanas problēmu gadījumā, saistīto dalībvalsti/dalībvalstis par šīm problēmām informē VI/KS. Dalībvalsts/dalībvalstis konkrētu gadījumu noskaidrošanā snie</w:t>
      </w:r>
      <w:r w:rsidR="00D901B9">
        <w:rPr>
          <w:rFonts w:ascii="Times New Roman" w:eastAsia="Times New Roman" w:hAnsi="Times New Roman" w:cs="Times New Roman"/>
          <w:color w:val="auto"/>
          <w:szCs w:val="24"/>
          <w:lang w:val="lv-LV" w:eastAsia="en-GB"/>
        </w:rPr>
        <w:t>dz</w:t>
      </w:r>
      <w:r w:rsidRPr="00576895">
        <w:rPr>
          <w:rFonts w:ascii="Times New Roman" w:eastAsia="Times New Roman" w:hAnsi="Times New Roman" w:cs="Times New Roman"/>
          <w:color w:val="auto"/>
          <w:szCs w:val="24"/>
          <w:lang w:val="lv-LV" w:eastAsia="en-GB"/>
        </w:rPr>
        <w:t xml:space="preserve"> atbalstu VI/KS un palīdz novērst un izbeigt potenciālās Programmai, vadošajam partnerim vai projekta partnerim piemērotās sankcijas. Sankcijas var piemērot Eiropas Komisija, Revīzijas iestāde vai VI/KS, kā arī pēc otrā līmeņa revizoru pieprasījuma. </w:t>
      </w:r>
    </w:p>
    <w:p w:rsidR="00647FC0" w:rsidRPr="00576895" w:rsidRDefault="00647FC0" w:rsidP="00647FC0">
      <w:pPr>
        <w:numPr>
          <w:ilvl w:val="0"/>
          <w:numId w:val="21"/>
        </w:numPr>
        <w:autoSpaceDE/>
        <w:autoSpaceDN/>
        <w:adjustRightInd/>
        <w:spacing w:before="180" w:after="120" w:line="260" w:lineRule="atLeast"/>
        <w:ind w:left="284" w:hanging="284"/>
        <w:jc w:val="both"/>
        <w:rPr>
          <w:rFonts w:ascii="Times New Roman" w:eastAsia="Times New Roman" w:hAnsi="Times New Roman" w:cs="Times New Roman"/>
          <w:color w:val="auto"/>
          <w:szCs w:val="24"/>
          <w:u w:val="single"/>
          <w:lang w:val="lv-LV" w:eastAsia="en-GB"/>
        </w:rPr>
      </w:pPr>
      <w:r w:rsidRPr="00576895">
        <w:rPr>
          <w:rFonts w:ascii="Times New Roman" w:eastAsia="Times New Roman" w:hAnsi="Times New Roman" w:cs="Times New Roman"/>
          <w:color w:val="auto"/>
          <w:szCs w:val="24"/>
          <w:lang w:val="lv-LV" w:eastAsia="en-GB"/>
        </w:rPr>
        <w:t>Atbalsts nodrošinās nacionālu atbildību un saistīto uzdevumu izpildi, tostarp, nodrošinot papildus cilvēkresursus par revīziju un kontroli atbildīgās valsts iestādēs un citās saistītās valsts institūcijās.</w:t>
      </w:r>
    </w:p>
    <w:p w:rsidR="00647FC0" w:rsidRPr="00576895" w:rsidRDefault="00647FC0" w:rsidP="00647FC0">
      <w:pPr>
        <w:pStyle w:val="Heading2"/>
        <w:numPr>
          <w:ilvl w:val="0"/>
          <w:numId w:val="35"/>
        </w:numPr>
        <w:spacing w:before="400"/>
        <w:ind w:left="0" w:firstLine="62"/>
        <w:jc w:val="center"/>
        <w:rPr>
          <w:rFonts w:ascii="Times New Roman" w:hAnsi="Times New Roman" w:cs="Times New Roman"/>
          <w:color w:val="auto"/>
          <w:u w:val="single"/>
          <w:lang w:val="lv-LV" w:eastAsia="en-GB"/>
        </w:rPr>
      </w:pPr>
      <w:r w:rsidRPr="00576895">
        <w:rPr>
          <w:rFonts w:ascii="Times New Roman" w:hAnsi="Times New Roman" w:cs="Times New Roman"/>
          <w:color w:val="auto"/>
          <w:u w:val="single"/>
          <w:lang w:val="lv-LV" w:eastAsia="en-GB"/>
        </w:rPr>
        <w:t>Maksājumu pārtraukšana/apturēšana</w:t>
      </w:r>
    </w:p>
    <w:p w:rsidR="00647FC0" w:rsidRPr="00576895" w:rsidRDefault="00647FC0" w:rsidP="00647FC0">
      <w:pPr>
        <w:numPr>
          <w:ilvl w:val="0"/>
          <w:numId w:val="19"/>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US"/>
        </w:rPr>
        <w:t>Gadījumā, ja maksājumu pārtraukšanu/apturēšanu Programmas līmenī ir ierosinājusi Eiropas Komisija, tiek ietekmēta Programmas vispārējā likviditāte. VI/KS pieliks visas pūles, lai noskaidrotu šo jautājumu ar Eiropas Komisiju un atsāktu maksājumu veikšanu</w:t>
      </w:r>
      <w:r w:rsidRPr="00576895">
        <w:rPr>
          <w:rFonts w:ascii="Times New Roman" w:eastAsia="Times New Roman" w:hAnsi="Times New Roman" w:cs="Times New Roman"/>
          <w:color w:val="auto"/>
          <w:szCs w:val="24"/>
          <w:lang w:val="lv-LV" w:eastAsia="en-GB"/>
        </w:rPr>
        <w:t>.</w:t>
      </w:r>
    </w:p>
    <w:p w:rsidR="00647FC0" w:rsidRPr="00576895" w:rsidRDefault="00647FC0" w:rsidP="00647FC0">
      <w:pPr>
        <w:numPr>
          <w:ilvl w:val="0"/>
          <w:numId w:val="19"/>
        </w:numPr>
        <w:autoSpaceDE/>
        <w:autoSpaceDN/>
        <w:adjustRightInd/>
        <w:spacing w:before="180" w:after="120" w:line="260" w:lineRule="atLeast"/>
        <w:ind w:left="284" w:hanging="284"/>
        <w:jc w:val="both"/>
        <w:rPr>
          <w:rFonts w:ascii="Times New Roman" w:eastAsia="Times New Roman" w:hAnsi="Times New Roman" w:cs="Times New Roman"/>
          <w:szCs w:val="24"/>
          <w:lang w:val="lv-LV" w:eastAsia="en-GB"/>
        </w:rPr>
      </w:pPr>
      <w:r w:rsidRPr="00576895">
        <w:rPr>
          <w:rFonts w:ascii="Times New Roman" w:eastAsia="Times New Roman" w:hAnsi="Times New Roman" w:cs="Times New Roman"/>
          <w:color w:val="auto"/>
          <w:szCs w:val="24"/>
          <w:lang w:val="lv-LV" w:eastAsia="en-GB"/>
        </w:rPr>
        <w:t xml:space="preserve">Projekta līmenī maksājumu pārtraukšanu/apturēšanu ierosinās tieši VI/KS, ja vadošais partneris un/vai projekta partneris nespēs izpildīt Finansēšanas līgumā noteiktās saistības vai būs aizdomas par neatbilstībām vai citām nepilnībām, kuras varētu ietekmēt Programmas budžetu. Tiklīdz jautājums ar saistīto projektu tiks noskaidrots, VI/KS atcels maksājumu apturēšanu vai ierosinās attiecīgu bilances vai atmaksas procedūru. Detalizēta informācija tiks norādīta Finansēšanas līgumā/Programmas vadlīnijās. </w:t>
      </w:r>
      <w:r w:rsidRPr="00576895">
        <w:rPr>
          <w:rFonts w:ascii="Times New Roman" w:eastAsia="Times New Roman" w:hAnsi="Times New Roman" w:cs="Times New Roman"/>
          <w:szCs w:val="24"/>
          <w:lang w:val="lv-LV" w:eastAsia="en-GB"/>
        </w:rPr>
        <w:br w:type="page"/>
      </w:r>
    </w:p>
    <w:p w:rsidR="00647FC0" w:rsidRPr="00576895" w:rsidRDefault="00647FC0" w:rsidP="00647FC0">
      <w:pPr>
        <w:pStyle w:val="Heading2"/>
        <w:numPr>
          <w:ilvl w:val="0"/>
          <w:numId w:val="35"/>
        </w:numPr>
        <w:spacing w:before="400"/>
        <w:ind w:left="0" w:firstLine="62"/>
        <w:jc w:val="center"/>
        <w:rPr>
          <w:rFonts w:ascii="Times New Roman" w:hAnsi="Times New Roman" w:cs="Times New Roman"/>
          <w:color w:val="auto"/>
          <w:u w:val="single"/>
          <w:lang w:val="lv-LV" w:eastAsia="en-GB"/>
        </w:rPr>
      </w:pPr>
      <w:r w:rsidRPr="00576895">
        <w:rPr>
          <w:rFonts w:ascii="Times New Roman" w:hAnsi="Times New Roman" w:cs="Times New Roman"/>
          <w:color w:val="auto"/>
          <w:u w:val="single"/>
          <w:lang w:val="lv-LV" w:eastAsia="en-GB"/>
        </w:rPr>
        <w:lastRenderedPageBreak/>
        <w:t xml:space="preserve">Projektu attiecībā uz kuriem ir ierosināti tiesas vai citi procesi </w:t>
      </w:r>
    </w:p>
    <w:p w:rsidR="00647FC0" w:rsidRPr="00576895" w:rsidRDefault="00647FC0" w:rsidP="00647FC0">
      <w:pPr>
        <w:numPr>
          <w:ilvl w:val="0"/>
          <w:numId w:val="20"/>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 xml:space="preserve">Gadījumā, ja attiecībā uz projektiem (vadošajiem partneriem vai projekta partneriem)  </w:t>
      </w:r>
      <w:r w:rsidRPr="00576895">
        <w:rPr>
          <w:rFonts w:ascii="Times New Roman" w:eastAsia="Times New Roman" w:hAnsi="Times New Roman" w:cs="Times New Roman"/>
          <w:color w:val="auto"/>
          <w:szCs w:val="24"/>
          <w:lang w:val="lv-LV" w:eastAsia="en-US"/>
        </w:rPr>
        <w:t>tiek ierosināti tiesas vai citi procesi, ti</w:t>
      </w:r>
      <w:r w:rsidR="00D901B9">
        <w:rPr>
          <w:rFonts w:ascii="Times New Roman" w:eastAsia="Times New Roman" w:hAnsi="Times New Roman" w:cs="Times New Roman"/>
          <w:color w:val="auto"/>
          <w:szCs w:val="24"/>
          <w:lang w:val="lv-LV" w:eastAsia="en-US"/>
        </w:rPr>
        <w:t>ek</w:t>
      </w:r>
      <w:r w:rsidRPr="00576895">
        <w:rPr>
          <w:rFonts w:ascii="Times New Roman" w:eastAsia="Times New Roman" w:hAnsi="Times New Roman" w:cs="Times New Roman"/>
          <w:color w:val="auto"/>
          <w:szCs w:val="24"/>
          <w:lang w:val="lv-LV" w:eastAsia="en-US"/>
        </w:rPr>
        <w:t xml:space="preserve"> piemērota tāda pati VI/KS un UK informēšanas procedūra, kāda tā ir noteikta attiecībā uz neatbilstībām (attiecīgi šī</w:t>
      </w:r>
      <w:r w:rsidR="00995364">
        <w:rPr>
          <w:rFonts w:ascii="Times New Roman" w:eastAsia="Times New Roman" w:hAnsi="Times New Roman" w:cs="Times New Roman"/>
          <w:color w:val="auto"/>
          <w:szCs w:val="24"/>
          <w:lang w:val="lv-LV" w:eastAsia="en-US"/>
        </w:rPr>
        <w:t xml:space="preserve">s Vienošanās </w:t>
      </w:r>
      <w:r w:rsidRPr="00576895">
        <w:rPr>
          <w:rFonts w:ascii="Times New Roman" w:eastAsia="Times New Roman" w:hAnsi="Times New Roman" w:cs="Times New Roman"/>
          <w:color w:val="auto"/>
          <w:szCs w:val="24"/>
          <w:lang w:val="lv-LV" w:eastAsia="en-US"/>
        </w:rPr>
        <w:t>5.5.punkts) un finanšu korekcijām, sniedzot skaidrojumu un, nepieciešamības gadījumā, veicot arī zaudējumu atlīdzināšanas procedūru.</w:t>
      </w:r>
      <w:r w:rsidRPr="00576895">
        <w:rPr>
          <w:rFonts w:ascii="Times New Roman" w:eastAsia="Times New Roman" w:hAnsi="Times New Roman" w:cs="Times New Roman"/>
          <w:color w:val="auto"/>
          <w:szCs w:val="24"/>
          <w:lang w:val="lv-LV" w:eastAsia="en-GB"/>
        </w:rPr>
        <w:t xml:space="preserve"> Tas ietver vienādu atbildības nosacījumu piemērošanu attiecībā uz projekta partnera dalībvalstīm. Detalizēta informācija tiks norādīta Programmas vadlīnijās/Finansēšanas līgumā.</w:t>
      </w:r>
    </w:p>
    <w:p w:rsidR="00647FC0" w:rsidRPr="00576895" w:rsidRDefault="00647FC0" w:rsidP="00647FC0">
      <w:pPr>
        <w:numPr>
          <w:ilvl w:val="0"/>
          <w:numId w:val="20"/>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Papildus zaudējumu atlīdzināšanas procedūrai, (daļēja) Finansēšanas līguma izbeigšana ir izvēle lietas uzsākšanai. Pirms minētās opcijas izmantošanas saskaņā ar Finansēšanas līguma noteikumiem, VI šo gadījumu dar</w:t>
      </w:r>
      <w:r w:rsidR="00D901B9">
        <w:rPr>
          <w:rFonts w:ascii="Times New Roman" w:eastAsia="Times New Roman" w:hAnsi="Times New Roman" w:cs="Times New Roman"/>
          <w:color w:val="auto"/>
          <w:szCs w:val="24"/>
          <w:lang w:val="lv-LV" w:eastAsia="en-GB"/>
        </w:rPr>
        <w:t>a</w:t>
      </w:r>
      <w:r w:rsidRPr="00576895">
        <w:rPr>
          <w:rFonts w:ascii="Times New Roman" w:eastAsia="Times New Roman" w:hAnsi="Times New Roman" w:cs="Times New Roman"/>
          <w:color w:val="auto"/>
          <w:szCs w:val="24"/>
          <w:lang w:val="lv-LV" w:eastAsia="en-GB"/>
        </w:rPr>
        <w:t xml:space="preserve"> zināmu UK un </w:t>
      </w:r>
      <w:r w:rsidR="00D901B9" w:rsidRPr="00576895">
        <w:rPr>
          <w:rFonts w:ascii="Times New Roman" w:eastAsia="Times New Roman" w:hAnsi="Times New Roman" w:cs="Times New Roman"/>
          <w:color w:val="auto"/>
          <w:szCs w:val="24"/>
          <w:lang w:val="lv-LV" w:eastAsia="en-GB"/>
        </w:rPr>
        <w:t>ti</w:t>
      </w:r>
      <w:r w:rsidR="00D901B9">
        <w:rPr>
          <w:rFonts w:ascii="Times New Roman" w:eastAsia="Times New Roman" w:hAnsi="Times New Roman" w:cs="Times New Roman"/>
          <w:color w:val="auto"/>
          <w:szCs w:val="24"/>
          <w:lang w:val="lv-LV" w:eastAsia="en-GB"/>
        </w:rPr>
        <w:t>ek</w:t>
      </w:r>
      <w:r w:rsidR="00D901B9" w:rsidRPr="00576895">
        <w:rPr>
          <w:rFonts w:ascii="Times New Roman" w:eastAsia="Times New Roman" w:hAnsi="Times New Roman" w:cs="Times New Roman"/>
          <w:color w:val="auto"/>
          <w:szCs w:val="24"/>
          <w:lang w:val="lv-LV" w:eastAsia="en-GB"/>
        </w:rPr>
        <w:t xml:space="preserve"> </w:t>
      </w:r>
      <w:r w:rsidRPr="00576895">
        <w:rPr>
          <w:rFonts w:ascii="Times New Roman" w:eastAsia="Times New Roman" w:hAnsi="Times New Roman" w:cs="Times New Roman"/>
          <w:color w:val="auto"/>
          <w:szCs w:val="24"/>
          <w:lang w:val="lv-LV" w:eastAsia="en-GB"/>
        </w:rPr>
        <w:t xml:space="preserve">prasīts sniegt UK piekrišanu Finansēšanas līguma izbeigšanai. Turpmākie procesi pēc (daļējas) Finansēšanas līguma izbeigšanas tiks veikti atbilstoši Programmas vadlīnijās/Finansēšanas līgumā noteiktajam. </w:t>
      </w:r>
    </w:p>
    <w:p w:rsidR="00647FC0" w:rsidRPr="00576895" w:rsidRDefault="00647FC0" w:rsidP="00647FC0">
      <w:pPr>
        <w:pStyle w:val="Heading2"/>
        <w:numPr>
          <w:ilvl w:val="0"/>
          <w:numId w:val="35"/>
        </w:numPr>
        <w:spacing w:before="400"/>
        <w:ind w:left="0" w:firstLine="62"/>
        <w:jc w:val="center"/>
        <w:rPr>
          <w:rFonts w:ascii="Times New Roman" w:hAnsi="Times New Roman" w:cs="Times New Roman"/>
          <w:color w:val="auto"/>
          <w:u w:val="single"/>
          <w:lang w:val="lv-LV" w:eastAsia="en-GB"/>
        </w:rPr>
      </w:pPr>
      <w:r w:rsidRPr="00576895">
        <w:rPr>
          <w:rFonts w:ascii="Times New Roman" w:hAnsi="Times New Roman" w:cs="Times New Roman"/>
          <w:color w:val="auto"/>
          <w:u w:val="single"/>
          <w:lang w:val="lv-LV" w:eastAsia="en-GB"/>
        </w:rPr>
        <w:t xml:space="preserve">Bankrotējušie projekta partneri </w:t>
      </w:r>
    </w:p>
    <w:p w:rsidR="00647FC0" w:rsidRPr="00576895" w:rsidRDefault="00647FC0" w:rsidP="00647FC0">
      <w:pPr>
        <w:numPr>
          <w:ilvl w:val="0"/>
          <w:numId w:val="24"/>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 xml:space="preserve">Finansēšanas līgumā un Programmas vadlīnijās </w:t>
      </w:r>
      <w:r w:rsidR="00D901B9">
        <w:rPr>
          <w:rFonts w:ascii="Times New Roman" w:eastAsia="Times New Roman" w:hAnsi="Times New Roman" w:cs="Times New Roman"/>
          <w:color w:val="auto"/>
          <w:szCs w:val="24"/>
          <w:lang w:val="lv-LV" w:eastAsia="en-GB"/>
        </w:rPr>
        <w:t>ir</w:t>
      </w:r>
      <w:r w:rsidR="00D901B9" w:rsidRPr="00576895">
        <w:rPr>
          <w:rFonts w:ascii="Times New Roman" w:eastAsia="Times New Roman" w:hAnsi="Times New Roman" w:cs="Times New Roman"/>
          <w:color w:val="auto"/>
          <w:szCs w:val="24"/>
          <w:lang w:val="lv-LV" w:eastAsia="en-GB"/>
        </w:rPr>
        <w:t xml:space="preserve"> </w:t>
      </w:r>
      <w:r w:rsidRPr="00576895">
        <w:rPr>
          <w:rFonts w:ascii="Times New Roman" w:eastAsia="Times New Roman" w:hAnsi="Times New Roman" w:cs="Times New Roman"/>
          <w:color w:val="auto"/>
          <w:szCs w:val="24"/>
          <w:lang w:val="lv-LV" w:eastAsia="en-GB"/>
        </w:rPr>
        <w:t>noteiktas procedūras informācijas iegūšanai par bankrotējušiem vadošajiem partneriem vai projekta partneriem. Procedūras bankrota gadījumu identificēšanai un apstrādei ir līdzīgas tām, kuras tiek piemērotas uz partnera izstāšanos un katrs gadījums ti</w:t>
      </w:r>
      <w:r w:rsidR="00D901B9">
        <w:rPr>
          <w:rFonts w:ascii="Times New Roman" w:eastAsia="Times New Roman" w:hAnsi="Times New Roman" w:cs="Times New Roman"/>
          <w:color w:val="auto"/>
          <w:szCs w:val="24"/>
          <w:lang w:val="lv-LV" w:eastAsia="en-GB"/>
        </w:rPr>
        <w:t>ek</w:t>
      </w:r>
      <w:r w:rsidRPr="00576895">
        <w:rPr>
          <w:rFonts w:ascii="Times New Roman" w:eastAsia="Times New Roman" w:hAnsi="Times New Roman" w:cs="Times New Roman"/>
          <w:color w:val="auto"/>
          <w:szCs w:val="24"/>
          <w:lang w:val="lv-LV" w:eastAsia="en-GB"/>
        </w:rPr>
        <w:t xml:space="preserve"> izvērtēts individuāli. Katrs vadošais partneris un projekta partneris ir atbildīgs par attiecīgas informācijas sniegšanu citiem projekta partneriem un nacionālajām iestādēm, kā arī vadošajam partnerim ir pienākums informēt VI/KS. </w:t>
      </w:r>
    </w:p>
    <w:p w:rsidR="00647FC0" w:rsidRPr="00576895" w:rsidRDefault="00647FC0" w:rsidP="00647FC0">
      <w:pPr>
        <w:numPr>
          <w:ilvl w:val="0"/>
          <w:numId w:val="24"/>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Papildus zaudējumu atlīdzināšanas procedūrai, (daļēja) Finansēšanas līguma izbeigšana ir izvēle lietas uzsākšanai. Pirms minētās opcijas izmantošanas saskaņā ar Finansēšanas līguma noteikumiem, VI šo gadījumu dar</w:t>
      </w:r>
      <w:r w:rsidR="00D901B9">
        <w:rPr>
          <w:rFonts w:ascii="Times New Roman" w:eastAsia="Times New Roman" w:hAnsi="Times New Roman" w:cs="Times New Roman"/>
          <w:color w:val="auto"/>
          <w:szCs w:val="24"/>
          <w:lang w:val="lv-LV" w:eastAsia="en-GB"/>
        </w:rPr>
        <w:t>a</w:t>
      </w:r>
      <w:r w:rsidRPr="00576895">
        <w:rPr>
          <w:rFonts w:ascii="Times New Roman" w:eastAsia="Times New Roman" w:hAnsi="Times New Roman" w:cs="Times New Roman"/>
          <w:color w:val="auto"/>
          <w:szCs w:val="24"/>
          <w:lang w:val="lv-LV" w:eastAsia="en-GB"/>
        </w:rPr>
        <w:t xml:space="preserve"> zināmu UK un ti</w:t>
      </w:r>
      <w:r w:rsidR="00D901B9">
        <w:rPr>
          <w:rFonts w:ascii="Times New Roman" w:eastAsia="Times New Roman" w:hAnsi="Times New Roman" w:cs="Times New Roman"/>
          <w:color w:val="auto"/>
          <w:szCs w:val="24"/>
          <w:lang w:val="lv-LV" w:eastAsia="en-GB"/>
        </w:rPr>
        <w:t>ek</w:t>
      </w:r>
      <w:r w:rsidRPr="00576895">
        <w:rPr>
          <w:rFonts w:ascii="Times New Roman" w:eastAsia="Times New Roman" w:hAnsi="Times New Roman" w:cs="Times New Roman"/>
          <w:color w:val="auto"/>
          <w:szCs w:val="24"/>
          <w:lang w:val="lv-LV" w:eastAsia="en-GB"/>
        </w:rPr>
        <w:t xml:space="preserve"> prasīts sniegt UK piekrišanu Finansēšanas līguma izbeigšanai. Turpmākie procesi pēc (daļējas) Finansēšanas līguma izbeigšanas tiks veikti atbilstoši Programmas vadlīnijās/Finansēšanas līgumā noteiktajam.</w:t>
      </w:r>
    </w:p>
    <w:p w:rsidR="00647FC0" w:rsidRPr="00576895" w:rsidRDefault="00647FC0" w:rsidP="00647FC0">
      <w:pPr>
        <w:pStyle w:val="Heading2"/>
        <w:numPr>
          <w:ilvl w:val="0"/>
          <w:numId w:val="35"/>
        </w:numPr>
        <w:spacing w:before="400"/>
        <w:ind w:left="0" w:firstLine="62"/>
        <w:jc w:val="center"/>
        <w:rPr>
          <w:rFonts w:ascii="Times New Roman" w:hAnsi="Times New Roman" w:cs="Times New Roman"/>
          <w:color w:val="auto"/>
          <w:u w:val="single"/>
          <w:lang w:val="lv-LV" w:eastAsia="en-GB"/>
        </w:rPr>
      </w:pPr>
      <w:r w:rsidRPr="00576895">
        <w:rPr>
          <w:rFonts w:ascii="Times New Roman" w:hAnsi="Times New Roman" w:cs="Times New Roman"/>
          <w:color w:val="auto"/>
          <w:u w:val="single"/>
          <w:lang w:val="lv-LV" w:eastAsia="en-GB"/>
        </w:rPr>
        <w:t>Neatbilstības un zaudējumu atlīdzināšanas procedūra</w:t>
      </w:r>
    </w:p>
    <w:p w:rsidR="00647FC0" w:rsidRPr="00576895" w:rsidRDefault="00647FC0" w:rsidP="00647FC0">
      <w:pPr>
        <w:numPr>
          <w:ilvl w:val="0"/>
          <w:numId w:val="25"/>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en-US"/>
        </w:rPr>
        <w:t xml:space="preserve">Saskaņā ar Regulas (ES) Nr. 1303/2013 122.pantu, katra dalībvalsts ir atbildīga par informācijas sniegšanu Eiropas Komisijai un VI/KS attiecībā uz tās teritorijā esošu vadošo partneru vai projekta partneru veiktajiem pārkāpumiem. Katra dalībvalsts informē Eiropas Komisiju, kā arī VI/KS par jebkādu progresu administratīvos procesos vai tiesvedībās. VI/KS nodrošinās šīs informācijas iesniegšanu Revīzijas iestādei. </w:t>
      </w:r>
    </w:p>
    <w:p w:rsidR="00647FC0" w:rsidRPr="00576895" w:rsidRDefault="00647FC0" w:rsidP="00647FC0">
      <w:pPr>
        <w:numPr>
          <w:ilvl w:val="0"/>
          <w:numId w:val="25"/>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fr-FR"/>
        </w:rPr>
        <w:t>Ja VI/KS rodas aizdomas par neatbilstībām, kas saistīti ar piešķirto līdzekļu izmantošanu no vadošā partnera vai kāda cita projekta partnera puses, par šo situāciju nekavējoties ti</w:t>
      </w:r>
      <w:r w:rsidR="00D901B9">
        <w:rPr>
          <w:rFonts w:ascii="Times New Roman" w:eastAsia="Times New Roman" w:hAnsi="Times New Roman" w:cs="Times New Roman"/>
          <w:color w:val="auto"/>
          <w:szCs w:val="24"/>
          <w:lang w:val="lv-LV" w:eastAsia="fr-FR"/>
        </w:rPr>
        <w:t>ek</w:t>
      </w:r>
      <w:r w:rsidRPr="00576895">
        <w:rPr>
          <w:rFonts w:ascii="Times New Roman" w:eastAsia="Times New Roman" w:hAnsi="Times New Roman" w:cs="Times New Roman"/>
          <w:color w:val="auto"/>
          <w:szCs w:val="24"/>
          <w:lang w:val="lv-LV" w:eastAsia="fr-FR"/>
        </w:rPr>
        <w:t xml:space="preserve"> informētas kompetentās nacionālās iestādes vai attiecīgie UK biedri</w:t>
      </w:r>
      <w:r w:rsidRPr="00576895">
        <w:rPr>
          <w:rFonts w:ascii="Times New Roman" w:eastAsia="Times New Roman" w:hAnsi="Times New Roman" w:cs="Times New Roman"/>
          <w:color w:val="auto"/>
          <w:szCs w:val="24"/>
          <w:lang w:val="lv-LV" w:eastAsia="en-US"/>
        </w:rPr>
        <w:t>.</w:t>
      </w:r>
    </w:p>
    <w:p w:rsidR="00647FC0" w:rsidRPr="00576895" w:rsidRDefault="00647FC0" w:rsidP="00647FC0">
      <w:pPr>
        <w:numPr>
          <w:ilvl w:val="0"/>
          <w:numId w:val="25"/>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en-US"/>
        </w:rPr>
        <w:t xml:space="preserve">Ja neatbilstības konstatēja kāda cita Programmas institūcija vai nacionālās iestādes, tās nekavējoties informē VI/KS. </w:t>
      </w:r>
    </w:p>
    <w:p w:rsidR="00647FC0" w:rsidRPr="00576895" w:rsidRDefault="00647FC0" w:rsidP="00647FC0">
      <w:pPr>
        <w:numPr>
          <w:ilvl w:val="0"/>
          <w:numId w:val="25"/>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en-US"/>
        </w:rPr>
        <w:t>Informēšanas un lēmumu pieņemšanas metod</w:t>
      </w:r>
      <w:r w:rsidR="00451C72">
        <w:rPr>
          <w:rFonts w:ascii="Times New Roman" w:eastAsia="Times New Roman" w:hAnsi="Times New Roman" w:cs="Times New Roman"/>
          <w:color w:val="auto"/>
          <w:szCs w:val="24"/>
          <w:lang w:val="lv-LV" w:eastAsia="en-US"/>
        </w:rPr>
        <w:t>oloģija</w:t>
      </w:r>
      <w:r w:rsidRPr="00576895">
        <w:rPr>
          <w:rFonts w:ascii="Times New Roman" w:eastAsia="Times New Roman" w:hAnsi="Times New Roman" w:cs="Times New Roman"/>
          <w:color w:val="auto"/>
          <w:szCs w:val="24"/>
          <w:lang w:val="lv-LV" w:eastAsia="en-US"/>
        </w:rPr>
        <w:t xml:space="preserve"> attiecībā uz neatbilstībām, kā arī nekorekti izlietoto līdzekļu atlīdzināšanas procedūra ir noteikta Programmas vadlīnijās. </w:t>
      </w:r>
    </w:p>
    <w:p w:rsidR="00647FC0" w:rsidRPr="00576895" w:rsidRDefault="00647FC0" w:rsidP="00647FC0">
      <w:pPr>
        <w:numPr>
          <w:ilvl w:val="0"/>
          <w:numId w:val="25"/>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en-GB"/>
        </w:rPr>
        <w:lastRenderedPageBreak/>
        <w:t>Papildus zaudējumu atlīdzināšanas procedūrai, (daļēja) Finansēšanas līguma izbeigšana ir izvēle lietas uzsākšanai. Turpmākie ar (daļēju) izbeigšanu saistītie procesi ti</w:t>
      </w:r>
      <w:r w:rsidR="00D901B9">
        <w:rPr>
          <w:rFonts w:ascii="Times New Roman" w:eastAsia="Times New Roman" w:hAnsi="Times New Roman" w:cs="Times New Roman"/>
          <w:color w:val="auto"/>
          <w:szCs w:val="24"/>
          <w:lang w:val="lv-LV" w:eastAsia="en-GB"/>
        </w:rPr>
        <w:t>ek</w:t>
      </w:r>
      <w:r w:rsidRPr="00576895">
        <w:rPr>
          <w:rFonts w:ascii="Times New Roman" w:eastAsia="Times New Roman" w:hAnsi="Times New Roman" w:cs="Times New Roman"/>
          <w:color w:val="auto"/>
          <w:szCs w:val="24"/>
          <w:lang w:val="lv-LV" w:eastAsia="en-GB"/>
        </w:rPr>
        <w:t xml:space="preserve"> veikti atbilstoši Programmas vadlīnijās/Finansēšanas līgumā noteiktajam. </w:t>
      </w:r>
      <w:r w:rsidRPr="00576895">
        <w:rPr>
          <w:rFonts w:ascii="Times New Roman" w:eastAsia="Times New Roman" w:hAnsi="Times New Roman" w:cs="Times New Roman"/>
          <w:color w:val="auto"/>
          <w:szCs w:val="24"/>
          <w:lang w:val="lv-LV" w:eastAsia="en-US"/>
        </w:rPr>
        <w:t xml:space="preserve"> </w:t>
      </w:r>
    </w:p>
    <w:p w:rsidR="00647FC0" w:rsidRPr="00576895" w:rsidRDefault="00647FC0" w:rsidP="00647FC0">
      <w:pPr>
        <w:pStyle w:val="Heading2"/>
        <w:numPr>
          <w:ilvl w:val="0"/>
          <w:numId w:val="35"/>
        </w:numPr>
        <w:spacing w:before="400"/>
        <w:ind w:left="0" w:firstLine="62"/>
        <w:jc w:val="center"/>
        <w:rPr>
          <w:rFonts w:ascii="Times New Roman" w:hAnsi="Times New Roman" w:cs="Times New Roman"/>
          <w:color w:val="auto"/>
          <w:u w:val="single"/>
          <w:lang w:val="lv-LV" w:eastAsia="en-GB"/>
        </w:rPr>
      </w:pPr>
      <w:r w:rsidRPr="00576895">
        <w:rPr>
          <w:rFonts w:ascii="Times New Roman" w:hAnsi="Times New Roman" w:cs="Times New Roman"/>
          <w:color w:val="auto"/>
          <w:u w:val="single"/>
          <w:lang w:val="lv-LV" w:eastAsia="en-GB"/>
        </w:rPr>
        <w:t>Saistību noteikšana</w:t>
      </w:r>
    </w:p>
    <w:p w:rsidR="00647FC0" w:rsidRPr="00576895" w:rsidRDefault="00647FC0" w:rsidP="00647FC0">
      <w:pPr>
        <w:numPr>
          <w:ilvl w:val="0"/>
          <w:numId w:val="23"/>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Ja VI/KS rodas aizdomas vai ticis informēts par pārkāpumiem, kas saistīti ar piešķirto līdzekļu izmantošanu, ti</w:t>
      </w:r>
      <w:r w:rsidR="00D901B9">
        <w:rPr>
          <w:rFonts w:ascii="Times New Roman" w:eastAsia="Times New Roman" w:hAnsi="Times New Roman" w:cs="Times New Roman"/>
          <w:color w:val="auto"/>
          <w:szCs w:val="24"/>
          <w:lang w:val="lv-LV" w:eastAsia="fr-FR"/>
        </w:rPr>
        <w:t>ek</w:t>
      </w:r>
      <w:r w:rsidRPr="00576895">
        <w:rPr>
          <w:rFonts w:ascii="Times New Roman" w:eastAsia="Times New Roman" w:hAnsi="Times New Roman" w:cs="Times New Roman"/>
          <w:color w:val="auto"/>
          <w:szCs w:val="24"/>
          <w:lang w:val="lv-LV" w:eastAsia="fr-FR"/>
        </w:rPr>
        <w:t xml:space="preserve"> veiktas turpmākas darbības, tādas kā finansējuma atlīdzināšanas apturēšana vadošajam partnerim vai projekta partnerim, Programmas līdzfinansējuma atcelšana vai samazināšana, piešķirto līdzekļu atgūšana. </w:t>
      </w:r>
    </w:p>
    <w:p w:rsidR="00647FC0" w:rsidRPr="00576895" w:rsidRDefault="00647FC0" w:rsidP="00647FC0">
      <w:pPr>
        <w:numPr>
          <w:ilvl w:val="0"/>
          <w:numId w:val="23"/>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fr-FR"/>
        </w:rPr>
        <w:t>VI/KS nodrošin</w:t>
      </w:r>
      <w:r w:rsidR="00D901B9">
        <w:rPr>
          <w:rFonts w:ascii="Times New Roman" w:eastAsia="Times New Roman" w:hAnsi="Times New Roman" w:cs="Times New Roman"/>
          <w:color w:val="auto"/>
          <w:szCs w:val="24"/>
          <w:lang w:val="lv-LV" w:eastAsia="fr-FR"/>
        </w:rPr>
        <w:t>a</w:t>
      </w:r>
      <w:r w:rsidRPr="00576895">
        <w:rPr>
          <w:rFonts w:ascii="Times New Roman" w:eastAsia="Times New Roman" w:hAnsi="Times New Roman" w:cs="Times New Roman"/>
          <w:color w:val="auto"/>
          <w:szCs w:val="24"/>
          <w:lang w:val="lv-LV" w:eastAsia="fr-FR"/>
        </w:rPr>
        <w:t>, ka no vadošā partnera ti</w:t>
      </w:r>
      <w:r w:rsidR="00D901B9">
        <w:rPr>
          <w:rFonts w:ascii="Times New Roman" w:eastAsia="Times New Roman" w:hAnsi="Times New Roman" w:cs="Times New Roman"/>
          <w:color w:val="auto"/>
          <w:szCs w:val="24"/>
          <w:lang w:val="lv-LV" w:eastAsia="fr-FR"/>
        </w:rPr>
        <w:t>ek</w:t>
      </w:r>
      <w:r w:rsidRPr="00576895">
        <w:rPr>
          <w:rFonts w:ascii="Times New Roman" w:eastAsia="Times New Roman" w:hAnsi="Times New Roman" w:cs="Times New Roman"/>
          <w:color w:val="auto"/>
          <w:szCs w:val="24"/>
          <w:lang w:val="lv-LV" w:eastAsia="fr-FR"/>
        </w:rPr>
        <w:t xml:space="preserve"> atgūta katra neatbilstību rezultātā izmaksātā summa. Projekta partneri vei</w:t>
      </w:r>
      <w:r w:rsidR="00D901B9">
        <w:rPr>
          <w:rFonts w:ascii="Times New Roman" w:eastAsia="Times New Roman" w:hAnsi="Times New Roman" w:cs="Times New Roman"/>
          <w:color w:val="auto"/>
          <w:szCs w:val="24"/>
          <w:lang w:val="lv-LV" w:eastAsia="fr-FR"/>
        </w:rPr>
        <w:t>c</w:t>
      </w:r>
      <w:r w:rsidRPr="00576895">
        <w:rPr>
          <w:rFonts w:ascii="Times New Roman" w:eastAsia="Times New Roman" w:hAnsi="Times New Roman" w:cs="Times New Roman"/>
          <w:color w:val="auto"/>
          <w:szCs w:val="24"/>
          <w:lang w:val="lv-LV" w:eastAsia="fr-FR"/>
        </w:rPr>
        <w:t xml:space="preserve"> jebkuras neatbilstoši samaksātās summas atmaksu vadošajam partnerim.</w:t>
      </w:r>
    </w:p>
    <w:p w:rsidR="00647FC0" w:rsidRPr="00576895" w:rsidRDefault="00647FC0" w:rsidP="00647FC0">
      <w:pPr>
        <w:numPr>
          <w:ilvl w:val="0"/>
          <w:numId w:val="23"/>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fr-FR"/>
        </w:rPr>
      </w:pPr>
      <w:r w:rsidRPr="00576895">
        <w:rPr>
          <w:rFonts w:ascii="Times New Roman" w:eastAsia="Times New Roman" w:hAnsi="Times New Roman" w:cs="Times New Roman"/>
          <w:color w:val="auto"/>
          <w:szCs w:val="24"/>
          <w:lang w:val="lv-LV" w:eastAsia="en-US"/>
        </w:rPr>
        <w:t>Ja vadošajam partnerim neizdodas no projekta partneriem saņemt līdzekļu atmaksu vai VI/KS neizdodas saņemt atmaksu no vadošā partnera, dalībvalsts, kuras teritorijā atrodas konkrētais partneris vai ir reģistrēts – Eiropas teritoriālās sadarbības grupas (ETSG) gadījumā, ve</w:t>
      </w:r>
      <w:r w:rsidR="00D901B9">
        <w:rPr>
          <w:rFonts w:ascii="Times New Roman" w:eastAsia="Times New Roman" w:hAnsi="Times New Roman" w:cs="Times New Roman"/>
          <w:color w:val="auto"/>
          <w:szCs w:val="24"/>
          <w:lang w:val="lv-LV" w:eastAsia="en-US"/>
        </w:rPr>
        <w:t>ic</w:t>
      </w:r>
      <w:r w:rsidRPr="00576895">
        <w:rPr>
          <w:rFonts w:ascii="Times New Roman" w:eastAsia="Times New Roman" w:hAnsi="Times New Roman" w:cs="Times New Roman"/>
          <w:color w:val="auto"/>
          <w:szCs w:val="24"/>
          <w:lang w:val="lv-LV" w:eastAsia="en-US"/>
        </w:rPr>
        <w:t xml:space="preserve"> projekta partnerim </w:t>
      </w:r>
      <w:r w:rsidRPr="00576895">
        <w:rPr>
          <w:rFonts w:ascii="Times New Roman" w:eastAsia="Times New Roman" w:hAnsi="Times New Roman" w:cs="Times New Roman"/>
          <w:color w:val="auto"/>
          <w:szCs w:val="24"/>
          <w:lang w:val="lv-LV" w:eastAsia="fr-FR"/>
        </w:rPr>
        <w:t xml:space="preserve">neatbilstoši samaksātās summas atmaksu </w:t>
      </w:r>
      <w:r w:rsidRPr="00576895">
        <w:rPr>
          <w:rFonts w:ascii="Times New Roman" w:eastAsia="Times New Roman" w:hAnsi="Times New Roman" w:cs="Times New Roman"/>
          <w:color w:val="auto"/>
          <w:szCs w:val="24"/>
          <w:lang w:val="lv-LV" w:eastAsia="en-US"/>
        </w:rPr>
        <w:t>VI/KS. Tādēļ dalībvalsts</w:t>
      </w:r>
      <w:r w:rsidR="00D901B9">
        <w:rPr>
          <w:rFonts w:ascii="Times New Roman" w:eastAsia="Times New Roman" w:hAnsi="Times New Roman" w:cs="Times New Roman"/>
          <w:color w:val="auto"/>
          <w:szCs w:val="24"/>
          <w:lang w:val="lv-LV" w:eastAsia="en-US"/>
        </w:rPr>
        <w:t xml:space="preserve"> ir</w:t>
      </w:r>
      <w:r w:rsidRPr="00576895">
        <w:rPr>
          <w:rFonts w:ascii="Times New Roman" w:eastAsia="Times New Roman" w:hAnsi="Times New Roman" w:cs="Times New Roman"/>
          <w:color w:val="auto"/>
          <w:szCs w:val="24"/>
          <w:lang w:val="lv-LV" w:eastAsia="en-US"/>
        </w:rPr>
        <w:t xml:space="preserve"> tiesīga pieprasīt konkrētajam projekta partnerim </w:t>
      </w:r>
      <w:r w:rsidRPr="00576895">
        <w:rPr>
          <w:rFonts w:ascii="Times New Roman" w:eastAsia="Times New Roman" w:hAnsi="Times New Roman" w:cs="Times New Roman"/>
          <w:color w:val="auto"/>
          <w:szCs w:val="24"/>
          <w:lang w:val="lv-LV" w:eastAsia="fr-FR"/>
        </w:rPr>
        <w:t xml:space="preserve">neatbilstoši samaksātos līdzekļus. </w:t>
      </w:r>
      <w:r w:rsidRPr="00576895">
        <w:rPr>
          <w:rFonts w:ascii="Times New Roman" w:eastAsia="Times New Roman" w:hAnsi="Times New Roman" w:cs="Times New Roman"/>
          <w:color w:val="auto"/>
          <w:szCs w:val="24"/>
          <w:lang w:val="lv-LV" w:eastAsia="en-US"/>
        </w:rPr>
        <w:t xml:space="preserve">VI/KS </w:t>
      </w:r>
      <w:r w:rsidR="00D901B9">
        <w:rPr>
          <w:rFonts w:ascii="Times New Roman" w:eastAsia="Times New Roman" w:hAnsi="Times New Roman" w:cs="Times New Roman"/>
          <w:color w:val="auto"/>
          <w:szCs w:val="24"/>
          <w:lang w:val="lv-LV" w:eastAsia="en-US"/>
        </w:rPr>
        <w:t>ir</w:t>
      </w:r>
      <w:r w:rsidR="00D901B9" w:rsidRPr="00576895">
        <w:rPr>
          <w:rFonts w:ascii="Times New Roman" w:eastAsia="Times New Roman" w:hAnsi="Times New Roman" w:cs="Times New Roman"/>
          <w:color w:val="auto"/>
          <w:szCs w:val="24"/>
          <w:lang w:val="lv-LV" w:eastAsia="en-US"/>
        </w:rPr>
        <w:t xml:space="preserve"> </w:t>
      </w:r>
      <w:r w:rsidRPr="00576895">
        <w:rPr>
          <w:rFonts w:ascii="Times New Roman" w:eastAsia="Times New Roman" w:hAnsi="Times New Roman" w:cs="Times New Roman"/>
          <w:color w:val="auto"/>
          <w:szCs w:val="24"/>
          <w:lang w:val="lv-LV" w:eastAsia="en-US"/>
        </w:rPr>
        <w:t>atbildīga par konkrēto summu atmaksu Savienības vispārējā budžetā.</w:t>
      </w:r>
    </w:p>
    <w:p w:rsidR="00647FC0" w:rsidRPr="00576895" w:rsidRDefault="00647FC0" w:rsidP="00647FC0">
      <w:pPr>
        <w:numPr>
          <w:ilvl w:val="0"/>
          <w:numId w:val="23"/>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en-US"/>
        </w:rPr>
        <w:t xml:space="preserve">Attiecībā uz TP izdevumiem, kas balstīti uz dalībvalstu kopīgiem lēmumiem, dalībvalstis uzņemas kopīgas saistības proporcionāli katras dalībvalsts ieguldījuma apjomam kopējā TP budžetā. Turpretim, attiecībā uz nepareizas TP budžeta izmantošanas pārkāpumiem, kurus veikusi Programmas ieviesējorganizācija, saistības tiek attiecinātas uz dalībvalsti, kura ir uzņēmusi TP budžeta līdzekļus tērējošo organizāciju. </w:t>
      </w:r>
    </w:p>
    <w:p w:rsidR="00647FC0" w:rsidRPr="00576895" w:rsidRDefault="00647FC0" w:rsidP="00647FC0">
      <w:pPr>
        <w:numPr>
          <w:ilvl w:val="0"/>
          <w:numId w:val="23"/>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en-US"/>
        </w:rPr>
        <w:t xml:space="preserve">Parakstot šo </w:t>
      </w:r>
      <w:r w:rsidR="00995364">
        <w:rPr>
          <w:rFonts w:ascii="Times New Roman" w:eastAsia="Times New Roman" w:hAnsi="Times New Roman" w:cs="Times New Roman"/>
          <w:color w:val="auto"/>
          <w:szCs w:val="24"/>
          <w:lang w:val="lv-LV" w:eastAsia="en-US"/>
        </w:rPr>
        <w:t>Vienošanos</w:t>
      </w:r>
      <w:r w:rsidRPr="00576895">
        <w:rPr>
          <w:rFonts w:ascii="Times New Roman" w:eastAsia="Times New Roman" w:hAnsi="Times New Roman" w:cs="Times New Roman"/>
          <w:color w:val="auto"/>
          <w:szCs w:val="24"/>
          <w:lang w:val="lv-LV" w:eastAsia="en-US"/>
        </w:rPr>
        <w:t xml:space="preserve">, dalībvalstis apliecina savas saistības attiecībā uz naudas atmaksāšanu VI saskaņā ar Regulas (ES) Nr. 1299/2013 27.panta un Regulas (ES) Nr. 1303/2013 147.panta noteikumiem.  </w:t>
      </w:r>
    </w:p>
    <w:p w:rsidR="00647FC0" w:rsidRPr="00576895" w:rsidRDefault="00647FC0" w:rsidP="00647FC0">
      <w:pPr>
        <w:numPr>
          <w:ilvl w:val="0"/>
          <w:numId w:val="23"/>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en-US"/>
        </w:rPr>
        <w:t xml:space="preserve">Ja UK kopā ar VI un iesaistīto dalībvalsti pieņem lēmumu, ka IB.SH ir jāuzsāk vai jāturpina tiesvedība par vadošā partnera vai projekta partnera </w:t>
      </w:r>
      <w:r w:rsidRPr="00576895">
        <w:rPr>
          <w:rFonts w:ascii="Times New Roman" w:eastAsia="Times New Roman" w:hAnsi="Times New Roman" w:cs="Times New Roman"/>
          <w:color w:val="auto"/>
          <w:szCs w:val="24"/>
          <w:lang w:val="lv-LV" w:eastAsia="fr-FR"/>
        </w:rPr>
        <w:t>neatbilstoši samaksātās summas atmaksu, dalībvalsts, kura saskaņā ar Regulas (ES) Nr. 1299/2013 27(3).pantu tiek noteikta kā atbildīgā, uzņemas atlīdzināt IB.SH tiesāšanās izdevumus un ar tiesvedībām saist</w:t>
      </w:r>
      <w:r w:rsidRPr="00576895">
        <w:rPr>
          <w:rFonts w:ascii="Times New Roman" w:eastAsia="Times New Roman" w:hAnsi="Times New Roman" w:cs="Times New Roman"/>
          <w:color w:val="auto"/>
          <w:szCs w:val="24"/>
          <w:lang w:val="lv-LV" w:eastAsia="en-US"/>
        </w:rPr>
        <w:t>ītās</w:t>
      </w:r>
      <w:r w:rsidRPr="00576895">
        <w:rPr>
          <w:rFonts w:ascii="Times New Roman" w:eastAsia="Times New Roman" w:hAnsi="Times New Roman" w:cs="Times New Roman"/>
          <w:color w:val="auto"/>
          <w:szCs w:val="24"/>
          <w:lang w:val="lv-LV" w:eastAsia="fr-FR"/>
        </w:rPr>
        <w:t xml:space="preserve"> izmaksas</w:t>
      </w:r>
      <w:r w:rsidRPr="00576895">
        <w:rPr>
          <w:rFonts w:ascii="Times New Roman" w:eastAsia="Times New Roman" w:hAnsi="Times New Roman" w:cs="Times New Roman"/>
          <w:color w:val="auto"/>
          <w:szCs w:val="24"/>
          <w:lang w:val="lv-LV" w:eastAsia="en-US"/>
        </w:rPr>
        <w:t xml:space="preserve">, par dokumentālu pieradījumu uzrādīšanu, arī gadījumā, ja tiesvedības nav bijušas veiksmīgas. Konkrētā dalībvalsts vienmēr </w:t>
      </w:r>
      <w:r w:rsidR="00D901B9">
        <w:rPr>
          <w:rFonts w:ascii="Times New Roman" w:eastAsia="Times New Roman" w:hAnsi="Times New Roman" w:cs="Times New Roman"/>
          <w:color w:val="auto"/>
          <w:szCs w:val="24"/>
          <w:lang w:val="lv-LV" w:eastAsia="en-US"/>
        </w:rPr>
        <w:t>ir</w:t>
      </w:r>
      <w:r w:rsidR="00D901B9" w:rsidRPr="00576895">
        <w:rPr>
          <w:rFonts w:ascii="Times New Roman" w:eastAsia="Times New Roman" w:hAnsi="Times New Roman" w:cs="Times New Roman"/>
          <w:color w:val="auto"/>
          <w:szCs w:val="24"/>
          <w:lang w:val="lv-LV" w:eastAsia="en-US"/>
        </w:rPr>
        <w:t xml:space="preserve"> </w:t>
      </w:r>
      <w:r w:rsidRPr="00576895">
        <w:rPr>
          <w:rFonts w:ascii="Times New Roman" w:eastAsia="Times New Roman" w:hAnsi="Times New Roman" w:cs="Times New Roman"/>
          <w:color w:val="auto"/>
          <w:szCs w:val="24"/>
          <w:lang w:val="lv-LV" w:eastAsia="en-US"/>
        </w:rPr>
        <w:t>atbildīga par tiesāšanās izdevumu segšanu.</w:t>
      </w:r>
    </w:p>
    <w:p w:rsidR="00647FC0" w:rsidRPr="00576895" w:rsidRDefault="00647FC0" w:rsidP="00647FC0">
      <w:pPr>
        <w:pStyle w:val="Heading2"/>
        <w:numPr>
          <w:ilvl w:val="0"/>
          <w:numId w:val="35"/>
        </w:numPr>
        <w:spacing w:before="400"/>
        <w:ind w:left="0" w:firstLine="62"/>
        <w:jc w:val="center"/>
        <w:rPr>
          <w:rFonts w:ascii="Times New Roman" w:hAnsi="Times New Roman" w:cs="Times New Roman"/>
          <w:color w:val="auto"/>
          <w:u w:val="single"/>
          <w:lang w:val="lv-LV" w:eastAsia="en-GB"/>
        </w:rPr>
      </w:pPr>
      <w:r w:rsidRPr="00576895">
        <w:rPr>
          <w:rFonts w:ascii="Times New Roman" w:hAnsi="Times New Roman" w:cs="Times New Roman"/>
          <w:color w:val="auto"/>
          <w:u w:val="single"/>
          <w:lang w:val="lv-LV" w:eastAsia="en-GB"/>
        </w:rPr>
        <w:softHyphen/>
        <w:t>Sistēmas kļūdas un finanšu korekcijas</w:t>
      </w:r>
    </w:p>
    <w:p w:rsidR="00647FC0" w:rsidRPr="00576895" w:rsidRDefault="00647FC0" w:rsidP="00647FC0">
      <w:pPr>
        <w:numPr>
          <w:ilvl w:val="0"/>
          <w:numId w:val="22"/>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 xml:space="preserve">Revīzijas iestāde, revidentu grupa, Eiropas Komisija vai Eiropas auditoru tiesa Programmas līmenī var konstatēt sistēmas kļūdas, kuru rezultātā nepieciešams veikt Eiropas Komisijas ierosinātas finanšu korekcijas saskaņā ar Regulas (ES) Nr. 1303/2013 85.pantu un 144.-147.pantu. Kļūdas var tikt noteiktas Programmas ieviešanas un slēgšanas laikā.  </w:t>
      </w:r>
    </w:p>
    <w:p w:rsidR="00647FC0" w:rsidRPr="00576895" w:rsidRDefault="00647FC0" w:rsidP="00647FC0">
      <w:pPr>
        <w:numPr>
          <w:ilvl w:val="0"/>
          <w:numId w:val="22"/>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US"/>
        </w:rPr>
        <w:t>Neskatoties uz Programmas līmeņa sistēmas kļūdu un citu kļūdu konstatēšanas datumu, dalībvalstis izvēl</w:t>
      </w:r>
      <w:r w:rsidR="00D901B9">
        <w:rPr>
          <w:rFonts w:ascii="Times New Roman" w:eastAsia="Times New Roman" w:hAnsi="Times New Roman" w:cs="Times New Roman"/>
          <w:color w:val="auto"/>
          <w:szCs w:val="24"/>
          <w:lang w:val="lv-LV" w:eastAsia="en-US"/>
        </w:rPr>
        <w:t>as</w:t>
      </w:r>
      <w:r w:rsidRPr="00576895">
        <w:rPr>
          <w:rFonts w:ascii="Times New Roman" w:eastAsia="Times New Roman" w:hAnsi="Times New Roman" w:cs="Times New Roman"/>
          <w:color w:val="auto"/>
          <w:szCs w:val="24"/>
          <w:lang w:val="lv-LV" w:eastAsia="en-US"/>
        </w:rPr>
        <w:t xml:space="preserve"> kļūdas veidam atbilstošu finanšu </w:t>
      </w:r>
      <w:r w:rsidRPr="00451C72">
        <w:rPr>
          <w:rFonts w:ascii="Times New Roman" w:eastAsia="Times New Roman" w:hAnsi="Times New Roman" w:cs="Times New Roman"/>
          <w:color w:val="auto"/>
          <w:szCs w:val="24"/>
          <w:lang w:val="lv-LV" w:eastAsia="en-US"/>
        </w:rPr>
        <w:t>korekciju sadales metod</w:t>
      </w:r>
      <w:r w:rsidR="00451C72" w:rsidRPr="00451C72">
        <w:rPr>
          <w:rFonts w:ascii="Times New Roman" w:eastAsia="Times New Roman" w:hAnsi="Times New Roman" w:cs="Times New Roman"/>
          <w:color w:val="auto"/>
          <w:szCs w:val="24"/>
          <w:lang w:val="lv-LV" w:eastAsia="en-US"/>
        </w:rPr>
        <w:t>e</w:t>
      </w:r>
      <w:r w:rsidRPr="00451C72">
        <w:rPr>
          <w:rFonts w:ascii="Times New Roman" w:eastAsia="Times New Roman" w:hAnsi="Times New Roman" w:cs="Times New Roman"/>
          <w:color w:val="auto"/>
          <w:szCs w:val="24"/>
          <w:lang w:val="lv-LV" w:eastAsia="en-GB"/>
        </w:rPr>
        <w:t>:</w:t>
      </w:r>
    </w:p>
    <w:p w:rsidR="00647FC0" w:rsidRPr="00576895" w:rsidRDefault="00647FC0" w:rsidP="00647FC0">
      <w:pPr>
        <w:numPr>
          <w:ilvl w:val="1"/>
          <w:numId w:val="11"/>
        </w:numPr>
        <w:autoSpaceDE/>
        <w:autoSpaceDN/>
        <w:adjustRightInd/>
        <w:spacing w:before="60" w:after="120" w:line="260" w:lineRule="atLeast"/>
        <w:ind w:left="993" w:right="197" w:hanging="357"/>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Vienas dalībvalsts līmeņa finanšu korekcijas (Eiropas Komisija korekcijas ir skaidri attiecinājusi uz konkrētu valsti): piešķīrums, kas balstīts uz kļūdām saistībā ar ES līdzekļu piešķīruma sadalījumu starp iesaistītajām dalībvalstīm,</w:t>
      </w:r>
    </w:p>
    <w:p w:rsidR="00647FC0" w:rsidRPr="00576895" w:rsidRDefault="00647FC0" w:rsidP="00647FC0">
      <w:pPr>
        <w:numPr>
          <w:ilvl w:val="1"/>
          <w:numId w:val="11"/>
        </w:numPr>
        <w:autoSpaceDE/>
        <w:autoSpaceDN/>
        <w:adjustRightInd/>
        <w:spacing w:before="60" w:after="120" w:line="260" w:lineRule="atLeast"/>
        <w:ind w:left="993" w:right="197" w:hanging="357"/>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lastRenderedPageBreak/>
        <w:t>Jebkādas citas Programmas līmeņa finanšu korekcijas: piešķīrums, kas balstīts uz kopējo līdzekļu apjomu, kas izmaksāts projekta partneriem katrā no dalībvalstīm (līdzekļu sadale starp visām dalībvalstīm) Eiropas Komisijas lēmuma par finanšu korekciju pieņemšanas datumā.</w:t>
      </w:r>
    </w:p>
    <w:p w:rsidR="00647FC0" w:rsidRPr="00576895" w:rsidRDefault="00647FC0" w:rsidP="00647FC0">
      <w:pPr>
        <w:numPr>
          <w:ilvl w:val="0"/>
          <w:numId w:val="22"/>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en-US"/>
        </w:rPr>
        <w:t>Augstāk minētā finanšu korekcijas sadales metod</w:t>
      </w:r>
      <w:r w:rsidR="00451C72">
        <w:rPr>
          <w:rFonts w:ascii="Times New Roman" w:eastAsia="Times New Roman" w:hAnsi="Times New Roman" w:cs="Times New Roman"/>
          <w:color w:val="auto"/>
          <w:szCs w:val="24"/>
          <w:lang w:val="lv-LV" w:eastAsia="en-US"/>
        </w:rPr>
        <w:t>e</w:t>
      </w:r>
      <w:r w:rsidRPr="00576895">
        <w:rPr>
          <w:rFonts w:ascii="Times New Roman" w:eastAsia="Times New Roman" w:hAnsi="Times New Roman" w:cs="Times New Roman"/>
          <w:color w:val="auto"/>
          <w:szCs w:val="24"/>
          <w:lang w:val="lv-LV" w:eastAsia="en-US"/>
        </w:rPr>
        <w:t xml:space="preserve"> attiecas arī uz ārpus Programmas  teritorijas esošām ES dalībvalstīm, ja šajās valstīs esoši projekta partneri ir iesaistīti Programmā. </w:t>
      </w:r>
    </w:p>
    <w:p w:rsidR="00647FC0" w:rsidRPr="00576895" w:rsidRDefault="00647FC0" w:rsidP="00647FC0">
      <w:pPr>
        <w:numPr>
          <w:ilvl w:val="0"/>
          <w:numId w:val="22"/>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en-US"/>
        </w:rPr>
        <w:t>Konstatētās Programmas līmeņa sistēmas kļūdas un citas kļūdas, kuru rezultātā ir jāveic finanšu korekcija vai Programmas līmenī pārtraukti/atlikti maksājumi, var ietekmēt arī projektu līmeni. Šis jautājums ir iekļauts Programmas vadlīnijās.</w:t>
      </w:r>
    </w:p>
    <w:p w:rsidR="00647FC0" w:rsidRPr="00576895" w:rsidRDefault="00647FC0" w:rsidP="00647FC0">
      <w:pPr>
        <w:numPr>
          <w:ilvl w:val="0"/>
          <w:numId w:val="22"/>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en-US"/>
        </w:rPr>
        <w:t>Attiecībā uz sistēmas kļūdām saistītām ar TP izdevumiem, kas balstītas uz dalībvalstu kopīgiem lēmumiem, dalībvalstis uzņemas kopīgas saistības proporcionāli katras dalībvalsts ieguldījuma apjomam kopējā TP budžetā.</w:t>
      </w:r>
    </w:p>
    <w:p w:rsidR="00647FC0" w:rsidRPr="00576895" w:rsidRDefault="00FF039A" w:rsidP="00647FC0">
      <w:pPr>
        <w:pStyle w:val="Heading1"/>
        <w:spacing w:before="600" w:after="120"/>
        <w:ind w:left="357" w:hanging="357"/>
        <w:jc w:val="center"/>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6.pan</w:t>
      </w:r>
      <w:r w:rsidR="00647FC0" w:rsidRPr="00576895">
        <w:rPr>
          <w:rFonts w:ascii="Times New Roman" w:hAnsi="Times New Roman" w:cs="Times New Roman"/>
          <w:color w:val="auto"/>
          <w:sz w:val="24"/>
          <w:szCs w:val="24"/>
          <w:lang w:val="lv-LV"/>
        </w:rPr>
        <w:t>ts: Programmas slēgšanas kārtība</w:t>
      </w:r>
    </w:p>
    <w:p w:rsidR="00647FC0" w:rsidRPr="00576895" w:rsidRDefault="00647FC0" w:rsidP="00647FC0">
      <w:pPr>
        <w:numPr>
          <w:ilvl w:val="0"/>
          <w:numId w:val="28"/>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 xml:space="preserve">Saskaņā ar Regulas (ES) Nr. 1303/2013 141.pantu, Programmas iestādes realizēs Programmas slēgšanu. Lai nodrošinātu sekmīgu Programmas slēgšanas gaitu, IB.SH sadarbosies ar Revīzijas iestādi. </w:t>
      </w:r>
    </w:p>
    <w:p w:rsidR="00647FC0" w:rsidRPr="00576895" w:rsidRDefault="00647FC0" w:rsidP="00647FC0">
      <w:pPr>
        <w:numPr>
          <w:ilvl w:val="0"/>
          <w:numId w:val="28"/>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Programmas slēgšana tiks sagatavota pēc iespējas Programmas atbilstības perioda laikā, lai nodrošinātu procesa paātrināšanu, slēgšanas darbību un dalībvalsts vai pārņēmēja programmas (pēc šīs programmas termiņa beigām 31.12.2023) finansētu izmaksu ierobežošanu.</w:t>
      </w:r>
    </w:p>
    <w:p w:rsidR="00647FC0" w:rsidRPr="00576895" w:rsidRDefault="00647FC0" w:rsidP="00647FC0">
      <w:pPr>
        <w:numPr>
          <w:ilvl w:val="0"/>
          <w:numId w:val="28"/>
        </w:numPr>
        <w:autoSpaceDE/>
        <w:autoSpaceDN/>
        <w:adjustRightInd/>
        <w:spacing w:before="180" w:after="120" w:line="260" w:lineRule="atLeast"/>
        <w:ind w:left="284" w:hanging="284"/>
        <w:jc w:val="both"/>
        <w:rPr>
          <w:rFonts w:ascii="Times New Roman" w:eastAsia="Times New Roman" w:hAnsi="Times New Roman" w:cs="Times New Roman"/>
          <w:szCs w:val="24"/>
          <w:lang w:val="lv-LV" w:eastAsia="en-GB"/>
        </w:rPr>
      </w:pPr>
      <w:r w:rsidRPr="00576895">
        <w:rPr>
          <w:rFonts w:ascii="Times New Roman" w:eastAsia="Times New Roman" w:hAnsi="Times New Roman" w:cs="Times New Roman"/>
          <w:color w:val="auto"/>
          <w:szCs w:val="24"/>
          <w:lang w:val="lv-LV" w:eastAsia="en-GB"/>
        </w:rPr>
        <w:t>Saskaņā ar Regulas (ES) Nr. 1303/2013 140(1).pantu, attiecībā uz Programmas līmeni kompilētā informācija ti</w:t>
      </w:r>
      <w:r w:rsidR="00D901B9">
        <w:rPr>
          <w:rFonts w:ascii="Times New Roman" w:eastAsia="Times New Roman" w:hAnsi="Times New Roman" w:cs="Times New Roman"/>
          <w:color w:val="auto"/>
          <w:szCs w:val="24"/>
          <w:lang w:val="lv-LV" w:eastAsia="en-GB"/>
        </w:rPr>
        <w:t>ek</w:t>
      </w:r>
      <w:r w:rsidRPr="00576895">
        <w:rPr>
          <w:rFonts w:ascii="Times New Roman" w:eastAsia="Times New Roman" w:hAnsi="Times New Roman" w:cs="Times New Roman"/>
          <w:color w:val="auto"/>
          <w:szCs w:val="24"/>
          <w:lang w:val="lv-LV" w:eastAsia="en-GB"/>
        </w:rPr>
        <w:t xml:space="preserve"> uzglabāta trīs gadus pēc Programmas slēgšanas. Tas attiecas uz IB.SH (VI/KS) un VRAA (KS filiāle) glabātiem ar TP un projektiem saistītiem datiem un dokumentiem vai Revīzijas iestādes glabātiem ar Programmas ieviešanu saistītiem datiem un dokumentiem. Līdzīgi kā iepriekšējā programmā – Baltijas jūras reģiona programma 2007-2013, paredzēta visas Programmas ieviešanas datubāzes arhivēšana, lai arī pēc Programmas beigām nodrošinātu piekļuvi visiem datiem. </w:t>
      </w:r>
      <w:r w:rsidRPr="00576895">
        <w:rPr>
          <w:rFonts w:ascii="Times New Roman" w:eastAsia="Times New Roman" w:hAnsi="Times New Roman" w:cs="Times New Roman"/>
          <w:szCs w:val="24"/>
          <w:lang w:val="lv-LV" w:eastAsia="en-GB"/>
        </w:rPr>
        <w:br w:type="page"/>
      </w:r>
    </w:p>
    <w:p w:rsidR="00647FC0" w:rsidRPr="00576895" w:rsidRDefault="00647FC0" w:rsidP="00647FC0">
      <w:pPr>
        <w:pStyle w:val="Heading1"/>
        <w:spacing w:before="720" w:after="120"/>
        <w:ind w:left="357" w:hanging="357"/>
        <w:jc w:val="center"/>
        <w:rPr>
          <w:rFonts w:ascii="Times New Roman" w:hAnsi="Times New Roman" w:cs="Times New Roman"/>
          <w:smallCaps/>
          <w:color w:val="auto"/>
          <w:sz w:val="24"/>
          <w:szCs w:val="24"/>
          <w:lang w:val="lv-LV"/>
        </w:rPr>
      </w:pPr>
      <w:r w:rsidRPr="00576895">
        <w:rPr>
          <w:rFonts w:ascii="Times New Roman" w:hAnsi="Times New Roman" w:cs="Times New Roman"/>
          <w:smallCaps/>
          <w:color w:val="auto"/>
          <w:sz w:val="24"/>
          <w:szCs w:val="24"/>
          <w:lang w:val="lv-LV"/>
        </w:rPr>
        <w:lastRenderedPageBreak/>
        <w:t xml:space="preserve">2.daļa – Citi noteikumi </w:t>
      </w:r>
    </w:p>
    <w:p w:rsidR="00647FC0" w:rsidRPr="00576895" w:rsidRDefault="00FF039A" w:rsidP="00647FC0">
      <w:pPr>
        <w:pStyle w:val="Heading1"/>
        <w:spacing w:before="240" w:after="120"/>
        <w:ind w:left="357" w:hanging="357"/>
        <w:jc w:val="center"/>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7.pan</w:t>
      </w:r>
      <w:r w:rsidR="00647FC0" w:rsidRPr="00576895">
        <w:rPr>
          <w:rFonts w:ascii="Times New Roman" w:hAnsi="Times New Roman" w:cs="Times New Roman"/>
          <w:color w:val="auto"/>
          <w:sz w:val="24"/>
          <w:szCs w:val="24"/>
          <w:lang w:val="lv-LV"/>
        </w:rPr>
        <w:t>ts: Izmaiņas ieviešanas struktūrās</w:t>
      </w:r>
    </w:p>
    <w:p w:rsidR="00647FC0" w:rsidRPr="00576895" w:rsidRDefault="00647FC0" w:rsidP="00647FC0">
      <w:pPr>
        <w:spacing w:before="180" w:after="120" w:line="260" w:lineRule="atLeast"/>
        <w:jc w:val="both"/>
        <w:rPr>
          <w:rFonts w:ascii="Times New Roman" w:eastAsia="Times New Roman" w:hAnsi="Times New Roman" w:cs="Times New Roman"/>
          <w:b/>
          <w:color w:val="auto"/>
          <w:szCs w:val="24"/>
          <w:lang w:val="lv-LV" w:eastAsia="en-GB"/>
        </w:rPr>
      </w:pPr>
      <w:r w:rsidRPr="00576895">
        <w:rPr>
          <w:rFonts w:ascii="Times New Roman" w:eastAsia="Times New Roman" w:hAnsi="Times New Roman" w:cs="Times New Roman"/>
          <w:color w:val="auto"/>
          <w:szCs w:val="24"/>
          <w:lang w:val="lv-LV" w:eastAsia="en-GB"/>
        </w:rPr>
        <w:t xml:space="preserve">Dalībvalstis vai Programmas iestādes var iesniegt pieprasījumus par izmaiņu veikšanu programmas ieviešanas struktūrās un šo pieprasījumu izvērtēšanu veiks UK. Atkarībā no izmaiņām un rezultāta, Programma var tikt pārskatīta un iesniegta Eiropas Komisijā apstiprinājuma saņemšanai. </w:t>
      </w:r>
    </w:p>
    <w:p w:rsidR="00647FC0" w:rsidRPr="00576895" w:rsidRDefault="00FF039A" w:rsidP="00647FC0">
      <w:pPr>
        <w:pStyle w:val="Heading1"/>
        <w:spacing w:before="600" w:after="120"/>
        <w:ind w:left="357" w:hanging="357"/>
        <w:jc w:val="center"/>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8.pan</w:t>
      </w:r>
      <w:r w:rsidR="00647FC0" w:rsidRPr="00576895">
        <w:rPr>
          <w:rFonts w:ascii="Times New Roman" w:hAnsi="Times New Roman" w:cs="Times New Roman"/>
          <w:color w:val="auto"/>
          <w:sz w:val="24"/>
          <w:szCs w:val="24"/>
          <w:lang w:val="lv-LV"/>
        </w:rPr>
        <w:t>ts: Saskaņoto noteikumu un termiņu neievērošana – sankcijas</w:t>
      </w:r>
    </w:p>
    <w:p w:rsidR="00647FC0" w:rsidRPr="00576895" w:rsidRDefault="00647FC0" w:rsidP="00647FC0">
      <w:pPr>
        <w:numPr>
          <w:ilvl w:val="0"/>
          <w:numId w:val="26"/>
        </w:numPr>
        <w:autoSpaceDE/>
        <w:autoSpaceDN/>
        <w:adjustRightInd/>
        <w:spacing w:before="180" w:after="120" w:line="260" w:lineRule="atLeast"/>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 xml:space="preserve">Parakstot šo </w:t>
      </w:r>
      <w:r w:rsidR="00995364">
        <w:rPr>
          <w:rFonts w:ascii="Times New Roman" w:eastAsia="Times New Roman" w:hAnsi="Times New Roman" w:cs="Times New Roman"/>
          <w:color w:val="auto"/>
          <w:szCs w:val="24"/>
          <w:lang w:val="lv-LV" w:eastAsia="en-GB"/>
        </w:rPr>
        <w:t>Vienošanos</w:t>
      </w:r>
      <w:r w:rsidRPr="00576895">
        <w:rPr>
          <w:rFonts w:ascii="Times New Roman" w:eastAsia="Times New Roman" w:hAnsi="Times New Roman" w:cs="Times New Roman"/>
          <w:color w:val="auto"/>
          <w:szCs w:val="24"/>
          <w:lang w:val="lv-LV" w:eastAsia="en-GB"/>
        </w:rPr>
        <w:t xml:space="preserve">, katra dalībvalsts un IB.SH apņemas ievērot saskaņotos noteikumus un termiņus, kā arī nekavējoties informēt otru pusi par problēmām, šķēršļiem un kavējumiem. </w:t>
      </w:r>
    </w:p>
    <w:p w:rsidR="00647FC0" w:rsidRPr="00576895" w:rsidRDefault="00647FC0" w:rsidP="00647FC0">
      <w:pPr>
        <w:numPr>
          <w:ilvl w:val="0"/>
          <w:numId w:val="26"/>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 xml:space="preserve">Saskaņotie noteikumi attiecas uz valsts atbildību par finansējuma saņēmēju atbilstības un juridiskā statusa pārbaudi, nacionālo apstiprināšanu, projektu novērtēšanu, pirmā līmeņa kontroles (PLK) sistēmu, otrā līmeņa revidentu (OLR) apstiprināšanu nacionālā līmenī, kā arī saistību noteikšanu attiecībā uz TP līdzfinansējumu, finanšu korekcijām un atmaksāšanas procedūrām. </w:t>
      </w:r>
    </w:p>
    <w:p w:rsidR="00647FC0" w:rsidRPr="00576895" w:rsidRDefault="00647FC0" w:rsidP="00647FC0">
      <w:pPr>
        <w:numPr>
          <w:ilvl w:val="0"/>
          <w:numId w:val="26"/>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Saskaņoto noteikumu neievērošanas gadījumos, katra situācija t</w:t>
      </w:r>
      <w:r w:rsidR="00D901B9">
        <w:rPr>
          <w:rFonts w:ascii="Times New Roman" w:eastAsia="Times New Roman" w:hAnsi="Times New Roman" w:cs="Times New Roman"/>
          <w:color w:val="auto"/>
          <w:szCs w:val="24"/>
          <w:lang w:val="lv-LV" w:eastAsia="en-GB"/>
        </w:rPr>
        <w:t>iek</w:t>
      </w:r>
      <w:r w:rsidRPr="00576895">
        <w:rPr>
          <w:rFonts w:ascii="Times New Roman" w:eastAsia="Times New Roman" w:hAnsi="Times New Roman" w:cs="Times New Roman"/>
          <w:color w:val="auto"/>
          <w:szCs w:val="24"/>
          <w:lang w:val="lv-LV" w:eastAsia="en-GB"/>
        </w:rPr>
        <w:t xml:space="preserve"> izskatīta individuāli. Ja dalībvalsts nepilda savus pienākumus, VI ir tiesīga pārtraukt maksājumus visiem šīs dalībvalsts teritorijā esošiem projekta partneriem. </w:t>
      </w:r>
    </w:p>
    <w:p w:rsidR="00647FC0" w:rsidRPr="00576895" w:rsidRDefault="00647FC0" w:rsidP="00647FC0">
      <w:pPr>
        <w:numPr>
          <w:ilvl w:val="0"/>
          <w:numId w:val="26"/>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 xml:space="preserve">Procedūras saskaņoto noteikumu un termiņu neievērošanas gadījumos projekta līmenī tiks noteiktas Finansēšanas līgumā un Programmas vadlīnijās. </w:t>
      </w:r>
    </w:p>
    <w:p w:rsidR="00647FC0" w:rsidRPr="00576895" w:rsidRDefault="00FF039A" w:rsidP="00647FC0">
      <w:pPr>
        <w:pStyle w:val="Heading1"/>
        <w:spacing w:before="600" w:after="120"/>
        <w:ind w:left="357" w:hanging="357"/>
        <w:jc w:val="center"/>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9.pan</w:t>
      </w:r>
      <w:r w:rsidR="00647FC0" w:rsidRPr="00576895">
        <w:rPr>
          <w:rFonts w:ascii="Times New Roman" w:hAnsi="Times New Roman" w:cs="Times New Roman"/>
          <w:color w:val="auto"/>
          <w:sz w:val="24"/>
          <w:szCs w:val="24"/>
          <w:lang w:val="lv-LV"/>
        </w:rPr>
        <w:t>ts: Noslēguma noteikumi</w:t>
      </w:r>
    </w:p>
    <w:p w:rsidR="00647FC0" w:rsidRPr="00576895" w:rsidRDefault="00647FC0" w:rsidP="00647FC0">
      <w:pPr>
        <w:numPr>
          <w:ilvl w:val="0"/>
          <w:numId w:val="27"/>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 xml:space="preserve">Programmas darba valoda </w:t>
      </w:r>
      <w:r w:rsidR="00D901B9">
        <w:rPr>
          <w:rFonts w:ascii="Times New Roman" w:eastAsia="Times New Roman" w:hAnsi="Times New Roman" w:cs="Times New Roman"/>
          <w:color w:val="auto"/>
          <w:szCs w:val="24"/>
          <w:lang w:val="lv-LV" w:eastAsia="en-GB"/>
        </w:rPr>
        <w:t>ir</w:t>
      </w:r>
      <w:r w:rsidR="00D901B9" w:rsidRPr="00576895">
        <w:rPr>
          <w:rFonts w:ascii="Times New Roman" w:eastAsia="Times New Roman" w:hAnsi="Times New Roman" w:cs="Times New Roman"/>
          <w:color w:val="auto"/>
          <w:szCs w:val="24"/>
          <w:lang w:val="lv-LV" w:eastAsia="en-GB"/>
        </w:rPr>
        <w:t xml:space="preserve"> </w:t>
      </w:r>
      <w:r w:rsidRPr="00576895">
        <w:rPr>
          <w:rFonts w:ascii="Times New Roman" w:eastAsia="Times New Roman" w:hAnsi="Times New Roman" w:cs="Times New Roman"/>
          <w:color w:val="auto"/>
          <w:szCs w:val="24"/>
          <w:lang w:val="lv-LV" w:eastAsia="en-GB"/>
        </w:rPr>
        <w:t xml:space="preserve">angļu valoda. Tādēļ visa uz šo </w:t>
      </w:r>
      <w:r w:rsidR="00995364">
        <w:rPr>
          <w:rFonts w:ascii="Times New Roman" w:eastAsia="Times New Roman" w:hAnsi="Times New Roman" w:cs="Times New Roman"/>
          <w:color w:val="auto"/>
          <w:szCs w:val="24"/>
          <w:lang w:val="lv-LV" w:eastAsia="en-GB"/>
        </w:rPr>
        <w:t>Vienošanos</w:t>
      </w:r>
      <w:r w:rsidR="00995364" w:rsidRPr="00576895">
        <w:rPr>
          <w:rFonts w:ascii="Times New Roman" w:eastAsia="Times New Roman" w:hAnsi="Times New Roman" w:cs="Times New Roman"/>
          <w:color w:val="auto"/>
          <w:szCs w:val="24"/>
          <w:lang w:val="lv-LV" w:eastAsia="en-GB"/>
        </w:rPr>
        <w:t xml:space="preserve"> </w:t>
      </w:r>
      <w:r w:rsidRPr="00576895">
        <w:rPr>
          <w:rFonts w:ascii="Times New Roman" w:eastAsia="Times New Roman" w:hAnsi="Times New Roman" w:cs="Times New Roman"/>
          <w:color w:val="auto"/>
          <w:szCs w:val="24"/>
          <w:lang w:val="lv-LV" w:eastAsia="en-GB"/>
        </w:rPr>
        <w:t>starp IB.SH un dalībvalstīm attiecināmā saziņa t</w:t>
      </w:r>
      <w:r w:rsidR="00D901B9">
        <w:rPr>
          <w:rFonts w:ascii="Times New Roman" w:eastAsia="Times New Roman" w:hAnsi="Times New Roman" w:cs="Times New Roman"/>
          <w:color w:val="auto"/>
          <w:szCs w:val="24"/>
          <w:lang w:val="lv-LV" w:eastAsia="en-GB"/>
        </w:rPr>
        <w:t>iek</w:t>
      </w:r>
      <w:r w:rsidRPr="00576895">
        <w:rPr>
          <w:rFonts w:ascii="Times New Roman" w:eastAsia="Times New Roman" w:hAnsi="Times New Roman" w:cs="Times New Roman"/>
          <w:color w:val="auto"/>
          <w:szCs w:val="24"/>
          <w:lang w:val="lv-LV" w:eastAsia="en-GB"/>
        </w:rPr>
        <w:t xml:space="preserve"> veikta angļu valodā. </w:t>
      </w:r>
    </w:p>
    <w:p w:rsidR="00647FC0" w:rsidRPr="00576895" w:rsidRDefault="009C5EDD" w:rsidP="00647FC0">
      <w:pPr>
        <w:numPr>
          <w:ilvl w:val="0"/>
          <w:numId w:val="27"/>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US"/>
        </w:rPr>
      </w:pPr>
      <w:r>
        <w:rPr>
          <w:rFonts w:ascii="Times New Roman" w:eastAsia="Times New Roman" w:hAnsi="Times New Roman" w:cs="Times New Roman"/>
          <w:color w:val="auto"/>
          <w:szCs w:val="24"/>
          <w:lang w:val="lv-LV" w:eastAsia="en-GB"/>
        </w:rPr>
        <w:t>Bez ierobežojumiem attiecībā</w:t>
      </w:r>
      <w:r w:rsidR="00647FC0" w:rsidRPr="00576895">
        <w:rPr>
          <w:rFonts w:ascii="Times New Roman" w:eastAsia="Times New Roman" w:hAnsi="Times New Roman" w:cs="Times New Roman"/>
          <w:color w:val="auto"/>
          <w:szCs w:val="24"/>
          <w:lang w:val="lv-LV" w:eastAsia="en-GB"/>
        </w:rPr>
        <w:t xml:space="preserve"> uz </w:t>
      </w:r>
      <w:r w:rsidR="00995364">
        <w:rPr>
          <w:rFonts w:ascii="Times New Roman" w:eastAsia="Times New Roman" w:hAnsi="Times New Roman" w:cs="Times New Roman"/>
          <w:color w:val="auto"/>
          <w:szCs w:val="24"/>
          <w:lang w:val="lv-LV" w:eastAsia="en-GB"/>
        </w:rPr>
        <w:t>piemērojamiem Eiropas Savienības tiesību aktiem</w:t>
      </w:r>
      <w:r w:rsidR="00647FC0" w:rsidRPr="00576895">
        <w:rPr>
          <w:rFonts w:ascii="Times New Roman" w:eastAsia="Times New Roman" w:hAnsi="Times New Roman" w:cs="Times New Roman"/>
          <w:color w:val="auto"/>
          <w:szCs w:val="24"/>
          <w:lang w:val="lv-LV" w:eastAsia="en-GB"/>
        </w:rPr>
        <w:t xml:space="preserve">,  </w:t>
      </w:r>
      <w:r w:rsidR="00995364">
        <w:rPr>
          <w:rFonts w:ascii="Times New Roman" w:eastAsia="Times New Roman" w:hAnsi="Times New Roman" w:cs="Times New Roman"/>
          <w:color w:val="auto"/>
          <w:szCs w:val="24"/>
          <w:lang w:val="lv-LV" w:eastAsia="en-GB"/>
        </w:rPr>
        <w:t>Vienošanās</w:t>
      </w:r>
      <w:r w:rsidR="00995364" w:rsidRPr="00576895">
        <w:rPr>
          <w:rFonts w:ascii="Times New Roman" w:eastAsia="Times New Roman" w:hAnsi="Times New Roman" w:cs="Times New Roman"/>
          <w:color w:val="auto"/>
          <w:szCs w:val="24"/>
          <w:lang w:val="lv-LV" w:eastAsia="en-GB"/>
        </w:rPr>
        <w:t xml:space="preserve"> </w:t>
      </w:r>
      <w:r w:rsidR="00D901B9">
        <w:rPr>
          <w:rFonts w:ascii="Times New Roman" w:eastAsia="Times New Roman" w:hAnsi="Times New Roman" w:cs="Times New Roman"/>
          <w:color w:val="auto"/>
          <w:szCs w:val="24"/>
          <w:lang w:val="lv-LV" w:eastAsia="en-GB"/>
        </w:rPr>
        <w:t>tiek</w:t>
      </w:r>
      <w:r w:rsidR="00D901B9" w:rsidRPr="00576895">
        <w:rPr>
          <w:rFonts w:ascii="Times New Roman" w:eastAsia="Times New Roman" w:hAnsi="Times New Roman" w:cs="Times New Roman"/>
          <w:color w:val="auto"/>
          <w:szCs w:val="24"/>
          <w:lang w:val="lv-LV" w:eastAsia="en-GB"/>
        </w:rPr>
        <w:t xml:space="preserve"> </w:t>
      </w:r>
      <w:r w:rsidR="00647FC0" w:rsidRPr="00576895">
        <w:rPr>
          <w:rFonts w:ascii="Times New Roman" w:eastAsia="Times New Roman" w:hAnsi="Times New Roman" w:cs="Times New Roman"/>
          <w:color w:val="auto"/>
          <w:szCs w:val="24"/>
          <w:lang w:val="lv-LV" w:eastAsia="en-GB"/>
        </w:rPr>
        <w:t>pārvaldīt</w:t>
      </w:r>
      <w:r w:rsidR="00995364">
        <w:rPr>
          <w:rFonts w:ascii="Times New Roman" w:eastAsia="Times New Roman" w:hAnsi="Times New Roman" w:cs="Times New Roman"/>
          <w:color w:val="auto"/>
          <w:szCs w:val="24"/>
          <w:lang w:val="lv-LV" w:eastAsia="en-GB"/>
        </w:rPr>
        <w:t>a</w:t>
      </w:r>
      <w:r w:rsidR="00647FC0" w:rsidRPr="00576895">
        <w:rPr>
          <w:rFonts w:ascii="Times New Roman" w:eastAsia="Times New Roman" w:hAnsi="Times New Roman" w:cs="Times New Roman"/>
          <w:color w:val="auto"/>
          <w:szCs w:val="24"/>
          <w:lang w:val="lv-LV" w:eastAsia="en-GB"/>
        </w:rPr>
        <w:t xml:space="preserve"> atbilstoši Vācijas likumiem. </w:t>
      </w:r>
      <w:r w:rsidR="00995364">
        <w:rPr>
          <w:rFonts w:ascii="Times New Roman" w:eastAsia="Times New Roman" w:hAnsi="Times New Roman" w:cs="Times New Roman"/>
          <w:color w:val="auto"/>
          <w:szCs w:val="24"/>
          <w:lang w:val="lv-LV" w:eastAsia="en-GB"/>
        </w:rPr>
        <w:t>Vienošanās</w:t>
      </w:r>
      <w:r w:rsidR="00995364" w:rsidRPr="00576895">
        <w:rPr>
          <w:rFonts w:ascii="Times New Roman" w:eastAsia="Times New Roman" w:hAnsi="Times New Roman" w:cs="Times New Roman"/>
          <w:color w:val="auto"/>
          <w:szCs w:val="24"/>
          <w:lang w:val="lv-LV" w:eastAsia="en-GB"/>
        </w:rPr>
        <w:t xml:space="preserve"> </w:t>
      </w:r>
      <w:r w:rsidR="00647FC0" w:rsidRPr="00576895">
        <w:rPr>
          <w:rFonts w:ascii="Times New Roman" w:eastAsia="Times New Roman" w:hAnsi="Times New Roman" w:cs="Times New Roman"/>
          <w:color w:val="auto"/>
          <w:szCs w:val="24"/>
          <w:lang w:val="lv-LV" w:eastAsia="en-GB"/>
        </w:rPr>
        <w:t>var tikt grozīt</w:t>
      </w:r>
      <w:r w:rsidR="00995364">
        <w:rPr>
          <w:rFonts w:ascii="Times New Roman" w:eastAsia="Times New Roman" w:hAnsi="Times New Roman" w:cs="Times New Roman"/>
          <w:color w:val="auto"/>
          <w:szCs w:val="24"/>
          <w:lang w:val="lv-LV" w:eastAsia="en-GB"/>
        </w:rPr>
        <w:t>a</w:t>
      </w:r>
      <w:r w:rsidR="00647FC0" w:rsidRPr="00576895">
        <w:rPr>
          <w:rFonts w:ascii="Times New Roman" w:eastAsia="Times New Roman" w:hAnsi="Times New Roman" w:cs="Times New Roman"/>
          <w:color w:val="auto"/>
          <w:szCs w:val="24"/>
          <w:lang w:val="lv-LV" w:eastAsia="en-GB"/>
        </w:rPr>
        <w:t xml:space="preserve"> vienīgi rakstiski, vienojoties </w:t>
      </w:r>
      <w:r w:rsidR="00647FC0" w:rsidRPr="00576895">
        <w:rPr>
          <w:rFonts w:ascii="Times New Roman" w:eastAsia="Times New Roman" w:hAnsi="Times New Roman" w:cs="Times New Roman"/>
          <w:color w:val="auto"/>
          <w:szCs w:val="24"/>
          <w:lang w:val="lv-LV" w:eastAsia="en-US"/>
        </w:rPr>
        <w:t xml:space="preserve">visām dalībvalstīm un IB.SH. </w:t>
      </w:r>
    </w:p>
    <w:p w:rsidR="00647FC0" w:rsidRPr="00576895" w:rsidRDefault="00647FC0" w:rsidP="00647FC0">
      <w:pPr>
        <w:numPr>
          <w:ilvl w:val="0"/>
          <w:numId w:val="27"/>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Ja kāds no šī</w:t>
      </w:r>
      <w:r w:rsidR="00995364">
        <w:rPr>
          <w:rFonts w:ascii="Times New Roman" w:eastAsia="Times New Roman" w:hAnsi="Times New Roman" w:cs="Times New Roman"/>
          <w:color w:val="auto"/>
          <w:szCs w:val="24"/>
          <w:lang w:val="lv-LV" w:eastAsia="en-GB"/>
        </w:rPr>
        <w:t>s</w:t>
      </w:r>
      <w:r w:rsidRPr="00576895">
        <w:rPr>
          <w:rFonts w:ascii="Times New Roman" w:eastAsia="Times New Roman" w:hAnsi="Times New Roman" w:cs="Times New Roman"/>
          <w:color w:val="auto"/>
          <w:szCs w:val="24"/>
          <w:lang w:val="lv-LV" w:eastAsia="en-GB"/>
        </w:rPr>
        <w:t xml:space="preserve"> </w:t>
      </w:r>
      <w:r w:rsidR="00995364">
        <w:rPr>
          <w:rFonts w:ascii="Times New Roman" w:eastAsia="Times New Roman" w:hAnsi="Times New Roman" w:cs="Times New Roman"/>
          <w:color w:val="auto"/>
          <w:szCs w:val="24"/>
          <w:lang w:val="lv-LV" w:eastAsia="en-GB"/>
        </w:rPr>
        <w:t>Vienošanās</w:t>
      </w:r>
      <w:r w:rsidR="00995364" w:rsidRPr="00576895">
        <w:rPr>
          <w:rFonts w:ascii="Times New Roman" w:eastAsia="Times New Roman" w:hAnsi="Times New Roman" w:cs="Times New Roman"/>
          <w:color w:val="auto"/>
          <w:szCs w:val="24"/>
          <w:lang w:val="lv-LV" w:eastAsia="en-GB"/>
        </w:rPr>
        <w:t xml:space="preserve"> </w:t>
      </w:r>
      <w:r w:rsidRPr="00576895">
        <w:rPr>
          <w:rFonts w:ascii="Times New Roman" w:eastAsia="Times New Roman" w:hAnsi="Times New Roman" w:cs="Times New Roman"/>
          <w:color w:val="auto"/>
          <w:szCs w:val="24"/>
          <w:lang w:val="lv-LV" w:eastAsia="en-GB"/>
        </w:rPr>
        <w:t xml:space="preserve">punktiem būs vai kļūs pilnībā vai daļēji spēkā neesošs, visi pārējie </w:t>
      </w:r>
      <w:r w:rsidR="00995364">
        <w:rPr>
          <w:rFonts w:ascii="Times New Roman" w:eastAsia="Times New Roman" w:hAnsi="Times New Roman" w:cs="Times New Roman"/>
          <w:color w:val="auto"/>
          <w:szCs w:val="24"/>
          <w:lang w:val="lv-LV" w:eastAsia="en-GB"/>
        </w:rPr>
        <w:t>Vienošanās</w:t>
      </w:r>
      <w:r w:rsidRPr="00576895">
        <w:rPr>
          <w:rFonts w:ascii="Times New Roman" w:eastAsia="Times New Roman" w:hAnsi="Times New Roman" w:cs="Times New Roman"/>
          <w:color w:val="auto"/>
          <w:szCs w:val="24"/>
          <w:lang w:val="lv-LV" w:eastAsia="en-GB"/>
        </w:rPr>
        <w:t xml:space="preserve"> punkti būs spēkā esoši. Šo </w:t>
      </w:r>
      <w:r w:rsidR="00995364">
        <w:rPr>
          <w:rFonts w:ascii="Times New Roman" w:eastAsia="Times New Roman" w:hAnsi="Times New Roman" w:cs="Times New Roman"/>
          <w:color w:val="auto"/>
          <w:szCs w:val="24"/>
          <w:lang w:val="lv-LV" w:eastAsia="en-GB"/>
        </w:rPr>
        <w:t>Vienošanos</w:t>
      </w:r>
      <w:r w:rsidR="00995364" w:rsidRPr="00576895">
        <w:rPr>
          <w:rFonts w:ascii="Times New Roman" w:eastAsia="Times New Roman" w:hAnsi="Times New Roman" w:cs="Times New Roman"/>
          <w:color w:val="auto"/>
          <w:szCs w:val="24"/>
          <w:lang w:val="lv-LV" w:eastAsia="en-GB"/>
        </w:rPr>
        <w:t xml:space="preserve"> </w:t>
      </w:r>
      <w:r w:rsidRPr="00576895">
        <w:rPr>
          <w:rFonts w:ascii="Times New Roman" w:eastAsia="Times New Roman" w:hAnsi="Times New Roman" w:cs="Times New Roman"/>
          <w:color w:val="auto"/>
          <w:szCs w:val="24"/>
          <w:lang w:val="lv-LV" w:eastAsia="en-GB"/>
        </w:rPr>
        <w:t xml:space="preserve">parakstījušās puses apņemas pielikt visas pūles, lai aizvietotu spēku zaudējušo </w:t>
      </w:r>
      <w:r w:rsidR="00995364">
        <w:rPr>
          <w:rFonts w:ascii="Times New Roman" w:eastAsia="Times New Roman" w:hAnsi="Times New Roman" w:cs="Times New Roman"/>
          <w:color w:val="auto"/>
          <w:szCs w:val="24"/>
          <w:lang w:val="lv-LV" w:eastAsia="en-GB"/>
        </w:rPr>
        <w:t>Vienošanās</w:t>
      </w:r>
      <w:r w:rsidR="00995364" w:rsidRPr="00576895">
        <w:rPr>
          <w:rFonts w:ascii="Times New Roman" w:eastAsia="Times New Roman" w:hAnsi="Times New Roman" w:cs="Times New Roman"/>
          <w:color w:val="auto"/>
          <w:szCs w:val="24"/>
          <w:lang w:val="lv-LV" w:eastAsia="en-GB"/>
        </w:rPr>
        <w:t xml:space="preserve"> </w:t>
      </w:r>
      <w:r w:rsidRPr="00576895">
        <w:rPr>
          <w:rFonts w:ascii="Times New Roman" w:eastAsia="Times New Roman" w:hAnsi="Times New Roman" w:cs="Times New Roman"/>
          <w:color w:val="auto"/>
          <w:szCs w:val="24"/>
          <w:lang w:val="lv-LV" w:eastAsia="en-GB"/>
        </w:rPr>
        <w:t xml:space="preserve">punktu ar jaunu saturiski līdzīgu punktu. </w:t>
      </w:r>
    </w:p>
    <w:p w:rsidR="00647FC0" w:rsidRPr="00576895" w:rsidRDefault="00647FC0" w:rsidP="00647FC0">
      <w:pPr>
        <w:numPr>
          <w:ilvl w:val="0"/>
          <w:numId w:val="27"/>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Ņemot vērā Regulas (ES) Nr. 1303/2013 65(2).pantā noteiktos atbilstības nosacījumus, š</w:t>
      </w:r>
      <w:r w:rsidR="00995364">
        <w:rPr>
          <w:rFonts w:ascii="Times New Roman" w:eastAsia="Times New Roman" w:hAnsi="Times New Roman" w:cs="Times New Roman"/>
          <w:color w:val="auto"/>
          <w:szCs w:val="24"/>
          <w:lang w:val="lv-LV" w:eastAsia="en-GB"/>
        </w:rPr>
        <w:t>ī</w:t>
      </w:r>
      <w:r w:rsidRPr="00576895">
        <w:rPr>
          <w:rFonts w:ascii="Times New Roman" w:eastAsia="Times New Roman" w:hAnsi="Times New Roman" w:cs="Times New Roman"/>
          <w:color w:val="auto"/>
          <w:szCs w:val="24"/>
          <w:lang w:val="lv-LV" w:eastAsia="en-GB"/>
        </w:rPr>
        <w:t xml:space="preserve"> </w:t>
      </w:r>
      <w:r w:rsidR="00995364">
        <w:rPr>
          <w:rFonts w:ascii="Times New Roman" w:eastAsia="Times New Roman" w:hAnsi="Times New Roman" w:cs="Times New Roman"/>
          <w:color w:val="auto"/>
          <w:szCs w:val="24"/>
          <w:lang w:val="lv-LV" w:eastAsia="en-GB"/>
        </w:rPr>
        <w:t xml:space="preserve">Vienošanās </w:t>
      </w:r>
      <w:r w:rsidRPr="00576895">
        <w:rPr>
          <w:rFonts w:ascii="Times New Roman" w:eastAsia="Times New Roman" w:hAnsi="Times New Roman" w:cs="Times New Roman"/>
          <w:color w:val="auto"/>
          <w:szCs w:val="24"/>
          <w:lang w:val="lv-LV" w:eastAsia="en-GB"/>
        </w:rPr>
        <w:t>pēc tā</w:t>
      </w:r>
      <w:r w:rsidR="00995364">
        <w:rPr>
          <w:rFonts w:ascii="Times New Roman" w:eastAsia="Times New Roman" w:hAnsi="Times New Roman" w:cs="Times New Roman"/>
          <w:color w:val="auto"/>
          <w:szCs w:val="24"/>
          <w:lang w:val="lv-LV" w:eastAsia="en-GB"/>
        </w:rPr>
        <w:t>s</w:t>
      </w:r>
      <w:r w:rsidRPr="00576895">
        <w:rPr>
          <w:rFonts w:ascii="Times New Roman" w:eastAsia="Times New Roman" w:hAnsi="Times New Roman" w:cs="Times New Roman"/>
          <w:color w:val="auto"/>
          <w:szCs w:val="24"/>
          <w:lang w:val="lv-LV" w:eastAsia="en-GB"/>
        </w:rPr>
        <w:t xml:space="preserve"> parakstīšanas no visu dalībvalstu (kā tas ir noteikts </w:t>
      </w:r>
      <w:r w:rsidR="00995364">
        <w:rPr>
          <w:rFonts w:ascii="Times New Roman" w:eastAsia="Times New Roman" w:hAnsi="Times New Roman" w:cs="Times New Roman"/>
          <w:color w:val="auto"/>
          <w:szCs w:val="24"/>
          <w:lang w:val="lv-LV" w:eastAsia="en-GB"/>
        </w:rPr>
        <w:t>Vienošanās</w:t>
      </w:r>
      <w:r w:rsidR="00995364" w:rsidRPr="00576895">
        <w:rPr>
          <w:rFonts w:ascii="Times New Roman" w:eastAsia="Times New Roman" w:hAnsi="Times New Roman" w:cs="Times New Roman"/>
          <w:color w:val="auto"/>
          <w:szCs w:val="24"/>
          <w:lang w:val="lv-LV" w:eastAsia="en-GB"/>
        </w:rPr>
        <w:t xml:space="preserve"> </w:t>
      </w:r>
      <w:r w:rsidRPr="00576895">
        <w:rPr>
          <w:rFonts w:ascii="Times New Roman" w:eastAsia="Times New Roman" w:hAnsi="Times New Roman" w:cs="Times New Roman"/>
          <w:color w:val="auto"/>
          <w:szCs w:val="24"/>
          <w:lang w:val="lv-LV" w:eastAsia="en-GB"/>
        </w:rPr>
        <w:t>preambulā) un IB.SH puses stā</w:t>
      </w:r>
      <w:r w:rsidR="00D901B9">
        <w:rPr>
          <w:rFonts w:ascii="Times New Roman" w:eastAsia="Times New Roman" w:hAnsi="Times New Roman" w:cs="Times New Roman"/>
          <w:color w:val="auto"/>
          <w:szCs w:val="24"/>
          <w:lang w:val="lv-LV" w:eastAsia="en-GB"/>
        </w:rPr>
        <w:t>jas</w:t>
      </w:r>
      <w:r w:rsidRPr="00576895">
        <w:rPr>
          <w:rFonts w:ascii="Times New Roman" w:eastAsia="Times New Roman" w:hAnsi="Times New Roman" w:cs="Times New Roman"/>
          <w:color w:val="auto"/>
          <w:szCs w:val="24"/>
          <w:lang w:val="lv-LV" w:eastAsia="en-GB"/>
        </w:rPr>
        <w:t xml:space="preserve"> spēkā ar atpakaļejošu datumu, tas ir 2014.gada 1.janvāri, un šis datums </w:t>
      </w:r>
      <w:r w:rsidR="00D901B9" w:rsidRPr="00576895">
        <w:rPr>
          <w:rFonts w:ascii="Times New Roman" w:eastAsia="Times New Roman" w:hAnsi="Times New Roman" w:cs="Times New Roman"/>
          <w:color w:val="auto"/>
          <w:szCs w:val="24"/>
          <w:lang w:val="lv-LV" w:eastAsia="en-GB"/>
        </w:rPr>
        <w:t>t</w:t>
      </w:r>
      <w:r w:rsidR="00D901B9">
        <w:rPr>
          <w:rFonts w:ascii="Times New Roman" w:eastAsia="Times New Roman" w:hAnsi="Times New Roman" w:cs="Times New Roman"/>
          <w:color w:val="auto"/>
          <w:szCs w:val="24"/>
          <w:lang w:val="lv-LV" w:eastAsia="en-GB"/>
        </w:rPr>
        <w:t>iek</w:t>
      </w:r>
      <w:r w:rsidR="00D901B9" w:rsidRPr="00576895">
        <w:rPr>
          <w:rFonts w:ascii="Times New Roman" w:eastAsia="Times New Roman" w:hAnsi="Times New Roman" w:cs="Times New Roman"/>
          <w:color w:val="auto"/>
          <w:szCs w:val="24"/>
          <w:lang w:val="lv-LV" w:eastAsia="en-GB"/>
        </w:rPr>
        <w:t xml:space="preserve"> </w:t>
      </w:r>
      <w:r w:rsidRPr="00576895">
        <w:rPr>
          <w:rFonts w:ascii="Times New Roman" w:eastAsia="Times New Roman" w:hAnsi="Times New Roman" w:cs="Times New Roman"/>
          <w:color w:val="auto"/>
          <w:szCs w:val="24"/>
          <w:lang w:val="lv-LV" w:eastAsia="en-GB"/>
        </w:rPr>
        <w:t>uzskatīts par atbilstības datumu Programmā, kā to ir apstiprinājusi Eiropas Komisija.</w:t>
      </w:r>
    </w:p>
    <w:p w:rsidR="00647FC0" w:rsidRPr="00576895" w:rsidRDefault="00647FC0" w:rsidP="00647FC0">
      <w:pPr>
        <w:numPr>
          <w:ilvl w:val="0"/>
          <w:numId w:val="27"/>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Š</w:t>
      </w:r>
      <w:r w:rsidR="00995364">
        <w:rPr>
          <w:rFonts w:ascii="Times New Roman" w:eastAsia="Times New Roman" w:hAnsi="Times New Roman" w:cs="Times New Roman"/>
          <w:color w:val="auto"/>
          <w:szCs w:val="24"/>
          <w:lang w:val="lv-LV" w:eastAsia="en-GB"/>
        </w:rPr>
        <w:t>ī Vienošanās</w:t>
      </w:r>
      <w:r w:rsidRPr="00576895">
        <w:rPr>
          <w:rFonts w:ascii="Times New Roman" w:eastAsia="Times New Roman" w:hAnsi="Times New Roman" w:cs="Times New Roman"/>
          <w:color w:val="auto"/>
          <w:szCs w:val="24"/>
          <w:lang w:val="lv-LV" w:eastAsia="en-GB"/>
        </w:rPr>
        <w:t xml:space="preserve"> </w:t>
      </w:r>
      <w:r w:rsidR="00D901B9" w:rsidRPr="00576895">
        <w:rPr>
          <w:rFonts w:ascii="Times New Roman" w:eastAsia="Times New Roman" w:hAnsi="Times New Roman" w:cs="Times New Roman"/>
          <w:color w:val="auto"/>
          <w:szCs w:val="24"/>
          <w:lang w:val="lv-LV" w:eastAsia="en-GB"/>
        </w:rPr>
        <w:t>attie</w:t>
      </w:r>
      <w:r w:rsidR="00D901B9">
        <w:rPr>
          <w:rFonts w:ascii="Times New Roman" w:eastAsia="Times New Roman" w:hAnsi="Times New Roman" w:cs="Times New Roman"/>
          <w:color w:val="auto"/>
          <w:szCs w:val="24"/>
          <w:lang w:val="lv-LV" w:eastAsia="en-GB"/>
        </w:rPr>
        <w:t>cas</w:t>
      </w:r>
      <w:r w:rsidR="00D901B9" w:rsidRPr="00576895">
        <w:rPr>
          <w:rFonts w:ascii="Times New Roman" w:eastAsia="Times New Roman" w:hAnsi="Times New Roman" w:cs="Times New Roman"/>
          <w:color w:val="auto"/>
          <w:szCs w:val="24"/>
          <w:lang w:val="lv-LV" w:eastAsia="en-GB"/>
        </w:rPr>
        <w:t xml:space="preserve"> </w:t>
      </w:r>
      <w:r w:rsidRPr="00576895">
        <w:rPr>
          <w:rFonts w:ascii="Times New Roman" w:eastAsia="Times New Roman" w:hAnsi="Times New Roman" w:cs="Times New Roman"/>
          <w:color w:val="auto"/>
          <w:szCs w:val="24"/>
          <w:lang w:val="lv-LV" w:eastAsia="en-GB"/>
        </w:rPr>
        <w:t xml:space="preserve">uz visu Programmas ieviešanas periodu, tostarp, slēgšanas dokumentu sagatavošanas posmu atbilstoši Regulas (ES) Nr. 1303/2013 141.puntam, līdz Programmas pilnīgai slēgšanai Regulas (ES) Nr. 1303/2013 140(1).punktā minētā arhivēšanas perioda beigās. </w:t>
      </w:r>
    </w:p>
    <w:p w:rsidR="00647FC0" w:rsidRPr="00576895" w:rsidRDefault="00647FC0" w:rsidP="00647FC0">
      <w:pPr>
        <w:numPr>
          <w:ilvl w:val="0"/>
          <w:numId w:val="27"/>
        </w:numPr>
        <w:autoSpaceDE/>
        <w:autoSpaceDN/>
        <w:adjustRightInd/>
        <w:spacing w:before="180" w:after="120" w:line="260" w:lineRule="atLeast"/>
        <w:ind w:left="284" w:hanging="284"/>
        <w:jc w:val="both"/>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Katras dalībvalsts Valdības un IB.SH pārstāvji abpusēji parakst</w:t>
      </w:r>
      <w:r w:rsidR="00D901B9">
        <w:rPr>
          <w:rFonts w:ascii="Times New Roman" w:eastAsia="Times New Roman" w:hAnsi="Times New Roman" w:cs="Times New Roman"/>
          <w:color w:val="auto"/>
          <w:szCs w:val="24"/>
          <w:lang w:val="lv-LV" w:eastAsia="en-GB"/>
        </w:rPr>
        <w:t>a</w:t>
      </w:r>
      <w:r w:rsidRPr="00576895">
        <w:rPr>
          <w:rFonts w:ascii="Times New Roman" w:eastAsia="Times New Roman" w:hAnsi="Times New Roman" w:cs="Times New Roman"/>
          <w:color w:val="auto"/>
          <w:szCs w:val="24"/>
          <w:lang w:val="lv-LV" w:eastAsia="en-GB"/>
        </w:rPr>
        <w:t xml:space="preserve"> divus šī</w:t>
      </w:r>
      <w:r w:rsidR="00995364">
        <w:rPr>
          <w:rFonts w:ascii="Times New Roman" w:eastAsia="Times New Roman" w:hAnsi="Times New Roman" w:cs="Times New Roman"/>
          <w:color w:val="auto"/>
          <w:szCs w:val="24"/>
          <w:lang w:val="lv-LV" w:eastAsia="en-GB"/>
        </w:rPr>
        <w:t>s</w:t>
      </w:r>
      <w:r w:rsidRPr="00576895">
        <w:rPr>
          <w:rFonts w:ascii="Times New Roman" w:eastAsia="Times New Roman" w:hAnsi="Times New Roman" w:cs="Times New Roman"/>
          <w:color w:val="auto"/>
          <w:szCs w:val="24"/>
          <w:lang w:val="lv-LV" w:eastAsia="en-GB"/>
        </w:rPr>
        <w:t xml:space="preserve"> </w:t>
      </w:r>
      <w:r w:rsidR="00995364">
        <w:rPr>
          <w:rFonts w:ascii="Times New Roman" w:eastAsia="Times New Roman" w:hAnsi="Times New Roman" w:cs="Times New Roman"/>
          <w:color w:val="auto"/>
          <w:szCs w:val="24"/>
          <w:lang w:val="lv-LV" w:eastAsia="en-GB"/>
        </w:rPr>
        <w:t>Vienošanās</w:t>
      </w:r>
      <w:r w:rsidR="00995364" w:rsidRPr="00576895">
        <w:rPr>
          <w:rFonts w:ascii="Times New Roman" w:eastAsia="Times New Roman" w:hAnsi="Times New Roman" w:cs="Times New Roman"/>
          <w:color w:val="auto"/>
          <w:szCs w:val="24"/>
          <w:lang w:val="lv-LV" w:eastAsia="en-GB"/>
        </w:rPr>
        <w:t xml:space="preserve"> </w:t>
      </w:r>
      <w:r w:rsidRPr="00576895">
        <w:rPr>
          <w:rFonts w:ascii="Times New Roman" w:eastAsia="Times New Roman" w:hAnsi="Times New Roman" w:cs="Times New Roman"/>
          <w:color w:val="auto"/>
          <w:szCs w:val="24"/>
          <w:lang w:val="lv-LV" w:eastAsia="en-GB"/>
        </w:rPr>
        <w:t xml:space="preserve">eksemplārus. Dalībvalsts un IB.SH saņem vienu </w:t>
      </w:r>
      <w:r w:rsidR="00995364">
        <w:rPr>
          <w:rFonts w:ascii="Times New Roman" w:eastAsia="Times New Roman" w:hAnsi="Times New Roman" w:cs="Times New Roman"/>
          <w:color w:val="auto"/>
          <w:szCs w:val="24"/>
          <w:lang w:val="lv-LV" w:eastAsia="en-GB"/>
        </w:rPr>
        <w:t>Vienošanās</w:t>
      </w:r>
      <w:r w:rsidR="00995364" w:rsidRPr="00576895">
        <w:rPr>
          <w:rFonts w:ascii="Times New Roman" w:eastAsia="Times New Roman" w:hAnsi="Times New Roman" w:cs="Times New Roman"/>
          <w:color w:val="auto"/>
          <w:szCs w:val="24"/>
          <w:lang w:val="lv-LV" w:eastAsia="en-GB"/>
        </w:rPr>
        <w:t xml:space="preserve"> </w:t>
      </w:r>
      <w:r w:rsidRPr="00576895">
        <w:rPr>
          <w:rFonts w:ascii="Times New Roman" w:eastAsia="Times New Roman" w:hAnsi="Times New Roman" w:cs="Times New Roman"/>
          <w:color w:val="auto"/>
          <w:szCs w:val="24"/>
          <w:lang w:val="lv-LV" w:eastAsia="en-GB"/>
        </w:rPr>
        <w:t xml:space="preserve">eksemplāru. </w:t>
      </w:r>
    </w:p>
    <w:p w:rsidR="00647FC0" w:rsidRPr="00576895" w:rsidRDefault="00647FC0" w:rsidP="00647FC0">
      <w:pPr>
        <w:jc w:val="both"/>
        <w:rPr>
          <w:rFonts w:ascii="Times New Roman" w:hAnsi="Times New Roman" w:cs="Times New Roman"/>
          <w:color w:val="auto"/>
          <w:szCs w:val="24"/>
          <w:lang w:val="lv-LV"/>
        </w:rPr>
        <w:sectPr w:rsidR="00647FC0" w:rsidRPr="00576895" w:rsidSect="00EC73E7">
          <w:headerReference w:type="default" r:id="rId15"/>
          <w:pgSz w:w="11906" w:h="16838"/>
          <w:pgMar w:top="1418" w:right="1077" w:bottom="1702" w:left="1134" w:header="284" w:footer="717" w:gutter="0"/>
          <w:cols w:space="708"/>
          <w:docGrid w:linePitch="360"/>
        </w:sectPr>
      </w:pPr>
    </w:p>
    <w:p w:rsidR="00647FC0" w:rsidRPr="00576895" w:rsidRDefault="00647FC0" w:rsidP="00647FC0">
      <w:pPr>
        <w:pStyle w:val="Heading1"/>
        <w:spacing w:before="720" w:after="120"/>
        <w:ind w:left="357" w:hanging="357"/>
        <w:jc w:val="center"/>
        <w:rPr>
          <w:rFonts w:ascii="Times New Roman" w:hAnsi="Times New Roman" w:cs="Times New Roman"/>
          <w:smallCaps/>
          <w:color w:val="auto"/>
          <w:sz w:val="24"/>
          <w:szCs w:val="24"/>
          <w:lang w:val="lv-LV"/>
        </w:rPr>
      </w:pPr>
    </w:p>
    <w:p w:rsidR="00647FC0" w:rsidRPr="00576895" w:rsidRDefault="00647FC0" w:rsidP="00647FC0">
      <w:pPr>
        <w:autoSpaceDE/>
        <w:autoSpaceDN/>
        <w:adjustRightInd/>
        <w:spacing w:line="240" w:lineRule="auto"/>
        <w:jc w:val="both"/>
        <w:rPr>
          <w:rFonts w:ascii="Times New Roman" w:eastAsia="Times New Roman" w:hAnsi="Times New Roman" w:cs="Times New Roman"/>
          <w:color w:val="auto"/>
          <w:szCs w:val="24"/>
          <w:lang w:val="lv-LV" w:eastAsia="en-US"/>
        </w:rPr>
      </w:pPr>
    </w:p>
    <w:p w:rsidR="00647FC0" w:rsidRPr="00576895" w:rsidRDefault="00647FC0" w:rsidP="00647FC0">
      <w:pPr>
        <w:autoSpaceDE/>
        <w:autoSpaceDN/>
        <w:adjustRightInd/>
        <w:spacing w:line="240" w:lineRule="auto"/>
        <w:jc w:val="both"/>
        <w:rPr>
          <w:rFonts w:ascii="Times New Roman" w:eastAsia="Times New Roman" w:hAnsi="Times New Roman" w:cs="Times New Roman"/>
          <w:b/>
          <w:color w:val="auto"/>
          <w:szCs w:val="24"/>
          <w:lang w:val="lv-LV" w:eastAsia="en-US"/>
        </w:rPr>
      </w:pPr>
    </w:p>
    <w:p w:rsidR="00647FC0" w:rsidRPr="00576895" w:rsidRDefault="00647FC0" w:rsidP="00647FC0">
      <w:pPr>
        <w:autoSpaceDE/>
        <w:autoSpaceDN/>
        <w:adjustRightInd/>
        <w:spacing w:line="240" w:lineRule="auto"/>
        <w:jc w:val="both"/>
        <w:rPr>
          <w:rFonts w:ascii="Times New Roman" w:hAnsi="Times New Roman" w:cs="Times New Roman"/>
          <w:b/>
          <w:color w:val="auto"/>
          <w:szCs w:val="24"/>
          <w:lang w:val="lv-LV"/>
        </w:rPr>
      </w:pPr>
      <w:r w:rsidRPr="00576895">
        <w:rPr>
          <w:rFonts w:ascii="Times New Roman" w:eastAsia="Times New Roman" w:hAnsi="Times New Roman" w:cs="Times New Roman"/>
          <w:b/>
          <w:color w:val="auto"/>
          <w:szCs w:val="24"/>
          <w:lang w:val="lv-LV" w:eastAsia="en-GB"/>
        </w:rPr>
        <w:t>Latvijas Republikas Vides aizsardzības un reģionālās attīstības ministrija</w:t>
      </w:r>
    </w:p>
    <w:p w:rsidR="00647FC0" w:rsidRPr="00576895" w:rsidRDefault="00647FC0" w:rsidP="00647FC0">
      <w:pPr>
        <w:autoSpaceDE/>
        <w:autoSpaceDN/>
        <w:adjustRightInd/>
        <w:spacing w:line="240" w:lineRule="auto"/>
        <w:jc w:val="both"/>
        <w:rPr>
          <w:rFonts w:ascii="Times New Roman" w:eastAsia="Times New Roman" w:hAnsi="Times New Roman" w:cs="Times New Roman"/>
          <w:color w:val="auto"/>
          <w:szCs w:val="24"/>
          <w:lang w:val="lv-LV" w:eastAsia="en-US"/>
        </w:rPr>
      </w:pPr>
    </w:p>
    <w:p w:rsidR="00647FC0" w:rsidRPr="00576895" w:rsidRDefault="00647FC0" w:rsidP="00647FC0">
      <w:pPr>
        <w:autoSpaceDE/>
        <w:autoSpaceDN/>
        <w:adjustRightInd/>
        <w:spacing w:line="240" w:lineRule="auto"/>
        <w:ind w:right="-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en-US"/>
        </w:rPr>
        <w:t>Vieta un datums:</w:t>
      </w:r>
      <w:r w:rsidRPr="00576895">
        <w:rPr>
          <w:rFonts w:ascii="Times New Roman" w:eastAsia="Times New Roman" w:hAnsi="Times New Roman" w:cs="Times New Roman"/>
          <w:color w:val="auto"/>
          <w:szCs w:val="24"/>
          <w:lang w:val="lv-LV" w:eastAsia="en-US"/>
        </w:rPr>
        <w:tab/>
      </w:r>
      <w:r w:rsidRPr="00576895">
        <w:rPr>
          <w:rFonts w:ascii="Times New Roman" w:eastAsia="Times New Roman" w:hAnsi="Times New Roman" w:cs="Times New Roman"/>
          <w:color w:val="auto"/>
          <w:szCs w:val="24"/>
          <w:lang w:val="lv-LV" w:eastAsia="en-US"/>
        </w:rPr>
        <w:tab/>
      </w:r>
      <w:r w:rsidRPr="00576895">
        <w:rPr>
          <w:rFonts w:ascii="Times New Roman" w:eastAsia="Times New Roman" w:hAnsi="Times New Roman" w:cs="Times New Roman"/>
          <w:color w:val="auto"/>
          <w:szCs w:val="24"/>
          <w:lang w:val="lv-LV" w:eastAsia="en-US"/>
        </w:rPr>
        <w:tab/>
      </w:r>
      <w:r w:rsidRPr="00576895">
        <w:rPr>
          <w:rFonts w:ascii="Times New Roman" w:eastAsia="Times New Roman" w:hAnsi="Times New Roman" w:cs="Times New Roman"/>
          <w:color w:val="auto"/>
          <w:szCs w:val="24"/>
          <w:lang w:val="lv-LV" w:eastAsia="en-US"/>
        </w:rPr>
        <w:tab/>
        <w:t>________________________________________</w:t>
      </w:r>
    </w:p>
    <w:p w:rsidR="00647FC0" w:rsidRPr="00576895" w:rsidRDefault="00647FC0" w:rsidP="00647FC0">
      <w:pPr>
        <w:autoSpaceDE/>
        <w:autoSpaceDN/>
        <w:adjustRightInd/>
        <w:spacing w:line="240" w:lineRule="auto"/>
        <w:ind w:right="-284"/>
        <w:jc w:val="both"/>
        <w:rPr>
          <w:rFonts w:ascii="Times New Roman" w:eastAsia="Times New Roman" w:hAnsi="Times New Roman" w:cs="Times New Roman"/>
          <w:color w:val="auto"/>
          <w:szCs w:val="24"/>
          <w:lang w:val="lv-LV" w:eastAsia="en-US"/>
        </w:rPr>
      </w:pPr>
    </w:p>
    <w:p w:rsidR="00647FC0" w:rsidRPr="00576895" w:rsidRDefault="00647FC0" w:rsidP="00647FC0">
      <w:pPr>
        <w:autoSpaceDE/>
        <w:autoSpaceDN/>
        <w:adjustRightInd/>
        <w:spacing w:line="240" w:lineRule="auto"/>
        <w:ind w:right="-284"/>
        <w:jc w:val="both"/>
        <w:rPr>
          <w:rFonts w:ascii="Times New Roman" w:eastAsia="Times New Roman" w:hAnsi="Times New Roman" w:cs="Times New Roman"/>
          <w:color w:val="auto"/>
          <w:szCs w:val="24"/>
          <w:lang w:val="lv-LV" w:eastAsia="en-US"/>
        </w:rPr>
      </w:pPr>
    </w:p>
    <w:p w:rsidR="00647FC0" w:rsidRPr="00576895" w:rsidRDefault="00995364" w:rsidP="00647FC0">
      <w:pPr>
        <w:autoSpaceDE/>
        <w:autoSpaceDN/>
        <w:adjustRightInd/>
        <w:spacing w:line="240" w:lineRule="auto"/>
        <w:ind w:left="4320" w:right="-284" w:hanging="4320"/>
        <w:rPr>
          <w:rFonts w:ascii="Times New Roman" w:eastAsia="Times New Roman" w:hAnsi="Times New Roman" w:cs="Times New Roman"/>
          <w:color w:val="auto"/>
          <w:szCs w:val="24"/>
          <w:lang w:val="lv-LV" w:eastAsia="en-US"/>
        </w:rPr>
      </w:pPr>
      <w:r>
        <w:rPr>
          <w:rFonts w:ascii="Times New Roman" w:eastAsia="Times New Roman" w:hAnsi="Times New Roman" w:cs="Times New Roman"/>
          <w:color w:val="auto"/>
          <w:szCs w:val="24"/>
          <w:lang w:val="lv-LV" w:eastAsia="en-US"/>
        </w:rPr>
        <w:t>Vienošanās</w:t>
      </w:r>
      <w:r w:rsidRPr="00576895">
        <w:rPr>
          <w:rFonts w:ascii="Times New Roman" w:eastAsia="Times New Roman" w:hAnsi="Times New Roman" w:cs="Times New Roman"/>
          <w:color w:val="auto"/>
          <w:szCs w:val="24"/>
          <w:lang w:val="lv-LV" w:eastAsia="en-US"/>
        </w:rPr>
        <w:t xml:space="preserve"> </w:t>
      </w:r>
      <w:r w:rsidR="00647FC0" w:rsidRPr="00576895">
        <w:rPr>
          <w:rFonts w:ascii="Times New Roman" w:eastAsia="Times New Roman" w:hAnsi="Times New Roman" w:cs="Times New Roman"/>
          <w:color w:val="auto"/>
          <w:szCs w:val="24"/>
          <w:lang w:val="lv-LV" w:eastAsia="en-US"/>
        </w:rPr>
        <w:t>parakstītāja(-u) vārds un amats:</w:t>
      </w:r>
      <w:r w:rsidR="00647FC0" w:rsidRPr="00576895">
        <w:rPr>
          <w:rFonts w:ascii="Times New Roman" w:eastAsia="Times New Roman" w:hAnsi="Times New Roman" w:cs="Times New Roman"/>
          <w:color w:val="auto"/>
          <w:szCs w:val="24"/>
          <w:lang w:val="lv-LV" w:eastAsia="en-US"/>
        </w:rPr>
        <w:tab/>
        <w:t>Kaspars Gerhards, Latvijas Republikas Vides aizsardzības un reģionālās attīstības ministrs</w:t>
      </w:r>
    </w:p>
    <w:p w:rsidR="00647FC0" w:rsidRPr="00576895" w:rsidRDefault="00647FC0" w:rsidP="00647FC0">
      <w:pPr>
        <w:autoSpaceDE/>
        <w:autoSpaceDN/>
        <w:adjustRightInd/>
        <w:spacing w:line="240" w:lineRule="auto"/>
        <w:ind w:right="-284"/>
        <w:jc w:val="both"/>
        <w:rPr>
          <w:rFonts w:ascii="Times New Roman" w:eastAsia="Times New Roman" w:hAnsi="Times New Roman" w:cs="Times New Roman"/>
          <w:color w:val="auto"/>
          <w:szCs w:val="24"/>
          <w:lang w:val="lv-LV" w:eastAsia="en-US"/>
        </w:rPr>
      </w:pPr>
    </w:p>
    <w:p w:rsidR="00647FC0" w:rsidRPr="00576895" w:rsidRDefault="00647FC0" w:rsidP="00647FC0">
      <w:pPr>
        <w:autoSpaceDE/>
        <w:autoSpaceDN/>
        <w:adjustRightInd/>
        <w:spacing w:line="240" w:lineRule="auto"/>
        <w:ind w:right="-284"/>
        <w:jc w:val="both"/>
        <w:rPr>
          <w:rFonts w:ascii="Times New Roman" w:eastAsia="Times New Roman" w:hAnsi="Times New Roman" w:cs="Times New Roman"/>
          <w:color w:val="auto"/>
          <w:szCs w:val="24"/>
          <w:lang w:val="lv-LV" w:eastAsia="en-US"/>
        </w:rPr>
      </w:pPr>
    </w:p>
    <w:p w:rsidR="00647FC0" w:rsidRPr="00576895" w:rsidRDefault="00647FC0" w:rsidP="00647FC0">
      <w:pPr>
        <w:autoSpaceDE/>
        <w:autoSpaceDN/>
        <w:adjustRightInd/>
        <w:spacing w:line="240" w:lineRule="auto"/>
        <w:ind w:right="-284"/>
        <w:jc w:val="both"/>
        <w:rPr>
          <w:rFonts w:ascii="Times New Roman" w:eastAsia="Times New Roman" w:hAnsi="Times New Roman" w:cs="Times New Roman"/>
          <w:color w:val="auto"/>
          <w:szCs w:val="24"/>
          <w:lang w:val="lv-LV" w:eastAsia="en-US"/>
        </w:rPr>
      </w:pPr>
    </w:p>
    <w:p w:rsidR="00647FC0" w:rsidRPr="00576895" w:rsidRDefault="00647FC0" w:rsidP="00647FC0">
      <w:pPr>
        <w:autoSpaceDE/>
        <w:autoSpaceDN/>
        <w:adjustRightInd/>
        <w:spacing w:line="240" w:lineRule="auto"/>
        <w:ind w:right="-284"/>
        <w:jc w:val="both"/>
        <w:rPr>
          <w:rFonts w:ascii="Times New Roman" w:eastAsia="Times New Roman" w:hAnsi="Times New Roman" w:cs="Times New Roman"/>
          <w:color w:val="auto"/>
          <w:szCs w:val="24"/>
          <w:lang w:val="lv-LV" w:eastAsia="en-US"/>
        </w:rPr>
      </w:pPr>
    </w:p>
    <w:p w:rsidR="00647FC0" w:rsidRPr="00576895" w:rsidRDefault="00647FC0" w:rsidP="00647FC0">
      <w:pPr>
        <w:autoSpaceDE/>
        <w:autoSpaceDN/>
        <w:adjustRightInd/>
        <w:spacing w:line="240" w:lineRule="auto"/>
        <w:ind w:right="-284"/>
        <w:jc w:val="both"/>
        <w:rPr>
          <w:rFonts w:ascii="Times New Roman" w:eastAsia="Times New Roman" w:hAnsi="Times New Roman" w:cs="Times New Roman"/>
          <w:color w:val="auto"/>
          <w:szCs w:val="24"/>
          <w:lang w:val="lv-LV" w:eastAsia="en-US"/>
        </w:rPr>
      </w:pPr>
    </w:p>
    <w:p w:rsidR="00647FC0" w:rsidRPr="00576895" w:rsidRDefault="00647FC0" w:rsidP="00647FC0">
      <w:pPr>
        <w:autoSpaceDE/>
        <w:autoSpaceDN/>
        <w:adjustRightInd/>
        <w:spacing w:line="240" w:lineRule="auto"/>
        <w:ind w:right="-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en-US"/>
        </w:rPr>
        <w:t>Paraksts(-i)/Zīmogs:</w:t>
      </w:r>
      <w:r w:rsidRPr="00576895">
        <w:rPr>
          <w:rFonts w:ascii="Times New Roman" w:eastAsia="Times New Roman" w:hAnsi="Times New Roman" w:cs="Times New Roman"/>
          <w:color w:val="auto"/>
          <w:szCs w:val="24"/>
          <w:lang w:val="lv-LV" w:eastAsia="en-US"/>
        </w:rPr>
        <w:tab/>
      </w:r>
      <w:r w:rsidRPr="00576895">
        <w:rPr>
          <w:rFonts w:ascii="Times New Roman" w:eastAsia="Times New Roman" w:hAnsi="Times New Roman" w:cs="Times New Roman"/>
          <w:color w:val="auto"/>
          <w:szCs w:val="24"/>
          <w:lang w:val="lv-LV" w:eastAsia="en-US"/>
        </w:rPr>
        <w:tab/>
      </w:r>
      <w:r w:rsidRPr="00576895">
        <w:rPr>
          <w:rFonts w:ascii="Times New Roman" w:eastAsia="Times New Roman" w:hAnsi="Times New Roman" w:cs="Times New Roman"/>
          <w:color w:val="auto"/>
          <w:szCs w:val="24"/>
          <w:lang w:val="lv-LV" w:eastAsia="en-US"/>
        </w:rPr>
        <w:tab/>
      </w:r>
      <w:r w:rsidRPr="00576895">
        <w:rPr>
          <w:rFonts w:ascii="Times New Roman" w:eastAsia="Times New Roman" w:hAnsi="Times New Roman" w:cs="Times New Roman"/>
          <w:color w:val="auto"/>
          <w:szCs w:val="24"/>
          <w:lang w:val="lv-LV" w:eastAsia="en-US"/>
        </w:rPr>
        <w:tab/>
        <w:t>______________________________________</w:t>
      </w:r>
    </w:p>
    <w:p w:rsidR="00647FC0" w:rsidRPr="00576895" w:rsidRDefault="00647FC0" w:rsidP="00647FC0">
      <w:pPr>
        <w:autoSpaceDE/>
        <w:autoSpaceDN/>
        <w:adjustRightInd/>
        <w:spacing w:line="240" w:lineRule="auto"/>
        <w:ind w:right="-284"/>
        <w:jc w:val="both"/>
        <w:rPr>
          <w:rFonts w:ascii="Times New Roman" w:eastAsia="Times New Roman" w:hAnsi="Times New Roman" w:cs="Times New Roman"/>
          <w:b/>
          <w:color w:val="auto"/>
          <w:szCs w:val="24"/>
          <w:lang w:val="lv-LV" w:eastAsia="en-US"/>
        </w:rPr>
      </w:pPr>
    </w:p>
    <w:p w:rsidR="00647FC0" w:rsidRPr="00576895" w:rsidRDefault="00647FC0" w:rsidP="00647FC0">
      <w:pPr>
        <w:autoSpaceDE/>
        <w:autoSpaceDN/>
        <w:adjustRightInd/>
        <w:spacing w:line="240" w:lineRule="auto"/>
        <w:ind w:right="-284"/>
        <w:jc w:val="both"/>
        <w:rPr>
          <w:rFonts w:ascii="Times New Roman" w:eastAsia="Times New Roman" w:hAnsi="Times New Roman" w:cs="Times New Roman"/>
          <w:b/>
          <w:color w:val="auto"/>
          <w:szCs w:val="24"/>
          <w:lang w:val="lv-LV" w:eastAsia="en-US"/>
        </w:rPr>
      </w:pPr>
    </w:p>
    <w:p w:rsidR="00647FC0" w:rsidRPr="00576895" w:rsidRDefault="00647FC0" w:rsidP="00647FC0">
      <w:pPr>
        <w:autoSpaceDE/>
        <w:autoSpaceDN/>
        <w:adjustRightInd/>
        <w:spacing w:line="240" w:lineRule="auto"/>
        <w:ind w:right="-284"/>
        <w:jc w:val="both"/>
        <w:rPr>
          <w:rFonts w:ascii="Times New Roman" w:eastAsia="Times New Roman" w:hAnsi="Times New Roman" w:cs="Times New Roman"/>
          <w:b/>
          <w:color w:val="auto"/>
          <w:szCs w:val="24"/>
          <w:lang w:val="lv-LV" w:eastAsia="en-US"/>
        </w:rPr>
      </w:pPr>
    </w:p>
    <w:p w:rsidR="00647FC0" w:rsidRPr="00576895" w:rsidRDefault="00647FC0" w:rsidP="00647FC0">
      <w:pPr>
        <w:autoSpaceDE/>
        <w:autoSpaceDN/>
        <w:adjustRightInd/>
        <w:spacing w:line="240" w:lineRule="auto"/>
        <w:ind w:right="-284"/>
        <w:jc w:val="both"/>
        <w:rPr>
          <w:rFonts w:ascii="Times New Roman" w:eastAsia="Times New Roman" w:hAnsi="Times New Roman" w:cs="Times New Roman"/>
          <w:b/>
          <w:color w:val="auto"/>
          <w:szCs w:val="24"/>
          <w:lang w:val="lv-LV" w:eastAsia="en-US"/>
        </w:rPr>
      </w:pPr>
    </w:p>
    <w:p w:rsidR="00647FC0" w:rsidRPr="00576895" w:rsidRDefault="00647FC0" w:rsidP="00647FC0">
      <w:pPr>
        <w:autoSpaceDE/>
        <w:autoSpaceDN/>
        <w:adjustRightInd/>
        <w:spacing w:line="240" w:lineRule="auto"/>
        <w:ind w:right="-284"/>
        <w:jc w:val="both"/>
        <w:rPr>
          <w:rFonts w:ascii="Times New Roman" w:eastAsia="Times New Roman" w:hAnsi="Times New Roman" w:cs="Times New Roman"/>
          <w:b/>
          <w:color w:val="auto"/>
          <w:szCs w:val="24"/>
          <w:lang w:val="lv-LV" w:eastAsia="en-US"/>
        </w:rPr>
      </w:pPr>
    </w:p>
    <w:p w:rsidR="00647FC0" w:rsidRPr="00576895" w:rsidRDefault="00647FC0" w:rsidP="00647FC0">
      <w:pPr>
        <w:autoSpaceDE/>
        <w:autoSpaceDN/>
        <w:adjustRightInd/>
        <w:spacing w:line="240" w:lineRule="auto"/>
        <w:ind w:right="-284"/>
        <w:jc w:val="both"/>
        <w:rPr>
          <w:rFonts w:ascii="Times New Roman" w:eastAsia="Times New Roman" w:hAnsi="Times New Roman" w:cs="Times New Roman"/>
          <w:b/>
          <w:color w:val="auto"/>
          <w:szCs w:val="24"/>
          <w:lang w:val="lv-LV" w:eastAsia="en-US"/>
        </w:rPr>
      </w:pPr>
      <w:r w:rsidRPr="00576895">
        <w:rPr>
          <w:rFonts w:ascii="Times New Roman" w:eastAsia="Times New Roman" w:hAnsi="Times New Roman" w:cs="Times New Roman"/>
          <w:b/>
          <w:color w:val="auto"/>
          <w:szCs w:val="24"/>
          <w:lang w:val="lv-LV" w:eastAsia="en-US"/>
        </w:rPr>
        <w:t>Vadošā iestāde – IB.SH (Investitionsbank Schleswig-Holstein)</w:t>
      </w:r>
    </w:p>
    <w:p w:rsidR="00647FC0" w:rsidRPr="00576895" w:rsidRDefault="00647FC0" w:rsidP="00647FC0">
      <w:pPr>
        <w:autoSpaceDE/>
        <w:autoSpaceDN/>
        <w:adjustRightInd/>
        <w:spacing w:line="240" w:lineRule="auto"/>
        <w:ind w:right="-284"/>
        <w:jc w:val="both"/>
        <w:rPr>
          <w:rFonts w:ascii="Times New Roman" w:eastAsia="Times New Roman" w:hAnsi="Times New Roman" w:cs="Times New Roman"/>
          <w:b/>
          <w:color w:val="auto"/>
          <w:szCs w:val="24"/>
          <w:lang w:val="lv-LV" w:eastAsia="en-US"/>
        </w:rPr>
      </w:pPr>
    </w:p>
    <w:p w:rsidR="00647FC0" w:rsidRPr="00576895" w:rsidRDefault="00647FC0" w:rsidP="00647FC0">
      <w:pPr>
        <w:autoSpaceDE/>
        <w:autoSpaceDN/>
        <w:adjustRightInd/>
        <w:spacing w:line="240" w:lineRule="auto"/>
        <w:ind w:right="-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en-US"/>
        </w:rPr>
        <w:t>Vieta un datums:</w:t>
      </w:r>
      <w:r w:rsidRPr="00576895">
        <w:rPr>
          <w:rFonts w:ascii="Times New Roman" w:eastAsia="Times New Roman" w:hAnsi="Times New Roman" w:cs="Times New Roman"/>
          <w:color w:val="auto"/>
          <w:szCs w:val="24"/>
          <w:lang w:val="lv-LV" w:eastAsia="en-US"/>
        </w:rPr>
        <w:tab/>
      </w:r>
      <w:r w:rsidRPr="00576895">
        <w:rPr>
          <w:rFonts w:ascii="Times New Roman" w:eastAsia="Times New Roman" w:hAnsi="Times New Roman" w:cs="Times New Roman"/>
          <w:color w:val="auto"/>
          <w:szCs w:val="24"/>
          <w:lang w:val="lv-LV" w:eastAsia="en-US"/>
        </w:rPr>
        <w:tab/>
      </w:r>
      <w:r w:rsidRPr="00576895">
        <w:rPr>
          <w:rFonts w:ascii="Times New Roman" w:eastAsia="Times New Roman" w:hAnsi="Times New Roman" w:cs="Times New Roman"/>
          <w:color w:val="auto"/>
          <w:szCs w:val="24"/>
          <w:lang w:val="lv-LV" w:eastAsia="en-US"/>
        </w:rPr>
        <w:tab/>
      </w:r>
      <w:r w:rsidRPr="00576895">
        <w:rPr>
          <w:rFonts w:ascii="Times New Roman" w:eastAsia="Times New Roman" w:hAnsi="Times New Roman" w:cs="Times New Roman"/>
          <w:color w:val="auto"/>
          <w:szCs w:val="24"/>
          <w:lang w:val="lv-LV" w:eastAsia="en-US"/>
        </w:rPr>
        <w:tab/>
        <w:t>Ķīle,  ____________________________________</w:t>
      </w:r>
    </w:p>
    <w:p w:rsidR="00647FC0" w:rsidRPr="00576895" w:rsidRDefault="00647FC0" w:rsidP="00647FC0">
      <w:pPr>
        <w:autoSpaceDE/>
        <w:autoSpaceDN/>
        <w:adjustRightInd/>
        <w:spacing w:line="240" w:lineRule="auto"/>
        <w:ind w:right="-284"/>
        <w:jc w:val="both"/>
        <w:rPr>
          <w:rFonts w:ascii="Times New Roman" w:eastAsia="Times New Roman" w:hAnsi="Times New Roman" w:cs="Times New Roman"/>
          <w:color w:val="auto"/>
          <w:szCs w:val="24"/>
          <w:lang w:val="lv-LV" w:eastAsia="en-US"/>
        </w:rPr>
      </w:pPr>
    </w:p>
    <w:p w:rsidR="00647FC0" w:rsidRPr="00576895" w:rsidRDefault="00647FC0" w:rsidP="00647FC0">
      <w:pPr>
        <w:autoSpaceDE/>
        <w:autoSpaceDN/>
        <w:adjustRightInd/>
        <w:spacing w:line="240" w:lineRule="auto"/>
        <w:ind w:right="-284"/>
        <w:jc w:val="both"/>
        <w:rPr>
          <w:rFonts w:ascii="Times New Roman" w:eastAsia="Times New Roman" w:hAnsi="Times New Roman" w:cs="Times New Roman"/>
          <w:color w:val="auto"/>
          <w:szCs w:val="24"/>
          <w:lang w:val="lv-LV" w:eastAsia="en-US"/>
        </w:rPr>
      </w:pPr>
    </w:p>
    <w:p w:rsidR="00647FC0" w:rsidRPr="00576895" w:rsidRDefault="00995364" w:rsidP="00647FC0">
      <w:pPr>
        <w:autoSpaceDE/>
        <w:autoSpaceDN/>
        <w:adjustRightInd/>
        <w:spacing w:line="240" w:lineRule="auto"/>
        <w:ind w:left="4320" w:right="-284" w:hanging="4320"/>
        <w:rPr>
          <w:rFonts w:ascii="Times New Roman" w:eastAsia="Times New Roman" w:hAnsi="Times New Roman" w:cs="Times New Roman"/>
          <w:color w:val="auto"/>
          <w:szCs w:val="24"/>
          <w:lang w:val="lv-LV" w:eastAsia="en-US"/>
        </w:rPr>
      </w:pPr>
      <w:r>
        <w:rPr>
          <w:rFonts w:ascii="Times New Roman" w:eastAsia="Times New Roman" w:hAnsi="Times New Roman" w:cs="Times New Roman"/>
          <w:color w:val="auto"/>
          <w:szCs w:val="24"/>
          <w:lang w:val="lv-LV" w:eastAsia="en-US"/>
        </w:rPr>
        <w:t>Vienošanās</w:t>
      </w:r>
      <w:r w:rsidRPr="00576895">
        <w:rPr>
          <w:rFonts w:ascii="Times New Roman" w:eastAsia="Times New Roman" w:hAnsi="Times New Roman" w:cs="Times New Roman"/>
          <w:color w:val="auto"/>
          <w:szCs w:val="24"/>
          <w:lang w:val="lv-LV" w:eastAsia="en-US"/>
        </w:rPr>
        <w:t xml:space="preserve"> </w:t>
      </w:r>
      <w:r w:rsidR="00647FC0" w:rsidRPr="00576895">
        <w:rPr>
          <w:rFonts w:ascii="Times New Roman" w:eastAsia="Times New Roman" w:hAnsi="Times New Roman" w:cs="Times New Roman"/>
          <w:color w:val="auto"/>
          <w:szCs w:val="24"/>
          <w:lang w:val="lv-LV" w:eastAsia="en-US"/>
        </w:rPr>
        <w:t xml:space="preserve">parakstītāju vārds un amats: </w:t>
      </w:r>
      <w:r w:rsidR="00647FC0" w:rsidRPr="00576895">
        <w:rPr>
          <w:rFonts w:ascii="Times New Roman" w:eastAsia="Times New Roman" w:hAnsi="Times New Roman" w:cs="Times New Roman"/>
          <w:color w:val="auto"/>
          <w:szCs w:val="24"/>
          <w:lang w:val="lv-LV" w:eastAsia="en-US"/>
        </w:rPr>
        <w:tab/>
        <w:t>Valdes priekšsēdētājs Erk Westermann-Lammers un Valdes loceklis Dr. Michael Adamska</w:t>
      </w:r>
    </w:p>
    <w:p w:rsidR="00647FC0" w:rsidRPr="00576895" w:rsidRDefault="00647FC0" w:rsidP="00647FC0">
      <w:pPr>
        <w:autoSpaceDE/>
        <w:autoSpaceDN/>
        <w:adjustRightInd/>
        <w:spacing w:line="240" w:lineRule="auto"/>
        <w:ind w:right="-284"/>
        <w:jc w:val="both"/>
        <w:rPr>
          <w:rFonts w:ascii="Times New Roman" w:eastAsia="Times New Roman" w:hAnsi="Times New Roman" w:cs="Times New Roman"/>
          <w:color w:val="auto"/>
          <w:szCs w:val="24"/>
          <w:lang w:val="lv-LV" w:eastAsia="en-US"/>
        </w:rPr>
      </w:pPr>
    </w:p>
    <w:p w:rsidR="00647FC0" w:rsidRPr="00576895" w:rsidRDefault="00647FC0" w:rsidP="00647FC0">
      <w:pPr>
        <w:autoSpaceDE/>
        <w:autoSpaceDN/>
        <w:adjustRightInd/>
        <w:spacing w:line="240" w:lineRule="auto"/>
        <w:ind w:right="-284"/>
        <w:jc w:val="both"/>
        <w:rPr>
          <w:rFonts w:ascii="Times New Roman" w:eastAsia="Times New Roman" w:hAnsi="Times New Roman" w:cs="Times New Roman"/>
          <w:color w:val="auto"/>
          <w:szCs w:val="24"/>
          <w:lang w:val="lv-LV" w:eastAsia="en-US"/>
        </w:rPr>
      </w:pPr>
    </w:p>
    <w:p w:rsidR="00647FC0" w:rsidRPr="00576895" w:rsidRDefault="00647FC0" w:rsidP="00647FC0">
      <w:pPr>
        <w:autoSpaceDE/>
        <w:autoSpaceDN/>
        <w:adjustRightInd/>
        <w:spacing w:line="240" w:lineRule="auto"/>
        <w:ind w:right="-284"/>
        <w:jc w:val="both"/>
        <w:rPr>
          <w:rFonts w:ascii="Times New Roman" w:eastAsia="Times New Roman" w:hAnsi="Times New Roman" w:cs="Times New Roman"/>
          <w:color w:val="auto"/>
          <w:szCs w:val="24"/>
          <w:lang w:val="lv-LV" w:eastAsia="en-US"/>
        </w:rPr>
      </w:pPr>
    </w:p>
    <w:p w:rsidR="00647FC0" w:rsidRPr="00576895" w:rsidRDefault="00647FC0" w:rsidP="00647FC0">
      <w:pPr>
        <w:autoSpaceDE/>
        <w:autoSpaceDN/>
        <w:adjustRightInd/>
        <w:spacing w:line="240" w:lineRule="auto"/>
        <w:ind w:right="-284"/>
        <w:jc w:val="both"/>
        <w:rPr>
          <w:rFonts w:ascii="Times New Roman" w:eastAsia="Times New Roman" w:hAnsi="Times New Roman" w:cs="Times New Roman"/>
          <w:color w:val="auto"/>
          <w:szCs w:val="24"/>
          <w:lang w:val="lv-LV" w:eastAsia="en-US"/>
        </w:rPr>
      </w:pPr>
    </w:p>
    <w:p w:rsidR="00647FC0" w:rsidRPr="00576895" w:rsidRDefault="00647FC0" w:rsidP="00647FC0">
      <w:pPr>
        <w:autoSpaceDE/>
        <w:autoSpaceDN/>
        <w:adjustRightInd/>
        <w:spacing w:line="240" w:lineRule="auto"/>
        <w:ind w:right="-284"/>
        <w:jc w:val="both"/>
        <w:rPr>
          <w:rFonts w:ascii="Times New Roman" w:eastAsia="Times New Roman" w:hAnsi="Times New Roman" w:cs="Times New Roman"/>
          <w:color w:val="auto"/>
          <w:szCs w:val="24"/>
          <w:lang w:val="lv-LV" w:eastAsia="en-US"/>
        </w:rPr>
      </w:pPr>
    </w:p>
    <w:p w:rsidR="00647FC0" w:rsidRPr="00576895" w:rsidRDefault="00647FC0" w:rsidP="00647FC0">
      <w:pPr>
        <w:autoSpaceDE/>
        <w:autoSpaceDN/>
        <w:adjustRightInd/>
        <w:spacing w:line="240" w:lineRule="auto"/>
        <w:ind w:right="-284"/>
        <w:jc w:val="both"/>
        <w:rPr>
          <w:rFonts w:ascii="Times New Roman" w:eastAsia="Times New Roman" w:hAnsi="Times New Roman" w:cs="Times New Roman"/>
          <w:color w:val="auto"/>
          <w:szCs w:val="24"/>
          <w:lang w:val="lv-LV" w:eastAsia="en-US"/>
        </w:rPr>
      </w:pPr>
    </w:p>
    <w:p w:rsidR="00647FC0" w:rsidRPr="00576895" w:rsidRDefault="00647FC0" w:rsidP="00647FC0">
      <w:pPr>
        <w:autoSpaceDE/>
        <w:autoSpaceDN/>
        <w:adjustRightInd/>
        <w:spacing w:line="240" w:lineRule="auto"/>
        <w:ind w:right="-284"/>
        <w:jc w:val="both"/>
        <w:rPr>
          <w:rFonts w:ascii="Times New Roman" w:eastAsia="Times New Roman" w:hAnsi="Times New Roman" w:cs="Times New Roman"/>
          <w:color w:val="auto"/>
          <w:szCs w:val="24"/>
          <w:lang w:val="lv-LV" w:eastAsia="en-US"/>
        </w:rPr>
      </w:pPr>
      <w:r w:rsidRPr="00576895">
        <w:rPr>
          <w:rFonts w:ascii="Times New Roman" w:eastAsia="Times New Roman" w:hAnsi="Times New Roman" w:cs="Times New Roman"/>
          <w:color w:val="auto"/>
          <w:szCs w:val="24"/>
          <w:lang w:val="lv-LV" w:eastAsia="en-US"/>
        </w:rPr>
        <w:t>Paraksti/Zīmogs:</w:t>
      </w:r>
      <w:r w:rsidRPr="00576895">
        <w:rPr>
          <w:rFonts w:ascii="Times New Roman" w:eastAsia="Times New Roman" w:hAnsi="Times New Roman" w:cs="Times New Roman"/>
          <w:color w:val="auto"/>
          <w:szCs w:val="24"/>
          <w:lang w:val="lv-LV" w:eastAsia="en-US"/>
        </w:rPr>
        <w:tab/>
      </w:r>
      <w:r w:rsidRPr="00576895">
        <w:rPr>
          <w:rFonts w:ascii="Times New Roman" w:eastAsia="Times New Roman" w:hAnsi="Times New Roman" w:cs="Times New Roman"/>
          <w:color w:val="auto"/>
          <w:szCs w:val="24"/>
          <w:lang w:val="lv-LV" w:eastAsia="en-US"/>
        </w:rPr>
        <w:tab/>
      </w:r>
      <w:r w:rsidRPr="00576895">
        <w:rPr>
          <w:rFonts w:ascii="Times New Roman" w:eastAsia="Times New Roman" w:hAnsi="Times New Roman" w:cs="Times New Roman"/>
          <w:color w:val="auto"/>
          <w:szCs w:val="24"/>
          <w:lang w:val="lv-LV" w:eastAsia="en-US"/>
        </w:rPr>
        <w:tab/>
      </w:r>
      <w:r w:rsidRPr="00576895">
        <w:rPr>
          <w:rFonts w:ascii="Times New Roman" w:eastAsia="Times New Roman" w:hAnsi="Times New Roman" w:cs="Times New Roman"/>
          <w:color w:val="auto"/>
          <w:szCs w:val="24"/>
          <w:lang w:val="lv-LV" w:eastAsia="en-US"/>
        </w:rPr>
        <w:tab/>
        <w:t xml:space="preserve"> _____________________________________</w:t>
      </w:r>
    </w:p>
    <w:p w:rsidR="00647FC0" w:rsidRPr="00576895" w:rsidRDefault="00647FC0" w:rsidP="00647FC0">
      <w:pPr>
        <w:autoSpaceDE/>
        <w:autoSpaceDN/>
        <w:adjustRightInd/>
        <w:spacing w:line="240" w:lineRule="auto"/>
        <w:ind w:right="-284"/>
        <w:jc w:val="center"/>
        <w:rPr>
          <w:rFonts w:ascii="Times New Roman" w:eastAsia="Times New Roman" w:hAnsi="Times New Roman" w:cs="Times New Roman"/>
          <w:b/>
          <w:caps/>
          <w:szCs w:val="24"/>
          <w:lang w:val="lv-LV" w:eastAsia="en-GB"/>
        </w:rPr>
      </w:pPr>
    </w:p>
    <w:p w:rsidR="00647FC0" w:rsidRPr="00576895" w:rsidRDefault="00647FC0" w:rsidP="00647FC0">
      <w:pPr>
        <w:autoSpaceDE/>
        <w:autoSpaceDN/>
        <w:adjustRightInd/>
        <w:spacing w:line="240" w:lineRule="auto"/>
        <w:ind w:right="-284"/>
        <w:jc w:val="center"/>
        <w:rPr>
          <w:rFonts w:ascii="Times New Roman" w:eastAsia="Times New Roman" w:hAnsi="Times New Roman" w:cs="Times New Roman"/>
          <w:b/>
          <w:caps/>
          <w:szCs w:val="24"/>
          <w:lang w:val="lv-LV" w:eastAsia="en-GB"/>
        </w:rPr>
      </w:pPr>
    </w:p>
    <w:p w:rsidR="00647FC0" w:rsidRPr="00576895" w:rsidRDefault="00647FC0" w:rsidP="00647FC0">
      <w:pPr>
        <w:autoSpaceDE/>
        <w:autoSpaceDN/>
        <w:adjustRightInd/>
        <w:spacing w:line="240" w:lineRule="auto"/>
        <w:ind w:right="-284"/>
        <w:jc w:val="center"/>
        <w:rPr>
          <w:rFonts w:ascii="Times New Roman" w:eastAsia="Times New Roman" w:hAnsi="Times New Roman" w:cs="Times New Roman"/>
          <w:b/>
          <w:color w:val="auto"/>
          <w:sz w:val="28"/>
          <w:szCs w:val="28"/>
          <w:lang w:val="lv-LV" w:eastAsia="en-GB"/>
        </w:rPr>
      </w:pPr>
      <w:r w:rsidRPr="00576895">
        <w:rPr>
          <w:rFonts w:ascii="Times New Roman" w:eastAsia="Times New Roman" w:hAnsi="Times New Roman" w:cs="Times New Roman"/>
          <w:b/>
          <w:caps/>
          <w:szCs w:val="24"/>
          <w:lang w:val="lv-LV" w:eastAsia="en-GB"/>
        </w:rPr>
        <w:br w:type="page"/>
      </w:r>
      <w:r w:rsidRPr="00576895">
        <w:rPr>
          <w:rFonts w:ascii="Times New Roman" w:hAnsi="Times New Roman" w:cs="Times New Roman"/>
          <w:b/>
          <w:bCs/>
          <w:smallCaps/>
          <w:color w:val="auto"/>
          <w:sz w:val="28"/>
          <w:szCs w:val="28"/>
          <w:lang w:val="lv-LV"/>
        </w:rPr>
        <w:lastRenderedPageBreak/>
        <w:t xml:space="preserve">Pielikums Vienošanās par Baltijas jūras reģiona programmas </w:t>
      </w:r>
      <w:r w:rsidR="000D4B51">
        <w:rPr>
          <w:rFonts w:ascii="Times New Roman" w:hAnsi="Times New Roman" w:cs="Times New Roman"/>
          <w:b/>
          <w:bCs/>
          <w:smallCaps/>
          <w:color w:val="auto"/>
          <w:sz w:val="28"/>
          <w:szCs w:val="28"/>
          <w:lang w:val="lv-LV"/>
        </w:rPr>
        <w:t xml:space="preserve">(Baltijas jūras reģiona transnacionālās sadarbības programma) </w:t>
      </w:r>
      <w:r w:rsidRPr="00576895">
        <w:rPr>
          <w:rFonts w:ascii="Times New Roman" w:hAnsi="Times New Roman" w:cs="Times New Roman"/>
          <w:b/>
          <w:bCs/>
          <w:smallCaps/>
          <w:color w:val="auto"/>
          <w:sz w:val="28"/>
          <w:szCs w:val="28"/>
          <w:lang w:val="lv-LV"/>
        </w:rPr>
        <w:t xml:space="preserve">Pārvaldības, Finanšu un Kontroles Sistēmām </w:t>
      </w:r>
    </w:p>
    <w:p w:rsidR="00647FC0" w:rsidRPr="00576895" w:rsidRDefault="00647FC0" w:rsidP="00647FC0">
      <w:pPr>
        <w:pStyle w:val="Subtitle"/>
        <w:rPr>
          <w:rFonts w:ascii="Times New Roman" w:hAnsi="Times New Roman" w:cs="Times New Roman"/>
          <w:color w:val="auto"/>
          <w:lang w:val="lv-LV"/>
        </w:rPr>
      </w:pPr>
      <w:r w:rsidRPr="00576895">
        <w:rPr>
          <w:rFonts w:ascii="Times New Roman" w:hAnsi="Times New Roman" w:cs="Times New Roman"/>
          <w:color w:val="auto"/>
          <w:lang w:val="lv-LV"/>
        </w:rPr>
        <w:t>(Programmas periods 2014-2020)</w:t>
      </w:r>
    </w:p>
    <w:p w:rsidR="00647FC0" w:rsidRPr="00576895" w:rsidRDefault="00647FC0" w:rsidP="00647FC0">
      <w:pPr>
        <w:pStyle w:val="Heading1"/>
        <w:spacing w:before="600" w:after="120"/>
        <w:ind w:left="357" w:hanging="357"/>
        <w:jc w:val="center"/>
        <w:rPr>
          <w:rFonts w:ascii="Times New Roman" w:hAnsi="Times New Roman" w:cs="Times New Roman"/>
          <w:color w:val="auto"/>
          <w:sz w:val="24"/>
          <w:szCs w:val="24"/>
          <w:lang w:val="lv-LV"/>
        </w:rPr>
      </w:pPr>
      <w:r w:rsidRPr="00576895">
        <w:rPr>
          <w:rFonts w:ascii="Times New Roman" w:hAnsi="Times New Roman" w:cs="Times New Roman"/>
          <w:color w:val="auto"/>
          <w:sz w:val="24"/>
          <w:szCs w:val="24"/>
          <w:lang w:val="lv-LV"/>
        </w:rPr>
        <w:t xml:space="preserve">Nacionālās saistības un līdzfinansējums tehniskajai palīdzībai  (TP)* </w:t>
      </w:r>
    </w:p>
    <w:tbl>
      <w:tblPr>
        <w:tblW w:w="9229"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37"/>
        <w:gridCol w:w="1843"/>
        <w:gridCol w:w="1984"/>
        <w:gridCol w:w="1843"/>
        <w:gridCol w:w="2126"/>
      </w:tblGrid>
      <w:tr w:rsidR="00647FC0" w:rsidRPr="00576895" w:rsidTr="00EC73E7">
        <w:trPr>
          <w:trHeight w:val="1239"/>
        </w:trPr>
        <w:tc>
          <w:tcPr>
            <w:tcW w:w="1433" w:type="dxa"/>
            <w:shd w:val="clear" w:color="auto" w:fill="808080" w:themeFill="background1" w:themeFillShade="80"/>
            <w:hideMark/>
          </w:tcPr>
          <w:p w:rsidR="00647FC0" w:rsidRPr="00576895" w:rsidRDefault="00647FC0" w:rsidP="00EC73E7">
            <w:pPr>
              <w:autoSpaceDE/>
              <w:autoSpaceDN/>
              <w:adjustRightInd/>
              <w:spacing w:line="240" w:lineRule="auto"/>
              <w:rPr>
                <w:rFonts w:ascii="Times New Roman" w:eastAsia="Times New Roman" w:hAnsi="Times New Roman" w:cs="Times New Roman"/>
                <w:b/>
                <w:bCs/>
                <w:color w:val="FFFFFF" w:themeColor="background1"/>
                <w:szCs w:val="24"/>
                <w:lang w:val="lv-LV" w:eastAsia="en-GB"/>
              </w:rPr>
            </w:pPr>
            <w:r w:rsidRPr="00576895">
              <w:rPr>
                <w:rFonts w:ascii="Times New Roman" w:eastAsia="Times New Roman" w:hAnsi="Times New Roman" w:cs="Times New Roman"/>
                <w:b/>
                <w:bCs/>
                <w:color w:val="FFFFFF" w:themeColor="background1"/>
                <w:szCs w:val="24"/>
                <w:lang w:val="lv-LV" w:eastAsia="en-GB"/>
              </w:rPr>
              <w:t>Valsts</w:t>
            </w:r>
          </w:p>
        </w:tc>
        <w:tc>
          <w:tcPr>
            <w:tcW w:w="1843" w:type="dxa"/>
            <w:shd w:val="clear" w:color="auto" w:fill="808080" w:themeFill="background1" w:themeFillShade="80"/>
            <w:hideMark/>
          </w:tcPr>
          <w:p w:rsidR="00647FC0" w:rsidRPr="00576895" w:rsidRDefault="00647FC0" w:rsidP="00EC73E7">
            <w:pPr>
              <w:autoSpaceDE/>
              <w:autoSpaceDN/>
              <w:adjustRightInd/>
              <w:spacing w:line="240" w:lineRule="auto"/>
              <w:rPr>
                <w:rFonts w:ascii="Times New Roman" w:eastAsia="Times New Roman" w:hAnsi="Times New Roman" w:cs="Times New Roman"/>
                <w:b/>
                <w:bCs/>
                <w:color w:val="FFFFFF" w:themeColor="background1"/>
                <w:szCs w:val="24"/>
                <w:lang w:val="lv-LV" w:eastAsia="en-GB"/>
              </w:rPr>
            </w:pPr>
            <w:r w:rsidRPr="00576895">
              <w:rPr>
                <w:rFonts w:ascii="Times New Roman" w:eastAsia="Times New Roman" w:hAnsi="Times New Roman" w:cs="Times New Roman"/>
                <w:b/>
                <w:bCs/>
                <w:color w:val="FFFFFF" w:themeColor="background1"/>
                <w:szCs w:val="24"/>
                <w:lang w:val="lv-LV" w:eastAsia="en-GB"/>
              </w:rPr>
              <w:t xml:space="preserve">Saistības attiecībā uz Programmu </w:t>
            </w:r>
          </w:p>
        </w:tc>
        <w:tc>
          <w:tcPr>
            <w:tcW w:w="1984" w:type="dxa"/>
            <w:shd w:val="clear" w:color="auto" w:fill="808080" w:themeFill="background1" w:themeFillShade="80"/>
            <w:hideMark/>
          </w:tcPr>
          <w:p w:rsidR="00647FC0" w:rsidRPr="00576895" w:rsidRDefault="00647FC0" w:rsidP="00EC73E7">
            <w:pPr>
              <w:autoSpaceDE/>
              <w:autoSpaceDN/>
              <w:adjustRightInd/>
              <w:spacing w:line="240" w:lineRule="auto"/>
              <w:rPr>
                <w:rFonts w:ascii="Times New Roman" w:eastAsia="Times New Roman" w:hAnsi="Times New Roman" w:cs="Times New Roman"/>
                <w:b/>
                <w:bCs/>
                <w:color w:val="FFFFFF" w:themeColor="background1"/>
                <w:szCs w:val="24"/>
                <w:lang w:val="lv-LV" w:eastAsia="en-GB"/>
              </w:rPr>
            </w:pPr>
            <w:r w:rsidRPr="00576895">
              <w:rPr>
                <w:rFonts w:ascii="Times New Roman" w:eastAsia="Times New Roman" w:hAnsi="Times New Roman" w:cs="Times New Roman"/>
                <w:b/>
                <w:bCs/>
                <w:color w:val="FFFFFF" w:themeColor="background1"/>
                <w:szCs w:val="24"/>
                <w:u w:val="single"/>
                <w:lang w:val="lv-LV" w:eastAsia="en-GB"/>
              </w:rPr>
              <w:t>ERDF/NOR</w:t>
            </w:r>
            <w:r w:rsidRPr="00576895">
              <w:rPr>
                <w:rFonts w:ascii="Times New Roman" w:eastAsia="Times New Roman" w:hAnsi="Times New Roman" w:cs="Times New Roman"/>
                <w:b/>
                <w:bCs/>
                <w:color w:val="FFFFFF" w:themeColor="background1"/>
                <w:szCs w:val="24"/>
                <w:lang w:val="lv-LV" w:eastAsia="en-GB"/>
              </w:rPr>
              <w:t xml:space="preserve"> TP līdzfinansējums </w:t>
            </w:r>
            <w:r w:rsidRPr="00576895">
              <w:rPr>
                <w:rFonts w:ascii="Times New Roman" w:eastAsia="Times New Roman" w:hAnsi="Times New Roman" w:cs="Times New Roman"/>
                <w:color w:val="FFFFFF" w:themeColor="background1"/>
                <w:szCs w:val="24"/>
                <w:lang w:val="lv-LV" w:eastAsia="en-GB"/>
              </w:rPr>
              <w:t>= 6% no saistībām</w:t>
            </w:r>
            <w:r w:rsidRPr="00576895">
              <w:rPr>
                <w:rFonts w:ascii="Times New Roman" w:eastAsia="Times New Roman" w:hAnsi="Times New Roman" w:cs="Times New Roman"/>
                <w:b/>
                <w:bCs/>
                <w:color w:val="FFFFFF" w:themeColor="background1"/>
                <w:szCs w:val="24"/>
                <w:lang w:val="lv-LV" w:eastAsia="en-GB"/>
              </w:rPr>
              <w:br/>
              <w:t>(75%)</w:t>
            </w:r>
          </w:p>
        </w:tc>
        <w:tc>
          <w:tcPr>
            <w:tcW w:w="1843" w:type="dxa"/>
            <w:shd w:val="clear" w:color="auto" w:fill="808080" w:themeFill="background1" w:themeFillShade="80"/>
            <w:hideMark/>
          </w:tcPr>
          <w:p w:rsidR="00647FC0" w:rsidRPr="00576895" w:rsidRDefault="00647FC0" w:rsidP="00EC73E7">
            <w:pPr>
              <w:autoSpaceDE/>
              <w:autoSpaceDN/>
              <w:adjustRightInd/>
              <w:spacing w:line="240" w:lineRule="auto"/>
              <w:rPr>
                <w:rFonts w:ascii="Times New Roman" w:eastAsia="Times New Roman" w:hAnsi="Times New Roman" w:cs="Times New Roman"/>
                <w:b/>
                <w:bCs/>
                <w:color w:val="FFFFFF" w:themeColor="background1"/>
                <w:szCs w:val="24"/>
                <w:lang w:val="lv-LV" w:eastAsia="en-GB"/>
              </w:rPr>
            </w:pPr>
            <w:r w:rsidRPr="00576895">
              <w:rPr>
                <w:rFonts w:ascii="Times New Roman" w:eastAsia="Times New Roman" w:hAnsi="Times New Roman" w:cs="Times New Roman"/>
                <w:b/>
                <w:bCs/>
                <w:color w:val="FFFFFF" w:themeColor="background1"/>
                <w:szCs w:val="24"/>
                <w:u w:val="single"/>
                <w:lang w:val="lv-LV" w:eastAsia="en-GB"/>
              </w:rPr>
              <w:t>Nacionālā</w:t>
            </w:r>
            <w:r w:rsidRPr="00576895">
              <w:rPr>
                <w:rFonts w:ascii="Times New Roman" w:eastAsia="Times New Roman" w:hAnsi="Times New Roman" w:cs="Times New Roman"/>
                <w:b/>
                <w:bCs/>
                <w:color w:val="FFFFFF" w:themeColor="background1"/>
                <w:szCs w:val="24"/>
                <w:lang w:val="lv-LV" w:eastAsia="en-GB"/>
              </w:rPr>
              <w:t xml:space="preserve"> TP līdzfinansējums </w:t>
            </w:r>
            <w:r w:rsidRPr="00576895">
              <w:rPr>
                <w:rFonts w:ascii="Times New Roman" w:eastAsia="Times New Roman" w:hAnsi="Times New Roman" w:cs="Times New Roman"/>
                <w:b/>
                <w:bCs/>
                <w:color w:val="FFFFFF" w:themeColor="background1"/>
                <w:szCs w:val="24"/>
                <w:lang w:val="lv-LV" w:eastAsia="en-GB"/>
              </w:rPr>
              <w:br/>
            </w:r>
            <w:r w:rsidRPr="00576895">
              <w:rPr>
                <w:rFonts w:ascii="Times New Roman" w:eastAsia="Times New Roman" w:hAnsi="Times New Roman" w:cs="Times New Roman"/>
                <w:b/>
                <w:bCs/>
                <w:color w:val="FFFFFF" w:themeColor="background1"/>
                <w:szCs w:val="24"/>
                <w:lang w:val="lv-LV" w:eastAsia="en-GB"/>
              </w:rPr>
              <w:br/>
              <w:t>(25%)</w:t>
            </w:r>
          </w:p>
        </w:tc>
        <w:tc>
          <w:tcPr>
            <w:tcW w:w="2126" w:type="dxa"/>
            <w:shd w:val="clear" w:color="auto" w:fill="808080" w:themeFill="background1" w:themeFillShade="80"/>
            <w:hideMark/>
          </w:tcPr>
          <w:p w:rsidR="00647FC0" w:rsidRPr="00576895" w:rsidRDefault="00647FC0" w:rsidP="00EC73E7">
            <w:pPr>
              <w:autoSpaceDE/>
              <w:autoSpaceDN/>
              <w:adjustRightInd/>
              <w:spacing w:line="240" w:lineRule="auto"/>
              <w:rPr>
                <w:rFonts w:ascii="Times New Roman" w:eastAsia="Times New Roman" w:hAnsi="Times New Roman" w:cs="Times New Roman"/>
                <w:b/>
                <w:bCs/>
                <w:color w:val="FFFFFF" w:themeColor="background1"/>
                <w:szCs w:val="24"/>
                <w:lang w:val="lv-LV" w:eastAsia="en-GB"/>
              </w:rPr>
            </w:pPr>
            <w:r w:rsidRPr="00576895">
              <w:rPr>
                <w:rFonts w:ascii="Times New Roman" w:eastAsia="Times New Roman" w:hAnsi="Times New Roman" w:cs="Times New Roman"/>
                <w:b/>
                <w:bCs/>
                <w:color w:val="FFFFFF" w:themeColor="background1"/>
                <w:szCs w:val="24"/>
                <w:u w:val="single"/>
                <w:lang w:val="lv-LV" w:eastAsia="en-GB"/>
              </w:rPr>
              <w:t>Nacionālā</w:t>
            </w:r>
            <w:r w:rsidRPr="00576895">
              <w:rPr>
                <w:rFonts w:ascii="Times New Roman" w:eastAsia="Times New Roman" w:hAnsi="Times New Roman" w:cs="Times New Roman"/>
                <w:b/>
                <w:bCs/>
                <w:color w:val="FFFFFF" w:themeColor="background1"/>
                <w:szCs w:val="24"/>
                <w:lang w:val="lv-LV" w:eastAsia="en-GB"/>
              </w:rPr>
              <w:t xml:space="preserve"> TP līdzfinansējums – </w:t>
            </w:r>
            <w:r w:rsidRPr="00576895">
              <w:rPr>
                <w:rFonts w:ascii="Times New Roman" w:eastAsia="Times New Roman" w:hAnsi="Times New Roman" w:cs="Times New Roman"/>
                <w:b/>
                <w:bCs/>
                <w:color w:val="FFFFFF" w:themeColor="background1"/>
                <w:szCs w:val="24"/>
                <w:u w:val="single"/>
                <w:lang w:val="lv-LV" w:eastAsia="en-GB"/>
              </w:rPr>
              <w:t>katru gadu</w:t>
            </w:r>
            <w:r w:rsidRPr="00576895">
              <w:rPr>
                <w:rFonts w:ascii="Times New Roman" w:eastAsia="Times New Roman" w:hAnsi="Times New Roman" w:cs="Times New Roman"/>
                <w:b/>
                <w:bCs/>
                <w:color w:val="FFFFFF" w:themeColor="background1"/>
                <w:szCs w:val="24"/>
                <w:lang w:val="lv-LV" w:eastAsia="en-GB"/>
              </w:rPr>
              <w:br/>
              <w:t xml:space="preserve">2015-2022 </w:t>
            </w:r>
            <w:r w:rsidRPr="00576895">
              <w:rPr>
                <w:rFonts w:ascii="Times New Roman" w:eastAsia="Times New Roman" w:hAnsi="Times New Roman" w:cs="Times New Roman"/>
                <w:b/>
                <w:bCs/>
                <w:color w:val="FFFFFF" w:themeColor="background1"/>
                <w:szCs w:val="24"/>
                <w:lang w:val="lv-LV" w:eastAsia="en-GB"/>
              </w:rPr>
              <w:br/>
              <w:t>(8 gadi)</w:t>
            </w:r>
          </w:p>
        </w:tc>
      </w:tr>
      <w:tr w:rsidR="00647FC0" w:rsidRPr="00576895" w:rsidTr="00EC73E7">
        <w:trPr>
          <w:trHeight w:val="375"/>
        </w:trPr>
        <w:tc>
          <w:tcPr>
            <w:tcW w:w="1433" w:type="dxa"/>
            <w:shd w:val="clear" w:color="auto" w:fill="A6A6A6" w:themeFill="background1" w:themeFillShade="A6"/>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FFFFFF" w:themeColor="background1"/>
                <w:szCs w:val="24"/>
                <w:lang w:val="lv-LV" w:eastAsia="en-GB"/>
              </w:rPr>
            </w:pPr>
            <w:r w:rsidRPr="00576895">
              <w:rPr>
                <w:rFonts w:ascii="Times New Roman" w:eastAsia="Times New Roman" w:hAnsi="Times New Roman" w:cs="Times New Roman"/>
                <w:color w:val="FFFFFF" w:themeColor="background1"/>
                <w:szCs w:val="24"/>
                <w:lang w:val="lv-LV" w:eastAsia="en-GB"/>
              </w:rPr>
              <w:t> </w:t>
            </w:r>
          </w:p>
        </w:tc>
        <w:tc>
          <w:tcPr>
            <w:tcW w:w="1843" w:type="dxa"/>
            <w:shd w:val="clear" w:color="auto" w:fill="A6A6A6" w:themeFill="background1" w:themeFillShade="A6"/>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FFFFFF" w:themeColor="background1"/>
                <w:szCs w:val="24"/>
                <w:lang w:val="lv-LV" w:eastAsia="en-GB"/>
              </w:rPr>
            </w:pPr>
            <w:r w:rsidRPr="00576895">
              <w:rPr>
                <w:rFonts w:ascii="Times New Roman" w:eastAsia="Times New Roman" w:hAnsi="Times New Roman" w:cs="Times New Roman"/>
                <w:color w:val="FFFFFF" w:themeColor="background1"/>
                <w:szCs w:val="24"/>
                <w:lang w:val="lv-LV" w:eastAsia="en-GB"/>
              </w:rPr>
              <w:t>A</w:t>
            </w:r>
          </w:p>
        </w:tc>
        <w:tc>
          <w:tcPr>
            <w:tcW w:w="1984" w:type="dxa"/>
            <w:shd w:val="clear" w:color="auto" w:fill="A6A6A6" w:themeFill="background1" w:themeFillShade="A6"/>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FFFFFF" w:themeColor="background1"/>
                <w:szCs w:val="24"/>
                <w:lang w:val="lv-LV" w:eastAsia="en-GB"/>
              </w:rPr>
            </w:pPr>
            <w:r w:rsidRPr="00576895">
              <w:rPr>
                <w:rFonts w:ascii="Times New Roman" w:eastAsia="Times New Roman" w:hAnsi="Times New Roman" w:cs="Times New Roman"/>
                <w:color w:val="FFFFFF" w:themeColor="background1"/>
                <w:szCs w:val="24"/>
                <w:lang w:val="lv-LV" w:eastAsia="en-GB"/>
              </w:rPr>
              <w:t>B = (0.06 * A)</w:t>
            </w:r>
          </w:p>
        </w:tc>
        <w:tc>
          <w:tcPr>
            <w:tcW w:w="1843" w:type="dxa"/>
            <w:shd w:val="clear" w:color="auto" w:fill="A6A6A6" w:themeFill="background1" w:themeFillShade="A6"/>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FFFFFF" w:themeColor="background1"/>
                <w:szCs w:val="24"/>
                <w:lang w:val="lv-LV" w:eastAsia="en-GB"/>
              </w:rPr>
            </w:pPr>
            <w:r w:rsidRPr="00576895">
              <w:rPr>
                <w:rFonts w:ascii="Times New Roman" w:eastAsia="Times New Roman" w:hAnsi="Times New Roman" w:cs="Times New Roman"/>
                <w:color w:val="FFFFFF" w:themeColor="background1"/>
                <w:szCs w:val="24"/>
                <w:lang w:val="lv-LV" w:eastAsia="en-GB"/>
              </w:rPr>
              <w:t>C = (25/75) * B</w:t>
            </w:r>
          </w:p>
        </w:tc>
        <w:tc>
          <w:tcPr>
            <w:tcW w:w="2126" w:type="dxa"/>
            <w:shd w:val="clear" w:color="auto" w:fill="A6A6A6" w:themeFill="background1" w:themeFillShade="A6"/>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FFFFFF" w:themeColor="background1"/>
                <w:szCs w:val="24"/>
                <w:lang w:val="lv-LV" w:eastAsia="en-GB"/>
              </w:rPr>
            </w:pPr>
            <w:r w:rsidRPr="00576895">
              <w:rPr>
                <w:rFonts w:ascii="Times New Roman" w:eastAsia="Times New Roman" w:hAnsi="Times New Roman" w:cs="Times New Roman"/>
                <w:color w:val="FFFFFF" w:themeColor="background1"/>
                <w:szCs w:val="24"/>
                <w:lang w:val="lv-LV" w:eastAsia="en-GB"/>
              </w:rPr>
              <w:t>D = C / 8</w:t>
            </w:r>
          </w:p>
        </w:tc>
      </w:tr>
      <w:tr w:rsidR="00647FC0" w:rsidRPr="00576895" w:rsidTr="00EC73E7">
        <w:trPr>
          <w:trHeight w:val="450"/>
        </w:trPr>
        <w:tc>
          <w:tcPr>
            <w:tcW w:w="1433" w:type="dxa"/>
            <w:shd w:val="clear" w:color="auto" w:fill="auto"/>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Dānija</w:t>
            </w:r>
          </w:p>
        </w:tc>
        <w:tc>
          <w:tcPr>
            <w:tcW w:w="1843" w:type="dxa"/>
            <w:shd w:val="clear" w:color="auto" w:fill="auto"/>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b/>
                <w:bCs/>
                <w:color w:val="auto"/>
                <w:szCs w:val="24"/>
                <w:lang w:val="lv-LV" w:eastAsia="en-GB"/>
              </w:rPr>
            </w:pPr>
            <w:r w:rsidRPr="00576895">
              <w:rPr>
                <w:rFonts w:ascii="Times New Roman" w:eastAsia="Times New Roman" w:hAnsi="Times New Roman" w:cs="Times New Roman"/>
                <w:b/>
                <w:bCs/>
                <w:color w:val="auto"/>
                <w:szCs w:val="24"/>
                <w:lang w:val="lv-LV" w:eastAsia="en-GB"/>
              </w:rPr>
              <w:t>20,205,291</w:t>
            </w:r>
          </w:p>
        </w:tc>
        <w:tc>
          <w:tcPr>
            <w:tcW w:w="1984" w:type="dxa"/>
            <w:shd w:val="clear" w:color="auto" w:fill="auto"/>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1,212,317</w:t>
            </w:r>
          </w:p>
        </w:tc>
        <w:tc>
          <w:tcPr>
            <w:tcW w:w="1843" w:type="dxa"/>
            <w:shd w:val="clear" w:color="auto" w:fill="auto"/>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404,106</w:t>
            </w:r>
          </w:p>
        </w:tc>
        <w:tc>
          <w:tcPr>
            <w:tcW w:w="2126" w:type="dxa"/>
            <w:shd w:val="clear" w:color="auto" w:fill="auto"/>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50,513</w:t>
            </w:r>
          </w:p>
        </w:tc>
      </w:tr>
      <w:tr w:rsidR="00647FC0" w:rsidRPr="00576895" w:rsidTr="00EC73E7">
        <w:trPr>
          <w:trHeight w:val="450"/>
        </w:trPr>
        <w:tc>
          <w:tcPr>
            <w:tcW w:w="1433" w:type="dxa"/>
            <w:shd w:val="clear" w:color="auto" w:fill="auto"/>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Igaunija</w:t>
            </w:r>
          </w:p>
        </w:tc>
        <w:tc>
          <w:tcPr>
            <w:tcW w:w="1843" w:type="dxa"/>
            <w:shd w:val="clear" w:color="auto" w:fill="auto"/>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b/>
                <w:bCs/>
                <w:color w:val="auto"/>
                <w:szCs w:val="24"/>
                <w:lang w:val="lv-LV" w:eastAsia="en-GB"/>
              </w:rPr>
            </w:pPr>
            <w:r w:rsidRPr="00576895">
              <w:rPr>
                <w:rFonts w:ascii="Times New Roman" w:eastAsia="Times New Roman" w:hAnsi="Times New Roman" w:cs="Times New Roman"/>
                <w:b/>
                <w:bCs/>
                <w:color w:val="auto"/>
                <w:szCs w:val="24"/>
                <w:lang w:val="lv-LV" w:eastAsia="en-GB"/>
              </w:rPr>
              <w:t>5,533,906</w:t>
            </w:r>
          </w:p>
        </w:tc>
        <w:tc>
          <w:tcPr>
            <w:tcW w:w="1984" w:type="dxa"/>
            <w:shd w:val="clear" w:color="auto" w:fill="auto"/>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332,034</w:t>
            </w:r>
          </w:p>
        </w:tc>
        <w:tc>
          <w:tcPr>
            <w:tcW w:w="1843" w:type="dxa"/>
            <w:shd w:val="clear" w:color="auto" w:fill="auto"/>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110,678</w:t>
            </w:r>
          </w:p>
        </w:tc>
        <w:tc>
          <w:tcPr>
            <w:tcW w:w="2126" w:type="dxa"/>
            <w:shd w:val="clear" w:color="auto" w:fill="auto"/>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13,835</w:t>
            </w:r>
          </w:p>
        </w:tc>
      </w:tr>
      <w:tr w:rsidR="00647FC0" w:rsidRPr="00576895" w:rsidTr="00EC73E7">
        <w:trPr>
          <w:trHeight w:val="450"/>
        </w:trPr>
        <w:tc>
          <w:tcPr>
            <w:tcW w:w="1433" w:type="dxa"/>
            <w:shd w:val="clear" w:color="auto" w:fill="auto"/>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Somija</w:t>
            </w:r>
          </w:p>
        </w:tc>
        <w:tc>
          <w:tcPr>
            <w:tcW w:w="1843" w:type="dxa"/>
            <w:shd w:val="clear" w:color="auto" w:fill="auto"/>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b/>
                <w:bCs/>
                <w:color w:val="auto"/>
                <w:szCs w:val="24"/>
                <w:lang w:val="lv-LV" w:eastAsia="en-GB"/>
              </w:rPr>
            </w:pPr>
            <w:r w:rsidRPr="00576895">
              <w:rPr>
                <w:rFonts w:ascii="Times New Roman" w:eastAsia="Times New Roman" w:hAnsi="Times New Roman" w:cs="Times New Roman"/>
                <w:b/>
                <w:bCs/>
                <w:color w:val="auto"/>
                <w:szCs w:val="24"/>
                <w:lang w:val="lv-LV" w:eastAsia="en-GB"/>
              </w:rPr>
              <w:t>29,190,652</w:t>
            </w:r>
          </w:p>
        </w:tc>
        <w:tc>
          <w:tcPr>
            <w:tcW w:w="1984" w:type="dxa"/>
            <w:shd w:val="clear" w:color="auto" w:fill="auto"/>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1,751,439</w:t>
            </w:r>
          </w:p>
        </w:tc>
        <w:tc>
          <w:tcPr>
            <w:tcW w:w="1843" w:type="dxa"/>
            <w:shd w:val="clear" w:color="auto" w:fill="auto"/>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583,813</w:t>
            </w:r>
          </w:p>
        </w:tc>
        <w:tc>
          <w:tcPr>
            <w:tcW w:w="2126" w:type="dxa"/>
            <w:shd w:val="clear" w:color="auto" w:fill="auto"/>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72,977</w:t>
            </w:r>
          </w:p>
        </w:tc>
      </w:tr>
      <w:tr w:rsidR="00647FC0" w:rsidRPr="00576895" w:rsidTr="00EC73E7">
        <w:trPr>
          <w:trHeight w:val="450"/>
        </w:trPr>
        <w:tc>
          <w:tcPr>
            <w:tcW w:w="1433" w:type="dxa"/>
            <w:shd w:val="clear" w:color="auto" w:fill="auto"/>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Vācija</w:t>
            </w:r>
          </w:p>
        </w:tc>
        <w:tc>
          <w:tcPr>
            <w:tcW w:w="1843" w:type="dxa"/>
            <w:shd w:val="clear" w:color="auto" w:fill="auto"/>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b/>
                <w:bCs/>
                <w:color w:val="auto"/>
                <w:szCs w:val="24"/>
                <w:lang w:val="lv-LV" w:eastAsia="en-GB"/>
              </w:rPr>
            </w:pPr>
            <w:r w:rsidRPr="00576895">
              <w:rPr>
                <w:rFonts w:ascii="Times New Roman" w:eastAsia="Times New Roman" w:hAnsi="Times New Roman" w:cs="Times New Roman"/>
                <w:b/>
                <w:bCs/>
                <w:color w:val="auto"/>
                <w:szCs w:val="24"/>
                <w:lang w:val="lv-LV" w:eastAsia="en-GB"/>
              </w:rPr>
              <w:t>72,629,948</w:t>
            </w:r>
          </w:p>
        </w:tc>
        <w:tc>
          <w:tcPr>
            <w:tcW w:w="1984" w:type="dxa"/>
            <w:shd w:val="clear" w:color="auto" w:fill="auto"/>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4,357,797</w:t>
            </w:r>
          </w:p>
        </w:tc>
        <w:tc>
          <w:tcPr>
            <w:tcW w:w="1843" w:type="dxa"/>
            <w:shd w:val="clear" w:color="auto" w:fill="auto"/>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1,452,599</w:t>
            </w:r>
          </w:p>
        </w:tc>
        <w:tc>
          <w:tcPr>
            <w:tcW w:w="2126" w:type="dxa"/>
            <w:shd w:val="clear" w:color="auto" w:fill="auto"/>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181,575</w:t>
            </w:r>
          </w:p>
        </w:tc>
      </w:tr>
      <w:tr w:rsidR="00647FC0" w:rsidRPr="00576895" w:rsidTr="00EC73E7">
        <w:trPr>
          <w:trHeight w:val="450"/>
        </w:trPr>
        <w:tc>
          <w:tcPr>
            <w:tcW w:w="1433" w:type="dxa"/>
            <w:shd w:val="clear" w:color="auto" w:fill="auto"/>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Latvija</w:t>
            </w:r>
          </w:p>
        </w:tc>
        <w:tc>
          <w:tcPr>
            <w:tcW w:w="1843" w:type="dxa"/>
            <w:shd w:val="clear" w:color="auto" w:fill="auto"/>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b/>
                <w:bCs/>
                <w:color w:val="auto"/>
                <w:szCs w:val="24"/>
                <w:lang w:val="lv-LV" w:eastAsia="en-GB"/>
              </w:rPr>
            </w:pPr>
            <w:r w:rsidRPr="00576895">
              <w:rPr>
                <w:rFonts w:ascii="Times New Roman" w:eastAsia="Times New Roman" w:hAnsi="Times New Roman" w:cs="Times New Roman"/>
                <w:b/>
                <w:bCs/>
                <w:color w:val="auto"/>
                <w:szCs w:val="24"/>
                <w:lang w:val="lv-LV" w:eastAsia="en-GB"/>
              </w:rPr>
              <w:t>7,945,883</w:t>
            </w:r>
          </w:p>
        </w:tc>
        <w:tc>
          <w:tcPr>
            <w:tcW w:w="1984" w:type="dxa"/>
            <w:shd w:val="clear" w:color="auto" w:fill="auto"/>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476,753</w:t>
            </w:r>
          </w:p>
        </w:tc>
        <w:tc>
          <w:tcPr>
            <w:tcW w:w="1843" w:type="dxa"/>
            <w:shd w:val="clear" w:color="auto" w:fill="auto"/>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158,918</w:t>
            </w:r>
          </w:p>
        </w:tc>
        <w:tc>
          <w:tcPr>
            <w:tcW w:w="2126" w:type="dxa"/>
            <w:shd w:val="clear" w:color="auto" w:fill="auto"/>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19,865</w:t>
            </w:r>
          </w:p>
        </w:tc>
      </w:tr>
      <w:tr w:rsidR="00647FC0" w:rsidRPr="00576895" w:rsidTr="00EC73E7">
        <w:trPr>
          <w:trHeight w:val="450"/>
        </w:trPr>
        <w:tc>
          <w:tcPr>
            <w:tcW w:w="1433" w:type="dxa"/>
            <w:shd w:val="clear" w:color="auto" w:fill="auto"/>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Lietuva</w:t>
            </w:r>
          </w:p>
        </w:tc>
        <w:tc>
          <w:tcPr>
            <w:tcW w:w="1843" w:type="dxa"/>
            <w:shd w:val="clear" w:color="auto" w:fill="auto"/>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b/>
                <w:bCs/>
                <w:color w:val="auto"/>
                <w:szCs w:val="24"/>
                <w:lang w:val="lv-LV" w:eastAsia="en-GB"/>
              </w:rPr>
            </w:pPr>
            <w:r w:rsidRPr="00576895">
              <w:rPr>
                <w:rFonts w:ascii="Times New Roman" w:eastAsia="Times New Roman" w:hAnsi="Times New Roman" w:cs="Times New Roman"/>
                <w:b/>
                <w:bCs/>
                <w:color w:val="auto"/>
                <w:szCs w:val="24"/>
                <w:lang w:val="lv-LV" w:eastAsia="en-GB"/>
              </w:rPr>
              <w:t>13,853,812</w:t>
            </w:r>
          </w:p>
        </w:tc>
        <w:tc>
          <w:tcPr>
            <w:tcW w:w="1984" w:type="dxa"/>
            <w:shd w:val="clear" w:color="auto" w:fill="auto"/>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831,229</w:t>
            </w:r>
          </w:p>
        </w:tc>
        <w:tc>
          <w:tcPr>
            <w:tcW w:w="1843" w:type="dxa"/>
            <w:shd w:val="clear" w:color="auto" w:fill="auto"/>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277,076</w:t>
            </w:r>
          </w:p>
        </w:tc>
        <w:tc>
          <w:tcPr>
            <w:tcW w:w="2126" w:type="dxa"/>
            <w:shd w:val="clear" w:color="auto" w:fill="auto"/>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34,635</w:t>
            </w:r>
          </w:p>
        </w:tc>
      </w:tr>
      <w:tr w:rsidR="00647FC0" w:rsidRPr="00576895" w:rsidTr="00EC73E7">
        <w:trPr>
          <w:trHeight w:val="450"/>
        </w:trPr>
        <w:tc>
          <w:tcPr>
            <w:tcW w:w="1433" w:type="dxa"/>
            <w:shd w:val="clear" w:color="auto" w:fill="auto"/>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Polija</w:t>
            </w:r>
          </w:p>
        </w:tc>
        <w:tc>
          <w:tcPr>
            <w:tcW w:w="1843" w:type="dxa"/>
            <w:shd w:val="clear" w:color="auto" w:fill="auto"/>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b/>
                <w:bCs/>
                <w:color w:val="auto"/>
                <w:szCs w:val="24"/>
                <w:lang w:val="lv-LV" w:eastAsia="en-GB"/>
              </w:rPr>
            </w:pPr>
            <w:r w:rsidRPr="00576895">
              <w:rPr>
                <w:rFonts w:ascii="Times New Roman" w:eastAsia="Times New Roman" w:hAnsi="Times New Roman" w:cs="Times New Roman"/>
                <w:b/>
                <w:bCs/>
                <w:color w:val="auto"/>
                <w:szCs w:val="24"/>
                <w:lang w:val="lv-LV" w:eastAsia="en-GB"/>
              </w:rPr>
              <w:t>66,859,658</w:t>
            </w:r>
          </w:p>
        </w:tc>
        <w:tc>
          <w:tcPr>
            <w:tcW w:w="1984" w:type="dxa"/>
            <w:shd w:val="clear" w:color="auto" w:fill="auto"/>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4,011,579</w:t>
            </w:r>
          </w:p>
        </w:tc>
        <w:tc>
          <w:tcPr>
            <w:tcW w:w="1843" w:type="dxa"/>
            <w:shd w:val="clear" w:color="auto" w:fill="auto"/>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1,337,193</w:t>
            </w:r>
          </w:p>
        </w:tc>
        <w:tc>
          <w:tcPr>
            <w:tcW w:w="2126" w:type="dxa"/>
            <w:shd w:val="clear" w:color="auto" w:fill="auto"/>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167,149</w:t>
            </w:r>
          </w:p>
        </w:tc>
      </w:tr>
      <w:tr w:rsidR="00647FC0" w:rsidRPr="00576895" w:rsidTr="00EC73E7">
        <w:trPr>
          <w:trHeight w:val="450"/>
        </w:trPr>
        <w:tc>
          <w:tcPr>
            <w:tcW w:w="1433" w:type="dxa"/>
            <w:shd w:val="clear" w:color="auto" w:fill="auto"/>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Zviedrija</w:t>
            </w:r>
          </w:p>
        </w:tc>
        <w:tc>
          <w:tcPr>
            <w:tcW w:w="1843" w:type="dxa"/>
            <w:shd w:val="clear" w:color="auto" w:fill="auto"/>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b/>
                <w:bCs/>
                <w:color w:val="auto"/>
                <w:szCs w:val="24"/>
                <w:lang w:val="lv-LV" w:eastAsia="en-GB"/>
              </w:rPr>
            </w:pPr>
            <w:r w:rsidRPr="00576895">
              <w:rPr>
                <w:rFonts w:ascii="Times New Roman" w:eastAsia="Times New Roman" w:hAnsi="Times New Roman" w:cs="Times New Roman"/>
                <w:b/>
                <w:bCs/>
                <w:color w:val="auto"/>
                <w:szCs w:val="24"/>
                <w:lang w:val="lv-LV" w:eastAsia="en-GB"/>
              </w:rPr>
              <w:t>47,611,508</w:t>
            </w:r>
          </w:p>
        </w:tc>
        <w:tc>
          <w:tcPr>
            <w:tcW w:w="1984" w:type="dxa"/>
            <w:shd w:val="clear" w:color="auto" w:fill="auto"/>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2,856,690</w:t>
            </w:r>
          </w:p>
        </w:tc>
        <w:tc>
          <w:tcPr>
            <w:tcW w:w="1843" w:type="dxa"/>
            <w:shd w:val="clear" w:color="auto" w:fill="auto"/>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952,230</w:t>
            </w:r>
          </w:p>
        </w:tc>
        <w:tc>
          <w:tcPr>
            <w:tcW w:w="2126" w:type="dxa"/>
            <w:shd w:val="clear" w:color="auto" w:fill="auto"/>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119,029</w:t>
            </w:r>
          </w:p>
        </w:tc>
      </w:tr>
      <w:tr w:rsidR="00647FC0" w:rsidRPr="00576895" w:rsidTr="00EC73E7">
        <w:trPr>
          <w:trHeight w:val="450"/>
        </w:trPr>
        <w:tc>
          <w:tcPr>
            <w:tcW w:w="1433" w:type="dxa"/>
            <w:shd w:val="clear" w:color="auto" w:fill="BFBFBF" w:themeFill="background1" w:themeFillShade="BF"/>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b/>
                <w:bCs/>
                <w:color w:val="FFFFFF" w:themeColor="background1"/>
                <w:szCs w:val="24"/>
                <w:lang w:val="lv-LV" w:eastAsia="en-GB"/>
              </w:rPr>
            </w:pPr>
            <w:r w:rsidRPr="00576895">
              <w:rPr>
                <w:rFonts w:ascii="Times New Roman" w:eastAsia="Times New Roman" w:hAnsi="Times New Roman" w:cs="Times New Roman"/>
                <w:b/>
                <w:bCs/>
                <w:color w:val="FFFFFF" w:themeColor="background1"/>
                <w:szCs w:val="24"/>
                <w:lang w:val="lv-LV" w:eastAsia="en-GB"/>
              </w:rPr>
              <w:t>Starpsumma</w:t>
            </w:r>
          </w:p>
        </w:tc>
        <w:tc>
          <w:tcPr>
            <w:tcW w:w="1843" w:type="dxa"/>
            <w:shd w:val="clear" w:color="auto" w:fill="BFBFBF" w:themeFill="background1" w:themeFillShade="BF"/>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b/>
                <w:bCs/>
                <w:color w:val="FFFFFF" w:themeColor="background1"/>
                <w:szCs w:val="24"/>
                <w:lang w:val="lv-LV" w:eastAsia="en-GB"/>
              </w:rPr>
            </w:pPr>
            <w:r w:rsidRPr="00576895">
              <w:rPr>
                <w:rFonts w:ascii="Times New Roman" w:eastAsia="Times New Roman" w:hAnsi="Times New Roman" w:cs="Times New Roman"/>
                <w:b/>
                <w:bCs/>
                <w:color w:val="FFFFFF" w:themeColor="background1"/>
                <w:szCs w:val="24"/>
                <w:lang w:val="lv-LV" w:eastAsia="en-GB"/>
              </w:rPr>
              <w:t>263,830,658</w:t>
            </w:r>
          </w:p>
        </w:tc>
        <w:tc>
          <w:tcPr>
            <w:tcW w:w="1984" w:type="dxa"/>
            <w:shd w:val="clear" w:color="auto" w:fill="BFBFBF" w:themeFill="background1" w:themeFillShade="BF"/>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b/>
                <w:bCs/>
                <w:color w:val="FFFFFF" w:themeColor="background1"/>
                <w:szCs w:val="24"/>
                <w:lang w:val="lv-LV" w:eastAsia="en-GB"/>
              </w:rPr>
            </w:pPr>
            <w:r w:rsidRPr="00576895">
              <w:rPr>
                <w:rFonts w:ascii="Times New Roman" w:eastAsia="Times New Roman" w:hAnsi="Times New Roman" w:cs="Times New Roman"/>
                <w:b/>
                <w:bCs/>
                <w:color w:val="FFFFFF" w:themeColor="background1"/>
                <w:szCs w:val="24"/>
                <w:lang w:val="lv-LV" w:eastAsia="en-GB"/>
              </w:rPr>
              <w:t>15,829,839</w:t>
            </w:r>
          </w:p>
        </w:tc>
        <w:tc>
          <w:tcPr>
            <w:tcW w:w="1843" w:type="dxa"/>
            <w:shd w:val="clear" w:color="auto" w:fill="BFBFBF" w:themeFill="background1" w:themeFillShade="BF"/>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b/>
                <w:bCs/>
                <w:color w:val="FFFFFF" w:themeColor="background1"/>
                <w:szCs w:val="24"/>
                <w:lang w:val="lv-LV" w:eastAsia="en-GB"/>
              </w:rPr>
            </w:pPr>
            <w:r w:rsidRPr="00576895">
              <w:rPr>
                <w:rFonts w:ascii="Times New Roman" w:eastAsia="Times New Roman" w:hAnsi="Times New Roman" w:cs="Times New Roman"/>
                <w:b/>
                <w:bCs/>
                <w:color w:val="FFFFFF" w:themeColor="background1"/>
                <w:szCs w:val="24"/>
                <w:lang w:val="lv-LV" w:eastAsia="en-GB"/>
              </w:rPr>
              <w:t>5,276,613</w:t>
            </w:r>
          </w:p>
        </w:tc>
        <w:tc>
          <w:tcPr>
            <w:tcW w:w="2126" w:type="dxa"/>
            <w:shd w:val="clear" w:color="auto" w:fill="BFBFBF" w:themeFill="background1" w:themeFillShade="BF"/>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b/>
                <w:bCs/>
                <w:color w:val="FFFFFF" w:themeColor="background1"/>
                <w:szCs w:val="24"/>
                <w:lang w:val="lv-LV" w:eastAsia="en-GB"/>
              </w:rPr>
            </w:pPr>
            <w:r w:rsidRPr="00576895">
              <w:rPr>
                <w:rFonts w:ascii="Times New Roman" w:eastAsia="Times New Roman" w:hAnsi="Times New Roman" w:cs="Times New Roman"/>
                <w:b/>
                <w:bCs/>
                <w:color w:val="FFFFFF" w:themeColor="background1"/>
                <w:szCs w:val="24"/>
                <w:lang w:val="lv-LV" w:eastAsia="en-GB"/>
              </w:rPr>
              <w:t>659,577</w:t>
            </w:r>
          </w:p>
        </w:tc>
      </w:tr>
      <w:tr w:rsidR="00647FC0" w:rsidRPr="00576895" w:rsidTr="00EC73E7">
        <w:trPr>
          <w:trHeight w:val="450"/>
        </w:trPr>
        <w:tc>
          <w:tcPr>
            <w:tcW w:w="1433" w:type="dxa"/>
            <w:shd w:val="clear" w:color="auto" w:fill="auto"/>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Norvēģija**</w:t>
            </w:r>
          </w:p>
        </w:tc>
        <w:tc>
          <w:tcPr>
            <w:tcW w:w="1843" w:type="dxa"/>
            <w:shd w:val="clear" w:color="auto" w:fill="auto"/>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b/>
                <w:bCs/>
                <w:color w:val="auto"/>
                <w:szCs w:val="24"/>
                <w:lang w:val="lv-LV" w:eastAsia="en-GB"/>
              </w:rPr>
            </w:pPr>
            <w:r w:rsidRPr="00576895">
              <w:rPr>
                <w:rFonts w:ascii="Times New Roman" w:eastAsia="Times New Roman" w:hAnsi="Times New Roman" w:cs="Times New Roman"/>
                <w:b/>
                <w:bCs/>
                <w:color w:val="auto"/>
                <w:szCs w:val="24"/>
                <w:lang w:val="lv-LV" w:eastAsia="en-GB"/>
              </w:rPr>
              <w:t>6,000,000</w:t>
            </w:r>
          </w:p>
        </w:tc>
        <w:tc>
          <w:tcPr>
            <w:tcW w:w="1984" w:type="dxa"/>
            <w:shd w:val="clear" w:color="auto" w:fill="auto"/>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360,000</w:t>
            </w:r>
          </w:p>
        </w:tc>
        <w:tc>
          <w:tcPr>
            <w:tcW w:w="1843" w:type="dxa"/>
            <w:shd w:val="clear" w:color="auto" w:fill="auto"/>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120,000</w:t>
            </w:r>
          </w:p>
        </w:tc>
        <w:tc>
          <w:tcPr>
            <w:tcW w:w="2126" w:type="dxa"/>
            <w:shd w:val="clear" w:color="auto" w:fill="auto"/>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color w:val="auto"/>
                <w:szCs w:val="24"/>
                <w:lang w:val="lv-LV" w:eastAsia="en-GB"/>
              </w:rPr>
            </w:pPr>
            <w:r w:rsidRPr="00576895">
              <w:rPr>
                <w:rFonts w:ascii="Times New Roman" w:eastAsia="Times New Roman" w:hAnsi="Times New Roman" w:cs="Times New Roman"/>
                <w:color w:val="auto"/>
                <w:szCs w:val="24"/>
                <w:lang w:val="lv-LV" w:eastAsia="en-GB"/>
              </w:rPr>
              <w:t>15,000</w:t>
            </w:r>
          </w:p>
        </w:tc>
      </w:tr>
      <w:tr w:rsidR="00647FC0" w:rsidRPr="00576895" w:rsidTr="00EC73E7">
        <w:trPr>
          <w:trHeight w:val="450"/>
        </w:trPr>
        <w:tc>
          <w:tcPr>
            <w:tcW w:w="1433" w:type="dxa"/>
            <w:shd w:val="clear" w:color="auto" w:fill="808080" w:themeFill="background1" w:themeFillShade="80"/>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b/>
                <w:bCs/>
                <w:color w:val="FFFFFF" w:themeColor="background1"/>
                <w:szCs w:val="24"/>
                <w:lang w:val="lv-LV" w:eastAsia="en-GB"/>
              </w:rPr>
            </w:pPr>
            <w:r w:rsidRPr="00576895">
              <w:rPr>
                <w:rFonts w:ascii="Times New Roman" w:eastAsia="Times New Roman" w:hAnsi="Times New Roman" w:cs="Times New Roman"/>
                <w:b/>
                <w:bCs/>
                <w:color w:val="FFFFFF" w:themeColor="background1"/>
                <w:szCs w:val="24"/>
                <w:lang w:val="lv-LV" w:eastAsia="en-GB"/>
              </w:rPr>
              <w:t>Kopā</w:t>
            </w:r>
          </w:p>
        </w:tc>
        <w:tc>
          <w:tcPr>
            <w:tcW w:w="1843" w:type="dxa"/>
            <w:shd w:val="clear" w:color="auto" w:fill="808080" w:themeFill="background1" w:themeFillShade="80"/>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b/>
                <w:bCs/>
                <w:color w:val="FFFFFF" w:themeColor="background1"/>
                <w:szCs w:val="24"/>
                <w:lang w:val="lv-LV" w:eastAsia="en-GB"/>
              </w:rPr>
            </w:pPr>
            <w:r w:rsidRPr="00576895">
              <w:rPr>
                <w:rFonts w:ascii="Times New Roman" w:eastAsia="Times New Roman" w:hAnsi="Times New Roman" w:cs="Times New Roman"/>
                <w:b/>
                <w:bCs/>
                <w:color w:val="FFFFFF" w:themeColor="background1"/>
                <w:szCs w:val="24"/>
                <w:lang w:val="lv-LV" w:eastAsia="en-GB"/>
              </w:rPr>
              <w:t>269,830,658</w:t>
            </w:r>
          </w:p>
        </w:tc>
        <w:tc>
          <w:tcPr>
            <w:tcW w:w="1984" w:type="dxa"/>
            <w:shd w:val="clear" w:color="auto" w:fill="808080" w:themeFill="background1" w:themeFillShade="80"/>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b/>
                <w:bCs/>
                <w:color w:val="FFFFFF" w:themeColor="background1"/>
                <w:szCs w:val="24"/>
                <w:lang w:val="lv-LV" w:eastAsia="en-GB"/>
              </w:rPr>
            </w:pPr>
            <w:r w:rsidRPr="00576895">
              <w:rPr>
                <w:rFonts w:ascii="Times New Roman" w:eastAsia="Times New Roman" w:hAnsi="Times New Roman" w:cs="Times New Roman"/>
                <w:b/>
                <w:bCs/>
                <w:color w:val="FFFFFF" w:themeColor="background1"/>
                <w:szCs w:val="24"/>
                <w:lang w:val="lv-LV" w:eastAsia="en-GB"/>
              </w:rPr>
              <w:t>16,189,839</w:t>
            </w:r>
          </w:p>
        </w:tc>
        <w:tc>
          <w:tcPr>
            <w:tcW w:w="1843" w:type="dxa"/>
            <w:shd w:val="clear" w:color="auto" w:fill="808080" w:themeFill="background1" w:themeFillShade="80"/>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b/>
                <w:bCs/>
                <w:color w:val="FFFFFF" w:themeColor="background1"/>
                <w:szCs w:val="24"/>
                <w:lang w:val="lv-LV" w:eastAsia="en-GB"/>
              </w:rPr>
            </w:pPr>
            <w:r w:rsidRPr="00576895">
              <w:rPr>
                <w:rFonts w:ascii="Times New Roman" w:eastAsia="Times New Roman" w:hAnsi="Times New Roman" w:cs="Times New Roman"/>
                <w:b/>
                <w:bCs/>
                <w:color w:val="FFFFFF" w:themeColor="background1"/>
                <w:szCs w:val="24"/>
                <w:lang w:val="lv-LV" w:eastAsia="en-GB"/>
              </w:rPr>
              <w:t>5,396,613</w:t>
            </w:r>
          </w:p>
        </w:tc>
        <w:tc>
          <w:tcPr>
            <w:tcW w:w="2126" w:type="dxa"/>
            <w:shd w:val="clear" w:color="auto" w:fill="808080" w:themeFill="background1" w:themeFillShade="80"/>
            <w:noWrap/>
            <w:vAlign w:val="center"/>
            <w:hideMark/>
          </w:tcPr>
          <w:p w:rsidR="00647FC0" w:rsidRPr="00576895" w:rsidRDefault="00647FC0" w:rsidP="00EC73E7">
            <w:pPr>
              <w:autoSpaceDE/>
              <w:autoSpaceDN/>
              <w:adjustRightInd/>
              <w:spacing w:line="240" w:lineRule="auto"/>
              <w:rPr>
                <w:rFonts w:ascii="Times New Roman" w:eastAsia="Times New Roman" w:hAnsi="Times New Roman" w:cs="Times New Roman"/>
                <w:b/>
                <w:bCs/>
                <w:color w:val="FFFFFF" w:themeColor="background1"/>
                <w:szCs w:val="24"/>
                <w:lang w:val="lv-LV" w:eastAsia="en-GB"/>
              </w:rPr>
            </w:pPr>
            <w:r w:rsidRPr="00576895">
              <w:rPr>
                <w:rFonts w:ascii="Times New Roman" w:eastAsia="Times New Roman" w:hAnsi="Times New Roman" w:cs="Times New Roman"/>
                <w:b/>
                <w:bCs/>
                <w:color w:val="FFFFFF" w:themeColor="background1"/>
                <w:szCs w:val="24"/>
                <w:lang w:val="lv-LV" w:eastAsia="en-GB"/>
              </w:rPr>
              <w:t>674,577</w:t>
            </w:r>
          </w:p>
        </w:tc>
      </w:tr>
    </w:tbl>
    <w:p w:rsidR="00647FC0" w:rsidRPr="00576895" w:rsidRDefault="00647FC0" w:rsidP="00647FC0">
      <w:pPr>
        <w:spacing w:after="120"/>
        <w:jc w:val="right"/>
        <w:rPr>
          <w:rFonts w:ascii="Times New Roman" w:eastAsia="Times New Roman" w:hAnsi="Times New Roman" w:cs="Times New Roman"/>
          <w:szCs w:val="24"/>
          <w:lang w:val="lv-LV" w:eastAsia="en-GB"/>
        </w:rPr>
      </w:pPr>
    </w:p>
    <w:p w:rsidR="00647FC0" w:rsidRPr="00576895" w:rsidRDefault="00647FC0" w:rsidP="00647FC0">
      <w:pPr>
        <w:spacing w:after="120" w:line="240" w:lineRule="atLeast"/>
        <w:ind w:left="142" w:hanging="142"/>
        <w:rPr>
          <w:rFonts w:ascii="Times New Roman" w:eastAsia="Times New Roman" w:hAnsi="Times New Roman" w:cs="Times New Roman"/>
          <w:color w:val="auto"/>
          <w:sz w:val="20"/>
          <w:lang w:val="lv-LV" w:eastAsia="en-GB"/>
        </w:rPr>
      </w:pPr>
      <w:r w:rsidRPr="00576895">
        <w:rPr>
          <w:rFonts w:ascii="Times New Roman" w:eastAsia="Times New Roman" w:hAnsi="Times New Roman" w:cs="Times New Roman"/>
          <w:color w:val="auto"/>
          <w:szCs w:val="24"/>
          <w:lang w:val="lv-LV" w:eastAsia="en-GB"/>
        </w:rPr>
        <w:t xml:space="preserve">* </w:t>
      </w:r>
      <w:r w:rsidRPr="00576895">
        <w:rPr>
          <w:rFonts w:ascii="Times New Roman" w:eastAsia="Times New Roman" w:hAnsi="Times New Roman" w:cs="Times New Roman"/>
          <w:color w:val="auto"/>
          <w:sz w:val="20"/>
          <w:lang w:val="lv-LV" w:eastAsia="en-GB"/>
        </w:rPr>
        <w:t>Dati ir balstīti uz Eiropas Komisijas apstiprinātās Programmas 1. un 2.pielikumu (2014.gada 18.decembra lēmums Nr. C(2014)10146) un ikgadējais sadalījums uz šī</w:t>
      </w:r>
      <w:r w:rsidR="00995364">
        <w:rPr>
          <w:rFonts w:ascii="Times New Roman" w:eastAsia="Times New Roman" w:hAnsi="Times New Roman" w:cs="Times New Roman"/>
          <w:color w:val="auto"/>
          <w:sz w:val="20"/>
          <w:lang w:val="lv-LV" w:eastAsia="en-GB"/>
        </w:rPr>
        <w:t>s Vienošanās</w:t>
      </w:r>
      <w:r w:rsidRPr="00576895">
        <w:rPr>
          <w:rFonts w:ascii="Times New Roman" w:eastAsia="Times New Roman" w:hAnsi="Times New Roman" w:cs="Times New Roman"/>
          <w:color w:val="auto"/>
          <w:sz w:val="20"/>
          <w:lang w:val="lv-LV" w:eastAsia="en-GB"/>
        </w:rPr>
        <w:t xml:space="preserve"> 3.1(f).punktu</w:t>
      </w:r>
    </w:p>
    <w:p w:rsidR="00647FC0" w:rsidRPr="00576895" w:rsidRDefault="00647FC0" w:rsidP="00647FC0">
      <w:pPr>
        <w:spacing w:after="120" w:line="240" w:lineRule="atLeast"/>
        <w:ind w:left="284" w:hanging="284"/>
        <w:rPr>
          <w:rFonts w:ascii="Times New Roman" w:eastAsia="Times New Roman" w:hAnsi="Times New Roman" w:cs="Times New Roman"/>
          <w:b/>
          <w:color w:val="auto"/>
          <w:sz w:val="20"/>
          <w:lang w:val="lv-LV" w:eastAsia="en-GB"/>
        </w:rPr>
      </w:pPr>
      <w:r w:rsidRPr="00576895">
        <w:rPr>
          <w:rFonts w:ascii="Times New Roman" w:eastAsia="Times New Roman" w:hAnsi="Times New Roman" w:cs="Times New Roman"/>
          <w:color w:val="auto"/>
          <w:sz w:val="20"/>
          <w:lang w:val="lv-LV" w:eastAsia="en-GB"/>
        </w:rPr>
        <w:t>** Norvēģijas Karaliste apņemas nodrošināt nepieciešamo Norvēģijas valsts finansējumu un līdzfinansējumu,  attiecas uz budžeta iestādi, kura pieņem ikgadējos līdzekļus..</w:t>
      </w:r>
    </w:p>
    <w:p w:rsidR="00647FC0" w:rsidRPr="00576895" w:rsidRDefault="00647FC0" w:rsidP="00647FC0">
      <w:pPr>
        <w:jc w:val="both"/>
        <w:rPr>
          <w:rFonts w:ascii="Times New Roman" w:hAnsi="Times New Roman" w:cs="Times New Roman"/>
          <w:szCs w:val="24"/>
          <w:lang w:val="lv-LV"/>
        </w:rPr>
      </w:pPr>
    </w:p>
    <w:p w:rsidR="00451C72" w:rsidRPr="00451C72" w:rsidRDefault="00D758FD" w:rsidP="00451C72">
      <w:pPr>
        <w:rPr>
          <w:rFonts w:ascii="Times New Roman" w:hAnsi="Times New Roman"/>
          <w:color w:val="auto"/>
          <w:sz w:val="20"/>
        </w:rPr>
      </w:pPr>
      <w:r>
        <w:rPr>
          <w:rFonts w:ascii="Times New Roman" w:hAnsi="Times New Roman"/>
          <w:color w:val="auto"/>
          <w:sz w:val="20"/>
        </w:rPr>
        <w:t>17</w:t>
      </w:r>
      <w:r w:rsidR="00451C72" w:rsidRPr="00451C72">
        <w:rPr>
          <w:rFonts w:ascii="Times New Roman" w:hAnsi="Times New Roman"/>
          <w:color w:val="auto"/>
          <w:sz w:val="20"/>
        </w:rPr>
        <w:t>.0</w:t>
      </w:r>
      <w:r w:rsidR="00D9144E">
        <w:rPr>
          <w:rFonts w:ascii="Times New Roman" w:hAnsi="Times New Roman"/>
          <w:color w:val="auto"/>
          <w:sz w:val="20"/>
        </w:rPr>
        <w:t>9</w:t>
      </w:r>
      <w:r w:rsidR="00451C72" w:rsidRPr="00451C72">
        <w:rPr>
          <w:rFonts w:ascii="Times New Roman" w:hAnsi="Times New Roman"/>
          <w:color w:val="auto"/>
          <w:sz w:val="20"/>
        </w:rPr>
        <w:t xml:space="preserve">.15. </w:t>
      </w:r>
    </w:p>
    <w:p w:rsidR="00451C72" w:rsidRPr="00451C72" w:rsidRDefault="00B4316C" w:rsidP="00451C72">
      <w:pPr>
        <w:spacing w:line="240" w:lineRule="auto"/>
        <w:ind w:left="142" w:right="226" w:hanging="142"/>
        <w:jc w:val="both"/>
        <w:rPr>
          <w:rFonts w:ascii="Times New Roman" w:hAnsi="Times New Roman"/>
          <w:color w:val="auto"/>
          <w:sz w:val="20"/>
        </w:rPr>
      </w:pPr>
      <w:r>
        <w:rPr>
          <w:rFonts w:ascii="Times New Roman" w:hAnsi="Times New Roman"/>
          <w:color w:val="auto"/>
          <w:sz w:val="20"/>
        </w:rPr>
        <w:t>5 7</w:t>
      </w:r>
      <w:r w:rsidR="00D758FD">
        <w:rPr>
          <w:rFonts w:ascii="Times New Roman" w:hAnsi="Times New Roman"/>
          <w:color w:val="auto"/>
          <w:sz w:val="20"/>
        </w:rPr>
        <w:t>35</w:t>
      </w:r>
    </w:p>
    <w:p w:rsidR="00451C72" w:rsidRPr="00951D17" w:rsidRDefault="00451C72" w:rsidP="00451C72">
      <w:pPr>
        <w:spacing w:line="240" w:lineRule="auto"/>
        <w:ind w:left="142" w:right="226" w:hanging="142"/>
        <w:jc w:val="both"/>
        <w:rPr>
          <w:rFonts w:ascii="Times New Roman" w:eastAsia="Times New Roman" w:hAnsi="Times New Roman"/>
          <w:color w:val="000000"/>
          <w:sz w:val="20"/>
        </w:rPr>
      </w:pPr>
      <w:r>
        <w:rPr>
          <w:rFonts w:ascii="Times New Roman" w:eastAsia="Times New Roman" w:hAnsi="Times New Roman"/>
          <w:color w:val="000000"/>
          <w:sz w:val="20"/>
        </w:rPr>
        <w:t>Ilga Gruševa</w:t>
      </w:r>
    </w:p>
    <w:p w:rsidR="00451C72" w:rsidRPr="00951D17" w:rsidRDefault="00451C72" w:rsidP="00451C72">
      <w:pPr>
        <w:spacing w:line="240" w:lineRule="auto"/>
        <w:ind w:left="142" w:right="226" w:hanging="142"/>
        <w:jc w:val="both"/>
        <w:rPr>
          <w:rFonts w:ascii="Times New Roman" w:eastAsia="Times New Roman" w:hAnsi="Times New Roman"/>
          <w:color w:val="000000"/>
          <w:sz w:val="20"/>
        </w:rPr>
      </w:pPr>
      <w:r w:rsidRPr="00951D17">
        <w:rPr>
          <w:rFonts w:ascii="Times New Roman" w:eastAsia="Times New Roman" w:hAnsi="Times New Roman"/>
          <w:color w:val="000000"/>
          <w:sz w:val="20"/>
        </w:rPr>
        <w:t xml:space="preserve">Attīstības instrumentu departamenta </w:t>
      </w:r>
    </w:p>
    <w:p w:rsidR="00451C72" w:rsidRPr="00951D17" w:rsidRDefault="00451C72" w:rsidP="008C5337">
      <w:pPr>
        <w:tabs>
          <w:tab w:val="left" w:pos="5535"/>
        </w:tabs>
        <w:spacing w:line="240" w:lineRule="auto"/>
        <w:ind w:left="142" w:right="226" w:hanging="142"/>
        <w:jc w:val="both"/>
        <w:rPr>
          <w:rFonts w:ascii="Times New Roman" w:eastAsia="Times New Roman" w:hAnsi="Times New Roman"/>
          <w:color w:val="000000"/>
          <w:sz w:val="20"/>
        </w:rPr>
      </w:pPr>
      <w:r w:rsidRPr="00951D17">
        <w:rPr>
          <w:rFonts w:ascii="Times New Roman" w:eastAsia="Times New Roman" w:hAnsi="Times New Roman"/>
          <w:color w:val="000000"/>
          <w:sz w:val="20"/>
        </w:rPr>
        <w:t>Teritoriālās sadarbības nodaļas</w:t>
      </w:r>
      <w:r w:rsidR="008C5337">
        <w:rPr>
          <w:rFonts w:ascii="Times New Roman" w:eastAsia="Times New Roman" w:hAnsi="Times New Roman"/>
          <w:color w:val="000000"/>
          <w:sz w:val="20"/>
        </w:rPr>
        <w:tab/>
      </w:r>
    </w:p>
    <w:p w:rsidR="00451C72" w:rsidRPr="00951D17" w:rsidRDefault="00451C72" w:rsidP="00451C72">
      <w:pPr>
        <w:spacing w:line="240" w:lineRule="auto"/>
        <w:ind w:left="142" w:right="226" w:hanging="142"/>
        <w:jc w:val="both"/>
        <w:rPr>
          <w:rFonts w:ascii="Times New Roman" w:eastAsia="Times New Roman" w:hAnsi="Times New Roman"/>
          <w:color w:val="000000"/>
          <w:sz w:val="20"/>
        </w:rPr>
      </w:pPr>
      <w:r>
        <w:rPr>
          <w:rFonts w:ascii="Times New Roman" w:eastAsia="Times New Roman" w:hAnsi="Times New Roman"/>
          <w:color w:val="000000"/>
          <w:sz w:val="20"/>
        </w:rPr>
        <w:t>v</w:t>
      </w:r>
      <w:r w:rsidRPr="00951D17">
        <w:rPr>
          <w:rFonts w:ascii="Times New Roman" w:eastAsia="Times New Roman" w:hAnsi="Times New Roman"/>
          <w:color w:val="000000"/>
          <w:sz w:val="20"/>
        </w:rPr>
        <w:t>ecākā eksperte</w:t>
      </w:r>
    </w:p>
    <w:p w:rsidR="00451C72" w:rsidRPr="00510BEE" w:rsidRDefault="00451C72" w:rsidP="00451C72">
      <w:pPr>
        <w:spacing w:line="240" w:lineRule="auto"/>
        <w:ind w:left="142" w:right="226" w:hanging="142"/>
        <w:jc w:val="both"/>
        <w:rPr>
          <w:rFonts w:ascii="Times New Roman" w:hAnsi="Times New Roman"/>
          <w:color w:val="000000"/>
          <w:sz w:val="20"/>
          <w:lang w:eastAsia="lv-LV"/>
        </w:rPr>
      </w:pPr>
      <w:r>
        <w:rPr>
          <w:rFonts w:ascii="Times New Roman" w:eastAsia="Times New Roman" w:hAnsi="Times New Roman"/>
          <w:bCs/>
          <w:color w:val="000000"/>
          <w:sz w:val="20"/>
        </w:rPr>
        <w:t>67026472</w:t>
      </w:r>
      <w:r w:rsidRPr="00951D17">
        <w:rPr>
          <w:rFonts w:ascii="Times New Roman" w:eastAsia="Times New Roman" w:hAnsi="Times New Roman"/>
          <w:color w:val="000000"/>
          <w:sz w:val="20"/>
        </w:rPr>
        <w:t xml:space="preserve">, </w:t>
      </w:r>
      <w:hyperlink r:id="rId16" w:history="1">
        <w:r w:rsidRPr="00BD1B01">
          <w:rPr>
            <w:rStyle w:val="Hyperlink"/>
            <w:rFonts w:ascii="Times New Roman" w:eastAsia="Times New Roman" w:hAnsi="Times New Roman"/>
            <w:sz w:val="20"/>
          </w:rPr>
          <w:t>ilga.gruseva@varam.gov.lv</w:t>
        </w:r>
      </w:hyperlink>
      <w:r w:rsidRPr="00510BEE">
        <w:rPr>
          <w:rFonts w:ascii="Times New Roman" w:eastAsia="Times New Roman" w:hAnsi="Times New Roman"/>
          <w:color w:val="000000"/>
          <w:sz w:val="20"/>
        </w:rPr>
        <w:t xml:space="preserve"> </w:t>
      </w:r>
    </w:p>
    <w:p w:rsidR="00451C72" w:rsidRPr="006A6299" w:rsidRDefault="00451C72" w:rsidP="00451C72">
      <w:pPr>
        <w:rPr>
          <w:rFonts w:ascii="Times New Roman" w:hAnsi="Times New Roman"/>
          <w:szCs w:val="24"/>
        </w:rPr>
      </w:pPr>
    </w:p>
    <w:p w:rsidR="00AD7232" w:rsidRPr="00451C72" w:rsidRDefault="00AD7232"/>
    <w:sectPr w:rsidR="00AD7232" w:rsidRPr="00451C72" w:rsidSect="00EC73E7">
      <w:headerReference w:type="default" r:id="rId17"/>
      <w:footerReference w:type="default" r:id="rId18"/>
      <w:headerReference w:type="first" r:id="rId19"/>
      <w:footerReference w:type="first" r:id="rId20"/>
      <w:type w:val="continuous"/>
      <w:pgSz w:w="11906" w:h="16838"/>
      <w:pgMar w:top="993" w:right="1416" w:bottom="851" w:left="1276" w:header="708" w:footer="255"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E8ED27" w15:done="0"/>
  <w15:commentEx w15:paraId="00DEB9A1" w15:done="0"/>
  <w15:commentEx w15:paraId="7B83FB66" w15:done="0"/>
  <w15:commentEx w15:paraId="719A78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A44" w:rsidRDefault="00CF3A44" w:rsidP="00647FC0">
      <w:pPr>
        <w:spacing w:line="240" w:lineRule="auto"/>
      </w:pPr>
      <w:r>
        <w:separator/>
      </w:r>
    </w:p>
  </w:endnote>
  <w:endnote w:type="continuationSeparator" w:id="0">
    <w:p w:rsidR="00CF3A44" w:rsidRDefault="00CF3A44" w:rsidP="0064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E7" w:rsidRPr="009F0863" w:rsidRDefault="00CF3A44" w:rsidP="009F0863">
    <w:pPr>
      <w:pStyle w:val="Title"/>
      <w:jc w:val="both"/>
      <w:rPr>
        <w:rFonts w:ascii="Times New Roman" w:hAnsi="Times New Roman" w:cs="Times New Roman"/>
        <w:b w:val="0"/>
        <w:color w:val="auto"/>
        <w:sz w:val="20"/>
        <w:szCs w:val="20"/>
        <w:lang w:val="lv-LV"/>
      </w:rPr>
    </w:pPr>
    <w:r>
      <w:rPr>
        <w:rFonts w:ascii="Times New Roman" w:hAnsi="Times New Roman" w:cs="Times New Roman"/>
        <w:b w:val="0"/>
        <w:noProof/>
        <w:color w:val="auto"/>
        <w:sz w:val="20"/>
        <w:szCs w:val="20"/>
        <w:lang w:val="lv-LV" w:eastAsia="lv-LV"/>
      </w:rPr>
      <w:pict>
        <v:shapetype id="_x0000_t202" coordsize="21600,21600" o:spt="202" path="m,l,21600r21600,l21600,xe">
          <v:stroke joinstyle="miter"/>
          <v:path gradientshapeok="t" o:connecttype="rect"/>
        </v:shapetype>
        <v:shape id="Textfeld 2" o:spid="_x0000_s2057" type="#_x0000_t202" style="position:absolute;left:0;text-align:left;margin-left:-28.7pt;margin-top:-1pt;width:160.4pt;height:14.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" filled="f" stroked="f">
          <v:textbox inset="0,0,0,0">
            <w:txbxContent>
              <w:p w:rsidR="00EC73E7" w:rsidRPr="00013D6F" w:rsidRDefault="00EC73E7" w:rsidP="00EC73E7">
                <w:pPr>
                  <w:pStyle w:val="Footer"/>
                  <w:rPr>
                    <w:color w:val="auto"/>
                  </w:rPr>
                </w:pPr>
              </w:p>
            </w:txbxContent>
          </v:textbox>
          <w10:wrap type="tight"/>
        </v:shape>
      </w:pict>
    </w:r>
    <w:r w:rsidR="00EC73E7" w:rsidRPr="009F0863">
      <w:rPr>
        <w:rFonts w:ascii="Times New Roman" w:hAnsi="Times New Roman" w:cs="Times New Roman"/>
        <w:b w:val="0"/>
        <w:color w:val="auto"/>
        <w:sz w:val="20"/>
        <w:szCs w:val="20"/>
      </w:rPr>
      <w:t>VARAM</w:t>
    </w:r>
    <w:r w:rsidR="00EC73E7">
      <w:rPr>
        <w:rFonts w:ascii="Times New Roman" w:hAnsi="Times New Roman" w:cs="Times New Roman"/>
        <w:b w:val="0"/>
        <w:color w:val="auto"/>
        <w:sz w:val="20"/>
        <w:szCs w:val="20"/>
      </w:rPr>
      <w:t>vienosanas_BJR_</w:t>
    </w:r>
    <w:r w:rsidR="00B41CD6">
      <w:rPr>
        <w:rFonts w:ascii="Times New Roman" w:hAnsi="Times New Roman" w:cs="Times New Roman"/>
        <w:b w:val="0"/>
        <w:color w:val="auto"/>
        <w:sz w:val="20"/>
        <w:szCs w:val="20"/>
      </w:rPr>
      <w:t>1</w:t>
    </w:r>
    <w:r w:rsidR="00D758FD">
      <w:rPr>
        <w:rFonts w:ascii="Times New Roman" w:hAnsi="Times New Roman" w:cs="Times New Roman"/>
        <w:b w:val="0"/>
        <w:color w:val="auto"/>
        <w:sz w:val="20"/>
        <w:szCs w:val="20"/>
      </w:rPr>
      <w:t>7</w:t>
    </w:r>
    <w:r w:rsidR="00BC5CEE">
      <w:rPr>
        <w:rFonts w:ascii="Times New Roman" w:hAnsi="Times New Roman" w:cs="Times New Roman"/>
        <w:b w:val="0"/>
        <w:color w:val="auto"/>
        <w:sz w:val="20"/>
        <w:szCs w:val="20"/>
      </w:rPr>
      <w:t>09</w:t>
    </w:r>
    <w:r w:rsidR="00EC73E7" w:rsidRPr="009F0863">
      <w:rPr>
        <w:rFonts w:ascii="Times New Roman" w:hAnsi="Times New Roman" w:cs="Times New Roman"/>
        <w:b w:val="0"/>
        <w:color w:val="auto"/>
        <w:sz w:val="20"/>
        <w:szCs w:val="20"/>
      </w:rPr>
      <w:t>15</w:t>
    </w:r>
    <w:r w:rsidR="00EC73E7">
      <w:rPr>
        <w:rFonts w:ascii="Times New Roman" w:hAnsi="Times New Roman" w:cs="Times New Roman"/>
        <w:b w:val="0"/>
        <w:color w:val="auto"/>
        <w:sz w:val="20"/>
        <w:szCs w:val="20"/>
      </w:rPr>
      <w:t>_</w:t>
    </w:r>
    <w:r w:rsidR="00D758FD">
      <w:rPr>
        <w:rFonts w:ascii="Times New Roman" w:hAnsi="Times New Roman" w:cs="Times New Roman"/>
        <w:b w:val="0"/>
        <w:color w:val="auto"/>
        <w:sz w:val="20"/>
        <w:szCs w:val="20"/>
      </w:rPr>
      <w:t>lv</w:t>
    </w:r>
    <w:r w:rsidR="00EC73E7" w:rsidRPr="009F0863">
      <w:rPr>
        <w:rFonts w:ascii="Times New Roman" w:hAnsi="Times New Roman" w:cs="Times New Roman"/>
        <w:b w:val="0"/>
        <w:color w:val="auto"/>
        <w:sz w:val="20"/>
        <w:szCs w:val="20"/>
      </w:rPr>
      <w:t xml:space="preserve">; </w:t>
    </w:r>
    <w:r w:rsidR="00EC73E7" w:rsidRPr="009F0863">
      <w:rPr>
        <w:rFonts w:ascii="Times New Roman" w:hAnsi="Times New Roman" w:cs="Times New Roman"/>
        <w:b w:val="0"/>
        <w:color w:val="auto"/>
        <w:sz w:val="20"/>
        <w:szCs w:val="20"/>
        <w:lang w:val="lv-LV"/>
      </w:rPr>
      <w:t xml:space="preserve">Vienošanās par </w:t>
    </w:r>
    <w:r w:rsidR="00EC73E7">
      <w:rPr>
        <w:rFonts w:ascii="Times New Roman" w:hAnsi="Times New Roman" w:cs="Times New Roman"/>
        <w:b w:val="0"/>
        <w:color w:val="auto"/>
        <w:sz w:val="20"/>
        <w:szCs w:val="20"/>
        <w:lang w:val="lv-LV"/>
      </w:rPr>
      <w:t xml:space="preserve">Interreg </w:t>
    </w:r>
    <w:r w:rsidR="00EC73E7" w:rsidRPr="009F0863">
      <w:rPr>
        <w:rFonts w:ascii="Times New Roman" w:hAnsi="Times New Roman" w:cs="Times New Roman"/>
        <w:b w:val="0"/>
        <w:color w:val="auto"/>
        <w:sz w:val="20"/>
        <w:szCs w:val="20"/>
        <w:lang w:val="lv-LV"/>
      </w:rPr>
      <w:t xml:space="preserve">Baltijas jūras reģiona programmas </w:t>
    </w:r>
    <w:r w:rsidR="00EC73E7">
      <w:rPr>
        <w:rFonts w:ascii="Times New Roman" w:hAnsi="Times New Roman" w:cs="Times New Roman"/>
        <w:b w:val="0"/>
        <w:color w:val="auto"/>
        <w:sz w:val="20"/>
        <w:szCs w:val="20"/>
        <w:lang w:val="lv-LV"/>
      </w:rPr>
      <w:t xml:space="preserve">2014.-2020.gadam (Baltijas jūras reģiona transnacionālās sadarbības programma) </w:t>
    </w:r>
    <w:r w:rsidR="00EC73E7" w:rsidRPr="009F0863">
      <w:rPr>
        <w:rFonts w:ascii="Times New Roman" w:hAnsi="Times New Roman" w:cs="Times New Roman"/>
        <w:b w:val="0"/>
        <w:color w:val="auto"/>
        <w:sz w:val="20"/>
        <w:szCs w:val="20"/>
        <w:lang w:val="lv-LV"/>
      </w:rPr>
      <w:t>pārvaldības, finanšu un kontroles sistēmām</w:t>
    </w:r>
  </w:p>
  <w:p w:rsidR="00EC73E7" w:rsidRPr="009F0863" w:rsidRDefault="00EC73E7" w:rsidP="009F0863">
    <w:pPr>
      <w:pStyle w:val="Heading1"/>
      <w:tabs>
        <w:tab w:val="left" w:pos="0"/>
      </w:tabs>
      <w:spacing w:line="240" w:lineRule="auto"/>
      <w:jc w:val="both"/>
      <w:rPr>
        <w:rFonts w:ascii="Times New Roman" w:hAnsi="Times New Roman" w:cs="Times New Roman"/>
        <w:b w:val="0"/>
        <w:sz w:val="20"/>
        <w:szCs w:val="20"/>
        <w:lang w:val="lv-LV"/>
      </w:rPr>
    </w:pPr>
  </w:p>
  <w:p w:rsidR="00EC73E7" w:rsidRPr="004A49B8" w:rsidRDefault="00B37763" w:rsidP="00B37763">
    <w:pPr>
      <w:pStyle w:val="Footer"/>
      <w:tabs>
        <w:tab w:val="left" w:pos="2565"/>
      </w:tabs>
      <w:rPr>
        <w:b/>
      </w:rPr>
    </w:pPr>
    <w:r>
      <w:rPr>
        <w: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E7" w:rsidRPr="00A61281" w:rsidRDefault="00CF3A44" w:rsidP="00EC73E7">
    <w:r>
      <w:rPr>
        <w:noProof/>
        <w:color w:val="4F81BD" w:themeColor="accent1"/>
        <w:lang w:val="lv-LV" w:eastAsia="lv-LV"/>
      </w:rPr>
      <w:pict>
        <v:shapetype id="_x0000_t202" coordsize="21600,21600" o:spt="202" path="m,l,21600r21600,l21600,xe">
          <v:stroke joinstyle="miter"/>
          <v:path gradientshapeok="t" o:connecttype="rect"/>
        </v:shapetype>
        <v:shape id="_x0000_s2054" type="#_x0000_t202" style="position:absolute;margin-left:-53.1pt;margin-top:-5.6pt;width:193.8pt;height:2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" filled="f" stroked="f">
          <v:textbox inset="0,0,0,0">
            <w:txbxContent>
              <w:p w:rsidR="00EC73E7" w:rsidRPr="00C12CC7" w:rsidRDefault="00EC73E7" w:rsidP="00EC73E7">
                <w:r>
                  <w:t>i</w:t>
                </w:r>
                <w:r w:rsidRPr="00C12CC7">
                  <w:t>nterreg-baltic.eu</w:t>
                </w:r>
              </w:p>
            </w:txbxContent>
          </v:textbox>
          <w10:wrap type="tight"/>
        </v:shape>
      </w:pict>
    </w:r>
    <w:r>
      <w:rPr>
        <w:noProof/>
        <w:lang w:val="lv-LV" w:eastAsia="lv-LV"/>
      </w:rPr>
      <w:pict>
        <v:line id="Gerade Verbindung 1" o:spid="_x0000_s2053"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35pt,-2.2pt" to="4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" strokecolor="#94b64e [3046]">
          <o:lock v:ext="edit" shapetype="f"/>
        </v:line>
      </w:pict>
    </w:r>
    <w:r w:rsidR="00EC73E7" w:rsidRPr="00F2501A">
      <w:rPr>
        <w:color w:val="4F81BD" w:themeColor="accent1"/>
      </w:rPr>
      <w:t xml:space="preserve"> </w:t>
    </w:r>
    <w:r w:rsidR="00EE244D" w:rsidRPr="0050141D">
      <w:rPr>
        <w:b/>
        <w:color w:val="4F81BD" w:themeColor="accent1"/>
      </w:rPr>
      <w:fldChar w:fldCharType="begin"/>
    </w:r>
    <w:r w:rsidR="00EC73E7" w:rsidRPr="0050141D">
      <w:rPr>
        <w:b/>
        <w:color w:val="4F81BD" w:themeColor="accent1"/>
      </w:rPr>
      <w:instrText>PAGE  \* Arabic  \* MERGEFORMAT</w:instrText>
    </w:r>
    <w:r w:rsidR="00EE244D" w:rsidRPr="0050141D">
      <w:rPr>
        <w:b/>
        <w:color w:val="4F81BD" w:themeColor="accent1"/>
      </w:rPr>
      <w:fldChar w:fldCharType="separate"/>
    </w:r>
    <w:r w:rsidR="00EC73E7">
      <w:rPr>
        <w:b/>
        <w:noProof/>
        <w:color w:val="4F81BD" w:themeColor="accent1"/>
      </w:rPr>
      <w:t>1</w:t>
    </w:r>
    <w:r w:rsidR="00EE244D" w:rsidRPr="0050141D">
      <w:rPr>
        <w:b/>
        <w:color w:val="4F81BD" w:themeColor="accent1"/>
      </w:rPr>
      <w:fldChar w:fldCharType="end"/>
    </w:r>
    <w:r w:rsidR="00EC73E7" w:rsidRPr="00F2501A">
      <w:rPr>
        <w:color w:val="4F81BD" w:themeColor="accent1"/>
      </w:rPr>
      <w:t xml:space="preserve"> </w:t>
    </w:r>
    <w:r w:rsidR="00EC73E7" w:rsidRPr="00F2501A">
      <w:t xml:space="preserve">| </w:t>
    </w:r>
    <w:r>
      <w:fldChar w:fldCharType="begin"/>
    </w:r>
    <w:r>
      <w:instrText>NUMPAGES  \* Arabic  \* MERGEFORMAT</w:instrText>
    </w:r>
    <w:r>
      <w:fldChar w:fldCharType="separate"/>
    </w:r>
    <w:r w:rsidR="00EC73E7">
      <w:rPr>
        <w:noProof/>
      </w:rPr>
      <w:t>19</w:t>
    </w:r>
    <w:r>
      <w:rPr>
        <w:noProof/>
      </w:rPr>
      <w:fldChar w:fldCharType="end"/>
    </w:r>
  </w:p>
  <w:p w:rsidR="00EC73E7" w:rsidRDefault="00CF3A44" w:rsidP="00EC73E7">
    <w:pPr>
      <w:pStyle w:val="Footer"/>
    </w:pPr>
    <w:r>
      <w:rPr>
        <w:noProof/>
        <w:lang w:val="lv-LV" w:eastAsia="lv-LV"/>
      </w:rPr>
      <w:pict>
        <v:shape id="_x0000_s2052" type="#_x0000_t202" style="position:absolute;margin-left:53pt;margin-top:-13.2pt;width:112.6pt;height:5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" filled="f" stroked="f">
          <v:textbox inset="0,0,0,0">
            <w:txbxContent>
              <w:p w:rsidR="00EC73E7" w:rsidRPr="000C19E3" w:rsidRDefault="00EC73E7" w:rsidP="00EC73E7"/>
            </w:txbxContent>
          </v:textbox>
          <w10:wrap type="tight"/>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7438"/>
      <w:docPartObj>
        <w:docPartGallery w:val="Page Numbers (Bottom of Page)"/>
        <w:docPartUnique/>
      </w:docPartObj>
    </w:sdtPr>
    <w:sdtEndPr/>
    <w:sdtContent>
      <w:p w:rsidR="00EC73E7" w:rsidRDefault="00EE244D">
        <w:pPr>
          <w:pStyle w:val="Footer"/>
          <w:jc w:val="center"/>
        </w:pPr>
        <w:r w:rsidRPr="00145D2C">
          <w:rPr>
            <w:rFonts w:ascii="Times New Roman" w:hAnsi="Times New Roman" w:cs="Times New Roman"/>
          </w:rPr>
          <w:fldChar w:fldCharType="begin"/>
        </w:r>
        <w:r w:rsidR="00EC73E7" w:rsidRPr="00145D2C">
          <w:rPr>
            <w:rFonts w:ascii="Times New Roman" w:hAnsi="Times New Roman" w:cs="Times New Roman"/>
          </w:rPr>
          <w:instrText xml:space="preserve"> PAGE   \* MERGEFORMAT </w:instrText>
        </w:r>
        <w:r w:rsidRPr="00145D2C">
          <w:rPr>
            <w:rFonts w:ascii="Times New Roman" w:hAnsi="Times New Roman" w:cs="Times New Roman"/>
          </w:rPr>
          <w:fldChar w:fldCharType="separate"/>
        </w:r>
        <w:r w:rsidR="00B925B2">
          <w:rPr>
            <w:rFonts w:ascii="Times New Roman" w:hAnsi="Times New Roman" w:cs="Times New Roman"/>
            <w:noProof/>
          </w:rPr>
          <w:t>16</w:t>
        </w:r>
        <w:r w:rsidRPr="00145D2C">
          <w:rPr>
            <w:rFonts w:ascii="Times New Roman" w:hAnsi="Times New Roman" w:cs="Times New Roman"/>
          </w:rPr>
          <w:fldChar w:fldCharType="end"/>
        </w:r>
      </w:p>
    </w:sdtContent>
  </w:sdt>
  <w:p w:rsidR="00EC73E7" w:rsidRPr="009F0863" w:rsidRDefault="00CF3A44" w:rsidP="00A23CC2">
    <w:pPr>
      <w:pStyle w:val="Title"/>
      <w:jc w:val="both"/>
      <w:rPr>
        <w:rFonts w:ascii="Times New Roman" w:hAnsi="Times New Roman" w:cs="Times New Roman"/>
        <w:b w:val="0"/>
        <w:color w:val="auto"/>
        <w:sz w:val="20"/>
        <w:szCs w:val="20"/>
        <w:lang w:val="lv-LV"/>
      </w:rPr>
    </w:pPr>
    <w:r>
      <w:rPr>
        <w:rFonts w:ascii="Times New Roman" w:hAnsi="Times New Roman" w:cs="Times New Roman"/>
        <w:b w:val="0"/>
        <w:noProof/>
        <w:color w:val="auto"/>
        <w:sz w:val="20"/>
        <w:szCs w:val="20"/>
        <w:lang w:val="lv-LV" w:eastAsia="lv-LV"/>
      </w:rPr>
      <w:pict>
        <v:shapetype id="_x0000_t202" coordsize="21600,21600" o:spt="202" path="m,l,21600r21600,l21600,xe">
          <v:stroke joinstyle="miter"/>
          <v:path gradientshapeok="t" o:connecttype="rect"/>
        </v:shapetype>
        <v:shape id="_x0000_s2051" type="#_x0000_t202" style="position:absolute;left:0;text-align:left;margin-left:-28.7pt;margin-top:-1pt;width:160.4pt;height:14.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" filled="f" stroked="f">
          <v:textbox inset="0,0,0,0">
            <w:txbxContent>
              <w:p w:rsidR="00EC73E7" w:rsidRPr="00013D6F" w:rsidRDefault="00EC73E7" w:rsidP="00A23CC2">
                <w:pPr>
                  <w:pStyle w:val="Footer"/>
                  <w:rPr>
                    <w:color w:val="auto"/>
                  </w:rPr>
                </w:pPr>
              </w:p>
            </w:txbxContent>
          </v:textbox>
          <w10:wrap type="tight"/>
        </v:shape>
      </w:pict>
    </w:r>
    <w:r w:rsidR="00034503" w:rsidRPr="00034503">
      <w:rPr>
        <w:rFonts w:ascii="Times New Roman" w:hAnsi="Times New Roman" w:cs="Times New Roman"/>
        <w:b w:val="0"/>
        <w:color w:val="auto"/>
        <w:sz w:val="20"/>
        <w:szCs w:val="20"/>
        <w:lang w:val="de-DE"/>
      </w:rPr>
      <w:t>VARAMvienosanas_BJR_</w:t>
    </w:r>
    <w:r w:rsidR="00B41CD6">
      <w:rPr>
        <w:rFonts w:ascii="Times New Roman" w:hAnsi="Times New Roman" w:cs="Times New Roman"/>
        <w:b w:val="0"/>
        <w:color w:val="auto"/>
        <w:sz w:val="20"/>
        <w:szCs w:val="20"/>
        <w:lang w:val="de-DE"/>
      </w:rPr>
      <w:t>1</w:t>
    </w:r>
    <w:r w:rsidR="00D758FD">
      <w:rPr>
        <w:rFonts w:ascii="Times New Roman" w:hAnsi="Times New Roman" w:cs="Times New Roman"/>
        <w:b w:val="0"/>
        <w:color w:val="auto"/>
        <w:sz w:val="20"/>
        <w:szCs w:val="20"/>
        <w:lang w:val="de-DE"/>
      </w:rPr>
      <w:t>7</w:t>
    </w:r>
    <w:r w:rsidR="00BC5CEE">
      <w:rPr>
        <w:rFonts w:ascii="Times New Roman" w:hAnsi="Times New Roman" w:cs="Times New Roman"/>
        <w:b w:val="0"/>
        <w:color w:val="auto"/>
        <w:sz w:val="20"/>
        <w:szCs w:val="20"/>
        <w:lang w:val="de-DE"/>
      </w:rPr>
      <w:t>09</w:t>
    </w:r>
    <w:r w:rsidR="00034503" w:rsidRPr="00034503">
      <w:rPr>
        <w:rFonts w:ascii="Times New Roman" w:hAnsi="Times New Roman" w:cs="Times New Roman"/>
        <w:b w:val="0"/>
        <w:color w:val="auto"/>
        <w:sz w:val="20"/>
        <w:szCs w:val="20"/>
        <w:lang w:val="de-DE"/>
      </w:rPr>
      <w:t>15_</w:t>
    </w:r>
    <w:r w:rsidR="00D758FD">
      <w:rPr>
        <w:rFonts w:ascii="Times New Roman" w:hAnsi="Times New Roman" w:cs="Times New Roman"/>
        <w:b w:val="0"/>
        <w:color w:val="auto"/>
        <w:sz w:val="20"/>
        <w:szCs w:val="20"/>
        <w:lang w:val="de-DE"/>
      </w:rPr>
      <w:t>lv</w:t>
    </w:r>
    <w:r w:rsidR="00034503" w:rsidRPr="00034503">
      <w:rPr>
        <w:rFonts w:ascii="Times New Roman" w:hAnsi="Times New Roman" w:cs="Times New Roman"/>
        <w:b w:val="0"/>
        <w:color w:val="auto"/>
        <w:sz w:val="20"/>
        <w:szCs w:val="20"/>
        <w:lang w:val="de-DE"/>
      </w:rPr>
      <w:t xml:space="preserve">; </w:t>
    </w:r>
    <w:r w:rsidR="00EC73E7" w:rsidRPr="009F0863">
      <w:rPr>
        <w:rFonts w:ascii="Times New Roman" w:hAnsi="Times New Roman" w:cs="Times New Roman"/>
        <w:b w:val="0"/>
        <w:color w:val="auto"/>
        <w:sz w:val="20"/>
        <w:szCs w:val="20"/>
        <w:lang w:val="lv-LV"/>
      </w:rPr>
      <w:t xml:space="preserve">Vienošanās par </w:t>
    </w:r>
    <w:r w:rsidR="00EC73E7">
      <w:rPr>
        <w:rFonts w:ascii="Times New Roman" w:hAnsi="Times New Roman" w:cs="Times New Roman"/>
        <w:b w:val="0"/>
        <w:color w:val="auto"/>
        <w:sz w:val="20"/>
        <w:szCs w:val="20"/>
        <w:lang w:val="lv-LV"/>
      </w:rPr>
      <w:t xml:space="preserve">Interreg </w:t>
    </w:r>
    <w:r w:rsidR="00EC73E7" w:rsidRPr="009F0863">
      <w:rPr>
        <w:rFonts w:ascii="Times New Roman" w:hAnsi="Times New Roman" w:cs="Times New Roman"/>
        <w:b w:val="0"/>
        <w:color w:val="auto"/>
        <w:sz w:val="20"/>
        <w:szCs w:val="20"/>
        <w:lang w:val="lv-LV"/>
      </w:rPr>
      <w:t xml:space="preserve">Baltijas jūras reģiona programmas </w:t>
    </w:r>
    <w:r w:rsidR="00EC73E7">
      <w:rPr>
        <w:rFonts w:ascii="Times New Roman" w:hAnsi="Times New Roman" w:cs="Times New Roman"/>
        <w:b w:val="0"/>
        <w:color w:val="auto"/>
        <w:sz w:val="20"/>
        <w:szCs w:val="20"/>
        <w:lang w:val="lv-LV"/>
      </w:rPr>
      <w:t xml:space="preserve">2014.-2020.gadam  (Baltijas jūras reģiona transnacionālās sadarbības programma) </w:t>
    </w:r>
    <w:r w:rsidR="00EC73E7" w:rsidRPr="009F0863">
      <w:rPr>
        <w:rFonts w:ascii="Times New Roman" w:hAnsi="Times New Roman" w:cs="Times New Roman"/>
        <w:b w:val="0"/>
        <w:color w:val="auto"/>
        <w:sz w:val="20"/>
        <w:szCs w:val="20"/>
        <w:lang w:val="lv-LV"/>
      </w:rPr>
      <w:t>pārvaldības, finanšu un kontroles sistēmām</w:t>
    </w:r>
  </w:p>
  <w:p w:rsidR="00EC73E7" w:rsidRPr="009F0863" w:rsidRDefault="00EC73E7" w:rsidP="00EC73E7">
    <w:pPr>
      <w:pStyle w:val="Footer"/>
      <w:jc w:val="center"/>
      <w:rPr>
        <w:b/>
        <w:sz w:val="20"/>
        <w:lang w:val="lv-LV"/>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E7" w:rsidRPr="009F0863" w:rsidRDefault="00CF3A44" w:rsidP="006D58E1">
    <w:pPr>
      <w:pStyle w:val="Title"/>
      <w:jc w:val="both"/>
      <w:rPr>
        <w:rFonts w:ascii="Times New Roman" w:hAnsi="Times New Roman" w:cs="Times New Roman"/>
        <w:b w:val="0"/>
        <w:color w:val="auto"/>
        <w:sz w:val="20"/>
        <w:szCs w:val="20"/>
        <w:lang w:val="lv-LV"/>
      </w:rPr>
    </w:pPr>
    <w:r>
      <w:rPr>
        <w:rFonts w:ascii="Times New Roman" w:hAnsi="Times New Roman" w:cs="Times New Roman"/>
        <w:b w:val="0"/>
        <w:noProof/>
        <w:color w:val="auto"/>
        <w:sz w:val="20"/>
        <w:szCs w:val="20"/>
        <w:lang w:val="lv-LV" w:eastAsia="lv-LV"/>
      </w:rPr>
      <w:pict>
        <v:shapetype id="_x0000_t202" coordsize="21600,21600" o:spt="202" path="m,l,21600r21600,l21600,xe">
          <v:stroke joinstyle="miter"/>
          <v:path gradientshapeok="t" o:connecttype="rect"/>
        </v:shapetype>
        <v:shape id="_x0000_s2050" type="#_x0000_t202" style="position:absolute;left:0;text-align:left;margin-left:-28.7pt;margin-top:-1pt;width:160.4pt;height:14.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" filled="f" stroked="f">
          <v:textbox inset="0,0,0,0">
            <w:txbxContent>
              <w:p w:rsidR="00EC73E7" w:rsidRPr="00013D6F" w:rsidRDefault="00EC73E7" w:rsidP="006D58E1">
                <w:pPr>
                  <w:pStyle w:val="Footer"/>
                  <w:rPr>
                    <w:color w:val="auto"/>
                  </w:rPr>
                </w:pPr>
              </w:p>
            </w:txbxContent>
          </v:textbox>
          <w10:wrap type="tight"/>
        </v:shape>
      </w:pict>
    </w:r>
    <w:r w:rsidR="00EC73E7" w:rsidRPr="009F0863">
      <w:rPr>
        <w:rFonts w:ascii="Times New Roman" w:hAnsi="Times New Roman" w:cs="Times New Roman"/>
        <w:b w:val="0"/>
        <w:color w:val="auto"/>
        <w:sz w:val="20"/>
        <w:szCs w:val="20"/>
      </w:rPr>
      <w:t>VARAM</w:t>
    </w:r>
    <w:r w:rsidR="00EC73E7">
      <w:rPr>
        <w:rFonts w:ascii="Times New Roman" w:hAnsi="Times New Roman" w:cs="Times New Roman"/>
        <w:b w:val="0"/>
        <w:color w:val="auto"/>
        <w:sz w:val="20"/>
        <w:szCs w:val="20"/>
      </w:rPr>
      <w:t>vienosanas_BJ</w:t>
    </w:r>
    <w:r w:rsidR="00EC73E7" w:rsidRPr="009F0863">
      <w:rPr>
        <w:rFonts w:ascii="Times New Roman" w:hAnsi="Times New Roman" w:cs="Times New Roman"/>
        <w:b w:val="0"/>
        <w:color w:val="auto"/>
        <w:sz w:val="20"/>
        <w:szCs w:val="20"/>
      </w:rPr>
      <w:t>R_</w:t>
    </w:r>
    <w:r w:rsidR="00D758FD">
      <w:rPr>
        <w:rFonts w:ascii="Times New Roman" w:hAnsi="Times New Roman" w:cs="Times New Roman"/>
        <w:b w:val="0"/>
        <w:color w:val="auto"/>
        <w:sz w:val="20"/>
        <w:szCs w:val="20"/>
      </w:rPr>
      <w:t>170915_lv</w:t>
    </w:r>
    <w:r w:rsidR="00EC73E7" w:rsidRPr="009F0863">
      <w:rPr>
        <w:rFonts w:ascii="Times New Roman" w:hAnsi="Times New Roman" w:cs="Times New Roman"/>
        <w:b w:val="0"/>
        <w:color w:val="auto"/>
        <w:sz w:val="20"/>
        <w:szCs w:val="20"/>
      </w:rPr>
      <w:t xml:space="preserve">; </w:t>
    </w:r>
    <w:r w:rsidR="00EC73E7" w:rsidRPr="009F0863">
      <w:rPr>
        <w:rFonts w:ascii="Times New Roman" w:hAnsi="Times New Roman" w:cs="Times New Roman"/>
        <w:b w:val="0"/>
        <w:color w:val="auto"/>
        <w:sz w:val="20"/>
        <w:szCs w:val="20"/>
        <w:lang w:val="lv-LV"/>
      </w:rPr>
      <w:t xml:space="preserve">Vienošanās par </w:t>
    </w:r>
    <w:r w:rsidR="00EC73E7">
      <w:rPr>
        <w:rFonts w:ascii="Times New Roman" w:hAnsi="Times New Roman" w:cs="Times New Roman"/>
        <w:b w:val="0"/>
        <w:color w:val="auto"/>
        <w:sz w:val="20"/>
        <w:szCs w:val="20"/>
        <w:lang w:val="lv-LV"/>
      </w:rPr>
      <w:t xml:space="preserve">Interreg </w:t>
    </w:r>
    <w:r w:rsidR="00EC73E7" w:rsidRPr="009F0863">
      <w:rPr>
        <w:rFonts w:ascii="Times New Roman" w:hAnsi="Times New Roman" w:cs="Times New Roman"/>
        <w:b w:val="0"/>
        <w:color w:val="auto"/>
        <w:sz w:val="20"/>
        <w:szCs w:val="20"/>
        <w:lang w:val="lv-LV"/>
      </w:rPr>
      <w:t xml:space="preserve">Baltijas jūras reģiona programmas </w:t>
    </w:r>
    <w:r w:rsidR="00EC73E7">
      <w:rPr>
        <w:rFonts w:ascii="Times New Roman" w:hAnsi="Times New Roman" w:cs="Times New Roman"/>
        <w:b w:val="0"/>
        <w:color w:val="auto"/>
        <w:sz w:val="20"/>
        <w:szCs w:val="20"/>
        <w:lang w:val="lv-LV"/>
      </w:rPr>
      <w:t xml:space="preserve">2014.-2020.gadam (Baltijas jūras reģiona transnacionālās sadarbības programma) </w:t>
    </w:r>
    <w:r w:rsidR="00EC73E7" w:rsidRPr="009F0863">
      <w:rPr>
        <w:rFonts w:ascii="Times New Roman" w:hAnsi="Times New Roman" w:cs="Times New Roman"/>
        <w:b w:val="0"/>
        <w:color w:val="auto"/>
        <w:sz w:val="20"/>
        <w:szCs w:val="20"/>
        <w:lang w:val="lv-LV"/>
      </w:rPr>
      <w:t>pārvaldības, finanšu un kontroles sistēmām</w:t>
    </w:r>
  </w:p>
  <w:p w:rsidR="00EC73E7" w:rsidRPr="003F3D86" w:rsidRDefault="00EC73E7" w:rsidP="00EC73E7">
    <w:pPr>
      <w:pStyle w:val="Footer"/>
      <w:tabs>
        <w:tab w:val="left" w:pos="5115"/>
      </w:tabs>
      <w:rPr>
        <w:lang w:val="lv-LV"/>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E7" w:rsidRPr="009F0863" w:rsidRDefault="00CF3A44" w:rsidP="006D58E1">
    <w:pPr>
      <w:pStyle w:val="Title"/>
      <w:jc w:val="both"/>
      <w:rPr>
        <w:rFonts w:ascii="Times New Roman" w:hAnsi="Times New Roman" w:cs="Times New Roman"/>
        <w:b w:val="0"/>
        <w:color w:val="auto"/>
        <w:sz w:val="20"/>
        <w:szCs w:val="20"/>
        <w:lang w:val="lv-LV"/>
      </w:rPr>
    </w:pPr>
    <w:r>
      <w:rPr>
        <w:rFonts w:ascii="Times New Roman" w:hAnsi="Times New Roman" w:cs="Times New Roman"/>
        <w:b w:val="0"/>
        <w:noProof/>
        <w:color w:val="auto"/>
        <w:sz w:val="20"/>
        <w:szCs w:val="20"/>
        <w:lang w:val="lv-LV" w:eastAsia="lv-LV"/>
      </w:rPr>
      <w:pict>
        <v:shapetype id="_x0000_t202" coordsize="21600,21600" o:spt="202" path="m,l,21600r21600,l21600,xe">
          <v:stroke joinstyle="miter"/>
          <v:path gradientshapeok="t" o:connecttype="rect"/>
        </v:shapetype>
        <v:shape id="_x0000_s2049" type="#_x0000_t202" style="position:absolute;left:0;text-align:left;margin-left:-28.7pt;margin-top:-1pt;width:160.4pt;height:14.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" filled="f" stroked="f">
          <v:textbox inset="0,0,0,0">
            <w:txbxContent>
              <w:p w:rsidR="00EC73E7" w:rsidRPr="00013D6F" w:rsidRDefault="00EC73E7" w:rsidP="006D58E1">
                <w:pPr>
                  <w:pStyle w:val="Footer"/>
                  <w:rPr>
                    <w:color w:val="auto"/>
                  </w:rPr>
                </w:pPr>
              </w:p>
            </w:txbxContent>
          </v:textbox>
          <w10:wrap type="tight"/>
        </v:shape>
      </w:pict>
    </w:r>
    <w:r w:rsidR="00EC73E7" w:rsidRPr="009F0863">
      <w:rPr>
        <w:rFonts w:ascii="Times New Roman" w:hAnsi="Times New Roman" w:cs="Times New Roman"/>
        <w:b w:val="0"/>
        <w:color w:val="auto"/>
        <w:sz w:val="20"/>
        <w:szCs w:val="20"/>
      </w:rPr>
      <w:t>VARAM</w:t>
    </w:r>
    <w:r w:rsidR="00EC73E7">
      <w:rPr>
        <w:rFonts w:ascii="Times New Roman" w:hAnsi="Times New Roman" w:cs="Times New Roman"/>
        <w:b w:val="0"/>
        <w:color w:val="auto"/>
        <w:sz w:val="20"/>
        <w:szCs w:val="20"/>
      </w:rPr>
      <w:t>vienosanas_BJ</w:t>
    </w:r>
    <w:r w:rsidR="00EC73E7" w:rsidRPr="009F0863">
      <w:rPr>
        <w:rFonts w:ascii="Times New Roman" w:hAnsi="Times New Roman" w:cs="Times New Roman"/>
        <w:b w:val="0"/>
        <w:color w:val="auto"/>
        <w:sz w:val="20"/>
        <w:szCs w:val="20"/>
      </w:rPr>
      <w:t>R_</w:t>
    </w:r>
    <w:r w:rsidR="00D758FD">
      <w:rPr>
        <w:rFonts w:ascii="Times New Roman" w:hAnsi="Times New Roman" w:cs="Times New Roman"/>
        <w:b w:val="0"/>
        <w:color w:val="auto"/>
        <w:sz w:val="20"/>
        <w:szCs w:val="20"/>
      </w:rPr>
      <w:t>170915_lv</w:t>
    </w:r>
    <w:r w:rsidR="00EC73E7" w:rsidRPr="009F0863">
      <w:rPr>
        <w:rFonts w:ascii="Times New Roman" w:hAnsi="Times New Roman" w:cs="Times New Roman"/>
        <w:b w:val="0"/>
        <w:color w:val="auto"/>
        <w:sz w:val="20"/>
        <w:szCs w:val="20"/>
      </w:rPr>
      <w:t xml:space="preserve">; </w:t>
    </w:r>
    <w:r w:rsidR="00EC73E7" w:rsidRPr="009F0863">
      <w:rPr>
        <w:rFonts w:ascii="Times New Roman" w:hAnsi="Times New Roman" w:cs="Times New Roman"/>
        <w:b w:val="0"/>
        <w:color w:val="auto"/>
        <w:sz w:val="20"/>
        <w:szCs w:val="20"/>
        <w:lang w:val="lv-LV"/>
      </w:rPr>
      <w:t xml:space="preserve">Vienošanās par </w:t>
    </w:r>
    <w:r w:rsidR="00EC73E7">
      <w:rPr>
        <w:rFonts w:ascii="Times New Roman" w:hAnsi="Times New Roman" w:cs="Times New Roman"/>
        <w:b w:val="0"/>
        <w:color w:val="auto"/>
        <w:sz w:val="20"/>
        <w:szCs w:val="20"/>
        <w:lang w:val="lv-LV"/>
      </w:rPr>
      <w:t xml:space="preserve">Interreg </w:t>
    </w:r>
    <w:r w:rsidR="00EC73E7" w:rsidRPr="009F0863">
      <w:rPr>
        <w:rFonts w:ascii="Times New Roman" w:hAnsi="Times New Roman" w:cs="Times New Roman"/>
        <w:b w:val="0"/>
        <w:color w:val="auto"/>
        <w:sz w:val="20"/>
        <w:szCs w:val="20"/>
        <w:lang w:val="lv-LV"/>
      </w:rPr>
      <w:t xml:space="preserve">Baltijas jūras reģiona programmas </w:t>
    </w:r>
    <w:r w:rsidR="00EC73E7">
      <w:rPr>
        <w:rFonts w:ascii="Times New Roman" w:hAnsi="Times New Roman" w:cs="Times New Roman"/>
        <w:b w:val="0"/>
        <w:color w:val="auto"/>
        <w:sz w:val="20"/>
        <w:szCs w:val="20"/>
        <w:lang w:val="lv-LV"/>
      </w:rPr>
      <w:t xml:space="preserve">2014.-2020.gadam (Baltijas jūras reģiona transnacionālās sadarbības programma) </w:t>
    </w:r>
    <w:r w:rsidR="00EC73E7" w:rsidRPr="009F0863">
      <w:rPr>
        <w:rFonts w:ascii="Times New Roman" w:hAnsi="Times New Roman" w:cs="Times New Roman"/>
        <w:b w:val="0"/>
        <w:color w:val="auto"/>
        <w:sz w:val="20"/>
        <w:szCs w:val="20"/>
        <w:lang w:val="lv-LV"/>
      </w:rPr>
      <w:t>pārvaldības, finanšu un kontroles sistēmām</w:t>
    </w:r>
  </w:p>
  <w:p w:rsidR="00EC73E7" w:rsidRPr="003F3D86" w:rsidRDefault="00EC73E7" w:rsidP="00EC73E7">
    <w:pPr>
      <w:pStyle w:val="Footer"/>
      <w:jc w:val="center"/>
      <w:rPr>
        <w:rFonts w:ascii="Verdana" w:hAnsi="Verdana"/>
        <w:sz w:val="16"/>
        <w:szCs w:val="16"/>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A44" w:rsidRDefault="00CF3A44" w:rsidP="00647FC0">
      <w:pPr>
        <w:spacing w:line="240" w:lineRule="auto"/>
      </w:pPr>
      <w:r>
        <w:separator/>
      </w:r>
    </w:p>
  </w:footnote>
  <w:footnote w:type="continuationSeparator" w:id="0">
    <w:p w:rsidR="00CF3A44" w:rsidRDefault="00CF3A44" w:rsidP="00647FC0">
      <w:pPr>
        <w:spacing w:line="240" w:lineRule="auto"/>
      </w:pPr>
      <w:r>
        <w:continuationSeparator/>
      </w:r>
    </w:p>
  </w:footnote>
  <w:footnote w:id="1">
    <w:p w:rsidR="00EC73E7" w:rsidRPr="00145D2C" w:rsidRDefault="00EC73E7" w:rsidP="00647FC0">
      <w:pPr>
        <w:pStyle w:val="FootnoteText"/>
        <w:rPr>
          <w:lang w:val="lv-LV"/>
        </w:rPr>
      </w:pPr>
      <w:r w:rsidRPr="00145D2C">
        <w:rPr>
          <w:rStyle w:val="FootnoteReference"/>
        </w:rPr>
        <w:footnoteRef/>
      </w:r>
      <w:r w:rsidRPr="00145D2C">
        <w:t xml:space="preserve"> </w:t>
      </w:r>
      <w:r w:rsidRPr="00145D2C">
        <w:rPr>
          <w:lang w:val="lv-LV"/>
        </w:rPr>
        <w:t xml:space="preserve">Saskaņā EIROPAS PARLAMENTA UN PADOMES 2014.gada 11.marta Regulas (ES) Nr. 232/2014, ar ko </w:t>
      </w:r>
      <w:r w:rsidR="00CF2255">
        <w:rPr>
          <w:lang w:val="lv-LV"/>
        </w:rPr>
        <w:t>iz</w:t>
      </w:r>
      <w:r w:rsidRPr="00145D2C">
        <w:rPr>
          <w:lang w:val="lv-LV"/>
        </w:rPr>
        <w:t>veido Eiropas Kaimiņattiecību instrumentu (EKI Regula), 7(7).pantu, finansējums var tikt apvienots ar citā saistītā Savienības regulā noteiktu finansējumu. Šādā veidā tiek atļauta finansējuma nosūtīšana no EKI Regulas uz programmām, kuras tiek finansētas saskaņā ar Regulu (ES) Nr. 1299/2013. EKI piešķiršana Programmai kalpo par pamatu Finansēšanas līguma parakstīšanai Krievijas un Baltkrievijas dalībai Programmā.</w:t>
      </w:r>
    </w:p>
  </w:footnote>
  <w:footnote w:id="2">
    <w:p w:rsidR="00EC73E7" w:rsidRPr="00145D2C" w:rsidRDefault="00EC73E7" w:rsidP="00647FC0">
      <w:pPr>
        <w:pStyle w:val="FootnoteText"/>
        <w:jc w:val="both"/>
        <w:rPr>
          <w:lang w:val="lv-LV"/>
        </w:rPr>
      </w:pPr>
      <w:r w:rsidRPr="00145D2C">
        <w:rPr>
          <w:rStyle w:val="FootnoteReference"/>
        </w:rPr>
        <w:footnoteRef/>
      </w:r>
      <w:r w:rsidRPr="00145D2C">
        <w:rPr>
          <w:lang w:val="lv-LV"/>
        </w:rPr>
        <w:t xml:space="preserve"> Saskaņā ar Regulas (ES) Nr. 232/2014 par Eiropas kaimiņattiecību instrumenta izveidi 7(7).pantu, šajā Regulā noteiktais finansējums var tikt apvienots ar citās saistītās Savienības regulās noteiktu finansējumu. Šādā veidā tiek nodrošināta finansējuma pārvirzīšana no EKI Regulas uz programmām, kuras tiek finansētas saskaņā ar Regulu (ES) Nr. 1299/2013.  EKI piešķiršana Programmai ir pamats ar Krievijas un Baltkrievijas dalību Programmā saistītu finansēšanas līgumu noslēgšanai. </w:t>
      </w:r>
    </w:p>
  </w:footnote>
  <w:footnote w:id="3">
    <w:p w:rsidR="00EC73E7" w:rsidRPr="001D0E44" w:rsidRDefault="00EC73E7" w:rsidP="00647FC0">
      <w:pPr>
        <w:pStyle w:val="FootnoteText"/>
        <w:spacing w:before="120"/>
        <w:jc w:val="both"/>
        <w:rPr>
          <w:rFonts w:asciiTheme="minorHAnsi" w:hAnsiTheme="minorHAnsi"/>
          <w:color w:val="5A5A5A"/>
          <w:lang w:val="lv-LV"/>
        </w:rPr>
      </w:pPr>
      <w:r w:rsidRPr="00145D2C">
        <w:rPr>
          <w:rStyle w:val="FootnoteReference"/>
          <w:lang w:val="lv-LV"/>
        </w:rPr>
        <w:footnoteRef/>
      </w:r>
      <w:r w:rsidRPr="00145D2C">
        <w:rPr>
          <w:rStyle w:val="FootnoteReference"/>
          <w:lang w:val="lv-LV"/>
        </w:rPr>
        <w:t xml:space="preserve"> </w:t>
      </w:r>
      <w:r w:rsidRPr="00145D2C">
        <w:rPr>
          <w:lang w:val="lv-LV"/>
        </w:rPr>
        <w:t>Galējais Krievijas un Baltkrievijas  paredzētais līdzfinansējums TP, kas veidojies no EKI, ir pamats ar Krievijas un Baltkrievijas dalību Programmā saistītu finansēšanas līgumu noslēgšanai.</w:t>
      </w:r>
    </w:p>
  </w:footnote>
  <w:footnote w:id="4">
    <w:p w:rsidR="00EC73E7" w:rsidRPr="00647FC0" w:rsidRDefault="00EC73E7" w:rsidP="00647FC0">
      <w:pPr>
        <w:pStyle w:val="FootnoteText"/>
        <w:rPr>
          <w:lang w:val="lv-LV"/>
        </w:rPr>
      </w:pPr>
      <w:r w:rsidRPr="00647FC0">
        <w:rPr>
          <w:rStyle w:val="FootnoteReference"/>
        </w:rPr>
        <w:footnoteRef/>
      </w:r>
      <w:r w:rsidRPr="00647FC0">
        <w:rPr>
          <w:lang w:val="lv-LV"/>
        </w:rPr>
        <w:t xml:space="preserve"> Gadījumā, ja Krievijas nacionālo naudas līdzekļu administrēšanu veiks IB.SH.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E7" w:rsidRPr="00FC6ECE" w:rsidRDefault="00EC73E7" w:rsidP="00EC73E7">
    <w:pPr>
      <w:pStyle w:val="Header"/>
      <w:rPr>
        <w:lang w:val="en-GB"/>
      </w:rPr>
    </w:pPr>
    <w:r w:rsidRPr="00FC6ECE">
      <w:rPr>
        <w:lang w:val="en-GB"/>
      </w:rPr>
      <w:t xml:space="preserve"> </w:t>
    </w:r>
  </w:p>
  <w:p w:rsidR="00B737DC" w:rsidRDefault="00B737DC" w:rsidP="00B737DC">
    <w:pPr>
      <w:pStyle w:val="Header"/>
      <w:spacing w:line="240" w:lineRule="auto"/>
      <w:jc w:val="right"/>
      <w:rPr>
        <w:rFonts w:ascii="Times New Roman" w:hAnsi="Times New Roman" w:cs="Times New Roman"/>
        <w:i/>
        <w:color w:val="auto"/>
        <w:sz w:val="24"/>
        <w:szCs w:val="24"/>
        <w:lang w:val="en-GB"/>
      </w:rPr>
    </w:pPr>
  </w:p>
  <w:p w:rsidR="00EC73E7" w:rsidRPr="00B737DC" w:rsidRDefault="00B737DC" w:rsidP="00B737DC">
    <w:pPr>
      <w:pStyle w:val="Header"/>
      <w:spacing w:line="240" w:lineRule="auto"/>
      <w:jc w:val="right"/>
      <w:rPr>
        <w:rFonts w:ascii="Times New Roman" w:hAnsi="Times New Roman" w:cs="Times New Roman"/>
        <w:i/>
        <w:color w:val="auto"/>
        <w:sz w:val="24"/>
        <w:szCs w:val="24"/>
        <w:lang w:val="en-GB"/>
      </w:rPr>
    </w:pPr>
    <w:r w:rsidRPr="00B737DC">
      <w:rPr>
        <w:rFonts w:ascii="Times New Roman" w:hAnsi="Times New Roman" w:cs="Times New Roman"/>
        <w:i/>
        <w:color w:val="auto"/>
        <w:sz w:val="24"/>
        <w:szCs w:val="24"/>
        <w:lang w:val="en-GB"/>
      </w:rPr>
      <w:t>Neoficiālais tulkojums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E7" w:rsidRPr="006C42C5" w:rsidRDefault="00CF3A44" w:rsidP="00EC73E7">
    <w:pPr>
      <w:pStyle w:val="Header"/>
    </w:pPr>
    <w:r>
      <w:rPr>
        <w:noProof/>
        <w:lang w:val="lv-LV" w:eastAsia="lv-LV"/>
      </w:rPr>
      <w:pict>
        <v:shapetype id="_x0000_t202" coordsize="21600,21600" o:spt="202" path="m,l,21600r21600,l21600,xe">
          <v:stroke joinstyle="miter"/>
          <v:path gradientshapeok="t" o:connecttype="rect"/>
        </v:shapetype>
        <v:shape id="_x0000_s2056" type="#_x0000_t202" style="position:absolute;margin-left:177.05pt;margin-top:62.3pt;width:259.65pt;height:2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" stroked="f">
          <v:textbox inset="0,0,0,0">
            <w:txbxContent>
              <w:p w:rsidR="00EC73E7" w:rsidRPr="00A7191A" w:rsidRDefault="00772437" w:rsidP="00EC73E7">
                <w:fldSimple w:instr=" STYLEREF  &quot;Heading 1&quot; \l \n  \* MERGEFORMAT ">
                  <w:r w:rsidR="00EC73E7" w:rsidRPr="000B1D1E">
                    <w:rPr>
                      <w:b/>
                      <w:bCs/>
                      <w:noProof/>
                      <w:lang w:val="en-US"/>
                    </w:rPr>
                    <w:t>0</w:t>
                  </w:r>
                </w:fldSimple>
                <w:r w:rsidR="00EC73E7" w:rsidRPr="001D4966">
                  <w:rPr>
                    <w:lang w:val="en-GB"/>
                  </w:rPr>
                  <w:t xml:space="preserve">  </w:t>
                </w:r>
                <w:fldSimple w:instr=" STYLEREF  &quot;Heading 1&quot;  \* MERGEFORMAT ">
                  <w:r w:rsidR="00EC73E7" w:rsidRPr="000B1D1E">
                    <w:rPr>
                      <w:b/>
                      <w:bCs/>
                      <w:noProof/>
                      <w:lang w:val="en-US"/>
                    </w:rPr>
                    <w:t>Preambula</w:t>
                  </w:r>
                </w:fldSimple>
              </w:p>
            </w:txbxContent>
          </v:textbox>
          <w10:wrap type="tight"/>
        </v:shape>
      </w:pict>
    </w:r>
    <w:r w:rsidR="00EC73E7">
      <w:rPr>
        <w:noProof/>
        <w:lang w:val="lv-LV" w:eastAsia="lv-LV"/>
      </w:rPr>
      <w:drawing>
        <wp:anchor distT="0" distB="0" distL="114300" distR="114300" simplePos="0" relativeHeight="251663360" behindDoc="1" locked="0" layoutInCell="1" allowOverlap="1">
          <wp:simplePos x="0" y="0"/>
          <wp:positionH relativeFrom="column">
            <wp:posOffset>-1350645</wp:posOffset>
          </wp:positionH>
          <wp:positionV relativeFrom="paragraph">
            <wp:posOffset>2738120</wp:posOffset>
          </wp:positionV>
          <wp:extent cx="265430" cy="1626235"/>
          <wp:effectExtent l="0" t="0" r="1270" b="0"/>
          <wp:wrapTight wrapText="bothSides">
            <wp:wrapPolygon edited="0">
              <wp:start x="0" y="0"/>
              <wp:lineTo x="0" y="21254"/>
              <wp:lineTo x="20153" y="21254"/>
              <wp:lineTo x="20153" y="0"/>
              <wp:lineTo x="0" y="0"/>
            </wp:wrapPolygon>
          </wp:wrapTight>
          <wp:docPr id="316" name="Grafik 290" descr="C:\Users\stegmann\Desktop\BSR template\bsrp_grip_balticsea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gmann\Desktop\BSR template\bsrp_grip_balticsea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30" cy="1626235"/>
                  </a:xfrm>
                  <a:prstGeom prst="rect">
                    <a:avLst/>
                  </a:prstGeom>
                  <a:noFill/>
                  <a:ln>
                    <a:noFill/>
                  </a:ln>
                </pic:spPr>
              </pic:pic>
            </a:graphicData>
          </a:graphic>
        </wp:anchor>
      </w:drawing>
    </w:r>
    <w:r w:rsidR="00EC73E7" w:rsidRPr="004E646A">
      <w:t xml:space="preserve"> </w:t>
    </w:r>
    <w:r w:rsidR="00EC73E7">
      <w:rPr>
        <w:noProof/>
        <w:lang w:val="lv-LV" w:eastAsia="lv-LV"/>
      </w:rPr>
      <w:drawing>
        <wp:anchor distT="0" distB="0" distL="114300" distR="114300" simplePos="0" relativeHeight="251661312" behindDoc="1" locked="0" layoutInCell="1" allowOverlap="1">
          <wp:simplePos x="0" y="0"/>
          <wp:positionH relativeFrom="column">
            <wp:posOffset>-654050</wp:posOffset>
          </wp:positionH>
          <wp:positionV relativeFrom="paragraph">
            <wp:posOffset>442595</wp:posOffset>
          </wp:positionV>
          <wp:extent cx="1362075" cy="314325"/>
          <wp:effectExtent l="0" t="0" r="9525" b="9525"/>
          <wp:wrapTight wrapText="bothSides">
            <wp:wrapPolygon edited="0">
              <wp:start x="0" y="0"/>
              <wp:lineTo x="0" y="20945"/>
              <wp:lineTo x="21449" y="20945"/>
              <wp:lineTo x="21449" y="0"/>
              <wp:lineTo x="0" y="0"/>
            </wp:wrapPolygon>
          </wp:wrapTight>
          <wp:docPr id="317" name="Grafik 288" descr="C:\Users\stegmann\Desktop\BSR template\bsrp_logo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gmann\Desktop\BSR template\bsrp_logo_E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314325"/>
                  </a:xfrm>
                  <a:prstGeom prst="rect">
                    <a:avLst/>
                  </a:prstGeom>
                  <a:noFill/>
                  <a:ln>
                    <a:noFill/>
                  </a:ln>
                </pic:spPr>
              </pic:pic>
            </a:graphicData>
          </a:graphic>
        </wp:anchor>
      </w:drawing>
    </w:r>
    <w:r>
      <w:rPr>
        <w:noProof/>
        <w:lang w:val="lv-LV" w:eastAsia="lv-LV"/>
      </w:rPr>
      <w:pict>
        <v:shape id="_x0000_s2055" type="#_x0000_t202" style="position:absolute;margin-left:114.25pt;margin-top:47.75pt;width:320.85pt;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" filled="f" stroked="f">
          <v:textbox inset="0,0,0,0">
            <w:txbxContent>
              <w:p w:rsidR="00EC73E7" w:rsidRPr="00E818E0" w:rsidRDefault="00EC73E7" w:rsidP="00EC73E7">
                <w:pPr>
                  <w:rPr>
                    <w:lang w:val="en-GB"/>
                  </w:rPr>
                </w:pPr>
                <w:r w:rsidRPr="00E818E0">
                  <w:rPr>
                    <w:lang w:val="en-GB"/>
                  </w:rPr>
                  <w:t xml:space="preserve">Annex 3_AP7, 4th JPC meeting, 11–12 June 2013 </w:t>
                </w:r>
                <w:r w:rsidRPr="00E818E0">
                  <w:rPr>
                    <w:color w:val="4DDAFF"/>
                    <w:lang w:val="en-GB"/>
                  </w:rPr>
                  <w:t>| 31.10.2014</w:t>
                </w:r>
              </w:p>
            </w:txbxContent>
          </v:textbox>
          <w10:wrap type="tigh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E7" w:rsidRPr="006C42C5" w:rsidRDefault="00EC73E7" w:rsidP="00EC73E7">
    <w:pPr>
      <w:pStyle w:val="Header"/>
    </w:pPr>
    <w:r w:rsidRPr="004E646A">
      <w:t xml:space="preserve"> </w:t>
    </w:r>
  </w:p>
  <w:p w:rsidR="00EC73E7" w:rsidRDefault="00EC73E7" w:rsidP="00EC73E7">
    <w:pPr>
      <w:pStyle w:val="Header"/>
    </w:pP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E7" w:rsidRPr="00B77E2F" w:rsidRDefault="00EC73E7" w:rsidP="00EC73E7">
    <w:pPr>
      <w:pStyle w:val="Header"/>
      <w:spacing w:before="120"/>
      <w:jc w:val="center"/>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E7" w:rsidRPr="00CC5C1C" w:rsidRDefault="00EC73E7" w:rsidP="00EC73E7">
    <w:pPr>
      <w:pStyle w:val="Header"/>
      <w:rPr>
        <w:rFonts w:eastAsia="SimSu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E7" w:rsidRPr="003F0D8E" w:rsidRDefault="00EC73E7" w:rsidP="00EC73E7">
    <w:pPr>
      <w:spacing w:after="200" w:line="276" w:lineRule="auto"/>
      <w:rPr>
        <w:rFonts w:ascii="Verdana" w:hAnsi="Verdana"/>
        <w:b/>
        <w:sz w:val="21"/>
        <w:szCs w:val="21"/>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931"/>
    <w:multiLevelType w:val="hybridMultilevel"/>
    <w:tmpl w:val="7DAE1C00"/>
    <w:lvl w:ilvl="0" w:tplc="8328039A">
      <w:start w:val="1"/>
      <w:numFmt w:val="lowerLetter"/>
      <w:lvlText w:val="%1."/>
      <w:lvlJc w:val="left"/>
      <w:pPr>
        <w:ind w:left="360" w:hanging="360"/>
      </w:pPr>
      <w:rPr>
        <w:rFonts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086C39"/>
    <w:multiLevelType w:val="hybridMultilevel"/>
    <w:tmpl w:val="86CE0462"/>
    <w:lvl w:ilvl="0" w:tplc="F9FCDA7C">
      <w:start w:val="1"/>
      <w:numFmt w:val="decimal"/>
      <w:lvlText w:val="4.%1"/>
      <w:lvlJc w:val="left"/>
      <w:pPr>
        <w:ind w:left="995" w:hanging="360"/>
      </w:pPr>
      <w:rPr>
        <w:rFonts w:hint="default"/>
      </w:rPr>
    </w:lvl>
    <w:lvl w:ilvl="1" w:tplc="08090019">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2">
    <w:nsid w:val="0F5C78E7"/>
    <w:multiLevelType w:val="hybridMultilevel"/>
    <w:tmpl w:val="C0B20512"/>
    <w:lvl w:ilvl="0" w:tplc="F098913E">
      <w:start w:val="1"/>
      <w:numFmt w:val="lowerLetter"/>
      <w:lvlText w:val="%1."/>
      <w:lvlJc w:val="left"/>
      <w:pPr>
        <w:ind w:left="360" w:hanging="360"/>
      </w:pPr>
      <w:rPr>
        <w:rFonts w:hint="default"/>
        <w:color w:val="auto"/>
        <w:sz w:val="24"/>
        <w:szCs w:val="24"/>
      </w:rPr>
    </w:lvl>
    <w:lvl w:ilvl="1" w:tplc="0809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4233F87"/>
    <w:multiLevelType w:val="hybridMultilevel"/>
    <w:tmpl w:val="0EF890B8"/>
    <w:lvl w:ilvl="0" w:tplc="4B86C116">
      <w:start w:val="1"/>
      <w:numFmt w:val="lowerLetter"/>
      <w:lvlText w:val="%1."/>
      <w:lvlJc w:val="left"/>
      <w:pPr>
        <w:ind w:left="360" w:hanging="360"/>
      </w:pPr>
      <w:rPr>
        <w:rFonts w:hint="default"/>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42D2E5C"/>
    <w:multiLevelType w:val="hybridMultilevel"/>
    <w:tmpl w:val="E578E962"/>
    <w:lvl w:ilvl="0" w:tplc="02EEA412">
      <w:start w:val="1"/>
      <w:numFmt w:val="decimal"/>
      <w:pStyle w:val="Heading2"/>
      <w:lvlText w:val="2.%1"/>
      <w:lvlJc w:val="left"/>
      <w:pPr>
        <w:ind w:left="3338" w:hanging="360"/>
      </w:pPr>
      <w:rPr>
        <w:rFonts w:hint="default"/>
        <w:color w:val="auto"/>
        <w:sz w:val="24"/>
        <w:szCs w:val="24"/>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5">
    <w:nsid w:val="1B7D3938"/>
    <w:multiLevelType w:val="hybridMultilevel"/>
    <w:tmpl w:val="9492518E"/>
    <w:lvl w:ilvl="0" w:tplc="86481B6A">
      <w:start w:val="1"/>
      <w:numFmt w:val="bullet"/>
      <w:lvlText w:val=""/>
      <w:lvlJc w:val="left"/>
      <w:pPr>
        <w:tabs>
          <w:tab w:val="num" w:pos="567"/>
        </w:tabs>
        <w:ind w:left="709" w:hanging="142"/>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232B5B08"/>
    <w:multiLevelType w:val="hybridMultilevel"/>
    <w:tmpl w:val="698CA576"/>
    <w:lvl w:ilvl="0" w:tplc="30521E12">
      <w:start w:val="1"/>
      <w:numFmt w:val="lowerLetter"/>
      <w:lvlText w:val="%1."/>
      <w:lvlJc w:val="left"/>
      <w:pPr>
        <w:ind w:left="360" w:hanging="360"/>
      </w:pPr>
      <w:rPr>
        <w:rFonts w:hint="default"/>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62760D4"/>
    <w:multiLevelType w:val="hybridMultilevel"/>
    <w:tmpl w:val="C7D6D356"/>
    <w:lvl w:ilvl="0" w:tplc="D5EEA29C">
      <w:start w:val="1"/>
      <w:numFmt w:val="decimal"/>
      <w:lvlText w:val="5.%1"/>
      <w:lvlJc w:val="left"/>
      <w:pPr>
        <w:ind w:left="995" w:hanging="360"/>
      </w:pPr>
      <w:rPr>
        <w:rFonts w:hint="default"/>
      </w:rPr>
    </w:lvl>
    <w:lvl w:ilvl="1" w:tplc="08090019">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8">
    <w:nsid w:val="2DF13B34"/>
    <w:multiLevelType w:val="hybridMultilevel"/>
    <w:tmpl w:val="3872CF06"/>
    <w:lvl w:ilvl="0" w:tplc="9570892E">
      <w:start w:val="1"/>
      <w:numFmt w:val="decimal"/>
      <w:lvlText w:val="2.%1"/>
      <w:lvlJc w:val="left"/>
      <w:pPr>
        <w:ind w:left="995" w:hanging="360"/>
      </w:pPr>
      <w:rPr>
        <w:rFonts w:hint="default"/>
      </w:rPr>
    </w:lvl>
    <w:lvl w:ilvl="1" w:tplc="08090019">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9">
    <w:nsid w:val="2EA64DC8"/>
    <w:multiLevelType w:val="hybridMultilevel"/>
    <w:tmpl w:val="DF8806B2"/>
    <w:lvl w:ilvl="0" w:tplc="482AD24E">
      <w:start w:val="1"/>
      <w:numFmt w:val="lowerLetter"/>
      <w:lvlText w:val="%1."/>
      <w:lvlJc w:val="left"/>
      <w:pPr>
        <w:ind w:left="360" w:hanging="360"/>
      </w:pPr>
      <w:rPr>
        <w:rFonts w:hint="default"/>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7FC09A5"/>
    <w:multiLevelType w:val="hybridMultilevel"/>
    <w:tmpl w:val="B4EAF544"/>
    <w:lvl w:ilvl="0" w:tplc="CF70925E">
      <w:start w:val="1"/>
      <w:numFmt w:val="lowerLetter"/>
      <w:lvlText w:val="%1."/>
      <w:lvlJc w:val="left"/>
      <w:pPr>
        <w:ind w:left="360" w:hanging="360"/>
      </w:pPr>
      <w:rPr>
        <w:rFonts w:asciiTheme="minorHAnsi" w:hAnsiTheme="minorHAnsi" w:hint="default"/>
        <w:i w:val="0"/>
        <w:color w:val="00507F"/>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DD1388A"/>
    <w:multiLevelType w:val="hybridMultilevel"/>
    <w:tmpl w:val="7792C02E"/>
    <w:lvl w:ilvl="0" w:tplc="2E92DD38">
      <w:start w:val="1"/>
      <w:numFmt w:val="lowerLetter"/>
      <w:lvlText w:val="%1."/>
      <w:lvlJc w:val="left"/>
      <w:pPr>
        <w:ind w:left="360" w:hanging="360"/>
      </w:pPr>
      <w:rPr>
        <w:rFonts w:hint="default"/>
        <w:color w:val="auto"/>
        <w:sz w:val="24"/>
        <w:szCs w:val="24"/>
      </w:rPr>
    </w:lvl>
    <w:lvl w:ilvl="1" w:tplc="0809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05B1663"/>
    <w:multiLevelType w:val="hybridMultilevel"/>
    <w:tmpl w:val="8C7C184C"/>
    <w:lvl w:ilvl="0" w:tplc="71683D5A">
      <w:start w:val="1"/>
      <w:numFmt w:val="lowerLetter"/>
      <w:lvlText w:val="%1."/>
      <w:lvlJc w:val="left"/>
      <w:pPr>
        <w:ind w:left="360" w:hanging="360"/>
      </w:pPr>
      <w:rPr>
        <w:rFonts w:hint="default"/>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266794B"/>
    <w:multiLevelType w:val="hybridMultilevel"/>
    <w:tmpl w:val="E42294AC"/>
    <w:lvl w:ilvl="0" w:tplc="FDC89904">
      <w:start w:val="1"/>
      <w:numFmt w:val="lowerLetter"/>
      <w:lvlText w:val="%1."/>
      <w:lvlJc w:val="left"/>
      <w:pPr>
        <w:ind w:left="360" w:hanging="360"/>
      </w:pPr>
      <w:rPr>
        <w:rFonts w:hint="default"/>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A3F0D28"/>
    <w:multiLevelType w:val="hybridMultilevel"/>
    <w:tmpl w:val="F41A2A1E"/>
    <w:lvl w:ilvl="0" w:tplc="2C006B2E">
      <w:start w:val="1"/>
      <w:numFmt w:val="decimal"/>
      <w:lvlText w:val="3.%1"/>
      <w:lvlJc w:val="left"/>
      <w:pPr>
        <w:ind w:left="3338" w:hanging="360"/>
      </w:pPr>
      <w:rPr>
        <w:rFonts w:hint="default"/>
        <w:color w:val="auto"/>
        <w:sz w:val="24"/>
        <w:szCs w:val="24"/>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15">
    <w:nsid w:val="4BA00723"/>
    <w:multiLevelType w:val="hybridMultilevel"/>
    <w:tmpl w:val="82068E58"/>
    <w:lvl w:ilvl="0" w:tplc="3DDA5836">
      <w:start w:val="1"/>
      <w:numFmt w:val="lowerLetter"/>
      <w:lvlText w:val="%1."/>
      <w:lvlJc w:val="left"/>
      <w:pPr>
        <w:ind w:left="360" w:hanging="360"/>
      </w:pPr>
      <w:rPr>
        <w:rFonts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DB0CDB"/>
    <w:multiLevelType w:val="hybridMultilevel"/>
    <w:tmpl w:val="B0065506"/>
    <w:lvl w:ilvl="0" w:tplc="19089A7A">
      <w:start w:val="1"/>
      <w:numFmt w:val="lowerLetter"/>
      <w:lvlText w:val="%1."/>
      <w:lvlJc w:val="left"/>
      <w:pPr>
        <w:ind w:left="360" w:hanging="360"/>
      </w:pPr>
      <w:rPr>
        <w:rFonts w:hint="default"/>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1EE5AC7"/>
    <w:multiLevelType w:val="hybridMultilevel"/>
    <w:tmpl w:val="762AAA5E"/>
    <w:lvl w:ilvl="0" w:tplc="7AFA261E">
      <w:start w:val="1"/>
      <w:numFmt w:val="lowerLetter"/>
      <w:lvlText w:val="%1."/>
      <w:lvlJc w:val="left"/>
      <w:pPr>
        <w:ind w:left="360" w:hanging="360"/>
      </w:pPr>
      <w:rPr>
        <w:rFonts w:hint="default"/>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20D0B0A"/>
    <w:multiLevelType w:val="hybridMultilevel"/>
    <w:tmpl w:val="86B0B5C2"/>
    <w:lvl w:ilvl="0" w:tplc="7B22681C">
      <w:start w:val="1"/>
      <w:numFmt w:val="lowerLetter"/>
      <w:lvlText w:val="%1."/>
      <w:lvlJc w:val="left"/>
      <w:pPr>
        <w:ind w:left="360" w:hanging="360"/>
      </w:pPr>
      <w:rPr>
        <w:rFonts w:hint="default"/>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7895C54"/>
    <w:multiLevelType w:val="hybridMultilevel"/>
    <w:tmpl w:val="0D06F038"/>
    <w:lvl w:ilvl="0" w:tplc="1BB43C18">
      <w:start w:val="1"/>
      <w:numFmt w:val="lowerLetter"/>
      <w:lvlText w:val="%1."/>
      <w:lvlJc w:val="left"/>
      <w:pPr>
        <w:ind w:left="360" w:hanging="360"/>
      </w:pPr>
      <w:rPr>
        <w:rFonts w:hint="default"/>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8A60F79"/>
    <w:multiLevelType w:val="hybridMultilevel"/>
    <w:tmpl w:val="0AF4B5A0"/>
    <w:lvl w:ilvl="0" w:tplc="497ECB76">
      <w:start w:val="1"/>
      <w:numFmt w:val="lowerLetter"/>
      <w:lvlText w:val="%1."/>
      <w:lvlJc w:val="left"/>
      <w:pPr>
        <w:ind w:left="360" w:hanging="360"/>
      </w:pPr>
      <w:rPr>
        <w:rFonts w:hint="default"/>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5D601DC"/>
    <w:multiLevelType w:val="hybridMultilevel"/>
    <w:tmpl w:val="63F881B2"/>
    <w:lvl w:ilvl="0" w:tplc="27D8F272">
      <w:start w:val="1"/>
      <w:numFmt w:val="lowerLetter"/>
      <w:lvlText w:val="%1."/>
      <w:lvlJc w:val="left"/>
      <w:pPr>
        <w:ind w:left="360" w:hanging="360"/>
      </w:pPr>
      <w:rPr>
        <w:rFonts w:hint="default"/>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6051B68"/>
    <w:multiLevelType w:val="hybridMultilevel"/>
    <w:tmpl w:val="4BC67130"/>
    <w:lvl w:ilvl="0" w:tplc="A42A682C">
      <w:start w:val="1"/>
      <w:numFmt w:val="lowerLetter"/>
      <w:lvlText w:val="%1."/>
      <w:lvlJc w:val="left"/>
      <w:pPr>
        <w:ind w:left="360" w:hanging="360"/>
      </w:pPr>
      <w:rPr>
        <w:rFonts w:hint="default"/>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7975EA2"/>
    <w:multiLevelType w:val="hybridMultilevel"/>
    <w:tmpl w:val="0B1C9E62"/>
    <w:lvl w:ilvl="0" w:tplc="2B220222">
      <w:start w:val="1"/>
      <w:numFmt w:val="decimal"/>
      <w:lvlText w:val="3.%1"/>
      <w:lvlJc w:val="left"/>
      <w:pPr>
        <w:ind w:left="995" w:hanging="360"/>
      </w:pPr>
      <w:rPr>
        <w:rFonts w:hint="default"/>
      </w:rPr>
    </w:lvl>
    <w:lvl w:ilvl="1" w:tplc="08090019">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24">
    <w:nsid w:val="68723808"/>
    <w:multiLevelType w:val="hybridMultilevel"/>
    <w:tmpl w:val="9DA44AB8"/>
    <w:lvl w:ilvl="0" w:tplc="0254B4F4">
      <w:start w:val="1"/>
      <w:numFmt w:val="decimal"/>
      <w:lvlText w:val="5.%1"/>
      <w:lvlJc w:val="left"/>
      <w:pPr>
        <w:ind w:left="3338" w:hanging="360"/>
      </w:pPr>
      <w:rPr>
        <w:rFonts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533AC5"/>
    <w:multiLevelType w:val="hybridMultilevel"/>
    <w:tmpl w:val="A770ECD2"/>
    <w:lvl w:ilvl="0" w:tplc="FB28B2BE">
      <w:start w:val="1"/>
      <w:numFmt w:val="lowerLetter"/>
      <w:lvlText w:val="%1."/>
      <w:lvlJc w:val="left"/>
      <w:pPr>
        <w:ind w:left="360" w:hanging="360"/>
      </w:pPr>
      <w:rPr>
        <w:rFonts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AC01D57"/>
    <w:multiLevelType w:val="hybridMultilevel"/>
    <w:tmpl w:val="6236473A"/>
    <w:lvl w:ilvl="0" w:tplc="05C847D0">
      <w:start w:val="1"/>
      <w:numFmt w:val="decimal"/>
      <w:pStyle w:val="Listnumbered"/>
      <w:lvlText w:val="%1."/>
      <w:lvlJc w:val="left"/>
      <w:pPr>
        <w:ind w:left="720" w:hanging="360"/>
      </w:pPr>
      <w:rPr>
        <w:rFonts w:hint="default"/>
        <w:color w:val="EEECE1"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C4B5598"/>
    <w:multiLevelType w:val="hybridMultilevel"/>
    <w:tmpl w:val="E27E9CE0"/>
    <w:lvl w:ilvl="0" w:tplc="BC3602D8">
      <w:start w:val="1"/>
      <w:numFmt w:val="lowerLetter"/>
      <w:lvlText w:val="%1."/>
      <w:lvlJc w:val="left"/>
      <w:pPr>
        <w:ind w:left="360" w:hanging="360"/>
      </w:pPr>
      <w:rPr>
        <w:rFonts w:hint="default"/>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0CA42A8"/>
    <w:multiLevelType w:val="hybridMultilevel"/>
    <w:tmpl w:val="00040010"/>
    <w:lvl w:ilvl="0" w:tplc="AC48B8D6">
      <w:start w:val="1"/>
      <w:numFmt w:val="bullet"/>
      <w:pStyle w:val="Listbulletpoints"/>
      <w:lvlText w:val=""/>
      <w:lvlJc w:val="left"/>
      <w:pPr>
        <w:ind w:left="720" w:hanging="360"/>
      </w:pPr>
      <w:rPr>
        <w:rFonts w:ascii="Symbol" w:hAnsi="Symbol" w:hint="default"/>
        <w:color w:val="EEECE1" w:themeColor="background2"/>
        <w:u w:color="EEECE1"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2C82311"/>
    <w:multiLevelType w:val="hybridMultilevel"/>
    <w:tmpl w:val="383EFD96"/>
    <w:lvl w:ilvl="0" w:tplc="25DE00BC">
      <w:start w:val="1"/>
      <w:numFmt w:val="lowerLetter"/>
      <w:lvlText w:val="%1."/>
      <w:lvlJc w:val="left"/>
      <w:pPr>
        <w:ind w:left="360" w:hanging="360"/>
      </w:pPr>
      <w:rPr>
        <w:rFonts w:hint="default"/>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31243B5"/>
    <w:multiLevelType w:val="hybridMultilevel"/>
    <w:tmpl w:val="E96EC044"/>
    <w:lvl w:ilvl="0" w:tplc="6C567F3C">
      <w:start w:val="1"/>
      <w:numFmt w:val="lowerLetter"/>
      <w:lvlText w:val="%1."/>
      <w:lvlJc w:val="left"/>
      <w:pPr>
        <w:ind w:left="360" w:hanging="360"/>
      </w:pPr>
      <w:rPr>
        <w:rFonts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3DD37EA"/>
    <w:multiLevelType w:val="hybridMultilevel"/>
    <w:tmpl w:val="AC223332"/>
    <w:lvl w:ilvl="0" w:tplc="63A88CC4">
      <w:start w:val="1"/>
      <w:numFmt w:val="decimal"/>
      <w:lvlText w:val="4.%1"/>
      <w:lvlJc w:val="left"/>
      <w:pPr>
        <w:ind w:left="3338" w:hanging="360"/>
      </w:pPr>
      <w:rPr>
        <w:rFonts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2C5D51"/>
    <w:multiLevelType w:val="hybridMultilevel"/>
    <w:tmpl w:val="2DD24FFC"/>
    <w:lvl w:ilvl="0" w:tplc="55A651EA">
      <w:start w:val="1"/>
      <w:numFmt w:val="decimal"/>
      <w:lvlText w:val="%1."/>
      <w:lvlJc w:val="left"/>
      <w:pPr>
        <w:ind w:left="720" w:hanging="360"/>
      </w:pPr>
      <w:rPr>
        <w:rFonts w:ascii="Verdana" w:hAnsi="Verdana" w:hint="default"/>
        <w:color w:val="00507F"/>
        <w:sz w:val="20"/>
        <w:szCs w:val="20"/>
      </w:rPr>
    </w:lvl>
    <w:lvl w:ilvl="1" w:tplc="3230B97A">
      <w:start w:val="1"/>
      <w:numFmt w:val="bullet"/>
      <w:lvlText w:val="o"/>
      <w:lvlJc w:val="left"/>
      <w:pPr>
        <w:ind w:left="1440" w:hanging="360"/>
      </w:pPr>
      <w:rPr>
        <w:rFonts w:ascii="Calibri" w:hAnsi="Calibri"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EA0388"/>
    <w:multiLevelType w:val="hybridMultilevel"/>
    <w:tmpl w:val="2E281D26"/>
    <w:lvl w:ilvl="0" w:tplc="08090019">
      <w:start w:val="1"/>
      <w:numFmt w:val="lowerLetter"/>
      <w:lvlText w:val="%1."/>
      <w:lvlJc w:val="left"/>
      <w:pPr>
        <w:ind w:left="360" w:hanging="360"/>
      </w:pPr>
      <w:rPr>
        <w:rFonts w:hint="default"/>
        <w:color w:val="548DD4" w:themeColor="text2" w:themeTint="99"/>
        <w:sz w:val="20"/>
        <w:szCs w:val="20"/>
      </w:rPr>
    </w:lvl>
    <w:lvl w:ilvl="1" w:tplc="0809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D271D91"/>
    <w:multiLevelType w:val="hybridMultilevel"/>
    <w:tmpl w:val="21E82DD4"/>
    <w:lvl w:ilvl="0" w:tplc="65D8AF42">
      <w:start w:val="1"/>
      <w:numFmt w:val="lowerLetter"/>
      <w:lvlText w:val="%1."/>
      <w:lvlJc w:val="left"/>
      <w:pPr>
        <w:ind w:left="502" w:hanging="360"/>
      </w:pPr>
      <w:rPr>
        <w:rFonts w:asciiTheme="minorHAnsi" w:hAnsiTheme="minorHAnsi" w:hint="default"/>
        <w:color w:val="00507F"/>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26"/>
  </w:num>
  <w:num w:numId="3">
    <w:abstractNumId w:val="8"/>
  </w:num>
  <w:num w:numId="4">
    <w:abstractNumId w:val="5"/>
  </w:num>
  <w:num w:numId="5">
    <w:abstractNumId w:val="34"/>
  </w:num>
  <w:num w:numId="6">
    <w:abstractNumId w:val="4"/>
  </w:num>
  <w:num w:numId="7">
    <w:abstractNumId w:val="10"/>
  </w:num>
  <w:num w:numId="8">
    <w:abstractNumId w:val="22"/>
  </w:num>
  <w:num w:numId="9">
    <w:abstractNumId w:val="9"/>
  </w:num>
  <w:num w:numId="10">
    <w:abstractNumId w:val="17"/>
  </w:num>
  <w:num w:numId="11">
    <w:abstractNumId w:val="33"/>
  </w:num>
  <w:num w:numId="12">
    <w:abstractNumId w:val="2"/>
  </w:num>
  <w:num w:numId="13">
    <w:abstractNumId w:val="29"/>
  </w:num>
  <w:num w:numId="14">
    <w:abstractNumId w:val="21"/>
  </w:num>
  <w:num w:numId="15">
    <w:abstractNumId w:val="11"/>
  </w:num>
  <w:num w:numId="16">
    <w:abstractNumId w:val="12"/>
  </w:num>
  <w:num w:numId="17">
    <w:abstractNumId w:val="20"/>
  </w:num>
  <w:num w:numId="18">
    <w:abstractNumId w:val="3"/>
  </w:num>
  <w:num w:numId="19">
    <w:abstractNumId w:val="16"/>
  </w:num>
  <w:num w:numId="20">
    <w:abstractNumId w:val="27"/>
  </w:num>
  <w:num w:numId="21">
    <w:abstractNumId w:val="13"/>
  </w:num>
  <w:num w:numId="22">
    <w:abstractNumId w:val="30"/>
  </w:num>
  <w:num w:numId="23">
    <w:abstractNumId w:val="19"/>
  </w:num>
  <w:num w:numId="24">
    <w:abstractNumId w:val="18"/>
  </w:num>
  <w:num w:numId="25">
    <w:abstractNumId w:val="6"/>
  </w:num>
  <w:num w:numId="26">
    <w:abstractNumId w:val="0"/>
  </w:num>
  <w:num w:numId="27">
    <w:abstractNumId w:val="25"/>
  </w:num>
  <w:num w:numId="28">
    <w:abstractNumId w:val="15"/>
  </w:num>
  <w:num w:numId="29">
    <w:abstractNumId w:val="32"/>
  </w:num>
  <w:num w:numId="30">
    <w:abstractNumId w:val="23"/>
  </w:num>
  <w:num w:numId="31">
    <w:abstractNumId w:val="1"/>
  </w:num>
  <w:num w:numId="32">
    <w:abstractNumId w:val="7"/>
  </w:num>
  <w:num w:numId="33">
    <w:abstractNumId w:val="14"/>
  </w:num>
  <w:num w:numId="34">
    <w:abstractNumId w:val="31"/>
  </w:num>
  <w:num w:numId="35">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nis Špeļs">
    <w15:presenceInfo w15:providerId="AD" w15:userId="S-1-5-21-1177238915-1417001333-839522115-14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47FC0"/>
    <w:rsid w:val="0000014D"/>
    <w:rsid w:val="00034503"/>
    <w:rsid w:val="000412CF"/>
    <w:rsid w:val="00044F82"/>
    <w:rsid w:val="00070C8C"/>
    <w:rsid w:val="0009623A"/>
    <w:rsid w:val="000A554F"/>
    <w:rsid w:val="000D4B51"/>
    <w:rsid w:val="000F1FDB"/>
    <w:rsid w:val="000F7FA4"/>
    <w:rsid w:val="00105C12"/>
    <w:rsid w:val="00145A5D"/>
    <w:rsid w:val="00191FA3"/>
    <w:rsid w:val="00193FE1"/>
    <w:rsid w:val="001C0162"/>
    <w:rsid w:val="002024BF"/>
    <w:rsid w:val="00206600"/>
    <w:rsid w:val="002156BC"/>
    <w:rsid w:val="002B0C70"/>
    <w:rsid w:val="002D3925"/>
    <w:rsid w:val="002E6179"/>
    <w:rsid w:val="002E6191"/>
    <w:rsid w:val="003039CF"/>
    <w:rsid w:val="0036332A"/>
    <w:rsid w:val="00381E9E"/>
    <w:rsid w:val="00387D22"/>
    <w:rsid w:val="00392E83"/>
    <w:rsid w:val="0039503C"/>
    <w:rsid w:val="003F3D86"/>
    <w:rsid w:val="0044289C"/>
    <w:rsid w:val="00451C72"/>
    <w:rsid w:val="004773C6"/>
    <w:rsid w:val="004A1B08"/>
    <w:rsid w:val="004D18E5"/>
    <w:rsid w:val="00500F53"/>
    <w:rsid w:val="00542577"/>
    <w:rsid w:val="00582E5D"/>
    <w:rsid w:val="006109FB"/>
    <w:rsid w:val="0063582B"/>
    <w:rsid w:val="00647FC0"/>
    <w:rsid w:val="006A25DA"/>
    <w:rsid w:val="006D58E1"/>
    <w:rsid w:val="006F5670"/>
    <w:rsid w:val="00724EB4"/>
    <w:rsid w:val="00734CC8"/>
    <w:rsid w:val="00765E6D"/>
    <w:rsid w:val="00772437"/>
    <w:rsid w:val="00776611"/>
    <w:rsid w:val="007906D9"/>
    <w:rsid w:val="00797A27"/>
    <w:rsid w:val="007A2959"/>
    <w:rsid w:val="007B5970"/>
    <w:rsid w:val="007C01D0"/>
    <w:rsid w:val="00820FA8"/>
    <w:rsid w:val="00833BAA"/>
    <w:rsid w:val="0086218B"/>
    <w:rsid w:val="00890BF4"/>
    <w:rsid w:val="008A665B"/>
    <w:rsid w:val="008C5337"/>
    <w:rsid w:val="008E6DB8"/>
    <w:rsid w:val="009256CE"/>
    <w:rsid w:val="00946CD4"/>
    <w:rsid w:val="0095450C"/>
    <w:rsid w:val="009826E8"/>
    <w:rsid w:val="00995364"/>
    <w:rsid w:val="009C5EDD"/>
    <w:rsid w:val="009F0863"/>
    <w:rsid w:val="00A23CC2"/>
    <w:rsid w:val="00AC2276"/>
    <w:rsid w:val="00AD4FC4"/>
    <w:rsid w:val="00AD7232"/>
    <w:rsid w:val="00AF1CB9"/>
    <w:rsid w:val="00B37763"/>
    <w:rsid w:val="00B41CD6"/>
    <w:rsid w:val="00B4316C"/>
    <w:rsid w:val="00B737DC"/>
    <w:rsid w:val="00B925B2"/>
    <w:rsid w:val="00BC5CEE"/>
    <w:rsid w:val="00BD1EA8"/>
    <w:rsid w:val="00BE46F1"/>
    <w:rsid w:val="00C35C7B"/>
    <w:rsid w:val="00CA7332"/>
    <w:rsid w:val="00CF2255"/>
    <w:rsid w:val="00CF3A44"/>
    <w:rsid w:val="00D14F01"/>
    <w:rsid w:val="00D164E0"/>
    <w:rsid w:val="00D64B67"/>
    <w:rsid w:val="00D758FD"/>
    <w:rsid w:val="00D901B9"/>
    <w:rsid w:val="00D9144E"/>
    <w:rsid w:val="00DB0EB5"/>
    <w:rsid w:val="00DC5855"/>
    <w:rsid w:val="00E054C7"/>
    <w:rsid w:val="00E1028B"/>
    <w:rsid w:val="00E12B52"/>
    <w:rsid w:val="00E41FB0"/>
    <w:rsid w:val="00E65DDE"/>
    <w:rsid w:val="00E80944"/>
    <w:rsid w:val="00E86A4B"/>
    <w:rsid w:val="00E90B91"/>
    <w:rsid w:val="00EC73E7"/>
    <w:rsid w:val="00ED743D"/>
    <w:rsid w:val="00EE244D"/>
    <w:rsid w:val="00F174B9"/>
    <w:rsid w:val="00F33B03"/>
    <w:rsid w:val="00FF03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ind w:lef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7FC0"/>
    <w:pPr>
      <w:autoSpaceDE w:val="0"/>
      <w:autoSpaceDN w:val="0"/>
      <w:adjustRightInd w:val="0"/>
      <w:spacing w:line="280" w:lineRule="atLeast"/>
      <w:ind w:left="0"/>
      <w:jc w:val="left"/>
    </w:pPr>
    <w:rPr>
      <w:rFonts w:ascii="Calibri" w:eastAsia="Calibri" w:hAnsi="Calibri" w:cs="Calibri"/>
      <w:color w:val="5A5A5A"/>
      <w:sz w:val="24"/>
      <w:szCs w:val="20"/>
      <w:lang w:val="de-DE" w:eastAsia="de-DE"/>
    </w:rPr>
  </w:style>
  <w:style w:type="paragraph" w:styleId="Heading1">
    <w:name w:val="heading 1"/>
    <w:basedOn w:val="Normal"/>
    <w:next w:val="Normal"/>
    <w:link w:val="Heading1Char"/>
    <w:uiPriority w:val="9"/>
    <w:rsid w:val="00647FC0"/>
    <w:pPr>
      <w:spacing w:after="280" w:line="240" w:lineRule="atLeast"/>
      <w:outlineLvl w:val="0"/>
    </w:pPr>
    <w:rPr>
      <w:rFonts w:cs="Calibri-Bold"/>
      <w:b/>
      <w:bCs/>
      <w:color w:val="00507F"/>
      <w:sz w:val="28"/>
      <w:szCs w:val="28"/>
    </w:rPr>
  </w:style>
  <w:style w:type="paragraph" w:styleId="Heading2">
    <w:name w:val="heading 2"/>
    <w:basedOn w:val="Normal"/>
    <w:next w:val="Normal"/>
    <w:link w:val="Heading2Char"/>
    <w:uiPriority w:val="9"/>
    <w:unhideWhenUsed/>
    <w:rsid w:val="00647FC0"/>
    <w:pPr>
      <w:numPr>
        <w:numId w:val="6"/>
      </w:numPr>
      <w:spacing w:before="280" w:after="80" w:line="240" w:lineRule="atLeast"/>
      <w:outlineLvl w:val="1"/>
    </w:pPr>
    <w:rPr>
      <w:rFonts w:asciiTheme="minorHAnsi" w:hAnsiTheme="minorHAnsi" w:cs="Calibri-Bold"/>
      <w:b/>
      <w:bCs/>
      <w:color w:val="00507F"/>
      <w:szCs w:val="24"/>
    </w:rPr>
  </w:style>
  <w:style w:type="paragraph" w:styleId="Heading3">
    <w:name w:val="heading 3"/>
    <w:basedOn w:val="Normal"/>
    <w:next w:val="Normal"/>
    <w:link w:val="Heading3Char"/>
    <w:uiPriority w:val="9"/>
    <w:unhideWhenUsed/>
    <w:qFormat/>
    <w:rsid w:val="00647FC0"/>
    <w:pPr>
      <w:spacing w:before="280" w:after="80" w:line="240" w:lineRule="atLeast"/>
      <w:outlineLvl w:val="2"/>
    </w:pPr>
    <w:rPr>
      <w:rFonts w:asciiTheme="minorHAnsi" w:hAnsiTheme="minorHAnsi" w:cs="Calibri-Bold"/>
      <w:b/>
      <w:bCs/>
      <w:color w:val="00507F"/>
      <w:szCs w:val="24"/>
    </w:rPr>
  </w:style>
  <w:style w:type="paragraph" w:styleId="Heading4">
    <w:name w:val="heading 4"/>
    <w:basedOn w:val="Normal"/>
    <w:next w:val="Normal"/>
    <w:link w:val="Heading4Char"/>
    <w:uiPriority w:val="9"/>
    <w:unhideWhenUsed/>
    <w:qFormat/>
    <w:rsid w:val="00647FC0"/>
    <w:pPr>
      <w:spacing w:before="280" w:after="80" w:line="240" w:lineRule="atLeast"/>
      <w:outlineLvl w:val="3"/>
    </w:pPr>
    <w:rPr>
      <w:rFonts w:asciiTheme="minorHAnsi" w:hAnsiTheme="minorHAnsi" w:cs="Calibri-Bold"/>
      <w:b/>
      <w:bCs/>
      <w:szCs w:val="24"/>
    </w:rPr>
  </w:style>
  <w:style w:type="paragraph" w:styleId="Heading5">
    <w:name w:val="heading 5"/>
    <w:basedOn w:val="Normal"/>
    <w:next w:val="Normal"/>
    <w:link w:val="Heading5Char"/>
    <w:uiPriority w:val="9"/>
    <w:semiHidden/>
    <w:unhideWhenUsed/>
    <w:qFormat/>
    <w:rsid w:val="00647FC0"/>
    <w:pPr>
      <w:keepNext/>
      <w:keepLines/>
      <w:spacing w:before="2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FC0"/>
    <w:rPr>
      <w:rFonts w:ascii="Calibri" w:eastAsia="Calibri" w:hAnsi="Calibri" w:cs="Calibri-Bold"/>
      <w:b/>
      <w:bCs/>
      <w:color w:val="00507F"/>
      <w:sz w:val="28"/>
      <w:szCs w:val="28"/>
      <w:lang w:val="de-DE" w:eastAsia="de-DE"/>
    </w:rPr>
  </w:style>
  <w:style w:type="character" w:customStyle="1" w:styleId="Heading2Char">
    <w:name w:val="Heading 2 Char"/>
    <w:basedOn w:val="DefaultParagraphFont"/>
    <w:link w:val="Heading2"/>
    <w:uiPriority w:val="9"/>
    <w:rsid w:val="00647FC0"/>
    <w:rPr>
      <w:rFonts w:eastAsia="Calibri" w:cs="Calibri-Bold"/>
      <w:b/>
      <w:bCs/>
      <w:color w:val="00507F"/>
      <w:sz w:val="24"/>
      <w:szCs w:val="24"/>
      <w:lang w:val="de-DE" w:eastAsia="de-DE"/>
    </w:rPr>
  </w:style>
  <w:style w:type="character" w:customStyle="1" w:styleId="Heading3Char">
    <w:name w:val="Heading 3 Char"/>
    <w:basedOn w:val="DefaultParagraphFont"/>
    <w:link w:val="Heading3"/>
    <w:uiPriority w:val="9"/>
    <w:rsid w:val="00647FC0"/>
    <w:rPr>
      <w:rFonts w:eastAsia="Calibri" w:cs="Calibri-Bold"/>
      <w:b/>
      <w:bCs/>
      <w:color w:val="00507F"/>
      <w:sz w:val="24"/>
      <w:szCs w:val="24"/>
      <w:lang w:val="de-DE" w:eastAsia="de-DE"/>
    </w:rPr>
  </w:style>
  <w:style w:type="character" w:customStyle="1" w:styleId="Heading4Char">
    <w:name w:val="Heading 4 Char"/>
    <w:basedOn w:val="DefaultParagraphFont"/>
    <w:link w:val="Heading4"/>
    <w:uiPriority w:val="9"/>
    <w:rsid w:val="00647FC0"/>
    <w:rPr>
      <w:rFonts w:eastAsia="Calibri" w:cs="Calibri-Bold"/>
      <w:b/>
      <w:bCs/>
      <w:color w:val="5A5A5A"/>
      <w:sz w:val="24"/>
      <w:szCs w:val="24"/>
      <w:lang w:val="de-DE" w:eastAsia="de-DE"/>
    </w:rPr>
  </w:style>
  <w:style w:type="character" w:customStyle="1" w:styleId="Heading5Char">
    <w:name w:val="Heading 5 Char"/>
    <w:basedOn w:val="DefaultParagraphFont"/>
    <w:link w:val="Heading5"/>
    <w:uiPriority w:val="9"/>
    <w:semiHidden/>
    <w:rsid w:val="00647FC0"/>
    <w:rPr>
      <w:rFonts w:asciiTheme="majorHAnsi" w:eastAsiaTheme="majorEastAsia" w:hAnsiTheme="majorHAnsi" w:cstheme="majorBidi"/>
      <w:color w:val="5A5A5A"/>
      <w:sz w:val="24"/>
      <w:szCs w:val="20"/>
      <w:lang w:val="de-DE" w:eastAsia="de-DE"/>
    </w:rPr>
  </w:style>
  <w:style w:type="paragraph" w:styleId="BalloonText">
    <w:name w:val="Balloon Text"/>
    <w:basedOn w:val="Normal"/>
    <w:link w:val="BalloonTextChar"/>
    <w:uiPriority w:val="99"/>
    <w:semiHidden/>
    <w:unhideWhenUsed/>
    <w:rsid w:val="00647FC0"/>
    <w:rPr>
      <w:rFonts w:ascii="Tahoma" w:hAnsi="Tahoma" w:cs="Tahoma"/>
      <w:sz w:val="16"/>
      <w:szCs w:val="16"/>
    </w:rPr>
  </w:style>
  <w:style w:type="character" w:customStyle="1" w:styleId="BalloonTextChar">
    <w:name w:val="Balloon Text Char"/>
    <w:basedOn w:val="DefaultParagraphFont"/>
    <w:link w:val="BalloonText"/>
    <w:uiPriority w:val="99"/>
    <w:semiHidden/>
    <w:rsid w:val="00647FC0"/>
    <w:rPr>
      <w:rFonts w:ascii="Tahoma" w:eastAsia="Calibri" w:hAnsi="Tahoma" w:cs="Tahoma"/>
      <w:color w:val="5A5A5A"/>
      <w:sz w:val="16"/>
      <w:szCs w:val="16"/>
      <w:lang w:val="de-DE" w:eastAsia="de-DE"/>
    </w:rPr>
  </w:style>
  <w:style w:type="paragraph" w:styleId="Header">
    <w:name w:val="header"/>
    <w:basedOn w:val="Normal"/>
    <w:link w:val="HeaderChar"/>
    <w:uiPriority w:val="99"/>
    <w:unhideWhenUsed/>
    <w:rsid w:val="00647FC0"/>
    <w:rPr>
      <w:sz w:val="21"/>
      <w:szCs w:val="21"/>
    </w:rPr>
  </w:style>
  <w:style w:type="character" w:customStyle="1" w:styleId="HeaderChar">
    <w:name w:val="Header Char"/>
    <w:basedOn w:val="DefaultParagraphFont"/>
    <w:link w:val="Header"/>
    <w:uiPriority w:val="99"/>
    <w:rsid w:val="00647FC0"/>
    <w:rPr>
      <w:rFonts w:ascii="Calibri" w:eastAsia="Calibri" w:hAnsi="Calibri" w:cs="Calibri"/>
      <w:color w:val="5A5A5A"/>
      <w:sz w:val="21"/>
      <w:szCs w:val="21"/>
      <w:lang w:val="de-DE" w:eastAsia="de-DE"/>
    </w:rPr>
  </w:style>
  <w:style w:type="paragraph" w:styleId="Footer">
    <w:name w:val="footer"/>
    <w:basedOn w:val="Normal"/>
    <w:link w:val="FooterChar"/>
    <w:uiPriority w:val="99"/>
    <w:unhideWhenUsed/>
    <w:rsid w:val="00647FC0"/>
  </w:style>
  <w:style w:type="character" w:customStyle="1" w:styleId="FooterChar">
    <w:name w:val="Footer Char"/>
    <w:basedOn w:val="DefaultParagraphFont"/>
    <w:link w:val="Footer"/>
    <w:uiPriority w:val="99"/>
    <w:rsid w:val="00647FC0"/>
    <w:rPr>
      <w:rFonts w:ascii="Calibri" w:eastAsia="Calibri" w:hAnsi="Calibri" w:cs="Calibri"/>
      <w:color w:val="5A5A5A"/>
      <w:sz w:val="24"/>
      <w:szCs w:val="20"/>
      <w:lang w:val="de-DE" w:eastAsia="de-DE"/>
    </w:rPr>
  </w:style>
  <w:style w:type="character" w:styleId="Hyperlink">
    <w:name w:val="Hyperlink"/>
    <w:uiPriority w:val="99"/>
    <w:unhideWhenUsed/>
    <w:rsid w:val="00647FC0"/>
    <w:rPr>
      <w:color w:val="00507F"/>
      <w:u w:val="single"/>
    </w:rPr>
  </w:style>
  <w:style w:type="character" w:styleId="Strong">
    <w:name w:val="Strong"/>
    <w:uiPriority w:val="22"/>
    <w:rsid w:val="00647FC0"/>
    <w:rPr>
      <w:rFonts w:asciiTheme="minorHAnsi" w:hAnsiTheme="minorHAnsi"/>
      <w:b/>
      <w:sz w:val="24"/>
    </w:rPr>
  </w:style>
  <w:style w:type="paragraph" w:styleId="Title">
    <w:name w:val="Title"/>
    <w:basedOn w:val="Normal"/>
    <w:next w:val="Normal"/>
    <w:link w:val="TitleChar"/>
    <w:uiPriority w:val="10"/>
    <w:rsid w:val="00647FC0"/>
    <w:pPr>
      <w:spacing w:before="80" w:after="80" w:line="240" w:lineRule="atLeast"/>
      <w:contextualSpacing/>
      <w:jc w:val="center"/>
    </w:pPr>
    <w:rPr>
      <w:rFonts w:asciiTheme="minorHAnsi" w:hAnsiTheme="minorHAnsi" w:cs="Calibri-Bold"/>
      <w:b/>
      <w:bCs/>
      <w:color w:val="C0504D" w:themeColor="accent2"/>
      <w:sz w:val="40"/>
      <w:szCs w:val="40"/>
      <w:lang w:val="en-IE"/>
    </w:rPr>
  </w:style>
  <w:style w:type="character" w:customStyle="1" w:styleId="TitleChar">
    <w:name w:val="Title Char"/>
    <w:basedOn w:val="DefaultParagraphFont"/>
    <w:link w:val="Title"/>
    <w:uiPriority w:val="10"/>
    <w:rsid w:val="00647FC0"/>
    <w:rPr>
      <w:rFonts w:eastAsia="Calibri" w:cs="Calibri-Bold"/>
      <w:b/>
      <w:bCs/>
      <w:color w:val="C0504D" w:themeColor="accent2"/>
      <w:sz w:val="40"/>
      <w:szCs w:val="40"/>
      <w:lang w:val="en-IE" w:eastAsia="de-DE"/>
    </w:rPr>
  </w:style>
  <w:style w:type="paragraph" w:styleId="Subtitle">
    <w:name w:val="Subtitle"/>
    <w:basedOn w:val="Normal"/>
    <w:next w:val="Normal"/>
    <w:link w:val="SubtitleChar"/>
    <w:uiPriority w:val="11"/>
    <w:rsid w:val="00647FC0"/>
    <w:pPr>
      <w:spacing w:before="80" w:after="80" w:line="240" w:lineRule="atLeast"/>
      <w:contextualSpacing/>
      <w:jc w:val="center"/>
    </w:pPr>
    <w:rPr>
      <w:rFonts w:asciiTheme="minorHAnsi" w:hAnsiTheme="minorHAnsi" w:cs="Calibri-Bold"/>
      <w:b/>
      <w:bCs/>
      <w:color w:val="00507F"/>
      <w:szCs w:val="24"/>
      <w:lang w:val="en-IE"/>
    </w:rPr>
  </w:style>
  <w:style w:type="character" w:customStyle="1" w:styleId="SubtitleChar">
    <w:name w:val="Subtitle Char"/>
    <w:basedOn w:val="DefaultParagraphFont"/>
    <w:link w:val="Subtitle"/>
    <w:uiPriority w:val="11"/>
    <w:rsid w:val="00647FC0"/>
    <w:rPr>
      <w:rFonts w:eastAsia="Calibri" w:cs="Calibri-Bold"/>
      <w:b/>
      <w:bCs/>
      <w:color w:val="00507F"/>
      <w:sz w:val="24"/>
      <w:szCs w:val="24"/>
      <w:lang w:val="en-IE" w:eastAsia="de-DE"/>
    </w:rPr>
  </w:style>
  <w:style w:type="paragraph" w:customStyle="1" w:styleId="Listnumbered">
    <w:name w:val="List numbered"/>
    <w:basedOn w:val="Listbulletpoints"/>
    <w:rsid w:val="00647FC0"/>
    <w:pPr>
      <w:numPr>
        <w:numId w:val="2"/>
      </w:numPr>
      <w:ind w:left="714" w:hanging="357"/>
    </w:pPr>
  </w:style>
  <w:style w:type="table" w:styleId="TableGrid">
    <w:name w:val="Table Grid"/>
    <w:basedOn w:val="TableNormal"/>
    <w:uiPriority w:val="39"/>
    <w:rsid w:val="00647FC0"/>
    <w:pPr>
      <w:ind w:left="0"/>
      <w:jc w:val="left"/>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47FC0"/>
    <w:pPr>
      <w:ind w:left="0"/>
      <w:jc w:val="left"/>
    </w:pPr>
    <w:rPr>
      <w:rFonts w:ascii="Calibri" w:eastAsia="Calibri" w:hAnsi="Calibri" w:cs="Times New Roman"/>
      <w:color w:val="943634" w:themeColor="accent2" w:themeShade="BF"/>
      <w:sz w:val="20"/>
      <w:szCs w:val="20"/>
      <w:lang w:val="de-DE"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2">
    <w:name w:val="Medium Grid 2"/>
    <w:basedOn w:val="TableNormal"/>
    <w:uiPriority w:val="68"/>
    <w:rsid w:val="00647FC0"/>
    <w:pPr>
      <w:ind w:left="0"/>
      <w:jc w:val="left"/>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1">
    <w:name w:val="Medium List 1"/>
    <w:basedOn w:val="TableNormal"/>
    <w:uiPriority w:val="65"/>
    <w:rsid w:val="00647FC0"/>
    <w:pPr>
      <w:ind w:left="0"/>
      <w:jc w:val="left"/>
    </w:pPr>
    <w:rPr>
      <w:rFonts w:ascii="Calibri" w:eastAsia="Calibri" w:hAnsi="Calibri" w:cs="Times New Roman"/>
      <w:color w:val="000000" w:themeColor="text1"/>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647FC0"/>
    <w:pPr>
      <w:ind w:left="0"/>
      <w:jc w:val="left"/>
    </w:pPr>
    <w:rPr>
      <w:rFonts w:ascii="Calibri" w:eastAsia="Calibri" w:hAnsi="Calibri" w:cs="Times New Roman"/>
      <w:color w:val="000000" w:themeColor="text1" w:themeShade="BF"/>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647FC0"/>
    <w:pPr>
      <w:ind w:left="0"/>
      <w:jc w:val="left"/>
    </w:pPr>
    <w:rPr>
      <w:rFonts w:ascii="Calibri" w:eastAsia="Calibri" w:hAnsi="Calibri" w:cs="Times New Roman"/>
      <w:sz w:val="20"/>
      <w:szCs w:val="20"/>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
    <w:name w:val="Light Grid"/>
    <w:aliases w:val="BSR Table"/>
    <w:basedOn w:val="TableNormal"/>
    <w:uiPriority w:val="62"/>
    <w:rsid w:val="00647FC0"/>
    <w:pPr>
      <w:spacing w:before="40" w:after="40"/>
      <w:ind w:left="0"/>
      <w:jc w:val="left"/>
    </w:pPr>
    <w:rPr>
      <w:rFonts w:ascii="Calibri" w:eastAsia="Calibri" w:hAnsi="Calibri" w:cs="Times New Roman"/>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vAlign w:val="center"/>
    </w:tcPr>
    <w:tblStylePr w:type="firstRow">
      <w:pPr>
        <w:wordWrap/>
        <w:spacing w:beforeLines="0" w:beforeAutospacing="0" w:afterLines="0" w:afterAutospacing="0" w:line="240" w:lineRule="auto"/>
        <w:contextualSpacing w:val="0"/>
      </w:pPr>
      <w:rPr>
        <w:rFonts w:ascii="Calibri" w:eastAsiaTheme="majorEastAsia" w:hAnsi="Calibri" w:cstheme="majorBidi"/>
        <w:b/>
        <w:bCs/>
        <w:sz w:val="20"/>
      </w:rPr>
      <w:tblPr/>
      <w:tcPr>
        <w:shd w:val="clear" w:color="auto" w:fill="FFFFFF" w:themeFill="background1"/>
      </w:tcPr>
    </w:tblStylePr>
    <w:tblStylePr w:type="lastRow">
      <w:pPr>
        <w:spacing w:before="0" w:after="0" w:line="240" w:lineRule="auto"/>
      </w:pPr>
      <w:rPr>
        <w:rFonts w:ascii="Calibri" w:eastAsiaTheme="majorEastAsia" w:hAnsi="Calibri" w:cstheme="majorBidi"/>
        <w:b w:val="0"/>
        <w:bCs/>
        <w:sz w:val="20"/>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libri" w:eastAsiaTheme="majorEastAsia" w:hAnsi="Calibri" w:cstheme="majorBidi"/>
        <w:b w:val="0"/>
        <w:bCs/>
        <w:sz w:val="20"/>
      </w:rPr>
    </w:tblStylePr>
    <w:tblStylePr w:type="lastCol">
      <w:rPr>
        <w:rFonts w:ascii="Calibri" w:eastAsiaTheme="majorEastAsia" w:hAnsi="Calibri" w:cstheme="majorBidi"/>
        <w:b w:val="0"/>
        <w:bCs/>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ascii="Calibri" w:hAnsi="Calibri"/>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2Vert">
      <w:rPr>
        <w:rFonts w:ascii="Calibri" w:hAnsi="Calibri"/>
        <w:sz w:val="20"/>
      </w:rPr>
    </w:tblStylePr>
    <w:tblStylePr w:type="band1Horz">
      <w:rPr>
        <w:rFonts w:ascii="Calibri" w:hAnsi="Calibri"/>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ascii="Calibri" w:hAnsi="Calibri"/>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tblStylePr w:type="neCell">
      <w:rPr>
        <w:rFonts w:ascii="Calibri" w:hAnsi="Calibri"/>
        <w:sz w:val="20"/>
      </w:rPr>
    </w:tblStylePr>
    <w:tblStylePr w:type="nwCell">
      <w:rPr>
        <w:rFonts w:ascii="Calibri" w:hAnsi="Calibri"/>
        <w:sz w:val="20"/>
      </w:rPr>
    </w:tblStylePr>
    <w:tblStylePr w:type="seCell">
      <w:rPr>
        <w:rFonts w:ascii="Calibri" w:hAnsi="Calibri"/>
        <w:sz w:val="20"/>
      </w:rPr>
      <w:tblPr/>
      <w:tcPr>
        <w:vAlign w:val="center"/>
      </w:tcPr>
    </w:tblStylePr>
    <w:tblStylePr w:type="swCell">
      <w:rPr>
        <w:rFonts w:ascii="Calibri" w:hAnsi="Calibri"/>
        <w:sz w:val="20"/>
      </w:rPr>
    </w:tblStylePr>
  </w:style>
  <w:style w:type="table" w:styleId="LightList">
    <w:name w:val="Light List"/>
    <w:basedOn w:val="TableNormal"/>
    <w:uiPriority w:val="61"/>
    <w:rsid w:val="00647FC0"/>
    <w:pPr>
      <w:ind w:left="0"/>
      <w:jc w:val="left"/>
    </w:pPr>
    <w:rPr>
      <w:rFonts w:ascii="Calibri" w:eastAsia="Calibri" w:hAnsi="Calibri"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6">
    <w:name w:val="Colorful Grid Accent 6"/>
    <w:basedOn w:val="TableNormal"/>
    <w:uiPriority w:val="73"/>
    <w:rsid w:val="00647FC0"/>
    <w:pPr>
      <w:ind w:left="0"/>
      <w:jc w:val="left"/>
    </w:pPr>
    <w:rPr>
      <w:rFonts w:ascii="Calibri" w:eastAsia="Calibri" w:hAnsi="Calibri"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Listbulletpoints">
    <w:name w:val="List bullet points"/>
    <w:basedOn w:val="Normal"/>
    <w:link w:val="ListbulletpointsChar"/>
    <w:qFormat/>
    <w:rsid w:val="00647FC0"/>
    <w:pPr>
      <w:numPr>
        <w:numId w:val="1"/>
      </w:numPr>
      <w:spacing w:before="120" w:after="120"/>
      <w:ind w:left="714" w:hanging="357"/>
      <w:contextualSpacing/>
    </w:pPr>
  </w:style>
  <w:style w:type="character" w:customStyle="1" w:styleId="ListbulletpointsChar">
    <w:name w:val="List bullet points Char"/>
    <w:basedOn w:val="DefaultParagraphFont"/>
    <w:link w:val="Listbulletpoints"/>
    <w:rsid w:val="00647FC0"/>
    <w:rPr>
      <w:rFonts w:ascii="Calibri" w:eastAsia="Calibri" w:hAnsi="Calibri" w:cs="Calibri"/>
      <w:color w:val="5A5A5A"/>
      <w:sz w:val="24"/>
      <w:szCs w:val="20"/>
      <w:lang w:val="de-DE" w:eastAsia="de-DE"/>
    </w:rPr>
  </w:style>
  <w:style w:type="paragraph" w:customStyle="1" w:styleId="Titleadditionalinfo">
    <w:name w:val="Title additional info"/>
    <w:basedOn w:val="Normal"/>
    <w:rsid w:val="00647FC0"/>
    <w:pPr>
      <w:spacing w:before="80" w:after="80" w:line="240" w:lineRule="atLeast"/>
      <w:contextualSpacing/>
      <w:jc w:val="center"/>
    </w:pPr>
    <w:rPr>
      <w:rFonts w:asciiTheme="minorHAnsi" w:hAnsiTheme="minorHAnsi" w:cs="Calibri-Bold"/>
      <w:b/>
      <w:bCs/>
      <w:i/>
      <w:szCs w:val="24"/>
      <w:lang w:val="en-IE"/>
    </w:rPr>
  </w:style>
  <w:style w:type="paragraph" w:customStyle="1" w:styleId="Listnumbered-widespace">
    <w:name w:val="List numbered - wide space"/>
    <w:basedOn w:val="Listnumbered"/>
    <w:rsid w:val="00647FC0"/>
    <w:pPr>
      <w:contextualSpacing w:val="0"/>
    </w:pPr>
    <w:rPr>
      <w:b/>
    </w:rPr>
  </w:style>
  <w:style w:type="paragraph" w:styleId="ListParagraph">
    <w:name w:val="List Paragraph"/>
    <w:basedOn w:val="Normal"/>
    <w:uiPriority w:val="34"/>
    <w:qFormat/>
    <w:rsid w:val="00647FC0"/>
    <w:pPr>
      <w:autoSpaceDE/>
      <w:autoSpaceDN/>
      <w:adjustRightInd/>
      <w:spacing w:line="240" w:lineRule="auto"/>
      <w:ind w:left="720"/>
    </w:pPr>
    <w:rPr>
      <w:rFonts w:ascii="Times New Roman" w:eastAsia="PMingLiU" w:hAnsi="Times New Roman" w:cs="Times New Roman"/>
      <w:color w:val="auto"/>
      <w:szCs w:val="24"/>
      <w:lang w:val="en-GB" w:eastAsia="en-US"/>
    </w:rPr>
  </w:style>
  <w:style w:type="paragraph" w:customStyle="1" w:styleId="Tableleadcolumnrow">
    <w:name w:val="Table lead column/row"/>
    <w:basedOn w:val="Normal"/>
    <w:qFormat/>
    <w:rsid w:val="00647FC0"/>
    <w:pPr>
      <w:autoSpaceDE/>
      <w:autoSpaceDN/>
      <w:adjustRightInd/>
      <w:spacing w:before="60" w:after="60" w:line="240" w:lineRule="auto"/>
      <w:ind w:left="1"/>
    </w:pPr>
    <w:rPr>
      <w:rFonts w:asciiTheme="minorHAnsi" w:eastAsiaTheme="minorEastAsia" w:hAnsiTheme="minorHAnsi" w:cs="Times New Roman"/>
      <w:b/>
      <w:bCs/>
      <w:color w:val="FFFFFF" w:themeColor="background1"/>
      <w:sz w:val="21"/>
      <w:szCs w:val="21"/>
      <w:lang w:val="en-GB" w:eastAsia="zh-CN"/>
    </w:rPr>
  </w:style>
  <w:style w:type="paragraph" w:customStyle="1" w:styleId="Tabletext">
    <w:name w:val="Table text"/>
    <w:basedOn w:val="Normal"/>
    <w:qFormat/>
    <w:rsid w:val="00647FC0"/>
    <w:pPr>
      <w:autoSpaceDE/>
      <w:autoSpaceDN/>
      <w:adjustRightInd/>
      <w:spacing w:before="60" w:after="60" w:line="240" w:lineRule="auto"/>
      <w:ind w:left="1" w:right="-86"/>
    </w:pPr>
    <w:rPr>
      <w:rFonts w:asciiTheme="minorHAnsi" w:eastAsiaTheme="minorEastAsia" w:hAnsiTheme="minorHAnsi" w:cs="Times New Roman"/>
      <w:color w:val="00507F"/>
      <w:sz w:val="21"/>
      <w:lang w:val="en-GB" w:eastAsia="zh-CN"/>
    </w:rPr>
  </w:style>
  <w:style w:type="paragraph" w:customStyle="1" w:styleId="Tableandimagecaption">
    <w:name w:val="Table and image caption"/>
    <w:basedOn w:val="Tabletext"/>
    <w:qFormat/>
    <w:rsid w:val="00647FC0"/>
    <w:pPr>
      <w:ind w:left="0"/>
    </w:pPr>
    <w:rPr>
      <w:i/>
      <w:iCs/>
    </w:rPr>
  </w:style>
  <w:style w:type="paragraph" w:styleId="FootnoteText">
    <w:name w:val="footnote text"/>
    <w:aliases w:val="Fußnote"/>
    <w:basedOn w:val="Normal"/>
    <w:link w:val="FootnoteTextChar"/>
    <w:rsid w:val="00647FC0"/>
    <w:pPr>
      <w:autoSpaceDE/>
      <w:autoSpaceDN/>
      <w:adjustRightInd/>
      <w:spacing w:line="240" w:lineRule="auto"/>
    </w:pPr>
    <w:rPr>
      <w:rFonts w:ascii="Times New Roman" w:eastAsia="Times New Roman" w:hAnsi="Times New Roman" w:cs="Times New Roman"/>
      <w:color w:val="auto"/>
      <w:sz w:val="20"/>
      <w:lang w:val="en-GB" w:eastAsia="en-GB"/>
    </w:rPr>
  </w:style>
  <w:style w:type="character" w:customStyle="1" w:styleId="FootnoteTextChar">
    <w:name w:val="Footnote Text Char"/>
    <w:aliases w:val="Fußnote Char"/>
    <w:basedOn w:val="DefaultParagraphFont"/>
    <w:link w:val="FootnoteText"/>
    <w:rsid w:val="00647FC0"/>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647FC0"/>
    <w:rPr>
      <w:vertAlign w:val="superscript"/>
    </w:rPr>
  </w:style>
  <w:style w:type="character" w:styleId="CommentReference">
    <w:name w:val="annotation reference"/>
    <w:basedOn w:val="DefaultParagraphFont"/>
    <w:uiPriority w:val="99"/>
    <w:rsid w:val="00647FC0"/>
    <w:rPr>
      <w:sz w:val="16"/>
      <w:szCs w:val="16"/>
    </w:rPr>
  </w:style>
  <w:style w:type="paragraph" w:styleId="CommentText">
    <w:name w:val="annotation text"/>
    <w:basedOn w:val="Normal"/>
    <w:link w:val="CommentTextChar"/>
    <w:uiPriority w:val="99"/>
    <w:rsid w:val="00647FC0"/>
    <w:pPr>
      <w:autoSpaceDE/>
      <w:autoSpaceDN/>
      <w:adjustRightInd/>
      <w:spacing w:line="240" w:lineRule="auto"/>
    </w:pPr>
    <w:rPr>
      <w:rFonts w:ascii="Times New Roman" w:eastAsia="Times New Roman" w:hAnsi="Times New Roman" w:cs="Times New Roman"/>
      <w:color w:val="auto"/>
      <w:sz w:val="20"/>
      <w:lang w:val="en-GB" w:eastAsia="en-GB"/>
    </w:rPr>
  </w:style>
  <w:style w:type="character" w:customStyle="1" w:styleId="CommentTextChar">
    <w:name w:val="Comment Text Char"/>
    <w:basedOn w:val="DefaultParagraphFont"/>
    <w:link w:val="CommentText"/>
    <w:uiPriority w:val="99"/>
    <w:rsid w:val="00647FC0"/>
    <w:rPr>
      <w:rFonts w:ascii="Times New Roman" w:eastAsia="Times New Roman" w:hAnsi="Times New Roman" w:cs="Times New Roman"/>
      <w:sz w:val="20"/>
      <w:szCs w:val="20"/>
      <w:lang w:val="en-GB" w:eastAsia="en-GB"/>
    </w:rPr>
  </w:style>
  <w:style w:type="paragraph" w:styleId="BodyText">
    <w:name w:val="Body Text"/>
    <w:aliases w:val="b,Standard paragraph"/>
    <w:basedOn w:val="Normal"/>
    <w:link w:val="BodyTextChar"/>
    <w:rsid w:val="00647FC0"/>
    <w:pPr>
      <w:autoSpaceDE/>
      <w:autoSpaceDN/>
      <w:adjustRightInd/>
      <w:spacing w:line="240" w:lineRule="auto"/>
      <w:jc w:val="both"/>
    </w:pPr>
    <w:rPr>
      <w:rFonts w:ascii="Times New Roman" w:eastAsia="Times New Roman" w:hAnsi="Times New Roman" w:cs="Times New Roman"/>
      <w:color w:val="auto"/>
      <w:lang w:val="en-GB" w:eastAsia="en-US"/>
    </w:rPr>
  </w:style>
  <w:style w:type="character" w:customStyle="1" w:styleId="BodyTextChar">
    <w:name w:val="Body Text Char"/>
    <w:aliases w:val="b Char,Standard paragraph Char"/>
    <w:basedOn w:val="DefaultParagraphFont"/>
    <w:link w:val="BodyText"/>
    <w:rsid w:val="00647FC0"/>
    <w:rPr>
      <w:rFonts w:ascii="Times New Roman" w:eastAsia="Times New Roman" w:hAnsi="Times New Roman" w:cs="Times New Roman"/>
      <w:sz w:val="24"/>
      <w:szCs w:val="20"/>
      <w:lang w:val="en-GB"/>
    </w:rPr>
  </w:style>
  <w:style w:type="paragraph" w:styleId="CommentSubject">
    <w:name w:val="annotation subject"/>
    <w:basedOn w:val="CommentText"/>
    <w:next w:val="CommentText"/>
    <w:link w:val="CommentSubjectChar"/>
    <w:uiPriority w:val="99"/>
    <w:semiHidden/>
    <w:unhideWhenUsed/>
    <w:rsid w:val="00647FC0"/>
    <w:pPr>
      <w:autoSpaceDE w:val="0"/>
      <w:autoSpaceDN w:val="0"/>
      <w:adjustRightInd w:val="0"/>
    </w:pPr>
    <w:rPr>
      <w:rFonts w:ascii="Calibri" w:eastAsia="Calibri" w:hAnsi="Calibri" w:cs="Calibri"/>
      <w:b/>
      <w:bCs/>
      <w:color w:val="5A5A5A"/>
      <w:lang w:val="de-DE" w:eastAsia="de-DE"/>
    </w:rPr>
  </w:style>
  <w:style w:type="character" w:customStyle="1" w:styleId="CommentSubjectChar">
    <w:name w:val="Comment Subject Char"/>
    <w:basedOn w:val="CommentTextChar"/>
    <w:link w:val="CommentSubject"/>
    <w:uiPriority w:val="99"/>
    <w:semiHidden/>
    <w:rsid w:val="00647FC0"/>
    <w:rPr>
      <w:rFonts w:ascii="Calibri" w:eastAsia="Calibri" w:hAnsi="Calibri" w:cs="Calibri"/>
      <w:b/>
      <w:bCs/>
      <w:color w:val="5A5A5A"/>
      <w:sz w:val="20"/>
      <w:szCs w:val="20"/>
      <w:lang w:val="de-DE" w:eastAsia="de-DE"/>
    </w:rPr>
  </w:style>
  <w:style w:type="paragraph" w:styleId="Revision">
    <w:name w:val="Revision"/>
    <w:hidden/>
    <w:uiPriority w:val="99"/>
    <w:semiHidden/>
    <w:rsid w:val="00647FC0"/>
    <w:pPr>
      <w:ind w:left="0"/>
      <w:jc w:val="left"/>
    </w:pPr>
    <w:rPr>
      <w:rFonts w:ascii="Calibri" w:eastAsia="Calibri" w:hAnsi="Calibri" w:cs="Calibri"/>
      <w:color w:val="5A5A5A"/>
      <w:sz w:val="24"/>
      <w:szCs w:val="20"/>
      <w:lang w:val="de-DE" w:eastAsia="de-DE"/>
    </w:rPr>
  </w:style>
  <w:style w:type="paragraph" w:styleId="EndnoteText">
    <w:name w:val="endnote text"/>
    <w:basedOn w:val="Normal"/>
    <w:link w:val="EndnoteTextChar"/>
    <w:uiPriority w:val="99"/>
    <w:semiHidden/>
    <w:unhideWhenUsed/>
    <w:rsid w:val="00647FC0"/>
    <w:pPr>
      <w:spacing w:line="240" w:lineRule="auto"/>
    </w:pPr>
    <w:rPr>
      <w:sz w:val="20"/>
    </w:rPr>
  </w:style>
  <w:style w:type="character" w:customStyle="1" w:styleId="EndnoteTextChar">
    <w:name w:val="Endnote Text Char"/>
    <w:basedOn w:val="DefaultParagraphFont"/>
    <w:link w:val="EndnoteText"/>
    <w:uiPriority w:val="99"/>
    <w:semiHidden/>
    <w:rsid w:val="00647FC0"/>
    <w:rPr>
      <w:rFonts w:ascii="Calibri" w:eastAsia="Calibri" w:hAnsi="Calibri" w:cs="Calibri"/>
      <w:color w:val="5A5A5A"/>
      <w:sz w:val="20"/>
      <w:szCs w:val="20"/>
      <w:lang w:val="de-DE" w:eastAsia="de-DE"/>
    </w:rPr>
  </w:style>
  <w:style w:type="character" w:styleId="EndnoteReference">
    <w:name w:val="endnote reference"/>
    <w:basedOn w:val="DefaultParagraphFont"/>
    <w:uiPriority w:val="99"/>
    <w:semiHidden/>
    <w:unhideWhenUsed/>
    <w:rsid w:val="00647F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ilga.gruseva@varam.gov.lv"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89145-A11B-4583-B6EC-39EAF467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28183</Words>
  <Characters>16065</Characters>
  <Application>Microsoft Office Word</Application>
  <DocSecurity>0</DocSecurity>
  <Lines>133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IlgaGruseva</dc:creator>
  <cp:lastModifiedBy>Laimdota Adlere</cp:lastModifiedBy>
  <cp:revision>4</cp:revision>
  <dcterms:created xsi:type="dcterms:W3CDTF">2015-10-09T09:18:00Z</dcterms:created>
  <dcterms:modified xsi:type="dcterms:W3CDTF">2015-10-09T09:18:00Z</dcterms:modified>
</cp:coreProperties>
</file>