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48" w:rsidRPr="005755A6" w:rsidRDefault="00D05448" w:rsidP="004A07AB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OLE_LINK1"/>
      <w:bookmarkStart w:id="1" w:name="OLE_LINK2"/>
      <w:r w:rsidRPr="005755A6">
        <w:rPr>
          <w:rFonts w:ascii="Times New Roman" w:hAnsi="Times New Roman"/>
          <w:b/>
          <w:sz w:val="24"/>
          <w:szCs w:val="28"/>
        </w:rPr>
        <w:t>Ministru kabineta noteikumu projekt</w:t>
      </w:r>
      <w:r w:rsidR="00B45C8D" w:rsidRPr="005755A6">
        <w:rPr>
          <w:rFonts w:ascii="Times New Roman" w:hAnsi="Times New Roman"/>
          <w:b/>
          <w:sz w:val="24"/>
          <w:szCs w:val="28"/>
        </w:rPr>
        <w:t>a</w:t>
      </w:r>
      <w:r w:rsidRPr="005755A6">
        <w:rPr>
          <w:rFonts w:ascii="Times New Roman" w:hAnsi="Times New Roman"/>
          <w:b/>
          <w:sz w:val="24"/>
          <w:szCs w:val="28"/>
        </w:rPr>
        <w:t xml:space="preserve"> </w:t>
      </w:r>
      <w:r w:rsidR="006C5E77" w:rsidRPr="005755A6">
        <w:rPr>
          <w:rFonts w:ascii="Times New Roman" w:hAnsi="Times New Roman"/>
          <w:b/>
          <w:sz w:val="24"/>
          <w:szCs w:val="28"/>
        </w:rPr>
        <w:t>“Grozījumi Ministru kabineta 2015.gada 3.februāra noteikumos Nr.59 „Valsts un Eiropas Savienības atbalsta piešķiršanas kārtība investīciju veicināšanai lauksaimniecībā””</w:t>
      </w:r>
      <w:r w:rsidRPr="005755A6">
        <w:rPr>
          <w:rFonts w:ascii="Times New Roman" w:hAnsi="Times New Roman"/>
          <w:b/>
          <w:sz w:val="24"/>
          <w:szCs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5755A6">
          <w:rPr>
            <w:rFonts w:ascii="Times New Roman" w:hAnsi="Times New Roman"/>
            <w:b/>
            <w:sz w:val="24"/>
            <w:szCs w:val="28"/>
          </w:rPr>
          <w:t>ziņojums</w:t>
        </w:r>
      </w:smartTag>
      <w:r w:rsidRPr="005755A6">
        <w:rPr>
          <w:rFonts w:ascii="Times New Roman" w:hAnsi="Times New Roman"/>
          <w:b/>
          <w:sz w:val="24"/>
          <w:szCs w:val="28"/>
        </w:rPr>
        <w:t xml:space="preserve"> (anotācija)</w:t>
      </w:r>
      <w:bookmarkEnd w:id="0"/>
      <w:bookmarkEnd w:id="1"/>
    </w:p>
    <w:p w:rsidR="006F5F9F" w:rsidRPr="00D25E38" w:rsidRDefault="00D05448" w:rsidP="00A02A4B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D25E38">
        <w:rPr>
          <w:rFonts w:ascii="Times New Roman" w:hAnsi="Times New Roman"/>
          <w:sz w:val="24"/>
          <w:szCs w:val="24"/>
          <w:lang w:eastAsia="lv-LV"/>
        </w:rPr>
        <w:t> </w:t>
      </w:r>
      <w:r w:rsidR="006F5F9F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842"/>
        <w:gridCol w:w="5826"/>
      </w:tblGrid>
      <w:tr w:rsidR="006F5F9F" w:rsidRPr="00DD49B6" w:rsidTr="00881935">
        <w:trPr>
          <w:trHeight w:val="419"/>
        </w:trPr>
        <w:tc>
          <w:tcPr>
            <w:tcW w:w="5000" w:type="pct"/>
            <w:gridSpan w:val="3"/>
            <w:vAlign w:val="center"/>
          </w:tcPr>
          <w:p w:rsidR="006F5F9F" w:rsidRPr="00DD49B6" w:rsidRDefault="006F5F9F" w:rsidP="005755A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I. Tiesību akta projekta izstrādes nepieciešamība</w:t>
            </w:r>
          </w:p>
        </w:tc>
      </w:tr>
      <w:tr w:rsidR="006F5F9F" w:rsidRPr="00DD49B6" w:rsidTr="00881935">
        <w:trPr>
          <w:trHeight w:val="415"/>
        </w:trPr>
        <w:tc>
          <w:tcPr>
            <w:tcW w:w="227" w:type="pct"/>
          </w:tcPr>
          <w:p w:rsidR="006F5F9F" w:rsidRPr="00DD49B6" w:rsidRDefault="006F5F9F" w:rsidP="005755A6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565" w:type="pct"/>
          </w:tcPr>
          <w:p w:rsidR="006F5F9F" w:rsidRPr="00DD49B6" w:rsidRDefault="006F5F9F" w:rsidP="005755A6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Pamatojums</w:t>
            </w:r>
          </w:p>
        </w:tc>
        <w:tc>
          <w:tcPr>
            <w:tcW w:w="3208" w:type="pct"/>
          </w:tcPr>
          <w:p w:rsidR="00EC59B6" w:rsidRPr="00EC59B6" w:rsidRDefault="006F5F9F" w:rsidP="005755A6">
            <w:pPr>
              <w:pStyle w:val="Kjene"/>
              <w:ind w:left="57" w:right="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EC59B6">
              <w:rPr>
                <w:rFonts w:ascii="Times New Roman" w:hAnsi="Times New Roman"/>
                <w:sz w:val="24"/>
                <w:szCs w:val="22"/>
              </w:rPr>
              <w:t xml:space="preserve">Ministru kabineta noteikumu projekts </w:t>
            </w:r>
            <w:r w:rsidR="002102EB" w:rsidRPr="00EC59B6">
              <w:rPr>
                <w:rFonts w:ascii="Times New Roman" w:hAnsi="Times New Roman"/>
                <w:sz w:val="24"/>
                <w:szCs w:val="22"/>
              </w:rPr>
              <w:t>„</w:t>
            </w:r>
            <w:r w:rsidR="00EC59B6" w:rsidRPr="00EC59B6">
              <w:rPr>
                <w:rFonts w:ascii="Times New Roman" w:hAnsi="Times New Roman"/>
                <w:sz w:val="24"/>
                <w:szCs w:val="22"/>
              </w:rPr>
              <w:t>Valsts un Eiropas Savienības atbalsta piešķiršanas kārtība investīciju veicināšanai lauksaimniecībā</w:t>
            </w:r>
            <w:r w:rsidR="00EC59B6">
              <w:rPr>
                <w:rFonts w:ascii="Times New Roman" w:hAnsi="Times New Roman"/>
                <w:sz w:val="24"/>
                <w:szCs w:val="22"/>
              </w:rPr>
              <w:t>”</w:t>
            </w:r>
          </w:p>
          <w:p w:rsidR="006F5F9F" w:rsidRPr="004A07AB" w:rsidRDefault="006F5F9F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C59B6">
              <w:rPr>
                <w:rFonts w:ascii="Times New Roman" w:hAnsi="Times New Roman"/>
                <w:sz w:val="24"/>
              </w:rPr>
              <w:t>(turpmāk – noteikumu projekts) ir sagatavots, pamatojoties uz Lauksaimniecības un lauku attīstības likuma 5.panta</w:t>
            </w:r>
            <w:r w:rsidR="00BD3C7E" w:rsidRPr="00EC59B6">
              <w:rPr>
                <w:rFonts w:ascii="Times New Roman" w:hAnsi="Times New Roman"/>
                <w:sz w:val="24"/>
              </w:rPr>
              <w:t xml:space="preserve"> 3</w:t>
            </w:r>
            <w:r w:rsidR="0019782C">
              <w:rPr>
                <w:rFonts w:ascii="Times New Roman" w:hAnsi="Times New Roman"/>
                <w:sz w:val="24"/>
              </w:rPr>
              <w:t>.</w:t>
            </w:r>
            <w:r w:rsidR="00BD3C7E" w:rsidRPr="00265894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="00BD3C7E" w:rsidRPr="00EC59B6">
              <w:rPr>
                <w:rFonts w:ascii="Times New Roman" w:hAnsi="Times New Roman"/>
                <w:sz w:val="24"/>
              </w:rPr>
              <w:t xml:space="preserve"> un</w:t>
            </w:r>
            <w:r w:rsidRPr="00EC59B6">
              <w:rPr>
                <w:rFonts w:ascii="Times New Roman" w:hAnsi="Times New Roman"/>
                <w:sz w:val="24"/>
              </w:rPr>
              <w:t xml:space="preserve"> ceturto daļu.</w:t>
            </w:r>
            <w:r w:rsidRPr="004A07A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662E1" w:rsidRPr="00DD49B6" w:rsidTr="00881935">
        <w:trPr>
          <w:trHeight w:val="472"/>
        </w:trPr>
        <w:tc>
          <w:tcPr>
            <w:tcW w:w="227" w:type="pct"/>
          </w:tcPr>
          <w:p w:rsidR="002662E1" w:rsidRPr="00DD49B6" w:rsidRDefault="002662E1" w:rsidP="005755A6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565" w:type="pct"/>
          </w:tcPr>
          <w:p w:rsidR="002662E1" w:rsidRPr="00DD49B6" w:rsidRDefault="002662E1" w:rsidP="005755A6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6C5E77" w:rsidRPr="00B5180C" w:rsidRDefault="006C5E77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0C">
              <w:rPr>
                <w:rFonts w:ascii="Times New Roman" w:hAnsi="Times New Roman"/>
                <w:sz w:val="24"/>
                <w:szCs w:val="24"/>
              </w:rPr>
              <w:t>Spēkā esošie Ministru kabineta 2015.gada 3.februāra noteikumi Nr.59 „Valsts un Eiropas Savienības atbalsta piešķiršanas kārtība investīciju veicināšanai lauksaimniecībā” (turpmāk – noteikumi Nr.59) nosaka kārtību, kādā piešķir valsts un Eiropas Savienības atbalstu, kā arī atbalsta piešķiršanas kritērijus un apmēru.</w:t>
            </w:r>
          </w:p>
          <w:p w:rsidR="00B5180C" w:rsidRPr="00B5180C" w:rsidRDefault="00E32757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>vēr</w:t>
            </w:r>
            <w:r>
              <w:rPr>
                <w:rFonts w:ascii="Times New Roman" w:hAnsi="Times New Roman"/>
                <w:sz w:val="24"/>
                <w:szCs w:val="24"/>
              </w:rPr>
              <w:t>ojot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 xml:space="preserve"> Lauksaimnieku Organizāciju sadarbības padomes priekšlikumu par atbalsta nepieciešamību augļkopjiem kredītprocentu daļējai dzēšanai par ilggadīgo augļkopības kultūru (izņemot zemenes) stādījumu ierīkošanu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 xml:space="preserve"> Zemkopības ministrija ir saskaņojuši šo atbalstu ar Eiropas Komisiju (Eiropas Komisijas lēmumam Nr.SA.41388 (2015/N)). Tādēļ nepieciešams </w:t>
            </w:r>
            <w:r>
              <w:rPr>
                <w:rFonts w:ascii="Times New Roman" w:hAnsi="Times New Roman"/>
                <w:sz w:val="24"/>
                <w:szCs w:val="24"/>
              </w:rPr>
              <w:t>izdarī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>t grozījumus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noteikumo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sz w:val="24"/>
                <w:szCs w:val="24"/>
              </w:rPr>
              <w:t>redzo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>t iespēju saņemt atbalstu kredītprocentu daļējai dzēšanai par ilggadīgo augļkopības kultūru (izņemot zeme</w:t>
            </w:r>
            <w:r>
              <w:rPr>
                <w:rFonts w:ascii="Times New Roman" w:hAnsi="Times New Roman"/>
                <w:sz w:val="24"/>
                <w:szCs w:val="24"/>
              </w:rPr>
              <w:t>ņu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>) stādījumu ierīkošanu</w:t>
            </w:r>
            <w:r w:rsidR="008C0D20">
              <w:rPr>
                <w:rFonts w:ascii="Times New Roman" w:hAnsi="Times New Roman"/>
                <w:sz w:val="24"/>
                <w:szCs w:val="24"/>
              </w:rPr>
              <w:t xml:space="preserve"> saskaņā ar noteikumu projekta 1.punktu.</w:t>
            </w:r>
          </w:p>
          <w:p w:rsidR="00B5180C" w:rsidRPr="00B5180C" w:rsidRDefault="008F20DD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0C">
              <w:rPr>
                <w:rFonts w:ascii="Times New Roman" w:hAnsi="Times New Roman"/>
                <w:sz w:val="24"/>
                <w:szCs w:val="24"/>
              </w:rPr>
              <w:t xml:space="preserve">Saskaņā ar Eiropas Komisijas lēmumu Nr.SA.41388 (2015/N) 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 xml:space="preserve">precizēti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 xml:space="preserve">16. un 24.punkts. </w:t>
            </w:r>
          </w:p>
          <w:p w:rsidR="00B5180C" w:rsidRPr="00B5180C" w:rsidRDefault="00F32794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0C">
              <w:rPr>
                <w:rFonts w:ascii="Times New Roman" w:hAnsi="Times New Roman"/>
                <w:sz w:val="24"/>
                <w:szCs w:val="24"/>
              </w:rPr>
              <w:t xml:space="preserve">Noteikumu 42.2.apakšpunktā </w:t>
            </w:r>
            <w:r w:rsidR="00854149">
              <w:rPr>
                <w:rFonts w:ascii="Times New Roman" w:hAnsi="Times New Roman"/>
                <w:sz w:val="24"/>
                <w:szCs w:val="24"/>
              </w:rPr>
              <w:t>izdarī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ti tehniski grozījumi.</w:t>
            </w:r>
            <w:r w:rsidR="000D5276" w:rsidRPr="00B5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C62" w:rsidRPr="00B5180C" w:rsidRDefault="000D5276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80C">
              <w:rPr>
                <w:rFonts w:ascii="Times New Roman" w:hAnsi="Times New Roman"/>
                <w:sz w:val="24"/>
                <w:szCs w:val="24"/>
              </w:rPr>
              <w:t>Svītrot</w:t>
            </w:r>
            <w:r w:rsidR="00854149">
              <w:rPr>
                <w:rFonts w:ascii="Times New Roman" w:hAnsi="Times New Roman"/>
                <w:sz w:val="24"/>
                <w:szCs w:val="24"/>
              </w:rPr>
              <w:t>s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 noteikumu 17</w:t>
            </w:r>
            <w:proofErr w:type="gramEnd"/>
            <w:r w:rsidRPr="00B5180C">
              <w:rPr>
                <w:rFonts w:ascii="Times New Roman" w:hAnsi="Times New Roman"/>
                <w:sz w:val="24"/>
                <w:szCs w:val="24"/>
              </w:rPr>
              <w:t>., 27. un 37.punkts, jo nosacījumi par maksimāl</w:t>
            </w:r>
            <w:r w:rsidR="00854149">
              <w:rPr>
                <w:rFonts w:ascii="Times New Roman" w:hAnsi="Times New Roman"/>
                <w:sz w:val="24"/>
                <w:szCs w:val="24"/>
              </w:rPr>
              <w:t>o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 atbalsta intensitāt</w:t>
            </w:r>
            <w:r w:rsidR="00854149">
              <w:rPr>
                <w:rFonts w:ascii="Times New Roman" w:hAnsi="Times New Roman"/>
                <w:sz w:val="24"/>
                <w:szCs w:val="24"/>
              </w:rPr>
              <w:t>i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 iekļauti noteikumu projekta 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>2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.,</w:t>
            </w:r>
            <w:r w:rsidR="00854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>4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. un </w:t>
            </w:r>
            <w:r w:rsidR="00B5180C" w:rsidRPr="00B5180C">
              <w:rPr>
                <w:rFonts w:ascii="Times New Roman" w:hAnsi="Times New Roman"/>
                <w:sz w:val="24"/>
                <w:szCs w:val="24"/>
              </w:rPr>
              <w:t>6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.punktā</w:t>
            </w:r>
            <w:r w:rsidR="008C0D20">
              <w:rPr>
                <w:rFonts w:ascii="Times New Roman" w:hAnsi="Times New Roman"/>
                <w:sz w:val="24"/>
                <w:szCs w:val="24"/>
              </w:rPr>
              <w:t>, ka arī atbilsto precizēti noteikumu 1., 3. un 5.pielikums.</w:t>
            </w:r>
          </w:p>
          <w:p w:rsidR="00B5180C" w:rsidRDefault="00B5180C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0C">
              <w:rPr>
                <w:rFonts w:ascii="Times New Roman" w:hAnsi="Times New Roman"/>
                <w:sz w:val="24"/>
                <w:szCs w:val="24"/>
              </w:rPr>
              <w:t xml:space="preserve">Atbilstoši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noteikumu projektā paredzētajam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ilggadīgo augļkopības kultūru (izņemot zeme</w:t>
            </w:r>
            <w:r w:rsidR="00854149">
              <w:rPr>
                <w:rFonts w:ascii="Times New Roman" w:hAnsi="Times New Roman"/>
                <w:sz w:val="24"/>
                <w:szCs w:val="24"/>
              </w:rPr>
              <w:t>ņu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) stādījumu ierīkoša</w:t>
            </w:r>
            <w:r>
              <w:rPr>
                <w:rFonts w:ascii="Times New Roman" w:hAnsi="Times New Roman"/>
                <w:sz w:val="24"/>
              </w:rPr>
              <w:t xml:space="preserve">na nosacījumiem un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Eiropas Komisijas lēmum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 Nr.SA.41388 (2015/N)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noteiktajām prasībām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 precizēt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 noteikumu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projekts.</w:t>
            </w:r>
          </w:p>
          <w:p w:rsidR="008C0D20" w:rsidRPr="004A07AB" w:rsidRDefault="008C0D20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projektā paredzēto pasākumu īstenošanu Lauku atbalsta dienests nodrošinās piešķirto valsts budžeta līdzekļu ietvaros.</w:t>
            </w:r>
          </w:p>
        </w:tc>
      </w:tr>
      <w:tr w:rsidR="002662E1" w:rsidRPr="00DD49B6" w:rsidTr="00881935">
        <w:trPr>
          <w:trHeight w:val="476"/>
        </w:trPr>
        <w:tc>
          <w:tcPr>
            <w:tcW w:w="227" w:type="pct"/>
          </w:tcPr>
          <w:p w:rsidR="002662E1" w:rsidRPr="00DD49B6" w:rsidRDefault="002662E1" w:rsidP="005755A6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3.</w:t>
            </w:r>
          </w:p>
        </w:tc>
        <w:tc>
          <w:tcPr>
            <w:tcW w:w="1565" w:type="pct"/>
          </w:tcPr>
          <w:p w:rsidR="002662E1" w:rsidRPr="00DD49B6" w:rsidRDefault="002662E1" w:rsidP="005755A6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Projekta izstrādē iesaistītās institūcijas</w:t>
            </w:r>
          </w:p>
        </w:tc>
        <w:tc>
          <w:tcPr>
            <w:tcW w:w="3208" w:type="pct"/>
          </w:tcPr>
          <w:p w:rsidR="002662E1" w:rsidRPr="00DD49B6" w:rsidRDefault="002662E1" w:rsidP="005755A6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 ministrija un Lauku atbalsta dienests</w:t>
            </w:r>
          </w:p>
        </w:tc>
      </w:tr>
      <w:tr w:rsidR="002662E1" w:rsidRPr="00DD49B6" w:rsidTr="00881935">
        <w:tc>
          <w:tcPr>
            <w:tcW w:w="227" w:type="pct"/>
          </w:tcPr>
          <w:p w:rsidR="002662E1" w:rsidRPr="00DD49B6" w:rsidRDefault="002662E1" w:rsidP="005755A6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565" w:type="pct"/>
          </w:tcPr>
          <w:p w:rsidR="002662E1" w:rsidRPr="00DD49B6" w:rsidRDefault="002662E1" w:rsidP="005755A6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3208" w:type="pct"/>
          </w:tcPr>
          <w:p w:rsidR="002662E1" w:rsidRPr="00621FAE" w:rsidRDefault="002662E1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6F5F9F" w:rsidRPr="00DD49B6" w:rsidRDefault="006F5F9F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844"/>
        <w:gridCol w:w="5825"/>
      </w:tblGrid>
      <w:tr w:rsidR="006F5F9F" w:rsidRPr="00DD49B6" w:rsidTr="00881935">
        <w:trPr>
          <w:trHeight w:val="556"/>
        </w:trPr>
        <w:tc>
          <w:tcPr>
            <w:tcW w:w="5000" w:type="pct"/>
            <w:gridSpan w:val="3"/>
            <w:vAlign w:val="center"/>
          </w:tcPr>
          <w:p w:rsidR="006F5F9F" w:rsidRPr="00DD49B6" w:rsidRDefault="006F5F9F" w:rsidP="005755A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lastRenderedPageBreak/>
              <w:t>II. Tiesību akta projekta ietekme uz sabiedrību, tautsaimniecības attīstību</w:t>
            </w:r>
          </w:p>
          <w:p w:rsidR="006F5F9F" w:rsidRPr="00DD49B6" w:rsidRDefault="006F5F9F" w:rsidP="005755A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un administratīvo slogu</w:t>
            </w:r>
          </w:p>
        </w:tc>
      </w:tr>
      <w:tr w:rsidR="006F5F9F" w:rsidRPr="00DD49B6" w:rsidTr="00881935">
        <w:trPr>
          <w:trHeight w:val="467"/>
        </w:trPr>
        <w:tc>
          <w:tcPr>
            <w:tcW w:w="227" w:type="pct"/>
          </w:tcPr>
          <w:p w:rsidR="006F5F9F" w:rsidRPr="00DD49B6" w:rsidRDefault="006F5F9F" w:rsidP="005755A6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1566" w:type="pct"/>
          </w:tcPr>
          <w:p w:rsidR="006F5F9F" w:rsidRPr="00DD49B6" w:rsidRDefault="006F5F9F" w:rsidP="005755A6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Sabiedrības mērķgrupas, kuras tiesiskais regulējums ietekmē vai varētu ietekmēt</w:t>
            </w:r>
          </w:p>
        </w:tc>
        <w:tc>
          <w:tcPr>
            <w:tcW w:w="3207" w:type="pct"/>
          </w:tcPr>
          <w:p w:rsidR="006F5F9F" w:rsidRPr="00DD49B6" w:rsidRDefault="006F5F9F" w:rsidP="005755A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21"/>
            <w:bookmarkEnd w:id="2"/>
            <w:r w:rsidRPr="00B232A4">
              <w:rPr>
                <w:rFonts w:ascii="Times New Roman" w:hAnsi="Times New Roman"/>
                <w:sz w:val="24"/>
              </w:rPr>
              <w:t xml:space="preserve">Fiziskas un juridiskas personas, kas nodarbojas ar </w:t>
            </w:r>
            <w:r w:rsidR="006C5E77">
              <w:rPr>
                <w:rFonts w:ascii="Times New Roman" w:hAnsi="Times New Roman"/>
                <w:sz w:val="24"/>
              </w:rPr>
              <w:t>primāro lauksaimniecības ražošanu</w:t>
            </w:r>
            <w:r w:rsidR="00D97368">
              <w:rPr>
                <w:rFonts w:ascii="Times New Roman" w:hAnsi="Times New Roman"/>
                <w:sz w:val="24"/>
              </w:rPr>
              <w:t>,</w:t>
            </w:r>
            <w:r w:rsidR="006C5E77">
              <w:rPr>
                <w:rFonts w:ascii="Times New Roman" w:hAnsi="Times New Roman"/>
                <w:sz w:val="24"/>
              </w:rPr>
              <w:t xml:space="preserve"> </w:t>
            </w:r>
            <w:r w:rsidR="008B5311"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z w:val="24"/>
              </w:rPr>
              <w:t xml:space="preserve"> lauksaimniecības pakalpojumu kooperatīvi – kopā</w:t>
            </w:r>
            <w:r w:rsidRPr="00B232A4">
              <w:rPr>
                <w:rFonts w:ascii="Times New Roman" w:hAnsi="Times New Roman"/>
                <w:sz w:val="24"/>
              </w:rPr>
              <w:t xml:space="preserve"> aptuveni </w:t>
            </w:r>
            <w:r w:rsidR="002756BB">
              <w:rPr>
                <w:rFonts w:ascii="Times New Roman" w:hAnsi="Times New Roman"/>
                <w:sz w:val="24"/>
              </w:rPr>
              <w:t>1</w:t>
            </w:r>
            <w:r w:rsidR="00B5180C">
              <w:rPr>
                <w:rFonts w:ascii="Times New Roman" w:hAnsi="Times New Roman"/>
                <w:sz w:val="24"/>
              </w:rPr>
              <w:t>000</w:t>
            </w:r>
            <w:r w:rsidRPr="00B232A4">
              <w:rPr>
                <w:rFonts w:ascii="Times New Roman" w:hAnsi="Times New Roman"/>
                <w:sz w:val="24"/>
              </w:rPr>
              <w:t xml:space="preserve"> vals</w:t>
            </w:r>
            <w:r>
              <w:rPr>
                <w:rFonts w:ascii="Times New Roman" w:hAnsi="Times New Roman"/>
                <w:sz w:val="24"/>
              </w:rPr>
              <w:t>ts atbalsta saņēmēju</w:t>
            </w:r>
            <w:r w:rsidRPr="00B232A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C5E77" w:rsidRPr="00DD49B6" w:rsidTr="00881935">
        <w:trPr>
          <w:trHeight w:val="523"/>
        </w:trPr>
        <w:tc>
          <w:tcPr>
            <w:tcW w:w="227" w:type="pct"/>
          </w:tcPr>
          <w:p w:rsidR="006C5E77" w:rsidRPr="00DD49B6" w:rsidRDefault="006C5E77" w:rsidP="005755A6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1566" w:type="pct"/>
          </w:tcPr>
          <w:p w:rsidR="006C5E77" w:rsidRPr="00DD49B6" w:rsidRDefault="006C5E77" w:rsidP="005755A6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3207" w:type="pct"/>
          </w:tcPr>
          <w:p w:rsidR="008F20DD" w:rsidRPr="0058384B" w:rsidRDefault="008F20DD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Lai sekmētu Eiropas Savienības struktūrfondu </w:t>
            </w:r>
            <w:r w:rsidR="00D97368">
              <w:rPr>
                <w:rFonts w:ascii="Times New Roman" w:hAnsi="Times New Roman"/>
                <w:sz w:val="24"/>
              </w:rPr>
              <w:t xml:space="preserve">finansēto </w:t>
            </w:r>
            <w:r>
              <w:rPr>
                <w:rFonts w:ascii="Times New Roman" w:hAnsi="Times New Roman"/>
                <w:sz w:val="24"/>
              </w:rPr>
              <w:t>projektu īstenošanu un lauksaimniecības nozarē iesaistītajiem uzņēmumiem nodrošin</w:t>
            </w:r>
            <w:r w:rsidR="00D97368">
              <w:rPr>
                <w:rFonts w:ascii="Times New Roman" w:hAnsi="Times New Roman"/>
                <w:sz w:val="24"/>
              </w:rPr>
              <w:t>ātu</w:t>
            </w:r>
            <w:r>
              <w:rPr>
                <w:rFonts w:ascii="Times New Roman" w:hAnsi="Times New Roman"/>
                <w:sz w:val="24"/>
              </w:rPr>
              <w:t xml:space="preserve"> ilgtermiņa investīcijas ar atbilstošām aizdevumu likmēm, papildus ir jāparedz atbalsts kredītprocentu daļējai dzēšanai. Tādējādi </w:t>
            </w:r>
            <w:r w:rsidR="00D97368">
              <w:rPr>
                <w:rFonts w:ascii="Times New Roman" w:hAnsi="Times New Roman"/>
                <w:sz w:val="24"/>
              </w:rPr>
              <w:t xml:space="preserve">tiks </w:t>
            </w:r>
            <w:r>
              <w:rPr>
                <w:rFonts w:ascii="Times New Roman" w:hAnsi="Times New Roman"/>
                <w:sz w:val="24"/>
              </w:rPr>
              <w:t>mazin</w:t>
            </w:r>
            <w:r w:rsidR="00D97368">
              <w:rPr>
                <w:rFonts w:ascii="Times New Roman" w:hAnsi="Times New Roman"/>
                <w:sz w:val="24"/>
              </w:rPr>
              <w:t>ā</w:t>
            </w:r>
            <w:r>
              <w:rPr>
                <w:rFonts w:ascii="Times New Roman" w:hAnsi="Times New Roman"/>
                <w:sz w:val="24"/>
              </w:rPr>
              <w:t>t</w:t>
            </w:r>
            <w:r w:rsidR="00D97368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finansiāl</w:t>
            </w:r>
            <w:r w:rsidR="00D97368">
              <w:rPr>
                <w:rFonts w:ascii="Times New Roman" w:hAnsi="Times New Roman"/>
                <w:sz w:val="24"/>
              </w:rPr>
              <w:t>ais</w:t>
            </w:r>
            <w:r>
              <w:rPr>
                <w:rFonts w:ascii="Times New Roman" w:hAnsi="Times New Roman"/>
                <w:sz w:val="24"/>
              </w:rPr>
              <w:t xml:space="preserve"> slog</w:t>
            </w:r>
            <w:r w:rsidR="00D97368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lauksaimniecības nozarē iesaistītajiem uzņēmumiem</w:t>
            </w:r>
            <w:r w:rsidR="00D97368">
              <w:rPr>
                <w:rFonts w:ascii="Times New Roman" w:hAnsi="Times New Roman"/>
                <w:sz w:val="24"/>
              </w:rPr>
              <w:t>, kas</w:t>
            </w:r>
            <w:r>
              <w:rPr>
                <w:rFonts w:ascii="Times New Roman" w:hAnsi="Times New Roman"/>
                <w:sz w:val="24"/>
              </w:rPr>
              <w:t xml:space="preserve"> maksā kredītprocentus par augstām aizdevumu likmēm.</w:t>
            </w:r>
          </w:p>
          <w:p w:rsidR="006C5E77" w:rsidRDefault="008F20DD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4A07AB">
              <w:rPr>
                <w:rFonts w:ascii="Times New Roman" w:hAnsi="Times New Roman"/>
                <w:sz w:val="24"/>
              </w:rPr>
              <w:t xml:space="preserve">Pastāvot </w:t>
            </w:r>
            <w:r>
              <w:rPr>
                <w:rFonts w:ascii="Times New Roman" w:hAnsi="Times New Roman"/>
                <w:sz w:val="24"/>
              </w:rPr>
              <w:t>augstām</w:t>
            </w:r>
            <w:r w:rsidRPr="004A07AB">
              <w:rPr>
                <w:rFonts w:ascii="Times New Roman" w:hAnsi="Times New Roman"/>
                <w:sz w:val="24"/>
              </w:rPr>
              <w:t xml:space="preserve"> aizdevumu procentu likmēm, uzņēmumos lieli līdzekļi, ko varētu izmantot investīcijām efektivitātes palielināšanai un jaunu darbavietu radīšanai, tiek novirzīti aizdevuma procentu maksājum</w:t>
            </w:r>
            <w:r w:rsidR="00D97368">
              <w:rPr>
                <w:rFonts w:ascii="Times New Roman" w:hAnsi="Times New Roman"/>
                <w:sz w:val="24"/>
              </w:rPr>
              <w:t>iem</w:t>
            </w:r>
            <w:r w:rsidRPr="004A07AB">
              <w:rPr>
                <w:rFonts w:ascii="Times New Roman" w:hAnsi="Times New Roman"/>
                <w:sz w:val="24"/>
              </w:rPr>
              <w:t>.</w:t>
            </w:r>
          </w:p>
          <w:p w:rsidR="008F20DD" w:rsidRPr="008F20DD" w:rsidRDefault="008F20DD" w:rsidP="005755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4A07AB">
              <w:rPr>
                <w:rFonts w:ascii="Times New Roman" w:hAnsi="Times New Roman"/>
                <w:sz w:val="24"/>
              </w:rPr>
              <w:t xml:space="preserve">Tādēļ ir nepieciešams atbalsts kredītprocentu daļējai dzēšanai lauksaimniecības </w:t>
            </w:r>
            <w:r>
              <w:rPr>
                <w:rFonts w:ascii="Times New Roman" w:hAnsi="Times New Roman"/>
                <w:sz w:val="24"/>
              </w:rPr>
              <w:t>nozarē</w:t>
            </w:r>
            <w:r w:rsidRPr="004A07AB">
              <w:rPr>
                <w:rFonts w:ascii="Times New Roman" w:hAnsi="Times New Roman"/>
                <w:sz w:val="24"/>
              </w:rPr>
              <w:t>, jo tā tiktu veicināta uzņēmumu efektivitāte un nodrošināta arī turpmāka investīciju ieplūšana uzņēmumos.</w:t>
            </w:r>
          </w:p>
        </w:tc>
      </w:tr>
      <w:tr w:rsidR="006C5E77" w:rsidRPr="00DD49B6" w:rsidTr="00881935">
        <w:trPr>
          <w:trHeight w:val="523"/>
        </w:trPr>
        <w:tc>
          <w:tcPr>
            <w:tcW w:w="227" w:type="pct"/>
          </w:tcPr>
          <w:p w:rsidR="006C5E77" w:rsidRPr="00DD49B6" w:rsidRDefault="006C5E77" w:rsidP="005755A6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1566" w:type="pct"/>
          </w:tcPr>
          <w:p w:rsidR="006C5E77" w:rsidRPr="00DD49B6" w:rsidRDefault="006C5E77" w:rsidP="005755A6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3207" w:type="pct"/>
          </w:tcPr>
          <w:p w:rsidR="006C5E7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A44D47">
              <w:rPr>
                <w:rFonts w:ascii="Times New Roman" w:hAnsi="Times New Roman"/>
                <w:sz w:val="24"/>
              </w:rPr>
              <w:t>Aprēķinos ir izmantoti šādi pieņēmum</w:t>
            </w:r>
            <w:r>
              <w:rPr>
                <w:rFonts w:ascii="Times New Roman" w:hAnsi="Times New Roman"/>
                <w:sz w:val="24"/>
              </w:rPr>
              <w:t>i: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 xml:space="preserve">Plānots, ka atbalstam pieteiksies aptuveni </w:t>
            </w:r>
            <w:r w:rsidR="0027196D">
              <w:rPr>
                <w:rFonts w:ascii="Times New Roman" w:hAnsi="Times New Roman"/>
                <w:sz w:val="24"/>
              </w:rPr>
              <w:t>100</w:t>
            </w:r>
            <w:r w:rsidR="00B5180C">
              <w:rPr>
                <w:rFonts w:ascii="Times New Roman" w:hAnsi="Times New Roman"/>
                <w:sz w:val="24"/>
              </w:rPr>
              <w:t>0</w:t>
            </w:r>
            <w:r w:rsidRPr="006D078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atbalsta pretendentu</w:t>
            </w:r>
            <w:r w:rsidRPr="006D0787">
              <w:rPr>
                <w:rFonts w:ascii="Times New Roman" w:hAnsi="Times New Roman"/>
                <w:sz w:val="24"/>
              </w:rPr>
              <w:t>.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Atbalsta pretendentiem</w:t>
            </w:r>
            <w:r w:rsidRPr="006D0787">
              <w:rPr>
                <w:rFonts w:ascii="Times New Roman" w:hAnsi="Times New Roman"/>
                <w:sz w:val="24"/>
              </w:rPr>
              <w:t>, k</w:t>
            </w:r>
            <w:r>
              <w:rPr>
                <w:rFonts w:ascii="Times New Roman" w:hAnsi="Times New Roman"/>
                <w:sz w:val="24"/>
              </w:rPr>
              <w:t>as</w:t>
            </w:r>
            <w:r w:rsidRPr="006D0787">
              <w:rPr>
                <w:rFonts w:ascii="Times New Roman" w:hAnsi="Times New Roman"/>
                <w:sz w:val="24"/>
              </w:rPr>
              <w:t xml:space="preserve"> vēlas saņemt atbalstu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6D0787">
              <w:rPr>
                <w:rFonts w:ascii="Times New Roman" w:hAnsi="Times New Roman"/>
                <w:sz w:val="24"/>
              </w:rPr>
              <w:t xml:space="preserve"> ir jāiesniedz Lauku atbalsta dienestā iesniegums, kā arī</w:t>
            </w:r>
            <w:r>
              <w:rPr>
                <w:rFonts w:ascii="Times New Roman" w:hAnsi="Times New Roman"/>
                <w:sz w:val="24"/>
              </w:rPr>
              <w:t xml:space="preserve"> visas</w:t>
            </w:r>
            <w:r w:rsidRPr="006D078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nepieciešamās</w:t>
            </w:r>
            <w:r w:rsidRPr="006D0787">
              <w:rPr>
                <w:rFonts w:ascii="Times New Roman" w:hAnsi="Times New Roman"/>
                <w:sz w:val="24"/>
              </w:rPr>
              <w:t xml:space="preserve"> dokumentu kopijas.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>Aprēķinos ir izmantoti šādi pieņēmumi: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Verdana" w:hAnsi="Verdana"/>
                <w:sz w:val="24"/>
              </w:rPr>
              <w:t>•</w:t>
            </w:r>
            <w:r w:rsidRPr="006D0787">
              <w:rPr>
                <w:rFonts w:ascii="Times New Roman" w:hAnsi="Times New Roman"/>
                <w:sz w:val="24"/>
              </w:rPr>
              <w:t xml:space="preserve"> vidējā darba alga – 4,32 </w:t>
            </w:r>
            <w:proofErr w:type="spellStart"/>
            <w:r w:rsidRPr="00983C26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  <w:r w:rsidRPr="006D0787">
              <w:rPr>
                <w:rFonts w:ascii="Times New Roman" w:hAnsi="Times New Roman"/>
                <w:sz w:val="24"/>
              </w:rPr>
              <w:t xml:space="preserve"> stundā (Centrālās statistikas pārvaldes dati: 2013.gada mēneša vidējā darba samaksa: 716 </w:t>
            </w:r>
            <w:proofErr w:type="spellStart"/>
            <w:r w:rsidRPr="006D0787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  <w:r w:rsidRPr="006D0787">
              <w:rPr>
                <w:rFonts w:ascii="Times New Roman" w:hAnsi="Times New Roman"/>
                <w:sz w:val="24"/>
              </w:rPr>
              <w:t>, 2014.gadā: 165,58 stundas/mēnesī));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Verdana" w:hAnsi="Verdana"/>
                <w:sz w:val="24"/>
              </w:rPr>
              <w:t>•</w:t>
            </w:r>
            <w:r w:rsidRPr="006D0787">
              <w:rPr>
                <w:rFonts w:ascii="Times New Roman" w:hAnsi="Times New Roman"/>
                <w:sz w:val="24"/>
              </w:rPr>
              <w:t xml:space="preserve"> degvielas cena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6D0787">
              <w:rPr>
                <w:rFonts w:ascii="Times New Roman" w:hAnsi="Times New Roman"/>
                <w:sz w:val="24"/>
              </w:rPr>
              <w:t xml:space="preserve"> 1,2 </w:t>
            </w:r>
            <w:proofErr w:type="spellStart"/>
            <w:r w:rsidRPr="006D0787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  <w:r w:rsidRPr="006D0787">
              <w:rPr>
                <w:rFonts w:ascii="Times New Roman" w:hAnsi="Times New Roman"/>
                <w:sz w:val="24"/>
              </w:rPr>
              <w:t xml:space="preserve"> litrā;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Verdana" w:hAnsi="Verdana"/>
                <w:sz w:val="24"/>
              </w:rPr>
              <w:t>•</w:t>
            </w:r>
            <w:r w:rsidRPr="006D0787">
              <w:rPr>
                <w:rFonts w:ascii="Times New Roman" w:hAnsi="Times New Roman"/>
                <w:sz w:val="24"/>
              </w:rPr>
              <w:t xml:space="preserve"> degvielas patēriņa maksimums – 10 litr</w:t>
            </w:r>
            <w:r>
              <w:rPr>
                <w:rFonts w:ascii="Times New Roman" w:hAnsi="Times New Roman"/>
                <w:sz w:val="24"/>
              </w:rPr>
              <w:t>u</w:t>
            </w:r>
            <w:r w:rsidRPr="006D0787">
              <w:rPr>
                <w:rFonts w:ascii="Times New Roman" w:hAnsi="Times New Roman"/>
                <w:sz w:val="24"/>
              </w:rPr>
              <w:t xml:space="preserve"> uz 100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6D0787">
              <w:rPr>
                <w:rFonts w:ascii="Times New Roman" w:hAnsi="Times New Roman"/>
                <w:sz w:val="24"/>
              </w:rPr>
              <w:t>kilometriem.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>1) Iepazīšanās ar atbalsta saņemšanas prasībām un dokumentu iesniegšana</w:t>
            </w:r>
            <w:r w:rsidR="00D97368">
              <w:rPr>
                <w:rFonts w:ascii="Times New Roman" w:hAnsi="Times New Roman"/>
                <w:sz w:val="24"/>
              </w:rPr>
              <w:t>.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Atbalsta pretendentam</w:t>
            </w:r>
            <w:r w:rsidRPr="006D0787">
              <w:rPr>
                <w:rFonts w:ascii="Times New Roman" w:hAnsi="Times New Roman"/>
                <w:sz w:val="24"/>
              </w:rPr>
              <w:t>, k</w:t>
            </w:r>
            <w:r>
              <w:rPr>
                <w:rFonts w:ascii="Times New Roman" w:hAnsi="Times New Roman"/>
                <w:sz w:val="24"/>
              </w:rPr>
              <w:t>as</w:t>
            </w:r>
            <w:r w:rsidRPr="006D0787">
              <w:rPr>
                <w:rFonts w:ascii="Times New Roman" w:hAnsi="Times New Roman"/>
                <w:sz w:val="24"/>
              </w:rPr>
              <w:t xml:space="preserve"> vēlas saņemt atbalstu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6D0787">
              <w:rPr>
                <w:rFonts w:ascii="Times New Roman" w:hAnsi="Times New Roman"/>
                <w:sz w:val="24"/>
              </w:rPr>
              <w:t xml:space="preserve"> ir jāierodas Lauku atbalsta dienestā, lai iesniegtu iesniegumu. Tiek pieņemts, ka atbalsta pretendents ierodas Lauku atbalsta dienesta reģionālajā lauksaimniecības pārvaldē (turpmāk – pārvalde) ar savu automob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6D0787">
              <w:rPr>
                <w:rFonts w:ascii="Times New Roman" w:hAnsi="Times New Roman"/>
                <w:sz w:val="24"/>
              </w:rPr>
              <w:t>li. Braukšanas attālums līdz tuvākajai pārvaldes nodaļai un atpakaļ – vidēji 68 km (pētījums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6D07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0787">
              <w:rPr>
                <w:rFonts w:ascii="Times New Roman" w:hAnsi="Times New Roman"/>
                <w:sz w:val="24"/>
              </w:rPr>
              <w:t>Pilvere</w:t>
            </w:r>
            <w:proofErr w:type="spellEnd"/>
            <w:r w:rsidRPr="006D0787">
              <w:rPr>
                <w:rFonts w:ascii="Times New Roman" w:hAnsi="Times New Roman"/>
                <w:sz w:val="24"/>
              </w:rPr>
              <w:t xml:space="preserve"> I., </w:t>
            </w:r>
            <w:proofErr w:type="spellStart"/>
            <w:r w:rsidRPr="006D0787">
              <w:rPr>
                <w:rFonts w:ascii="Times New Roman" w:hAnsi="Times New Roman"/>
                <w:sz w:val="24"/>
              </w:rPr>
              <w:t>Nipers</w:t>
            </w:r>
            <w:proofErr w:type="spellEnd"/>
            <w:r w:rsidRPr="006D0787">
              <w:rPr>
                <w:rFonts w:ascii="Times New Roman" w:hAnsi="Times New Roman"/>
                <w:sz w:val="24"/>
              </w:rPr>
              <w:t xml:space="preserve"> A., </w:t>
            </w:r>
            <w:proofErr w:type="spellStart"/>
            <w:r w:rsidRPr="006D0787">
              <w:rPr>
                <w:rFonts w:ascii="Times New Roman" w:hAnsi="Times New Roman"/>
                <w:sz w:val="24"/>
              </w:rPr>
              <w:t>Kozlinskis</w:t>
            </w:r>
            <w:proofErr w:type="spellEnd"/>
            <w:r w:rsidRPr="006D0787">
              <w:rPr>
                <w:rFonts w:ascii="Times New Roman" w:hAnsi="Times New Roman"/>
                <w:sz w:val="24"/>
              </w:rPr>
              <w:t xml:space="preserve"> V., Tetere V. u.c. (2007) „Administratīvā sloga un izmaksu izvērtējums lauksaimniekiem”).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 xml:space="preserve">Ceļa izmaksas (degvielas izmaksas) tiek rēķinātas </w:t>
            </w:r>
            <w:r>
              <w:rPr>
                <w:rFonts w:ascii="Times New Roman" w:hAnsi="Times New Roman"/>
                <w:sz w:val="24"/>
              </w:rPr>
              <w:t>uz</w:t>
            </w:r>
            <w:r w:rsidRPr="006D0787">
              <w:rPr>
                <w:rFonts w:ascii="Times New Roman" w:hAnsi="Times New Roman"/>
                <w:sz w:val="24"/>
              </w:rPr>
              <w:t xml:space="preserve"> </w:t>
            </w:r>
            <w:r w:rsidR="0027196D">
              <w:rPr>
                <w:rFonts w:ascii="Times New Roman" w:hAnsi="Times New Roman"/>
                <w:sz w:val="24"/>
              </w:rPr>
              <w:t>100</w:t>
            </w:r>
            <w:r w:rsidR="00DB538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 atbalsta saņēmējiem</w:t>
            </w:r>
            <w:r w:rsidRPr="006D0787">
              <w:rPr>
                <w:rFonts w:ascii="Times New Roman" w:hAnsi="Times New Roman"/>
                <w:sz w:val="24"/>
              </w:rPr>
              <w:t>: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lastRenderedPageBreak/>
              <w:t xml:space="preserve">C1c = (68 km x 10 l /100 km) x 1,2 x </w:t>
            </w:r>
            <w:r w:rsidR="0027196D">
              <w:rPr>
                <w:rFonts w:ascii="Times New Roman" w:hAnsi="Times New Roman"/>
                <w:sz w:val="24"/>
              </w:rPr>
              <w:t>100</w:t>
            </w:r>
            <w:r w:rsidR="00B5180C">
              <w:rPr>
                <w:rFonts w:ascii="Times New Roman" w:hAnsi="Times New Roman"/>
                <w:sz w:val="24"/>
              </w:rPr>
              <w:t>0</w:t>
            </w:r>
            <w:r w:rsidRPr="006D0787">
              <w:rPr>
                <w:rFonts w:ascii="Times New Roman" w:hAnsi="Times New Roman"/>
                <w:sz w:val="24"/>
              </w:rPr>
              <w:t xml:space="preserve"> x 1 = </w:t>
            </w:r>
            <w:r w:rsidR="0027196D">
              <w:rPr>
                <w:rFonts w:ascii="Times New Roman" w:hAnsi="Times New Roman"/>
                <w:sz w:val="24"/>
              </w:rPr>
              <w:t>816</w:t>
            </w:r>
            <w:r w:rsidR="00B5180C">
              <w:rPr>
                <w:rFonts w:ascii="Times New Roman" w:hAnsi="Times New Roman"/>
                <w:sz w:val="24"/>
              </w:rPr>
              <w:t>0</w:t>
            </w:r>
            <w:r w:rsidRPr="006D07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0787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>Vienam atbalsta pretendentam iepazīšanās ar atbalsta saņemšanas nosacījumiem vidēji prasīs 10 minū</w:t>
            </w:r>
            <w:r>
              <w:rPr>
                <w:rFonts w:ascii="Times New Roman" w:hAnsi="Times New Roman"/>
                <w:sz w:val="24"/>
              </w:rPr>
              <w:t>šu</w:t>
            </w:r>
            <w:r w:rsidRPr="006D0787">
              <w:rPr>
                <w:rFonts w:ascii="Times New Roman" w:hAnsi="Times New Roman"/>
                <w:sz w:val="24"/>
              </w:rPr>
              <w:t xml:space="preserve"> (0,166 stundas):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 xml:space="preserve">C1i = 4,32 (vidējā darba alga) x 0,166 x </w:t>
            </w:r>
            <w:r w:rsidR="0027196D">
              <w:rPr>
                <w:rFonts w:ascii="Times New Roman" w:hAnsi="Times New Roman"/>
                <w:sz w:val="24"/>
              </w:rPr>
              <w:t>100</w:t>
            </w:r>
            <w:r w:rsidR="00B5180C">
              <w:rPr>
                <w:rFonts w:ascii="Times New Roman" w:hAnsi="Times New Roman"/>
                <w:sz w:val="24"/>
              </w:rPr>
              <w:t>0</w:t>
            </w:r>
            <w:r w:rsidRPr="006D0787">
              <w:rPr>
                <w:rFonts w:ascii="Times New Roman" w:hAnsi="Times New Roman"/>
                <w:sz w:val="24"/>
              </w:rPr>
              <w:t xml:space="preserve"> x 1 = </w:t>
            </w:r>
            <w:r w:rsidR="0027196D">
              <w:rPr>
                <w:rFonts w:ascii="Times New Roman" w:hAnsi="Times New Roman"/>
                <w:sz w:val="24"/>
              </w:rPr>
              <w:t>71</w:t>
            </w:r>
            <w:r w:rsidR="00B5180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,</w:t>
            </w:r>
            <w:r w:rsidR="0027196D">
              <w:rPr>
                <w:rFonts w:ascii="Times New Roman" w:hAnsi="Times New Roman"/>
                <w:sz w:val="24"/>
              </w:rPr>
              <w:t>1</w:t>
            </w:r>
            <w:r w:rsidR="00B5180C">
              <w:rPr>
                <w:rFonts w:ascii="Times New Roman" w:hAnsi="Times New Roman"/>
                <w:sz w:val="24"/>
              </w:rPr>
              <w:t>2</w:t>
            </w:r>
            <w:r w:rsidRPr="006D07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0787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>Iepazīšanās ar atbalsta saņemšanas nosacījumiem un dokumentu iesniegšana izmaksas kopā: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 xml:space="preserve">C1 = C1c + C1i = </w:t>
            </w:r>
            <w:r w:rsidR="0027196D">
              <w:rPr>
                <w:rFonts w:ascii="Times New Roman" w:hAnsi="Times New Roman"/>
                <w:sz w:val="24"/>
              </w:rPr>
              <w:t>816</w:t>
            </w:r>
            <w:r w:rsidR="00B5180C">
              <w:rPr>
                <w:rFonts w:ascii="Times New Roman" w:hAnsi="Times New Roman"/>
                <w:sz w:val="24"/>
              </w:rPr>
              <w:t>0</w:t>
            </w:r>
            <w:r w:rsidRPr="006D0787">
              <w:rPr>
                <w:rFonts w:ascii="Times New Roman" w:hAnsi="Times New Roman"/>
                <w:sz w:val="24"/>
              </w:rPr>
              <w:t xml:space="preserve"> + </w:t>
            </w:r>
            <w:r w:rsidR="0027196D">
              <w:rPr>
                <w:rFonts w:ascii="Times New Roman" w:hAnsi="Times New Roman"/>
                <w:sz w:val="24"/>
              </w:rPr>
              <w:t>71</w:t>
            </w:r>
            <w:r w:rsidR="00B5180C">
              <w:rPr>
                <w:rFonts w:ascii="Times New Roman" w:hAnsi="Times New Roman"/>
                <w:sz w:val="24"/>
              </w:rPr>
              <w:t>7</w:t>
            </w:r>
            <w:r w:rsidR="0027196D">
              <w:rPr>
                <w:rFonts w:ascii="Times New Roman" w:hAnsi="Times New Roman"/>
                <w:sz w:val="24"/>
              </w:rPr>
              <w:t>,</w:t>
            </w:r>
            <w:r w:rsidR="00B5180C">
              <w:rPr>
                <w:rFonts w:ascii="Times New Roman" w:hAnsi="Times New Roman"/>
                <w:sz w:val="24"/>
              </w:rPr>
              <w:t>12</w:t>
            </w:r>
            <w:r w:rsidRPr="006D0787">
              <w:rPr>
                <w:rFonts w:ascii="Times New Roman" w:hAnsi="Times New Roman"/>
                <w:sz w:val="24"/>
              </w:rPr>
              <w:t xml:space="preserve"> = </w:t>
            </w:r>
            <w:r w:rsidR="0027196D">
              <w:rPr>
                <w:rFonts w:ascii="Times New Roman" w:hAnsi="Times New Roman"/>
                <w:sz w:val="24"/>
              </w:rPr>
              <w:t>887</w:t>
            </w:r>
            <w:r w:rsidR="00B5180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,</w:t>
            </w:r>
            <w:r w:rsidR="00B5180C">
              <w:rPr>
                <w:rFonts w:ascii="Times New Roman" w:hAnsi="Times New Roman"/>
                <w:sz w:val="24"/>
              </w:rPr>
              <w:t>12</w:t>
            </w:r>
            <w:r w:rsidRPr="006D07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0787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  <w:r w:rsidRPr="006D0787">
              <w:rPr>
                <w:rFonts w:ascii="Times New Roman" w:hAnsi="Times New Roman"/>
                <w:sz w:val="24"/>
              </w:rPr>
              <w:t xml:space="preserve"> 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>2) Iesnieguma aizpildīšana (noteikumu projekta pielikums)</w:t>
            </w:r>
            <w:r w:rsidR="00D97368">
              <w:rPr>
                <w:rFonts w:ascii="Times New Roman" w:hAnsi="Times New Roman"/>
                <w:sz w:val="24"/>
              </w:rPr>
              <w:t>.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6D0787">
              <w:rPr>
                <w:rFonts w:ascii="Times New Roman" w:hAnsi="Times New Roman"/>
                <w:sz w:val="24"/>
              </w:rPr>
              <w:t>iek izmantoti š</w:t>
            </w:r>
            <w:r>
              <w:rPr>
                <w:rFonts w:ascii="Times New Roman" w:hAnsi="Times New Roman"/>
                <w:sz w:val="24"/>
              </w:rPr>
              <w:t>ād</w:t>
            </w:r>
            <w:r w:rsidRPr="006D0787">
              <w:rPr>
                <w:rFonts w:ascii="Times New Roman" w:hAnsi="Times New Roman"/>
                <w:sz w:val="24"/>
              </w:rPr>
              <w:t xml:space="preserve">i pieņēmumi par laika patēriņu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6D0787">
              <w:rPr>
                <w:rFonts w:ascii="Times New Roman" w:hAnsi="Times New Roman"/>
                <w:sz w:val="24"/>
              </w:rPr>
              <w:t>esnieguma aizpildīšanai: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Verdana" w:hAnsi="Verdana"/>
                <w:sz w:val="24"/>
              </w:rPr>
              <w:t>•</w:t>
            </w:r>
            <w:r w:rsidRPr="006D0787">
              <w:rPr>
                <w:rFonts w:ascii="Times New Roman" w:hAnsi="Times New Roman"/>
                <w:sz w:val="24"/>
              </w:rPr>
              <w:t xml:space="preserve"> iepazīšanas ar iesnieguma veidlapu – 2 minūtes (0,033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6D0787">
              <w:rPr>
                <w:rFonts w:ascii="Times New Roman" w:hAnsi="Times New Roman"/>
                <w:sz w:val="24"/>
              </w:rPr>
              <w:t>stundas);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Verdana" w:hAnsi="Verdana"/>
                <w:sz w:val="24"/>
              </w:rPr>
              <w:t>•</w:t>
            </w:r>
            <w:r w:rsidRPr="006D0787">
              <w:rPr>
                <w:rFonts w:ascii="Times New Roman" w:hAnsi="Times New Roman"/>
                <w:sz w:val="24"/>
              </w:rPr>
              <w:t xml:space="preserve"> iesnieguma aizpildīšana (</w:t>
            </w:r>
            <w:r w:rsidR="0027196D">
              <w:rPr>
                <w:rFonts w:ascii="Times New Roman" w:hAnsi="Times New Roman"/>
                <w:sz w:val="24"/>
              </w:rPr>
              <w:t>100</w:t>
            </w:r>
            <w:r w:rsidR="00DB538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atbalsta pretendent</w:t>
            </w:r>
            <w:r w:rsidR="00D97368">
              <w:rPr>
                <w:rFonts w:ascii="Times New Roman" w:hAnsi="Times New Roman"/>
                <w:sz w:val="24"/>
              </w:rPr>
              <w:t>u</w:t>
            </w:r>
            <w:r w:rsidRPr="006D0787">
              <w:rPr>
                <w:rFonts w:ascii="Times New Roman" w:hAnsi="Times New Roman"/>
                <w:sz w:val="24"/>
              </w:rPr>
              <w:t>) – 10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6D0787">
              <w:rPr>
                <w:rFonts w:ascii="Times New Roman" w:hAnsi="Times New Roman"/>
                <w:sz w:val="24"/>
              </w:rPr>
              <w:t>minū</w:t>
            </w:r>
            <w:r>
              <w:rPr>
                <w:rFonts w:ascii="Times New Roman" w:hAnsi="Times New Roman"/>
                <w:sz w:val="24"/>
              </w:rPr>
              <w:t>šu</w:t>
            </w:r>
            <w:r w:rsidRPr="006D0787">
              <w:rPr>
                <w:rFonts w:ascii="Times New Roman" w:hAnsi="Times New Roman"/>
                <w:sz w:val="24"/>
              </w:rPr>
              <w:t xml:space="preserve"> (0,166 stundas):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 xml:space="preserve">C2 = 4,32 x (0,033 + 0,166) x </w:t>
            </w:r>
            <w:r w:rsidR="0027196D">
              <w:rPr>
                <w:rFonts w:ascii="Times New Roman" w:hAnsi="Times New Roman"/>
                <w:sz w:val="24"/>
              </w:rPr>
              <w:t>100</w:t>
            </w:r>
            <w:r w:rsidR="00DB5382">
              <w:rPr>
                <w:rFonts w:ascii="Times New Roman" w:hAnsi="Times New Roman"/>
                <w:sz w:val="24"/>
              </w:rPr>
              <w:t>0</w:t>
            </w:r>
            <w:r w:rsidRPr="006D0787">
              <w:rPr>
                <w:rFonts w:ascii="Times New Roman" w:hAnsi="Times New Roman"/>
                <w:sz w:val="24"/>
              </w:rPr>
              <w:t xml:space="preserve"> = </w:t>
            </w:r>
            <w:r w:rsidR="0027196D">
              <w:rPr>
                <w:rFonts w:ascii="Times New Roman" w:hAnsi="Times New Roman"/>
                <w:sz w:val="24"/>
              </w:rPr>
              <w:t>85</w:t>
            </w:r>
            <w:r w:rsidR="00DB5382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,</w:t>
            </w:r>
            <w:r w:rsidR="0027196D">
              <w:rPr>
                <w:rFonts w:ascii="Times New Roman" w:hAnsi="Times New Roman"/>
                <w:sz w:val="24"/>
              </w:rPr>
              <w:t>7</w:t>
            </w:r>
            <w:r w:rsidRPr="006D07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0787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 xml:space="preserve">Kopējās administratīvās izmaksas personām: </w:t>
            </w: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6D0787">
              <w:rPr>
                <w:rFonts w:ascii="Times New Roman" w:hAnsi="Times New Roman"/>
                <w:sz w:val="24"/>
              </w:rPr>
              <w:t xml:space="preserve">kopā = C1 + C2 = </w:t>
            </w:r>
            <w:r w:rsidR="00DB5382">
              <w:rPr>
                <w:rFonts w:ascii="Times New Roman" w:hAnsi="Times New Roman"/>
                <w:sz w:val="24"/>
              </w:rPr>
              <w:t>8877,12</w:t>
            </w:r>
            <w:r w:rsidR="00DB5382" w:rsidRPr="006D0787">
              <w:rPr>
                <w:rFonts w:ascii="Times New Roman" w:hAnsi="Times New Roman"/>
                <w:sz w:val="24"/>
              </w:rPr>
              <w:t xml:space="preserve"> </w:t>
            </w:r>
            <w:r w:rsidRPr="006D0787">
              <w:rPr>
                <w:rFonts w:ascii="Times New Roman" w:hAnsi="Times New Roman"/>
                <w:sz w:val="24"/>
              </w:rPr>
              <w:t xml:space="preserve">+ </w:t>
            </w:r>
            <w:r w:rsidR="00DB5382">
              <w:rPr>
                <w:rFonts w:ascii="Times New Roman" w:hAnsi="Times New Roman"/>
                <w:sz w:val="24"/>
              </w:rPr>
              <w:t>859,7</w:t>
            </w:r>
            <w:r w:rsidR="00DB5382" w:rsidRPr="006D0787">
              <w:rPr>
                <w:rFonts w:ascii="Times New Roman" w:hAnsi="Times New Roman"/>
                <w:sz w:val="24"/>
              </w:rPr>
              <w:t xml:space="preserve"> </w:t>
            </w:r>
            <w:r w:rsidRPr="006D0787">
              <w:rPr>
                <w:rFonts w:ascii="Times New Roman" w:hAnsi="Times New Roman"/>
                <w:sz w:val="24"/>
              </w:rPr>
              <w:t xml:space="preserve">= </w:t>
            </w:r>
            <w:r w:rsidR="0027196D">
              <w:rPr>
                <w:rFonts w:ascii="Times New Roman" w:hAnsi="Times New Roman"/>
                <w:sz w:val="24"/>
              </w:rPr>
              <w:t>973</w:t>
            </w:r>
            <w:r w:rsidR="00DB538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</w:t>
            </w:r>
            <w:r w:rsidR="0027196D">
              <w:rPr>
                <w:rFonts w:ascii="Times New Roman" w:hAnsi="Times New Roman"/>
                <w:sz w:val="24"/>
              </w:rPr>
              <w:t>8</w:t>
            </w:r>
            <w:r w:rsidR="00DB5382">
              <w:rPr>
                <w:rFonts w:ascii="Times New Roman" w:hAnsi="Times New Roman"/>
                <w:sz w:val="24"/>
              </w:rPr>
              <w:t>2</w:t>
            </w:r>
            <w:r w:rsidRPr="006D07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83C26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</w:p>
          <w:p w:rsidR="006C5E77" w:rsidRPr="006D078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6C5E77" w:rsidRDefault="006C5E77" w:rsidP="005755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D0787"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6D0787">
              <w:rPr>
                <w:rFonts w:ascii="Times New Roman" w:hAnsi="Times New Roman"/>
                <w:sz w:val="24"/>
              </w:rPr>
              <w:t xml:space="preserve">personai = </w:t>
            </w:r>
            <w:r w:rsidR="00DB5382">
              <w:rPr>
                <w:rFonts w:ascii="Times New Roman" w:hAnsi="Times New Roman"/>
                <w:sz w:val="24"/>
              </w:rPr>
              <w:t>9736,82</w:t>
            </w:r>
            <w:r w:rsidRPr="006D0787">
              <w:rPr>
                <w:rFonts w:ascii="Times New Roman" w:hAnsi="Times New Roman"/>
                <w:sz w:val="24"/>
              </w:rPr>
              <w:t xml:space="preserve">/ </w:t>
            </w:r>
            <w:r w:rsidR="0027196D">
              <w:rPr>
                <w:rFonts w:ascii="Times New Roman" w:hAnsi="Times New Roman"/>
                <w:sz w:val="24"/>
              </w:rPr>
              <w:t>100</w:t>
            </w:r>
            <w:r w:rsidR="00DB5382">
              <w:rPr>
                <w:rFonts w:ascii="Times New Roman" w:hAnsi="Times New Roman"/>
                <w:sz w:val="24"/>
              </w:rPr>
              <w:t>0</w:t>
            </w:r>
            <w:r w:rsidRPr="006D0787">
              <w:rPr>
                <w:rFonts w:ascii="Times New Roman" w:hAnsi="Times New Roman"/>
                <w:sz w:val="24"/>
              </w:rPr>
              <w:t xml:space="preserve"> = 9,74 </w:t>
            </w:r>
            <w:proofErr w:type="spellStart"/>
            <w:r w:rsidRPr="00983C26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</w:p>
          <w:p w:rsidR="006C5E77" w:rsidRDefault="006C5E77" w:rsidP="005755A6">
            <w:pPr>
              <w:pStyle w:val="Paraststmeklis"/>
              <w:spacing w:before="0" w:beforeAutospacing="0" w:after="0" w:afterAutospacing="0"/>
              <w:ind w:left="57" w:right="57"/>
              <w:jc w:val="both"/>
            </w:pPr>
          </w:p>
          <w:p w:rsidR="006C5E77" w:rsidRPr="00497088" w:rsidRDefault="006C5E77" w:rsidP="005755A6">
            <w:pPr>
              <w:pStyle w:val="Paraststmeklis"/>
              <w:spacing w:before="0" w:beforeAutospacing="0" w:after="0" w:afterAutospacing="0"/>
              <w:ind w:left="57" w:right="57"/>
              <w:jc w:val="both"/>
            </w:pPr>
            <w:r w:rsidRPr="00497088">
              <w:t>I</w:t>
            </w:r>
            <w:r>
              <w:t>esniegumu</w:t>
            </w:r>
            <w:r w:rsidRPr="00497088">
              <w:t xml:space="preserve"> </w:t>
            </w:r>
            <w:r>
              <w:t>izvērtēšana</w:t>
            </w:r>
            <w:r w:rsidRPr="00497088">
              <w:t xml:space="preserve"> Lauku atbalsta dienestam radīs izmaksas </w:t>
            </w:r>
            <w:r w:rsidR="00DB5382">
              <w:t>3</w:t>
            </w:r>
            <w:r w:rsidR="0027196D">
              <w:t>2</w:t>
            </w:r>
            <w:r w:rsidR="00DB5382">
              <w:t xml:space="preserve"> </w:t>
            </w:r>
            <w:r w:rsidR="0027196D">
              <w:t>68</w:t>
            </w:r>
            <w:r w:rsidR="00DB5382">
              <w:t>0</w:t>
            </w:r>
            <w:r w:rsidRPr="00497088">
              <w:t xml:space="preserve"> </w:t>
            </w:r>
            <w:proofErr w:type="spellStart"/>
            <w:r w:rsidRPr="00497088">
              <w:rPr>
                <w:i/>
              </w:rPr>
              <w:t>euro</w:t>
            </w:r>
            <w:proofErr w:type="spellEnd"/>
            <w:r w:rsidRPr="00497088">
              <w:rPr>
                <w:i/>
              </w:rPr>
              <w:t xml:space="preserve"> </w:t>
            </w:r>
            <w:r w:rsidRPr="00497088">
              <w:t xml:space="preserve">apmērā: </w:t>
            </w:r>
          </w:p>
          <w:p w:rsidR="006C5E77" w:rsidRPr="00497088" w:rsidRDefault="006C5E77" w:rsidP="005755A6">
            <w:pPr>
              <w:pStyle w:val="Paraststmeklis"/>
              <w:spacing w:before="0" w:beforeAutospacing="0" w:after="0" w:afterAutospacing="0"/>
              <w:ind w:left="57" w:right="57"/>
              <w:jc w:val="both"/>
            </w:pPr>
            <w:r w:rsidRPr="00497088">
              <w:t xml:space="preserve">C = </w:t>
            </w:r>
            <w:proofErr w:type="gramStart"/>
            <w:r w:rsidRPr="00497088">
              <w:t>(</w:t>
            </w:r>
            <w:proofErr w:type="gramEnd"/>
            <w:r w:rsidRPr="00497088">
              <w:t xml:space="preserve">f x l) x (n x b) = (8,17 x </w:t>
            </w:r>
            <w:r>
              <w:t>4</w:t>
            </w:r>
            <w:r w:rsidRPr="00497088">
              <w:t>) x (</w:t>
            </w:r>
            <w:r w:rsidR="0027196D">
              <w:t>100</w:t>
            </w:r>
            <w:r w:rsidR="00DB5382">
              <w:t>0</w:t>
            </w:r>
            <w:r w:rsidRPr="00497088">
              <w:t xml:space="preserve"> x 1) = </w:t>
            </w:r>
            <w:r w:rsidR="0027196D">
              <w:t>3</w:t>
            </w:r>
            <w:r w:rsidR="00DB5382">
              <w:t>2</w:t>
            </w:r>
            <w:r w:rsidR="0027196D">
              <w:t xml:space="preserve"> 268</w:t>
            </w:r>
            <w:r w:rsidRPr="00A6303F">
              <w:t xml:space="preserve"> </w:t>
            </w:r>
            <w:proofErr w:type="spellStart"/>
            <w:r w:rsidRPr="00497088">
              <w:rPr>
                <w:i/>
              </w:rPr>
              <w:t>euro</w:t>
            </w:r>
            <w:proofErr w:type="spellEnd"/>
            <w:r w:rsidRPr="00497088">
              <w:t>, kur</w:t>
            </w:r>
          </w:p>
          <w:p w:rsidR="006C5E77" w:rsidRPr="00497088" w:rsidRDefault="006C5E77" w:rsidP="005755A6">
            <w:pPr>
              <w:pStyle w:val="Paraststmeklis"/>
              <w:spacing w:before="0" w:beforeAutospacing="0" w:after="0" w:afterAutospacing="0"/>
              <w:ind w:left="57" w:right="57"/>
              <w:jc w:val="both"/>
            </w:pPr>
            <w:r w:rsidRPr="00497088">
              <w:t xml:space="preserve">f – viena darbinieka vidējā stundas likme valsts pārvaldē ir 8,17 </w:t>
            </w:r>
            <w:proofErr w:type="spellStart"/>
            <w:r w:rsidRPr="00497088">
              <w:rPr>
                <w:i/>
              </w:rPr>
              <w:t>euro</w:t>
            </w:r>
            <w:proofErr w:type="spellEnd"/>
            <w:r w:rsidRPr="00497088">
              <w:t>;</w:t>
            </w:r>
          </w:p>
          <w:p w:rsidR="006C5E77" w:rsidRPr="00497088" w:rsidRDefault="006C5E77" w:rsidP="005755A6">
            <w:pPr>
              <w:pStyle w:val="Paraststmeklis"/>
              <w:spacing w:before="0" w:beforeAutospacing="0" w:after="0" w:afterAutospacing="0"/>
              <w:ind w:left="57" w:right="57"/>
              <w:jc w:val="both"/>
            </w:pPr>
            <w:r w:rsidRPr="00497088">
              <w:t xml:space="preserve">l – </w:t>
            </w:r>
            <w:r>
              <w:t xml:space="preserve">iesnieguma </w:t>
            </w:r>
            <w:r w:rsidRPr="00497088">
              <w:t xml:space="preserve">informācijas </w:t>
            </w:r>
            <w:r>
              <w:t>izvērtēšanai</w:t>
            </w:r>
            <w:r w:rsidRPr="00497088">
              <w:t xml:space="preserve"> </w:t>
            </w:r>
            <w:r>
              <w:t>4</w:t>
            </w:r>
            <w:r w:rsidRPr="00497088">
              <w:t xml:space="preserve"> stunda</w:t>
            </w:r>
            <w:r>
              <w:t>s</w:t>
            </w:r>
            <w:r w:rsidRPr="00497088">
              <w:t>;</w:t>
            </w:r>
          </w:p>
          <w:p w:rsidR="006C5E77" w:rsidRPr="00497088" w:rsidRDefault="006C5E77" w:rsidP="005755A6">
            <w:pPr>
              <w:pStyle w:val="Paraststmeklis"/>
              <w:spacing w:before="0" w:beforeAutospacing="0" w:after="0" w:afterAutospacing="0"/>
              <w:ind w:left="57" w:right="57"/>
              <w:jc w:val="both"/>
            </w:pPr>
            <w:r w:rsidRPr="00497088">
              <w:t xml:space="preserve">n – </w:t>
            </w:r>
            <w:r>
              <w:t xml:space="preserve">iesniegumu kopējais skaits būs </w:t>
            </w:r>
            <w:r w:rsidR="0027196D">
              <w:t>100</w:t>
            </w:r>
            <w:r w:rsidR="00DB5382">
              <w:t>0</w:t>
            </w:r>
            <w:r w:rsidRPr="00497088">
              <w:t>;</w:t>
            </w:r>
          </w:p>
          <w:p w:rsidR="006C5E77" w:rsidRPr="00A44D47" w:rsidRDefault="006C5E77" w:rsidP="005755A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497088">
              <w:rPr>
                <w:rFonts w:ascii="Times New Roman" w:hAnsi="Times New Roman"/>
                <w:sz w:val="24"/>
                <w:szCs w:val="24"/>
              </w:rPr>
              <w:t xml:space="preserve">b – </w:t>
            </w:r>
            <w:r>
              <w:rPr>
                <w:rFonts w:ascii="Times New Roman" w:hAnsi="Times New Roman"/>
                <w:sz w:val="24"/>
                <w:szCs w:val="24"/>
              </w:rPr>
              <w:t>iesniegumu izvērtē</w:t>
            </w:r>
            <w:r w:rsidRPr="00497088">
              <w:rPr>
                <w:rFonts w:ascii="Times New Roman" w:hAnsi="Times New Roman"/>
                <w:sz w:val="24"/>
                <w:szCs w:val="24"/>
              </w:rPr>
              <w:t xml:space="preserve"> 1 reizi gadā.</w:t>
            </w:r>
          </w:p>
        </w:tc>
      </w:tr>
      <w:tr w:rsidR="006F5F9F" w:rsidRPr="00DD49B6" w:rsidTr="00881935">
        <w:trPr>
          <w:trHeight w:val="357"/>
        </w:trPr>
        <w:tc>
          <w:tcPr>
            <w:tcW w:w="227" w:type="pct"/>
          </w:tcPr>
          <w:p w:rsidR="006F5F9F" w:rsidRPr="00DD49B6" w:rsidRDefault="006F5F9F" w:rsidP="005755A6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lastRenderedPageBreak/>
              <w:t>4.</w:t>
            </w:r>
          </w:p>
        </w:tc>
        <w:tc>
          <w:tcPr>
            <w:tcW w:w="1566" w:type="pct"/>
          </w:tcPr>
          <w:p w:rsidR="006F5F9F" w:rsidRPr="00DD49B6" w:rsidRDefault="006F5F9F" w:rsidP="005755A6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3207" w:type="pct"/>
          </w:tcPr>
          <w:p w:rsidR="006F5F9F" w:rsidRPr="00DD49B6" w:rsidRDefault="006F5F9F" w:rsidP="005755A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Nav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F5F9F" w:rsidRPr="00DD49B6" w:rsidRDefault="006F5F9F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DB4" w:rsidRDefault="00054DB4" w:rsidP="00054DB4">
      <w:pPr>
        <w:pStyle w:val="Paraststmeklis"/>
        <w:spacing w:before="0" w:beforeAutospacing="0" w:after="0" w:afterAutospacing="0"/>
        <w:rPr>
          <w:i/>
        </w:rPr>
      </w:pPr>
      <w:r>
        <w:rPr>
          <w:i/>
        </w:rPr>
        <w:t xml:space="preserve">Anotācijas </w:t>
      </w:r>
      <w:r w:rsidR="00BC5D15">
        <w:rPr>
          <w:i/>
        </w:rPr>
        <w:t>III</w:t>
      </w:r>
      <w:r w:rsidR="006C5E77">
        <w:rPr>
          <w:i/>
        </w:rPr>
        <w:t xml:space="preserve"> un </w:t>
      </w:r>
      <w:r>
        <w:rPr>
          <w:i/>
        </w:rPr>
        <w:t>IV sadaļa – projekts šo jomu neskar.</w:t>
      </w:r>
    </w:p>
    <w:p w:rsidR="006F5F9F" w:rsidRPr="00DD49B6" w:rsidRDefault="006F5F9F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"/>
        <w:gridCol w:w="1417"/>
        <w:gridCol w:w="356"/>
        <w:gridCol w:w="683"/>
        <w:gridCol w:w="1020"/>
        <w:gridCol w:w="1081"/>
        <w:gridCol w:w="1532"/>
        <w:gridCol w:w="2769"/>
      </w:tblGrid>
      <w:tr w:rsidR="006F5F9F" w:rsidRPr="00B84678" w:rsidTr="00881935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78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610E3E" w:rsidRPr="00B84678" w:rsidTr="00881935">
        <w:trPr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5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091D8A" w:rsidRDefault="00FE39F2" w:rsidP="00FE3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F2">
              <w:rPr>
                <w:rFonts w:ascii="Times New Roman" w:hAnsi="Times New Roman"/>
                <w:sz w:val="24"/>
                <w:szCs w:val="24"/>
              </w:rPr>
              <w:t>Eiropas Parlamenta un Padomes 2013.gada 17.decembra Regul</w:t>
            </w:r>
            <w:r w:rsidR="00D97368">
              <w:rPr>
                <w:rFonts w:ascii="Times New Roman" w:hAnsi="Times New Roman"/>
                <w:sz w:val="24"/>
                <w:szCs w:val="24"/>
              </w:rPr>
              <w:t>a</w:t>
            </w:r>
            <w:r w:rsidRPr="00FE39F2">
              <w:rPr>
                <w:rFonts w:ascii="Times New Roman" w:hAnsi="Times New Roman"/>
                <w:sz w:val="24"/>
                <w:szCs w:val="24"/>
              </w:rPr>
              <w:t xml:space="preserve"> (ES) Nr.1305/2013 par atbalstu lauku attīstībai no Eiropas lauksaimniecības fonda lauku attīstībai (ELFLA) un ar ko atceļ Padomes Regulu (EK) Nr.1698/2005 (Eiropas Savienības Oficiālais Vēstnesis, 2013. gada 20. decembris, Nr.L347)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E3E" w:rsidRPr="00B84678" w:rsidTr="00881935">
        <w:trPr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5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A2">
              <w:rPr>
                <w:rFonts w:ascii="Times New Roman" w:hAnsi="Times New Roman"/>
                <w:color w:val="000000"/>
                <w:sz w:val="24"/>
                <w:szCs w:val="24"/>
              </w:rPr>
              <w:t>Projekts šo jomu neskar.</w:t>
            </w:r>
          </w:p>
        </w:tc>
      </w:tr>
      <w:tr w:rsidR="00610E3E" w:rsidRPr="00B84678" w:rsidTr="00881935">
        <w:trPr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5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C301E7" w:rsidRDefault="00C56EF9" w:rsidP="00C030DD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Nav.</w:t>
            </w:r>
          </w:p>
        </w:tc>
      </w:tr>
      <w:tr w:rsidR="006F5F9F" w:rsidRPr="00B84678" w:rsidTr="00881935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78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610E3E" w:rsidRPr="00B84678" w:rsidTr="00881935">
        <w:trPr>
          <w:jc w:val="center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40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9F2" w:rsidRPr="00B84678" w:rsidRDefault="00FE39F2" w:rsidP="00FE3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F2">
              <w:rPr>
                <w:rFonts w:ascii="Times New Roman" w:hAnsi="Times New Roman"/>
                <w:sz w:val="24"/>
                <w:szCs w:val="24"/>
              </w:rPr>
              <w:t>Eiropas Parlamenta un Padomes 2013.gada 17.decembra Regul</w:t>
            </w:r>
            <w:r w:rsidR="00D97368">
              <w:rPr>
                <w:rFonts w:ascii="Times New Roman" w:hAnsi="Times New Roman"/>
                <w:sz w:val="24"/>
                <w:szCs w:val="24"/>
              </w:rPr>
              <w:t>a</w:t>
            </w:r>
            <w:r w:rsidRPr="00FE39F2">
              <w:rPr>
                <w:rFonts w:ascii="Times New Roman" w:hAnsi="Times New Roman"/>
                <w:sz w:val="24"/>
                <w:szCs w:val="24"/>
              </w:rPr>
              <w:t xml:space="preserve"> (ES) Nr.1305/2013 par atbalstu lauku attīstībai no Eiropas lauksaimniecības fonda lauku attīstībai (ELFLA) un ar ko atceļ Padomes Regulu (EK) Nr.1698/2005 (Eiropas Savienības Oficiālais Vēstnesis, 2013. gada 20. decembris, Nr.L347)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F2">
              <w:rPr>
                <w:rFonts w:ascii="Times New Roman" w:hAnsi="Times New Roman"/>
                <w:sz w:val="24"/>
                <w:szCs w:val="24"/>
              </w:rPr>
              <w:t>(turpmāk – Padomes Regula Nr.1305/2013)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E3E" w:rsidRPr="00B84678" w:rsidTr="00881935">
        <w:trPr>
          <w:jc w:val="center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610E3E" w:rsidRPr="00B84678" w:rsidTr="00881935">
        <w:trPr>
          <w:jc w:val="center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1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Informācija par to, vai šīs tabulas B ailē minētās projekta vienības paredz stingrākas prasības nekā šīs tabulas A ailē minētās ES tiesību akta vienības.</w:t>
            </w:r>
          </w:p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B84678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B84678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:rsidR="006F5F9F" w:rsidRPr="00B84678" w:rsidRDefault="006F5F9F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7A7182" w:rsidRPr="007A7182" w:rsidTr="00881935">
        <w:trPr>
          <w:jc w:val="center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69A" w:rsidRPr="007A7182" w:rsidRDefault="0063469A" w:rsidP="0077427E">
            <w:pPr>
              <w:rPr>
                <w:rFonts w:ascii="Times New Roman" w:hAnsi="Times New Roman"/>
                <w:sz w:val="24"/>
                <w:szCs w:val="24"/>
              </w:rPr>
            </w:pPr>
            <w:r w:rsidRPr="007A7182">
              <w:rPr>
                <w:rFonts w:ascii="Times New Roman" w:hAnsi="Times New Roman"/>
                <w:sz w:val="24"/>
                <w:szCs w:val="24"/>
              </w:rPr>
              <w:t xml:space="preserve">Padomes Regula Nr.1305/2013 </w:t>
            </w:r>
            <w:r w:rsidR="0077427E">
              <w:rPr>
                <w:rFonts w:ascii="Times New Roman" w:hAnsi="Times New Roman"/>
                <w:sz w:val="24"/>
                <w:szCs w:val="24"/>
              </w:rPr>
              <w:t>32</w:t>
            </w:r>
            <w:r w:rsidRPr="007A7182">
              <w:rPr>
                <w:rFonts w:ascii="Times New Roman" w:hAnsi="Times New Roman"/>
                <w:sz w:val="24"/>
                <w:szCs w:val="24"/>
              </w:rPr>
              <w:t>.pant</w:t>
            </w:r>
            <w:r w:rsidR="0077427E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1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69A" w:rsidRPr="007A7182" w:rsidRDefault="0063469A" w:rsidP="00D01A12">
            <w:pPr>
              <w:rPr>
                <w:rFonts w:ascii="Times New Roman" w:hAnsi="Times New Roman"/>
                <w:sz w:val="24"/>
                <w:szCs w:val="24"/>
              </w:rPr>
            </w:pPr>
            <w:r w:rsidRPr="007A7182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77427E">
              <w:rPr>
                <w:rFonts w:ascii="Times New Roman" w:hAnsi="Times New Roman"/>
                <w:sz w:val="24"/>
                <w:szCs w:val="24"/>
              </w:rPr>
              <w:t>2</w:t>
            </w:r>
            <w:r w:rsidR="000A4C3A">
              <w:rPr>
                <w:rFonts w:ascii="Times New Roman" w:hAnsi="Times New Roman"/>
                <w:sz w:val="24"/>
                <w:szCs w:val="24"/>
              </w:rPr>
              <w:t>.</w:t>
            </w:r>
            <w:r w:rsidRPr="007A7182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77427E">
              <w:rPr>
                <w:rFonts w:ascii="Times New Roman" w:hAnsi="Times New Roman"/>
                <w:sz w:val="24"/>
                <w:szCs w:val="24"/>
              </w:rPr>
              <w:t>4</w:t>
            </w:r>
            <w:r w:rsidRPr="007A7182">
              <w:rPr>
                <w:rFonts w:ascii="Times New Roman" w:hAnsi="Times New Roman"/>
                <w:sz w:val="24"/>
                <w:szCs w:val="24"/>
              </w:rPr>
              <w:t>.punkts</w:t>
            </w:r>
          </w:p>
          <w:p w:rsidR="0063469A" w:rsidRPr="007A7182" w:rsidRDefault="0063469A" w:rsidP="00D01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69A" w:rsidRPr="007A7182" w:rsidRDefault="0063469A" w:rsidP="0063469A">
            <w:pPr>
              <w:rPr>
                <w:rFonts w:ascii="Times New Roman" w:hAnsi="Times New Roman"/>
                <w:sz w:val="24"/>
                <w:szCs w:val="24"/>
              </w:rPr>
            </w:pPr>
            <w:r w:rsidRPr="007A7182">
              <w:rPr>
                <w:rFonts w:ascii="Times New Roman" w:hAnsi="Times New Roman"/>
                <w:sz w:val="24"/>
                <w:szCs w:val="24"/>
              </w:rPr>
              <w:t>Padomes Regulas Nr.1305/2013 prasības tiek ieviestas pilnībā.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69A" w:rsidRPr="007A7182" w:rsidRDefault="0063469A" w:rsidP="00FF6B64">
            <w:pPr>
              <w:rPr>
                <w:rFonts w:ascii="Times New Roman" w:hAnsi="Times New Roman"/>
                <w:sz w:val="24"/>
                <w:szCs w:val="24"/>
              </w:rPr>
            </w:pPr>
            <w:r w:rsidRPr="007A7182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0D5276" w:rsidRPr="007A7182" w:rsidTr="00881935">
        <w:trPr>
          <w:jc w:val="center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7A7182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182">
              <w:rPr>
                <w:rFonts w:ascii="Times New Roman" w:hAnsi="Times New Roman"/>
                <w:sz w:val="24"/>
                <w:szCs w:val="24"/>
              </w:rPr>
              <w:t>Kā ir izmantota ES tiesību aktā paredzētā rīcības brīvība dalībvalstij pārņemt vai ieviest noteiktas ES tiesību akta normas?</w:t>
            </w:r>
          </w:p>
          <w:p w:rsidR="000D5276" w:rsidRPr="007A7182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182">
              <w:rPr>
                <w:rFonts w:ascii="Times New Roman" w:hAnsi="Times New Roman"/>
                <w:sz w:val="24"/>
                <w:szCs w:val="24"/>
              </w:rPr>
              <w:t>Kādēļ?</w:t>
            </w:r>
          </w:p>
        </w:tc>
        <w:tc>
          <w:tcPr>
            <w:tcW w:w="40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7A7182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182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D5276" w:rsidRPr="007A7182" w:rsidTr="00881935">
        <w:trPr>
          <w:jc w:val="center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7A7182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182">
              <w:rPr>
                <w:rFonts w:ascii="Times New Roman" w:hAnsi="Times New Roman"/>
                <w:sz w:val="24"/>
                <w:szCs w:val="24"/>
              </w:rPr>
              <w:lastRenderedPageBreak/>
              <w:t>Saistības sniegt paziņojumu ES institūcijām un ES dalībvalstīm atbilstoši normatīvajiem aktiem, kas regulē informācijas sniegšanu par tehnisko noteikumu, valsts atbalsta piešķir</w:t>
            </w:r>
            <w:r w:rsidRPr="007A7182">
              <w:rPr>
                <w:rFonts w:ascii="Times New Roman" w:hAnsi="Times New Roman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40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Default="000D5276" w:rsidP="004A07AB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175A7">
              <w:rPr>
                <w:rFonts w:ascii="Times New Roman" w:hAnsi="Times New Roman"/>
                <w:color w:val="auto"/>
              </w:rPr>
              <w:t xml:space="preserve">Eiropas Savienības pamatnostādnes par valsts atbalstu lauksaimniecības un mežsaimniecības nozarē un lauku apvidos 2014.–2020.gadam (Eiropas Savienības Oficiālais Vēstnesis, 2014.gada 1.jūlijs, C 204) </w:t>
            </w:r>
            <w:r>
              <w:rPr>
                <w:rFonts w:ascii="Times New Roman" w:hAnsi="Times New Roman"/>
                <w:color w:val="auto"/>
              </w:rPr>
              <w:t>(</w:t>
            </w:r>
            <w:r w:rsidRPr="003175A7">
              <w:rPr>
                <w:rFonts w:ascii="Times New Roman" w:hAnsi="Times New Roman"/>
                <w:color w:val="auto"/>
              </w:rPr>
              <w:t>turpmāk – pamatnostādnes).</w:t>
            </w:r>
          </w:p>
          <w:p w:rsidR="000D5276" w:rsidRPr="003175A7" w:rsidRDefault="000D5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A7">
              <w:rPr>
                <w:rFonts w:ascii="Times New Roman" w:hAnsi="Times New Roman"/>
                <w:sz w:val="24"/>
                <w:szCs w:val="24"/>
              </w:rPr>
              <w:t xml:space="preserve">Pamatnostādņu 1.1.1. apakšnodaļas nosacījumi atbilst noteikumu projekta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7427E">
              <w:rPr>
                <w:rFonts w:ascii="Times New Roman" w:hAnsi="Times New Roman"/>
                <w:sz w:val="24"/>
                <w:szCs w:val="24"/>
              </w:rPr>
              <w:t>, 2. un 4.</w:t>
            </w:r>
            <w:r>
              <w:rPr>
                <w:rFonts w:ascii="Times New Roman" w:hAnsi="Times New Roman"/>
                <w:sz w:val="24"/>
                <w:szCs w:val="24"/>
              </w:rPr>
              <w:t>punkta</w:t>
            </w:r>
            <w:r w:rsidR="00D97368">
              <w:rPr>
                <w:rFonts w:ascii="Times New Roman" w:hAnsi="Times New Roman"/>
                <w:sz w:val="24"/>
                <w:szCs w:val="24"/>
              </w:rPr>
              <w:t>m</w:t>
            </w:r>
            <w:r w:rsidRPr="003175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276" w:rsidRPr="003175A7" w:rsidRDefault="000D5276" w:rsidP="0077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A7">
              <w:rPr>
                <w:rFonts w:ascii="Times New Roman" w:hAnsi="Times New Roman"/>
                <w:sz w:val="24"/>
                <w:szCs w:val="24"/>
              </w:rPr>
              <w:t>Pamatojoties uz pamatnostādnēm, noteikumu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1.punkt</w:t>
            </w:r>
            <w:r w:rsidR="0077427E">
              <w:rPr>
                <w:rFonts w:ascii="Times New Roman" w:hAnsi="Times New Roman"/>
                <w:sz w:val="24"/>
                <w:szCs w:val="24"/>
              </w:rPr>
              <w:t>ā paredzēto atbalstu</w:t>
            </w:r>
            <w:r w:rsidRPr="003175A7">
              <w:rPr>
                <w:rFonts w:ascii="Times New Roman" w:hAnsi="Times New Roman"/>
                <w:sz w:val="24"/>
                <w:szCs w:val="24"/>
              </w:rPr>
              <w:t xml:space="preserve"> paredzēts</w:t>
            </w:r>
            <w:r w:rsidR="0077427E">
              <w:rPr>
                <w:rFonts w:ascii="Times New Roman" w:hAnsi="Times New Roman"/>
                <w:sz w:val="24"/>
                <w:szCs w:val="24"/>
              </w:rPr>
              <w:t xml:space="preserve"> īstenot</w:t>
            </w:r>
            <w:r w:rsidRPr="0031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5DC">
              <w:rPr>
                <w:rFonts w:ascii="Times New Roman" w:hAnsi="Times New Roman"/>
                <w:sz w:val="24"/>
                <w:szCs w:val="24"/>
              </w:rPr>
              <w:t xml:space="preserve">saskaņā ar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175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175A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75A7">
              <w:rPr>
                <w:rFonts w:ascii="Times New Roman" w:hAnsi="Times New Roman"/>
                <w:sz w:val="24"/>
                <w:szCs w:val="24"/>
              </w:rPr>
              <w:t xml:space="preserve">. pieņemto Eiropas Komisijas lēmumu </w:t>
            </w:r>
            <w:r w:rsidRPr="008F20DD">
              <w:rPr>
                <w:rFonts w:ascii="Times New Roman" w:hAnsi="Times New Roman"/>
                <w:sz w:val="24"/>
                <w:szCs w:val="24"/>
              </w:rPr>
              <w:t>Nr.SA.41388</w:t>
            </w:r>
            <w:r w:rsidRPr="008F20DD">
              <w:rPr>
                <w:rFonts w:ascii="Times New Roman" w:hAnsi="Times New Roman"/>
              </w:rPr>
              <w:t xml:space="preserve"> (</w:t>
            </w:r>
            <w:r w:rsidRPr="008F20DD">
              <w:rPr>
                <w:rFonts w:ascii="Times New Roman" w:hAnsi="Times New Roman"/>
                <w:sz w:val="24"/>
                <w:szCs w:val="24"/>
              </w:rPr>
              <w:t>2015/N)</w:t>
            </w:r>
            <w:r w:rsidRPr="008F20DD">
              <w:rPr>
                <w:rFonts w:ascii="Times New Roman" w:hAnsi="Times New Roman"/>
              </w:rPr>
              <w:t xml:space="preserve"> </w:t>
            </w:r>
            <w:r w:rsidRPr="003175A7">
              <w:rPr>
                <w:rFonts w:ascii="Times New Roman" w:hAnsi="Times New Roman"/>
                <w:sz w:val="24"/>
                <w:szCs w:val="24"/>
              </w:rPr>
              <w:t xml:space="preserve">„Atbalsts kredītprocentu daļējai dzēšanai”. Valsts atbalsts kredītprocentu daļējai dzēšanai lauksaimniekiem un lauksaimniecības pakalpojumu kooperatīvajām sabiedrībām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3175A7">
              <w:rPr>
                <w:rFonts w:ascii="Times New Roman" w:hAnsi="Times New Roman"/>
                <w:sz w:val="24"/>
                <w:szCs w:val="24"/>
              </w:rPr>
              <w:t>saskaņots līdz 2019.gada 31.decembrim.</w:t>
            </w:r>
          </w:p>
        </w:tc>
      </w:tr>
      <w:tr w:rsidR="000D5276" w:rsidRPr="007A7182" w:rsidTr="00881935">
        <w:trPr>
          <w:jc w:val="center"/>
        </w:trPr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7A7182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182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40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3175A7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5A7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0D5276" w:rsidRPr="007A7182" w:rsidTr="00881935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276" w:rsidRPr="007A7182" w:rsidRDefault="000D5276" w:rsidP="008B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182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:rsidR="000D5276" w:rsidRPr="007A7182" w:rsidRDefault="000D5276" w:rsidP="008B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182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0D5276" w:rsidRPr="007A7182" w:rsidRDefault="000D5276" w:rsidP="008B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182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0D5276" w:rsidRPr="007A7182" w:rsidTr="00881935">
        <w:trPr>
          <w:jc w:val="center"/>
        </w:trPr>
        <w:tc>
          <w:tcPr>
            <w:tcW w:w="11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276" w:rsidRPr="007A7182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182">
              <w:rPr>
                <w:rFonts w:ascii="Times New Roman" w:hAnsi="Times New Roman"/>
                <w:sz w:val="24"/>
                <w:szCs w:val="24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8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7A7182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182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D5276" w:rsidRPr="00B84678" w:rsidTr="00881935">
        <w:trPr>
          <w:jc w:val="center"/>
        </w:trPr>
        <w:tc>
          <w:tcPr>
            <w:tcW w:w="11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276" w:rsidRPr="00610E3E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276" w:rsidRPr="00610E3E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3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276" w:rsidRPr="00016696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0D5276" w:rsidRPr="00B84678" w:rsidTr="00881935">
        <w:trPr>
          <w:jc w:val="center"/>
        </w:trPr>
        <w:tc>
          <w:tcPr>
            <w:tcW w:w="11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610E3E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3E">
              <w:rPr>
                <w:rFonts w:ascii="Times New Roman" w:hAnsi="Times New Roman"/>
                <w:sz w:val="24"/>
                <w:szCs w:val="24"/>
              </w:rPr>
              <w:t>Starptautiskās saistības (pēc būtības), kas izriet no norādītā starptautis</w:t>
            </w:r>
            <w:r w:rsidRPr="00610E3E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:rsidR="000D5276" w:rsidRPr="00610E3E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3E">
              <w:rPr>
                <w:rFonts w:ascii="Times New Roman" w:hAnsi="Times New Roman"/>
                <w:sz w:val="24"/>
                <w:szCs w:val="24"/>
              </w:rPr>
              <w:t xml:space="preserve">Konkrēti veicamie pasākumi vai uzdevumi, kas nepieciešami šo starptautisko </w:t>
            </w:r>
            <w:r w:rsidRPr="00610E3E">
              <w:rPr>
                <w:rFonts w:ascii="Times New Roman" w:hAnsi="Times New Roman"/>
                <w:sz w:val="24"/>
                <w:szCs w:val="24"/>
              </w:rPr>
              <w:lastRenderedPageBreak/>
              <w:t>saistību izpildei</w:t>
            </w:r>
          </w:p>
        </w:tc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610E3E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3E">
              <w:rPr>
                <w:rFonts w:ascii="Times New Roman" w:hAnsi="Times New Roman"/>
                <w:sz w:val="24"/>
                <w:szCs w:val="24"/>
              </w:rPr>
              <w:lastRenderedPageBreak/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2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016696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:rsidR="000D5276" w:rsidRPr="00016696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0D5276" w:rsidRPr="00016696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0D5276" w:rsidRPr="00B84678" w:rsidTr="00881935">
        <w:trPr>
          <w:jc w:val="center"/>
        </w:trPr>
        <w:tc>
          <w:tcPr>
            <w:tcW w:w="11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B84678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lastRenderedPageBreak/>
              <w:t>Iekļauj informāciju atbilstoši instrukcijas 58.1.apakšpunktā noteiktajam</w:t>
            </w:r>
            <w:r w:rsidR="00F34F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B84678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 Projekts šo jomu neskar.</w:t>
            </w:r>
          </w:p>
        </w:tc>
        <w:tc>
          <w:tcPr>
            <w:tcW w:w="2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B84678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 Projekts šo jomu neskar.</w:t>
            </w:r>
          </w:p>
        </w:tc>
      </w:tr>
      <w:tr w:rsidR="000D5276" w:rsidRPr="00B84678" w:rsidTr="00881935">
        <w:trPr>
          <w:jc w:val="center"/>
        </w:trPr>
        <w:tc>
          <w:tcPr>
            <w:tcW w:w="11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B84678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B84678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38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B84678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 Projekts šo jomu neskar.</w:t>
            </w:r>
          </w:p>
        </w:tc>
      </w:tr>
      <w:tr w:rsidR="000D5276" w:rsidRPr="00B84678" w:rsidTr="00881935">
        <w:trPr>
          <w:jc w:val="center"/>
        </w:trPr>
        <w:tc>
          <w:tcPr>
            <w:tcW w:w="11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B84678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8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76" w:rsidRPr="00B84678" w:rsidRDefault="000D5276" w:rsidP="008B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6F5F9F" w:rsidRPr="00DD49B6" w:rsidDel="009D1634" w:rsidRDefault="006F5F9F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15"/>
        <w:gridCol w:w="5694"/>
      </w:tblGrid>
      <w:tr w:rsidR="006F5F9F" w:rsidRPr="00190B7B" w:rsidTr="00881935">
        <w:trPr>
          <w:trHeight w:val="421"/>
          <w:jc w:val="center"/>
        </w:trPr>
        <w:tc>
          <w:tcPr>
            <w:tcW w:w="5000" w:type="pct"/>
            <w:gridSpan w:val="3"/>
            <w:vAlign w:val="center"/>
          </w:tcPr>
          <w:p w:rsidR="006F5F9F" w:rsidRPr="00190B7B" w:rsidRDefault="006F5F9F" w:rsidP="00C301E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highlight w:val="yellow"/>
              </w:rPr>
            </w:pPr>
            <w:r w:rsidRPr="00487C57">
              <w:rPr>
                <w:b/>
              </w:rPr>
              <w:t>VI. Sabiedrības līdzdalība un komunikācijas aktivitāte</w:t>
            </w:r>
          </w:p>
        </w:tc>
      </w:tr>
      <w:tr w:rsidR="006F5F9F" w:rsidRPr="00DD49B6" w:rsidTr="00881935">
        <w:trPr>
          <w:trHeight w:val="553"/>
          <w:jc w:val="center"/>
        </w:trPr>
        <w:tc>
          <w:tcPr>
            <w:tcW w:w="315" w:type="pct"/>
          </w:tcPr>
          <w:p w:rsidR="006F5F9F" w:rsidRPr="00DD49B6" w:rsidRDefault="006F5F9F" w:rsidP="008B53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0" w:type="pct"/>
          </w:tcPr>
          <w:p w:rsidR="006F5F9F" w:rsidRPr="00DD49B6" w:rsidRDefault="006F5F9F" w:rsidP="008B5311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135" w:type="pct"/>
          </w:tcPr>
          <w:p w:rsidR="006F5F9F" w:rsidRPr="00DD49B6" w:rsidRDefault="006F5F9F" w:rsidP="006F5F9F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p61"/>
            <w:bookmarkEnd w:id="3"/>
            <w:r w:rsidRPr="00A2430A">
              <w:rPr>
                <w:rFonts w:ascii="Times New Roman" w:hAnsi="Times New Roman"/>
                <w:iCs/>
                <w:sz w:val="24"/>
                <w:szCs w:val="24"/>
              </w:rPr>
              <w:t>Par noteikumu projektu lauksaimnieku nevalstiskās organizācijas ir informētas, nosūtot noteikumu projektu uz to e-pasta adres</w:t>
            </w:r>
            <w:r w:rsidR="002205DC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Pr="00A2430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F5F9F" w:rsidRPr="00DD49B6" w:rsidTr="00881935">
        <w:trPr>
          <w:trHeight w:val="339"/>
          <w:jc w:val="center"/>
        </w:trPr>
        <w:tc>
          <w:tcPr>
            <w:tcW w:w="315" w:type="pct"/>
          </w:tcPr>
          <w:p w:rsidR="006F5F9F" w:rsidRPr="00DD49B6" w:rsidRDefault="006F5F9F" w:rsidP="008B53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50" w:type="pct"/>
          </w:tcPr>
          <w:p w:rsidR="006F5F9F" w:rsidRPr="00DD49B6" w:rsidRDefault="006F5F9F" w:rsidP="008B531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135" w:type="pct"/>
          </w:tcPr>
          <w:p w:rsidR="006F5F9F" w:rsidRPr="00DD49B6" w:rsidRDefault="006F5F9F" w:rsidP="006C5E77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4" w:name="p62"/>
            <w:bookmarkEnd w:id="4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projekta izstrādē iesaistījās </w:t>
            </w:r>
            <w:r w:rsidRPr="00B232A4">
              <w:rPr>
                <w:rFonts w:ascii="Times New Roman" w:hAnsi="Times New Roman"/>
                <w:sz w:val="24"/>
                <w:szCs w:val="24"/>
                <w:lang w:eastAsia="lv-LV"/>
              </w:rPr>
              <w:t>Lauksaimn</w:t>
            </w:r>
            <w:r w:rsidR="006C5E77">
              <w:rPr>
                <w:rFonts w:ascii="Times New Roman" w:hAnsi="Times New Roman"/>
                <w:sz w:val="24"/>
                <w:szCs w:val="24"/>
                <w:lang w:eastAsia="lv-LV"/>
              </w:rPr>
              <w:t>ieku</w:t>
            </w:r>
            <w:r w:rsidRPr="00B232A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O</w:t>
            </w:r>
            <w:r w:rsidRPr="00B232A4">
              <w:rPr>
                <w:rFonts w:ascii="Times New Roman" w:hAnsi="Times New Roman"/>
                <w:sz w:val="24"/>
                <w:szCs w:val="24"/>
                <w:lang w:eastAsia="lv-LV"/>
              </w:rPr>
              <w:t>rganizāciju sadarbības pad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ome, </w:t>
            </w:r>
            <w:r w:rsidR="002756BB" w:rsidRPr="002756BB">
              <w:rPr>
                <w:rFonts w:ascii="Times New Roman" w:hAnsi="Times New Roman"/>
                <w:sz w:val="24"/>
                <w:szCs w:val="24"/>
                <w:lang w:eastAsia="lv-LV"/>
              </w:rPr>
              <w:t>Latvijas Lauksaimniecības kooperatīvu asociācija</w:t>
            </w:r>
            <w:r w:rsidR="006C5E7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="002756B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biedrība „Zemnieku saeima”</w:t>
            </w:r>
            <w:r w:rsidRPr="00B232A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6F5F9F" w:rsidRPr="00DD49B6" w:rsidTr="00881935">
        <w:trPr>
          <w:trHeight w:val="476"/>
          <w:jc w:val="center"/>
        </w:trPr>
        <w:tc>
          <w:tcPr>
            <w:tcW w:w="315" w:type="pct"/>
          </w:tcPr>
          <w:p w:rsidR="006F5F9F" w:rsidRPr="00DD49B6" w:rsidRDefault="006F5F9F" w:rsidP="008B53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50" w:type="pct"/>
          </w:tcPr>
          <w:p w:rsidR="006F5F9F" w:rsidRPr="00DD49B6" w:rsidRDefault="006F5F9F" w:rsidP="008B531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135" w:type="pct"/>
          </w:tcPr>
          <w:p w:rsidR="006F5F9F" w:rsidRPr="00DD49B6" w:rsidRDefault="006F5F9F" w:rsidP="006C5E77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projekts </w:t>
            </w:r>
            <w:r w:rsidR="00965F14">
              <w:rPr>
                <w:rFonts w:ascii="Times New Roman" w:hAnsi="Times New Roman"/>
                <w:sz w:val="24"/>
                <w:szCs w:val="24"/>
                <w:lang w:eastAsia="lv-LV"/>
              </w:rPr>
              <w:t>ir</w:t>
            </w:r>
            <w:r w:rsidR="00D84D3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saskaņots ar </w:t>
            </w:r>
            <w:r w:rsidR="002756BB" w:rsidRPr="00B232A4">
              <w:rPr>
                <w:rFonts w:ascii="Times New Roman" w:hAnsi="Times New Roman"/>
                <w:sz w:val="24"/>
                <w:szCs w:val="24"/>
                <w:lang w:eastAsia="lv-LV"/>
              </w:rPr>
              <w:t>Lauksaimnie</w:t>
            </w:r>
            <w:r w:rsidR="006C5E77">
              <w:rPr>
                <w:rFonts w:ascii="Times New Roman" w:hAnsi="Times New Roman"/>
                <w:sz w:val="24"/>
                <w:szCs w:val="24"/>
                <w:lang w:eastAsia="lv-LV"/>
              </w:rPr>
              <w:t>ku</w:t>
            </w:r>
            <w:r w:rsidR="002756BB" w:rsidRPr="00B232A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756BB">
              <w:rPr>
                <w:rFonts w:ascii="Times New Roman" w:hAnsi="Times New Roman"/>
                <w:sz w:val="24"/>
                <w:szCs w:val="24"/>
                <w:lang w:eastAsia="lv-LV"/>
              </w:rPr>
              <w:t>O</w:t>
            </w:r>
            <w:r w:rsidR="002756BB" w:rsidRPr="00B232A4">
              <w:rPr>
                <w:rFonts w:ascii="Times New Roman" w:hAnsi="Times New Roman"/>
                <w:sz w:val="24"/>
                <w:szCs w:val="24"/>
                <w:lang w:eastAsia="lv-LV"/>
              </w:rPr>
              <w:t>rganizāciju sadarbības pad</w:t>
            </w:r>
            <w:r w:rsidR="002756B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omi, </w:t>
            </w:r>
            <w:r w:rsidR="002756BB" w:rsidRPr="002756BB">
              <w:rPr>
                <w:rFonts w:ascii="Times New Roman" w:hAnsi="Times New Roman"/>
                <w:sz w:val="24"/>
                <w:szCs w:val="24"/>
                <w:lang w:eastAsia="lv-LV"/>
              </w:rPr>
              <w:t>Latvijas Lauksaimniecības kooperatīvu asociācij</w:t>
            </w:r>
            <w:r w:rsidR="002756BB">
              <w:rPr>
                <w:rFonts w:ascii="Times New Roman" w:hAnsi="Times New Roman"/>
                <w:sz w:val="24"/>
                <w:szCs w:val="24"/>
                <w:lang w:eastAsia="lv-LV"/>
              </w:rPr>
              <w:t>u, biedrību „Zemnieku saeima” un Latvijas pārtikas uzņēmumu federāciju</w:t>
            </w:r>
            <w:r w:rsidR="002756BB" w:rsidRPr="00B232A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6F5F9F" w:rsidRPr="00DD49B6" w:rsidTr="00881935">
        <w:trPr>
          <w:trHeight w:val="476"/>
          <w:jc w:val="center"/>
        </w:trPr>
        <w:tc>
          <w:tcPr>
            <w:tcW w:w="315" w:type="pct"/>
          </w:tcPr>
          <w:p w:rsidR="006F5F9F" w:rsidRPr="00DD49B6" w:rsidRDefault="006F5F9F" w:rsidP="008B53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50" w:type="pct"/>
          </w:tcPr>
          <w:p w:rsidR="006F5F9F" w:rsidRPr="00DD49B6" w:rsidRDefault="006F5F9F" w:rsidP="008B531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135" w:type="pct"/>
          </w:tcPr>
          <w:p w:rsidR="006F5F9F" w:rsidRPr="00DD49B6" w:rsidRDefault="006F5F9F" w:rsidP="008B5311">
            <w:pPr>
              <w:spacing w:after="0" w:line="240" w:lineRule="auto"/>
              <w:ind w:left="169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6F5F9F" w:rsidRPr="00DD49B6" w:rsidRDefault="006F5F9F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2442"/>
        <w:gridCol w:w="6265"/>
      </w:tblGrid>
      <w:tr w:rsidR="006F5F9F" w:rsidRPr="00DD49B6" w:rsidTr="00881935">
        <w:trPr>
          <w:trHeight w:val="381"/>
          <w:jc w:val="center"/>
        </w:trPr>
        <w:tc>
          <w:tcPr>
            <w:tcW w:w="5000" w:type="pct"/>
            <w:gridSpan w:val="3"/>
            <w:vAlign w:val="center"/>
          </w:tcPr>
          <w:p w:rsidR="006F5F9F" w:rsidRPr="00DD49B6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VII. Tiesību akta projekta izpildes nodrošināšana un tās ietekme uz institūcijām</w:t>
            </w:r>
          </w:p>
        </w:tc>
      </w:tr>
      <w:tr w:rsidR="006F5F9F" w:rsidRPr="00DD49B6" w:rsidTr="00881935">
        <w:trPr>
          <w:trHeight w:val="427"/>
          <w:jc w:val="center"/>
        </w:trPr>
        <w:tc>
          <w:tcPr>
            <w:tcW w:w="230" w:type="pct"/>
          </w:tcPr>
          <w:p w:rsidR="006F5F9F" w:rsidRPr="00DD49B6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1338" w:type="pct"/>
          </w:tcPr>
          <w:p w:rsidR="006F5F9F" w:rsidRPr="00DD49B6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izpildē iesaistītās institūcijas</w:t>
            </w:r>
          </w:p>
        </w:tc>
        <w:tc>
          <w:tcPr>
            <w:tcW w:w="3432" w:type="pct"/>
          </w:tcPr>
          <w:p w:rsidR="006F5F9F" w:rsidRPr="00E24A36" w:rsidRDefault="006F5F9F" w:rsidP="008B5311">
            <w:pPr>
              <w:pStyle w:val="naisnod"/>
              <w:spacing w:before="0" w:after="0"/>
              <w:ind w:left="57" w:right="57" w:hanging="57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 w:rsidRPr="00E24A36">
              <w:rPr>
                <w:iCs/>
              </w:rPr>
              <w:t>Noteikumu projekta izpildi nodrošinās Zemkopības ministrija un Lauku atbalsta dienests.</w:t>
            </w:r>
          </w:p>
        </w:tc>
      </w:tr>
      <w:tr w:rsidR="006F5F9F" w:rsidRPr="00DD49B6" w:rsidTr="00881935">
        <w:trPr>
          <w:trHeight w:val="463"/>
          <w:jc w:val="center"/>
        </w:trPr>
        <w:tc>
          <w:tcPr>
            <w:tcW w:w="230" w:type="pct"/>
          </w:tcPr>
          <w:p w:rsidR="006F5F9F" w:rsidRPr="00DD49B6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1338" w:type="pct"/>
          </w:tcPr>
          <w:p w:rsidR="006F5F9F" w:rsidRPr="00DD49B6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izpildes iet</w:t>
            </w:r>
            <w:r>
              <w:t>ekme uz pār</w:t>
            </w:r>
            <w:r>
              <w:softHyphen/>
              <w:t xml:space="preserve">valdes funkcijām un </w:t>
            </w:r>
            <w:r w:rsidRPr="00DD49B6">
              <w:t>institucionālo struktūru.</w:t>
            </w:r>
          </w:p>
          <w:p w:rsidR="006F5F9F" w:rsidRPr="00DD49B6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>nizācija, to ietekme uz institūcijas cilvēkresursiem.</w:t>
            </w:r>
          </w:p>
        </w:tc>
        <w:tc>
          <w:tcPr>
            <w:tcW w:w="3432" w:type="pct"/>
          </w:tcPr>
          <w:p w:rsidR="006F5F9F" w:rsidRPr="00E24A36" w:rsidRDefault="006F5F9F" w:rsidP="008B5311">
            <w:pPr>
              <w:pStyle w:val="naisnod"/>
              <w:spacing w:before="0" w:after="0"/>
              <w:ind w:left="57" w:right="57" w:hanging="57"/>
            </w:pPr>
            <w:r w:rsidRPr="00E24A36">
              <w:t>Projekts šo jomu neskar.</w:t>
            </w:r>
          </w:p>
        </w:tc>
      </w:tr>
      <w:tr w:rsidR="006F5F9F" w:rsidRPr="00DD49B6" w:rsidTr="00881935">
        <w:trPr>
          <w:trHeight w:val="40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F" w:rsidRPr="00DD49B6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lastRenderedPageBreak/>
              <w:t>3.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F" w:rsidRPr="00DD49B6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F" w:rsidRPr="00DD49B6" w:rsidRDefault="006F5F9F" w:rsidP="008B53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B45C8D" w:rsidRDefault="000E1C40" w:rsidP="000E1C40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lang w:eastAsia="lv-LV"/>
        </w:rPr>
      </w:pPr>
      <w:r w:rsidRPr="000E1C40">
        <w:rPr>
          <w:rFonts w:ascii="Times New Roman" w:hAnsi="Times New Roman"/>
          <w:i/>
          <w:iCs/>
          <w:sz w:val="24"/>
          <w:szCs w:val="28"/>
          <w:lang w:eastAsia="lv-LV"/>
        </w:rPr>
        <w:t> </w:t>
      </w:r>
    </w:p>
    <w:p w:rsidR="004A07AB" w:rsidRPr="000E1C40" w:rsidRDefault="004A07AB" w:rsidP="000E1C40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7D3B2C" w:rsidRPr="00221248" w:rsidRDefault="00221248" w:rsidP="002212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1248">
        <w:rPr>
          <w:rFonts w:ascii="Times New Roman" w:hAnsi="Times New Roman"/>
          <w:sz w:val="24"/>
          <w:szCs w:val="24"/>
        </w:rPr>
        <w:t>Zemkopības ministr</w:t>
      </w:r>
      <w:r w:rsidR="006E2484">
        <w:rPr>
          <w:rFonts w:ascii="Times New Roman" w:hAnsi="Times New Roman"/>
          <w:sz w:val="24"/>
          <w:szCs w:val="24"/>
        </w:rPr>
        <w:t>s</w:t>
      </w:r>
      <w:r w:rsidRPr="00221248">
        <w:rPr>
          <w:rFonts w:ascii="Times New Roman" w:hAnsi="Times New Roman"/>
          <w:sz w:val="24"/>
          <w:szCs w:val="24"/>
        </w:rPr>
        <w:tab/>
      </w:r>
      <w:r w:rsidRPr="00221248">
        <w:rPr>
          <w:rFonts w:ascii="Times New Roman" w:hAnsi="Times New Roman"/>
          <w:sz w:val="24"/>
          <w:szCs w:val="24"/>
        </w:rPr>
        <w:tab/>
      </w:r>
      <w:r w:rsidRPr="00221248">
        <w:rPr>
          <w:rFonts w:ascii="Times New Roman" w:hAnsi="Times New Roman"/>
          <w:sz w:val="24"/>
          <w:szCs w:val="24"/>
        </w:rPr>
        <w:tab/>
      </w:r>
      <w:r w:rsidRPr="00221248">
        <w:rPr>
          <w:rFonts w:ascii="Times New Roman" w:hAnsi="Times New Roman"/>
          <w:sz w:val="24"/>
          <w:szCs w:val="24"/>
        </w:rPr>
        <w:tab/>
      </w:r>
      <w:r w:rsidRPr="00221248">
        <w:rPr>
          <w:rFonts w:ascii="Times New Roman" w:hAnsi="Times New Roman"/>
          <w:sz w:val="24"/>
          <w:szCs w:val="24"/>
        </w:rPr>
        <w:tab/>
      </w:r>
      <w:r w:rsidRPr="00221248">
        <w:rPr>
          <w:rFonts w:ascii="Times New Roman" w:hAnsi="Times New Roman"/>
          <w:sz w:val="24"/>
          <w:szCs w:val="24"/>
        </w:rPr>
        <w:tab/>
      </w:r>
      <w:r w:rsidRPr="00221248">
        <w:rPr>
          <w:rFonts w:ascii="Times New Roman" w:hAnsi="Times New Roman"/>
          <w:sz w:val="24"/>
          <w:szCs w:val="24"/>
        </w:rPr>
        <w:tab/>
      </w:r>
      <w:r w:rsidRPr="00221248">
        <w:rPr>
          <w:rFonts w:ascii="Times New Roman" w:hAnsi="Times New Roman"/>
          <w:sz w:val="24"/>
          <w:szCs w:val="24"/>
        </w:rPr>
        <w:tab/>
      </w:r>
      <w:proofErr w:type="spellStart"/>
      <w:r w:rsidR="006E2484">
        <w:rPr>
          <w:rFonts w:ascii="Times New Roman" w:hAnsi="Times New Roman"/>
          <w:sz w:val="24"/>
          <w:szCs w:val="24"/>
        </w:rPr>
        <w:t>J.Dūklavs</w:t>
      </w:r>
      <w:proofErr w:type="spellEnd"/>
    </w:p>
    <w:p w:rsidR="004A07AB" w:rsidRPr="00B32DF9" w:rsidRDefault="004A07AB" w:rsidP="000D6F10">
      <w:pPr>
        <w:spacing w:after="0"/>
        <w:rPr>
          <w:rFonts w:ascii="Times New Roman" w:hAnsi="Times New Roman"/>
          <w:sz w:val="20"/>
          <w:szCs w:val="20"/>
        </w:rPr>
      </w:pPr>
    </w:p>
    <w:p w:rsidR="005755A6" w:rsidRDefault="005755A6" w:rsidP="000D6F1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25.09.2015. 11:32</w:t>
      </w:r>
    </w:p>
    <w:p w:rsidR="00881935" w:rsidRDefault="00881935" w:rsidP="00B7443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NUMWORDS   \* MERGEFORMAT 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1563</w:t>
      </w:r>
      <w:r>
        <w:rPr>
          <w:rFonts w:ascii="Times New Roman" w:hAnsi="Times New Roman"/>
          <w:sz w:val="20"/>
        </w:rPr>
        <w:fldChar w:fldCharType="end"/>
      </w:r>
    </w:p>
    <w:p w:rsidR="005755A6" w:rsidRDefault="007108AD" w:rsidP="00B74435">
      <w:pPr>
        <w:spacing w:after="0"/>
        <w:rPr>
          <w:rFonts w:ascii="Times New Roman" w:hAnsi="Times New Roman"/>
          <w:sz w:val="20"/>
          <w:szCs w:val="20"/>
        </w:rPr>
      </w:pPr>
      <w:bookmarkStart w:id="9" w:name="_GoBack"/>
      <w:bookmarkEnd w:id="9"/>
      <w:r w:rsidRPr="00B74435">
        <w:rPr>
          <w:rFonts w:ascii="Times New Roman" w:hAnsi="Times New Roman"/>
          <w:sz w:val="20"/>
          <w:szCs w:val="20"/>
        </w:rPr>
        <w:t>L.Voiče</w:t>
      </w:r>
    </w:p>
    <w:p w:rsidR="00D05448" w:rsidRPr="00B74435" w:rsidRDefault="007108AD" w:rsidP="00B74435">
      <w:pPr>
        <w:spacing w:after="0"/>
        <w:rPr>
          <w:rFonts w:ascii="Times New Roman" w:hAnsi="Times New Roman"/>
          <w:sz w:val="20"/>
          <w:szCs w:val="20"/>
        </w:rPr>
      </w:pPr>
      <w:r w:rsidRPr="00B74435">
        <w:rPr>
          <w:rFonts w:ascii="Times New Roman" w:hAnsi="Times New Roman"/>
          <w:sz w:val="20"/>
          <w:szCs w:val="20"/>
        </w:rPr>
        <w:t>67027121, Linda.Voice</w:t>
      </w:r>
      <w:r w:rsidR="00D05448" w:rsidRPr="00B74435">
        <w:rPr>
          <w:rFonts w:ascii="Times New Roman" w:hAnsi="Times New Roman"/>
          <w:sz w:val="20"/>
          <w:szCs w:val="20"/>
        </w:rPr>
        <w:t>@zm.gov.lv</w:t>
      </w:r>
    </w:p>
    <w:sectPr w:rsidR="00D05448" w:rsidRPr="00B74435" w:rsidSect="000E299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71" w:rsidRDefault="00140471" w:rsidP="000D6F10">
      <w:pPr>
        <w:spacing w:after="0" w:line="240" w:lineRule="auto"/>
      </w:pPr>
      <w:r>
        <w:separator/>
      </w:r>
    </w:p>
  </w:endnote>
  <w:endnote w:type="continuationSeparator" w:id="0">
    <w:p w:rsidR="00140471" w:rsidRDefault="00140471" w:rsidP="000D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B6" w:rsidRPr="006C5E77" w:rsidRDefault="006C5E77" w:rsidP="006C5E77">
    <w:pPr>
      <w:pStyle w:val="naiskr"/>
      <w:spacing w:before="0" w:after="0"/>
      <w:jc w:val="both"/>
      <w:rPr>
        <w:sz w:val="20"/>
        <w:szCs w:val="20"/>
      </w:rPr>
    </w:pPr>
    <w:r w:rsidRPr="00F973E8">
      <w:rPr>
        <w:sz w:val="20"/>
        <w:szCs w:val="20"/>
      </w:rPr>
      <w:t>ZM</w:t>
    </w:r>
    <w:r>
      <w:rPr>
        <w:sz w:val="20"/>
        <w:szCs w:val="20"/>
      </w:rPr>
      <w:t>Anot_140915</w:t>
    </w:r>
    <w:r w:rsidRPr="00F973E8">
      <w:rPr>
        <w:sz w:val="20"/>
        <w:szCs w:val="20"/>
      </w:rPr>
      <w:t xml:space="preserve">; </w:t>
    </w:r>
    <w:r w:rsidRPr="008C5E6A">
      <w:rPr>
        <w:sz w:val="20"/>
        <w:szCs w:val="20"/>
      </w:rPr>
      <w:t>Grozījumi Ministru kabineta 201</w:t>
    </w:r>
    <w:r>
      <w:rPr>
        <w:sz w:val="20"/>
        <w:szCs w:val="20"/>
      </w:rPr>
      <w:t>5</w:t>
    </w:r>
    <w:r w:rsidRPr="008C5E6A">
      <w:rPr>
        <w:sz w:val="20"/>
        <w:szCs w:val="20"/>
      </w:rPr>
      <w:t xml:space="preserve">.gada </w:t>
    </w:r>
    <w:r>
      <w:rPr>
        <w:sz w:val="20"/>
        <w:szCs w:val="20"/>
      </w:rPr>
      <w:t>3.februāra</w:t>
    </w:r>
    <w:r w:rsidRPr="008C5E6A">
      <w:rPr>
        <w:sz w:val="20"/>
        <w:szCs w:val="20"/>
      </w:rPr>
      <w:t xml:space="preserve"> noteikumos Nr.</w:t>
    </w:r>
    <w:r>
      <w:rPr>
        <w:sz w:val="20"/>
        <w:szCs w:val="20"/>
      </w:rPr>
      <w:t>59</w:t>
    </w:r>
    <w:r w:rsidRPr="008C5E6A">
      <w:rPr>
        <w:sz w:val="20"/>
        <w:szCs w:val="20"/>
      </w:rPr>
      <w:t xml:space="preserve"> „</w:t>
    </w:r>
    <w:r w:rsidRPr="008B284C">
      <w:rPr>
        <w:sz w:val="20"/>
        <w:szCs w:val="20"/>
      </w:rPr>
      <w:t>Valsts un Eiropas Savienības atbalsta piešķiršanas kārtība investīciju veicināšanai lauksaimniecībā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11" w:rsidRPr="006C5E77" w:rsidRDefault="006C5E77" w:rsidP="006C5E77">
    <w:pPr>
      <w:pStyle w:val="naiskr"/>
      <w:spacing w:before="0" w:after="0"/>
      <w:jc w:val="both"/>
      <w:rPr>
        <w:sz w:val="20"/>
        <w:szCs w:val="20"/>
      </w:rPr>
    </w:pPr>
    <w:r w:rsidRPr="00F973E8">
      <w:rPr>
        <w:sz w:val="20"/>
        <w:szCs w:val="20"/>
      </w:rPr>
      <w:t>ZM</w:t>
    </w:r>
    <w:r>
      <w:rPr>
        <w:sz w:val="20"/>
        <w:szCs w:val="20"/>
      </w:rPr>
      <w:t>Anot_140915</w:t>
    </w:r>
    <w:r w:rsidRPr="00F973E8">
      <w:rPr>
        <w:sz w:val="20"/>
        <w:szCs w:val="20"/>
      </w:rPr>
      <w:t xml:space="preserve">; </w:t>
    </w:r>
    <w:r w:rsidRPr="008C5E6A">
      <w:rPr>
        <w:sz w:val="20"/>
        <w:szCs w:val="20"/>
      </w:rPr>
      <w:t>Grozījumi Ministru kabineta 201</w:t>
    </w:r>
    <w:r>
      <w:rPr>
        <w:sz w:val="20"/>
        <w:szCs w:val="20"/>
      </w:rPr>
      <w:t>5</w:t>
    </w:r>
    <w:r w:rsidRPr="008C5E6A">
      <w:rPr>
        <w:sz w:val="20"/>
        <w:szCs w:val="20"/>
      </w:rPr>
      <w:t xml:space="preserve">.gada </w:t>
    </w:r>
    <w:r>
      <w:rPr>
        <w:sz w:val="20"/>
        <w:szCs w:val="20"/>
      </w:rPr>
      <w:t>3.februāra</w:t>
    </w:r>
    <w:r w:rsidRPr="008C5E6A">
      <w:rPr>
        <w:sz w:val="20"/>
        <w:szCs w:val="20"/>
      </w:rPr>
      <w:t xml:space="preserve"> noteikumos Nr.</w:t>
    </w:r>
    <w:r>
      <w:rPr>
        <w:sz w:val="20"/>
        <w:szCs w:val="20"/>
      </w:rPr>
      <w:t>59</w:t>
    </w:r>
    <w:r w:rsidRPr="008C5E6A">
      <w:rPr>
        <w:sz w:val="20"/>
        <w:szCs w:val="20"/>
      </w:rPr>
      <w:t xml:space="preserve"> „</w:t>
    </w:r>
    <w:r w:rsidRPr="008B284C">
      <w:rPr>
        <w:sz w:val="20"/>
        <w:szCs w:val="20"/>
      </w:rPr>
      <w:t>Valsts un Eiropas Savienības atbalsta piešķiršanas kārtība investīciju veicināšanai lauksaimniecībā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71" w:rsidRDefault="00140471" w:rsidP="000D6F10">
      <w:pPr>
        <w:spacing w:after="0" w:line="240" w:lineRule="auto"/>
      </w:pPr>
      <w:r>
        <w:separator/>
      </w:r>
    </w:p>
  </w:footnote>
  <w:footnote w:type="continuationSeparator" w:id="0">
    <w:p w:rsidR="00140471" w:rsidRDefault="00140471" w:rsidP="000D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11" w:rsidRDefault="00024F53" w:rsidP="00EC59B6">
    <w:pPr>
      <w:pStyle w:val="Galvene"/>
      <w:jc w:val="center"/>
    </w:pPr>
    <w:r>
      <w:fldChar w:fldCharType="begin"/>
    </w:r>
    <w:r w:rsidR="008B5311">
      <w:instrText xml:space="preserve"> PAGE   \* MERGEFORMAT </w:instrText>
    </w:r>
    <w:r>
      <w:fldChar w:fldCharType="separate"/>
    </w:r>
    <w:r w:rsidR="00881935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E5F"/>
    <w:multiLevelType w:val="hybridMultilevel"/>
    <w:tmpl w:val="A532EF7A"/>
    <w:lvl w:ilvl="0" w:tplc="951CCF1A">
      <w:start w:val="3"/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DD07CC0"/>
    <w:multiLevelType w:val="hybridMultilevel"/>
    <w:tmpl w:val="564C2A42"/>
    <w:lvl w:ilvl="0" w:tplc="5CCC75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4C2CB6"/>
    <w:multiLevelType w:val="hybridMultilevel"/>
    <w:tmpl w:val="4D645F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F4559"/>
    <w:multiLevelType w:val="hybridMultilevel"/>
    <w:tmpl w:val="DD22E52E"/>
    <w:lvl w:ilvl="0" w:tplc="769800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7E3"/>
    <w:multiLevelType w:val="hybridMultilevel"/>
    <w:tmpl w:val="D42AE344"/>
    <w:lvl w:ilvl="0" w:tplc="0D061848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 w15:restartNumberingAfterBreak="0">
    <w:nsid w:val="7BA10FA4"/>
    <w:multiLevelType w:val="hybridMultilevel"/>
    <w:tmpl w:val="70865454"/>
    <w:lvl w:ilvl="0" w:tplc="19B22750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7" w:hanging="360"/>
      </w:pPr>
    </w:lvl>
    <w:lvl w:ilvl="2" w:tplc="0426001B" w:tentative="1">
      <w:start w:val="1"/>
      <w:numFmt w:val="lowerRoman"/>
      <w:lvlText w:val="%3."/>
      <w:lvlJc w:val="right"/>
      <w:pPr>
        <w:ind w:left="2287" w:hanging="180"/>
      </w:pPr>
    </w:lvl>
    <w:lvl w:ilvl="3" w:tplc="0426000F" w:tentative="1">
      <w:start w:val="1"/>
      <w:numFmt w:val="decimal"/>
      <w:lvlText w:val="%4."/>
      <w:lvlJc w:val="left"/>
      <w:pPr>
        <w:ind w:left="3007" w:hanging="360"/>
      </w:pPr>
    </w:lvl>
    <w:lvl w:ilvl="4" w:tplc="04260019" w:tentative="1">
      <w:start w:val="1"/>
      <w:numFmt w:val="lowerLetter"/>
      <w:lvlText w:val="%5."/>
      <w:lvlJc w:val="left"/>
      <w:pPr>
        <w:ind w:left="3727" w:hanging="360"/>
      </w:pPr>
    </w:lvl>
    <w:lvl w:ilvl="5" w:tplc="0426001B" w:tentative="1">
      <w:start w:val="1"/>
      <w:numFmt w:val="lowerRoman"/>
      <w:lvlText w:val="%6."/>
      <w:lvlJc w:val="right"/>
      <w:pPr>
        <w:ind w:left="4447" w:hanging="180"/>
      </w:pPr>
    </w:lvl>
    <w:lvl w:ilvl="6" w:tplc="0426000F" w:tentative="1">
      <w:start w:val="1"/>
      <w:numFmt w:val="decimal"/>
      <w:lvlText w:val="%7."/>
      <w:lvlJc w:val="left"/>
      <w:pPr>
        <w:ind w:left="5167" w:hanging="360"/>
      </w:pPr>
    </w:lvl>
    <w:lvl w:ilvl="7" w:tplc="04260019" w:tentative="1">
      <w:start w:val="1"/>
      <w:numFmt w:val="lowerLetter"/>
      <w:lvlText w:val="%8."/>
      <w:lvlJc w:val="left"/>
      <w:pPr>
        <w:ind w:left="5887" w:hanging="360"/>
      </w:pPr>
    </w:lvl>
    <w:lvl w:ilvl="8" w:tplc="0426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E38"/>
    <w:rsid w:val="0000330C"/>
    <w:rsid w:val="00016696"/>
    <w:rsid w:val="0002194E"/>
    <w:rsid w:val="000231BB"/>
    <w:rsid w:val="00024F53"/>
    <w:rsid w:val="00030E56"/>
    <w:rsid w:val="00054DB4"/>
    <w:rsid w:val="00060F03"/>
    <w:rsid w:val="000748C0"/>
    <w:rsid w:val="00084BF1"/>
    <w:rsid w:val="00091D8A"/>
    <w:rsid w:val="00091FEA"/>
    <w:rsid w:val="00096C32"/>
    <w:rsid w:val="000A010B"/>
    <w:rsid w:val="000A4C3A"/>
    <w:rsid w:val="000B0ACF"/>
    <w:rsid w:val="000B494B"/>
    <w:rsid w:val="000C3925"/>
    <w:rsid w:val="000C4A47"/>
    <w:rsid w:val="000C54EC"/>
    <w:rsid w:val="000C6429"/>
    <w:rsid w:val="000D5276"/>
    <w:rsid w:val="000D6F10"/>
    <w:rsid w:val="000E1C40"/>
    <w:rsid w:val="000E2990"/>
    <w:rsid w:val="000F693C"/>
    <w:rsid w:val="000F7418"/>
    <w:rsid w:val="00102227"/>
    <w:rsid w:val="0010413A"/>
    <w:rsid w:val="001069B2"/>
    <w:rsid w:val="00114F71"/>
    <w:rsid w:val="00116002"/>
    <w:rsid w:val="0011732C"/>
    <w:rsid w:val="001205FA"/>
    <w:rsid w:val="0012274B"/>
    <w:rsid w:val="00125E72"/>
    <w:rsid w:val="00127926"/>
    <w:rsid w:val="00140471"/>
    <w:rsid w:val="00152210"/>
    <w:rsid w:val="0015290B"/>
    <w:rsid w:val="00155970"/>
    <w:rsid w:val="0015792F"/>
    <w:rsid w:val="00171074"/>
    <w:rsid w:val="00175072"/>
    <w:rsid w:val="00183ADE"/>
    <w:rsid w:val="001908E6"/>
    <w:rsid w:val="00190EC7"/>
    <w:rsid w:val="0019782C"/>
    <w:rsid w:val="001A11B1"/>
    <w:rsid w:val="001A696C"/>
    <w:rsid w:val="001B0512"/>
    <w:rsid w:val="001B3D4F"/>
    <w:rsid w:val="001C68E5"/>
    <w:rsid w:val="001D4C0F"/>
    <w:rsid w:val="001E592D"/>
    <w:rsid w:val="00203AD0"/>
    <w:rsid w:val="0020745B"/>
    <w:rsid w:val="002102EB"/>
    <w:rsid w:val="0021269C"/>
    <w:rsid w:val="00212CC3"/>
    <w:rsid w:val="00215577"/>
    <w:rsid w:val="00216D0D"/>
    <w:rsid w:val="002205DC"/>
    <w:rsid w:val="00220A48"/>
    <w:rsid w:val="00221248"/>
    <w:rsid w:val="002217DF"/>
    <w:rsid w:val="00224CA9"/>
    <w:rsid w:val="00230D39"/>
    <w:rsid w:val="002445B2"/>
    <w:rsid w:val="00246BB5"/>
    <w:rsid w:val="00251B0C"/>
    <w:rsid w:val="002629B4"/>
    <w:rsid w:val="00265894"/>
    <w:rsid w:val="002662E1"/>
    <w:rsid w:val="0027196D"/>
    <w:rsid w:val="00272BBB"/>
    <w:rsid w:val="002744F0"/>
    <w:rsid w:val="002756BB"/>
    <w:rsid w:val="002855A3"/>
    <w:rsid w:val="0028773B"/>
    <w:rsid w:val="00293F9C"/>
    <w:rsid w:val="002A23E8"/>
    <w:rsid w:val="002B0805"/>
    <w:rsid w:val="002B1BC2"/>
    <w:rsid w:val="002B2A8C"/>
    <w:rsid w:val="002B71A5"/>
    <w:rsid w:val="002C27C8"/>
    <w:rsid w:val="002C3F5A"/>
    <w:rsid w:val="002D302A"/>
    <w:rsid w:val="002D424A"/>
    <w:rsid w:val="002D768D"/>
    <w:rsid w:val="002E1633"/>
    <w:rsid w:val="002E7500"/>
    <w:rsid w:val="002E7E19"/>
    <w:rsid w:val="002F0F00"/>
    <w:rsid w:val="002F45CF"/>
    <w:rsid w:val="002F45E9"/>
    <w:rsid w:val="002F686A"/>
    <w:rsid w:val="002F773E"/>
    <w:rsid w:val="00307599"/>
    <w:rsid w:val="00310BE0"/>
    <w:rsid w:val="00315F80"/>
    <w:rsid w:val="00316466"/>
    <w:rsid w:val="003175A7"/>
    <w:rsid w:val="00323975"/>
    <w:rsid w:val="00336E76"/>
    <w:rsid w:val="00351238"/>
    <w:rsid w:val="00354B2D"/>
    <w:rsid w:val="003575DD"/>
    <w:rsid w:val="00365CE3"/>
    <w:rsid w:val="003813AA"/>
    <w:rsid w:val="00381CC5"/>
    <w:rsid w:val="003909C0"/>
    <w:rsid w:val="00396268"/>
    <w:rsid w:val="003A086F"/>
    <w:rsid w:val="003A1E94"/>
    <w:rsid w:val="003A2EB0"/>
    <w:rsid w:val="003A4BAB"/>
    <w:rsid w:val="003A789E"/>
    <w:rsid w:val="003B33B7"/>
    <w:rsid w:val="003B3F4F"/>
    <w:rsid w:val="003B5362"/>
    <w:rsid w:val="003B6079"/>
    <w:rsid w:val="003B74AB"/>
    <w:rsid w:val="003C1175"/>
    <w:rsid w:val="003C3E32"/>
    <w:rsid w:val="003D284A"/>
    <w:rsid w:val="003E0EA4"/>
    <w:rsid w:val="003E4683"/>
    <w:rsid w:val="003E5D82"/>
    <w:rsid w:val="003E5EFA"/>
    <w:rsid w:val="003F0D45"/>
    <w:rsid w:val="003F4FE0"/>
    <w:rsid w:val="0040434F"/>
    <w:rsid w:val="00413A83"/>
    <w:rsid w:val="0041578D"/>
    <w:rsid w:val="00416CCF"/>
    <w:rsid w:val="00417FBF"/>
    <w:rsid w:val="004264CD"/>
    <w:rsid w:val="00435D3C"/>
    <w:rsid w:val="00437E4A"/>
    <w:rsid w:val="004409AA"/>
    <w:rsid w:val="004549EF"/>
    <w:rsid w:val="00462228"/>
    <w:rsid w:val="00467810"/>
    <w:rsid w:val="00476492"/>
    <w:rsid w:val="00477669"/>
    <w:rsid w:val="0048403F"/>
    <w:rsid w:val="0048636A"/>
    <w:rsid w:val="0049736E"/>
    <w:rsid w:val="004A07AB"/>
    <w:rsid w:val="004A0BDF"/>
    <w:rsid w:val="004A6FE8"/>
    <w:rsid w:val="004B07EA"/>
    <w:rsid w:val="004D6E18"/>
    <w:rsid w:val="004E17FF"/>
    <w:rsid w:val="004E38B3"/>
    <w:rsid w:val="004F0B5A"/>
    <w:rsid w:val="004F1D37"/>
    <w:rsid w:val="00502978"/>
    <w:rsid w:val="0050577E"/>
    <w:rsid w:val="00515677"/>
    <w:rsid w:val="00522F94"/>
    <w:rsid w:val="00523298"/>
    <w:rsid w:val="005270E4"/>
    <w:rsid w:val="00533B4D"/>
    <w:rsid w:val="0053550A"/>
    <w:rsid w:val="00545652"/>
    <w:rsid w:val="00553AAB"/>
    <w:rsid w:val="005554F8"/>
    <w:rsid w:val="005560FA"/>
    <w:rsid w:val="005620FC"/>
    <w:rsid w:val="00565963"/>
    <w:rsid w:val="00567186"/>
    <w:rsid w:val="005755A6"/>
    <w:rsid w:val="00577536"/>
    <w:rsid w:val="00577A21"/>
    <w:rsid w:val="00577A3D"/>
    <w:rsid w:val="00581B0D"/>
    <w:rsid w:val="0058384B"/>
    <w:rsid w:val="005907EC"/>
    <w:rsid w:val="005B7F8A"/>
    <w:rsid w:val="005C0F14"/>
    <w:rsid w:val="005C4939"/>
    <w:rsid w:val="005C4A1D"/>
    <w:rsid w:val="005C6719"/>
    <w:rsid w:val="005E5293"/>
    <w:rsid w:val="005E603A"/>
    <w:rsid w:val="005E6639"/>
    <w:rsid w:val="005E7DA8"/>
    <w:rsid w:val="005F4330"/>
    <w:rsid w:val="00600CD4"/>
    <w:rsid w:val="0060520F"/>
    <w:rsid w:val="0061075B"/>
    <w:rsid w:val="00610E3E"/>
    <w:rsid w:val="006217C6"/>
    <w:rsid w:val="0063469A"/>
    <w:rsid w:val="00635C74"/>
    <w:rsid w:val="0065787F"/>
    <w:rsid w:val="00670052"/>
    <w:rsid w:val="00673B0D"/>
    <w:rsid w:val="00674B8F"/>
    <w:rsid w:val="006829B0"/>
    <w:rsid w:val="006833CA"/>
    <w:rsid w:val="00687CB4"/>
    <w:rsid w:val="00691224"/>
    <w:rsid w:val="006918D8"/>
    <w:rsid w:val="006A0964"/>
    <w:rsid w:val="006A180A"/>
    <w:rsid w:val="006A53F8"/>
    <w:rsid w:val="006B172E"/>
    <w:rsid w:val="006B1A69"/>
    <w:rsid w:val="006B79A8"/>
    <w:rsid w:val="006C2C1A"/>
    <w:rsid w:val="006C5DC4"/>
    <w:rsid w:val="006C5E77"/>
    <w:rsid w:val="006D296B"/>
    <w:rsid w:val="006E2484"/>
    <w:rsid w:val="006E3FF4"/>
    <w:rsid w:val="006E63FC"/>
    <w:rsid w:val="006E66AE"/>
    <w:rsid w:val="006F246B"/>
    <w:rsid w:val="006F40AB"/>
    <w:rsid w:val="006F5F9F"/>
    <w:rsid w:val="00701F6E"/>
    <w:rsid w:val="00704084"/>
    <w:rsid w:val="00705DE5"/>
    <w:rsid w:val="007108AD"/>
    <w:rsid w:val="0071281F"/>
    <w:rsid w:val="00713414"/>
    <w:rsid w:val="0077427E"/>
    <w:rsid w:val="00776F85"/>
    <w:rsid w:val="0078377A"/>
    <w:rsid w:val="00783EEA"/>
    <w:rsid w:val="007862F4"/>
    <w:rsid w:val="00790C83"/>
    <w:rsid w:val="0079281C"/>
    <w:rsid w:val="007A42EF"/>
    <w:rsid w:val="007A7182"/>
    <w:rsid w:val="007B107B"/>
    <w:rsid w:val="007B1980"/>
    <w:rsid w:val="007C3DF5"/>
    <w:rsid w:val="007D3B2C"/>
    <w:rsid w:val="007E15D3"/>
    <w:rsid w:val="007E2AF6"/>
    <w:rsid w:val="007E7967"/>
    <w:rsid w:val="007E797C"/>
    <w:rsid w:val="007F4174"/>
    <w:rsid w:val="0081091E"/>
    <w:rsid w:val="00815F63"/>
    <w:rsid w:val="008258F8"/>
    <w:rsid w:val="00830D8C"/>
    <w:rsid w:val="008347F6"/>
    <w:rsid w:val="00840271"/>
    <w:rsid w:val="00844D64"/>
    <w:rsid w:val="00844D7F"/>
    <w:rsid w:val="00851920"/>
    <w:rsid w:val="00854149"/>
    <w:rsid w:val="00854192"/>
    <w:rsid w:val="0085704D"/>
    <w:rsid w:val="00864302"/>
    <w:rsid w:val="008648ED"/>
    <w:rsid w:val="008776F6"/>
    <w:rsid w:val="00877F9A"/>
    <w:rsid w:val="00880B88"/>
    <w:rsid w:val="00881935"/>
    <w:rsid w:val="00890C56"/>
    <w:rsid w:val="008A6621"/>
    <w:rsid w:val="008B5311"/>
    <w:rsid w:val="008C0D20"/>
    <w:rsid w:val="008C6D14"/>
    <w:rsid w:val="008D1BFB"/>
    <w:rsid w:val="008D3F80"/>
    <w:rsid w:val="008E38B4"/>
    <w:rsid w:val="008E4705"/>
    <w:rsid w:val="008F1C51"/>
    <w:rsid w:val="008F20DD"/>
    <w:rsid w:val="008F30F8"/>
    <w:rsid w:val="00910906"/>
    <w:rsid w:val="00913C8E"/>
    <w:rsid w:val="00916A7A"/>
    <w:rsid w:val="00925D26"/>
    <w:rsid w:val="00925E8B"/>
    <w:rsid w:val="0093399B"/>
    <w:rsid w:val="00940A95"/>
    <w:rsid w:val="009446E2"/>
    <w:rsid w:val="00955F47"/>
    <w:rsid w:val="00960EA4"/>
    <w:rsid w:val="00965F14"/>
    <w:rsid w:val="00980533"/>
    <w:rsid w:val="0098072E"/>
    <w:rsid w:val="00984910"/>
    <w:rsid w:val="00987227"/>
    <w:rsid w:val="0099264F"/>
    <w:rsid w:val="00992F66"/>
    <w:rsid w:val="009957BB"/>
    <w:rsid w:val="00996F3A"/>
    <w:rsid w:val="0099723A"/>
    <w:rsid w:val="009A0765"/>
    <w:rsid w:val="009A19F8"/>
    <w:rsid w:val="009A2CFF"/>
    <w:rsid w:val="009C2290"/>
    <w:rsid w:val="009D27D4"/>
    <w:rsid w:val="009D28FE"/>
    <w:rsid w:val="009E00E0"/>
    <w:rsid w:val="009E42DA"/>
    <w:rsid w:val="009E43C2"/>
    <w:rsid w:val="009E487B"/>
    <w:rsid w:val="009E69BC"/>
    <w:rsid w:val="009E6F7D"/>
    <w:rsid w:val="009F46EC"/>
    <w:rsid w:val="009F5C63"/>
    <w:rsid w:val="009F5CA2"/>
    <w:rsid w:val="00A02A4B"/>
    <w:rsid w:val="00A071DA"/>
    <w:rsid w:val="00A1104D"/>
    <w:rsid w:val="00A13BEA"/>
    <w:rsid w:val="00A26BB4"/>
    <w:rsid w:val="00A30A9B"/>
    <w:rsid w:val="00A50C8A"/>
    <w:rsid w:val="00A57037"/>
    <w:rsid w:val="00A666BF"/>
    <w:rsid w:val="00A6674F"/>
    <w:rsid w:val="00A70317"/>
    <w:rsid w:val="00A76ADD"/>
    <w:rsid w:val="00A92D1D"/>
    <w:rsid w:val="00AB0A0C"/>
    <w:rsid w:val="00AB3085"/>
    <w:rsid w:val="00AB4827"/>
    <w:rsid w:val="00AC23AE"/>
    <w:rsid w:val="00AC30E6"/>
    <w:rsid w:val="00AC4A36"/>
    <w:rsid w:val="00AC4F6D"/>
    <w:rsid w:val="00AD0063"/>
    <w:rsid w:val="00AD221F"/>
    <w:rsid w:val="00AD52EB"/>
    <w:rsid w:val="00AE77F1"/>
    <w:rsid w:val="00AE7A22"/>
    <w:rsid w:val="00AF227B"/>
    <w:rsid w:val="00B03BC2"/>
    <w:rsid w:val="00B10DBA"/>
    <w:rsid w:val="00B20DCE"/>
    <w:rsid w:val="00B232A4"/>
    <w:rsid w:val="00B30C9A"/>
    <w:rsid w:val="00B32DF9"/>
    <w:rsid w:val="00B45415"/>
    <w:rsid w:val="00B45C8D"/>
    <w:rsid w:val="00B46980"/>
    <w:rsid w:val="00B47897"/>
    <w:rsid w:val="00B5180C"/>
    <w:rsid w:val="00B51F43"/>
    <w:rsid w:val="00B60166"/>
    <w:rsid w:val="00B60FC5"/>
    <w:rsid w:val="00B621D1"/>
    <w:rsid w:val="00B65050"/>
    <w:rsid w:val="00B6723D"/>
    <w:rsid w:val="00B74435"/>
    <w:rsid w:val="00B7472E"/>
    <w:rsid w:val="00B80AE0"/>
    <w:rsid w:val="00B84687"/>
    <w:rsid w:val="00B84DD2"/>
    <w:rsid w:val="00B92C9B"/>
    <w:rsid w:val="00B93385"/>
    <w:rsid w:val="00B93835"/>
    <w:rsid w:val="00B94CE1"/>
    <w:rsid w:val="00B9618A"/>
    <w:rsid w:val="00B97C52"/>
    <w:rsid w:val="00BA37B9"/>
    <w:rsid w:val="00BC5D15"/>
    <w:rsid w:val="00BC6686"/>
    <w:rsid w:val="00BD3C7E"/>
    <w:rsid w:val="00BE2051"/>
    <w:rsid w:val="00BE4809"/>
    <w:rsid w:val="00BF11B6"/>
    <w:rsid w:val="00BF45E4"/>
    <w:rsid w:val="00BF68B3"/>
    <w:rsid w:val="00BF7B1C"/>
    <w:rsid w:val="00C00E54"/>
    <w:rsid w:val="00C02605"/>
    <w:rsid w:val="00C030DD"/>
    <w:rsid w:val="00C051F7"/>
    <w:rsid w:val="00C10C53"/>
    <w:rsid w:val="00C11985"/>
    <w:rsid w:val="00C1199B"/>
    <w:rsid w:val="00C234C8"/>
    <w:rsid w:val="00C301E7"/>
    <w:rsid w:val="00C4248B"/>
    <w:rsid w:val="00C44C32"/>
    <w:rsid w:val="00C503D3"/>
    <w:rsid w:val="00C56EF9"/>
    <w:rsid w:val="00C5717D"/>
    <w:rsid w:val="00C6470A"/>
    <w:rsid w:val="00C70F1F"/>
    <w:rsid w:val="00C74FCC"/>
    <w:rsid w:val="00C769AC"/>
    <w:rsid w:val="00C77227"/>
    <w:rsid w:val="00CA19EF"/>
    <w:rsid w:val="00CD38DF"/>
    <w:rsid w:val="00CE62CB"/>
    <w:rsid w:val="00CF0EA1"/>
    <w:rsid w:val="00CF2CF8"/>
    <w:rsid w:val="00CF3766"/>
    <w:rsid w:val="00CF5E8F"/>
    <w:rsid w:val="00D007D4"/>
    <w:rsid w:val="00D01A12"/>
    <w:rsid w:val="00D05448"/>
    <w:rsid w:val="00D06870"/>
    <w:rsid w:val="00D247BA"/>
    <w:rsid w:val="00D2573D"/>
    <w:rsid w:val="00D25E38"/>
    <w:rsid w:val="00D30F1D"/>
    <w:rsid w:val="00D31790"/>
    <w:rsid w:val="00D3305D"/>
    <w:rsid w:val="00D3434A"/>
    <w:rsid w:val="00D3758F"/>
    <w:rsid w:val="00D379DE"/>
    <w:rsid w:val="00D4065C"/>
    <w:rsid w:val="00D431AD"/>
    <w:rsid w:val="00D45354"/>
    <w:rsid w:val="00D50B3C"/>
    <w:rsid w:val="00D5133C"/>
    <w:rsid w:val="00D635C0"/>
    <w:rsid w:val="00D64466"/>
    <w:rsid w:val="00D67627"/>
    <w:rsid w:val="00D763BF"/>
    <w:rsid w:val="00D83223"/>
    <w:rsid w:val="00D83926"/>
    <w:rsid w:val="00D84D32"/>
    <w:rsid w:val="00D84E47"/>
    <w:rsid w:val="00D8718B"/>
    <w:rsid w:val="00D87687"/>
    <w:rsid w:val="00D94661"/>
    <w:rsid w:val="00D951B0"/>
    <w:rsid w:val="00D97368"/>
    <w:rsid w:val="00DA261C"/>
    <w:rsid w:val="00DA36BA"/>
    <w:rsid w:val="00DA52DC"/>
    <w:rsid w:val="00DB5382"/>
    <w:rsid w:val="00DB550A"/>
    <w:rsid w:val="00DC5223"/>
    <w:rsid w:val="00DD599D"/>
    <w:rsid w:val="00DE04C6"/>
    <w:rsid w:val="00DE2665"/>
    <w:rsid w:val="00DE37D5"/>
    <w:rsid w:val="00DE4BA6"/>
    <w:rsid w:val="00DE5CEF"/>
    <w:rsid w:val="00DE5DFD"/>
    <w:rsid w:val="00E06C8B"/>
    <w:rsid w:val="00E13C62"/>
    <w:rsid w:val="00E14524"/>
    <w:rsid w:val="00E159FE"/>
    <w:rsid w:val="00E15D63"/>
    <w:rsid w:val="00E2230B"/>
    <w:rsid w:val="00E23B65"/>
    <w:rsid w:val="00E241CE"/>
    <w:rsid w:val="00E32757"/>
    <w:rsid w:val="00E45D40"/>
    <w:rsid w:val="00E509AD"/>
    <w:rsid w:val="00E51774"/>
    <w:rsid w:val="00E55705"/>
    <w:rsid w:val="00E559AE"/>
    <w:rsid w:val="00E564BB"/>
    <w:rsid w:val="00E66B53"/>
    <w:rsid w:val="00E75155"/>
    <w:rsid w:val="00E757D4"/>
    <w:rsid w:val="00E82DC2"/>
    <w:rsid w:val="00E83EEF"/>
    <w:rsid w:val="00E8439D"/>
    <w:rsid w:val="00E878B8"/>
    <w:rsid w:val="00EA0323"/>
    <w:rsid w:val="00EA1AD7"/>
    <w:rsid w:val="00EA20B0"/>
    <w:rsid w:val="00EC03EA"/>
    <w:rsid w:val="00EC3669"/>
    <w:rsid w:val="00EC59B6"/>
    <w:rsid w:val="00ED186E"/>
    <w:rsid w:val="00EF21F0"/>
    <w:rsid w:val="00EF630C"/>
    <w:rsid w:val="00EF6537"/>
    <w:rsid w:val="00EF75E5"/>
    <w:rsid w:val="00F0443A"/>
    <w:rsid w:val="00F0533F"/>
    <w:rsid w:val="00F05789"/>
    <w:rsid w:val="00F0618D"/>
    <w:rsid w:val="00F10C2F"/>
    <w:rsid w:val="00F1261B"/>
    <w:rsid w:val="00F1271A"/>
    <w:rsid w:val="00F21AE1"/>
    <w:rsid w:val="00F235A5"/>
    <w:rsid w:val="00F25EB8"/>
    <w:rsid w:val="00F26C83"/>
    <w:rsid w:val="00F32794"/>
    <w:rsid w:val="00F34878"/>
    <w:rsid w:val="00F34B14"/>
    <w:rsid w:val="00F34FE5"/>
    <w:rsid w:val="00F36FCB"/>
    <w:rsid w:val="00F40865"/>
    <w:rsid w:val="00F50AB1"/>
    <w:rsid w:val="00F62CB4"/>
    <w:rsid w:val="00F64A17"/>
    <w:rsid w:val="00F65B62"/>
    <w:rsid w:val="00F74B70"/>
    <w:rsid w:val="00F74C86"/>
    <w:rsid w:val="00F81338"/>
    <w:rsid w:val="00F821D2"/>
    <w:rsid w:val="00F82333"/>
    <w:rsid w:val="00F878CE"/>
    <w:rsid w:val="00F950B2"/>
    <w:rsid w:val="00FA078F"/>
    <w:rsid w:val="00FA0B91"/>
    <w:rsid w:val="00FB12C1"/>
    <w:rsid w:val="00FD6C0B"/>
    <w:rsid w:val="00FE39F2"/>
    <w:rsid w:val="00FE702D"/>
    <w:rsid w:val="00FF5291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E140DF90-6E0E-453F-B4A2-2BF8DAD0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69B2"/>
    <w:pPr>
      <w:spacing w:after="200" w:line="276" w:lineRule="auto"/>
    </w:pPr>
    <w:rPr>
      <w:sz w:val="22"/>
      <w:szCs w:val="22"/>
      <w:lang w:eastAsia="en-US"/>
    </w:rPr>
  </w:style>
  <w:style w:type="paragraph" w:styleId="Virsraksts3">
    <w:name w:val="heading 3"/>
    <w:basedOn w:val="Parasts"/>
    <w:link w:val="Virsraksts3Rakstz"/>
    <w:uiPriority w:val="9"/>
    <w:qFormat/>
    <w:locked/>
    <w:rsid w:val="006F5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815F6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0D6F1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GalveneRakstz">
    <w:name w:val="Galvene Rakstz."/>
    <w:link w:val="Galvene"/>
    <w:uiPriority w:val="99"/>
    <w:locked/>
    <w:rsid w:val="000D6F10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0D6F1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KjeneRakstz">
    <w:name w:val="Kājene Rakstz."/>
    <w:link w:val="Kjene"/>
    <w:uiPriority w:val="99"/>
    <w:locked/>
    <w:rsid w:val="000D6F10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0D6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D6F10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semiHidden/>
    <w:unhideWhenUsed/>
    <w:rsid w:val="00B10DBA"/>
    <w:rPr>
      <w:color w:val="0000FF"/>
      <w:u w:val="single"/>
    </w:rPr>
  </w:style>
  <w:style w:type="paragraph" w:styleId="Pamattekstaatkpe2">
    <w:name w:val="Body Text Indent 2"/>
    <w:basedOn w:val="Parasts"/>
    <w:rsid w:val="00B45C8D"/>
    <w:pPr>
      <w:spacing w:after="0" w:line="240" w:lineRule="auto"/>
      <w:ind w:firstLine="435"/>
      <w:jc w:val="both"/>
    </w:pPr>
    <w:rPr>
      <w:rFonts w:ascii="Times New Roman" w:eastAsia="Times New Roman" w:hAnsi="Times New Roman"/>
      <w:sz w:val="24"/>
      <w:szCs w:val="20"/>
    </w:rPr>
  </w:style>
  <w:style w:type="character" w:styleId="Komentraatsauce">
    <w:name w:val="annotation reference"/>
    <w:semiHidden/>
    <w:rsid w:val="00523298"/>
    <w:rPr>
      <w:sz w:val="16"/>
      <w:szCs w:val="16"/>
    </w:rPr>
  </w:style>
  <w:style w:type="paragraph" w:styleId="Komentrateksts">
    <w:name w:val="annotation text"/>
    <w:basedOn w:val="Parasts"/>
    <w:semiHidden/>
    <w:rsid w:val="0052329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523298"/>
    <w:rPr>
      <w:b/>
      <w:bCs/>
    </w:rPr>
  </w:style>
  <w:style w:type="character" w:customStyle="1" w:styleId="Virsraksts3Rakstz">
    <w:name w:val="Virsraksts 3 Rakstz."/>
    <w:link w:val="Virsraksts3"/>
    <w:uiPriority w:val="9"/>
    <w:rsid w:val="006F5F9F"/>
    <w:rPr>
      <w:rFonts w:ascii="Times New Roman" w:eastAsia="Times New Roman" w:hAnsi="Times New Roman"/>
      <w:b/>
      <w:bCs/>
      <w:sz w:val="27"/>
      <w:szCs w:val="27"/>
    </w:rPr>
  </w:style>
  <w:style w:type="paragraph" w:styleId="Paraststmeklis">
    <w:name w:val="Normal (Web)"/>
    <w:basedOn w:val="Parasts"/>
    <w:uiPriority w:val="99"/>
    <w:unhideWhenUsed/>
    <w:rsid w:val="00054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2102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2E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102EB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3A32-EC3A-494A-8B1B-86257F5F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1582</Words>
  <Characters>10982</Characters>
  <Application>Microsoft Office Word</Application>
  <DocSecurity>0</DocSecurity>
  <Lines>457</Lines>
  <Paragraphs>176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projekts"Kārtība, kādā piešķir valsts un Eiropas Savienības atbalstu investīciju veicināšanai lauksaimniecībā un investīcijām materiālās bāzes pilnveidošanai” sākotnējās ietekmes novērtējuma ziņojums (anotācija)</vt:lpstr>
      <vt:lpstr>Ministru kabineta noteikumu projekts"Kārtība, kādā piešķir valsts un Eiropas Savienības atbalstu investīciju veicināšanai lauksaimniecībā un investīcijām materiālās bāzes pilnveidošanai” sākotnējās ietekmes novērtējuma ziņojums (anotācija)</vt:lpstr>
    </vt:vector>
  </TitlesOfParts>
  <Company>Zemkopības Ministrija</Company>
  <LinksUpToDate>false</LinksUpToDate>
  <CharactersWithSpaces>12388</CharactersWithSpaces>
  <SharedDoc>false</SharedDoc>
  <HLinks>
    <vt:vector size="48" baseType="variant"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http://pro.nais.lv/naiser/esdoc.cfm?esid=32006R1857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7012465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http://pro.nais.lv/naiser/esdoc.cfm?esid=32006R1857</vt:lpwstr>
      </vt:variant>
      <vt:variant>
        <vt:lpwstr/>
      </vt:variant>
      <vt:variant>
        <vt:i4>1572937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projekts"Kārtība, kādā piešķir valsts un Eiropas Savienības atbalstu investīciju veicināšanai lauksaimniecībā un investīcijām materiālās bāzes pilnveidošanai” sākotnējās ietekmes novērtējuma ziņojums (anotācija)</dc:title>
  <dc:subject>Anotācija</dc:subject>
  <dc:creator>Ritvars Zapereckis</dc:creator>
  <cp:lastModifiedBy>Alise Apalupa</cp:lastModifiedBy>
  <cp:revision>6</cp:revision>
  <cp:lastPrinted>2014-04-23T07:37:00Z</cp:lastPrinted>
  <dcterms:created xsi:type="dcterms:W3CDTF">2015-09-25T08:23:00Z</dcterms:created>
  <dcterms:modified xsi:type="dcterms:W3CDTF">2015-09-25T08:34:00Z</dcterms:modified>
</cp:coreProperties>
</file>