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8" w:rsidRPr="005110AC" w:rsidRDefault="00810A68" w:rsidP="00810A68">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5110AC">
        <w:rPr>
          <w:rFonts w:ascii="Times New Roman" w:hAnsi="Times New Roman" w:cs="Times New Roman"/>
          <w:b/>
          <w:sz w:val="25"/>
          <w:szCs w:val="25"/>
        </w:rPr>
        <w:t>Ministru kabineta noteikumu projekta „</w:t>
      </w:r>
      <w:r w:rsidR="00A66AA5" w:rsidRPr="005110AC">
        <w:rPr>
          <w:rFonts w:ascii="Times New Roman" w:hAnsi="Times New Roman" w:cs="Times New Roman"/>
          <w:b/>
          <w:bCs/>
          <w:sz w:val="25"/>
          <w:szCs w:val="25"/>
        </w:rPr>
        <w:t>Grozījumi</w:t>
      </w:r>
      <w:r w:rsidRPr="005110AC">
        <w:rPr>
          <w:rFonts w:ascii="Times New Roman" w:hAnsi="Times New Roman" w:cs="Times New Roman"/>
          <w:b/>
          <w:bCs/>
          <w:sz w:val="56"/>
          <w:szCs w:val="25"/>
        </w:rPr>
        <w:t xml:space="preserve"> </w:t>
      </w:r>
      <w:r w:rsidRPr="005110AC">
        <w:rPr>
          <w:rFonts w:ascii="Times New Roman" w:hAnsi="Times New Roman" w:cs="Times New Roman"/>
          <w:b/>
          <w:bCs/>
          <w:sz w:val="25"/>
          <w:szCs w:val="25"/>
        </w:rPr>
        <w:t xml:space="preserve">Ministru kabineta 2009.gada 17.jūnija noteikumos Nr.582 </w:t>
      </w:r>
      <w:r w:rsidRPr="005110AC">
        <w:rPr>
          <w:rFonts w:ascii="Times New Roman" w:hAnsi="Times New Roman" w:cs="Times New Roman"/>
          <w:b/>
          <w:sz w:val="25"/>
          <w:szCs w:val="25"/>
        </w:rPr>
        <w:t>„Noteikumi par darbības programmas „Uzņēmējdarbība un inovācijas” papildinājuma 2.3.1.1.1.apakšaktivitātes „Ārējo tirgu apgūšana – ārējais mārketings” sesto un turpmākajām kārtām</w:t>
      </w:r>
      <w:r w:rsidRPr="005110AC">
        <w:rPr>
          <w:rFonts w:ascii="Times New Roman" w:hAnsi="Times New Roman" w:cs="Times New Roman"/>
          <w:b/>
          <w:bCs/>
          <w:sz w:val="25"/>
          <w:szCs w:val="25"/>
        </w:rPr>
        <w:t>””</w:t>
      </w:r>
      <w:r w:rsidRPr="005110AC">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10A68" w:rsidRPr="005110AC" w:rsidRDefault="00810A68"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701"/>
        <w:gridCol w:w="6663"/>
      </w:tblGrid>
      <w:tr w:rsidR="00810A68" w:rsidRPr="005110AC" w:rsidTr="0079679B">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5110AC" w:rsidRDefault="00810A68" w:rsidP="009C3368">
            <w:pPr>
              <w:spacing w:after="0" w:line="240" w:lineRule="auto"/>
              <w:jc w:val="center"/>
              <w:rPr>
                <w:rFonts w:ascii="Times New Roman" w:eastAsia="Times New Roman" w:hAnsi="Times New Roman" w:cs="Times New Roman"/>
                <w:b/>
                <w:sz w:val="25"/>
                <w:szCs w:val="25"/>
                <w:lang w:eastAsia="lv-LV"/>
              </w:rPr>
            </w:pPr>
            <w:r w:rsidRPr="005110AC">
              <w:rPr>
                <w:rFonts w:ascii="Times New Roman" w:eastAsia="Times New Roman" w:hAnsi="Times New Roman" w:cs="Times New Roman"/>
                <w:b/>
                <w:sz w:val="25"/>
                <w:szCs w:val="25"/>
                <w:lang w:eastAsia="lv-LV"/>
              </w:rPr>
              <w:t>I.Tiesību akta projekta izstrādes nepieciešamība</w:t>
            </w:r>
          </w:p>
        </w:tc>
      </w:tr>
      <w:tr w:rsidR="00810A68" w:rsidRPr="005110AC" w:rsidTr="00425CB9">
        <w:tc>
          <w:tcPr>
            <w:tcW w:w="1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1. Pamatojums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ind w:firstLine="567"/>
              <w:jc w:val="both"/>
              <w:rPr>
                <w:rFonts w:ascii="Times New Roman" w:eastAsia="Calibri" w:hAnsi="Times New Roman" w:cs="Times New Roman"/>
                <w:sz w:val="25"/>
                <w:szCs w:val="25"/>
              </w:rPr>
            </w:pPr>
            <w:r w:rsidRPr="005110AC">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5110AC" w:rsidTr="00425CB9">
        <w:trPr>
          <w:trHeight w:val="360"/>
        </w:trPr>
        <w:tc>
          <w:tcPr>
            <w:tcW w:w="1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hideMark/>
          </w:tcPr>
          <w:p w:rsidR="00240E69" w:rsidRPr="005110AC" w:rsidRDefault="00AD2530"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5"/>
                <w:szCs w:val="25"/>
              </w:rPr>
              <w:tab/>
            </w:r>
            <w:r w:rsidR="00CE6C1D" w:rsidRPr="005110AC">
              <w:rPr>
                <w:rFonts w:ascii="Times New Roman" w:hAnsi="Times New Roman" w:cs="Times New Roman"/>
                <w:sz w:val="24"/>
                <w:szCs w:val="24"/>
              </w:rPr>
              <w:t>2015.gadā</w:t>
            </w:r>
            <w:r w:rsidR="00716F78" w:rsidRPr="005110AC">
              <w:rPr>
                <w:rFonts w:ascii="Times New Roman" w:hAnsi="Times New Roman" w:cs="Times New Roman"/>
                <w:sz w:val="24"/>
                <w:szCs w:val="24"/>
              </w:rPr>
              <w:t>,</w:t>
            </w:r>
            <w:r w:rsidR="00CE6C1D" w:rsidRPr="005110AC">
              <w:rPr>
                <w:rFonts w:ascii="Times New Roman" w:hAnsi="Times New Roman" w:cs="Times New Roman"/>
                <w:sz w:val="24"/>
                <w:szCs w:val="24"/>
              </w:rPr>
              <w:t xml:space="preserve"> k</w:t>
            </w:r>
            <w:r w:rsidRPr="005110AC">
              <w:rPr>
                <w:rFonts w:ascii="Times New Roman" w:hAnsi="Times New Roman" w:cs="Times New Roman"/>
                <w:sz w:val="24"/>
                <w:szCs w:val="24"/>
              </w:rPr>
              <w:t xml:space="preserve">opš ir apstiprināti Ministru kabineta 2014.gada 14.oktobra noteikumi Nr.637 “Grozījumi Ministru kabineta 2009.gada 17.jūnija noteikumos Nr.582 “Noteikumi par darbības programmas “Uzņēmējdarbība un inovācijas” papildinājuma 2.3.1.1.1.apakšaktivitātes “Ārējo tirgu apgūšana – ārējais mārketings” sesto un turpmākajām kārtām” un Ministru kabineta 2015.gada 11.augusta noteikumi Nr.464 “Grozījumi Ministru kabineta 2009. gada 17. jūnija noteikumos Nr. 582 “Noteikumi par darbības programmas “Uzņēmējdarbība un inovācijas” papildinājuma 2.3.1.1.1. </w:t>
            </w:r>
            <w:proofErr w:type="spellStart"/>
            <w:r w:rsidRPr="005110AC">
              <w:rPr>
                <w:rFonts w:ascii="Times New Roman" w:hAnsi="Times New Roman" w:cs="Times New Roman"/>
                <w:sz w:val="24"/>
                <w:szCs w:val="24"/>
              </w:rPr>
              <w:t>apakšaktivitātes</w:t>
            </w:r>
            <w:proofErr w:type="spellEnd"/>
            <w:r w:rsidRPr="005110AC">
              <w:rPr>
                <w:rFonts w:ascii="Times New Roman" w:hAnsi="Times New Roman" w:cs="Times New Roman"/>
                <w:sz w:val="24"/>
                <w:szCs w:val="24"/>
              </w:rPr>
              <w:t xml:space="preserve"> “Ārējo tirgu apgūšana – ārējais mārketings" sesto un turpmākajām kārtām”</w:t>
            </w:r>
            <w:r w:rsidR="00CE6C1D" w:rsidRPr="005110AC">
              <w:rPr>
                <w:rFonts w:ascii="Times New Roman" w:hAnsi="Times New Roman" w:cs="Times New Roman"/>
                <w:sz w:val="24"/>
                <w:szCs w:val="24"/>
              </w:rPr>
              <w:t xml:space="preserve"> darbības programmas „Uzņēmējdarbība un inovācijas” papildinājuma 2.3.1.1.1.apakšaktivitātes „Ārējo tirgu apgūšana – ārējais mārketings”</w:t>
            </w:r>
            <w:r w:rsidR="00B14350" w:rsidRPr="005110AC">
              <w:rPr>
                <w:rFonts w:ascii="Times New Roman" w:hAnsi="Times New Roman" w:cs="Times New Roman"/>
                <w:sz w:val="24"/>
                <w:szCs w:val="24"/>
              </w:rPr>
              <w:t xml:space="preserve"> (turpmāk – 2.3.1.1.1.apakšaktivitāte)</w:t>
            </w:r>
            <w:r w:rsidR="00CE6C1D" w:rsidRPr="005110AC">
              <w:rPr>
                <w:rFonts w:ascii="Times New Roman" w:hAnsi="Times New Roman" w:cs="Times New Roman"/>
                <w:sz w:val="24"/>
                <w:szCs w:val="24"/>
              </w:rPr>
              <w:t xml:space="preserve"> ietvaros ir būtiski pieaudzis iesniegto un apstiprināto projektu</w:t>
            </w:r>
            <w:r w:rsidR="00B21232" w:rsidRPr="005110AC">
              <w:rPr>
                <w:rFonts w:ascii="Times New Roman" w:hAnsi="Times New Roman" w:cs="Times New Roman"/>
                <w:sz w:val="24"/>
                <w:szCs w:val="24"/>
              </w:rPr>
              <w:t xml:space="preserve"> iesniegumu skaits. </w:t>
            </w:r>
            <w:r w:rsidR="00716F78" w:rsidRPr="005110AC">
              <w:rPr>
                <w:rFonts w:ascii="Times New Roman" w:hAnsi="Times New Roman" w:cs="Times New Roman"/>
                <w:sz w:val="24"/>
                <w:szCs w:val="24"/>
              </w:rPr>
              <w:t>2015.gadā v</w:t>
            </w:r>
            <w:r w:rsidR="00B21232" w:rsidRPr="005110AC">
              <w:rPr>
                <w:rFonts w:ascii="Times New Roman" w:hAnsi="Times New Roman" w:cs="Times New Roman"/>
                <w:sz w:val="24"/>
                <w:szCs w:val="24"/>
              </w:rPr>
              <w:t>idēji ik mē</w:t>
            </w:r>
            <w:r w:rsidR="00CE6C1D" w:rsidRPr="005110AC">
              <w:rPr>
                <w:rFonts w:ascii="Times New Roman" w:hAnsi="Times New Roman" w:cs="Times New Roman"/>
                <w:sz w:val="24"/>
                <w:szCs w:val="24"/>
              </w:rPr>
              <w:t xml:space="preserve">nesi kopējais pieprasītais attiecināmais Eiropas Reģionālās attīstības fonda finansējums sastāda no 800 000 </w:t>
            </w:r>
            <w:r w:rsidR="00CE6C1D" w:rsidRPr="005110AC">
              <w:rPr>
                <w:rFonts w:ascii="Times New Roman" w:hAnsi="Times New Roman" w:cs="Times New Roman"/>
                <w:i/>
                <w:sz w:val="24"/>
                <w:szCs w:val="24"/>
              </w:rPr>
              <w:t>euro</w:t>
            </w:r>
            <w:r w:rsidR="00CE6C1D" w:rsidRPr="005110AC">
              <w:rPr>
                <w:rFonts w:ascii="Times New Roman" w:hAnsi="Times New Roman" w:cs="Times New Roman"/>
                <w:sz w:val="24"/>
                <w:szCs w:val="24"/>
              </w:rPr>
              <w:t xml:space="preserve"> līdz 900 000 </w:t>
            </w:r>
            <w:r w:rsidR="00CE6C1D" w:rsidRPr="005110AC">
              <w:rPr>
                <w:rFonts w:ascii="Times New Roman" w:hAnsi="Times New Roman" w:cs="Times New Roman"/>
                <w:i/>
                <w:sz w:val="24"/>
                <w:szCs w:val="24"/>
              </w:rPr>
              <w:t>euro</w:t>
            </w:r>
            <w:r w:rsidR="00CE6C1D" w:rsidRPr="005110AC">
              <w:rPr>
                <w:rFonts w:ascii="Times New Roman" w:hAnsi="Times New Roman" w:cs="Times New Roman"/>
                <w:sz w:val="24"/>
                <w:szCs w:val="24"/>
              </w:rPr>
              <w:t xml:space="preserve">. </w:t>
            </w:r>
          </w:p>
          <w:p w:rsidR="00AD2530" w:rsidRPr="005110AC" w:rsidRDefault="00240E69" w:rsidP="00E77F75">
            <w:pPr>
              <w:pStyle w:val="ListParagraph"/>
              <w:spacing w:after="0"/>
              <w:ind w:left="0" w:firstLine="720"/>
              <w:jc w:val="both"/>
              <w:rPr>
                <w:rFonts w:ascii="Times New Roman" w:hAnsi="Times New Roman" w:cs="Times New Roman"/>
                <w:sz w:val="24"/>
                <w:szCs w:val="24"/>
              </w:rPr>
            </w:pPr>
            <w:r w:rsidRPr="005110AC">
              <w:rPr>
                <w:rFonts w:ascii="Times New Roman" w:hAnsi="Times New Roman" w:cs="Times New Roman"/>
                <w:sz w:val="24"/>
                <w:szCs w:val="24"/>
              </w:rPr>
              <w:t>Salīdzinājumam, 2014.gadā vidēji ik mēnesi kopējais pieprasītais attiecināmais Eiropas Reģionālās attīstības fonda</w:t>
            </w:r>
            <w:r w:rsidR="0038733A" w:rsidRPr="005110AC">
              <w:rPr>
                <w:rFonts w:ascii="Times New Roman" w:hAnsi="Times New Roman" w:cs="Times New Roman"/>
                <w:sz w:val="24"/>
                <w:szCs w:val="24"/>
              </w:rPr>
              <w:t xml:space="preserve"> finansējums sastādīja</w:t>
            </w:r>
            <w:r w:rsidRPr="005110AC">
              <w:rPr>
                <w:rFonts w:ascii="Times New Roman" w:hAnsi="Times New Roman" w:cs="Times New Roman"/>
                <w:sz w:val="24"/>
                <w:szCs w:val="24"/>
              </w:rPr>
              <w:t xml:space="preserve"> </w:t>
            </w:r>
            <w:r w:rsidR="003056C1" w:rsidRPr="005110AC">
              <w:rPr>
                <w:rFonts w:ascii="Times New Roman" w:hAnsi="Times New Roman" w:cs="Times New Roman"/>
                <w:sz w:val="24"/>
                <w:szCs w:val="24"/>
              </w:rPr>
              <w:t>22</w:t>
            </w:r>
            <w:r w:rsidRPr="005110AC">
              <w:rPr>
                <w:rFonts w:ascii="Times New Roman" w:hAnsi="Times New Roman" w:cs="Times New Roman"/>
                <w:sz w:val="24"/>
                <w:szCs w:val="24"/>
              </w:rPr>
              <w:t xml:space="preserve">0 000 </w:t>
            </w:r>
            <w:r w:rsidRPr="005110AC">
              <w:rPr>
                <w:rFonts w:ascii="Times New Roman" w:hAnsi="Times New Roman" w:cs="Times New Roman"/>
                <w:i/>
                <w:sz w:val="24"/>
                <w:szCs w:val="24"/>
              </w:rPr>
              <w:t>euro</w:t>
            </w:r>
            <w:r w:rsidR="003056C1" w:rsidRPr="005110AC">
              <w:rPr>
                <w:rFonts w:ascii="Times New Roman" w:hAnsi="Times New Roman" w:cs="Times New Roman"/>
                <w:sz w:val="24"/>
                <w:szCs w:val="24"/>
              </w:rPr>
              <w:t>.</w:t>
            </w:r>
          </w:p>
          <w:p w:rsidR="00B14350" w:rsidRPr="005110AC" w:rsidRDefault="00CE6C1D"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t xml:space="preserve">Pieaugošais projektu skaits </w:t>
            </w:r>
            <w:r w:rsidR="00B14350" w:rsidRPr="005110AC">
              <w:rPr>
                <w:rFonts w:ascii="Times New Roman" w:hAnsi="Times New Roman" w:cs="Times New Roman"/>
                <w:sz w:val="24"/>
                <w:szCs w:val="24"/>
              </w:rPr>
              <w:t xml:space="preserve">ir </w:t>
            </w:r>
            <w:r w:rsidRPr="005110AC">
              <w:rPr>
                <w:rFonts w:ascii="Times New Roman" w:hAnsi="Times New Roman" w:cs="Times New Roman"/>
                <w:sz w:val="24"/>
                <w:szCs w:val="24"/>
              </w:rPr>
              <w:t xml:space="preserve">saistīts ar augstāk minētajiem </w:t>
            </w:r>
            <w:r w:rsidR="00B21232" w:rsidRPr="005110AC">
              <w:rPr>
                <w:rFonts w:ascii="Times New Roman" w:hAnsi="Times New Roman" w:cs="Times New Roman"/>
                <w:sz w:val="24"/>
                <w:szCs w:val="24"/>
              </w:rPr>
              <w:t>grozījumiem</w:t>
            </w:r>
            <w:r w:rsidR="00B14350" w:rsidRPr="005110AC">
              <w:rPr>
                <w:rFonts w:ascii="Times New Roman" w:hAnsi="Times New Roman" w:cs="Times New Roman"/>
                <w:sz w:val="24"/>
                <w:szCs w:val="24"/>
              </w:rPr>
              <w:t xml:space="preserve">, kuru ietvaros ir paplašinātas gan atbalstāmās darbības un attiecināmās izmaksas, gan atbalsta saņēmēju loks. Ņemot vērā, ka 2.3.1.1.1.apakšaktivitātes ietvaros projektu iesniegumu pieņemšana tiek pārtraukta ar 2015.gada 30.septembri, līdz ar to pēdējās </w:t>
            </w:r>
            <w:r w:rsidR="00716F78" w:rsidRPr="005110AC">
              <w:rPr>
                <w:rFonts w:ascii="Times New Roman" w:hAnsi="Times New Roman" w:cs="Times New Roman"/>
                <w:sz w:val="24"/>
                <w:szCs w:val="24"/>
              </w:rPr>
              <w:t xml:space="preserve">divās </w:t>
            </w:r>
            <w:r w:rsidR="00B14350" w:rsidRPr="005110AC">
              <w:rPr>
                <w:rFonts w:ascii="Times New Roman" w:hAnsi="Times New Roman" w:cs="Times New Roman"/>
                <w:sz w:val="24"/>
                <w:szCs w:val="24"/>
              </w:rPr>
              <w:t xml:space="preserve">projektu iesniegumu atlases kārtās </w:t>
            </w:r>
            <w:r w:rsidR="00716F78" w:rsidRPr="005110AC">
              <w:rPr>
                <w:rFonts w:ascii="Times New Roman" w:hAnsi="Times New Roman" w:cs="Times New Roman"/>
                <w:sz w:val="24"/>
                <w:szCs w:val="24"/>
              </w:rPr>
              <w:t xml:space="preserve">(78.kārta - projekti, ka iesniegti augustā un 79.kārta – projekti, kas iesniegti septembrī) </w:t>
            </w:r>
            <w:r w:rsidR="00B14350" w:rsidRPr="005110AC">
              <w:rPr>
                <w:rFonts w:ascii="Times New Roman" w:hAnsi="Times New Roman" w:cs="Times New Roman"/>
                <w:sz w:val="24"/>
                <w:szCs w:val="24"/>
              </w:rPr>
              <w:t>tiek iesniegts būtiski lielāks projektu iesniegumu skaits.</w:t>
            </w:r>
          </w:p>
          <w:p w:rsidR="00B14350" w:rsidRPr="005110AC" w:rsidRDefault="00B14350"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t xml:space="preserve">2.3.1.1.1.apakšaktivitātes pirmspēdējā projektu iesniegumu pieņemšanas atlases kārtā (78.kārta) kopā tika iesniegti 273 projekti par kopējo pieprasīto </w:t>
            </w:r>
            <w:r w:rsidR="00D267F6" w:rsidRPr="005110AC">
              <w:rPr>
                <w:rFonts w:ascii="Times New Roman" w:hAnsi="Times New Roman" w:cs="Times New Roman"/>
                <w:sz w:val="24"/>
                <w:szCs w:val="24"/>
              </w:rPr>
              <w:t xml:space="preserve">atbalsta finansējumu 2 500 944,05 </w:t>
            </w:r>
            <w:r w:rsidR="00D267F6" w:rsidRPr="005110AC">
              <w:rPr>
                <w:rFonts w:ascii="Times New Roman" w:hAnsi="Times New Roman" w:cs="Times New Roman"/>
                <w:i/>
                <w:sz w:val="24"/>
                <w:szCs w:val="24"/>
              </w:rPr>
              <w:t>euro</w:t>
            </w:r>
            <w:r w:rsidR="00D267F6" w:rsidRPr="005110AC">
              <w:rPr>
                <w:rFonts w:ascii="Times New Roman" w:hAnsi="Times New Roman" w:cs="Times New Roman"/>
                <w:sz w:val="24"/>
                <w:szCs w:val="24"/>
              </w:rPr>
              <w:t xml:space="preserve">, bet </w:t>
            </w:r>
            <w:r w:rsidR="00D267F6" w:rsidRPr="005110AC">
              <w:rPr>
                <w:rFonts w:ascii="Times New Roman" w:hAnsi="Times New Roman" w:cs="Times New Roman"/>
                <w:sz w:val="24"/>
                <w:szCs w:val="24"/>
              </w:rPr>
              <w:lastRenderedPageBreak/>
              <w:t>vienas atlases kārtas ie</w:t>
            </w:r>
            <w:r w:rsidR="004B0C3F" w:rsidRPr="005110AC">
              <w:rPr>
                <w:rFonts w:ascii="Times New Roman" w:hAnsi="Times New Roman" w:cs="Times New Roman"/>
                <w:sz w:val="24"/>
                <w:szCs w:val="24"/>
              </w:rPr>
              <w:t>t</w:t>
            </w:r>
            <w:r w:rsidR="00D267F6" w:rsidRPr="005110AC">
              <w:rPr>
                <w:rFonts w:ascii="Times New Roman" w:hAnsi="Times New Roman" w:cs="Times New Roman"/>
                <w:sz w:val="24"/>
                <w:szCs w:val="24"/>
              </w:rPr>
              <w:t xml:space="preserve">varos maksimāli pieejamais atbalsta finansējums ir 1 000 000 </w:t>
            </w:r>
            <w:r w:rsidR="00D267F6" w:rsidRPr="005110AC">
              <w:rPr>
                <w:rFonts w:ascii="Times New Roman" w:hAnsi="Times New Roman" w:cs="Times New Roman"/>
                <w:i/>
                <w:sz w:val="24"/>
                <w:szCs w:val="24"/>
              </w:rPr>
              <w:t>euro</w:t>
            </w:r>
            <w:r w:rsidR="00D267F6" w:rsidRPr="005110AC">
              <w:rPr>
                <w:rFonts w:ascii="Times New Roman" w:hAnsi="Times New Roman" w:cs="Times New Roman"/>
                <w:sz w:val="24"/>
                <w:szCs w:val="24"/>
              </w:rPr>
              <w:t xml:space="preserve">. Ņemot vērā minēto situāciju, </w:t>
            </w:r>
            <w:r w:rsidR="00F92B6C" w:rsidRPr="005110AC">
              <w:rPr>
                <w:rFonts w:ascii="Times New Roman" w:hAnsi="Times New Roman" w:cs="Times New Roman"/>
                <w:sz w:val="24"/>
                <w:szCs w:val="24"/>
              </w:rPr>
              <w:t xml:space="preserve">projektu iesniegumu pieņemšanas atlases </w:t>
            </w:r>
            <w:r w:rsidR="00D267F6" w:rsidRPr="005110AC">
              <w:rPr>
                <w:rFonts w:ascii="Times New Roman" w:hAnsi="Times New Roman" w:cs="Times New Roman"/>
                <w:sz w:val="24"/>
                <w:szCs w:val="24"/>
              </w:rPr>
              <w:t xml:space="preserve">78.kārtas ietvaros tika apstiprināti 69 projektu iesniegumi par kopējo atbalsta finansējumu 995 866,77 </w:t>
            </w:r>
            <w:r w:rsidR="00D267F6" w:rsidRPr="005110AC">
              <w:rPr>
                <w:rFonts w:ascii="Times New Roman" w:hAnsi="Times New Roman" w:cs="Times New Roman"/>
                <w:i/>
                <w:sz w:val="24"/>
                <w:szCs w:val="24"/>
              </w:rPr>
              <w:t>euro</w:t>
            </w:r>
            <w:r w:rsidR="00D267F6" w:rsidRPr="005110AC">
              <w:rPr>
                <w:rFonts w:ascii="Times New Roman" w:hAnsi="Times New Roman" w:cs="Times New Roman"/>
                <w:sz w:val="24"/>
                <w:szCs w:val="24"/>
              </w:rPr>
              <w:t xml:space="preserve">. Savukārt, </w:t>
            </w:r>
            <w:r w:rsidR="000B783B" w:rsidRPr="005110AC">
              <w:rPr>
                <w:rFonts w:ascii="Times New Roman" w:hAnsi="Times New Roman" w:cs="Times New Roman"/>
                <w:sz w:val="24"/>
                <w:szCs w:val="24"/>
              </w:rPr>
              <w:t>no atlikušajiem noraidītajiem</w:t>
            </w:r>
            <w:r w:rsidR="00D267F6" w:rsidRPr="005110AC">
              <w:rPr>
                <w:rFonts w:ascii="Times New Roman" w:hAnsi="Times New Roman" w:cs="Times New Roman"/>
                <w:sz w:val="24"/>
                <w:szCs w:val="24"/>
              </w:rPr>
              <w:t xml:space="preserve"> projektu iesniegumi</w:t>
            </w:r>
            <w:r w:rsidR="000B783B" w:rsidRPr="005110AC">
              <w:rPr>
                <w:rFonts w:ascii="Times New Roman" w:hAnsi="Times New Roman" w:cs="Times New Roman"/>
                <w:sz w:val="24"/>
                <w:szCs w:val="24"/>
              </w:rPr>
              <w:t>em</w:t>
            </w:r>
            <w:r w:rsidR="00D267F6" w:rsidRPr="005110AC">
              <w:rPr>
                <w:rFonts w:ascii="Times New Roman" w:hAnsi="Times New Roman" w:cs="Times New Roman"/>
                <w:sz w:val="24"/>
                <w:szCs w:val="24"/>
              </w:rPr>
              <w:t>, nepietiekama atbalsta finansējuma dēļ</w:t>
            </w:r>
            <w:r w:rsidR="000B783B" w:rsidRPr="005110AC">
              <w:rPr>
                <w:rFonts w:ascii="Times New Roman" w:hAnsi="Times New Roman" w:cs="Times New Roman"/>
                <w:sz w:val="24"/>
                <w:szCs w:val="24"/>
              </w:rPr>
              <w:t xml:space="preserve"> (1 285 451,80 </w:t>
            </w:r>
            <w:r w:rsidR="000B783B" w:rsidRPr="005110AC">
              <w:rPr>
                <w:rFonts w:ascii="Times New Roman" w:hAnsi="Times New Roman" w:cs="Times New Roman"/>
                <w:i/>
                <w:sz w:val="24"/>
                <w:szCs w:val="24"/>
              </w:rPr>
              <w:t xml:space="preserve">euro </w:t>
            </w:r>
            <w:r w:rsidR="000B783B" w:rsidRPr="005110AC">
              <w:rPr>
                <w:rFonts w:ascii="Times New Roman" w:hAnsi="Times New Roman" w:cs="Times New Roman"/>
                <w:sz w:val="24"/>
                <w:szCs w:val="24"/>
              </w:rPr>
              <w:t>apmērā)</w:t>
            </w:r>
            <w:r w:rsidR="00D267F6" w:rsidRPr="005110AC">
              <w:rPr>
                <w:rFonts w:ascii="Times New Roman" w:hAnsi="Times New Roman" w:cs="Times New Roman"/>
                <w:sz w:val="24"/>
                <w:szCs w:val="24"/>
              </w:rPr>
              <w:t>, tiek pārcelti izvērtēšanai uz nākošo</w:t>
            </w:r>
            <w:r w:rsidR="000B783B" w:rsidRPr="005110AC">
              <w:rPr>
                <w:rFonts w:ascii="Times New Roman" w:hAnsi="Times New Roman" w:cs="Times New Roman"/>
                <w:sz w:val="24"/>
                <w:szCs w:val="24"/>
              </w:rPr>
              <w:t xml:space="preserve"> projektu iesniegumu</w:t>
            </w:r>
            <w:r w:rsidR="00D267F6" w:rsidRPr="005110AC">
              <w:rPr>
                <w:rFonts w:ascii="Times New Roman" w:hAnsi="Times New Roman" w:cs="Times New Roman"/>
                <w:sz w:val="24"/>
                <w:szCs w:val="24"/>
              </w:rPr>
              <w:t xml:space="preserve"> atlases kārtu (79.kārta) saskaņā ar Ministru kabineta 2009.gada 17.jūnija noteikumu Nr.582 „Noteikumi par darbības programmas „Uzņēmējdarbība un inovācijas” papildinājuma 2.3.1.1.1.apakšaktivitātes „Ārējo tirgu apgūšana – ārējais mārketings” sesto un turpmākajām kārtām”</w:t>
            </w:r>
            <w:r w:rsidR="005136DC" w:rsidRPr="005110AC">
              <w:rPr>
                <w:rFonts w:ascii="Times New Roman" w:hAnsi="Times New Roman" w:cs="Times New Roman"/>
                <w:sz w:val="24"/>
                <w:szCs w:val="24"/>
              </w:rPr>
              <w:t xml:space="preserve"> (turpmāk – MK noteikumi Nr.582)</w:t>
            </w:r>
            <w:r w:rsidR="00D267F6" w:rsidRPr="005110AC">
              <w:rPr>
                <w:rFonts w:ascii="Times New Roman" w:hAnsi="Times New Roman" w:cs="Times New Roman"/>
                <w:sz w:val="24"/>
                <w:szCs w:val="24"/>
              </w:rPr>
              <w:t xml:space="preserve"> </w:t>
            </w:r>
            <w:r w:rsidR="00240E69" w:rsidRPr="005110AC">
              <w:rPr>
                <w:rFonts w:ascii="Times New Roman" w:hAnsi="Times New Roman" w:cs="Times New Roman"/>
                <w:sz w:val="24"/>
                <w:szCs w:val="24"/>
              </w:rPr>
              <w:t xml:space="preserve">34.punkta </w:t>
            </w:r>
            <w:r w:rsidR="00D267F6" w:rsidRPr="005110AC">
              <w:rPr>
                <w:rFonts w:ascii="Times New Roman" w:hAnsi="Times New Roman" w:cs="Times New Roman"/>
                <w:sz w:val="24"/>
                <w:szCs w:val="24"/>
              </w:rPr>
              <w:t>nosacījumiem.</w:t>
            </w:r>
          </w:p>
          <w:p w:rsidR="00497F91" w:rsidRPr="005110AC" w:rsidRDefault="00D267F6"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r>
            <w:r w:rsidR="00C31C12" w:rsidRPr="005110AC">
              <w:rPr>
                <w:rFonts w:ascii="Times New Roman" w:hAnsi="Times New Roman" w:cs="Times New Roman"/>
                <w:sz w:val="24"/>
                <w:szCs w:val="24"/>
              </w:rPr>
              <w:t>Savukārt</w:t>
            </w:r>
            <w:r w:rsidR="00F92B6C" w:rsidRPr="005110AC">
              <w:rPr>
                <w:rFonts w:ascii="Times New Roman" w:hAnsi="Times New Roman" w:cs="Times New Roman"/>
                <w:sz w:val="24"/>
                <w:szCs w:val="24"/>
              </w:rPr>
              <w:t xml:space="preserve"> 79.kārtas ietvaros</w:t>
            </w:r>
            <w:r w:rsidR="00AA6D76" w:rsidRPr="005110AC">
              <w:rPr>
                <w:rFonts w:ascii="Times New Roman" w:hAnsi="Times New Roman" w:cs="Times New Roman"/>
                <w:sz w:val="24"/>
                <w:szCs w:val="24"/>
              </w:rPr>
              <w:t xml:space="preserve"> kopējais iesniegto projektu </w:t>
            </w:r>
            <w:r w:rsidR="000120CC" w:rsidRPr="005110AC">
              <w:rPr>
                <w:rFonts w:ascii="Times New Roman" w:hAnsi="Times New Roman" w:cs="Times New Roman"/>
                <w:sz w:val="24"/>
                <w:szCs w:val="24"/>
              </w:rPr>
              <w:t xml:space="preserve">apjoms </w:t>
            </w:r>
            <w:r w:rsidR="00C31C12" w:rsidRPr="005110AC">
              <w:rPr>
                <w:rFonts w:ascii="Times New Roman" w:hAnsi="Times New Roman" w:cs="Times New Roman"/>
                <w:sz w:val="24"/>
                <w:szCs w:val="24"/>
              </w:rPr>
              <w:t xml:space="preserve">sastāda </w:t>
            </w:r>
            <w:r w:rsidR="00AA6D76" w:rsidRPr="005110AC">
              <w:rPr>
                <w:rFonts w:ascii="Times New Roman" w:hAnsi="Times New Roman" w:cs="Times New Roman"/>
                <w:sz w:val="24"/>
                <w:szCs w:val="24"/>
              </w:rPr>
              <w:t xml:space="preserve"> </w:t>
            </w:r>
            <w:r w:rsidR="00C31C12" w:rsidRPr="005110AC">
              <w:rPr>
                <w:rFonts w:ascii="Times New Roman" w:hAnsi="Times New Roman" w:cs="Times New Roman"/>
                <w:sz w:val="24"/>
                <w:szCs w:val="24"/>
              </w:rPr>
              <w:t>1</w:t>
            </w:r>
            <w:r w:rsidR="00457177" w:rsidRPr="005110AC">
              <w:rPr>
                <w:rFonts w:ascii="Times New Roman" w:hAnsi="Times New Roman" w:cs="Times New Roman"/>
                <w:sz w:val="24"/>
                <w:szCs w:val="24"/>
              </w:rPr>
              <w:t xml:space="preserve"> </w:t>
            </w:r>
            <w:r w:rsidR="00C31C12" w:rsidRPr="005110AC">
              <w:rPr>
                <w:rFonts w:ascii="Times New Roman" w:hAnsi="Times New Roman" w:cs="Times New Roman"/>
                <w:sz w:val="24"/>
                <w:szCs w:val="24"/>
              </w:rPr>
              <w:t>847</w:t>
            </w:r>
            <w:r w:rsidR="00457177" w:rsidRPr="005110AC">
              <w:rPr>
                <w:rFonts w:ascii="Times New Roman" w:hAnsi="Times New Roman" w:cs="Times New Roman"/>
                <w:sz w:val="24"/>
                <w:szCs w:val="24"/>
              </w:rPr>
              <w:t xml:space="preserve"> </w:t>
            </w:r>
            <w:r w:rsidR="00C31C12" w:rsidRPr="005110AC">
              <w:rPr>
                <w:rFonts w:ascii="Times New Roman" w:hAnsi="Times New Roman" w:cs="Times New Roman"/>
                <w:sz w:val="24"/>
                <w:szCs w:val="24"/>
              </w:rPr>
              <w:t>963,2</w:t>
            </w:r>
            <w:r w:rsidR="00457177" w:rsidRPr="005110AC">
              <w:rPr>
                <w:rFonts w:ascii="Times New Roman" w:hAnsi="Times New Roman" w:cs="Times New Roman"/>
                <w:sz w:val="24"/>
                <w:szCs w:val="24"/>
              </w:rPr>
              <w:t>0</w:t>
            </w:r>
            <w:r w:rsidR="00AA6D76" w:rsidRPr="005110AC">
              <w:rPr>
                <w:rFonts w:ascii="Times New Roman" w:hAnsi="Times New Roman" w:cs="Times New Roman"/>
                <w:sz w:val="24"/>
                <w:szCs w:val="24"/>
              </w:rPr>
              <w:t xml:space="preserve"> </w:t>
            </w:r>
            <w:r w:rsidR="00AA6D76" w:rsidRPr="005110AC">
              <w:rPr>
                <w:rFonts w:ascii="Times New Roman" w:hAnsi="Times New Roman" w:cs="Times New Roman"/>
                <w:i/>
                <w:sz w:val="24"/>
                <w:szCs w:val="24"/>
              </w:rPr>
              <w:t>euro</w:t>
            </w:r>
            <w:r w:rsidR="00AA6D76" w:rsidRPr="005110AC">
              <w:rPr>
                <w:rFonts w:ascii="Times New Roman" w:hAnsi="Times New Roman" w:cs="Times New Roman"/>
                <w:sz w:val="24"/>
                <w:szCs w:val="24"/>
              </w:rPr>
              <w:t>.</w:t>
            </w:r>
            <w:r w:rsidR="00497F91" w:rsidRPr="005110AC">
              <w:rPr>
                <w:rFonts w:ascii="Times New Roman" w:hAnsi="Times New Roman" w:cs="Times New Roman"/>
                <w:sz w:val="24"/>
                <w:szCs w:val="24"/>
              </w:rPr>
              <w:t xml:space="preserve"> </w:t>
            </w:r>
            <w:r w:rsidR="00E90889" w:rsidRPr="005110AC">
              <w:rPr>
                <w:rFonts w:ascii="Times New Roman" w:hAnsi="Times New Roman" w:cs="Times New Roman"/>
                <w:sz w:val="24"/>
                <w:szCs w:val="24"/>
              </w:rPr>
              <w:t xml:space="preserve">Ņemot vērā arī pārceltos 78.kārtas projektus, </w:t>
            </w:r>
            <w:r w:rsidR="00E90889" w:rsidRPr="005110AC">
              <w:rPr>
                <w:rFonts w:ascii="Times New Roman" w:hAnsi="Times New Roman" w:cs="Times New Roman"/>
                <w:b/>
                <w:sz w:val="24"/>
                <w:szCs w:val="24"/>
              </w:rPr>
              <w:t xml:space="preserve">kopējais 79.kārtai nepieciešamais finansējums sastāda </w:t>
            </w:r>
            <w:r w:rsidR="007A5680" w:rsidRPr="005110AC">
              <w:rPr>
                <w:rFonts w:ascii="Times New Roman" w:hAnsi="Times New Roman" w:cs="Times New Roman"/>
                <w:b/>
                <w:sz w:val="24"/>
                <w:szCs w:val="24"/>
              </w:rPr>
              <w:t xml:space="preserve">3 133 415 </w:t>
            </w:r>
            <w:r w:rsidR="008F7F57" w:rsidRPr="005110AC">
              <w:rPr>
                <w:rFonts w:ascii="Times New Roman" w:hAnsi="Times New Roman" w:cs="Times New Roman"/>
                <w:b/>
                <w:sz w:val="24"/>
                <w:szCs w:val="24"/>
              </w:rPr>
              <w:t>euro</w:t>
            </w:r>
            <w:r w:rsidR="008F7F57" w:rsidRPr="005110AC">
              <w:rPr>
                <w:rFonts w:ascii="Times New Roman" w:hAnsi="Times New Roman" w:cs="Times New Roman"/>
                <w:sz w:val="24"/>
                <w:szCs w:val="24"/>
              </w:rPr>
              <w:t xml:space="preserve">. </w:t>
            </w:r>
          </w:p>
          <w:p w:rsidR="00D267F6" w:rsidRPr="005110AC" w:rsidRDefault="00497F91" w:rsidP="00E77F75">
            <w:pPr>
              <w:pStyle w:val="ListParagraph"/>
              <w:spacing w:after="0"/>
              <w:ind w:left="0" w:firstLine="720"/>
              <w:jc w:val="both"/>
              <w:rPr>
                <w:rFonts w:ascii="Times New Roman" w:hAnsi="Times New Roman" w:cs="Times New Roman"/>
                <w:sz w:val="24"/>
                <w:szCs w:val="24"/>
              </w:rPr>
            </w:pPr>
            <w:r w:rsidRPr="005110AC">
              <w:rPr>
                <w:rFonts w:ascii="Times New Roman" w:hAnsi="Times New Roman" w:cs="Times New Roman"/>
                <w:sz w:val="24"/>
                <w:szCs w:val="24"/>
              </w:rPr>
              <w:t xml:space="preserve">Atlikušais pieejamais Eiropas reģionālā attīstības fonda finansējums pēdējai projektu iesniegumu atlases kārtai (79.kārta) viedo aptuveni </w:t>
            </w:r>
            <w:r w:rsidR="00A00DB7" w:rsidRPr="005110AC">
              <w:rPr>
                <w:rFonts w:ascii="Times New Roman" w:hAnsi="Times New Roman" w:cs="Times New Roman"/>
                <w:b/>
                <w:sz w:val="24"/>
                <w:szCs w:val="24"/>
              </w:rPr>
              <w:t>93</w:t>
            </w:r>
            <w:r w:rsidR="007A5680" w:rsidRPr="005110AC">
              <w:rPr>
                <w:rFonts w:ascii="Times New Roman" w:hAnsi="Times New Roman" w:cs="Times New Roman"/>
                <w:b/>
                <w:sz w:val="24"/>
                <w:szCs w:val="24"/>
              </w:rPr>
              <w:t>3 415,03</w:t>
            </w:r>
            <w:r w:rsidRPr="005110AC">
              <w:rPr>
                <w:rFonts w:ascii="Times New Roman" w:hAnsi="Times New Roman" w:cs="Times New Roman"/>
                <w:b/>
                <w:sz w:val="24"/>
                <w:szCs w:val="24"/>
              </w:rPr>
              <w:t xml:space="preserve"> </w:t>
            </w:r>
            <w:r w:rsidRPr="005110AC">
              <w:rPr>
                <w:rFonts w:ascii="Times New Roman" w:hAnsi="Times New Roman" w:cs="Times New Roman"/>
                <w:b/>
                <w:i/>
                <w:sz w:val="24"/>
                <w:szCs w:val="24"/>
              </w:rPr>
              <w:t>euro</w:t>
            </w:r>
            <w:r w:rsidRPr="005110AC">
              <w:rPr>
                <w:rFonts w:ascii="Times New Roman" w:hAnsi="Times New Roman" w:cs="Times New Roman"/>
                <w:sz w:val="24"/>
                <w:szCs w:val="24"/>
              </w:rPr>
              <w:t xml:space="preserve">, kas ir </w:t>
            </w:r>
            <w:r w:rsidRPr="005110AC">
              <w:rPr>
                <w:rFonts w:ascii="Times New Roman" w:hAnsi="Times New Roman" w:cs="Times New Roman"/>
                <w:b/>
                <w:sz w:val="24"/>
                <w:szCs w:val="24"/>
              </w:rPr>
              <w:t>nepietiekams projektu iesniegumu atlases 79.kārtas īstenošanai</w:t>
            </w:r>
            <w:r w:rsidRPr="005110AC">
              <w:rPr>
                <w:rFonts w:ascii="Times New Roman" w:hAnsi="Times New Roman" w:cs="Times New Roman"/>
                <w:sz w:val="24"/>
                <w:szCs w:val="24"/>
              </w:rPr>
              <w:t>.</w:t>
            </w:r>
          </w:p>
          <w:p w:rsidR="00AA6D76" w:rsidRPr="005110AC" w:rsidRDefault="00AA6D76"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t xml:space="preserve">Ņemot vērā visu iepriekš minēto, lai varētu </w:t>
            </w:r>
            <w:r w:rsidR="00B21232" w:rsidRPr="005110AC">
              <w:rPr>
                <w:rFonts w:ascii="Times New Roman" w:hAnsi="Times New Roman" w:cs="Times New Roman"/>
                <w:sz w:val="24"/>
                <w:szCs w:val="24"/>
              </w:rPr>
              <w:t>apstiprināt</w:t>
            </w:r>
            <w:r w:rsidRPr="005110AC">
              <w:rPr>
                <w:rFonts w:ascii="Times New Roman" w:hAnsi="Times New Roman" w:cs="Times New Roman"/>
                <w:sz w:val="24"/>
                <w:szCs w:val="24"/>
              </w:rPr>
              <w:t xml:space="preserve"> visus prognozētos projektu iesniegumus, projektu iesniegumu atlases 79.kārtas ietvaros, ir nepieciešami </w:t>
            </w:r>
            <w:r w:rsidR="00497F91" w:rsidRPr="005110AC">
              <w:rPr>
                <w:rFonts w:ascii="Times New Roman" w:hAnsi="Times New Roman" w:cs="Times New Roman"/>
                <w:sz w:val="24"/>
                <w:szCs w:val="24"/>
              </w:rPr>
              <w:t xml:space="preserve">papildus </w:t>
            </w:r>
            <w:bookmarkStart w:id="12" w:name="OLE_LINK9"/>
            <w:r w:rsidR="00CE0762" w:rsidRPr="005110AC">
              <w:rPr>
                <w:rFonts w:ascii="Times New Roman" w:hAnsi="Times New Roman" w:cs="Times New Roman"/>
                <w:b/>
                <w:sz w:val="24"/>
                <w:szCs w:val="24"/>
              </w:rPr>
              <w:t>2</w:t>
            </w:r>
            <w:r w:rsidR="000B783B" w:rsidRPr="005110AC">
              <w:rPr>
                <w:rFonts w:ascii="Times New Roman" w:hAnsi="Times New Roman" w:cs="Times New Roman"/>
                <w:b/>
                <w:sz w:val="24"/>
                <w:szCs w:val="24"/>
              </w:rPr>
              <w:t> 200 000</w:t>
            </w:r>
            <w:bookmarkEnd w:id="12"/>
            <w:r w:rsidR="006E2851" w:rsidRPr="005110AC">
              <w:rPr>
                <w:rFonts w:ascii="Times New Roman" w:hAnsi="Times New Roman" w:cs="Times New Roman"/>
                <w:sz w:val="24"/>
                <w:szCs w:val="24"/>
              </w:rPr>
              <w:t xml:space="preserve"> </w:t>
            </w:r>
            <w:r w:rsidR="006E2851" w:rsidRPr="005110AC">
              <w:rPr>
                <w:rFonts w:ascii="Times New Roman" w:hAnsi="Times New Roman" w:cs="Times New Roman"/>
                <w:i/>
                <w:sz w:val="24"/>
                <w:szCs w:val="24"/>
              </w:rPr>
              <w:t>euro</w:t>
            </w:r>
            <w:r w:rsidR="006E2851" w:rsidRPr="005110AC">
              <w:rPr>
                <w:rFonts w:ascii="Times New Roman" w:hAnsi="Times New Roman" w:cs="Times New Roman"/>
                <w:sz w:val="24"/>
                <w:szCs w:val="24"/>
              </w:rPr>
              <w:t>.</w:t>
            </w:r>
            <w:r w:rsidRPr="005110AC">
              <w:rPr>
                <w:rFonts w:ascii="Times New Roman" w:hAnsi="Times New Roman" w:cs="Times New Roman"/>
                <w:sz w:val="24"/>
                <w:szCs w:val="24"/>
              </w:rPr>
              <w:t xml:space="preserve"> </w:t>
            </w:r>
          </w:p>
          <w:p w:rsidR="00B14350" w:rsidRPr="005110AC" w:rsidRDefault="00D267F6"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r>
          </w:p>
          <w:p w:rsidR="00432524" w:rsidRPr="005110AC" w:rsidRDefault="00432524"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b/>
                <w:i/>
                <w:sz w:val="24"/>
                <w:szCs w:val="24"/>
              </w:rPr>
              <w:tab/>
            </w:r>
            <w:r w:rsidRPr="005110AC">
              <w:rPr>
                <w:rFonts w:ascii="Times New Roman" w:hAnsi="Times New Roman" w:cs="Times New Roman"/>
                <w:b/>
                <w:sz w:val="24"/>
                <w:szCs w:val="24"/>
              </w:rPr>
              <w:t>Ņemot vērā augstāk minēto situāciju, ir ļoti būtiski 2.3.1.1.1.apakšaktivtātes ietvaros steidzami piešķirt papildus finansējumu iesniegto projektu īstenošanai, un papildus finansējum</w:t>
            </w:r>
            <w:r w:rsidR="000A21AB" w:rsidRPr="005110AC">
              <w:rPr>
                <w:rFonts w:ascii="Times New Roman" w:hAnsi="Times New Roman" w:cs="Times New Roman"/>
                <w:b/>
                <w:sz w:val="24"/>
                <w:szCs w:val="24"/>
              </w:rPr>
              <w:t>u</w:t>
            </w:r>
            <w:r w:rsidRPr="005110AC">
              <w:rPr>
                <w:rFonts w:ascii="Times New Roman" w:hAnsi="Times New Roman" w:cs="Times New Roman"/>
                <w:b/>
                <w:sz w:val="24"/>
                <w:szCs w:val="24"/>
              </w:rPr>
              <w:t xml:space="preserve"> ir nepieciešams piešķirt pirms </w:t>
            </w:r>
            <w:r w:rsidR="00716F78" w:rsidRPr="005110AC">
              <w:rPr>
                <w:rFonts w:ascii="Times New Roman" w:hAnsi="Times New Roman" w:cs="Times New Roman"/>
                <w:b/>
                <w:sz w:val="24"/>
                <w:szCs w:val="24"/>
              </w:rPr>
              <w:t xml:space="preserve">79.kārtā </w:t>
            </w:r>
            <w:r w:rsidRPr="005110AC">
              <w:rPr>
                <w:rFonts w:ascii="Times New Roman" w:hAnsi="Times New Roman" w:cs="Times New Roman"/>
                <w:b/>
                <w:sz w:val="24"/>
                <w:szCs w:val="24"/>
              </w:rPr>
              <w:t>iesniegto projektu vērtēšanas uzsākšanas, kas notiks 2015.gada oktobrī.</w:t>
            </w:r>
          </w:p>
          <w:p w:rsidR="00C74BCB" w:rsidRPr="005110AC" w:rsidRDefault="006E2851"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r>
          </w:p>
          <w:p w:rsidR="00A850CC" w:rsidRPr="0079679B" w:rsidRDefault="00A850CC"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r>
            <w:r w:rsidRPr="0079679B">
              <w:rPr>
                <w:rFonts w:ascii="Times New Roman" w:hAnsi="Times New Roman" w:cs="Times New Roman"/>
                <w:sz w:val="24"/>
                <w:szCs w:val="24"/>
              </w:rPr>
              <w:t>Ekonomikas ministrija norāda, ka 2.3.1.1.1.apakšaktivitātei ir ļoti liela nozīme tautsaimniecībai un tā būtiski</w:t>
            </w:r>
            <w:r w:rsidR="00D54A59" w:rsidRPr="0079679B">
              <w:rPr>
                <w:rFonts w:ascii="Times New Roman" w:hAnsi="Times New Roman" w:cs="Times New Roman"/>
                <w:sz w:val="24"/>
                <w:szCs w:val="24"/>
              </w:rPr>
              <w:t xml:space="preserve"> </w:t>
            </w:r>
            <w:r w:rsidRPr="0079679B">
              <w:rPr>
                <w:rFonts w:ascii="Times New Roman" w:hAnsi="Times New Roman" w:cs="Times New Roman"/>
                <w:sz w:val="24"/>
                <w:szCs w:val="24"/>
              </w:rPr>
              <w:t xml:space="preserve">ietekmē komersantu </w:t>
            </w:r>
            <w:r w:rsidR="008A7320" w:rsidRPr="0079679B">
              <w:rPr>
                <w:rFonts w:ascii="Times New Roman" w:hAnsi="Times New Roman" w:cs="Times New Roman"/>
                <w:sz w:val="24"/>
                <w:szCs w:val="24"/>
              </w:rPr>
              <w:t>atpazīstamību</w:t>
            </w:r>
            <w:r w:rsidRPr="0079679B">
              <w:rPr>
                <w:rFonts w:ascii="Times New Roman" w:hAnsi="Times New Roman" w:cs="Times New Roman"/>
                <w:sz w:val="24"/>
                <w:szCs w:val="24"/>
              </w:rPr>
              <w:t xml:space="preserve"> ārējos tirgos, tādejādi nodrošinot to konkurētspēju</w:t>
            </w:r>
            <w:r w:rsidR="00D54A59" w:rsidRPr="0079679B">
              <w:rPr>
                <w:rFonts w:ascii="Times New Roman" w:hAnsi="Times New Roman" w:cs="Times New Roman"/>
                <w:sz w:val="24"/>
                <w:szCs w:val="24"/>
              </w:rPr>
              <w:t>, jaunu klientu iegūšanu, un galveno kārt eksporta apjomus</w:t>
            </w:r>
            <w:r w:rsidRPr="0079679B">
              <w:rPr>
                <w:rFonts w:ascii="Times New Roman" w:hAnsi="Times New Roman" w:cs="Times New Roman"/>
                <w:sz w:val="24"/>
                <w:szCs w:val="24"/>
              </w:rPr>
              <w:t>. Ņemot vērā, ka atlases 79.kārta ir pēdējā projektu iesniegumu atlases kārta 2.3.1.1.1.apakšaktivtātes ietvaros, līdz ar to projekta iesniedzēji maksimāli mēģina izmanto</w:t>
            </w:r>
            <w:r w:rsidR="00D54A59" w:rsidRPr="0079679B">
              <w:rPr>
                <w:rFonts w:ascii="Times New Roman" w:hAnsi="Times New Roman" w:cs="Times New Roman"/>
                <w:sz w:val="24"/>
                <w:szCs w:val="24"/>
              </w:rPr>
              <w:t>t</w:t>
            </w:r>
            <w:r w:rsidRPr="0079679B">
              <w:rPr>
                <w:rFonts w:ascii="Times New Roman" w:hAnsi="Times New Roman" w:cs="Times New Roman"/>
                <w:sz w:val="24"/>
                <w:szCs w:val="24"/>
              </w:rPr>
              <w:t xml:space="preserve"> t</w:t>
            </w:r>
            <w:r w:rsidR="00D54A59" w:rsidRPr="0079679B">
              <w:rPr>
                <w:rFonts w:ascii="Times New Roman" w:hAnsi="Times New Roman" w:cs="Times New Roman"/>
                <w:sz w:val="24"/>
                <w:szCs w:val="24"/>
              </w:rPr>
              <w:t>ā pieejamo atbalstu, tādejādi ir ļoti būtiski nodrošināt, ka pēdējā projekta iesniegumu atlases kārtā tiek apstiprināti visi projektu iesniegumi.</w:t>
            </w:r>
          </w:p>
          <w:p w:rsidR="00B14350" w:rsidRPr="0079679B" w:rsidRDefault="00C74BCB" w:rsidP="00A66AA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r>
            <w:r w:rsidR="006E2851" w:rsidRPr="0079679B">
              <w:rPr>
                <w:rFonts w:ascii="Times New Roman" w:hAnsi="Times New Roman" w:cs="Times New Roman"/>
                <w:sz w:val="24"/>
                <w:szCs w:val="24"/>
              </w:rPr>
              <w:t>Ekonomikas ministrija, lai rastu risinājumu augstāk minētajai situācijai</w:t>
            </w:r>
            <w:r w:rsidR="000A21AB" w:rsidRPr="0079679B">
              <w:rPr>
                <w:rFonts w:ascii="Times New Roman" w:hAnsi="Times New Roman" w:cs="Times New Roman"/>
                <w:sz w:val="24"/>
                <w:szCs w:val="24"/>
              </w:rPr>
              <w:t>,</w:t>
            </w:r>
            <w:r w:rsidR="006E2851" w:rsidRPr="0079679B">
              <w:rPr>
                <w:rFonts w:ascii="Times New Roman" w:hAnsi="Times New Roman" w:cs="Times New Roman"/>
                <w:sz w:val="24"/>
                <w:szCs w:val="24"/>
              </w:rPr>
              <w:t xml:space="preserve"> ir pārskatījusi visas tās pārraudzībā esošās Eiropas Savienības fondu līdzfinansētās atbalsta </w:t>
            </w:r>
            <w:r w:rsidR="000A21AB" w:rsidRPr="0079679B">
              <w:rPr>
                <w:rFonts w:ascii="Times New Roman" w:hAnsi="Times New Roman" w:cs="Times New Roman"/>
                <w:sz w:val="24"/>
                <w:szCs w:val="24"/>
              </w:rPr>
              <w:t xml:space="preserve">aktivitātes un </w:t>
            </w:r>
            <w:proofErr w:type="spellStart"/>
            <w:r w:rsidR="000A21AB" w:rsidRPr="0079679B">
              <w:rPr>
                <w:rFonts w:ascii="Times New Roman" w:hAnsi="Times New Roman" w:cs="Times New Roman"/>
                <w:sz w:val="24"/>
                <w:szCs w:val="24"/>
              </w:rPr>
              <w:lastRenderedPageBreak/>
              <w:t>apakšaktivitātes</w:t>
            </w:r>
            <w:proofErr w:type="spellEnd"/>
            <w:r w:rsidR="006E2851" w:rsidRPr="0079679B">
              <w:rPr>
                <w:rFonts w:ascii="Times New Roman" w:hAnsi="Times New Roman" w:cs="Times New Roman"/>
                <w:sz w:val="24"/>
                <w:szCs w:val="24"/>
              </w:rPr>
              <w:t xml:space="preserve"> un konstatējusi, ka darbības programmas “Uzņēmējdarbība un inovācijas” papildinājuma 2.1.2.4.aktivitātes “Augstas pievienotās vērtības investīcijas” (turpmāk – 2.1.2.4.aktivitāte) ietvaros ir atbrīvojies pietiekams valsts budžeta </w:t>
            </w:r>
            <w:proofErr w:type="spellStart"/>
            <w:r w:rsidR="006E2851" w:rsidRPr="0079679B">
              <w:rPr>
                <w:rFonts w:ascii="Times New Roman" w:hAnsi="Times New Roman" w:cs="Times New Roman"/>
                <w:sz w:val="24"/>
                <w:szCs w:val="24"/>
              </w:rPr>
              <w:t>vi</w:t>
            </w:r>
            <w:r w:rsidR="000A21AB" w:rsidRPr="0079679B">
              <w:rPr>
                <w:rFonts w:ascii="Times New Roman" w:hAnsi="Times New Roman" w:cs="Times New Roman"/>
                <w:sz w:val="24"/>
                <w:szCs w:val="24"/>
              </w:rPr>
              <w:t>rssaistību</w:t>
            </w:r>
            <w:proofErr w:type="spellEnd"/>
            <w:r w:rsidR="000A21AB" w:rsidRPr="0079679B">
              <w:rPr>
                <w:rFonts w:ascii="Times New Roman" w:hAnsi="Times New Roman" w:cs="Times New Roman"/>
                <w:sz w:val="24"/>
                <w:szCs w:val="24"/>
              </w:rPr>
              <w:t xml:space="preserve"> finansējums, ar kura palīdzību </w:t>
            </w:r>
            <w:r w:rsidR="006E2851" w:rsidRPr="0079679B">
              <w:rPr>
                <w:rFonts w:ascii="Times New Roman" w:hAnsi="Times New Roman" w:cs="Times New Roman"/>
                <w:sz w:val="24"/>
                <w:szCs w:val="24"/>
              </w:rPr>
              <w:t>iespējams pilnībā atbalstīt 2.3.1.1.1.apakšaktivit</w:t>
            </w:r>
            <w:r w:rsidR="005136DC" w:rsidRPr="0079679B">
              <w:rPr>
                <w:rFonts w:ascii="Times New Roman" w:hAnsi="Times New Roman" w:cs="Times New Roman"/>
                <w:sz w:val="24"/>
                <w:szCs w:val="24"/>
              </w:rPr>
              <w:t>ātes projektu iesniegumu atlases 79.kārtā iesniegtos projektu iesniegumus.</w:t>
            </w:r>
          </w:p>
          <w:p w:rsidR="00B30D00" w:rsidRPr="0079679B" w:rsidRDefault="00A762E5" w:rsidP="00A66AA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Lai nodrošinātu Ministru kabineta 2015.gada 10.marta </w:t>
            </w:r>
            <w:proofErr w:type="spellStart"/>
            <w:r w:rsidRPr="0079679B">
              <w:rPr>
                <w:rFonts w:ascii="Times New Roman" w:hAnsi="Times New Roman" w:cs="Times New Roman"/>
                <w:sz w:val="24"/>
                <w:szCs w:val="24"/>
              </w:rPr>
              <w:t>protokollēmuma</w:t>
            </w:r>
            <w:proofErr w:type="spellEnd"/>
            <w:r w:rsidRPr="0079679B">
              <w:rPr>
                <w:rFonts w:ascii="Times New Roman" w:hAnsi="Times New Roman" w:cs="Times New Roman"/>
                <w:sz w:val="24"/>
                <w:szCs w:val="24"/>
              </w:rPr>
              <w:t xml:space="preserve"> Nr.14. 27.§ 2.punktā noteikto</w:t>
            </w:r>
            <w:r w:rsidR="004A2D2D" w:rsidRPr="0079679B">
              <w:rPr>
                <w:rFonts w:ascii="Times New Roman" w:hAnsi="Times New Roman" w:cs="Times New Roman"/>
                <w:sz w:val="24"/>
                <w:szCs w:val="24"/>
              </w:rPr>
              <w:t xml:space="preserve"> ierobežojumu uzņemties</w:t>
            </w:r>
            <w:r w:rsidRPr="0079679B">
              <w:rPr>
                <w:rFonts w:ascii="Times New Roman" w:hAnsi="Times New Roman" w:cs="Times New Roman"/>
                <w:sz w:val="24"/>
                <w:szCs w:val="24"/>
              </w:rPr>
              <w:t xml:space="preserve">  jaunas valsts budžeta </w:t>
            </w:r>
            <w:proofErr w:type="spellStart"/>
            <w:r w:rsidRPr="0079679B">
              <w:rPr>
                <w:rFonts w:ascii="Times New Roman" w:hAnsi="Times New Roman" w:cs="Times New Roman"/>
                <w:sz w:val="24"/>
                <w:szCs w:val="24"/>
              </w:rPr>
              <w:t>virssaistības</w:t>
            </w:r>
            <w:proofErr w:type="spellEnd"/>
            <w:r w:rsidRPr="0079679B">
              <w:rPr>
                <w:rFonts w:ascii="Times New Roman" w:hAnsi="Times New Roman" w:cs="Times New Roman"/>
                <w:sz w:val="24"/>
                <w:szCs w:val="24"/>
              </w:rPr>
              <w:t xml:space="preserve">, Ekonomikas ministrija ir radusi iespējas </w:t>
            </w:r>
            <w:r w:rsidR="004A2D2D" w:rsidRPr="0079679B">
              <w:rPr>
                <w:rFonts w:ascii="Times New Roman" w:hAnsi="Times New Roman" w:cs="Times New Roman"/>
                <w:sz w:val="24"/>
                <w:szCs w:val="24"/>
              </w:rPr>
              <w:t xml:space="preserve">pārcelt faktiski veiktās izmaksas 2 200 000 </w:t>
            </w:r>
            <w:r w:rsidR="004A2D2D" w:rsidRPr="0079679B">
              <w:rPr>
                <w:rFonts w:ascii="Times New Roman" w:hAnsi="Times New Roman" w:cs="Times New Roman"/>
                <w:i/>
                <w:sz w:val="24"/>
                <w:szCs w:val="24"/>
              </w:rPr>
              <w:t xml:space="preserve">euro </w:t>
            </w:r>
            <w:r w:rsidR="004A2D2D" w:rsidRPr="0079679B">
              <w:rPr>
                <w:rFonts w:ascii="Times New Roman" w:hAnsi="Times New Roman" w:cs="Times New Roman"/>
                <w:sz w:val="24"/>
                <w:szCs w:val="24"/>
              </w:rPr>
              <w:t>apmērā no Eiropas Savienības fondu 2007.-2013.gada plānošan</w:t>
            </w:r>
            <w:r w:rsidR="004C7EA9" w:rsidRPr="0079679B">
              <w:rPr>
                <w:rFonts w:ascii="Times New Roman" w:hAnsi="Times New Roman" w:cs="Times New Roman"/>
                <w:sz w:val="24"/>
                <w:szCs w:val="24"/>
              </w:rPr>
              <w:t>a</w:t>
            </w:r>
            <w:r w:rsidR="004A2D2D" w:rsidRPr="0079679B">
              <w:rPr>
                <w:rFonts w:ascii="Times New Roman" w:hAnsi="Times New Roman" w:cs="Times New Roman"/>
                <w:sz w:val="24"/>
                <w:szCs w:val="24"/>
              </w:rPr>
              <w:t>s perioda darbības programmas “Uzņēmējdarbība un inovācijas” papildinājuma 2.3.1.1.2.apakšaktivtātes „Ārējo tirgu apgūšana – nozaru starptautiskās konkurētspējas stiprināšana”</w:t>
            </w:r>
            <w:r w:rsidR="00B30D00" w:rsidRPr="0079679B">
              <w:rPr>
                <w:rFonts w:ascii="Times New Roman" w:hAnsi="Times New Roman" w:cs="Times New Roman"/>
                <w:sz w:val="24"/>
                <w:szCs w:val="24"/>
              </w:rPr>
              <w:t xml:space="preserve"> (turpmāk – 2.3.1.1.2.apakšaktivitāte)</w:t>
            </w:r>
            <w:r w:rsidR="004A2D2D" w:rsidRPr="0079679B">
              <w:rPr>
                <w:rFonts w:ascii="Times New Roman" w:hAnsi="Times New Roman" w:cs="Times New Roman"/>
                <w:sz w:val="24"/>
                <w:szCs w:val="24"/>
              </w:rPr>
              <w:t xml:space="preserve"> uz Eiropas Savienības fondu 2014.-2020.gada plānošan</w:t>
            </w:r>
            <w:r w:rsidR="004C7EA9" w:rsidRPr="0079679B">
              <w:rPr>
                <w:rFonts w:ascii="Times New Roman" w:hAnsi="Times New Roman" w:cs="Times New Roman"/>
                <w:sz w:val="24"/>
                <w:szCs w:val="24"/>
              </w:rPr>
              <w:t>a</w:t>
            </w:r>
            <w:r w:rsidR="004A2D2D" w:rsidRPr="0079679B">
              <w:rPr>
                <w:rFonts w:ascii="Times New Roman" w:hAnsi="Times New Roman" w:cs="Times New Roman"/>
                <w:sz w:val="24"/>
                <w:szCs w:val="24"/>
              </w:rPr>
              <w:t>s perioda darbības programmas “Izaugsme un nodarbinātība” papildinājuma 3.2.1.2.pasākumu „</w:t>
            </w:r>
            <w:r w:rsidR="004A2D2D" w:rsidRPr="0079679B">
              <w:rPr>
                <w:rFonts w:ascii="Times New Roman" w:eastAsia="ヒラギノ角ゴ Pro W3" w:hAnsi="Times New Roman" w:cs="Times New Roman"/>
                <w:sz w:val="24"/>
                <w:szCs w:val="24"/>
              </w:rPr>
              <w:t>Starptautiskās konkurētspējas veicināšana</w:t>
            </w:r>
            <w:r w:rsidR="004A2D2D" w:rsidRPr="0079679B">
              <w:rPr>
                <w:rFonts w:ascii="Times New Roman" w:hAnsi="Times New Roman" w:cs="Times New Roman"/>
                <w:sz w:val="24"/>
                <w:szCs w:val="24"/>
              </w:rPr>
              <w:t>”.</w:t>
            </w:r>
          </w:p>
          <w:p w:rsidR="000B783B" w:rsidRPr="0079679B" w:rsidRDefault="00B30D00" w:rsidP="00A66AA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r>
            <w:r w:rsidR="004A2D2D" w:rsidRPr="0079679B">
              <w:rPr>
                <w:rFonts w:ascii="Times New Roman" w:hAnsi="Times New Roman" w:cs="Times New Roman"/>
                <w:sz w:val="24"/>
                <w:szCs w:val="24"/>
              </w:rPr>
              <w:t>Tādejādi</w:t>
            </w:r>
            <w:r w:rsidRPr="0079679B">
              <w:rPr>
                <w:rFonts w:ascii="Times New Roman" w:hAnsi="Times New Roman" w:cs="Times New Roman"/>
                <w:sz w:val="24"/>
                <w:szCs w:val="24"/>
              </w:rPr>
              <w:t xml:space="preserve">, </w:t>
            </w:r>
            <w:r w:rsidR="004A2D2D" w:rsidRPr="0079679B">
              <w:rPr>
                <w:rFonts w:ascii="Times New Roman" w:hAnsi="Times New Roman" w:cs="Times New Roman"/>
                <w:sz w:val="24"/>
                <w:szCs w:val="24"/>
              </w:rPr>
              <w:t>2.3.1.1.1.apakšaktivitātē finansējums</w:t>
            </w:r>
            <w:r w:rsidRPr="0079679B">
              <w:rPr>
                <w:rFonts w:ascii="Times New Roman" w:hAnsi="Times New Roman" w:cs="Times New Roman"/>
                <w:sz w:val="24"/>
                <w:szCs w:val="24"/>
              </w:rPr>
              <w:t xml:space="preserve"> tiek</w:t>
            </w:r>
            <w:r w:rsidR="004A2D2D" w:rsidRPr="0079679B">
              <w:rPr>
                <w:rFonts w:ascii="Times New Roman" w:hAnsi="Times New Roman" w:cs="Times New Roman"/>
                <w:sz w:val="24"/>
                <w:szCs w:val="24"/>
              </w:rPr>
              <w:t xml:space="preserve"> palielinā</w:t>
            </w:r>
            <w:r w:rsidRPr="0079679B">
              <w:rPr>
                <w:rFonts w:ascii="Times New Roman" w:hAnsi="Times New Roman" w:cs="Times New Roman"/>
                <w:sz w:val="24"/>
                <w:szCs w:val="24"/>
              </w:rPr>
              <w:t>t</w:t>
            </w:r>
            <w:r w:rsidR="004A2D2D" w:rsidRPr="0079679B">
              <w:rPr>
                <w:rFonts w:ascii="Times New Roman" w:hAnsi="Times New Roman" w:cs="Times New Roman"/>
                <w:sz w:val="24"/>
                <w:szCs w:val="24"/>
              </w:rPr>
              <w:t xml:space="preserve">s par nepieciešamajiem 2 200 000 </w:t>
            </w:r>
            <w:r w:rsidR="004A2D2D" w:rsidRPr="0079679B">
              <w:rPr>
                <w:rFonts w:ascii="Times New Roman" w:hAnsi="Times New Roman" w:cs="Times New Roman"/>
                <w:i/>
                <w:sz w:val="24"/>
                <w:szCs w:val="24"/>
              </w:rPr>
              <w:t>euro</w:t>
            </w:r>
            <w:r w:rsidR="004A2D2D" w:rsidRPr="0079679B">
              <w:rPr>
                <w:rFonts w:ascii="Times New Roman" w:hAnsi="Times New Roman" w:cs="Times New Roman"/>
                <w:sz w:val="24"/>
                <w:szCs w:val="24"/>
              </w:rPr>
              <w:t>, bet atbilstoši</w:t>
            </w:r>
            <w:r w:rsidRPr="0079679B">
              <w:rPr>
                <w:rFonts w:ascii="Times New Roman" w:hAnsi="Times New Roman" w:cs="Times New Roman"/>
                <w:sz w:val="24"/>
                <w:szCs w:val="24"/>
              </w:rPr>
              <w:t xml:space="preserve"> 2.3.1.1.2.apakšaktivitātē tiek</w:t>
            </w:r>
            <w:r w:rsidR="004A2D2D" w:rsidRPr="0079679B">
              <w:rPr>
                <w:rFonts w:ascii="Times New Roman" w:hAnsi="Times New Roman" w:cs="Times New Roman"/>
                <w:sz w:val="24"/>
                <w:szCs w:val="24"/>
              </w:rPr>
              <w:t xml:space="preserve"> samazinā</w:t>
            </w:r>
            <w:r w:rsidRPr="0079679B">
              <w:rPr>
                <w:rFonts w:ascii="Times New Roman" w:hAnsi="Times New Roman" w:cs="Times New Roman"/>
                <w:sz w:val="24"/>
                <w:szCs w:val="24"/>
              </w:rPr>
              <w:t>t</w:t>
            </w:r>
            <w:r w:rsidR="004A2D2D" w:rsidRPr="0079679B">
              <w:rPr>
                <w:rFonts w:ascii="Times New Roman" w:hAnsi="Times New Roman" w:cs="Times New Roman"/>
                <w:sz w:val="24"/>
                <w:szCs w:val="24"/>
              </w:rPr>
              <w:t>s</w:t>
            </w:r>
            <w:r w:rsidR="00D629E8" w:rsidRPr="0079679B">
              <w:rPr>
                <w:rFonts w:ascii="Times New Roman" w:hAnsi="Times New Roman" w:cs="Times New Roman"/>
                <w:sz w:val="24"/>
                <w:szCs w:val="24"/>
              </w:rPr>
              <w:t xml:space="preserve"> finansējums</w:t>
            </w:r>
            <w:r w:rsidR="004A2D2D" w:rsidRPr="0079679B">
              <w:rPr>
                <w:rFonts w:ascii="Times New Roman" w:hAnsi="Times New Roman" w:cs="Times New Roman"/>
                <w:sz w:val="24"/>
                <w:szCs w:val="24"/>
              </w:rPr>
              <w:t xml:space="preserve"> par šādu pašu summu, nodrošinot, ka 2.3.1.1.aktivitātes “Ārējo tirgu apgūšana” ie</w:t>
            </w:r>
            <w:r w:rsidR="004C7EA9" w:rsidRPr="0079679B">
              <w:rPr>
                <w:rFonts w:ascii="Times New Roman" w:hAnsi="Times New Roman" w:cs="Times New Roman"/>
                <w:sz w:val="24"/>
                <w:szCs w:val="24"/>
              </w:rPr>
              <w:t>t</w:t>
            </w:r>
            <w:r w:rsidR="004A2D2D" w:rsidRPr="0079679B">
              <w:rPr>
                <w:rFonts w:ascii="Times New Roman" w:hAnsi="Times New Roman" w:cs="Times New Roman"/>
                <w:sz w:val="24"/>
                <w:szCs w:val="24"/>
              </w:rPr>
              <w:t xml:space="preserve">varos nepalielinās valsts budžeta piešķirtās </w:t>
            </w:r>
            <w:proofErr w:type="spellStart"/>
            <w:r w:rsidR="004A2D2D" w:rsidRPr="0079679B">
              <w:rPr>
                <w:rFonts w:ascii="Times New Roman" w:hAnsi="Times New Roman" w:cs="Times New Roman"/>
                <w:sz w:val="24"/>
                <w:szCs w:val="24"/>
              </w:rPr>
              <w:t>vissaistības</w:t>
            </w:r>
            <w:proofErr w:type="spellEnd"/>
            <w:r w:rsidR="004A2D2D" w:rsidRPr="0079679B">
              <w:rPr>
                <w:rFonts w:ascii="Times New Roman" w:hAnsi="Times New Roman" w:cs="Times New Roman"/>
                <w:sz w:val="24"/>
                <w:szCs w:val="24"/>
              </w:rPr>
              <w:t>.</w:t>
            </w:r>
          </w:p>
          <w:p w:rsidR="00CF2C05" w:rsidRPr="0079679B" w:rsidRDefault="00CF2C05" w:rsidP="00CF2C0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Ministru kabineta 2015.gada 10.marta </w:t>
            </w:r>
            <w:proofErr w:type="spellStart"/>
            <w:r w:rsidRPr="0079679B">
              <w:rPr>
                <w:rFonts w:ascii="Times New Roman" w:hAnsi="Times New Roman" w:cs="Times New Roman"/>
                <w:sz w:val="24"/>
                <w:szCs w:val="24"/>
              </w:rPr>
              <w:t>protokollēmuma</w:t>
            </w:r>
            <w:proofErr w:type="spellEnd"/>
            <w:r w:rsidRPr="0079679B">
              <w:rPr>
                <w:rFonts w:ascii="Times New Roman" w:hAnsi="Times New Roman" w:cs="Times New Roman"/>
                <w:sz w:val="24"/>
                <w:szCs w:val="24"/>
              </w:rPr>
              <w:t xml:space="preserve"> Nr.14. 27.§ 2.punkts </w:t>
            </w:r>
            <w:r w:rsidR="000A21AB" w:rsidRPr="0079679B">
              <w:rPr>
                <w:rFonts w:ascii="Times New Roman" w:hAnsi="Times New Roman" w:cs="Times New Roman"/>
                <w:sz w:val="24"/>
                <w:szCs w:val="24"/>
              </w:rPr>
              <w:t>tostarp</w:t>
            </w:r>
            <w:r w:rsidRPr="0079679B">
              <w:rPr>
                <w:rFonts w:ascii="Times New Roman" w:hAnsi="Times New Roman" w:cs="Times New Roman"/>
                <w:sz w:val="24"/>
                <w:szCs w:val="24"/>
              </w:rPr>
              <w:t xml:space="preserve"> nosaka, ka </w:t>
            </w:r>
            <w:r w:rsidRPr="0079679B">
              <w:rPr>
                <w:rFonts w:ascii="Times New Roman" w:hAnsi="Times New Roman" w:cs="Times New Roman"/>
                <w:i/>
                <w:iCs/>
                <w:sz w:val="24"/>
                <w:szCs w:val="24"/>
              </w:rPr>
              <w:t xml:space="preserve">“netiek atbalstīti priekšlikumi Eiropas Savienības fondu un nacionālā publiskā finansējuma, tai skaitā budžeta </w:t>
            </w:r>
            <w:proofErr w:type="spellStart"/>
            <w:r w:rsidRPr="0079679B">
              <w:rPr>
                <w:rFonts w:ascii="Times New Roman" w:hAnsi="Times New Roman" w:cs="Times New Roman"/>
                <w:i/>
                <w:iCs/>
                <w:sz w:val="24"/>
                <w:szCs w:val="24"/>
              </w:rPr>
              <w:t>virssaistību</w:t>
            </w:r>
            <w:proofErr w:type="spellEnd"/>
            <w:r w:rsidRPr="0079679B">
              <w:rPr>
                <w:rFonts w:ascii="Times New Roman" w:hAnsi="Times New Roman" w:cs="Times New Roman"/>
                <w:i/>
                <w:iCs/>
                <w:sz w:val="24"/>
                <w:szCs w:val="24"/>
              </w:rPr>
              <w:t>, izmantošanai finansējuma pārdales (…)</w:t>
            </w:r>
            <w:r w:rsidRPr="0079679B">
              <w:rPr>
                <w:rFonts w:ascii="Times New Roman" w:hAnsi="Times New Roman" w:cs="Times New Roman"/>
                <w:sz w:val="24"/>
                <w:szCs w:val="24"/>
              </w:rPr>
              <w:t xml:space="preserve">”. </w:t>
            </w:r>
          </w:p>
          <w:p w:rsidR="00CF2C05" w:rsidRPr="0079679B" w:rsidRDefault="00CF2C05" w:rsidP="00CF2C0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Ņemot vērā, ka izstrādātais noteikumu projekts paredz tieši valsts budžeta </w:t>
            </w:r>
            <w:proofErr w:type="spellStart"/>
            <w:r w:rsidRPr="0079679B">
              <w:rPr>
                <w:rFonts w:ascii="Times New Roman" w:hAnsi="Times New Roman" w:cs="Times New Roman"/>
                <w:sz w:val="24"/>
                <w:szCs w:val="24"/>
              </w:rPr>
              <w:t>virssaistību</w:t>
            </w:r>
            <w:proofErr w:type="spellEnd"/>
            <w:r w:rsidRPr="0079679B">
              <w:rPr>
                <w:rFonts w:ascii="Times New Roman" w:hAnsi="Times New Roman" w:cs="Times New Roman"/>
                <w:sz w:val="24"/>
                <w:szCs w:val="24"/>
              </w:rPr>
              <w:t xml:space="preserve"> pārdali no 2.1.2.4.aktivitātes uz 2.3.1.1.1 </w:t>
            </w:r>
            <w:proofErr w:type="spellStart"/>
            <w:r w:rsidRPr="0079679B">
              <w:rPr>
                <w:rFonts w:ascii="Times New Roman" w:hAnsi="Times New Roman" w:cs="Times New Roman"/>
                <w:sz w:val="24"/>
                <w:szCs w:val="24"/>
              </w:rPr>
              <w:t>apakšaktivitāti</w:t>
            </w:r>
            <w:proofErr w:type="spellEnd"/>
            <w:r w:rsidRPr="0079679B">
              <w:rPr>
                <w:rFonts w:ascii="Times New Roman" w:hAnsi="Times New Roman" w:cs="Times New Roman"/>
                <w:sz w:val="24"/>
                <w:szCs w:val="24"/>
              </w:rPr>
              <w:t>, noteikum</w:t>
            </w:r>
            <w:r w:rsidR="00383F97" w:rsidRPr="0079679B">
              <w:rPr>
                <w:rFonts w:ascii="Times New Roman" w:hAnsi="Times New Roman" w:cs="Times New Roman"/>
                <w:sz w:val="24"/>
                <w:szCs w:val="24"/>
              </w:rPr>
              <w:t xml:space="preserve">u projekts tiek papildināts ar </w:t>
            </w:r>
            <w:r w:rsidRPr="0079679B">
              <w:rPr>
                <w:rFonts w:ascii="Times New Roman" w:hAnsi="Times New Roman" w:cs="Times New Roman"/>
                <w:sz w:val="24"/>
                <w:szCs w:val="24"/>
              </w:rPr>
              <w:t xml:space="preserve">Ministru kabineta </w:t>
            </w:r>
            <w:proofErr w:type="spellStart"/>
            <w:r w:rsidRPr="0079679B">
              <w:rPr>
                <w:rFonts w:ascii="Times New Roman" w:hAnsi="Times New Roman" w:cs="Times New Roman"/>
                <w:sz w:val="24"/>
                <w:szCs w:val="24"/>
              </w:rPr>
              <w:t>protokollēmuma</w:t>
            </w:r>
            <w:proofErr w:type="spellEnd"/>
            <w:r w:rsidRPr="0079679B">
              <w:rPr>
                <w:rFonts w:ascii="Times New Roman" w:hAnsi="Times New Roman" w:cs="Times New Roman"/>
                <w:sz w:val="24"/>
                <w:szCs w:val="24"/>
              </w:rPr>
              <w:t xml:space="preserve"> projektu, paredzot tajā punktu, ar ko veic grozījumus augstākminētajā </w:t>
            </w:r>
            <w:proofErr w:type="spellStart"/>
            <w:r w:rsidRPr="0079679B">
              <w:rPr>
                <w:rFonts w:ascii="Times New Roman" w:hAnsi="Times New Roman" w:cs="Times New Roman"/>
                <w:sz w:val="24"/>
                <w:szCs w:val="24"/>
              </w:rPr>
              <w:t>protokollēmuma</w:t>
            </w:r>
            <w:proofErr w:type="spellEnd"/>
            <w:r w:rsidRPr="0079679B">
              <w:rPr>
                <w:rFonts w:ascii="Times New Roman" w:hAnsi="Times New Roman" w:cs="Times New Roman"/>
                <w:sz w:val="24"/>
                <w:szCs w:val="24"/>
              </w:rPr>
              <w:t xml:space="preserve"> punktā, nosakot, ka </w:t>
            </w:r>
            <w:proofErr w:type="spellStart"/>
            <w:r w:rsidRPr="0079679B">
              <w:rPr>
                <w:rFonts w:ascii="Times New Roman" w:hAnsi="Times New Roman" w:cs="Times New Roman"/>
                <w:sz w:val="24"/>
                <w:szCs w:val="24"/>
              </w:rPr>
              <w:t>protokollēmuma</w:t>
            </w:r>
            <w:proofErr w:type="spellEnd"/>
            <w:r w:rsidRPr="0079679B">
              <w:rPr>
                <w:rFonts w:ascii="Times New Roman" w:hAnsi="Times New Roman" w:cs="Times New Roman"/>
                <w:sz w:val="24"/>
                <w:szCs w:val="24"/>
              </w:rPr>
              <w:t xml:space="preserve"> punkts neattiecas uz valsts budžeta </w:t>
            </w:r>
            <w:proofErr w:type="spellStart"/>
            <w:r w:rsidRPr="0079679B">
              <w:rPr>
                <w:rFonts w:ascii="Times New Roman" w:hAnsi="Times New Roman" w:cs="Times New Roman"/>
                <w:sz w:val="24"/>
                <w:szCs w:val="24"/>
              </w:rPr>
              <w:t>virssaistību</w:t>
            </w:r>
            <w:proofErr w:type="spellEnd"/>
            <w:r w:rsidRPr="0079679B">
              <w:rPr>
                <w:rFonts w:ascii="Times New Roman" w:hAnsi="Times New Roman" w:cs="Times New Roman"/>
                <w:sz w:val="24"/>
                <w:szCs w:val="24"/>
              </w:rPr>
              <w:t xml:space="preserve"> pārdali no 2.1.2.4.aktivitātes uz 2.3.1.1.1.apakšaktivitāti  2 200 000 </w:t>
            </w:r>
            <w:r w:rsidRPr="0079679B">
              <w:rPr>
                <w:rFonts w:ascii="Times New Roman" w:hAnsi="Times New Roman" w:cs="Times New Roman"/>
                <w:i/>
                <w:sz w:val="24"/>
                <w:szCs w:val="24"/>
              </w:rPr>
              <w:t>euro</w:t>
            </w:r>
            <w:r w:rsidRPr="0079679B">
              <w:rPr>
                <w:rFonts w:ascii="Times New Roman" w:hAnsi="Times New Roman" w:cs="Times New Roman"/>
                <w:sz w:val="24"/>
                <w:szCs w:val="24"/>
              </w:rPr>
              <w:t xml:space="preserve"> apmērā.</w:t>
            </w:r>
          </w:p>
          <w:p w:rsidR="00500BDD" w:rsidRPr="0079679B" w:rsidRDefault="00355063" w:rsidP="00500BDD">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r>
            <w:r w:rsidR="00500BDD" w:rsidRPr="0079679B">
              <w:rPr>
                <w:rFonts w:ascii="Times New Roman" w:hAnsi="Times New Roman" w:cs="Times New Roman"/>
                <w:sz w:val="24"/>
                <w:szCs w:val="24"/>
              </w:rPr>
              <w:t>Ja kādi no 2.3.1.1.2.apakšaktivitātes apstiprinātajiem pieteikumiem, par kuriem tiks veikta izmaksu pārcelšana uz Darbības programmas “Izaugsme un nodarbinātība” 3.2.1.specifiskā atbalsta mērķa “Palielināt augstas pievienotās vērtības produktu un pakalpojumu eksporta proporciju” 3.2.1.2.pasākumu „</w:t>
            </w:r>
            <w:r w:rsidR="00500BDD" w:rsidRPr="0079679B">
              <w:rPr>
                <w:rFonts w:ascii="Times New Roman" w:eastAsia="ヒラギノ角ゴ Pro W3" w:hAnsi="Times New Roman" w:cs="Times New Roman"/>
                <w:sz w:val="24"/>
                <w:szCs w:val="24"/>
              </w:rPr>
              <w:t xml:space="preserve">Starptautiskās </w:t>
            </w:r>
            <w:r w:rsidR="00500BDD" w:rsidRPr="0079679B">
              <w:rPr>
                <w:rFonts w:ascii="Times New Roman" w:eastAsia="ヒラギノ角ゴ Pro W3" w:hAnsi="Times New Roman" w:cs="Times New Roman"/>
                <w:sz w:val="24"/>
                <w:szCs w:val="24"/>
              </w:rPr>
              <w:lastRenderedPageBreak/>
              <w:t>konkurētspējas veicināšana</w:t>
            </w:r>
            <w:r w:rsidR="00500BDD" w:rsidRPr="0079679B">
              <w:rPr>
                <w:rFonts w:ascii="Times New Roman" w:hAnsi="Times New Roman" w:cs="Times New Roman"/>
                <w:sz w:val="24"/>
                <w:szCs w:val="24"/>
              </w:rPr>
              <w:t>” (turpmāk – 3.2.1.2.pasākums), nevarēs tikt pārcelti, jo neatb</w:t>
            </w:r>
            <w:r w:rsidR="00500BDD" w:rsidRPr="0079679B">
              <w:rPr>
                <w:rFonts w:ascii="Times New Roman" w:hAnsi="Times New Roman"/>
                <w:sz w:val="24"/>
                <w:szCs w:val="24"/>
              </w:rPr>
              <w:t>ildīs 3.2.1.2.</w:t>
            </w:r>
            <w:r w:rsidR="00500BDD" w:rsidRPr="0079679B">
              <w:rPr>
                <w:rFonts w:ascii="Times New Roman" w:hAnsi="Times New Roman" w:cs="Times New Roman"/>
                <w:sz w:val="24"/>
                <w:szCs w:val="24"/>
              </w:rPr>
              <w:t>pasākuma</w:t>
            </w:r>
            <w:r w:rsidR="00500BDD" w:rsidRPr="0079679B">
              <w:rPr>
                <w:rFonts w:ascii="Times New Roman" w:hAnsi="Times New Roman"/>
                <w:sz w:val="24"/>
                <w:szCs w:val="24"/>
              </w:rPr>
              <w:t xml:space="preserve"> </w:t>
            </w:r>
            <w:r w:rsidR="00500BDD" w:rsidRPr="0079679B">
              <w:rPr>
                <w:rFonts w:ascii="Times New Roman" w:hAnsi="Times New Roman" w:cs="Times New Roman"/>
                <w:sz w:val="24"/>
                <w:szCs w:val="24"/>
              </w:rPr>
              <w:t>vērtēšanas kritērijiem, E</w:t>
            </w:r>
            <w:r w:rsidR="00500BDD" w:rsidRPr="0079679B">
              <w:rPr>
                <w:rFonts w:ascii="Times New Roman" w:hAnsi="Times New Roman"/>
                <w:sz w:val="24"/>
                <w:szCs w:val="24"/>
              </w:rPr>
              <w:t>konomikas ministrija šos izdevumus segs no Ekonomikas ministrijas</w:t>
            </w:r>
            <w:r w:rsidR="005110AC" w:rsidRPr="0079679B">
              <w:rPr>
                <w:rFonts w:ascii="Times New Roman" w:hAnsi="Times New Roman" w:cs="Times New Roman"/>
                <w:sz w:val="24"/>
                <w:szCs w:val="24"/>
              </w:rPr>
              <w:t xml:space="preserve"> pamatbudžeta. Š</w:t>
            </w:r>
            <w:r w:rsidR="00500BDD" w:rsidRPr="0079679B">
              <w:rPr>
                <w:rFonts w:ascii="Times New Roman" w:hAnsi="Times New Roman" w:cs="Times New Roman"/>
                <w:sz w:val="24"/>
                <w:szCs w:val="24"/>
              </w:rPr>
              <w:t xml:space="preserve">im mērķim neprasot papildu finansējumu no valsts budžeta. Ekonomikas ministrija norāda, ka iepriekš minētā situācija </w:t>
            </w:r>
            <w:r w:rsidR="008A7320" w:rsidRPr="0079679B">
              <w:rPr>
                <w:rFonts w:ascii="Times New Roman" w:hAnsi="Times New Roman" w:cs="Times New Roman"/>
                <w:sz w:val="24"/>
                <w:szCs w:val="24"/>
              </w:rPr>
              <w:t>nevar rasties</w:t>
            </w:r>
            <w:r w:rsidR="00500BDD" w:rsidRPr="0079679B">
              <w:rPr>
                <w:rFonts w:ascii="Times New Roman" w:hAnsi="Times New Roman" w:cs="Times New Roman"/>
                <w:sz w:val="24"/>
                <w:szCs w:val="24"/>
              </w:rPr>
              <w:t xml:space="preserve"> , jo izstrādātā 3.2.1.2.pasākuma īstenošanas Ministru kabineta noteikumu projekta ietvaros, visas plānotās attiecināmās izmaksas par 3.2.1.2.pasākumā atbalstāmajām darbībām, kuras plānots </w:t>
            </w:r>
            <w:r w:rsidR="008A7320" w:rsidRPr="0079679B">
              <w:rPr>
                <w:rFonts w:ascii="Times New Roman" w:hAnsi="Times New Roman" w:cs="Times New Roman"/>
                <w:sz w:val="24"/>
                <w:szCs w:val="24"/>
              </w:rPr>
              <w:t>pārcelt, ir</w:t>
            </w:r>
            <w:r w:rsidR="00500BDD" w:rsidRPr="0079679B">
              <w:rPr>
                <w:rFonts w:ascii="Times New Roman" w:hAnsi="Times New Roman" w:cs="Times New Roman"/>
                <w:sz w:val="24"/>
                <w:szCs w:val="24"/>
              </w:rPr>
              <w:t xml:space="preserve"> atbalstāmas saskaņā ar Ekonomikas ministrijas izstrādāto 3.2.1.2.pasākuma īstenošanas Ministru kabineta noteikumu projektu.</w:t>
            </w:r>
          </w:p>
          <w:p w:rsidR="00500BDD" w:rsidRPr="0079679B" w:rsidRDefault="00404A24" w:rsidP="00500BDD">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r>
            <w:r w:rsidR="00500BDD" w:rsidRPr="0079679B">
              <w:rPr>
                <w:rFonts w:ascii="Times New Roman" w:hAnsi="Times New Roman" w:cs="Times New Roman"/>
                <w:sz w:val="24"/>
                <w:szCs w:val="24"/>
              </w:rPr>
              <w:t>3.2.1.2.pasākuma īstenošanas Ministru kabineta noteikumu projektu plānots izskatīt Ministru kabineta sēdē 2015.gada 10.novembrī. Š.g. 24.septembra mazo un vidējo komersantu konkurētspējas prioritārā virziena apakškomitejas sēdē ir apstiprināti 3.2.1.2.pasākuma vērtēšanas kritēriji un 8.oktobrī, ir uzsākta Eiropas Savienības struktūrfondu un Kohēzijas fonda 2014.-2020.gada plānošanas perioda Uzraudzības komitejas rakstiskā procedūra, kurā tika virzīti saskaņošanai 3.2.1.2.pasākuma vērtēšanas kritēriji.</w:t>
            </w:r>
          </w:p>
          <w:p w:rsidR="00520A62" w:rsidRPr="0079679B" w:rsidRDefault="00404A24" w:rsidP="00500BDD">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r>
            <w:r w:rsidR="00500BDD" w:rsidRPr="0079679B">
              <w:rPr>
                <w:rFonts w:ascii="Times New Roman" w:hAnsi="Times New Roman" w:cs="Times New Roman"/>
                <w:sz w:val="24"/>
                <w:szCs w:val="24"/>
              </w:rPr>
              <w:t>Līdz ar to, šobrīd jau ir zināms, ka pārceļamās izmaksas ir atbalstāmas 3.2.1.2.pasākuma ietvaros, turklāt 3.2.1.2.pasākuma Ministru kabineta noteikumu projekts  paredz, ka izmaksas ir attiecināmas, ja tās ir radušās ne agrāk kā 2014.gada 1.janvārī.</w:t>
            </w:r>
          </w:p>
          <w:p w:rsidR="00366A5C" w:rsidRPr="0079679B" w:rsidRDefault="00500BDD" w:rsidP="00500BDD">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Ekonomikas ministrija ir pārskatījusi visas atbalstāmās darbības un attiecināmās izmaksas 2.3.1.1.2.apakšaktivitātes ietvaros. Izmaksas, kuras tiek plānotas pārcelt uz 3.2.1.2.pasākumu 2 200 000 </w:t>
            </w:r>
            <w:r w:rsidRPr="0079679B">
              <w:rPr>
                <w:rFonts w:ascii="Times New Roman" w:hAnsi="Times New Roman" w:cs="Times New Roman"/>
                <w:i/>
                <w:sz w:val="24"/>
                <w:szCs w:val="24"/>
              </w:rPr>
              <w:t>euro</w:t>
            </w:r>
            <w:r w:rsidRPr="0079679B">
              <w:rPr>
                <w:rFonts w:ascii="Times New Roman" w:hAnsi="Times New Roman" w:cs="Times New Roman"/>
                <w:sz w:val="24"/>
                <w:szCs w:val="24"/>
              </w:rPr>
              <w:t xml:space="preserve"> apmērā, veido gan jau izmaksātais finansējums, kuras ir jau deklarētas Eiropas Komisijā, gan neizmaksātais finansējums, bet par kurām 2015.gadā ir atbilstoši jau uzsākta atbalstāmo darbību īstenošana. Ar detalizētāka informācija par visām iespējamajām izmaksu pozīcijām iespējams iepazīties 1.tabulā. “Pārceļamās izmaksu pozīcijas no 2.3.1.1.2.aktivitātes uz 3.2.1.2.pasākumu (EUR)”.</w:t>
            </w:r>
            <w:r w:rsidR="00C8661C" w:rsidRPr="0079679B">
              <w:rPr>
                <w:rFonts w:ascii="Times New Roman" w:hAnsi="Times New Roman" w:cs="Times New Roman"/>
                <w:sz w:val="24"/>
                <w:szCs w:val="24"/>
              </w:rPr>
              <w:t xml:space="preserve"> </w:t>
            </w:r>
          </w:p>
          <w:p w:rsidR="00500BDD" w:rsidRPr="0079679B" w:rsidRDefault="00C8661C" w:rsidP="00CF2C0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Kopējā identificētā </w:t>
            </w:r>
            <w:r w:rsidR="00C30D97" w:rsidRPr="0079679B">
              <w:rPr>
                <w:rFonts w:ascii="Times New Roman" w:hAnsi="Times New Roman" w:cs="Times New Roman"/>
                <w:sz w:val="24"/>
                <w:szCs w:val="24"/>
              </w:rPr>
              <w:t xml:space="preserve">izmaksu summa, kura atbilst pārcelšanai uz 3.2.1.2.pasākumu ir </w:t>
            </w:r>
            <w:r w:rsidR="00B90A9B" w:rsidRPr="00B90A9B">
              <w:rPr>
                <w:rFonts w:ascii="Times New Roman" w:hAnsi="Times New Roman" w:cs="Times New Roman"/>
                <w:sz w:val="24"/>
                <w:szCs w:val="24"/>
              </w:rPr>
              <w:t>4 135 264,71</w:t>
            </w:r>
            <w:r w:rsidR="00C30D97" w:rsidRPr="0079679B">
              <w:rPr>
                <w:rFonts w:ascii="Times New Roman" w:hAnsi="Times New Roman" w:cs="Times New Roman"/>
                <w:sz w:val="24"/>
                <w:szCs w:val="24"/>
              </w:rPr>
              <w:t xml:space="preserve"> </w:t>
            </w:r>
            <w:r w:rsidR="00C30D97" w:rsidRPr="0079679B">
              <w:rPr>
                <w:rFonts w:ascii="Times New Roman" w:hAnsi="Times New Roman" w:cs="Times New Roman"/>
                <w:i/>
                <w:sz w:val="24"/>
                <w:szCs w:val="24"/>
              </w:rPr>
              <w:t>euro</w:t>
            </w:r>
            <w:r w:rsidR="00C30D97" w:rsidRPr="0079679B">
              <w:rPr>
                <w:rFonts w:ascii="Times New Roman" w:hAnsi="Times New Roman" w:cs="Times New Roman"/>
                <w:sz w:val="24"/>
                <w:szCs w:val="24"/>
              </w:rPr>
              <w:t xml:space="preserve">. No kuriem </w:t>
            </w:r>
            <w:r w:rsidR="00B90A9B" w:rsidRPr="00B90A9B">
              <w:rPr>
                <w:rFonts w:ascii="Times New Roman" w:hAnsi="Times New Roman" w:cs="Times New Roman"/>
                <w:sz w:val="24"/>
                <w:szCs w:val="24"/>
              </w:rPr>
              <w:t>1 716 215,59</w:t>
            </w:r>
            <w:r w:rsidR="00B90A9B">
              <w:rPr>
                <w:rFonts w:ascii="Times New Roman" w:hAnsi="Times New Roman" w:cs="Times New Roman"/>
                <w:sz w:val="24"/>
                <w:szCs w:val="24"/>
              </w:rPr>
              <w:t xml:space="preserve"> </w:t>
            </w:r>
            <w:r w:rsidR="00C30D97" w:rsidRPr="0079679B">
              <w:rPr>
                <w:rFonts w:ascii="Times New Roman" w:hAnsi="Times New Roman" w:cs="Times New Roman"/>
                <w:i/>
                <w:sz w:val="24"/>
                <w:szCs w:val="24"/>
              </w:rPr>
              <w:t xml:space="preserve">euro </w:t>
            </w:r>
            <w:r w:rsidR="00C30D97" w:rsidRPr="0079679B">
              <w:rPr>
                <w:rFonts w:ascii="Times New Roman" w:hAnsi="Times New Roman" w:cs="Times New Roman"/>
                <w:sz w:val="24"/>
                <w:szCs w:val="24"/>
              </w:rPr>
              <w:t>ir jau veiktās izmaksas kopš 2014.gada 1.janvāra līdz 2015.gada 30.jūnijam. Ņemot vērā, ka par veiktajām izmaksām ir jau veikta izmaksu deklarācija Eiropas Komisijā, līdz ar to š</w:t>
            </w:r>
            <w:r w:rsidR="008A68CB" w:rsidRPr="0079679B">
              <w:rPr>
                <w:rFonts w:ascii="Times New Roman" w:hAnsi="Times New Roman" w:cs="Times New Roman"/>
                <w:sz w:val="24"/>
                <w:szCs w:val="24"/>
              </w:rPr>
              <w:t>īm izmaksām</w:t>
            </w:r>
            <w:r w:rsidR="00C30D97" w:rsidRPr="0079679B">
              <w:rPr>
                <w:rFonts w:ascii="Times New Roman" w:hAnsi="Times New Roman" w:cs="Times New Roman"/>
                <w:sz w:val="24"/>
                <w:szCs w:val="24"/>
              </w:rPr>
              <w:t xml:space="preserve"> Latvijas Investīciju un attīstības aģentūra </w:t>
            </w:r>
            <w:r w:rsidR="000D18B2" w:rsidRPr="0079679B">
              <w:rPr>
                <w:rFonts w:ascii="Times New Roman" w:hAnsi="Times New Roman" w:cs="Times New Roman"/>
                <w:sz w:val="24"/>
                <w:szCs w:val="24"/>
              </w:rPr>
              <w:t xml:space="preserve">(turpmāk – LIAA) </w:t>
            </w:r>
            <w:r w:rsidR="00C30D97" w:rsidRPr="0079679B">
              <w:rPr>
                <w:rFonts w:ascii="Times New Roman" w:hAnsi="Times New Roman" w:cs="Times New Roman"/>
                <w:sz w:val="24"/>
                <w:szCs w:val="24"/>
              </w:rPr>
              <w:t xml:space="preserve">un Tūrisma attīstības valsts aģentūra </w:t>
            </w:r>
            <w:r w:rsidR="000D18B2" w:rsidRPr="0079679B">
              <w:rPr>
                <w:rFonts w:ascii="Times New Roman" w:hAnsi="Times New Roman" w:cs="Times New Roman"/>
                <w:sz w:val="24"/>
                <w:szCs w:val="24"/>
              </w:rPr>
              <w:t xml:space="preserve">(turpmāk – TAVA) </w:t>
            </w:r>
            <w:r w:rsidR="00C30D97" w:rsidRPr="0079679B">
              <w:rPr>
                <w:rFonts w:ascii="Times New Roman" w:hAnsi="Times New Roman" w:cs="Times New Roman"/>
                <w:sz w:val="24"/>
                <w:szCs w:val="24"/>
              </w:rPr>
              <w:t xml:space="preserve">veiks atbilstošo izmaksu izdeklarēšanu, tādejādi neradot </w:t>
            </w:r>
            <w:r w:rsidR="000B2ACD" w:rsidRPr="0079679B">
              <w:rPr>
                <w:rFonts w:ascii="Times New Roman" w:hAnsi="Times New Roman" w:cs="Times New Roman"/>
                <w:sz w:val="24"/>
                <w:szCs w:val="24"/>
              </w:rPr>
              <w:t>dubultā</w:t>
            </w:r>
            <w:r w:rsidR="00C30D97" w:rsidRPr="0079679B">
              <w:rPr>
                <w:rFonts w:ascii="Times New Roman" w:hAnsi="Times New Roman" w:cs="Times New Roman"/>
                <w:sz w:val="24"/>
                <w:szCs w:val="24"/>
              </w:rPr>
              <w:t xml:space="preserve"> finansējuma riskus.</w:t>
            </w:r>
          </w:p>
          <w:p w:rsidR="00A850CC" w:rsidRPr="0079679B" w:rsidRDefault="00500BDD" w:rsidP="00CF2C0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Kopā 2.3.1.1.2.apakšaktivitātes ietvaros līdz 2015.gada </w:t>
            </w:r>
            <w:r w:rsidRPr="0079679B">
              <w:rPr>
                <w:rFonts w:ascii="Times New Roman" w:hAnsi="Times New Roman" w:cs="Times New Roman"/>
                <w:sz w:val="24"/>
                <w:szCs w:val="24"/>
              </w:rPr>
              <w:lastRenderedPageBreak/>
              <w:t xml:space="preserve">31.decembrim plānots īstenot atbalstāmās darbības pa kopējo summu </w:t>
            </w:r>
            <w:r w:rsidR="00B90A9B" w:rsidRPr="00B90A9B">
              <w:rPr>
                <w:rFonts w:ascii="Times New Roman" w:hAnsi="Times New Roman" w:cs="Times New Roman"/>
                <w:sz w:val="24"/>
                <w:szCs w:val="24"/>
              </w:rPr>
              <w:t>2 419 049,12</w:t>
            </w:r>
            <w:r w:rsidRPr="0079679B">
              <w:rPr>
                <w:rFonts w:ascii="Times New Roman" w:hAnsi="Times New Roman" w:cs="Times New Roman"/>
                <w:sz w:val="24"/>
                <w:szCs w:val="24"/>
              </w:rPr>
              <w:t xml:space="preserve"> </w:t>
            </w:r>
            <w:r w:rsidRPr="0079679B">
              <w:rPr>
                <w:rFonts w:ascii="Times New Roman" w:hAnsi="Times New Roman" w:cs="Times New Roman"/>
                <w:i/>
                <w:sz w:val="24"/>
                <w:szCs w:val="24"/>
              </w:rPr>
              <w:t>euro</w:t>
            </w:r>
            <w:r w:rsidRPr="0079679B">
              <w:rPr>
                <w:rFonts w:ascii="Times New Roman" w:hAnsi="Times New Roman" w:cs="Times New Roman"/>
                <w:sz w:val="24"/>
                <w:szCs w:val="24"/>
              </w:rPr>
              <w:t xml:space="preserve"> apmērā, kuras ir iespējams pārcelt un attiecināt 3.2.1.2.pasākuma ietvaros</w:t>
            </w:r>
            <w:r w:rsidR="00A850CC" w:rsidRPr="0079679B">
              <w:rPr>
                <w:rFonts w:ascii="Times New Roman" w:hAnsi="Times New Roman" w:cs="Times New Roman"/>
                <w:sz w:val="24"/>
                <w:szCs w:val="24"/>
              </w:rPr>
              <w:t>. Līdz ar to prioritāri tiks pārceltas tās izmaksas, par kurām vēl nav veikt</w:t>
            </w:r>
            <w:r w:rsidR="008A7320" w:rsidRPr="0079679B">
              <w:rPr>
                <w:rFonts w:ascii="Times New Roman" w:hAnsi="Times New Roman" w:cs="Times New Roman"/>
                <w:sz w:val="24"/>
                <w:szCs w:val="24"/>
              </w:rPr>
              <w:t>a</w:t>
            </w:r>
            <w:r w:rsidR="00A850CC" w:rsidRPr="0079679B">
              <w:rPr>
                <w:rFonts w:ascii="Times New Roman" w:hAnsi="Times New Roman" w:cs="Times New Roman"/>
                <w:sz w:val="24"/>
                <w:szCs w:val="24"/>
              </w:rPr>
              <w:t xml:space="preserve"> izmaksu deklarācija Eiropas Komisijā, lai pēc iespējas mazāk būtu nepieciešams veikt izmaksu izdeklarēšanu.</w:t>
            </w:r>
          </w:p>
          <w:p w:rsidR="000D18B2" w:rsidRPr="0079679B" w:rsidRDefault="00A850CC" w:rsidP="00CF2C0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Ņemot vērā, ka LIAA un TAVA </w:t>
            </w:r>
            <w:r w:rsidR="008A7320" w:rsidRPr="0079679B">
              <w:rPr>
                <w:rFonts w:ascii="Times New Roman" w:hAnsi="Times New Roman" w:cs="Times New Roman"/>
                <w:sz w:val="24"/>
                <w:szCs w:val="24"/>
              </w:rPr>
              <w:t>īstenotie</w:t>
            </w:r>
            <w:r w:rsidRPr="0079679B">
              <w:rPr>
                <w:rFonts w:ascii="Times New Roman" w:hAnsi="Times New Roman" w:cs="Times New Roman"/>
                <w:sz w:val="24"/>
                <w:szCs w:val="24"/>
              </w:rPr>
              <w:t xml:space="preserve"> projekti plānots īstenot līdz 2015.gada 31.decembrim, un pārceļot attiecināmas izmaksas uz 3.2.1.2.pasākumu, tad tas samazinās LIAA un TAVA īstenotā projekta apjomus, neradot risku, ka LIAA un TAVA projektu ietvaros var nepietikt nepieciešamā finansējuma</w:t>
            </w:r>
            <w:r w:rsidR="00D54A59" w:rsidRPr="0079679B">
              <w:rPr>
                <w:rFonts w:ascii="Times New Roman" w:hAnsi="Times New Roman" w:cs="Times New Roman"/>
                <w:sz w:val="24"/>
                <w:szCs w:val="24"/>
              </w:rPr>
              <w:t xml:space="preserve"> atbalstāmo darbību </w:t>
            </w:r>
            <w:r w:rsidR="008A7320" w:rsidRPr="0079679B">
              <w:rPr>
                <w:rFonts w:ascii="Times New Roman" w:hAnsi="Times New Roman" w:cs="Times New Roman"/>
                <w:sz w:val="24"/>
                <w:szCs w:val="24"/>
              </w:rPr>
              <w:t>īstenošanai</w:t>
            </w:r>
            <w:r w:rsidRPr="0079679B">
              <w:rPr>
                <w:rFonts w:ascii="Times New Roman" w:hAnsi="Times New Roman" w:cs="Times New Roman"/>
                <w:sz w:val="24"/>
                <w:szCs w:val="24"/>
              </w:rPr>
              <w:t>.</w:t>
            </w:r>
            <w:r w:rsidR="008A68CB" w:rsidRPr="0079679B">
              <w:rPr>
                <w:rFonts w:ascii="Times New Roman" w:hAnsi="Times New Roman" w:cs="Times New Roman"/>
                <w:sz w:val="24"/>
                <w:szCs w:val="24"/>
              </w:rPr>
              <w:t xml:space="preserve"> </w:t>
            </w:r>
            <w:r w:rsidRPr="0079679B">
              <w:rPr>
                <w:rFonts w:ascii="Times New Roman" w:hAnsi="Times New Roman" w:cs="Times New Roman"/>
                <w:sz w:val="24"/>
                <w:szCs w:val="24"/>
              </w:rPr>
              <w:t>Turklāt tas neietekmē sasniedzamos rādītājus 2.3.1.1.2.apakšaktivtātes ietvaros, jo tās ietvaros visi sasniedzamie rezultāti ir jau īstenoti.</w:t>
            </w:r>
          </w:p>
          <w:p w:rsidR="00D22D2D" w:rsidRDefault="00D22D2D" w:rsidP="00CF2C05">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Plānotais finansējums no 2.3.1.1.2.apakšaktivitātes uz 3.2.1.2.pasākumu tiks pārcelts 2 200 000 </w:t>
            </w:r>
            <w:r w:rsidRPr="0079679B">
              <w:rPr>
                <w:rFonts w:ascii="Times New Roman" w:hAnsi="Times New Roman" w:cs="Times New Roman"/>
                <w:i/>
                <w:sz w:val="24"/>
                <w:szCs w:val="24"/>
              </w:rPr>
              <w:t xml:space="preserve">euro </w:t>
            </w:r>
            <w:r w:rsidR="00F25A63" w:rsidRPr="0079679B">
              <w:rPr>
                <w:rFonts w:ascii="Times New Roman" w:hAnsi="Times New Roman" w:cs="Times New Roman"/>
                <w:sz w:val="24"/>
                <w:szCs w:val="24"/>
              </w:rPr>
              <w:t xml:space="preserve">apmērā, bet kā redzams 1.tabulā, tad Ekonomikas ministrija ir </w:t>
            </w:r>
            <w:r w:rsidR="008A7320" w:rsidRPr="0079679B">
              <w:rPr>
                <w:rFonts w:ascii="Times New Roman" w:hAnsi="Times New Roman" w:cs="Times New Roman"/>
                <w:sz w:val="24"/>
                <w:szCs w:val="24"/>
              </w:rPr>
              <w:t>identificējusi</w:t>
            </w:r>
            <w:r w:rsidR="00F25A63" w:rsidRPr="0079679B">
              <w:rPr>
                <w:rFonts w:ascii="Times New Roman" w:hAnsi="Times New Roman" w:cs="Times New Roman"/>
                <w:sz w:val="24"/>
                <w:szCs w:val="24"/>
              </w:rPr>
              <w:t xml:space="preserve"> </w:t>
            </w:r>
            <w:r w:rsidR="00AD03D9">
              <w:rPr>
                <w:rFonts w:ascii="Times New Roman" w:hAnsi="Times New Roman" w:cs="Times New Roman"/>
                <w:sz w:val="24"/>
                <w:szCs w:val="24"/>
              </w:rPr>
              <w:t xml:space="preserve">ievērojami </w:t>
            </w:r>
            <w:r w:rsidR="00F25A63" w:rsidRPr="0079679B">
              <w:rPr>
                <w:rFonts w:ascii="Times New Roman" w:hAnsi="Times New Roman" w:cs="Times New Roman"/>
                <w:sz w:val="24"/>
                <w:szCs w:val="24"/>
              </w:rPr>
              <w:t xml:space="preserve">lielāku izmaksu summu, par kuru ir </w:t>
            </w:r>
            <w:r w:rsidR="008A7320" w:rsidRPr="0079679B">
              <w:rPr>
                <w:rFonts w:ascii="Times New Roman" w:hAnsi="Times New Roman" w:cs="Times New Roman"/>
                <w:sz w:val="24"/>
                <w:szCs w:val="24"/>
              </w:rPr>
              <w:t>iespējama</w:t>
            </w:r>
            <w:r w:rsidR="00F25A63" w:rsidRPr="0079679B">
              <w:rPr>
                <w:rFonts w:ascii="Times New Roman" w:hAnsi="Times New Roman" w:cs="Times New Roman"/>
                <w:sz w:val="24"/>
                <w:szCs w:val="24"/>
              </w:rPr>
              <w:t xml:space="preserve"> attiecināmo izmaksu pārcelšana uz 3.2.1.2.pasākumu.</w:t>
            </w:r>
            <w:r w:rsidR="00A850CC" w:rsidRPr="0079679B">
              <w:rPr>
                <w:rFonts w:ascii="Times New Roman" w:hAnsi="Times New Roman" w:cs="Times New Roman"/>
                <w:sz w:val="24"/>
                <w:szCs w:val="24"/>
              </w:rPr>
              <w:t xml:space="preserve"> Tādejādi nodrošinot būtisku drošību.</w:t>
            </w:r>
          </w:p>
          <w:p w:rsidR="00AD03D9" w:rsidRPr="0054698E" w:rsidRDefault="00484327" w:rsidP="00BA2A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D03D9" w:rsidRPr="0079679B">
              <w:rPr>
                <w:rFonts w:ascii="Times New Roman" w:hAnsi="Times New Roman" w:cs="Times New Roman"/>
                <w:sz w:val="24"/>
                <w:szCs w:val="24"/>
              </w:rPr>
              <w:t xml:space="preserve">Ekonomikas ministrija norāda, ka 1.tabulā norādītajās attiecināmajās izmaksās nav identificējami tiešie labuma guvēji, tajā skaitā,  zinātniskās institūcijas vai lielie komersanti, kas saskaņā ar 3.2.1.2.pasākuma nosacījumiem nav iekļauti 3.2.1.2. pasākuma mērķa grupā, bet gan neitrāli nozaru konkurētspējas pasākumi, kuri nav vērsti uz kādu konkrētu atbalsta saņēmēju (labuma guvēju), bet gan uz </w:t>
            </w:r>
            <w:r w:rsidR="00AD03D9" w:rsidRPr="0054698E">
              <w:rPr>
                <w:rFonts w:ascii="Times New Roman" w:hAnsi="Times New Roman" w:cs="Times New Roman"/>
                <w:sz w:val="24"/>
                <w:szCs w:val="24"/>
              </w:rPr>
              <w:t xml:space="preserve">nozarēm kopumā. Pie tam, 1.tabulā norādītajās “Pārceļamajās izmaksu pozīcijās” </w:t>
            </w:r>
            <w:r w:rsidR="00FD0A23" w:rsidRPr="0054698E">
              <w:rPr>
                <w:rFonts w:ascii="Times New Roman" w:hAnsi="Times New Roman" w:cs="Times New Roman"/>
                <w:sz w:val="24"/>
                <w:szCs w:val="24"/>
              </w:rPr>
              <w:t xml:space="preserve">ir iekļautas </w:t>
            </w:r>
            <w:r w:rsidR="00AD03D9" w:rsidRPr="0054698E">
              <w:rPr>
                <w:rFonts w:ascii="Times New Roman" w:hAnsi="Times New Roman" w:cs="Times New Roman"/>
                <w:sz w:val="24"/>
                <w:szCs w:val="24"/>
              </w:rPr>
              <w:t>attiecināmās izmaksas tikai par tādām</w:t>
            </w:r>
            <w:r w:rsidR="00FD0A23" w:rsidRPr="0054698E">
              <w:rPr>
                <w:rFonts w:ascii="Times New Roman" w:hAnsi="Times New Roman" w:cs="Times New Roman"/>
                <w:sz w:val="24"/>
                <w:szCs w:val="24"/>
              </w:rPr>
              <w:t xml:space="preserve"> no</w:t>
            </w:r>
            <w:r w:rsidR="00AD03D9" w:rsidRPr="0054698E">
              <w:rPr>
                <w:rFonts w:ascii="Times New Roman" w:hAnsi="Times New Roman" w:cs="Times New Roman"/>
                <w:sz w:val="24"/>
                <w:szCs w:val="24"/>
              </w:rPr>
              <w:t xml:space="preserve"> atbalstāmajām darbībām</w:t>
            </w:r>
            <w:r w:rsidR="00FD0A23" w:rsidRPr="0054698E">
              <w:rPr>
                <w:rFonts w:ascii="Times New Roman" w:hAnsi="Times New Roman" w:cs="Times New Roman"/>
                <w:sz w:val="24"/>
                <w:szCs w:val="24"/>
              </w:rPr>
              <w:t xml:space="preserve"> izrietošajām </w:t>
            </w:r>
            <w:r w:rsidR="004048F4" w:rsidRPr="0054698E">
              <w:rPr>
                <w:rFonts w:ascii="Times New Roman" w:hAnsi="Times New Roman" w:cs="Times New Roman"/>
                <w:sz w:val="24"/>
                <w:szCs w:val="24"/>
              </w:rPr>
              <w:t xml:space="preserve">TAVA un LIAA ERAF </w:t>
            </w:r>
            <w:r w:rsidR="00FD0A23" w:rsidRPr="0054698E">
              <w:rPr>
                <w:rFonts w:ascii="Times New Roman" w:hAnsi="Times New Roman" w:cs="Times New Roman"/>
                <w:sz w:val="24"/>
                <w:szCs w:val="24"/>
              </w:rPr>
              <w:t>projektu aktivitātēm,</w:t>
            </w:r>
            <w:r w:rsidR="00AD03D9" w:rsidRPr="0054698E">
              <w:rPr>
                <w:rFonts w:ascii="Times New Roman" w:hAnsi="Times New Roman" w:cs="Times New Roman"/>
                <w:sz w:val="24"/>
                <w:szCs w:val="24"/>
              </w:rPr>
              <w:t xml:space="preserve"> 2.3.1.1.2.apakšaktivitātes ietvaros, kuras nav </w:t>
            </w:r>
            <w:r w:rsidR="004048F4" w:rsidRPr="0054698E">
              <w:rPr>
                <w:rFonts w:ascii="Times New Roman" w:hAnsi="Times New Roman" w:cs="Times New Roman"/>
                <w:sz w:val="24"/>
                <w:szCs w:val="24"/>
              </w:rPr>
              <w:t>līdz galam pabeigtas (</w:t>
            </w:r>
            <w:r w:rsidR="00FD0A23" w:rsidRPr="0054698E">
              <w:rPr>
                <w:rFonts w:ascii="Times New Roman" w:hAnsi="Times New Roman" w:cs="Times New Roman"/>
                <w:sz w:val="24"/>
                <w:szCs w:val="24"/>
              </w:rPr>
              <w:t xml:space="preserve">ne fiziski </w:t>
            </w:r>
            <w:proofErr w:type="spellStart"/>
            <w:r w:rsidR="00FD0A23" w:rsidRPr="0054698E">
              <w:rPr>
                <w:rFonts w:ascii="Times New Roman" w:hAnsi="Times New Roman" w:cs="Times New Roman"/>
                <w:sz w:val="24"/>
                <w:szCs w:val="24"/>
              </w:rPr>
              <w:t>babeigtas</w:t>
            </w:r>
            <w:proofErr w:type="spellEnd"/>
            <w:r w:rsidR="00FD0A23" w:rsidRPr="0054698E">
              <w:rPr>
                <w:rFonts w:ascii="Times New Roman" w:hAnsi="Times New Roman" w:cs="Times New Roman"/>
                <w:sz w:val="24"/>
                <w:szCs w:val="24"/>
              </w:rPr>
              <w:t>, ne arī pilnībā īstenotas</w:t>
            </w:r>
            <w:r w:rsidR="004048F4" w:rsidRPr="0054698E">
              <w:rPr>
                <w:rFonts w:ascii="Times New Roman" w:hAnsi="Times New Roman" w:cs="Times New Roman"/>
                <w:sz w:val="24"/>
                <w:szCs w:val="24"/>
              </w:rPr>
              <w:t xml:space="preserve">). Tādējādi maksimāli mazināts risks, </w:t>
            </w:r>
            <w:r w:rsidR="00FD0A23" w:rsidRPr="0054698E">
              <w:rPr>
                <w:rFonts w:ascii="Times New Roman" w:hAnsi="Times New Roman" w:cs="Times New Roman"/>
                <w:sz w:val="24"/>
                <w:szCs w:val="24"/>
              </w:rPr>
              <w:t xml:space="preserve">ka minētās izmaksas var tikt neattiecinātas 3.2.1.2.pasākuma ietvaros. </w:t>
            </w:r>
          </w:p>
          <w:p w:rsidR="00FD0A23" w:rsidRPr="0054698E" w:rsidRDefault="00FD0A23" w:rsidP="00BA2A79">
            <w:pPr>
              <w:pStyle w:val="ListParagraph"/>
              <w:spacing w:after="0"/>
              <w:ind w:left="0"/>
              <w:jc w:val="both"/>
              <w:rPr>
                <w:rFonts w:ascii="Times New Roman" w:hAnsi="Times New Roman" w:cs="Times New Roman"/>
                <w:sz w:val="24"/>
                <w:szCs w:val="24"/>
              </w:rPr>
            </w:pPr>
          </w:p>
          <w:p w:rsidR="0037095F" w:rsidRPr="0054698E" w:rsidRDefault="0037095F" w:rsidP="00BA2A79">
            <w:pPr>
              <w:pStyle w:val="ListParagraph"/>
              <w:spacing w:after="0"/>
              <w:ind w:left="0"/>
              <w:jc w:val="right"/>
              <w:rPr>
                <w:rFonts w:ascii="Times New Roman" w:hAnsi="Times New Roman" w:cs="Times New Roman"/>
                <w:sz w:val="24"/>
                <w:szCs w:val="24"/>
              </w:rPr>
            </w:pPr>
            <w:r w:rsidRPr="0054698E">
              <w:rPr>
                <w:rFonts w:ascii="Times New Roman" w:hAnsi="Times New Roman" w:cs="Times New Roman"/>
                <w:sz w:val="24"/>
                <w:szCs w:val="24"/>
              </w:rPr>
              <w:t>1.tabula. Pārceļamās izmaksu pozīcijas</w:t>
            </w:r>
          </w:p>
          <w:p w:rsidR="00366A5C" w:rsidRPr="0054698E" w:rsidRDefault="0037095F" w:rsidP="00BA2A79">
            <w:pPr>
              <w:pStyle w:val="ListParagraph"/>
              <w:spacing w:after="0"/>
              <w:ind w:left="0"/>
              <w:jc w:val="right"/>
              <w:rPr>
                <w:rFonts w:ascii="Times New Roman" w:hAnsi="Times New Roman" w:cs="Times New Roman"/>
                <w:sz w:val="24"/>
                <w:szCs w:val="24"/>
              </w:rPr>
            </w:pPr>
            <w:r w:rsidRPr="0054698E">
              <w:rPr>
                <w:rFonts w:ascii="Times New Roman" w:hAnsi="Times New Roman" w:cs="Times New Roman"/>
                <w:sz w:val="24"/>
                <w:szCs w:val="24"/>
              </w:rPr>
              <w:t xml:space="preserve"> no 2.3.1.1.2.aktivitātes uz 3.2.1.2.pasākumu (EUR)</w:t>
            </w:r>
          </w:p>
          <w:tbl>
            <w:tblPr>
              <w:tblW w:w="6435" w:type="dxa"/>
              <w:jc w:val="center"/>
              <w:tblInd w:w="396" w:type="dxa"/>
              <w:tblLayout w:type="fixed"/>
              <w:tblLook w:val="04A0" w:firstRow="1" w:lastRow="0" w:firstColumn="1" w:lastColumn="0" w:noHBand="0" w:noVBand="1"/>
            </w:tblPr>
            <w:tblGrid>
              <w:gridCol w:w="684"/>
              <w:gridCol w:w="4513"/>
              <w:gridCol w:w="1238"/>
            </w:tblGrid>
            <w:tr w:rsidR="008A68CB" w:rsidRPr="0054698E" w:rsidTr="00881AD5">
              <w:trPr>
                <w:trHeight w:val="315"/>
                <w:jc w:val="center"/>
              </w:trPr>
              <w:tc>
                <w:tcPr>
                  <w:tcW w:w="64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68CB" w:rsidRPr="0054698E" w:rsidRDefault="008A68CB" w:rsidP="00BA2A79">
                  <w:pPr>
                    <w:spacing w:after="0" w:line="240" w:lineRule="auto"/>
                    <w:jc w:val="center"/>
                    <w:rPr>
                      <w:rFonts w:ascii="Times New Roman" w:eastAsia="Times New Roman" w:hAnsi="Times New Roman" w:cs="Times New Roman"/>
                      <w:b/>
                      <w:bCs/>
                      <w:color w:val="000000"/>
                      <w:sz w:val="20"/>
                      <w:szCs w:val="20"/>
                      <w:lang w:eastAsia="lv-LV"/>
                    </w:rPr>
                  </w:pPr>
                  <w:r w:rsidRPr="0054698E">
                    <w:rPr>
                      <w:rFonts w:ascii="Times New Roman" w:eastAsia="Times New Roman" w:hAnsi="Times New Roman" w:cs="Times New Roman"/>
                      <w:b/>
                      <w:bCs/>
                      <w:color w:val="000000"/>
                      <w:sz w:val="20"/>
                      <w:szCs w:val="20"/>
                      <w:lang w:eastAsia="lv-LV"/>
                    </w:rPr>
                    <w:t>Latvijas Investīciju un attīstības aģentūra (LIAA)</w:t>
                  </w:r>
                </w:p>
              </w:tc>
            </w:tr>
            <w:tr w:rsidR="008A68CB" w:rsidRPr="0054698E" w:rsidTr="00881AD5">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8A68CB" w:rsidRPr="0054698E" w:rsidRDefault="008A68CB" w:rsidP="00BA2A79">
                  <w:pPr>
                    <w:spacing w:after="0" w:line="240" w:lineRule="auto"/>
                    <w:jc w:val="center"/>
                    <w:rPr>
                      <w:rFonts w:ascii="Times New Roman" w:eastAsia="Times New Roman" w:hAnsi="Times New Roman" w:cs="Times New Roman"/>
                      <w:b/>
                      <w:color w:val="000000"/>
                      <w:sz w:val="20"/>
                      <w:szCs w:val="20"/>
                      <w:lang w:eastAsia="lv-LV"/>
                    </w:rPr>
                  </w:pPr>
                  <w:proofErr w:type="spellStart"/>
                  <w:r w:rsidRPr="0054698E">
                    <w:rPr>
                      <w:rFonts w:ascii="Times New Roman" w:eastAsia="Times New Roman" w:hAnsi="Times New Roman" w:cs="Times New Roman"/>
                      <w:b/>
                      <w:color w:val="000000"/>
                      <w:sz w:val="20"/>
                      <w:szCs w:val="20"/>
                      <w:lang w:eastAsia="lv-LV"/>
                    </w:rPr>
                    <w:t>Nr.p.k</w:t>
                  </w:r>
                  <w:proofErr w:type="spellEnd"/>
                  <w:r w:rsidRPr="0054698E">
                    <w:rPr>
                      <w:rFonts w:ascii="Times New Roman" w:eastAsia="Times New Roman" w:hAnsi="Times New Roman" w:cs="Times New Roman"/>
                      <w:b/>
                      <w:color w:val="000000"/>
                      <w:sz w:val="20"/>
                      <w:szCs w:val="20"/>
                      <w:lang w:eastAsia="lv-LV"/>
                    </w:rPr>
                    <w:t>.</w:t>
                  </w: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4698E" w:rsidRDefault="006E394D" w:rsidP="00BA2A79">
                  <w:pPr>
                    <w:spacing w:after="0" w:line="240" w:lineRule="auto"/>
                    <w:rPr>
                      <w:rFonts w:ascii="Times New Roman" w:eastAsia="Times New Roman" w:hAnsi="Times New Roman" w:cs="Times New Roman"/>
                      <w:b/>
                      <w:bCs/>
                      <w:color w:val="000000"/>
                      <w:sz w:val="20"/>
                      <w:szCs w:val="20"/>
                      <w:lang w:eastAsia="lv-LV"/>
                    </w:rPr>
                  </w:pPr>
                  <w:r w:rsidRPr="0054698E">
                    <w:rPr>
                      <w:rFonts w:ascii="Times New Roman" w:eastAsia="Times New Roman" w:hAnsi="Times New Roman" w:cs="Times New Roman"/>
                      <w:b/>
                      <w:bCs/>
                      <w:color w:val="000000"/>
                      <w:sz w:val="20"/>
                      <w:szCs w:val="20"/>
                      <w:lang w:eastAsia="lv-LV"/>
                    </w:rPr>
                    <w:t xml:space="preserve">LIAA </w:t>
                  </w:r>
                  <w:r w:rsidR="00AD03D9" w:rsidRPr="0054698E">
                    <w:rPr>
                      <w:rFonts w:ascii="Times New Roman" w:eastAsia="Times New Roman" w:hAnsi="Times New Roman" w:cs="Times New Roman"/>
                      <w:b/>
                      <w:bCs/>
                      <w:color w:val="000000"/>
                      <w:sz w:val="20"/>
                      <w:szCs w:val="20"/>
                      <w:lang w:eastAsia="lv-LV"/>
                    </w:rPr>
                    <w:t xml:space="preserve">attiecināmās </w:t>
                  </w:r>
                  <w:r w:rsidR="008A68CB" w:rsidRPr="0054698E">
                    <w:rPr>
                      <w:rFonts w:ascii="Times New Roman" w:eastAsia="Times New Roman" w:hAnsi="Times New Roman" w:cs="Times New Roman"/>
                      <w:b/>
                      <w:bCs/>
                      <w:color w:val="000000"/>
                      <w:sz w:val="20"/>
                      <w:szCs w:val="20"/>
                      <w:lang w:eastAsia="lv-LV"/>
                    </w:rPr>
                    <w:t>izmaksas 2014.gada IV</w:t>
                  </w:r>
                  <w:r w:rsidR="00697099" w:rsidRPr="0054698E">
                    <w:rPr>
                      <w:rFonts w:ascii="Times New Roman" w:eastAsia="Times New Roman" w:hAnsi="Times New Roman" w:cs="Times New Roman"/>
                      <w:b/>
                      <w:bCs/>
                      <w:color w:val="000000"/>
                      <w:sz w:val="20"/>
                      <w:szCs w:val="20"/>
                      <w:lang w:eastAsia="lv-LV"/>
                    </w:rPr>
                    <w:t xml:space="preserve">. </w:t>
                  </w:r>
                  <w:r w:rsidR="008A68CB" w:rsidRPr="0054698E">
                    <w:rPr>
                      <w:rFonts w:ascii="Times New Roman" w:eastAsia="Times New Roman" w:hAnsi="Times New Roman" w:cs="Times New Roman"/>
                      <w:b/>
                      <w:bCs/>
                      <w:color w:val="000000"/>
                      <w:sz w:val="20"/>
                      <w:szCs w:val="20"/>
                      <w:lang w:eastAsia="lv-LV"/>
                    </w:rPr>
                    <w:t>-</w:t>
                  </w:r>
                  <w:r w:rsidR="00697099" w:rsidRPr="0054698E">
                    <w:rPr>
                      <w:rFonts w:ascii="Times New Roman" w:eastAsia="Times New Roman" w:hAnsi="Times New Roman" w:cs="Times New Roman"/>
                      <w:b/>
                      <w:bCs/>
                      <w:color w:val="000000"/>
                      <w:sz w:val="20"/>
                      <w:szCs w:val="20"/>
                      <w:lang w:eastAsia="lv-LV"/>
                    </w:rPr>
                    <w:t xml:space="preserve"> </w:t>
                  </w:r>
                  <w:r w:rsidR="008A68CB" w:rsidRPr="0054698E">
                    <w:rPr>
                      <w:rFonts w:ascii="Times New Roman" w:eastAsia="Times New Roman" w:hAnsi="Times New Roman" w:cs="Times New Roman"/>
                      <w:b/>
                      <w:bCs/>
                      <w:color w:val="000000"/>
                      <w:sz w:val="20"/>
                      <w:szCs w:val="20"/>
                      <w:lang w:eastAsia="lv-LV"/>
                    </w:rPr>
                    <w:t>2015.gada II</w:t>
                  </w:r>
                  <w:r w:rsidR="00697099" w:rsidRPr="0054698E">
                    <w:rPr>
                      <w:rFonts w:ascii="Times New Roman" w:eastAsia="Times New Roman" w:hAnsi="Times New Roman" w:cs="Times New Roman"/>
                      <w:b/>
                      <w:bCs/>
                      <w:color w:val="000000"/>
                      <w:sz w:val="20"/>
                      <w:szCs w:val="20"/>
                      <w:lang w:eastAsia="lv-LV"/>
                    </w:rPr>
                    <w:t>.</w:t>
                  </w:r>
                  <w:r w:rsidR="008A68CB" w:rsidRPr="0054698E">
                    <w:rPr>
                      <w:rFonts w:ascii="Times New Roman" w:eastAsia="Times New Roman" w:hAnsi="Times New Roman" w:cs="Times New Roman"/>
                      <w:b/>
                      <w:bCs/>
                      <w:color w:val="000000"/>
                      <w:sz w:val="20"/>
                      <w:szCs w:val="20"/>
                      <w:lang w:eastAsia="lv-LV"/>
                    </w:rPr>
                    <w:t xml:space="preserve"> cet.</w:t>
                  </w:r>
                </w:p>
              </w:tc>
              <w:tc>
                <w:tcPr>
                  <w:tcW w:w="1238" w:type="dxa"/>
                  <w:tcBorders>
                    <w:top w:val="nil"/>
                    <w:left w:val="nil"/>
                    <w:bottom w:val="single" w:sz="4" w:space="0" w:color="auto"/>
                    <w:right w:val="single" w:sz="4" w:space="0" w:color="auto"/>
                  </w:tcBorders>
                  <w:shd w:val="clear" w:color="auto" w:fill="auto"/>
                  <w:noWrap/>
                  <w:vAlign w:val="bottom"/>
                  <w:hideMark/>
                </w:tcPr>
                <w:p w:rsidR="008A68CB" w:rsidRPr="0054698E" w:rsidRDefault="008A68CB" w:rsidP="00BA2A79">
                  <w:pPr>
                    <w:spacing w:after="0" w:line="240" w:lineRule="auto"/>
                    <w:jc w:val="center"/>
                    <w:rPr>
                      <w:rFonts w:ascii="Times New Roman" w:eastAsia="Times New Roman" w:hAnsi="Times New Roman" w:cs="Times New Roman"/>
                      <w:color w:val="000000"/>
                      <w:sz w:val="20"/>
                      <w:szCs w:val="20"/>
                      <w:lang w:eastAsia="lv-LV"/>
                    </w:rPr>
                  </w:pPr>
                  <w:r w:rsidRPr="0054698E">
                    <w:rPr>
                      <w:rFonts w:ascii="Times New Roman" w:eastAsia="Times New Roman" w:hAnsi="Times New Roman" w:cs="Times New Roman"/>
                      <w:color w:val="000000"/>
                      <w:sz w:val="20"/>
                      <w:szCs w:val="20"/>
                      <w:lang w:eastAsia="lv-LV"/>
                    </w:rPr>
                    <w:t>EUR</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hanging="712"/>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rPr>
                      <w:rFonts w:ascii="Times New Roman" w:hAnsi="Times New Roman" w:cs="Times New Roman"/>
                      <w:sz w:val="20"/>
                      <w:szCs w:val="20"/>
                    </w:rPr>
                  </w:pPr>
                  <w:r w:rsidRPr="0054698E">
                    <w:rPr>
                      <w:rFonts w:ascii="Times New Roman" w:hAnsi="Times New Roman" w:cs="Times New Roman"/>
                      <w:sz w:val="20"/>
                      <w:szCs w:val="20"/>
                    </w:rPr>
                    <w:t>Latvijas dienas mērķa tirgos:</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206752,63</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hanging="712"/>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rPr>
                      <w:rFonts w:ascii="Times New Roman" w:hAnsi="Times New Roman" w:cs="Times New Roman"/>
                      <w:sz w:val="20"/>
                      <w:szCs w:val="20"/>
                    </w:rPr>
                  </w:pPr>
                  <w:r w:rsidRPr="0054698E">
                    <w:rPr>
                      <w:rFonts w:ascii="Times New Roman" w:hAnsi="Times New Roman" w:cs="Times New Roman"/>
                      <w:sz w:val="20"/>
                      <w:szCs w:val="20"/>
                    </w:rPr>
                    <w:t>Esošo un potenciālo Latvijas komersantu ražotās produkcijas iepircēju vizīšu organizēšana Latvijā</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4106,66</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hanging="712"/>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rPr>
                      <w:rFonts w:ascii="Times New Roman" w:hAnsi="Times New Roman" w:cs="Times New Roman"/>
                      <w:sz w:val="20"/>
                      <w:szCs w:val="20"/>
                    </w:rPr>
                  </w:pPr>
                  <w:r w:rsidRPr="0054698E">
                    <w:rPr>
                      <w:rFonts w:ascii="Times New Roman" w:hAnsi="Times New Roman" w:cs="Times New Roman"/>
                      <w:sz w:val="20"/>
                      <w:szCs w:val="20"/>
                    </w:rPr>
                    <w:t>Biznesa foruma organizēšana:</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204542,47</w:t>
                  </w:r>
                </w:p>
              </w:tc>
            </w:tr>
            <w:tr w:rsidR="000B2ACD"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0B2ACD" w:rsidRPr="0054698E" w:rsidRDefault="000B2ACD" w:rsidP="00BA2A79">
                  <w:pPr>
                    <w:spacing w:after="0" w:line="240" w:lineRule="auto"/>
                    <w:ind w:left="36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0B2ACD" w:rsidRPr="0054698E" w:rsidRDefault="000B2ACD" w:rsidP="00BA2A79">
                  <w:pPr>
                    <w:spacing w:after="0" w:line="240" w:lineRule="auto"/>
                    <w:jc w:val="right"/>
                    <w:rPr>
                      <w:rFonts w:ascii="Times New Roman" w:eastAsia="Times New Roman" w:hAnsi="Times New Roman" w:cs="Times New Roman"/>
                      <w:b/>
                      <w:color w:val="000000"/>
                      <w:sz w:val="20"/>
                      <w:szCs w:val="20"/>
                      <w:lang w:eastAsia="lv-LV"/>
                    </w:rPr>
                  </w:pPr>
                  <w:r w:rsidRPr="0054698E">
                    <w:rPr>
                      <w:rFonts w:ascii="Times New Roman" w:eastAsia="Times New Roman" w:hAnsi="Times New Roman" w:cs="Times New Roman"/>
                      <w:b/>
                      <w:color w:val="000000"/>
                      <w:sz w:val="20"/>
                      <w:szCs w:val="20"/>
                      <w:lang w:eastAsia="lv-LV"/>
                    </w:rPr>
                    <w:t>Kopā:</w:t>
                  </w:r>
                </w:p>
              </w:tc>
              <w:tc>
                <w:tcPr>
                  <w:tcW w:w="1238" w:type="dxa"/>
                  <w:tcBorders>
                    <w:top w:val="nil"/>
                    <w:left w:val="nil"/>
                    <w:bottom w:val="single" w:sz="4" w:space="0" w:color="auto"/>
                    <w:right w:val="single" w:sz="4" w:space="0" w:color="auto"/>
                  </w:tcBorders>
                  <w:shd w:val="clear" w:color="auto" w:fill="auto"/>
                  <w:noWrap/>
                  <w:vAlign w:val="bottom"/>
                </w:tcPr>
                <w:p w:rsidR="000B2ACD" w:rsidRPr="0054698E" w:rsidRDefault="00B90A9B" w:rsidP="00BA2A79">
                  <w:pPr>
                    <w:spacing w:after="0" w:line="240" w:lineRule="auto"/>
                    <w:jc w:val="center"/>
                    <w:rPr>
                      <w:rFonts w:ascii="Times New Roman" w:eastAsia="Times New Roman" w:hAnsi="Times New Roman" w:cs="Times New Roman"/>
                      <w:b/>
                      <w:color w:val="000000"/>
                      <w:sz w:val="20"/>
                      <w:szCs w:val="20"/>
                      <w:lang w:eastAsia="lv-LV"/>
                    </w:rPr>
                  </w:pPr>
                  <w:r w:rsidRPr="0054698E">
                    <w:rPr>
                      <w:rFonts w:ascii="Times New Roman" w:eastAsia="Times New Roman" w:hAnsi="Times New Roman" w:cs="Times New Roman"/>
                      <w:b/>
                      <w:color w:val="000000"/>
                      <w:sz w:val="20"/>
                      <w:szCs w:val="20"/>
                      <w:lang w:eastAsia="lv-LV"/>
                    </w:rPr>
                    <w:t>415 401,76</w:t>
                  </w:r>
                </w:p>
              </w:tc>
            </w:tr>
            <w:tr w:rsidR="008A68C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8A68CB" w:rsidRPr="0054698E" w:rsidRDefault="008A68CB" w:rsidP="00BA2A79">
                  <w:pPr>
                    <w:spacing w:after="0" w:line="240" w:lineRule="auto"/>
                    <w:jc w:val="center"/>
                    <w:rPr>
                      <w:rFonts w:ascii="Times New Roman" w:eastAsia="Times New Roman" w:hAnsi="Times New Roman" w:cs="Times New Roman"/>
                      <w:color w:val="000000"/>
                      <w:sz w:val="20"/>
                      <w:szCs w:val="20"/>
                      <w:lang w:eastAsia="lv-LV"/>
                    </w:rPr>
                  </w:pPr>
                  <w:r w:rsidRPr="0054698E">
                    <w:rPr>
                      <w:rFonts w:ascii="Times New Roman" w:eastAsia="Times New Roman" w:hAnsi="Times New Roman" w:cs="Times New Roman"/>
                      <w:color w:val="000000"/>
                      <w:sz w:val="20"/>
                      <w:szCs w:val="20"/>
                      <w:lang w:eastAsia="lv-LV"/>
                    </w:rPr>
                    <w:lastRenderedPageBreak/>
                    <w:t> </w:t>
                  </w: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4698E" w:rsidRDefault="006E394D" w:rsidP="00BA2A79">
                  <w:pPr>
                    <w:spacing w:after="0" w:line="240" w:lineRule="auto"/>
                    <w:rPr>
                      <w:rFonts w:ascii="Times New Roman" w:eastAsia="Times New Roman" w:hAnsi="Times New Roman" w:cs="Times New Roman"/>
                      <w:b/>
                      <w:bCs/>
                      <w:color w:val="000000"/>
                      <w:sz w:val="20"/>
                      <w:szCs w:val="20"/>
                      <w:lang w:eastAsia="lv-LV"/>
                    </w:rPr>
                  </w:pPr>
                  <w:r w:rsidRPr="0054698E">
                    <w:rPr>
                      <w:rFonts w:ascii="Times New Roman" w:eastAsia="Times New Roman" w:hAnsi="Times New Roman" w:cs="Times New Roman"/>
                      <w:b/>
                      <w:bCs/>
                      <w:color w:val="000000"/>
                      <w:sz w:val="20"/>
                      <w:szCs w:val="20"/>
                      <w:lang w:eastAsia="lv-LV"/>
                    </w:rPr>
                    <w:t xml:space="preserve">LIAA </w:t>
                  </w:r>
                  <w:r w:rsidR="00AD03D9" w:rsidRPr="0054698E">
                    <w:rPr>
                      <w:rFonts w:ascii="Times New Roman" w:eastAsia="Times New Roman" w:hAnsi="Times New Roman" w:cs="Times New Roman"/>
                      <w:b/>
                      <w:bCs/>
                      <w:color w:val="000000"/>
                      <w:sz w:val="20"/>
                      <w:szCs w:val="20"/>
                      <w:lang w:eastAsia="lv-LV"/>
                    </w:rPr>
                    <w:t xml:space="preserve">attiecināmās izmaksas </w:t>
                  </w:r>
                  <w:r w:rsidR="008A68CB" w:rsidRPr="0054698E">
                    <w:rPr>
                      <w:rFonts w:ascii="Times New Roman" w:eastAsia="Times New Roman" w:hAnsi="Times New Roman" w:cs="Times New Roman"/>
                      <w:b/>
                      <w:bCs/>
                      <w:color w:val="000000"/>
                      <w:sz w:val="20"/>
                      <w:szCs w:val="20"/>
                      <w:lang w:eastAsia="lv-LV"/>
                    </w:rPr>
                    <w:t>2015.gada III.</w:t>
                  </w:r>
                  <w:r w:rsidR="00697099" w:rsidRPr="0054698E">
                    <w:rPr>
                      <w:rFonts w:ascii="Times New Roman" w:eastAsia="Times New Roman" w:hAnsi="Times New Roman" w:cs="Times New Roman"/>
                      <w:b/>
                      <w:bCs/>
                      <w:color w:val="000000"/>
                      <w:sz w:val="20"/>
                      <w:szCs w:val="20"/>
                      <w:lang w:eastAsia="lv-LV"/>
                    </w:rPr>
                    <w:t xml:space="preserve"> </w:t>
                  </w:r>
                  <w:r w:rsidR="008A68CB" w:rsidRPr="0054698E">
                    <w:rPr>
                      <w:rFonts w:ascii="Times New Roman" w:eastAsia="Times New Roman" w:hAnsi="Times New Roman" w:cs="Times New Roman"/>
                      <w:b/>
                      <w:bCs/>
                      <w:color w:val="000000"/>
                      <w:sz w:val="20"/>
                      <w:szCs w:val="20"/>
                      <w:lang w:eastAsia="lv-LV"/>
                    </w:rPr>
                    <w:t>-</w:t>
                  </w:r>
                  <w:r w:rsidR="00697099" w:rsidRPr="0054698E">
                    <w:rPr>
                      <w:rFonts w:ascii="Times New Roman" w:eastAsia="Times New Roman" w:hAnsi="Times New Roman" w:cs="Times New Roman"/>
                      <w:b/>
                      <w:bCs/>
                      <w:color w:val="000000"/>
                      <w:sz w:val="20"/>
                      <w:szCs w:val="20"/>
                      <w:lang w:eastAsia="lv-LV"/>
                    </w:rPr>
                    <w:t xml:space="preserve"> </w:t>
                  </w:r>
                  <w:proofErr w:type="spellStart"/>
                  <w:r w:rsidR="008A68CB" w:rsidRPr="0054698E">
                    <w:rPr>
                      <w:rFonts w:ascii="Times New Roman" w:eastAsia="Times New Roman" w:hAnsi="Times New Roman" w:cs="Times New Roman"/>
                      <w:b/>
                      <w:bCs/>
                      <w:color w:val="000000"/>
                      <w:sz w:val="20"/>
                      <w:szCs w:val="20"/>
                      <w:lang w:eastAsia="lv-LV"/>
                    </w:rPr>
                    <w:t>IV.cet</w:t>
                  </w:r>
                  <w:proofErr w:type="spellEnd"/>
                </w:p>
              </w:tc>
              <w:tc>
                <w:tcPr>
                  <w:tcW w:w="1238" w:type="dxa"/>
                  <w:tcBorders>
                    <w:top w:val="nil"/>
                    <w:left w:val="nil"/>
                    <w:bottom w:val="single" w:sz="4" w:space="0" w:color="auto"/>
                    <w:right w:val="single" w:sz="4" w:space="0" w:color="auto"/>
                  </w:tcBorders>
                  <w:shd w:val="clear" w:color="auto" w:fill="auto"/>
                  <w:noWrap/>
                  <w:vAlign w:val="bottom"/>
                  <w:hideMark/>
                </w:tcPr>
                <w:p w:rsidR="008A68CB" w:rsidRPr="0054698E" w:rsidRDefault="008A68CB" w:rsidP="00BA2A79">
                  <w:pPr>
                    <w:spacing w:after="0" w:line="240" w:lineRule="auto"/>
                    <w:jc w:val="center"/>
                    <w:rPr>
                      <w:rFonts w:ascii="Times New Roman" w:eastAsia="Times New Roman" w:hAnsi="Times New Roman" w:cs="Times New Roman"/>
                      <w:color w:val="000000"/>
                      <w:sz w:val="20"/>
                      <w:szCs w:val="20"/>
                      <w:lang w:eastAsia="lv-LV"/>
                    </w:rPr>
                  </w:pPr>
                  <w:r w:rsidRPr="0054698E">
                    <w:rPr>
                      <w:rFonts w:ascii="Times New Roman" w:eastAsia="Times New Roman" w:hAnsi="Times New Roman" w:cs="Times New Roman"/>
                      <w:color w:val="000000"/>
                      <w:sz w:val="20"/>
                      <w:szCs w:val="20"/>
                      <w:lang w:eastAsia="lv-LV"/>
                    </w:rPr>
                    <w:t> </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center"/>
                </w:tcPr>
                <w:p w:rsidR="00B90A9B" w:rsidRPr="0054698E" w:rsidRDefault="00B90A9B" w:rsidP="00BA2A79">
                  <w:pPr>
                    <w:spacing w:after="0" w:line="240" w:lineRule="auto"/>
                    <w:rPr>
                      <w:rFonts w:ascii="Times New Roman" w:hAnsi="Times New Roman" w:cs="Times New Roman"/>
                      <w:bCs/>
                      <w:color w:val="000000"/>
                      <w:sz w:val="20"/>
                      <w:szCs w:val="20"/>
                    </w:rPr>
                  </w:pPr>
                  <w:r w:rsidRPr="0054698E">
                    <w:rPr>
                      <w:rFonts w:ascii="Times New Roman" w:hAnsi="Times New Roman" w:cs="Times New Roman"/>
                      <w:bCs/>
                      <w:color w:val="000000"/>
                      <w:sz w:val="20"/>
                      <w:szCs w:val="20"/>
                    </w:rPr>
                    <w:t>Biznesa foruma organizēšana:</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292504,00</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center"/>
                </w:tcPr>
                <w:p w:rsidR="00B90A9B" w:rsidRPr="0054698E" w:rsidRDefault="00B90A9B" w:rsidP="00BA2A79">
                  <w:pPr>
                    <w:spacing w:after="0" w:line="240" w:lineRule="auto"/>
                    <w:rPr>
                      <w:rFonts w:ascii="Times New Roman" w:hAnsi="Times New Roman" w:cs="Times New Roman"/>
                      <w:bCs/>
                      <w:color w:val="000000"/>
                      <w:sz w:val="20"/>
                      <w:szCs w:val="20"/>
                    </w:rPr>
                  </w:pPr>
                  <w:r w:rsidRPr="0054698E">
                    <w:rPr>
                      <w:rFonts w:ascii="Times New Roman" w:hAnsi="Times New Roman" w:cs="Times New Roman"/>
                      <w:bCs/>
                      <w:color w:val="000000"/>
                      <w:sz w:val="20"/>
                      <w:szCs w:val="20"/>
                    </w:rPr>
                    <w:t>Tirgus pētījumu iegāde un izstrāde:</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503710,00</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center"/>
                </w:tcPr>
                <w:p w:rsidR="00B90A9B" w:rsidRPr="0054698E" w:rsidRDefault="00B90A9B" w:rsidP="00BA2A79">
                  <w:pPr>
                    <w:spacing w:after="0" w:line="240" w:lineRule="auto"/>
                    <w:rPr>
                      <w:rFonts w:ascii="Times New Roman" w:hAnsi="Times New Roman" w:cs="Times New Roman"/>
                      <w:bCs/>
                      <w:color w:val="000000"/>
                      <w:sz w:val="20"/>
                      <w:szCs w:val="20"/>
                    </w:rPr>
                  </w:pPr>
                  <w:r w:rsidRPr="0054698E">
                    <w:rPr>
                      <w:rFonts w:ascii="Times New Roman" w:hAnsi="Times New Roman" w:cs="Times New Roman"/>
                      <w:bCs/>
                      <w:color w:val="000000"/>
                      <w:sz w:val="20"/>
                      <w:szCs w:val="20"/>
                    </w:rPr>
                    <w:t>Nozaru produktu grupu mārketinga kampaņas medijos:</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455250,00</w:t>
                  </w:r>
                </w:p>
              </w:tc>
            </w:tr>
            <w:tr w:rsidR="00B90A9B" w:rsidRPr="0054698E"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center"/>
                </w:tcPr>
                <w:p w:rsidR="00B90A9B" w:rsidRPr="0054698E" w:rsidRDefault="00B90A9B" w:rsidP="00BA2A79">
                  <w:pPr>
                    <w:spacing w:after="0" w:line="240" w:lineRule="auto"/>
                    <w:rPr>
                      <w:rFonts w:ascii="Times New Roman" w:hAnsi="Times New Roman" w:cs="Times New Roman"/>
                      <w:bCs/>
                      <w:color w:val="000000"/>
                      <w:sz w:val="20"/>
                      <w:szCs w:val="20"/>
                    </w:rPr>
                  </w:pPr>
                  <w:r w:rsidRPr="0054698E">
                    <w:rPr>
                      <w:rFonts w:ascii="Times New Roman" w:hAnsi="Times New Roman" w:cs="Times New Roman"/>
                      <w:bCs/>
                      <w:color w:val="000000"/>
                      <w:sz w:val="20"/>
                      <w:szCs w:val="20"/>
                    </w:rPr>
                    <w:t>Latvijas dienas mērķa tirgos:</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120000,00</w:t>
                  </w:r>
                </w:p>
              </w:tc>
            </w:tr>
            <w:tr w:rsidR="00B90A9B"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center"/>
                </w:tcPr>
                <w:p w:rsidR="00B90A9B" w:rsidRPr="0054698E" w:rsidRDefault="00B90A9B" w:rsidP="00BA2A79">
                  <w:pPr>
                    <w:pStyle w:val="ListParagraph"/>
                    <w:numPr>
                      <w:ilvl w:val="0"/>
                      <w:numId w:val="10"/>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center"/>
                </w:tcPr>
                <w:p w:rsidR="00B90A9B" w:rsidRPr="0054698E" w:rsidRDefault="00B90A9B" w:rsidP="00BA2A79">
                  <w:pPr>
                    <w:spacing w:after="0" w:line="240" w:lineRule="auto"/>
                    <w:rPr>
                      <w:rFonts w:ascii="Times New Roman" w:hAnsi="Times New Roman" w:cs="Times New Roman"/>
                      <w:bCs/>
                      <w:color w:val="000000"/>
                      <w:sz w:val="20"/>
                      <w:szCs w:val="20"/>
                    </w:rPr>
                  </w:pPr>
                  <w:r w:rsidRPr="0054698E">
                    <w:rPr>
                      <w:rFonts w:ascii="Times New Roman" w:hAnsi="Times New Roman" w:cs="Times New Roman"/>
                      <w:bCs/>
                      <w:color w:val="000000"/>
                      <w:sz w:val="20"/>
                      <w:szCs w:val="20"/>
                    </w:rPr>
                    <w:t>Esošo un potenciālo Latvijas komersantu ražotās produkcijas iepircēju vizīšu organizēšana Latvijā</w:t>
                  </w:r>
                </w:p>
              </w:tc>
              <w:tc>
                <w:tcPr>
                  <w:tcW w:w="1238" w:type="dxa"/>
                  <w:tcBorders>
                    <w:top w:val="nil"/>
                    <w:left w:val="nil"/>
                    <w:bottom w:val="single" w:sz="4" w:space="0" w:color="auto"/>
                    <w:right w:val="single" w:sz="4" w:space="0" w:color="auto"/>
                  </w:tcBorders>
                  <w:shd w:val="clear" w:color="auto" w:fill="auto"/>
                  <w:noWrap/>
                </w:tcPr>
                <w:p w:rsidR="00B90A9B" w:rsidRPr="0054698E" w:rsidRDefault="00B90A9B" w:rsidP="00BA2A79">
                  <w:pPr>
                    <w:spacing w:after="0" w:line="240" w:lineRule="auto"/>
                    <w:jc w:val="center"/>
                    <w:rPr>
                      <w:rFonts w:ascii="Times New Roman" w:hAnsi="Times New Roman" w:cs="Times New Roman"/>
                      <w:sz w:val="20"/>
                      <w:szCs w:val="20"/>
                    </w:rPr>
                  </w:pPr>
                  <w:r w:rsidRPr="0054698E">
                    <w:rPr>
                      <w:rFonts w:ascii="Times New Roman" w:hAnsi="Times New Roman" w:cs="Times New Roman"/>
                      <w:sz w:val="20"/>
                      <w:szCs w:val="20"/>
                    </w:rPr>
                    <w:t>12000,00</w:t>
                  </w:r>
                </w:p>
              </w:tc>
            </w:tr>
            <w:tr w:rsidR="00EB2358" w:rsidRPr="005110AC" w:rsidTr="00881AD5">
              <w:trPr>
                <w:trHeight w:val="60"/>
                <w:jc w:val="center"/>
              </w:trPr>
              <w:tc>
                <w:tcPr>
                  <w:tcW w:w="5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2358" w:rsidRPr="005110AC" w:rsidRDefault="00EB2358" w:rsidP="000B2ACD">
                  <w:pPr>
                    <w:spacing w:after="0" w:line="240" w:lineRule="auto"/>
                    <w:jc w:val="right"/>
                    <w:rPr>
                      <w:rFonts w:ascii="Times New Roman" w:eastAsia="Times New Roman" w:hAnsi="Times New Roman" w:cs="Times New Roman"/>
                      <w:b/>
                      <w:color w:val="000000"/>
                      <w:sz w:val="20"/>
                      <w:szCs w:val="20"/>
                      <w:lang w:eastAsia="lv-LV"/>
                    </w:rPr>
                  </w:pPr>
                  <w:r w:rsidRPr="005110AC">
                    <w:rPr>
                      <w:rFonts w:ascii="Times New Roman" w:eastAsia="Times New Roman" w:hAnsi="Times New Roman" w:cs="Times New Roman"/>
                      <w:b/>
                      <w:color w:val="000000"/>
                      <w:sz w:val="20"/>
                      <w:szCs w:val="20"/>
                      <w:lang w:eastAsia="lv-LV"/>
                    </w:rPr>
                    <w:t>Kopā:</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EB2358" w:rsidRPr="005110AC" w:rsidRDefault="00B90A9B" w:rsidP="008A68CB">
                  <w:pPr>
                    <w:spacing w:after="0" w:line="240" w:lineRule="auto"/>
                    <w:jc w:val="center"/>
                    <w:rPr>
                      <w:rFonts w:ascii="Times New Roman" w:eastAsia="Times New Roman" w:hAnsi="Times New Roman" w:cs="Times New Roman"/>
                      <w:b/>
                      <w:color w:val="000000"/>
                      <w:sz w:val="20"/>
                      <w:szCs w:val="20"/>
                      <w:lang w:eastAsia="lv-LV"/>
                    </w:rPr>
                  </w:pPr>
                  <w:r w:rsidRPr="00B90A9B">
                    <w:rPr>
                      <w:rFonts w:ascii="Times New Roman" w:eastAsia="Times New Roman" w:hAnsi="Times New Roman" w:cs="Times New Roman"/>
                      <w:b/>
                      <w:color w:val="000000"/>
                      <w:sz w:val="20"/>
                      <w:szCs w:val="20"/>
                      <w:lang w:eastAsia="lv-LV"/>
                    </w:rPr>
                    <w:t>1</w:t>
                  </w:r>
                  <w:r>
                    <w:rPr>
                      <w:rFonts w:ascii="Times New Roman" w:eastAsia="Times New Roman" w:hAnsi="Times New Roman" w:cs="Times New Roman"/>
                      <w:b/>
                      <w:color w:val="000000"/>
                      <w:sz w:val="20"/>
                      <w:szCs w:val="20"/>
                      <w:lang w:eastAsia="lv-LV"/>
                    </w:rPr>
                    <w:t xml:space="preserve"> </w:t>
                  </w:r>
                  <w:r w:rsidRPr="00B90A9B">
                    <w:rPr>
                      <w:rFonts w:ascii="Times New Roman" w:eastAsia="Times New Roman" w:hAnsi="Times New Roman" w:cs="Times New Roman"/>
                      <w:b/>
                      <w:color w:val="000000"/>
                      <w:sz w:val="20"/>
                      <w:szCs w:val="20"/>
                      <w:lang w:eastAsia="lv-LV"/>
                    </w:rPr>
                    <w:t>383</w:t>
                  </w:r>
                  <w:r>
                    <w:rPr>
                      <w:rFonts w:ascii="Times New Roman" w:eastAsia="Times New Roman" w:hAnsi="Times New Roman" w:cs="Times New Roman"/>
                      <w:b/>
                      <w:color w:val="000000"/>
                      <w:sz w:val="20"/>
                      <w:szCs w:val="20"/>
                      <w:lang w:eastAsia="lv-LV"/>
                    </w:rPr>
                    <w:t xml:space="preserve"> </w:t>
                  </w:r>
                  <w:r w:rsidRPr="00B90A9B">
                    <w:rPr>
                      <w:rFonts w:ascii="Times New Roman" w:eastAsia="Times New Roman" w:hAnsi="Times New Roman" w:cs="Times New Roman"/>
                      <w:b/>
                      <w:color w:val="000000"/>
                      <w:sz w:val="20"/>
                      <w:szCs w:val="20"/>
                      <w:lang w:eastAsia="lv-LV"/>
                    </w:rPr>
                    <w:t>464,00</w:t>
                  </w:r>
                </w:p>
              </w:tc>
            </w:tr>
            <w:tr w:rsidR="008A68CB" w:rsidRPr="005110AC" w:rsidTr="00881AD5">
              <w:trPr>
                <w:trHeight w:val="60"/>
                <w:jc w:val="center"/>
              </w:trPr>
              <w:tc>
                <w:tcPr>
                  <w:tcW w:w="5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jc w:val="right"/>
                    <w:rPr>
                      <w:rFonts w:ascii="Times New Roman" w:eastAsia="Times New Roman" w:hAnsi="Times New Roman" w:cs="Times New Roman"/>
                      <w:b/>
                      <w:bCs/>
                      <w:color w:val="000000"/>
                      <w:sz w:val="20"/>
                      <w:szCs w:val="20"/>
                      <w:lang w:eastAsia="lv-LV"/>
                    </w:rPr>
                  </w:pPr>
                  <w:r w:rsidRPr="005110AC">
                    <w:rPr>
                      <w:rFonts w:ascii="Times New Roman" w:eastAsia="Times New Roman" w:hAnsi="Times New Roman" w:cs="Times New Roman"/>
                      <w:b/>
                      <w:bCs/>
                      <w:color w:val="000000"/>
                      <w:sz w:val="20"/>
                      <w:szCs w:val="20"/>
                      <w:lang w:eastAsia="lv-LV"/>
                    </w:rPr>
                    <w:t>Kopā LIAA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8A68CB" w:rsidRPr="005110AC" w:rsidRDefault="00B90A9B" w:rsidP="008A68CB">
                  <w:pPr>
                    <w:spacing w:after="0" w:line="240" w:lineRule="auto"/>
                    <w:jc w:val="center"/>
                    <w:rPr>
                      <w:rFonts w:ascii="Times New Roman" w:eastAsia="Times New Roman" w:hAnsi="Times New Roman" w:cs="Times New Roman"/>
                      <w:b/>
                      <w:sz w:val="20"/>
                      <w:szCs w:val="20"/>
                      <w:lang w:eastAsia="lv-LV"/>
                    </w:rPr>
                  </w:pPr>
                  <w:r w:rsidRPr="00B90A9B">
                    <w:rPr>
                      <w:rFonts w:ascii="Times New Roman" w:eastAsia="Times New Roman" w:hAnsi="Times New Roman" w:cs="Times New Roman"/>
                      <w:b/>
                      <w:sz w:val="20"/>
                      <w:szCs w:val="20"/>
                      <w:lang w:eastAsia="lv-LV"/>
                    </w:rPr>
                    <w:t>1</w:t>
                  </w:r>
                  <w:r>
                    <w:rPr>
                      <w:rFonts w:ascii="Times New Roman" w:eastAsia="Times New Roman" w:hAnsi="Times New Roman" w:cs="Times New Roman"/>
                      <w:b/>
                      <w:sz w:val="20"/>
                      <w:szCs w:val="20"/>
                      <w:lang w:eastAsia="lv-LV"/>
                    </w:rPr>
                    <w:t xml:space="preserve"> </w:t>
                  </w:r>
                  <w:r w:rsidRPr="00B90A9B">
                    <w:rPr>
                      <w:rFonts w:ascii="Times New Roman" w:eastAsia="Times New Roman" w:hAnsi="Times New Roman" w:cs="Times New Roman"/>
                      <w:b/>
                      <w:sz w:val="20"/>
                      <w:szCs w:val="20"/>
                      <w:lang w:eastAsia="lv-LV"/>
                    </w:rPr>
                    <w:t>798</w:t>
                  </w:r>
                  <w:r>
                    <w:rPr>
                      <w:rFonts w:ascii="Times New Roman" w:eastAsia="Times New Roman" w:hAnsi="Times New Roman" w:cs="Times New Roman"/>
                      <w:b/>
                      <w:sz w:val="20"/>
                      <w:szCs w:val="20"/>
                      <w:lang w:eastAsia="lv-LV"/>
                    </w:rPr>
                    <w:t xml:space="preserve"> </w:t>
                  </w:r>
                  <w:r w:rsidRPr="00B90A9B">
                    <w:rPr>
                      <w:rFonts w:ascii="Times New Roman" w:eastAsia="Times New Roman" w:hAnsi="Times New Roman" w:cs="Times New Roman"/>
                      <w:b/>
                      <w:sz w:val="20"/>
                      <w:szCs w:val="20"/>
                      <w:lang w:eastAsia="lv-LV"/>
                    </w:rPr>
                    <w:t>865,76</w:t>
                  </w:r>
                </w:p>
              </w:tc>
            </w:tr>
            <w:tr w:rsidR="008A68CB" w:rsidRPr="005110AC" w:rsidTr="00881AD5">
              <w:trPr>
                <w:trHeight w:val="60"/>
                <w:jc w:val="center"/>
              </w:trPr>
              <w:tc>
                <w:tcPr>
                  <w:tcW w:w="64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jc w:val="center"/>
                    <w:rPr>
                      <w:rFonts w:ascii="Times New Roman" w:eastAsia="Times New Roman" w:hAnsi="Times New Roman" w:cs="Times New Roman"/>
                      <w:b/>
                      <w:bCs/>
                      <w:color w:val="000000"/>
                      <w:sz w:val="20"/>
                      <w:szCs w:val="20"/>
                      <w:lang w:eastAsia="lv-LV"/>
                    </w:rPr>
                  </w:pPr>
                  <w:r w:rsidRPr="005110AC">
                    <w:rPr>
                      <w:rFonts w:ascii="Times New Roman" w:eastAsia="Times New Roman" w:hAnsi="Times New Roman" w:cs="Times New Roman"/>
                      <w:b/>
                      <w:bCs/>
                      <w:color w:val="000000"/>
                      <w:sz w:val="20"/>
                      <w:szCs w:val="20"/>
                      <w:lang w:eastAsia="lv-LV"/>
                    </w:rPr>
                    <w:t>Tūrisma attīstības valsts aģentūra (TAVA)</w:t>
                  </w:r>
                </w:p>
              </w:tc>
            </w:tr>
            <w:tr w:rsidR="008A68CB" w:rsidRPr="005110AC" w:rsidTr="00881AD5">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b/>
                      <w:color w:val="000000"/>
                      <w:sz w:val="20"/>
                      <w:szCs w:val="20"/>
                      <w:lang w:eastAsia="lv-LV"/>
                    </w:rPr>
                  </w:pPr>
                  <w:proofErr w:type="spellStart"/>
                  <w:r w:rsidRPr="005110AC">
                    <w:rPr>
                      <w:rFonts w:ascii="Times New Roman" w:eastAsia="Times New Roman" w:hAnsi="Times New Roman" w:cs="Times New Roman"/>
                      <w:b/>
                      <w:color w:val="000000"/>
                      <w:sz w:val="20"/>
                      <w:szCs w:val="20"/>
                      <w:lang w:eastAsia="lv-LV"/>
                    </w:rPr>
                    <w:t>Nr.p.k</w:t>
                  </w:r>
                  <w:proofErr w:type="spellEnd"/>
                  <w:r w:rsidRPr="005110AC">
                    <w:rPr>
                      <w:rFonts w:ascii="Times New Roman" w:eastAsia="Times New Roman" w:hAnsi="Times New Roman" w:cs="Times New Roman"/>
                      <w:b/>
                      <w:color w:val="000000"/>
                      <w:sz w:val="20"/>
                      <w:szCs w:val="20"/>
                      <w:lang w:eastAsia="lv-LV"/>
                    </w:rPr>
                    <w:t>.</w:t>
                  </w:r>
                </w:p>
              </w:tc>
              <w:tc>
                <w:tcPr>
                  <w:tcW w:w="4513" w:type="dxa"/>
                  <w:tcBorders>
                    <w:top w:val="nil"/>
                    <w:left w:val="nil"/>
                    <w:bottom w:val="single" w:sz="4" w:space="0" w:color="auto"/>
                    <w:right w:val="single" w:sz="4" w:space="0" w:color="auto"/>
                  </w:tcBorders>
                  <w:shd w:val="clear" w:color="auto" w:fill="auto"/>
                  <w:noWrap/>
                  <w:vAlign w:val="bottom"/>
                  <w:hideMark/>
                </w:tcPr>
                <w:p w:rsidR="00DC6E90" w:rsidRDefault="006E394D" w:rsidP="008A68CB">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TAVA </w:t>
                  </w:r>
                </w:p>
                <w:p w:rsidR="008A68CB" w:rsidRPr="005110AC" w:rsidRDefault="00AD03D9" w:rsidP="008A68CB">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attiecināmās </w:t>
                  </w:r>
                  <w:r w:rsidR="008A68CB" w:rsidRPr="005110AC">
                    <w:rPr>
                      <w:rFonts w:ascii="Times New Roman" w:eastAsia="Times New Roman" w:hAnsi="Times New Roman" w:cs="Times New Roman"/>
                      <w:b/>
                      <w:bCs/>
                      <w:color w:val="000000"/>
                      <w:sz w:val="20"/>
                      <w:szCs w:val="20"/>
                      <w:lang w:eastAsia="lv-LV"/>
                    </w:rPr>
                    <w:t xml:space="preserve"> izmaksas 2014.gada I - 2015.gada II cet.</w:t>
                  </w:r>
                </w:p>
              </w:tc>
              <w:tc>
                <w:tcPr>
                  <w:tcW w:w="1238"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EUR</w:t>
                  </w:r>
                </w:p>
              </w:tc>
            </w:tr>
            <w:tr w:rsidR="008A68CB"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Tūrisma informācijas materiālu drukāšana</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104 734,50</w:t>
                  </w:r>
                </w:p>
              </w:tc>
            </w:tr>
            <w:tr w:rsidR="008A68CB"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Kultūras tūrisma reklāmas kampaņas īstenošana</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937 311,92</w:t>
                  </w:r>
                </w:p>
              </w:tc>
            </w:tr>
            <w:tr w:rsidR="008A68CB" w:rsidRPr="005110AC" w:rsidTr="00881AD5">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Publicitātes un mārketinga pasākumi profesionālajai un patērētāju auditorijai</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75 105,97</w:t>
                  </w:r>
                </w:p>
              </w:tc>
            </w:tr>
            <w:tr w:rsidR="008A68CB"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Publicitātes izmaksas ārvalstu plašsaziņas līdzekļos</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3 603,39</w:t>
                  </w:r>
                </w:p>
              </w:tc>
            </w:tr>
            <w:tr w:rsidR="008A68CB"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 xml:space="preserve">Ārvalstu </w:t>
                  </w:r>
                  <w:proofErr w:type="spellStart"/>
                  <w:r w:rsidRPr="005110AC">
                    <w:rPr>
                      <w:rFonts w:ascii="Times New Roman" w:eastAsia="Times New Roman" w:hAnsi="Times New Roman" w:cs="Times New Roman"/>
                      <w:color w:val="000000"/>
                      <w:sz w:val="20"/>
                      <w:szCs w:val="20"/>
                      <w:lang w:eastAsia="lv-LV"/>
                    </w:rPr>
                    <w:t>tūroperatoru</w:t>
                  </w:r>
                  <w:proofErr w:type="spellEnd"/>
                  <w:r w:rsidRPr="005110AC">
                    <w:rPr>
                      <w:rFonts w:ascii="Times New Roman" w:eastAsia="Times New Roman" w:hAnsi="Times New Roman" w:cs="Times New Roman"/>
                      <w:color w:val="000000"/>
                      <w:sz w:val="20"/>
                      <w:szCs w:val="20"/>
                      <w:lang w:eastAsia="lv-LV"/>
                    </w:rPr>
                    <w:t xml:space="preserve">  un žurnālistu iepazīšanās vizītes uz Latviju</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36 111,03</w:t>
                  </w:r>
                </w:p>
              </w:tc>
            </w:tr>
            <w:tr w:rsidR="008A68CB" w:rsidRPr="005110AC" w:rsidTr="00881AD5">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Reklāmas koncepcijas, dizaina un mārketinga materiālu izstrāde</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53 571,59</w:t>
                  </w:r>
                </w:p>
              </w:tc>
            </w:tr>
            <w:tr w:rsidR="008A68CB"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Reklāmas aktivitāšu īstenošana</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86 236,09</w:t>
                  </w:r>
                </w:p>
              </w:tc>
            </w:tr>
            <w:tr w:rsidR="008A68CB"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8A68CB" w:rsidRPr="005110AC" w:rsidRDefault="008A68CB" w:rsidP="00EB2358">
                  <w:pPr>
                    <w:pStyle w:val="ListParagraph"/>
                    <w:numPr>
                      <w:ilvl w:val="0"/>
                      <w:numId w:val="12"/>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hideMark/>
                </w:tcPr>
                <w:p w:rsidR="008A68CB" w:rsidRPr="005110AC" w:rsidRDefault="008A68CB" w:rsidP="008A68CB">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Latvijas tūrisma portāla apmeklējumu skaita veicināšanas aktivitātes</w:t>
                  </w:r>
                </w:p>
              </w:tc>
              <w:tc>
                <w:tcPr>
                  <w:tcW w:w="1238" w:type="dxa"/>
                  <w:tcBorders>
                    <w:top w:val="nil"/>
                    <w:left w:val="nil"/>
                    <w:bottom w:val="single" w:sz="4" w:space="0" w:color="auto"/>
                    <w:right w:val="single" w:sz="4" w:space="0" w:color="auto"/>
                  </w:tcBorders>
                  <w:shd w:val="clear" w:color="auto" w:fill="auto"/>
                  <w:noWrap/>
                  <w:vAlign w:val="center"/>
                  <w:hideMark/>
                </w:tcPr>
                <w:p w:rsidR="008A68CB" w:rsidRPr="005110AC" w:rsidRDefault="008A68CB" w:rsidP="008A68CB">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4 139,34</w:t>
                  </w:r>
                </w:p>
              </w:tc>
            </w:tr>
            <w:tr w:rsidR="00EB2358" w:rsidRPr="005110AC" w:rsidTr="00881AD5">
              <w:trPr>
                <w:trHeight w:val="106"/>
                <w:jc w:val="center"/>
              </w:trPr>
              <w:tc>
                <w:tcPr>
                  <w:tcW w:w="5197" w:type="dxa"/>
                  <w:gridSpan w:val="2"/>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223DAE">
                  <w:pPr>
                    <w:spacing w:after="0" w:line="240" w:lineRule="auto"/>
                    <w:jc w:val="right"/>
                    <w:rPr>
                      <w:rFonts w:ascii="Times New Roman" w:eastAsia="Times New Roman" w:hAnsi="Times New Roman" w:cs="Times New Roman"/>
                      <w:b/>
                      <w:color w:val="000000"/>
                      <w:sz w:val="20"/>
                      <w:szCs w:val="20"/>
                      <w:lang w:eastAsia="lv-LV"/>
                    </w:rPr>
                  </w:pPr>
                  <w:r w:rsidRPr="005110AC">
                    <w:rPr>
                      <w:rFonts w:ascii="Times New Roman" w:eastAsia="Times New Roman" w:hAnsi="Times New Roman" w:cs="Times New Roman"/>
                      <w:b/>
                      <w:color w:val="000000"/>
                      <w:sz w:val="20"/>
                      <w:szCs w:val="20"/>
                      <w:lang w:eastAsia="lv-LV"/>
                    </w:rPr>
                    <w:t>Kopā:</w:t>
                  </w:r>
                </w:p>
              </w:tc>
              <w:tc>
                <w:tcPr>
                  <w:tcW w:w="1238" w:type="dxa"/>
                  <w:tcBorders>
                    <w:top w:val="nil"/>
                    <w:left w:val="nil"/>
                    <w:bottom w:val="single" w:sz="4" w:space="0" w:color="auto"/>
                    <w:right w:val="single" w:sz="4" w:space="0" w:color="auto"/>
                  </w:tcBorders>
                  <w:shd w:val="clear" w:color="auto" w:fill="auto"/>
                  <w:noWrap/>
                  <w:vAlign w:val="center"/>
                </w:tcPr>
                <w:p w:rsidR="00EB2358" w:rsidRPr="005110AC" w:rsidRDefault="00EB2358" w:rsidP="00223DAE">
                  <w:pPr>
                    <w:spacing w:after="0" w:line="240" w:lineRule="auto"/>
                    <w:jc w:val="center"/>
                    <w:rPr>
                      <w:rFonts w:ascii="Times New Roman" w:eastAsia="Times New Roman" w:hAnsi="Times New Roman" w:cs="Times New Roman"/>
                      <w:b/>
                      <w:color w:val="000000"/>
                      <w:sz w:val="20"/>
                      <w:szCs w:val="20"/>
                      <w:lang w:eastAsia="lv-LV"/>
                    </w:rPr>
                  </w:pPr>
                  <w:r w:rsidRPr="005110AC">
                    <w:rPr>
                      <w:rFonts w:ascii="Times New Roman" w:eastAsia="Times New Roman" w:hAnsi="Times New Roman" w:cs="Times New Roman"/>
                      <w:b/>
                      <w:color w:val="000000"/>
                      <w:sz w:val="20"/>
                      <w:szCs w:val="20"/>
                      <w:lang w:eastAsia="lv-LV"/>
                    </w:rPr>
                    <w:t>1 300 813,83</w:t>
                  </w:r>
                </w:p>
              </w:tc>
            </w:tr>
            <w:tr w:rsidR="00EB2358" w:rsidRPr="005110AC" w:rsidTr="00881AD5">
              <w:trPr>
                <w:trHeight w:val="106"/>
                <w:jc w:val="center"/>
              </w:trPr>
              <w:tc>
                <w:tcPr>
                  <w:tcW w:w="5197" w:type="dxa"/>
                  <w:gridSpan w:val="2"/>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AD03D9">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b/>
                      <w:bCs/>
                      <w:color w:val="000000"/>
                      <w:sz w:val="20"/>
                      <w:szCs w:val="20"/>
                      <w:lang w:eastAsia="lv-LV"/>
                    </w:rPr>
                    <w:t xml:space="preserve">TAVA </w:t>
                  </w:r>
                  <w:r w:rsidR="00AD03D9">
                    <w:rPr>
                      <w:rFonts w:ascii="Times New Roman" w:eastAsia="Times New Roman" w:hAnsi="Times New Roman" w:cs="Times New Roman"/>
                      <w:b/>
                      <w:bCs/>
                      <w:color w:val="000000"/>
                      <w:sz w:val="20"/>
                      <w:szCs w:val="20"/>
                      <w:lang w:eastAsia="lv-LV"/>
                    </w:rPr>
                    <w:t xml:space="preserve"> attiecināmās izmaksas</w:t>
                  </w:r>
                  <w:r w:rsidRPr="005110AC">
                    <w:rPr>
                      <w:rFonts w:ascii="Times New Roman" w:eastAsia="Times New Roman" w:hAnsi="Times New Roman" w:cs="Times New Roman"/>
                      <w:b/>
                      <w:bCs/>
                      <w:color w:val="000000"/>
                      <w:sz w:val="20"/>
                      <w:szCs w:val="20"/>
                      <w:lang w:eastAsia="lv-LV"/>
                    </w:rPr>
                    <w:t xml:space="preserve"> 2015.gada III. – IV. cet.</w:t>
                  </w:r>
                </w:p>
              </w:tc>
              <w:tc>
                <w:tcPr>
                  <w:tcW w:w="1238" w:type="dxa"/>
                  <w:tcBorders>
                    <w:top w:val="nil"/>
                    <w:left w:val="nil"/>
                    <w:bottom w:val="single" w:sz="4" w:space="0" w:color="auto"/>
                    <w:right w:val="single" w:sz="4" w:space="0" w:color="auto"/>
                  </w:tcBorders>
                  <w:shd w:val="clear" w:color="auto" w:fill="auto"/>
                  <w:noWrap/>
                  <w:vAlign w:val="center"/>
                </w:tcPr>
                <w:p w:rsidR="00EB2358" w:rsidRPr="005110AC" w:rsidRDefault="00EB2358" w:rsidP="008A68CB">
                  <w:pPr>
                    <w:spacing w:after="0" w:line="240" w:lineRule="auto"/>
                    <w:jc w:val="center"/>
                    <w:rPr>
                      <w:rFonts w:ascii="Times New Roman" w:eastAsia="Times New Roman" w:hAnsi="Times New Roman" w:cs="Times New Roman"/>
                      <w:color w:val="000000"/>
                      <w:sz w:val="20"/>
                      <w:szCs w:val="20"/>
                      <w:lang w:eastAsia="lv-LV"/>
                    </w:rPr>
                  </w:pPr>
                </w:p>
              </w:tc>
            </w:tr>
            <w:tr w:rsidR="00EB2358"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Tūrisma informācijas materiālu drukāšana</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50 000,00</w:t>
                  </w:r>
                </w:p>
              </w:tc>
            </w:tr>
            <w:tr w:rsidR="00EB2358"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Kultūras tūrisma reklāmas kampaņas īstenošana</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401 500,00</w:t>
                  </w:r>
                </w:p>
              </w:tc>
            </w:tr>
            <w:tr w:rsidR="00EB2358"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Publicitātes un mārketinga pasākumi profesionālajai un patērētāju auditorijai</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14 085,12</w:t>
                  </w:r>
                </w:p>
              </w:tc>
            </w:tr>
            <w:tr w:rsidR="00EB2358"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Publicitātes izmaksas ārvalstu plašsaziņas līdzekļos</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242 500,00</w:t>
                  </w:r>
                </w:p>
              </w:tc>
            </w:tr>
            <w:tr w:rsidR="00EB2358"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 xml:space="preserve">Ārvalstu </w:t>
                  </w:r>
                  <w:proofErr w:type="spellStart"/>
                  <w:r w:rsidRPr="005110AC">
                    <w:rPr>
                      <w:rFonts w:ascii="Times New Roman" w:hAnsi="Times New Roman" w:cs="Times New Roman"/>
                      <w:color w:val="000000"/>
                      <w:sz w:val="20"/>
                      <w:szCs w:val="20"/>
                    </w:rPr>
                    <w:t>tūroperatoru</w:t>
                  </w:r>
                  <w:proofErr w:type="spellEnd"/>
                  <w:r w:rsidRPr="005110AC">
                    <w:rPr>
                      <w:rFonts w:ascii="Times New Roman" w:hAnsi="Times New Roman" w:cs="Times New Roman"/>
                      <w:color w:val="000000"/>
                      <w:sz w:val="20"/>
                      <w:szCs w:val="20"/>
                    </w:rPr>
                    <w:t xml:space="preserve">  un žurnālistu iepazīšanās vizītes uz Latviju</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40 000,00</w:t>
                  </w:r>
                </w:p>
              </w:tc>
            </w:tr>
            <w:tr w:rsidR="00EB2358" w:rsidRPr="005110AC" w:rsidTr="00881AD5">
              <w:trPr>
                <w:trHeight w:val="106"/>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Reklāmas koncepcijas, dizaina un mārketinga materiālu izstrāde</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130 000,00</w:t>
                  </w:r>
                </w:p>
              </w:tc>
            </w:tr>
            <w:tr w:rsidR="00EB2358"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Reklāmas aktivitāšu īstenošana</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118 000,00</w:t>
                  </w:r>
                </w:p>
              </w:tc>
            </w:tr>
            <w:tr w:rsidR="00EB2358" w:rsidRPr="005110AC" w:rsidTr="00881AD5">
              <w:trPr>
                <w:trHeight w:val="60"/>
                <w:jc w:val="center"/>
              </w:trPr>
              <w:tc>
                <w:tcPr>
                  <w:tcW w:w="684" w:type="dxa"/>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pStyle w:val="ListParagraph"/>
                    <w:numPr>
                      <w:ilvl w:val="0"/>
                      <w:numId w:val="12"/>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513"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Latvijas tūrisma portāla apmeklējumu skaita veicināšanas aktivitātes</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39 500,00</w:t>
                  </w:r>
                </w:p>
              </w:tc>
            </w:tr>
            <w:tr w:rsidR="00EB2358" w:rsidRPr="005110AC" w:rsidTr="00881AD5">
              <w:trPr>
                <w:trHeight w:val="60"/>
                <w:jc w:val="center"/>
              </w:trPr>
              <w:tc>
                <w:tcPr>
                  <w:tcW w:w="5197" w:type="dxa"/>
                  <w:gridSpan w:val="2"/>
                  <w:tcBorders>
                    <w:top w:val="nil"/>
                    <w:left w:val="single" w:sz="4" w:space="0" w:color="auto"/>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right"/>
                    <w:rPr>
                      <w:rFonts w:ascii="Times New Roman" w:hAnsi="Times New Roman" w:cs="Times New Roman"/>
                      <w:b/>
                      <w:color w:val="000000"/>
                      <w:sz w:val="20"/>
                      <w:szCs w:val="20"/>
                    </w:rPr>
                  </w:pPr>
                  <w:r w:rsidRPr="005110AC">
                    <w:rPr>
                      <w:rFonts w:ascii="Times New Roman" w:hAnsi="Times New Roman" w:cs="Times New Roman"/>
                      <w:b/>
                      <w:color w:val="000000"/>
                      <w:sz w:val="20"/>
                      <w:szCs w:val="20"/>
                    </w:rPr>
                    <w:t>Kopā:</w:t>
                  </w:r>
                </w:p>
              </w:tc>
              <w:tc>
                <w:tcPr>
                  <w:tcW w:w="1238" w:type="dxa"/>
                  <w:tcBorders>
                    <w:top w:val="nil"/>
                    <w:left w:val="nil"/>
                    <w:bottom w:val="single" w:sz="4" w:space="0" w:color="auto"/>
                    <w:right w:val="single" w:sz="4" w:space="0" w:color="auto"/>
                  </w:tcBorders>
                  <w:shd w:val="clear" w:color="auto" w:fill="auto"/>
                  <w:noWrap/>
                  <w:vAlign w:val="bottom"/>
                </w:tcPr>
                <w:p w:rsidR="00EB2358" w:rsidRPr="005110AC" w:rsidRDefault="00EB2358" w:rsidP="00EB2358">
                  <w:pPr>
                    <w:spacing w:after="0" w:line="240" w:lineRule="auto"/>
                    <w:jc w:val="center"/>
                    <w:rPr>
                      <w:rFonts w:ascii="Times New Roman" w:hAnsi="Times New Roman" w:cs="Times New Roman"/>
                      <w:b/>
                      <w:color w:val="000000"/>
                      <w:sz w:val="20"/>
                      <w:szCs w:val="20"/>
                    </w:rPr>
                  </w:pPr>
                  <w:r w:rsidRPr="005110AC">
                    <w:rPr>
                      <w:rFonts w:ascii="Times New Roman" w:hAnsi="Times New Roman" w:cs="Times New Roman"/>
                      <w:b/>
                      <w:color w:val="000000"/>
                      <w:sz w:val="20"/>
                      <w:szCs w:val="20"/>
                    </w:rPr>
                    <w:t>1 035 585,12</w:t>
                  </w:r>
                </w:p>
              </w:tc>
            </w:tr>
            <w:tr w:rsidR="00EB2358" w:rsidRPr="005110AC" w:rsidTr="00881AD5">
              <w:trPr>
                <w:trHeight w:val="60"/>
                <w:jc w:val="center"/>
              </w:trPr>
              <w:tc>
                <w:tcPr>
                  <w:tcW w:w="5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358" w:rsidRPr="005110AC" w:rsidRDefault="00EB2358" w:rsidP="00EB2358">
                  <w:pPr>
                    <w:spacing w:after="0" w:line="240" w:lineRule="auto"/>
                    <w:jc w:val="right"/>
                    <w:rPr>
                      <w:rFonts w:ascii="Times New Roman" w:eastAsia="Times New Roman" w:hAnsi="Times New Roman" w:cs="Times New Roman"/>
                      <w:b/>
                      <w:bCs/>
                      <w:sz w:val="20"/>
                      <w:szCs w:val="20"/>
                      <w:lang w:eastAsia="lv-LV"/>
                    </w:rPr>
                  </w:pPr>
                  <w:r w:rsidRPr="005110AC">
                    <w:rPr>
                      <w:rFonts w:ascii="Times New Roman" w:eastAsia="Times New Roman" w:hAnsi="Times New Roman" w:cs="Times New Roman"/>
                      <w:b/>
                      <w:bCs/>
                      <w:sz w:val="20"/>
                      <w:szCs w:val="20"/>
                      <w:lang w:eastAsia="lv-LV"/>
                    </w:rPr>
                    <w:t xml:space="preserve">Kopā TAVA </w:t>
                  </w:r>
                </w:p>
              </w:tc>
              <w:tc>
                <w:tcPr>
                  <w:tcW w:w="1238" w:type="dxa"/>
                  <w:tcBorders>
                    <w:top w:val="nil"/>
                    <w:left w:val="nil"/>
                    <w:bottom w:val="single" w:sz="4" w:space="0" w:color="auto"/>
                    <w:right w:val="single" w:sz="4" w:space="0" w:color="auto"/>
                  </w:tcBorders>
                  <w:shd w:val="clear" w:color="auto" w:fill="auto"/>
                  <w:noWrap/>
                  <w:hideMark/>
                </w:tcPr>
                <w:p w:rsidR="00EB2358" w:rsidRPr="005110AC" w:rsidRDefault="00EB2358" w:rsidP="00EB2358">
                  <w:pPr>
                    <w:spacing w:after="0" w:line="240" w:lineRule="auto"/>
                    <w:jc w:val="center"/>
                    <w:rPr>
                      <w:rFonts w:ascii="Times New Roman" w:hAnsi="Times New Roman" w:cs="Times New Roman"/>
                      <w:b/>
                      <w:sz w:val="20"/>
                      <w:szCs w:val="20"/>
                    </w:rPr>
                  </w:pPr>
                  <w:r w:rsidRPr="005110AC">
                    <w:rPr>
                      <w:rFonts w:ascii="Times New Roman" w:hAnsi="Times New Roman" w:cs="Times New Roman"/>
                      <w:b/>
                      <w:sz w:val="20"/>
                      <w:szCs w:val="20"/>
                    </w:rPr>
                    <w:t>2 336 398,95</w:t>
                  </w:r>
                </w:p>
              </w:tc>
            </w:tr>
            <w:tr w:rsidR="00EB2358" w:rsidRPr="005110AC" w:rsidTr="00881AD5">
              <w:trPr>
                <w:trHeight w:val="60"/>
                <w:jc w:val="center"/>
              </w:trPr>
              <w:tc>
                <w:tcPr>
                  <w:tcW w:w="5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2358" w:rsidRPr="005110AC" w:rsidRDefault="00EB2358" w:rsidP="00EB2358">
                  <w:pPr>
                    <w:spacing w:after="0" w:line="240" w:lineRule="auto"/>
                    <w:jc w:val="center"/>
                    <w:rPr>
                      <w:rFonts w:ascii="Times New Roman" w:eastAsia="Times New Roman" w:hAnsi="Times New Roman" w:cs="Times New Roman"/>
                      <w:b/>
                      <w:bCs/>
                      <w:sz w:val="20"/>
                      <w:szCs w:val="20"/>
                      <w:lang w:eastAsia="lv-LV"/>
                    </w:rPr>
                  </w:pPr>
                  <w:r w:rsidRPr="005110AC">
                    <w:rPr>
                      <w:rFonts w:ascii="Times New Roman" w:eastAsia="Times New Roman" w:hAnsi="Times New Roman" w:cs="Times New Roman"/>
                      <w:b/>
                      <w:bCs/>
                      <w:sz w:val="20"/>
                      <w:szCs w:val="20"/>
                      <w:lang w:eastAsia="lv-LV"/>
                    </w:rPr>
                    <w:t>Pavisam kopā LIAA un TAVA</w:t>
                  </w:r>
                </w:p>
              </w:tc>
              <w:tc>
                <w:tcPr>
                  <w:tcW w:w="1238" w:type="dxa"/>
                  <w:tcBorders>
                    <w:top w:val="nil"/>
                    <w:left w:val="nil"/>
                    <w:bottom w:val="single" w:sz="4" w:space="0" w:color="auto"/>
                    <w:right w:val="single" w:sz="4" w:space="0" w:color="auto"/>
                  </w:tcBorders>
                  <w:shd w:val="clear" w:color="auto" w:fill="auto"/>
                  <w:noWrap/>
                  <w:hideMark/>
                </w:tcPr>
                <w:p w:rsidR="00EB2358" w:rsidRPr="005110AC" w:rsidRDefault="00B90A9B" w:rsidP="00EB2358">
                  <w:pPr>
                    <w:spacing w:after="0" w:line="240" w:lineRule="auto"/>
                    <w:jc w:val="center"/>
                    <w:rPr>
                      <w:rFonts w:ascii="Times New Roman" w:hAnsi="Times New Roman" w:cs="Times New Roman"/>
                      <w:b/>
                      <w:sz w:val="20"/>
                      <w:szCs w:val="20"/>
                    </w:rPr>
                  </w:pPr>
                  <w:r w:rsidRPr="00B90A9B">
                    <w:rPr>
                      <w:rFonts w:ascii="Times New Roman" w:hAnsi="Times New Roman" w:cs="Times New Roman"/>
                      <w:b/>
                      <w:sz w:val="20"/>
                      <w:szCs w:val="20"/>
                    </w:rPr>
                    <w:t>4</w:t>
                  </w:r>
                  <w:r>
                    <w:rPr>
                      <w:rFonts w:ascii="Times New Roman" w:hAnsi="Times New Roman" w:cs="Times New Roman"/>
                      <w:b/>
                      <w:sz w:val="20"/>
                      <w:szCs w:val="20"/>
                    </w:rPr>
                    <w:t xml:space="preserve"> </w:t>
                  </w:r>
                  <w:r w:rsidRPr="00B90A9B">
                    <w:rPr>
                      <w:rFonts w:ascii="Times New Roman" w:hAnsi="Times New Roman" w:cs="Times New Roman"/>
                      <w:b/>
                      <w:sz w:val="20"/>
                      <w:szCs w:val="20"/>
                    </w:rPr>
                    <w:t>135</w:t>
                  </w:r>
                  <w:r>
                    <w:rPr>
                      <w:rFonts w:ascii="Times New Roman" w:hAnsi="Times New Roman" w:cs="Times New Roman"/>
                      <w:b/>
                      <w:sz w:val="20"/>
                      <w:szCs w:val="20"/>
                    </w:rPr>
                    <w:t xml:space="preserve"> </w:t>
                  </w:r>
                  <w:r w:rsidRPr="00B90A9B">
                    <w:rPr>
                      <w:rFonts w:ascii="Times New Roman" w:hAnsi="Times New Roman" w:cs="Times New Roman"/>
                      <w:b/>
                      <w:sz w:val="20"/>
                      <w:szCs w:val="20"/>
                    </w:rPr>
                    <w:t>264,71</w:t>
                  </w:r>
                </w:p>
              </w:tc>
            </w:tr>
          </w:tbl>
          <w:p w:rsidR="00366A5C" w:rsidRPr="005110AC" w:rsidRDefault="00366A5C" w:rsidP="009E4E51">
            <w:pPr>
              <w:pStyle w:val="ListParagraph"/>
              <w:spacing w:after="0"/>
              <w:ind w:left="0"/>
              <w:jc w:val="both"/>
              <w:rPr>
                <w:rFonts w:ascii="Times New Roman" w:hAnsi="Times New Roman" w:cs="Times New Roman"/>
                <w:sz w:val="24"/>
                <w:szCs w:val="24"/>
              </w:rPr>
            </w:pPr>
          </w:p>
          <w:p w:rsidR="00A31ADD" w:rsidRPr="0079679B" w:rsidRDefault="00D22D2D" w:rsidP="00A31ADD">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r>
            <w:r w:rsidR="00A31ADD" w:rsidRPr="0079679B">
              <w:rPr>
                <w:rFonts w:ascii="Times New Roman" w:hAnsi="Times New Roman" w:cs="Times New Roman"/>
                <w:sz w:val="24"/>
                <w:szCs w:val="24"/>
              </w:rPr>
              <w:t xml:space="preserve">Izmaksu pārcelšana no 2.3.1.1.2.apakšaktivitātes uz 3.2.1.2.pasākumu būs iespējama tad, kad finansējuma saņēmēji (LIAA un TAVA) ar Centrālo finanšu </w:t>
            </w:r>
            <w:r w:rsidR="005110AC" w:rsidRPr="0079679B">
              <w:rPr>
                <w:rFonts w:ascii="Times New Roman" w:hAnsi="Times New Roman" w:cs="Times New Roman"/>
                <w:sz w:val="24"/>
                <w:szCs w:val="24"/>
              </w:rPr>
              <w:t xml:space="preserve">un </w:t>
            </w:r>
            <w:r w:rsidR="00A31ADD" w:rsidRPr="0079679B">
              <w:rPr>
                <w:rFonts w:ascii="Times New Roman" w:hAnsi="Times New Roman" w:cs="Times New Roman"/>
                <w:sz w:val="24"/>
                <w:szCs w:val="24"/>
              </w:rPr>
              <w:t>līgumu aģentūru (turpmāk – CFLA) noslēgs vienošanās par  projektu īsteno</w:t>
            </w:r>
            <w:r w:rsidR="005110AC" w:rsidRPr="0079679B">
              <w:rPr>
                <w:rFonts w:ascii="Times New Roman" w:hAnsi="Times New Roman" w:cs="Times New Roman"/>
                <w:sz w:val="24"/>
                <w:szCs w:val="24"/>
              </w:rPr>
              <w:t xml:space="preserve">šanu 3.2.1.2. </w:t>
            </w:r>
            <w:r w:rsidR="005110AC" w:rsidRPr="0079679B">
              <w:rPr>
                <w:rFonts w:ascii="Times New Roman" w:hAnsi="Times New Roman" w:cs="Times New Roman"/>
                <w:sz w:val="24"/>
                <w:szCs w:val="24"/>
              </w:rPr>
              <w:lastRenderedPageBreak/>
              <w:t>pasākuma ietvaros</w:t>
            </w:r>
            <w:r w:rsidR="00A31ADD" w:rsidRPr="0079679B">
              <w:rPr>
                <w:rFonts w:ascii="Times New Roman" w:hAnsi="Times New Roman" w:cs="Times New Roman"/>
                <w:sz w:val="24"/>
                <w:szCs w:val="24"/>
              </w:rPr>
              <w:t xml:space="preserve">. Pēc 3.2.1.2.pasākuma īstenošanas Ministru kabineta noteikumu spēkā stāšanās un vienošanās noslēgšanas par projektu īstenošanu, saskaņā ar finansējuma saņēmēju iesniegtiem projektiem, apstiprināšanai CFLA </w:t>
            </w:r>
            <w:r w:rsidR="005110AC" w:rsidRPr="0079679B">
              <w:rPr>
                <w:rFonts w:ascii="Times New Roman" w:hAnsi="Times New Roman" w:cs="Times New Roman"/>
                <w:sz w:val="24"/>
                <w:szCs w:val="24"/>
              </w:rPr>
              <w:t xml:space="preserve">tiks iesniegti </w:t>
            </w:r>
            <w:r w:rsidR="00A31ADD" w:rsidRPr="0079679B">
              <w:rPr>
                <w:rFonts w:ascii="Times New Roman" w:hAnsi="Times New Roman" w:cs="Times New Roman"/>
                <w:sz w:val="24"/>
                <w:szCs w:val="24"/>
              </w:rPr>
              <w:t xml:space="preserve">atbilstošo attiecināmo izmaksu pamatojošie dokumenti 2 200 000 </w:t>
            </w:r>
            <w:r w:rsidR="00A31ADD" w:rsidRPr="0079679B">
              <w:rPr>
                <w:rFonts w:ascii="Times New Roman" w:hAnsi="Times New Roman" w:cs="Times New Roman"/>
                <w:i/>
                <w:sz w:val="24"/>
                <w:szCs w:val="24"/>
              </w:rPr>
              <w:t xml:space="preserve">euro </w:t>
            </w:r>
            <w:r w:rsidR="00A31ADD" w:rsidRPr="0079679B">
              <w:rPr>
                <w:rFonts w:ascii="Times New Roman" w:hAnsi="Times New Roman" w:cs="Times New Roman"/>
                <w:sz w:val="24"/>
                <w:szCs w:val="24"/>
              </w:rPr>
              <w:t xml:space="preserve">apmērā. Ekonomikas ministrija ir izvērtējusi riskus, kas saistīti ar projektu pārcelšanu, </w:t>
            </w:r>
            <w:r w:rsidR="008A7320" w:rsidRPr="0079679B">
              <w:rPr>
                <w:rFonts w:ascii="Times New Roman" w:hAnsi="Times New Roman" w:cs="Times New Roman"/>
                <w:sz w:val="24"/>
                <w:szCs w:val="24"/>
              </w:rPr>
              <w:t>tajā</w:t>
            </w:r>
            <w:r w:rsidR="00A31ADD" w:rsidRPr="0079679B">
              <w:rPr>
                <w:rFonts w:ascii="Times New Roman" w:hAnsi="Times New Roman" w:cs="Times New Roman"/>
                <w:sz w:val="24"/>
                <w:szCs w:val="24"/>
              </w:rPr>
              <w:t xml:space="preserve"> skaitā, saistītos ar </w:t>
            </w:r>
            <w:proofErr w:type="spellStart"/>
            <w:r w:rsidR="00A31ADD" w:rsidRPr="0079679B">
              <w:rPr>
                <w:rFonts w:ascii="Times New Roman" w:hAnsi="Times New Roman" w:cs="Times New Roman"/>
                <w:sz w:val="24"/>
                <w:szCs w:val="24"/>
              </w:rPr>
              <w:t>dubultfinansēšanas</w:t>
            </w:r>
            <w:proofErr w:type="spellEnd"/>
            <w:r w:rsidR="00A31ADD" w:rsidRPr="0079679B">
              <w:rPr>
                <w:rFonts w:ascii="Times New Roman" w:hAnsi="Times New Roman" w:cs="Times New Roman"/>
                <w:sz w:val="24"/>
                <w:szCs w:val="24"/>
              </w:rPr>
              <w:t xml:space="preserve"> nepieļaušanu, kā arī saistībā ar 2007.- 2013.gada plānošanas perioda </w:t>
            </w:r>
            <w:r w:rsidR="008A7320" w:rsidRPr="0079679B">
              <w:rPr>
                <w:rFonts w:ascii="Times New Roman" w:hAnsi="Times New Roman" w:cs="Times New Roman"/>
                <w:sz w:val="24"/>
                <w:szCs w:val="24"/>
              </w:rPr>
              <w:t>slēgšanas</w:t>
            </w:r>
            <w:r w:rsidR="00A31ADD" w:rsidRPr="0079679B">
              <w:rPr>
                <w:rFonts w:ascii="Times New Roman" w:hAnsi="Times New Roman" w:cs="Times New Roman"/>
                <w:sz w:val="24"/>
                <w:szCs w:val="24"/>
              </w:rPr>
              <w:t xml:space="preserve"> laika grafiku. Ņemot vērā, ka izmaksas 2.3.1.1.2.apakšaktivitātes ietvaros būs </w:t>
            </w:r>
            <w:r w:rsidR="00DC6E90" w:rsidRPr="0079679B">
              <w:rPr>
                <w:rFonts w:ascii="Times New Roman" w:hAnsi="Times New Roman" w:cs="Times New Roman"/>
                <w:sz w:val="24"/>
                <w:szCs w:val="24"/>
              </w:rPr>
              <w:t>izņemtas no izdevumu deklarācijas</w:t>
            </w:r>
            <w:r w:rsidR="00A31ADD" w:rsidRPr="0079679B">
              <w:rPr>
                <w:rFonts w:ascii="Times New Roman" w:hAnsi="Times New Roman" w:cs="Times New Roman"/>
                <w:sz w:val="24"/>
                <w:szCs w:val="24"/>
              </w:rPr>
              <w:t>, līdz ar to, tas nerada riskus par neatbilstošu izmaksu pārcelšanu uz 3.2.1.2.pasākumu, kā arī dubultā finansējuma riskus.</w:t>
            </w:r>
          </w:p>
          <w:p w:rsidR="00F25A63" w:rsidRPr="0079679B" w:rsidRDefault="00DC6E90" w:rsidP="009E4E51">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Ekonomikas ministrija</w:t>
            </w:r>
            <w:r w:rsidR="00F25A63" w:rsidRPr="0079679B">
              <w:rPr>
                <w:rFonts w:ascii="Times New Roman" w:hAnsi="Times New Roman" w:cs="Times New Roman"/>
                <w:sz w:val="24"/>
                <w:szCs w:val="24"/>
              </w:rPr>
              <w:t xml:space="preserve">, </w:t>
            </w:r>
            <w:r w:rsidR="0063602A" w:rsidRPr="0079679B">
              <w:rPr>
                <w:rFonts w:ascii="Times New Roman" w:hAnsi="Times New Roman" w:cs="Times New Roman"/>
                <w:sz w:val="24"/>
                <w:szCs w:val="24"/>
              </w:rPr>
              <w:t>sastādot un analizējot pārceļamās attiecināmās izmaksas no 2.3.1.1.2.aktivitātes uz 3.2.1.2.pasākumu</w:t>
            </w:r>
            <w:r w:rsidR="005110AC" w:rsidRPr="0079679B">
              <w:rPr>
                <w:rFonts w:ascii="Times New Roman" w:hAnsi="Times New Roman" w:cs="Times New Roman"/>
                <w:sz w:val="24"/>
                <w:szCs w:val="24"/>
              </w:rPr>
              <w:t>,</w:t>
            </w:r>
            <w:r w:rsidR="0063602A" w:rsidRPr="0079679B">
              <w:rPr>
                <w:rFonts w:ascii="Times New Roman" w:hAnsi="Times New Roman" w:cs="Times New Roman"/>
                <w:sz w:val="24"/>
                <w:szCs w:val="24"/>
              </w:rPr>
              <w:t xml:space="preserve"> ir ņēmusi vērā lī</w:t>
            </w:r>
            <w:r w:rsidR="00B60049" w:rsidRPr="0079679B">
              <w:rPr>
                <w:rFonts w:ascii="Times New Roman" w:hAnsi="Times New Roman" w:cs="Times New Roman"/>
                <w:sz w:val="24"/>
                <w:szCs w:val="24"/>
              </w:rPr>
              <w:t>dzfinansējuma likmju atšķirības.</w:t>
            </w:r>
            <w:r w:rsidR="0063602A" w:rsidRPr="0079679B">
              <w:rPr>
                <w:rFonts w:ascii="Times New Roman" w:hAnsi="Times New Roman" w:cs="Times New Roman"/>
                <w:sz w:val="24"/>
                <w:szCs w:val="24"/>
              </w:rPr>
              <w:t xml:space="preserve"> </w:t>
            </w:r>
            <w:r w:rsidR="00B60049" w:rsidRPr="0079679B">
              <w:rPr>
                <w:rFonts w:ascii="Times New Roman" w:hAnsi="Times New Roman" w:cs="Times New Roman"/>
                <w:sz w:val="24"/>
                <w:szCs w:val="24"/>
              </w:rPr>
              <w:t>P</w:t>
            </w:r>
            <w:r w:rsidR="005110AC" w:rsidRPr="0079679B">
              <w:rPr>
                <w:rFonts w:ascii="Times New Roman" w:hAnsi="Times New Roman" w:cs="Times New Roman"/>
                <w:sz w:val="24"/>
                <w:szCs w:val="24"/>
              </w:rPr>
              <w:t>ie tam</w:t>
            </w:r>
            <w:r w:rsidR="0063602A" w:rsidRPr="0079679B">
              <w:rPr>
                <w:rFonts w:ascii="Times New Roman" w:hAnsi="Times New Roman" w:cs="Times New Roman"/>
                <w:sz w:val="24"/>
                <w:szCs w:val="24"/>
              </w:rPr>
              <w:t xml:space="preserve"> norādām, ka attiecināmo izmaksu pārcelšanai būs neitrāla ietekme </w:t>
            </w:r>
            <w:r w:rsidR="00B60049" w:rsidRPr="0079679B">
              <w:rPr>
                <w:rFonts w:ascii="Times New Roman" w:hAnsi="Times New Roman" w:cs="Times New Roman"/>
                <w:sz w:val="24"/>
                <w:szCs w:val="24"/>
              </w:rPr>
              <w:t xml:space="preserve">uz </w:t>
            </w:r>
            <w:r w:rsidR="00992849" w:rsidRPr="0079679B">
              <w:rPr>
                <w:rFonts w:ascii="Times New Roman" w:hAnsi="Times New Roman" w:cs="Times New Roman"/>
                <w:sz w:val="24"/>
                <w:szCs w:val="24"/>
              </w:rPr>
              <w:t xml:space="preserve">valsts </w:t>
            </w:r>
            <w:r w:rsidR="00B60049" w:rsidRPr="0079679B">
              <w:rPr>
                <w:rFonts w:ascii="Times New Roman" w:hAnsi="Times New Roman" w:cs="Times New Roman"/>
                <w:sz w:val="24"/>
                <w:szCs w:val="24"/>
              </w:rPr>
              <w:t>budžetu, un tā</w:t>
            </w:r>
            <w:r w:rsidR="0063602A" w:rsidRPr="0079679B">
              <w:rPr>
                <w:rFonts w:ascii="Times New Roman" w:hAnsi="Times New Roman" w:cs="Times New Roman"/>
                <w:sz w:val="24"/>
                <w:szCs w:val="24"/>
              </w:rPr>
              <w:t xml:space="preserve"> nebūs negatīva.</w:t>
            </w:r>
          </w:p>
          <w:p w:rsidR="00A31ADD" w:rsidRPr="00881AD5" w:rsidRDefault="00A31ADD" w:rsidP="00A31ADD">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Ekonomikas ministrija ir izvērtējusi riskus</w:t>
            </w:r>
            <w:r w:rsidR="00B60049" w:rsidRPr="0079679B">
              <w:rPr>
                <w:rFonts w:ascii="Times New Roman" w:hAnsi="Times New Roman" w:cs="Times New Roman"/>
                <w:sz w:val="24"/>
                <w:szCs w:val="24"/>
              </w:rPr>
              <w:t xml:space="preserve"> arī</w:t>
            </w:r>
            <w:r w:rsidRPr="0079679B">
              <w:rPr>
                <w:rFonts w:ascii="Times New Roman" w:hAnsi="Times New Roman" w:cs="Times New Roman"/>
                <w:sz w:val="24"/>
                <w:szCs w:val="24"/>
              </w:rPr>
              <w:t xml:space="preserve">, ņemot vērā to, ka 3.2.1.2.pasākuma īstenošanas un ieviešanas modelī ir </w:t>
            </w:r>
            <w:r w:rsidR="008A7320" w:rsidRPr="0079679B">
              <w:rPr>
                <w:rFonts w:ascii="Times New Roman" w:hAnsi="Times New Roman" w:cs="Times New Roman"/>
                <w:sz w:val="24"/>
                <w:szCs w:val="24"/>
              </w:rPr>
              <w:t>atšķirības</w:t>
            </w:r>
            <w:r w:rsidRPr="0079679B">
              <w:rPr>
                <w:rFonts w:ascii="Times New Roman" w:hAnsi="Times New Roman" w:cs="Times New Roman"/>
                <w:sz w:val="24"/>
                <w:szCs w:val="24"/>
              </w:rPr>
              <w:t xml:space="preserve">, tostarp, LIAA un CFLA lomas, un neredz šķēršļus šobrīd 2.3.1.1.2.apakšaktivitātes LIAA kā sadarbības iestādes izvērtēto projektu attiecināšanai uz 2014.-2020. plānošanas perioda sākumu, kad sadarbības iestāde ir CFLA.  Ņemot vērā to, ka Eiropas Savienības fondu 2014.-2020.gada plānošanas periodā CFLA pilda sadarbības iestādes funkcijas, CLFA būs nepieciešams izskatīt vai LIAA un TAVA iesniegtās attiecināmās izmaksas 2 200 000 </w:t>
            </w:r>
            <w:r w:rsidRPr="0079679B">
              <w:rPr>
                <w:rFonts w:ascii="Times New Roman" w:hAnsi="Times New Roman" w:cs="Times New Roman"/>
                <w:i/>
                <w:sz w:val="24"/>
                <w:szCs w:val="24"/>
              </w:rPr>
              <w:t xml:space="preserve">euro </w:t>
            </w:r>
            <w:r w:rsidR="00B60049" w:rsidRPr="0079679B">
              <w:rPr>
                <w:rFonts w:ascii="Times New Roman" w:hAnsi="Times New Roman" w:cs="Times New Roman"/>
                <w:sz w:val="24"/>
                <w:szCs w:val="24"/>
              </w:rPr>
              <w:t>apmērā atbilst</w:t>
            </w:r>
            <w:r w:rsidRPr="0079679B">
              <w:rPr>
                <w:rFonts w:ascii="Times New Roman" w:hAnsi="Times New Roman" w:cs="Times New Roman"/>
                <w:sz w:val="24"/>
                <w:szCs w:val="24"/>
              </w:rPr>
              <w:t xml:space="preserve"> 3.2.1.2.pasākuma Ministru kabineta noteikumiem, bet ņemot vērā līdzšinējo veikto izmaksu atbilstības izvērtējumus</w:t>
            </w:r>
            <w:r w:rsidR="00B60049" w:rsidRPr="0079679B">
              <w:rPr>
                <w:rFonts w:ascii="Times New Roman" w:hAnsi="Times New Roman" w:cs="Times New Roman"/>
                <w:sz w:val="24"/>
                <w:szCs w:val="24"/>
              </w:rPr>
              <w:t xml:space="preserve"> - </w:t>
            </w:r>
            <w:r w:rsidRPr="0079679B">
              <w:rPr>
                <w:rFonts w:ascii="Times New Roman" w:hAnsi="Times New Roman" w:cs="Times New Roman"/>
                <w:sz w:val="24"/>
                <w:szCs w:val="24"/>
              </w:rPr>
              <w:t xml:space="preserve"> 3.2.1.2.</w:t>
            </w:r>
            <w:r w:rsidRPr="00881AD5">
              <w:rPr>
                <w:rFonts w:ascii="Times New Roman" w:hAnsi="Times New Roman" w:cs="Times New Roman"/>
                <w:sz w:val="24"/>
                <w:szCs w:val="24"/>
              </w:rPr>
              <w:t>pasākuma nosacījumiem, tad šeit nepastāv riski, ka izmaksas varētu būt neattiecināmas un varētu netikt pārceltas.</w:t>
            </w:r>
          </w:p>
          <w:p w:rsidR="0054698E" w:rsidRPr="00881AD5" w:rsidRDefault="0054698E" w:rsidP="0054698E">
            <w:pPr>
              <w:spacing w:after="0"/>
              <w:ind w:firstLine="360"/>
              <w:jc w:val="both"/>
              <w:rPr>
                <w:rFonts w:ascii="Times New Roman" w:hAnsi="Times New Roman" w:cs="Times New Roman"/>
                <w:sz w:val="24"/>
                <w:szCs w:val="24"/>
              </w:rPr>
            </w:pPr>
            <w:r w:rsidRPr="00881AD5">
              <w:rPr>
                <w:rFonts w:ascii="Times New Roman" w:hAnsi="Times New Roman" w:cs="Times New Roman"/>
                <w:sz w:val="24"/>
                <w:szCs w:val="24"/>
              </w:rPr>
              <w:t xml:space="preserve">Ekonomikas ministrija Ministru kabineta noteikumu projektā par 3.2.1.2.pasākuma īstenošanu paredzēs risinājumu par attiecināmo izmaksu pārcelšanu no 2.3.1.1.2.aktivitātes uz 3.2.1.2.pasākumu, ietverot nosacījumus, ka pārceltās izmaksas ir attiecināmas par finansējuma saņēmēju nepabeigtām atbalstāmajām darbībām, ja tās atbilst  finansējumu saņēmēju 3.2.1.2.pasākuma īstenošanas stratēģijās noteiktajam, un tiek ievērotas Eiropas Savienības struktūrfondu un Kohēzijas fonda publicitātes un vizuālās identitātes prasības. </w:t>
            </w:r>
          </w:p>
          <w:p w:rsidR="0054698E" w:rsidRPr="00881AD5" w:rsidRDefault="0054698E" w:rsidP="0054698E">
            <w:pPr>
              <w:spacing w:after="0"/>
              <w:ind w:firstLine="360"/>
              <w:jc w:val="both"/>
              <w:rPr>
                <w:rFonts w:ascii="Times New Roman" w:hAnsi="Times New Roman" w:cs="Times New Roman"/>
                <w:sz w:val="24"/>
                <w:szCs w:val="24"/>
              </w:rPr>
            </w:pPr>
            <w:r w:rsidRPr="00881AD5">
              <w:rPr>
                <w:rFonts w:ascii="Times New Roman" w:hAnsi="Times New Roman" w:cs="Times New Roman"/>
                <w:sz w:val="24"/>
                <w:szCs w:val="24"/>
              </w:rPr>
              <w:t xml:space="preserve">3.2.1.2.pasākuma ietvaros LIAA un TAVA īstenošanas stratēģijas ir balstītas uz nozaru politikas plānošanas dokumentos noteikto, ciktāl tas nav pretrunā ar Darbības programmā “Izaugsme un nodarbinātība” noteikto, un satur informāciju par to, kā tiks </w:t>
            </w:r>
            <w:r w:rsidRPr="00881AD5">
              <w:rPr>
                <w:rFonts w:ascii="Times New Roman" w:hAnsi="Times New Roman" w:cs="Times New Roman"/>
                <w:sz w:val="24"/>
                <w:szCs w:val="24"/>
              </w:rPr>
              <w:lastRenderedPageBreak/>
              <w:t xml:space="preserve">pārvaldīta projekta darbība (procesa apraksts). LIAA un TAVA 3.2.1.2.pasākuma īstenošanas stratēģijas saskaņos ar Ekonomikas ministriju kā par nozari atbildīgo ministriju. </w:t>
            </w:r>
          </w:p>
          <w:p w:rsidR="0054698E" w:rsidRPr="00881AD5" w:rsidRDefault="0054698E" w:rsidP="0054698E">
            <w:pPr>
              <w:pStyle w:val="ListParagraph"/>
              <w:spacing w:after="0"/>
              <w:ind w:left="0"/>
              <w:jc w:val="both"/>
              <w:rPr>
                <w:rFonts w:ascii="Times New Roman" w:hAnsi="Times New Roman" w:cs="Times New Roman"/>
                <w:sz w:val="24"/>
                <w:szCs w:val="24"/>
              </w:rPr>
            </w:pPr>
            <w:r w:rsidRPr="00881AD5">
              <w:rPr>
                <w:rFonts w:ascii="Times New Roman" w:hAnsi="Times New Roman" w:cs="Times New Roman"/>
                <w:sz w:val="24"/>
                <w:szCs w:val="24"/>
              </w:rPr>
              <w:tab/>
              <w:t>LIAA un TAVA projekta īstenošanas stratēģijas tiks iesniegtas kopā ar projekta iesniegumu izvērtēšanai CFLA.</w:t>
            </w:r>
          </w:p>
          <w:p w:rsidR="00A31ADD" w:rsidRPr="005110AC" w:rsidRDefault="00A31ADD" w:rsidP="00A31ADD">
            <w:pPr>
              <w:pStyle w:val="ListParagraph"/>
              <w:spacing w:after="0"/>
              <w:ind w:left="0"/>
              <w:jc w:val="both"/>
              <w:rPr>
                <w:rFonts w:ascii="Times New Roman" w:hAnsi="Times New Roman" w:cs="Times New Roman"/>
                <w:sz w:val="24"/>
                <w:szCs w:val="24"/>
              </w:rPr>
            </w:pPr>
            <w:r w:rsidRPr="00881AD5">
              <w:rPr>
                <w:rFonts w:ascii="Times New Roman" w:hAnsi="Times New Roman" w:cs="Times New Roman"/>
                <w:sz w:val="24"/>
                <w:szCs w:val="24"/>
              </w:rPr>
              <w:tab/>
              <w:t>Pamatojoties uz to, ka 3.2.1.2.pasākuma ietvaros ir noteikti  sasniedzamie uzraudzības  rādītāji, ir būtiski ņemt</w:t>
            </w:r>
            <w:r w:rsidRPr="0079679B">
              <w:rPr>
                <w:rFonts w:ascii="Times New Roman" w:hAnsi="Times New Roman" w:cs="Times New Roman"/>
                <w:sz w:val="24"/>
                <w:szCs w:val="24"/>
              </w:rPr>
              <w:t xml:space="preserve"> vērā arī to rezultātus un </w:t>
            </w:r>
            <w:r w:rsidR="005110AC" w:rsidRPr="0079679B">
              <w:rPr>
                <w:rFonts w:ascii="Times New Roman" w:hAnsi="Times New Roman" w:cs="Times New Roman"/>
                <w:sz w:val="24"/>
                <w:szCs w:val="24"/>
              </w:rPr>
              <w:t xml:space="preserve">rādītājus </w:t>
            </w:r>
            <w:r w:rsidRPr="0079679B">
              <w:rPr>
                <w:rFonts w:ascii="Times New Roman" w:hAnsi="Times New Roman" w:cs="Times New Roman"/>
                <w:sz w:val="24"/>
                <w:szCs w:val="24"/>
              </w:rPr>
              <w:t>par tām darbībām, par kurām ir pārceltas izmaksas no 2.3.1.1.2.apakšaktivitātes. Lai nodrošinātu rezultātu un rādītāju atbilstību 3.2.1.2.pasākumā noteiktajiem pasākuma īstenošanas rezultāta un iznākuma rādītāju vērtībām, Ekonomikas ministrija izstrādā</w:t>
            </w:r>
            <w:r w:rsidRPr="0079679B" w:rsidDel="00664A38">
              <w:rPr>
                <w:rFonts w:ascii="Times New Roman" w:hAnsi="Times New Roman" w:cs="Times New Roman"/>
                <w:sz w:val="24"/>
                <w:szCs w:val="24"/>
              </w:rPr>
              <w:t xml:space="preserve"> </w:t>
            </w:r>
            <w:r w:rsidRPr="0079679B">
              <w:rPr>
                <w:rFonts w:ascii="Times New Roman" w:hAnsi="Times New Roman" w:cs="Times New Roman"/>
                <w:sz w:val="24"/>
                <w:szCs w:val="24"/>
              </w:rPr>
              <w:t xml:space="preserve">rādītāju uzskaites </w:t>
            </w:r>
            <w:r w:rsidR="005110AC" w:rsidRPr="0079679B">
              <w:rPr>
                <w:rFonts w:ascii="Times New Roman" w:hAnsi="Times New Roman" w:cs="Times New Roman"/>
                <w:sz w:val="24"/>
                <w:szCs w:val="24"/>
              </w:rPr>
              <w:t>metodiku</w:t>
            </w:r>
            <w:r w:rsidRPr="0079679B">
              <w:rPr>
                <w:rFonts w:ascii="Times New Roman" w:hAnsi="Times New Roman" w:cs="Times New Roman"/>
                <w:sz w:val="24"/>
                <w:szCs w:val="24"/>
              </w:rPr>
              <w:t xml:space="preserve"> saskaņā</w:t>
            </w:r>
            <w:r w:rsidR="00C90C7D" w:rsidRPr="0079679B">
              <w:rPr>
                <w:rFonts w:ascii="Times New Roman" w:hAnsi="Times New Roman" w:cs="Times New Roman"/>
                <w:sz w:val="24"/>
                <w:szCs w:val="24"/>
              </w:rPr>
              <w:t>,</w:t>
            </w:r>
            <w:r w:rsidRPr="0079679B">
              <w:rPr>
                <w:rFonts w:ascii="Times New Roman" w:hAnsi="Times New Roman" w:cs="Times New Roman"/>
                <w:sz w:val="24"/>
                <w:szCs w:val="24"/>
              </w:rPr>
              <w:t xml:space="preserve"> ar kuru tiks ņemti vērā visi sasniedzamie rādītāji, tai skaitā arī tie, kuri radušies kopš 2014.gada 1.janvāra. Līdz ar to tiks novērsti riski, ka minēto izmaksu pārcelšana varētu negatīvi ietekmēt 3.2.1.2.pasākuma rādītāju sasniegšanu.</w:t>
            </w:r>
          </w:p>
          <w:p w:rsidR="00A762E5" w:rsidRPr="005110AC" w:rsidRDefault="004A2D2D" w:rsidP="00C74BCB">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r>
            <w:r w:rsidR="00A762E5" w:rsidRPr="005110AC">
              <w:rPr>
                <w:rFonts w:ascii="Times New Roman" w:hAnsi="Times New Roman" w:cs="Times New Roman"/>
                <w:sz w:val="24"/>
                <w:szCs w:val="24"/>
              </w:rPr>
              <w:t>2.3.1.1.2.apakšaktivitātes</w:t>
            </w:r>
            <w:r w:rsidR="00C74BCB" w:rsidRPr="005110AC">
              <w:rPr>
                <w:rFonts w:ascii="Times New Roman" w:hAnsi="Times New Roman" w:cs="Times New Roman"/>
                <w:sz w:val="24"/>
                <w:szCs w:val="24"/>
              </w:rPr>
              <w:t xml:space="preserve"> ietvaros Eiropas Reģionālais attīstības fonda finansējums</w:t>
            </w:r>
            <w:r w:rsidR="00A762E5" w:rsidRPr="005110AC">
              <w:rPr>
                <w:rFonts w:ascii="Times New Roman" w:hAnsi="Times New Roman" w:cs="Times New Roman"/>
                <w:sz w:val="24"/>
                <w:szCs w:val="24"/>
              </w:rPr>
              <w:t xml:space="preserve"> un</w:t>
            </w:r>
            <w:r w:rsidR="00C74BCB" w:rsidRPr="005110AC">
              <w:rPr>
                <w:rFonts w:ascii="Times New Roman" w:hAnsi="Times New Roman" w:cs="Times New Roman"/>
                <w:sz w:val="24"/>
                <w:szCs w:val="24"/>
              </w:rPr>
              <w:t xml:space="preserve"> valsts budžeta</w:t>
            </w:r>
            <w:r w:rsidR="00A762E5" w:rsidRPr="005110AC">
              <w:rPr>
                <w:rFonts w:ascii="Times New Roman" w:hAnsi="Times New Roman" w:cs="Times New Roman"/>
                <w:sz w:val="24"/>
                <w:szCs w:val="24"/>
              </w:rPr>
              <w:t xml:space="preserve"> </w:t>
            </w:r>
            <w:proofErr w:type="spellStart"/>
            <w:r w:rsidR="00A762E5" w:rsidRPr="005110AC">
              <w:rPr>
                <w:rFonts w:ascii="Times New Roman" w:hAnsi="Times New Roman" w:cs="Times New Roman"/>
                <w:sz w:val="24"/>
                <w:szCs w:val="24"/>
              </w:rPr>
              <w:t>virssaistību</w:t>
            </w:r>
            <w:proofErr w:type="spellEnd"/>
            <w:r w:rsidR="00A762E5" w:rsidRPr="005110AC">
              <w:rPr>
                <w:rFonts w:ascii="Times New Roman" w:hAnsi="Times New Roman" w:cs="Times New Roman"/>
                <w:sz w:val="24"/>
                <w:szCs w:val="24"/>
              </w:rPr>
              <w:t xml:space="preserve"> finansējums kopā ir </w:t>
            </w:r>
            <w:r w:rsidR="00D629E8" w:rsidRPr="005110AC">
              <w:rPr>
                <w:rFonts w:ascii="Times New Roman" w:hAnsi="Times New Roman" w:cs="Times New Roman"/>
                <w:sz w:val="24"/>
                <w:szCs w:val="24"/>
              </w:rPr>
              <w:t>piešķirts</w:t>
            </w:r>
            <w:r w:rsidR="00EA2DE6" w:rsidRPr="005110AC">
              <w:rPr>
                <w:rFonts w:ascii="Times New Roman" w:hAnsi="Times New Roman" w:cs="Times New Roman"/>
                <w:sz w:val="24"/>
                <w:szCs w:val="24"/>
              </w:rPr>
              <w:t xml:space="preserve"> 12 407 795 </w:t>
            </w:r>
            <w:r w:rsidR="00EA2DE6" w:rsidRPr="005110AC">
              <w:rPr>
                <w:rFonts w:ascii="Times New Roman" w:hAnsi="Times New Roman" w:cs="Times New Roman"/>
                <w:i/>
                <w:sz w:val="24"/>
                <w:szCs w:val="24"/>
              </w:rPr>
              <w:t xml:space="preserve">euro </w:t>
            </w:r>
            <w:r w:rsidR="00EA2DE6" w:rsidRPr="005110AC">
              <w:rPr>
                <w:rFonts w:ascii="Times New Roman" w:hAnsi="Times New Roman" w:cs="Times New Roman"/>
                <w:sz w:val="24"/>
                <w:szCs w:val="24"/>
              </w:rPr>
              <w:t>apmērā</w:t>
            </w:r>
            <w:r w:rsidR="00A762E5" w:rsidRPr="005110AC">
              <w:rPr>
                <w:rFonts w:ascii="Times New Roman" w:hAnsi="Times New Roman" w:cs="Times New Roman"/>
                <w:sz w:val="24"/>
                <w:szCs w:val="24"/>
              </w:rPr>
              <w:t>, no kuriem pirms 201</w:t>
            </w:r>
            <w:r w:rsidR="00D629E8" w:rsidRPr="005110AC">
              <w:rPr>
                <w:rFonts w:ascii="Times New Roman" w:hAnsi="Times New Roman" w:cs="Times New Roman"/>
                <w:sz w:val="24"/>
                <w:szCs w:val="24"/>
              </w:rPr>
              <w:t>4.gada 1.janvāra faktiski veiktā</w:t>
            </w:r>
            <w:r w:rsidR="00A762E5" w:rsidRPr="005110AC">
              <w:rPr>
                <w:rFonts w:ascii="Times New Roman" w:hAnsi="Times New Roman" w:cs="Times New Roman"/>
                <w:sz w:val="24"/>
                <w:szCs w:val="24"/>
              </w:rPr>
              <w:t xml:space="preserve">s izmaksas ir 2 351 610 </w:t>
            </w:r>
            <w:r w:rsidR="00A762E5" w:rsidRPr="005110AC">
              <w:rPr>
                <w:rFonts w:ascii="Times New Roman" w:hAnsi="Times New Roman" w:cs="Times New Roman"/>
                <w:i/>
                <w:sz w:val="24"/>
                <w:szCs w:val="24"/>
              </w:rPr>
              <w:t>euro</w:t>
            </w:r>
            <w:r w:rsidR="00D629E8" w:rsidRPr="005110AC">
              <w:rPr>
                <w:rFonts w:ascii="Times New Roman" w:hAnsi="Times New Roman" w:cs="Times New Roman"/>
                <w:sz w:val="24"/>
                <w:szCs w:val="24"/>
              </w:rPr>
              <w:t xml:space="preserve"> apmērā</w:t>
            </w:r>
            <w:r w:rsidR="00A762E5" w:rsidRPr="005110AC">
              <w:rPr>
                <w:rFonts w:ascii="Times New Roman" w:hAnsi="Times New Roman" w:cs="Times New Roman"/>
                <w:sz w:val="24"/>
                <w:szCs w:val="24"/>
              </w:rPr>
              <w:t>.</w:t>
            </w:r>
          </w:p>
          <w:p w:rsidR="00A762E5" w:rsidRPr="005110AC" w:rsidRDefault="00C74BCB" w:rsidP="00C74BCB">
            <w:pPr>
              <w:spacing w:after="0"/>
              <w:jc w:val="both"/>
              <w:rPr>
                <w:rFonts w:ascii="Times New Roman" w:hAnsi="Times New Roman" w:cs="Times New Roman"/>
                <w:sz w:val="24"/>
                <w:szCs w:val="24"/>
              </w:rPr>
            </w:pPr>
            <w:r w:rsidRPr="005110AC">
              <w:rPr>
                <w:rFonts w:ascii="Times New Roman" w:hAnsi="Times New Roman" w:cs="Times New Roman"/>
                <w:sz w:val="24"/>
                <w:szCs w:val="24"/>
              </w:rPr>
              <w:tab/>
            </w:r>
            <w:r w:rsidR="00A762E5" w:rsidRPr="005110AC">
              <w:rPr>
                <w:rFonts w:ascii="Times New Roman" w:hAnsi="Times New Roman" w:cs="Times New Roman"/>
                <w:sz w:val="24"/>
                <w:szCs w:val="24"/>
              </w:rPr>
              <w:t xml:space="preserve">Laika posmā no 2014.gada 1.janvāra līdz 2015.gada 31.augustam faktiski veiktas izmaksas ir 4 453 716 </w:t>
            </w:r>
            <w:r w:rsidR="00A762E5" w:rsidRPr="005110AC">
              <w:rPr>
                <w:rFonts w:ascii="Times New Roman" w:hAnsi="Times New Roman" w:cs="Times New Roman"/>
                <w:i/>
                <w:sz w:val="24"/>
                <w:szCs w:val="24"/>
              </w:rPr>
              <w:t>euro</w:t>
            </w:r>
            <w:r w:rsidRPr="005110AC">
              <w:rPr>
                <w:rFonts w:ascii="Times New Roman" w:hAnsi="Times New Roman" w:cs="Times New Roman"/>
                <w:sz w:val="24"/>
                <w:szCs w:val="24"/>
              </w:rPr>
              <w:t xml:space="preserve"> apmērā</w:t>
            </w:r>
            <w:r w:rsidR="00A762E5" w:rsidRPr="005110AC">
              <w:rPr>
                <w:rFonts w:ascii="Times New Roman" w:hAnsi="Times New Roman" w:cs="Times New Roman"/>
                <w:sz w:val="24"/>
                <w:szCs w:val="24"/>
              </w:rPr>
              <w:t>. Papildus tam 2.3.1.1.2.apakšaktivitātes īstenošana turpinās līdz 2015.gada 31.decembrim, līdz ar to faktiski veiktās izmaksas, kuras varētu pārcelt, pieaugs līdz aptuveni 7 000 000 euro.</w:t>
            </w:r>
          </w:p>
          <w:p w:rsidR="000B783B" w:rsidRPr="005110AC" w:rsidRDefault="00341FF0" w:rsidP="00C74BCB">
            <w:pPr>
              <w:spacing w:after="0"/>
              <w:jc w:val="both"/>
              <w:rPr>
                <w:rFonts w:ascii="Times New Roman" w:hAnsi="Times New Roman" w:cs="Times New Roman"/>
                <w:sz w:val="24"/>
                <w:szCs w:val="24"/>
              </w:rPr>
            </w:pPr>
            <w:r w:rsidRPr="005110AC">
              <w:rPr>
                <w:rFonts w:ascii="Times New Roman" w:hAnsi="Times New Roman" w:cs="Times New Roman"/>
                <w:sz w:val="24"/>
                <w:szCs w:val="24"/>
              </w:rPr>
              <w:tab/>
            </w:r>
            <w:r w:rsidR="000B783B" w:rsidRPr="005110AC">
              <w:rPr>
                <w:rFonts w:ascii="Times New Roman" w:hAnsi="Times New Roman" w:cs="Times New Roman"/>
                <w:sz w:val="24"/>
                <w:szCs w:val="24"/>
              </w:rPr>
              <w:t>Papildus norādām, ņemot vērā lielo iesniegto projektu iesniegumu skaitu un to, ka Eiropas Savienības fondu 2007.-2013.gada plānošan</w:t>
            </w:r>
            <w:r w:rsidR="00A00DB7" w:rsidRPr="005110AC">
              <w:rPr>
                <w:rFonts w:ascii="Times New Roman" w:hAnsi="Times New Roman" w:cs="Times New Roman"/>
                <w:sz w:val="24"/>
                <w:szCs w:val="24"/>
              </w:rPr>
              <w:t>a</w:t>
            </w:r>
            <w:r w:rsidR="000B783B" w:rsidRPr="005110AC">
              <w:rPr>
                <w:rFonts w:ascii="Times New Roman" w:hAnsi="Times New Roman" w:cs="Times New Roman"/>
                <w:sz w:val="24"/>
                <w:szCs w:val="24"/>
              </w:rPr>
              <w:t>s period</w:t>
            </w:r>
            <w:r w:rsidR="00A762E5" w:rsidRPr="005110AC">
              <w:rPr>
                <w:rFonts w:ascii="Times New Roman" w:hAnsi="Times New Roman" w:cs="Times New Roman"/>
                <w:sz w:val="24"/>
                <w:szCs w:val="24"/>
              </w:rPr>
              <w:t>ā 2.3.1.1.1.apakšaktivitātes ietvaros projektu iesniegumu pieņemšanas atlases 79.kārta ir pēdējā projektu iesniegumu pieņemšanas kārta, ir nepieciešams pagarināt projektu iesniegumu izvērtēšanas termiņu no viena mēneša līdz diviem mēnešiem.</w:t>
            </w:r>
          </w:p>
          <w:p w:rsidR="00B14350" w:rsidRPr="005110AC" w:rsidRDefault="005136DC" w:rsidP="00A66AA5">
            <w:pPr>
              <w:pStyle w:val="ListParagraph"/>
              <w:spacing w:after="0"/>
              <w:ind w:left="0"/>
              <w:jc w:val="both"/>
              <w:rPr>
                <w:rFonts w:ascii="Times New Roman" w:hAnsi="Times New Roman" w:cs="Times New Roman"/>
                <w:sz w:val="24"/>
                <w:szCs w:val="24"/>
              </w:rPr>
            </w:pPr>
            <w:r w:rsidRPr="005110AC">
              <w:rPr>
                <w:rFonts w:ascii="Times New Roman" w:hAnsi="Times New Roman" w:cs="Times New Roman"/>
                <w:sz w:val="24"/>
                <w:szCs w:val="24"/>
              </w:rPr>
              <w:tab/>
              <w:t>Izstrādātais Ministru kabineta noteikumu grozījumu projekts paredz veikt</w:t>
            </w:r>
            <w:r w:rsidR="00F8529B" w:rsidRPr="005110AC">
              <w:rPr>
                <w:rFonts w:ascii="Times New Roman" w:hAnsi="Times New Roman" w:cs="Times New Roman"/>
                <w:sz w:val="24"/>
                <w:szCs w:val="24"/>
              </w:rPr>
              <w:t xml:space="preserve"> MK noteikumos Nr.582</w:t>
            </w:r>
            <w:r w:rsidRPr="005110AC">
              <w:rPr>
                <w:rFonts w:ascii="Times New Roman" w:hAnsi="Times New Roman" w:cs="Times New Roman"/>
                <w:sz w:val="24"/>
                <w:szCs w:val="24"/>
              </w:rPr>
              <w:t xml:space="preserve"> šādus grozījumus:</w:t>
            </w:r>
          </w:p>
          <w:p w:rsidR="005136DC" w:rsidRPr="005110AC" w:rsidRDefault="005136DC" w:rsidP="00CE0762">
            <w:pPr>
              <w:pStyle w:val="ListParagraph"/>
              <w:numPr>
                <w:ilvl w:val="0"/>
                <w:numId w:val="7"/>
              </w:numPr>
              <w:spacing w:after="0"/>
              <w:jc w:val="both"/>
              <w:rPr>
                <w:rFonts w:ascii="Times New Roman" w:hAnsi="Times New Roman" w:cs="Times New Roman"/>
                <w:sz w:val="24"/>
                <w:szCs w:val="24"/>
              </w:rPr>
            </w:pPr>
            <w:r w:rsidRPr="005110AC">
              <w:rPr>
                <w:rFonts w:ascii="Times New Roman" w:hAnsi="Times New Roman" w:cs="Times New Roman"/>
                <w:sz w:val="24"/>
                <w:szCs w:val="24"/>
              </w:rPr>
              <w:t xml:space="preserve">Palielināt </w:t>
            </w:r>
            <w:r w:rsidR="00F8529B" w:rsidRPr="005110AC">
              <w:rPr>
                <w:rFonts w:ascii="Times New Roman" w:hAnsi="Times New Roman" w:cs="Times New Roman"/>
                <w:sz w:val="24"/>
                <w:szCs w:val="24"/>
              </w:rPr>
              <w:t xml:space="preserve">valsts budžeta </w:t>
            </w:r>
            <w:proofErr w:type="spellStart"/>
            <w:r w:rsidR="00F8529B" w:rsidRPr="005110AC">
              <w:rPr>
                <w:rFonts w:ascii="Times New Roman" w:hAnsi="Times New Roman" w:cs="Times New Roman"/>
                <w:sz w:val="24"/>
                <w:szCs w:val="24"/>
              </w:rPr>
              <w:t>vir</w:t>
            </w:r>
            <w:r w:rsidR="00B21232" w:rsidRPr="005110AC">
              <w:rPr>
                <w:rFonts w:ascii="Times New Roman" w:hAnsi="Times New Roman" w:cs="Times New Roman"/>
                <w:sz w:val="24"/>
                <w:szCs w:val="24"/>
              </w:rPr>
              <w:t>s</w:t>
            </w:r>
            <w:r w:rsidR="00F8529B" w:rsidRPr="005110AC">
              <w:rPr>
                <w:rFonts w:ascii="Times New Roman" w:hAnsi="Times New Roman" w:cs="Times New Roman"/>
                <w:sz w:val="24"/>
                <w:szCs w:val="24"/>
              </w:rPr>
              <w:t>saistību</w:t>
            </w:r>
            <w:proofErr w:type="spellEnd"/>
            <w:r w:rsidR="00F8529B" w:rsidRPr="005110AC">
              <w:rPr>
                <w:rFonts w:ascii="Times New Roman" w:hAnsi="Times New Roman" w:cs="Times New Roman"/>
                <w:sz w:val="24"/>
                <w:szCs w:val="24"/>
              </w:rPr>
              <w:t xml:space="preserve"> finansējumu par </w:t>
            </w:r>
            <w:r w:rsidR="00CE0762" w:rsidRPr="005110AC">
              <w:rPr>
                <w:rFonts w:ascii="Times New Roman" w:hAnsi="Times New Roman" w:cs="Times New Roman"/>
                <w:sz w:val="24"/>
                <w:szCs w:val="24"/>
              </w:rPr>
              <w:t>2</w:t>
            </w:r>
            <w:r w:rsidR="000B783B" w:rsidRPr="005110AC">
              <w:rPr>
                <w:rFonts w:ascii="Times New Roman" w:hAnsi="Times New Roman" w:cs="Times New Roman"/>
                <w:sz w:val="24"/>
                <w:szCs w:val="24"/>
              </w:rPr>
              <w:t> 200 000</w:t>
            </w:r>
            <w:r w:rsidR="00F8529B" w:rsidRPr="005110AC">
              <w:rPr>
                <w:rFonts w:ascii="Times New Roman" w:hAnsi="Times New Roman" w:cs="Times New Roman"/>
                <w:sz w:val="24"/>
                <w:szCs w:val="24"/>
              </w:rPr>
              <w:t xml:space="preserve"> </w:t>
            </w:r>
            <w:r w:rsidR="00F8529B" w:rsidRPr="005110AC">
              <w:rPr>
                <w:rFonts w:ascii="Times New Roman" w:hAnsi="Times New Roman" w:cs="Times New Roman"/>
                <w:i/>
                <w:sz w:val="24"/>
                <w:szCs w:val="24"/>
              </w:rPr>
              <w:t>euro</w:t>
            </w:r>
            <w:r w:rsidR="00F8529B" w:rsidRPr="005110AC">
              <w:rPr>
                <w:rFonts w:ascii="Times New Roman" w:hAnsi="Times New Roman" w:cs="Times New Roman"/>
                <w:sz w:val="24"/>
                <w:szCs w:val="24"/>
              </w:rPr>
              <w:t>, nepieciešamo finansējumu pārdalot no Ministru kabineta 2011.gada 19.oktobra noteikumiem Nr.817 “Noteikumi par darbības programmas “Uzņēmējdarbība un inovācijas” papildinājuma 2.1.2.4.aktivitātes “Augstas pievienotās vērtības investīcijas” projektu iesniegumu atlases otro un turpmākajām kārtām”;</w:t>
            </w:r>
          </w:p>
          <w:p w:rsidR="000B783B" w:rsidRPr="005110AC" w:rsidRDefault="00F8529B" w:rsidP="000B783B">
            <w:pPr>
              <w:pStyle w:val="ListParagraph"/>
              <w:numPr>
                <w:ilvl w:val="0"/>
                <w:numId w:val="7"/>
              </w:numPr>
              <w:spacing w:after="0"/>
              <w:jc w:val="both"/>
              <w:rPr>
                <w:rFonts w:ascii="Times New Roman" w:hAnsi="Times New Roman" w:cs="Times New Roman"/>
                <w:sz w:val="24"/>
                <w:szCs w:val="24"/>
              </w:rPr>
            </w:pPr>
            <w:r w:rsidRPr="005110AC">
              <w:rPr>
                <w:rFonts w:ascii="Times New Roman" w:hAnsi="Times New Roman" w:cs="Times New Roman"/>
                <w:sz w:val="24"/>
                <w:szCs w:val="24"/>
              </w:rPr>
              <w:t xml:space="preserve">Noteikt, ka projektu iesniegumu atlases 79.kārtas ietvaros </w:t>
            </w:r>
            <w:r w:rsidRPr="005110AC">
              <w:rPr>
                <w:rFonts w:ascii="Times New Roman" w:hAnsi="Times New Roman" w:cs="Times New Roman"/>
                <w:sz w:val="24"/>
                <w:szCs w:val="24"/>
              </w:rPr>
              <w:lastRenderedPageBreak/>
              <w:t xml:space="preserve">pieejamais finansējums ir </w:t>
            </w:r>
            <w:r w:rsidR="00D670D7" w:rsidRPr="005110AC">
              <w:rPr>
                <w:rFonts w:ascii="Times New Roman" w:hAnsi="Times New Roman" w:cs="Times New Roman"/>
                <w:sz w:val="24"/>
                <w:szCs w:val="24"/>
              </w:rPr>
              <w:t>3 133 415</w:t>
            </w:r>
            <w:r w:rsidR="00D670D7" w:rsidRPr="005110AC">
              <w:rPr>
                <w:rFonts w:ascii="Times New Roman" w:hAnsi="Times New Roman" w:cs="Times New Roman"/>
                <w:b/>
                <w:sz w:val="24"/>
                <w:szCs w:val="24"/>
              </w:rPr>
              <w:t xml:space="preserve"> </w:t>
            </w:r>
            <w:r w:rsidRPr="005110AC">
              <w:rPr>
                <w:rFonts w:ascii="Times New Roman" w:hAnsi="Times New Roman" w:cs="Times New Roman"/>
                <w:sz w:val="24"/>
                <w:szCs w:val="24"/>
              </w:rPr>
              <w:t xml:space="preserve"> </w:t>
            </w:r>
            <w:r w:rsidRPr="005110AC">
              <w:rPr>
                <w:rFonts w:ascii="Times New Roman" w:hAnsi="Times New Roman" w:cs="Times New Roman"/>
                <w:i/>
                <w:sz w:val="24"/>
                <w:szCs w:val="24"/>
              </w:rPr>
              <w:t>euro</w:t>
            </w:r>
            <w:r w:rsidR="000B783B" w:rsidRPr="005110AC">
              <w:rPr>
                <w:rFonts w:ascii="Times New Roman" w:hAnsi="Times New Roman" w:cs="Times New Roman"/>
                <w:sz w:val="24"/>
                <w:szCs w:val="24"/>
              </w:rPr>
              <w:t>;</w:t>
            </w:r>
          </w:p>
          <w:p w:rsidR="0054698E" w:rsidRPr="0054698E" w:rsidRDefault="000B783B" w:rsidP="0054698E">
            <w:pPr>
              <w:pStyle w:val="ListParagraph"/>
              <w:numPr>
                <w:ilvl w:val="0"/>
                <w:numId w:val="7"/>
              </w:numPr>
              <w:spacing w:after="0"/>
              <w:jc w:val="both"/>
              <w:rPr>
                <w:rFonts w:ascii="Times New Roman" w:hAnsi="Times New Roman" w:cs="Times New Roman"/>
                <w:sz w:val="25"/>
                <w:szCs w:val="25"/>
              </w:rPr>
            </w:pPr>
            <w:r w:rsidRPr="005110AC">
              <w:rPr>
                <w:rFonts w:ascii="Times New Roman" w:hAnsi="Times New Roman" w:cs="Times New Roman"/>
                <w:sz w:val="24"/>
                <w:szCs w:val="24"/>
              </w:rPr>
              <w:t>Pagarināt iesniegto projektu iesniegumu vērtēšanas termiņu no viena mēneša uz diviem mēnešiem</w:t>
            </w:r>
            <w:r w:rsidR="00F8529B" w:rsidRPr="005110AC">
              <w:rPr>
                <w:rFonts w:ascii="Times New Roman" w:hAnsi="Times New Roman" w:cs="Times New Roman"/>
                <w:sz w:val="24"/>
                <w:szCs w:val="24"/>
              </w:rPr>
              <w:t>.</w:t>
            </w:r>
            <w:r w:rsidR="0054698E" w:rsidRPr="0054698E">
              <w:rPr>
                <w:rFonts w:ascii="Times New Roman" w:hAnsi="Times New Roman" w:cs="Times New Roman"/>
                <w:sz w:val="25"/>
                <w:szCs w:val="25"/>
              </w:rPr>
              <w:t xml:space="preserve"> </w:t>
            </w:r>
          </w:p>
        </w:tc>
      </w:tr>
      <w:tr w:rsidR="00810A68" w:rsidRPr="005110AC" w:rsidTr="00425CB9">
        <w:trPr>
          <w:trHeight w:val="360"/>
        </w:trPr>
        <w:tc>
          <w:tcPr>
            <w:tcW w:w="1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lastRenderedPageBreak/>
              <w:t>3. Projekta izstrādē iesaistītās institūcijas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jc w:val="both"/>
              <w:rPr>
                <w:rFonts w:ascii="Times New Roman" w:eastAsia="Calibri" w:hAnsi="Times New Roman" w:cs="Times New Roman"/>
                <w:color w:val="000000"/>
                <w:sz w:val="25"/>
                <w:szCs w:val="25"/>
              </w:rPr>
            </w:pPr>
            <w:r w:rsidRPr="005110AC">
              <w:rPr>
                <w:rFonts w:ascii="Times New Roman" w:eastAsia="Calibri" w:hAnsi="Times New Roman" w:cs="Times New Roman"/>
                <w:color w:val="000000"/>
                <w:sz w:val="25"/>
                <w:szCs w:val="25"/>
              </w:rPr>
              <w:t>Ekonomikas ministrija</w:t>
            </w:r>
          </w:p>
        </w:tc>
      </w:tr>
      <w:tr w:rsidR="00810A68" w:rsidRPr="005110AC" w:rsidTr="00425CB9">
        <w:trPr>
          <w:trHeight w:val="323"/>
        </w:trPr>
        <w:tc>
          <w:tcPr>
            <w:tcW w:w="1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 4. Cita informācija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pStyle w:val="ListParagraph"/>
              <w:tabs>
                <w:tab w:val="left" w:pos="199"/>
              </w:tabs>
              <w:spacing w:after="0" w:line="240" w:lineRule="auto"/>
              <w:ind w:left="0"/>
              <w:jc w:val="both"/>
              <w:rPr>
                <w:rFonts w:ascii="Times New Roman" w:hAnsi="Times New Roman" w:cs="Times New Roman"/>
                <w:sz w:val="25"/>
                <w:szCs w:val="25"/>
              </w:rPr>
            </w:pPr>
            <w:r w:rsidRPr="005110AC">
              <w:rPr>
                <w:rFonts w:ascii="Times New Roman" w:hAnsi="Times New Roman" w:cs="Times New Roman"/>
                <w:sz w:val="25"/>
                <w:szCs w:val="25"/>
              </w:rPr>
              <w:t>Nav</w:t>
            </w:r>
          </w:p>
        </w:tc>
      </w:tr>
    </w:tbl>
    <w:p w:rsidR="00810A68" w:rsidRPr="005110AC" w:rsidRDefault="00810A68"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363"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25"/>
        <w:gridCol w:w="2835"/>
        <w:gridCol w:w="5103"/>
      </w:tblGrid>
      <w:tr w:rsidR="00810A68" w:rsidRPr="005110AC" w:rsidTr="0079679B">
        <w:tc>
          <w:tcPr>
            <w:tcW w:w="836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5110AC" w:rsidRDefault="00810A68" w:rsidP="009C3368">
            <w:pPr>
              <w:spacing w:after="0" w:line="240" w:lineRule="auto"/>
              <w:jc w:val="center"/>
              <w:rPr>
                <w:rFonts w:ascii="Times New Roman" w:eastAsia="Times New Roman" w:hAnsi="Times New Roman" w:cs="Times New Roman"/>
                <w:b/>
                <w:bCs/>
                <w:sz w:val="25"/>
                <w:szCs w:val="25"/>
                <w:lang w:eastAsia="lv-LV"/>
              </w:rPr>
            </w:pPr>
            <w:r w:rsidRPr="005110AC">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5110AC" w:rsidTr="0079679B">
        <w:trPr>
          <w:trHeight w:val="467"/>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 xml:space="preserve">Sabiedrības </w:t>
            </w:r>
            <w:proofErr w:type="spellStart"/>
            <w:r w:rsidRPr="005110AC">
              <w:rPr>
                <w:rFonts w:ascii="Times New Roman" w:eastAsia="Times New Roman" w:hAnsi="Times New Roman" w:cs="Times New Roman"/>
                <w:sz w:val="25"/>
                <w:szCs w:val="25"/>
                <w:lang w:eastAsia="lv-LV"/>
              </w:rPr>
              <w:t>mērķgrupas</w:t>
            </w:r>
            <w:proofErr w:type="spellEnd"/>
            <w:r w:rsidRPr="005110AC">
              <w:rPr>
                <w:rFonts w:ascii="Times New Roman" w:eastAsia="Times New Roman" w:hAnsi="Times New Roman" w:cs="Times New Roman"/>
                <w:sz w:val="25"/>
                <w:szCs w:val="25"/>
                <w:lang w:eastAsia="lv-LV"/>
              </w:rPr>
              <w:t>, kuras tiesiskais regulējums ietekmē vai varētu ietekmēt</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D33B4C">
            <w:pPr>
              <w:spacing w:before="75" w:after="75" w:line="240" w:lineRule="auto"/>
              <w:ind w:firstLine="450"/>
              <w:jc w:val="both"/>
              <w:rPr>
                <w:rFonts w:ascii="Times New Roman" w:eastAsia="Times New Roman" w:hAnsi="Times New Roman" w:cs="Times New Roman"/>
                <w:iCs/>
                <w:sz w:val="25"/>
                <w:szCs w:val="25"/>
                <w:lang w:eastAsia="lv-LV"/>
              </w:rPr>
            </w:pPr>
            <w:r w:rsidRPr="005110AC">
              <w:rPr>
                <w:rFonts w:ascii="Times New Roman" w:eastAsia="Times New Roman" w:hAnsi="Times New Roman" w:cs="Times New Roman"/>
                <w:iCs/>
                <w:sz w:val="25"/>
                <w:szCs w:val="25"/>
                <w:lang w:eastAsia="lv-LV"/>
              </w:rPr>
              <w:t>Komersanti, biedrības, nodibinājumi, kooperatīvās sabiedrības, ostu pārvaldes</w:t>
            </w:r>
            <w:r w:rsidR="0034216E" w:rsidRPr="005110AC">
              <w:rPr>
                <w:rFonts w:ascii="Times New Roman" w:eastAsia="Times New Roman" w:hAnsi="Times New Roman" w:cs="Times New Roman"/>
                <w:iCs/>
                <w:sz w:val="25"/>
                <w:szCs w:val="25"/>
                <w:lang w:eastAsia="lv-LV"/>
              </w:rPr>
              <w:t xml:space="preserve">, </w:t>
            </w:r>
            <w:r w:rsidR="0034216E" w:rsidRPr="005110AC">
              <w:rPr>
                <w:rFonts w:ascii="Times New Roman" w:hAnsi="Times New Roman" w:cs="Times New Roman"/>
                <w:sz w:val="25"/>
                <w:szCs w:val="25"/>
              </w:rPr>
              <w:t xml:space="preserve"> </w:t>
            </w:r>
            <w:r w:rsidR="00B21232" w:rsidRPr="005110AC">
              <w:rPr>
                <w:rFonts w:ascii="Times New Roman" w:hAnsi="Times New Roman" w:cs="Times New Roman"/>
                <w:sz w:val="25"/>
                <w:szCs w:val="25"/>
              </w:rPr>
              <w:t>zemnieku un zvejnieku saimniecī</w:t>
            </w:r>
            <w:r w:rsidR="00D33B4C" w:rsidRPr="005110AC">
              <w:rPr>
                <w:rFonts w:ascii="Times New Roman" w:hAnsi="Times New Roman" w:cs="Times New Roman"/>
                <w:sz w:val="25"/>
                <w:szCs w:val="25"/>
              </w:rPr>
              <w:t>bas</w:t>
            </w:r>
            <w:r w:rsidR="00B21232" w:rsidRPr="005110AC">
              <w:rPr>
                <w:rFonts w:ascii="Times New Roman" w:hAnsi="Times New Roman" w:cs="Times New Roman"/>
                <w:sz w:val="25"/>
                <w:szCs w:val="25"/>
              </w:rPr>
              <w:t xml:space="preserve"> </w:t>
            </w:r>
            <w:r w:rsidRPr="005110AC">
              <w:rPr>
                <w:rFonts w:ascii="Times New Roman" w:eastAsia="Times New Roman" w:hAnsi="Times New Roman" w:cs="Times New Roman"/>
                <w:iCs/>
                <w:sz w:val="25"/>
                <w:szCs w:val="25"/>
                <w:lang w:eastAsia="lv-LV"/>
              </w:rPr>
              <w:t xml:space="preserve">un </w:t>
            </w:r>
            <w:r w:rsidR="005C279F" w:rsidRPr="005110AC">
              <w:rPr>
                <w:rFonts w:ascii="Times New Roman" w:hAnsi="Times New Roman" w:cs="Times New Roman"/>
                <w:sz w:val="25"/>
                <w:szCs w:val="25"/>
              </w:rPr>
              <w:t xml:space="preserve"> </w:t>
            </w:r>
            <w:r w:rsidR="00404A24">
              <w:rPr>
                <w:rFonts w:ascii="Times New Roman" w:hAnsi="Times New Roman" w:cs="Times New Roman"/>
                <w:sz w:val="25"/>
                <w:szCs w:val="25"/>
              </w:rPr>
              <w:t>publisko personu vai tās iestādes</w:t>
            </w:r>
            <w:r w:rsidR="005C279F" w:rsidRPr="005110AC">
              <w:rPr>
                <w:rFonts w:ascii="Times New Roman" w:hAnsi="Times New Roman" w:cs="Times New Roman"/>
                <w:sz w:val="25"/>
                <w:szCs w:val="25"/>
              </w:rPr>
              <w:t xml:space="preserve"> (tai skaitā atvasināto publisko personu, kas darbojas NACE 2.red. M sadaļas „Profesionālie, zinātniskie un tehniskie pakalpojumi” 72.nodaļā „Zinātniskās pētniecības darbs” un  P sadaļas „Izglītība” 85.4.nodaļā „Augstākā izglītība”)</w:t>
            </w:r>
            <w:r w:rsidRPr="005110AC">
              <w:rPr>
                <w:rFonts w:ascii="Times New Roman" w:eastAsia="Times New Roman" w:hAnsi="Times New Roman" w:cs="Times New Roman"/>
                <w:iCs/>
                <w:sz w:val="25"/>
                <w:szCs w:val="25"/>
                <w:lang w:eastAsia="lv-LV"/>
              </w:rPr>
              <w:t xml:space="preserve">. </w:t>
            </w:r>
          </w:p>
        </w:tc>
      </w:tr>
      <w:tr w:rsidR="00810A68" w:rsidRPr="005110AC" w:rsidTr="0079679B">
        <w:trPr>
          <w:trHeight w:val="523"/>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Tiesiskā regulējuma ietekme uz tautsaimniecību un administratīvo slogu</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ind w:firstLine="450"/>
              <w:jc w:val="both"/>
              <w:rPr>
                <w:rFonts w:ascii="Times New Roman" w:eastAsia="Times New Roman" w:hAnsi="Times New Roman" w:cs="Times New Roman"/>
                <w:sz w:val="25"/>
                <w:szCs w:val="25"/>
                <w:lang w:eastAsia="lv-LV"/>
              </w:rPr>
            </w:pPr>
            <w:r w:rsidRPr="005110AC">
              <w:rPr>
                <w:rFonts w:ascii="Times New Roman" w:eastAsia="Times New Roman" w:hAnsi="Times New Roman" w:cs="Times New Roman"/>
                <w:iCs/>
                <w:sz w:val="25"/>
                <w:szCs w:val="25"/>
                <w:lang w:eastAsia="lv-LV"/>
              </w:rPr>
              <w:t>Projekts šo jomu neskar.</w:t>
            </w:r>
          </w:p>
        </w:tc>
      </w:tr>
      <w:tr w:rsidR="00810A68" w:rsidRPr="005110AC" w:rsidTr="0079679B">
        <w:trPr>
          <w:trHeight w:val="517"/>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Administratīvo izmaksu monetārs novērtējums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ind w:firstLine="450"/>
              <w:jc w:val="both"/>
              <w:rPr>
                <w:rFonts w:ascii="Times New Roman" w:eastAsia="Times New Roman" w:hAnsi="Times New Roman" w:cs="Times New Roman"/>
                <w:sz w:val="25"/>
                <w:szCs w:val="25"/>
                <w:lang w:eastAsia="lv-LV"/>
              </w:rPr>
            </w:pPr>
            <w:r w:rsidRPr="005110AC">
              <w:rPr>
                <w:rFonts w:ascii="Times New Roman" w:eastAsia="Times New Roman" w:hAnsi="Times New Roman" w:cs="Times New Roman"/>
                <w:color w:val="000000"/>
                <w:sz w:val="25"/>
                <w:szCs w:val="25"/>
                <w:lang w:eastAsia="lv-LV"/>
              </w:rPr>
              <w:t>Projekts šo jomu neskar.</w:t>
            </w:r>
          </w:p>
        </w:tc>
      </w:tr>
      <w:tr w:rsidR="00810A68" w:rsidRPr="005110AC" w:rsidTr="0079679B">
        <w:trPr>
          <w:trHeight w:val="381"/>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Cita informācija</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ind w:firstLine="450"/>
              <w:jc w:val="both"/>
              <w:rPr>
                <w:rFonts w:ascii="Times New Roman" w:eastAsia="Times New Roman" w:hAnsi="Times New Roman" w:cs="Times New Roman"/>
                <w:iCs/>
                <w:sz w:val="25"/>
                <w:szCs w:val="25"/>
                <w:lang w:eastAsia="lv-LV"/>
              </w:rPr>
            </w:pPr>
            <w:r w:rsidRPr="005110AC">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2693"/>
        <w:gridCol w:w="5245"/>
      </w:tblGrid>
      <w:tr w:rsidR="00810A68" w:rsidRPr="005110AC" w:rsidTr="00D629E8">
        <w:tc>
          <w:tcPr>
            <w:tcW w:w="426" w:type="dxa"/>
            <w:tcBorders>
              <w:top w:val="thickThinLargeGap" w:sz="6" w:space="0" w:color="C0C0C0"/>
              <w:left w:val="thickThinLargeGap" w:sz="6" w:space="0" w:color="C0C0C0"/>
              <w:bottom w:val="thickThinLargeGap" w:sz="6" w:space="0" w:color="C0C0C0"/>
              <w:right w:val="nil"/>
            </w:tcBorders>
          </w:tcPr>
          <w:p w:rsidR="00810A68" w:rsidRPr="005110AC" w:rsidRDefault="00810A68" w:rsidP="009C3368">
            <w:pPr>
              <w:spacing w:after="0" w:line="240" w:lineRule="auto"/>
              <w:ind w:firstLine="720"/>
              <w:jc w:val="center"/>
              <w:rPr>
                <w:rFonts w:ascii="Times New Roman" w:eastAsia="Calibri" w:hAnsi="Times New Roman" w:cs="Times New Roman"/>
                <w:b/>
                <w:sz w:val="25"/>
                <w:szCs w:val="25"/>
                <w:lang w:eastAsia="lv-LV"/>
              </w:rPr>
            </w:pPr>
            <w:r w:rsidRPr="005110AC">
              <w:rPr>
                <w:rFonts w:ascii="Times New Roman" w:hAnsi="Times New Roman" w:cs="Times New Roman"/>
                <w:bCs/>
                <w:sz w:val="25"/>
                <w:szCs w:val="25"/>
              </w:rPr>
              <w:t xml:space="preserve"> </w:t>
            </w:r>
            <w:r w:rsidRPr="005110AC">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Calibri" w:hAnsi="Times New Roman" w:cs="Times New Roman"/>
                <w:b/>
                <w:sz w:val="25"/>
                <w:szCs w:val="25"/>
                <w:lang w:eastAsia="lv-LV"/>
              </w:rPr>
            </w:pPr>
            <w:r w:rsidRPr="005110AC">
              <w:rPr>
                <w:rFonts w:ascii="Times New Roman" w:eastAsia="Calibri" w:hAnsi="Times New Roman" w:cs="Times New Roman"/>
                <w:b/>
                <w:sz w:val="25"/>
                <w:szCs w:val="25"/>
                <w:lang w:eastAsia="lv-LV"/>
              </w:rPr>
              <w:t>IV. Tiesību akta projekta ietekme uz spēkā esošo tiesību normu sistēmu</w:t>
            </w:r>
          </w:p>
        </w:tc>
      </w:tr>
      <w:tr w:rsidR="00810A68" w:rsidRPr="005110AC" w:rsidTr="00425CB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jc w:val="both"/>
              <w:rPr>
                <w:rFonts w:ascii="Times New Roman" w:eastAsia="Calibri" w:hAnsi="Times New Roman" w:cs="Times New Roman"/>
                <w:sz w:val="25"/>
                <w:szCs w:val="25"/>
                <w:lang w:eastAsia="lv-LV"/>
              </w:rPr>
            </w:pPr>
            <w:r w:rsidRPr="005110AC">
              <w:rPr>
                <w:rFonts w:ascii="Times New Roman" w:eastAsia="Calibri" w:hAnsi="Times New Roman" w:cs="Times New Roman"/>
                <w:sz w:val="25"/>
                <w:szCs w:val="25"/>
                <w:lang w:eastAsia="lv-LV"/>
              </w:rPr>
              <w:t>1.</w:t>
            </w:r>
          </w:p>
        </w:tc>
        <w:tc>
          <w:tcPr>
            <w:tcW w:w="2693" w:type="dxa"/>
            <w:tcBorders>
              <w:top w:val="thickThinLargeGap" w:sz="6" w:space="0" w:color="C0C0C0"/>
              <w:left w:val="nil"/>
              <w:bottom w:val="thickThinLargeGap" w:sz="6" w:space="0" w:color="C0C0C0"/>
              <w:right w:val="thickThinLargeGap" w:sz="6" w:space="0" w:color="C0C0C0"/>
            </w:tcBorders>
            <w:hideMark/>
          </w:tcPr>
          <w:p w:rsidR="00810A68" w:rsidRPr="005110AC" w:rsidRDefault="00810A68" w:rsidP="009C3368">
            <w:pPr>
              <w:spacing w:after="0" w:line="240" w:lineRule="auto"/>
              <w:jc w:val="both"/>
              <w:rPr>
                <w:rFonts w:ascii="Times New Roman" w:eastAsia="Calibri" w:hAnsi="Times New Roman" w:cs="Times New Roman"/>
                <w:sz w:val="25"/>
                <w:szCs w:val="25"/>
                <w:lang w:eastAsia="lv-LV"/>
              </w:rPr>
            </w:pPr>
            <w:r w:rsidRPr="005110AC">
              <w:rPr>
                <w:rFonts w:ascii="Times New Roman" w:eastAsia="Calibri" w:hAnsi="Times New Roman" w:cs="Times New Roman"/>
                <w:sz w:val="25"/>
                <w:szCs w:val="25"/>
                <w:lang w:eastAsia="lv-LV"/>
              </w:rPr>
              <w:t>Nepieciešamie saistītie tiesību aktu projekti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0D6240">
            <w:pPr>
              <w:spacing w:after="0" w:line="240" w:lineRule="auto"/>
              <w:ind w:firstLine="426"/>
              <w:jc w:val="both"/>
              <w:rPr>
                <w:rFonts w:ascii="Times New Roman" w:eastAsia="Calibri" w:hAnsi="Times New Roman" w:cs="Times New Roman"/>
                <w:bCs/>
                <w:sz w:val="25"/>
                <w:szCs w:val="25"/>
              </w:rPr>
            </w:pPr>
            <w:r w:rsidRPr="005110AC">
              <w:rPr>
                <w:rFonts w:ascii="Times New Roman" w:hAnsi="Times New Roman" w:cs="Times New Roman"/>
                <w:bCs/>
                <w:sz w:val="25"/>
                <w:szCs w:val="25"/>
              </w:rPr>
              <w:t xml:space="preserve">Nepieciešams veikt grozījumus </w:t>
            </w:r>
            <w:r w:rsidR="00F8529B" w:rsidRPr="005110AC">
              <w:rPr>
                <w:rFonts w:ascii="Times New Roman" w:hAnsi="Times New Roman" w:cs="Times New Roman"/>
                <w:sz w:val="25"/>
                <w:szCs w:val="25"/>
              </w:rPr>
              <w:t>Ministru kabineta 2011.gada 19.oktobra noteikumos Nr.817 “Noteikumi par darbības programmas “Uzņēmējdarbība un inovācijas” papildinājuma 2.1.2.4.aktivitātes “Augstas pievienotās vērtības investīcijas” projektu iesniegumu atlases otro un turpmākajām kārtām”</w:t>
            </w:r>
            <w:r w:rsidR="00737C71" w:rsidRPr="005110AC">
              <w:rPr>
                <w:rFonts w:ascii="Times New Roman" w:hAnsi="Times New Roman" w:cs="Times New Roman"/>
                <w:bCs/>
                <w:sz w:val="25"/>
                <w:szCs w:val="25"/>
              </w:rPr>
              <w:t>.</w:t>
            </w:r>
          </w:p>
        </w:tc>
      </w:tr>
      <w:tr w:rsidR="00810A68" w:rsidRPr="005110AC" w:rsidTr="00425CB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5110AC" w:rsidRDefault="00810A68" w:rsidP="009C3368">
            <w:pPr>
              <w:spacing w:after="0" w:line="240" w:lineRule="auto"/>
              <w:jc w:val="both"/>
              <w:rPr>
                <w:rFonts w:ascii="Times New Roman" w:eastAsia="Calibri" w:hAnsi="Times New Roman" w:cs="Times New Roman"/>
                <w:sz w:val="25"/>
                <w:szCs w:val="25"/>
                <w:lang w:eastAsia="lv-LV"/>
              </w:rPr>
            </w:pPr>
            <w:r w:rsidRPr="005110AC">
              <w:rPr>
                <w:rFonts w:ascii="Times New Roman" w:eastAsia="Calibri" w:hAnsi="Times New Roman" w:cs="Times New Roman"/>
                <w:sz w:val="25"/>
                <w:szCs w:val="25"/>
                <w:lang w:eastAsia="lv-LV"/>
              </w:rPr>
              <w:t>2.</w:t>
            </w:r>
          </w:p>
        </w:tc>
        <w:tc>
          <w:tcPr>
            <w:tcW w:w="2693" w:type="dxa"/>
            <w:tcBorders>
              <w:top w:val="thickThinLargeGap" w:sz="6" w:space="0" w:color="C0C0C0"/>
              <w:left w:val="nil"/>
              <w:bottom w:val="thickThinLargeGap" w:sz="6" w:space="0" w:color="C0C0C0"/>
              <w:right w:val="thickThinLargeGap" w:sz="6" w:space="0" w:color="C0C0C0"/>
            </w:tcBorders>
          </w:tcPr>
          <w:p w:rsidR="00810A68" w:rsidRPr="005110AC" w:rsidRDefault="00810A68" w:rsidP="009C3368">
            <w:pPr>
              <w:spacing w:after="0" w:line="240" w:lineRule="auto"/>
              <w:jc w:val="both"/>
              <w:rPr>
                <w:rFonts w:ascii="Times New Roman" w:eastAsia="Calibri" w:hAnsi="Times New Roman" w:cs="Times New Roman"/>
                <w:sz w:val="25"/>
                <w:szCs w:val="25"/>
                <w:lang w:eastAsia="lv-LV"/>
              </w:rPr>
            </w:pPr>
            <w:r w:rsidRPr="005110AC">
              <w:rPr>
                <w:rFonts w:ascii="Times New Roman" w:eastAsia="Calibri" w:hAnsi="Times New Roman" w:cs="Times New Roman"/>
                <w:sz w:val="25"/>
                <w:szCs w:val="25"/>
                <w:lang w:eastAsia="lv-LV"/>
              </w:rPr>
              <w:t>Atbildīgā institūcija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5110AC" w:rsidRDefault="00B9029E" w:rsidP="009C3368">
            <w:pPr>
              <w:spacing w:after="0" w:line="240" w:lineRule="auto"/>
              <w:ind w:firstLine="426"/>
              <w:jc w:val="both"/>
              <w:rPr>
                <w:rFonts w:ascii="Times New Roman" w:eastAsia="Calibri" w:hAnsi="Times New Roman" w:cs="Times New Roman"/>
                <w:bCs/>
                <w:sz w:val="25"/>
                <w:szCs w:val="25"/>
              </w:rPr>
            </w:pPr>
            <w:r w:rsidRPr="005110AC">
              <w:rPr>
                <w:rFonts w:ascii="Times New Roman" w:eastAsia="Times New Roman" w:hAnsi="Times New Roman" w:cs="Times New Roman"/>
                <w:iCs/>
                <w:sz w:val="25"/>
                <w:szCs w:val="25"/>
                <w:lang w:eastAsia="lv-LV"/>
              </w:rPr>
              <w:t xml:space="preserve">Ekonomikas </w:t>
            </w:r>
            <w:r w:rsidR="00810A68" w:rsidRPr="005110AC">
              <w:rPr>
                <w:rFonts w:ascii="Times New Roman" w:eastAsia="Times New Roman" w:hAnsi="Times New Roman" w:cs="Times New Roman"/>
                <w:iCs/>
                <w:sz w:val="25"/>
                <w:szCs w:val="25"/>
                <w:lang w:eastAsia="lv-LV"/>
              </w:rPr>
              <w:t>ministrija</w:t>
            </w:r>
          </w:p>
        </w:tc>
      </w:tr>
      <w:tr w:rsidR="00810A68" w:rsidRPr="005110AC" w:rsidTr="00425CB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jc w:val="both"/>
              <w:rPr>
                <w:rFonts w:ascii="Times New Roman" w:eastAsia="Calibri" w:hAnsi="Times New Roman" w:cs="Times New Roman"/>
                <w:sz w:val="25"/>
                <w:szCs w:val="25"/>
                <w:lang w:eastAsia="lv-LV"/>
              </w:rPr>
            </w:pPr>
            <w:r w:rsidRPr="005110AC">
              <w:rPr>
                <w:rFonts w:ascii="Times New Roman" w:eastAsia="Calibri" w:hAnsi="Times New Roman" w:cs="Times New Roman"/>
                <w:sz w:val="25"/>
                <w:szCs w:val="25"/>
                <w:lang w:eastAsia="lv-LV"/>
              </w:rPr>
              <w:t>3.</w:t>
            </w:r>
          </w:p>
        </w:tc>
        <w:tc>
          <w:tcPr>
            <w:tcW w:w="2693" w:type="dxa"/>
            <w:tcBorders>
              <w:top w:val="thickThinLargeGap" w:sz="6" w:space="0" w:color="C0C0C0"/>
              <w:left w:val="nil"/>
              <w:bottom w:val="thickThinLargeGap" w:sz="6" w:space="0" w:color="C0C0C0"/>
              <w:right w:val="thickThinLargeGap" w:sz="6" w:space="0" w:color="C0C0C0"/>
            </w:tcBorders>
            <w:hideMark/>
          </w:tcPr>
          <w:p w:rsidR="00810A68" w:rsidRPr="005110AC" w:rsidRDefault="00810A68" w:rsidP="009C3368">
            <w:pPr>
              <w:spacing w:after="0" w:line="240" w:lineRule="auto"/>
              <w:jc w:val="both"/>
              <w:rPr>
                <w:rFonts w:ascii="Times New Roman" w:eastAsia="Calibri" w:hAnsi="Times New Roman" w:cs="Times New Roman"/>
                <w:sz w:val="25"/>
                <w:szCs w:val="25"/>
                <w:lang w:eastAsia="lv-LV"/>
              </w:rPr>
            </w:pPr>
            <w:r w:rsidRPr="005110AC">
              <w:rPr>
                <w:rFonts w:ascii="Times New Roman" w:eastAsia="Calibri" w:hAnsi="Times New Roman" w:cs="Times New Roman"/>
                <w:sz w:val="25"/>
                <w:szCs w:val="25"/>
                <w:lang w:eastAsia="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092671" w:rsidP="00A913F7">
            <w:pPr>
              <w:spacing w:after="0" w:line="240" w:lineRule="auto"/>
              <w:ind w:firstLine="425"/>
              <w:jc w:val="both"/>
              <w:rPr>
                <w:rFonts w:ascii="Times New Roman" w:hAnsi="Times New Roman" w:cs="Times New Roman"/>
                <w:sz w:val="25"/>
                <w:szCs w:val="25"/>
              </w:rPr>
            </w:pPr>
            <w:r w:rsidRPr="005110AC">
              <w:rPr>
                <w:rFonts w:ascii="Times New Roman" w:hAnsi="Times New Roman" w:cs="Times New Roman"/>
                <w:bCs/>
                <w:sz w:val="25"/>
                <w:szCs w:val="25"/>
              </w:rPr>
              <w:t xml:space="preserve">Grozījumi </w:t>
            </w:r>
            <w:r w:rsidRPr="005110AC">
              <w:rPr>
                <w:rFonts w:ascii="Times New Roman" w:hAnsi="Times New Roman" w:cs="Times New Roman"/>
                <w:sz w:val="25"/>
                <w:szCs w:val="25"/>
              </w:rPr>
              <w:t xml:space="preserve">Ministru kabineta 2011.gada 19.oktobra noteikumos Nr.817 “Noteikumi par darbības programmas “Uzņēmējdarbība un inovācijas” papildinājuma 2.1.2.4.aktivitātes “Augstas pievienotās vērtības investīcijas” projektu </w:t>
            </w:r>
            <w:r w:rsidRPr="005110AC">
              <w:rPr>
                <w:rFonts w:ascii="Times New Roman" w:hAnsi="Times New Roman" w:cs="Times New Roman"/>
                <w:sz w:val="25"/>
                <w:szCs w:val="25"/>
              </w:rPr>
              <w:lastRenderedPageBreak/>
              <w:t>iesniegumu atlases otro un turpmākajām kārtām” tiks virzīti izskatīšanai Ministru kabineta sēdē kopā ar grozījumiem MK noteikumos Nr.582.</w:t>
            </w:r>
          </w:p>
        </w:tc>
      </w:tr>
    </w:tbl>
    <w:p w:rsidR="00810A68" w:rsidRPr="005110AC" w:rsidRDefault="00810A68" w:rsidP="00810A68">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810A68" w:rsidRPr="005110AC" w:rsidTr="009C3368">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line="240" w:lineRule="auto"/>
              <w:jc w:val="center"/>
              <w:rPr>
                <w:rFonts w:ascii="Times New Roman" w:eastAsia="Times New Roman" w:hAnsi="Times New Roman" w:cs="Times New Roman"/>
                <w:b/>
                <w:sz w:val="25"/>
                <w:szCs w:val="25"/>
                <w:lang w:eastAsia="lv-LV"/>
              </w:rPr>
            </w:pPr>
            <w:r w:rsidRPr="005110AC">
              <w:rPr>
                <w:rFonts w:ascii="Times New Roman" w:eastAsia="Times New Roman" w:hAnsi="Times New Roman" w:cs="Times New Roman"/>
                <w:b/>
                <w:sz w:val="25"/>
                <w:szCs w:val="25"/>
                <w:lang w:eastAsia="lv-LV"/>
              </w:rPr>
              <w:t>VII. Tiesību akta projekta izpildes nodrošināšana un tās ietekme uz institūcijām</w:t>
            </w:r>
          </w:p>
        </w:tc>
      </w:tr>
      <w:tr w:rsidR="00810A68" w:rsidRPr="005110AC" w:rsidTr="00F2287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line="240" w:lineRule="auto"/>
              <w:ind w:left="142"/>
              <w:jc w:val="both"/>
              <w:rPr>
                <w:rFonts w:ascii="Times New Roman" w:hAnsi="Times New Roman" w:cs="Times New Roman"/>
                <w:sz w:val="25"/>
                <w:szCs w:val="25"/>
                <w:lang w:eastAsia="lv-LV"/>
              </w:rPr>
            </w:pPr>
            <w:r w:rsidRPr="005110AC">
              <w:rPr>
                <w:rFonts w:ascii="Times New Roman" w:hAnsi="Times New Roman" w:cs="Times New Roman"/>
                <w:sz w:val="25"/>
                <w:szCs w:val="25"/>
              </w:rPr>
              <w:t>Noteikumu projekta izpildē ir iesaistīta Latvijas Investīcijas un attīstības aģentūra.</w:t>
            </w:r>
          </w:p>
        </w:tc>
      </w:tr>
      <w:tr w:rsidR="00810A68" w:rsidRPr="005110AC" w:rsidTr="00F2287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Projekta izpildes ietekme uz pārvaldes funkcijām un institucionālo struktūru.</w:t>
            </w:r>
          </w:p>
          <w:p w:rsidR="00810A68" w:rsidRPr="005110AC" w:rsidRDefault="00810A68" w:rsidP="009C3368">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9C3368">
            <w:pPr>
              <w:spacing w:line="240" w:lineRule="auto"/>
              <w:ind w:left="142"/>
              <w:jc w:val="both"/>
              <w:rPr>
                <w:rFonts w:ascii="Times New Roman" w:hAnsi="Times New Roman" w:cs="Times New Roman"/>
                <w:sz w:val="25"/>
                <w:szCs w:val="25"/>
              </w:rPr>
            </w:pPr>
            <w:r w:rsidRPr="005110AC">
              <w:rPr>
                <w:rFonts w:ascii="Times New Roman" w:hAnsi="Times New Roman" w:cs="Times New Roman"/>
                <w:sz w:val="25"/>
                <w:szCs w:val="25"/>
              </w:rPr>
              <w:t>Noteikumu projekta izpildi nodrošinās Latvijas Investīcijas un attīstības aģentūra</w:t>
            </w:r>
            <w:r w:rsidR="00851750" w:rsidRPr="005110AC">
              <w:rPr>
                <w:rFonts w:ascii="Times New Roman" w:hAnsi="Times New Roman" w:cs="Times New Roman"/>
                <w:sz w:val="25"/>
                <w:szCs w:val="25"/>
              </w:rPr>
              <w:t>s</w:t>
            </w:r>
            <w:r w:rsidRPr="005110AC">
              <w:rPr>
                <w:rFonts w:ascii="Times New Roman" w:hAnsi="Times New Roman" w:cs="Times New Roman"/>
                <w:sz w:val="25"/>
                <w:szCs w:val="25"/>
              </w:rPr>
              <w:t xml:space="preserve"> darbības ietvaros.</w:t>
            </w:r>
          </w:p>
        </w:tc>
      </w:tr>
      <w:tr w:rsidR="00810A68" w:rsidRPr="005110AC" w:rsidTr="00F2287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F22871">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F22871">
            <w:pPr>
              <w:spacing w:after="0" w:line="240" w:lineRule="auto"/>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5110AC" w:rsidRDefault="00810A68" w:rsidP="00F22871">
            <w:pPr>
              <w:spacing w:after="0" w:line="240" w:lineRule="auto"/>
              <w:ind w:firstLine="284"/>
              <w:rPr>
                <w:rFonts w:ascii="Times New Roman" w:eastAsia="Times New Roman" w:hAnsi="Times New Roman" w:cs="Times New Roman"/>
                <w:sz w:val="25"/>
                <w:szCs w:val="25"/>
                <w:lang w:eastAsia="lv-LV"/>
              </w:rPr>
            </w:pPr>
            <w:r w:rsidRPr="005110AC">
              <w:rPr>
                <w:rFonts w:ascii="Times New Roman" w:eastAsia="Times New Roman" w:hAnsi="Times New Roman" w:cs="Times New Roman"/>
                <w:sz w:val="25"/>
                <w:szCs w:val="25"/>
                <w:lang w:eastAsia="lv-LV"/>
              </w:rPr>
              <w:t>Nav</w:t>
            </w:r>
          </w:p>
        </w:tc>
      </w:tr>
    </w:tbl>
    <w:p w:rsidR="00810A68" w:rsidRPr="005110AC"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5110AC">
        <w:rPr>
          <w:rFonts w:ascii="Times New Roman" w:eastAsia="Times New Roman" w:hAnsi="Times New Roman" w:cs="Times New Roman"/>
          <w:b/>
          <w:sz w:val="25"/>
          <w:szCs w:val="25"/>
          <w:lang w:eastAsia="lv-LV"/>
        </w:rPr>
        <w:t>Anotācijas III.</w:t>
      </w:r>
      <w:r w:rsidR="002475D0" w:rsidRPr="005110AC">
        <w:rPr>
          <w:rFonts w:ascii="Times New Roman" w:eastAsia="Times New Roman" w:hAnsi="Times New Roman" w:cs="Times New Roman"/>
          <w:b/>
          <w:sz w:val="25"/>
          <w:szCs w:val="25"/>
          <w:lang w:eastAsia="lv-LV"/>
        </w:rPr>
        <w:t xml:space="preserve"> un </w:t>
      </w:r>
      <w:r w:rsidR="00AD2530" w:rsidRPr="005110AC">
        <w:rPr>
          <w:rFonts w:ascii="Times New Roman" w:eastAsia="Times New Roman" w:hAnsi="Times New Roman" w:cs="Times New Roman"/>
          <w:b/>
          <w:sz w:val="25"/>
          <w:szCs w:val="25"/>
          <w:lang w:eastAsia="lv-LV"/>
        </w:rPr>
        <w:t xml:space="preserve">V., </w:t>
      </w:r>
      <w:r w:rsidR="002475D0" w:rsidRPr="005110AC">
        <w:rPr>
          <w:rFonts w:ascii="Times New Roman" w:eastAsia="Times New Roman" w:hAnsi="Times New Roman" w:cs="Times New Roman"/>
          <w:b/>
          <w:sz w:val="25"/>
          <w:szCs w:val="25"/>
          <w:lang w:eastAsia="lv-LV"/>
        </w:rPr>
        <w:t xml:space="preserve">VI. </w:t>
      </w:r>
      <w:r w:rsidRPr="005110AC">
        <w:rPr>
          <w:rFonts w:ascii="Times New Roman" w:eastAsia="Times New Roman" w:hAnsi="Times New Roman" w:cs="Times New Roman"/>
          <w:b/>
          <w:sz w:val="25"/>
          <w:szCs w:val="25"/>
          <w:lang w:eastAsia="lv-LV"/>
        </w:rPr>
        <w:t>sadaļa - projekts šīs jomas neskar.</w:t>
      </w:r>
    </w:p>
    <w:p w:rsidR="00851750" w:rsidRPr="005110AC" w:rsidRDefault="00851750" w:rsidP="00683FDA">
      <w:pPr>
        <w:tabs>
          <w:tab w:val="left" w:pos="6521"/>
        </w:tabs>
        <w:spacing w:after="0" w:line="240" w:lineRule="auto"/>
        <w:jc w:val="both"/>
        <w:rPr>
          <w:rFonts w:ascii="Times New Roman" w:hAnsi="Times New Roman" w:cs="Times New Roman"/>
          <w:color w:val="000000" w:themeColor="text1"/>
          <w:sz w:val="25"/>
          <w:szCs w:val="25"/>
        </w:rPr>
      </w:pPr>
    </w:p>
    <w:p w:rsidR="00D778F2" w:rsidRPr="005110AC" w:rsidRDefault="00D778F2" w:rsidP="006C757D">
      <w:pPr>
        <w:tabs>
          <w:tab w:val="left" w:pos="6096"/>
        </w:tabs>
        <w:spacing w:after="0" w:line="240" w:lineRule="auto"/>
        <w:jc w:val="both"/>
        <w:rPr>
          <w:rFonts w:ascii="Times New Roman" w:hAnsi="Times New Roman" w:cs="Times New Roman"/>
          <w:color w:val="000000" w:themeColor="text1"/>
          <w:sz w:val="25"/>
          <w:szCs w:val="25"/>
        </w:rPr>
      </w:pPr>
    </w:p>
    <w:p w:rsidR="00810A68" w:rsidRPr="005110AC" w:rsidRDefault="006C757D" w:rsidP="006C757D">
      <w:pPr>
        <w:tabs>
          <w:tab w:val="left" w:pos="6096"/>
        </w:tabs>
        <w:spacing w:after="0" w:line="240" w:lineRule="auto"/>
        <w:jc w:val="both"/>
        <w:rPr>
          <w:rFonts w:ascii="Times New Roman" w:hAnsi="Times New Roman" w:cs="Times New Roman"/>
          <w:color w:val="000000" w:themeColor="text1"/>
          <w:sz w:val="25"/>
          <w:szCs w:val="25"/>
        </w:rPr>
      </w:pPr>
      <w:r w:rsidRPr="005110AC">
        <w:rPr>
          <w:rFonts w:ascii="Times New Roman" w:hAnsi="Times New Roman" w:cs="Times New Roman"/>
          <w:color w:val="000000" w:themeColor="text1"/>
          <w:sz w:val="25"/>
          <w:szCs w:val="25"/>
        </w:rPr>
        <w:t>Ekonomikas ministre</w:t>
      </w:r>
      <w:r w:rsidR="00F22871" w:rsidRPr="005110AC">
        <w:rPr>
          <w:rFonts w:ascii="Times New Roman" w:hAnsi="Times New Roman" w:cs="Times New Roman"/>
          <w:color w:val="000000" w:themeColor="text1"/>
          <w:sz w:val="25"/>
          <w:szCs w:val="25"/>
        </w:rPr>
        <w:t xml:space="preserve">  </w:t>
      </w:r>
      <w:r w:rsidR="00F22871" w:rsidRPr="005110AC">
        <w:rPr>
          <w:rFonts w:ascii="Times New Roman" w:hAnsi="Times New Roman" w:cs="Times New Roman"/>
          <w:color w:val="000000" w:themeColor="text1"/>
          <w:sz w:val="25"/>
          <w:szCs w:val="25"/>
        </w:rPr>
        <w:tab/>
      </w:r>
      <w:proofErr w:type="spellStart"/>
      <w:r w:rsidRPr="005110AC">
        <w:rPr>
          <w:rFonts w:ascii="Times New Roman" w:hAnsi="Times New Roman" w:cs="Times New Roman"/>
          <w:color w:val="000000" w:themeColor="text1"/>
          <w:sz w:val="25"/>
          <w:szCs w:val="25"/>
        </w:rPr>
        <w:t>D.Reizniece-Ozola</w:t>
      </w:r>
      <w:proofErr w:type="spellEnd"/>
      <w:r w:rsidR="00F22871" w:rsidRPr="005110AC">
        <w:rPr>
          <w:rFonts w:ascii="Times New Roman" w:hAnsi="Times New Roman" w:cs="Times New Roman"/>
          <w:color w:val="000000" w:themeColor="text1"/>
          <w:sz w:val="25"/>
          <w:szCs w:val="25"/>
        </w:rPr>
        <w:t xml:space="preserve"> </w:t>
      </w:r>
    </w:p>
    <w:p w:rsidR="00F22871" w:rsidRPr="005110AC" w:rsidRDefault="00F22871" w:rsidP="00683FDA">
      <w:pPr>
        <w:tabs>
          <w:tab w:val="left" w:pos="6521"/>
        </w:tabs>
        <w:spacing w:after="0" w:line="240" w:lineRule="auto"/>
        <w:jc w:val="both"/>
        <w:rPr>
          <w:rFonts w:ascii="Times New Roman" w:hAnsi="Times New Roman" w:cs="Times New Roman"/>
          <w:color w:val="000000" w:themeColor="text1"/>
          <w:sz w:val="25"/>
          <w:szCs w:val="25"/>
        </w:rPr>
      </w:pPr>
    </w:p>
    <w:p w:rsidR="00851750" w:rsidRPr="005110AC" w:rsidRDefault="00851750" w:rsidP="00683FDA">
      <w:pPr>
        <w:tabs>
          <w:tab w:val="left" w:pos="6521"/>
        </w:tabs>
        <w:spacing w:after="0" w:line="240" w:lineRule="auto"/>
        <w:jc w:val="both"/>
        <w:rPr>
          <w:rFonts w:ascii="Times New Roman" w:hAnsi="Times New Roman" w:cs="Times New Roman"/>
          <w:color w:val="000000" w:themeColor="text1"/>
          <w:sz w:val="25"/>
          <w:szCs w:val="25"/>
        </w:rPr>
      </w:pPr>
    </w:p>
    <w:p w:rsidR="00425CB9" w:rsidRDefault="00425CB9" w:rsidP="00F92B6C">
      <w:pPr>
        <w:tabs>
          <w:tab w:val="left" w:pos="6096"/>
        </w:tabs>
        <w:spacing w:after="0" w:line="240" w:lineRule="auto"/>
        <w:jc w:val="both"/>
        <w:rPr>
          <w:rFonts w:ascii="Times New Roman" w:hAnsi="Times New Roman" w:cs="Times New Roman"/>
          <w:color w:val="000000" w:themeColor="text1"/>
          <w:sz w:val="25"/>
          <w:szCs w:val="25"/>
        </w:rPr>
      </w:pPr>
    </w:p>
    <w:p w:rsidR="00425CB9" w:rsidRDefault="00425CB9" w:rsidP="00F92B6C">
      <w:pPr>
        <w:tabs>
          <w:tab w:val="left" w:pos="6096"/>
        </w:tabs>
        <w:spacing w:after="0" w:line="240" w:lineRule="auto"/>
        <w:jc w:val="both"/>
        <w:rPr>
          <w:rFonts w:ascii="Times New Roman" w:hAnsi="Times New Roman" w:cs="Times New Roman"/>
          <w:color w:val="000000" w:themeColor="text1"/>
          <w:sz w:val="25"/>
          <w:szCs w:val="25"/>
        </w:rPr>
      </w:pPr>
    </w:p>
    <w:p w:rsidR="00810A68" w:rsidRPr="005110AC" w:rsidRDefault="006C757D" w:rsidP="00F92B6C">
      <w:pPr>
        <w:tabs>
          <w:tab w:val="left" w:pos="6096"/>
        </w:tabs>
        <w:spacing w:after="0" w:line="240" w:lineRule="auto"/>
        <w:jc w:val="both"/>
        <w:rPr>
          <w:rFonts w:ascii="Times New Roman" w:hAnsi="Times New Roman" w:cs="Times New Roman"/>
          <w:color w:val="000000" w:themeColor="text1"/>
          <w:sz w:val="25"/>
          <w:szCs w:val="25"/>
        </w:rPr>
      </w:pPr>
      <w:r w:rsidRPr="005110AC">
        <w:rPr>
          <w:rFonts w:ascii="Times New Roman" w:hAnsi="Times New Roman" w:cs="Times New Roman"/>
          <w:color w:val="000000" w:themeColor="text1"/>
          <w:sz w:val="25"/>
          <w:szCs w:val="25"/>
        </w:rPr>
        <w:t>Vīza: Valsts sekretār</w:t>
      </w:r>
      <w:r w:rsidR="00BE3116" w:rsidRPr="005110AC">
        <w:rPr>
          <w:rFonts w:ascii="Times New Roman" w:hAnsi="Times New Roman" w:cs="Times New Roman"/>
          <w:color w:val="000000" w:themeColor="text1"/>
          <w:sz w:val="25"/>
          <w:szCs w:val="25"/>
        </w:rPr>
        <w:t>s</w:t>
      </w:r>
      <w:r w:rsidRPr="005110AC">
        <w:rPr>
          <w:rFonts w:ascii="Times New Roman" w:hAnsi="Times New Roman" w:cs="Times New Roman"/>
          <w:color w:val="000000" w:themeColor="text1"/>
          <w:sz w:val="25"/>
          <w:szCs w:val="25"/>
        </w:rPr>
        <w:tab/>
      </w:r>
      <w:proofErr w:type="spellStart"/>
      <w:r w:rsidR="00BE3116" w:rsidRPr="005110AC">
        <w:rPr>
          <w:rFonts w:ascii="Times New Roman" w:hAnsi="Times New Roman" w:cs="Times New Roman"/>
          <w:color w:val="000000" w:themeColor="text1"/>
          <w:sz w:val="25"/>
          <w:szCs w:val="25"/>
        </w:rPr>
        <w:t>R.Beinarovičs</w:t>
      </w:r>
      <w:proofErr w:type="spellEnd"/>
    </w:p>
    <w:p w:rsidR="00851750" w:rsidRPr="005110AC" w:rsidRDefault="00851750" w:rsidP="00683FDA">
      <w:pPr>
        <w:widowControl w:val="0"/>
        <w:spacing w:after="0" w:line="240" w:lineRule="auto"/>
        <w:jc w:val="both"/>
        <w:rPr>
          <w:rFonts w:ascii="Times New Roman" w:eastAsia="Times New Roman" w:hAnsi="Times New Roman" w:cs="Times New Roman"/>
          <w:sz w:val="20"/>
          <w:szCs w:val="20"/>
        </w:rPr>
      </w:pPr>
    </w:p>
    <w:p w:rsidR="00F22871" w:rsidRPr="005110AC" w:rsidRDefault="00F22871" w:rsidP="00683FDA">
      <w:pPr>
        <w:widowControl w:val="0"/>
        <w:spacing w:after="0" w:line="240" w:lineRule="auto"/>
        <w:jc w:val="both"/>
        <w:rPr>
          <w:rFonts w:ascii="Times New Roman" w:eastAsia="Times New Roman" w:hAnsi="Times New Roman" w:cs="Times New Roman"/>
          <w:sz w:val="20"/>
          <w:szCs w:val="20"/>
        </w:rPr>
      </w:pPr>
    </w:p>
    <w:p w:rsidR="00425CB9" w:rsidRDefault="00425CB9" w:rsidP="00F8529B">
      <w:pPr>
        <w:widowControl w:val="0"/>
        <w:tabs>
          <w:tab w:val="left" w:pos="1890"/>
        </w:tabs>
        <w:spacing w:after="0" w:line="240" w:lineRule="auto"/>
        <w:jc w:val="both"/>
        <w:rPr>
          <w:rFonts w:ascii="Times New Roman" w:eastAsia="Times New Roman" w:hAnsi="Times New Roman" w:cs="Times New Roman"/>
          <w:sz w:val="20"/>
          <w:szCs w:val="20"/>
        </w:rPr>
      </w:pPr>
    </w:p>
    <w:p w:rsidR="00425CB9" w:rsidRDefault="00425CB9" w:rsidP="00F8529B">
      <w:pPr>
        <w:widowControl w:val="0"/>
        <w:tabs>
          <w:tab w:val="left" w:pos="1890"/>
        </w:tabs>
        <w:spacing w:after="0" w:line="240" w:lineRule="auto"/>
        <w:jc w:val="both"/>
        <w:rPr>
          <w:rFonts w:ascii="Times New Roman" w:eastAsia="Times New Roman" w:hAnsi="Times New Roman" w:cs="Times New Roman"/>
          <w:sz w:val="20"/>
          <w:szCs w:val="20"/>
        </w:rPr>
      </w:pPr>
    </w:p>
    <w:p w:rsidR="00810A68" w:rsidRPr="005110AC" w:rsidRDefault="00D92D38" w:rsidP="00F8529B">
      <w:pPr>
        <w:widowControl w:val="0"/>
        <w:tabs>
          <w:tab w:val="left" w:pos="18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26.10.2015 08:42</w:t>
      </w:r>
      <w:r w:rsidR="00F8529B" w:rsidRPr="005110AC">
        <w:rPr>
          <w:rFonts w:ascii="Times New Roman" w:eastAsia="Times New Roman" w:hAnsi="Times New Roman" w:cs="Times New Roman"/>
          <w:sz w:val="20"/>
          <w:szCs w:val="20"/>
        </w:rPr>
        <w:tab/>
      </w:r>
    </w:p>
    <w:p w:rsidR="00810A68" w:rsidRPr="005110AC" w:rsidRDefault="0043285E" w:rsidP="00683FDA">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BE6387" w:rsidRPr="00BE6387">
        <w:rPr>
          <w:rFonts w:ascii="Times New Roman" w:eastAsia="Times New Roman" w:hAnsi="Times New Roman" w:cs="Times New Roman"/>
          <w:noProof/>
          <w:sz w:val="20"/>
          <w:szCs w:val="20"/>
        </w:rPr>
        <w:t>2639</w:t>
      </w:r>
      <w:r>
        <w:rPr>
          <w:rFonts w:ascii="Times New Roman" w:eastAsia="Times New Roman" w:hAnsi="Times New Roman" w:cs="Times New Roman"/>
          <w:noProof/>
          <w:sz w:val="20"/>
          <w:szCs w:val="20"/>
        </w:rPr>
        <w:fldChar w:fldCharType="end"/>
      </w:r>
      <w:bookmarkStart w:id="13" w:name="_GoBack"/>
      <w:bookmarkEnd w:id="13"/>
    </w:p>
    <w:p w:rsidR="00BE3116" w:rsidRPr="005110AC" w:rsidRDefault="00AD2530" w:rsidP="00683FDA">
      <w:pPr>
        <w:widowControl w:val="0"/>
        <w:spacing w:after="0" w:line="240" w:lineRule="auto"/>
        <w:jc w:val="both"/>
        <w:rPr>
          <w:rFonts w:ascii="Times New Roman" w:eastAsia="Times New Roman" w:hAnsi="Times New Roman" w:cs="Times New Roman"/>
          <w:sz w:val="20"/>
          <w:szCs w:val="20"/>
        </w:rPr>
      </w:pPr>
      <w:r w:rsidRPr="005110AC">
        <w:rPr>
          <w:rFonts w:ascii="Times New Roman" w:eastAsia="Times New Roman" w:hAnsi="Times New Roman" w:cs="Times New Roman"/>
          <w:sz w:val="20"/>
          <w:szCs w:val="20"/>
        </w:rPr>
        <w:t>Jansons</w:t>
      </w:r>
      <w:r w:rsidR="00BE3116" w:rsidRPr="005110AC">
        <w:rPr>
          <w:rFonts w:ascii="Times New Roman" w:eastAsia="Times New Roman" w:hAnsi="Times New Roman" w:cs="Times New Roman"/>
          <w:sz w:val="20"/>
          <w:szCs w:val="20"/>
        </w:rPr>
        <w:t xml:space="preserve">, </w:t>
      </w:r>
      <w:r w:rsidR="00810A68" w:rsidRPr="005110AC">
        <w:rPr>
          <w:rFonts w:ascii="Times New Roman" w:eastAsia="Times New Roman" w:hAnsi="Times New Roman" w:cs="Times New Roman"/>
          <w:sz w:val="20"/>
          <w:szCs w:val="20"/>
        </w:rPr>
        <w:t>67013</w:t>
      </w:r>
      <w:r w:rsidRPr="005110AC">
        <w:rPr>
          <w:rFonts w:ascii="Times New Roman" w:eastAsia="Times New Roman" w:hAnsi="Times New Roman" w:cs="Times New Roman"/>
          <w:sz w:val="20"/>
          <w:szCs w:val="20"/>
        </w:rPr>
        <w:t>062</w:t>
      </w:r>
    </w:p>
    <w:p w:rsidR="00810A68" w:rsidRPr="005110AC" w:rsidRDefault="00AD2530" w:rsidP="00683FDA">
      <w:pPr>
        <w:widowControl w:val="0"/>
        <w:spacing w:after="0" w:line="240" w:lineRule="auto"/>
        <w:jc w:val="both"/>
      </w:pPr>
      <w:r w:rsidRPr="005110AC">
        <w:rPr>
          <w:rFonts w:ascii="Times New Roman" w:eastAsia="Times New Roman" w:hAnsi="Times New Roman" w:cs="Times New Roman"/>
          <w:sz w:val="20"/>
          <w:szCs w:val="20"/>
        </w:rPr>
        <w:t>Austris.Jansons</w:t>
      </w:r>
      <w:r w:rsidR="00810A68" w:rsidRPr="005110AC">
        <w:rPr>
          <w:rFonts w:ascii="Times New Roman" w:eastAsia="Times New Roman" w:hAnsi="Times New Roman" w:cs="Times New Roman"/>
          <w:sz w:val="20"/>
          <w:szCs w:val="20"/>
        </w:rPr>
        <w:t>@em.gov.lv</w:t>
      </w:r>
    </w:p>
    <w:sectPr w:rsidR="00810A68" w:rsidRPr="005110AC" w:rsidSect="009C336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5E" w:rsidRDefault="0043285E">
      <w:pPr>
        <w:spacing w:after="0" w:line="240" w:lineRule="auto"/>
      </w:pPr>
      <w:r>
        <w:separator/>
      </w:r>
    </w:p>
  </w:endnote>
  <w:endnote w:type="continuationSeparator" w:id="0">
    <w:p w:rsidR="0043285E" w:rsidRDefault="0043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68" w:rsidRPr="00CC59E7" w:rsidRDefault="00A14C66" w:rsidP="009C3368">
    <w:pPr>
      <w:pStyle w:val="Footer"/>
      <w:jc w:val="both"/>
      <w:rPr>
        <w:rFonts w:ascii="Times New Roman" w:hAnsi="Times New Roman" w:cs="Times New Roman"/>
        <w:sz w:val="20"/>
        <w:szCs w:val="20"/>
      </w:rPr>
    </w:pPr>
    <w:r>
      <w:rPr>
        <w:rFonts w:ascii="Times New Roman" w:hAnsi="Times New Roman" w:cs="Times New Roman"/>
        <w:sz w:val="20"/>
        <w:szCs w:val="20"/>
      </w:rPr>
      <w:t>EMAnot_26</w:t>
    </w:r>
    <w:r w:rsidR="00EB2358">
      <w:rPr>
        <w:rFonts w:ascii="Times New Roman" w:hAnsi="Times New Roman" w:cs="Times New Roman"/>
        <w:sz w:val="20"/>
        <w:szCs w:val="20"/>
      </w:rPr>
      <w:t>10</w:t>
    </w:r>
    <w:r w:rsidR="009C3368">
      <w:rPr>
        <w:rFonts w:ascii="Times New Roman" w:hAnsi="Times New Roman" w:cs="Times New Roman"/>
        <w:sz w:val="20"/>
        <w:szCs w:val="20"/>
      </w:rPr>
      <w:t>2015_groz582</w:t>
    </w:r>
    <w:r w:rsidR="009C3368" w:rsidRPr="00CC59E7">
      <w:rPr>
        <w:rFonts w:ascii="Times New Roman" w:hAnsi="Times New Roman" w:cs="Times New Roman"/>
        <w:sz w:val="20"/>
        <w:szCs w:val="20"/>
      </w:rPr>
      <w:t>; Ministru kabineta noteikumu projekta „</w:t>
    </w:r>
    <w:r w:rsidR="009C3368">
      <w:rPr>
        <w:rFonts w:ascii="Times New Roman" w:hAnsi="Times New Roman" w:cs="Times New Roman"/>
        <w:bCs/>
        <w:sz w:val="20"/>
        <w:szCs w:val="20"/>
      </w:rPr>
      <w:t>Grozījumi</w:t>
    </w:r>
    <w:r w:rsidR="009C3368" w:rsidRPr="00CC59E7">
      <w:rPr>
        <w:rFonts w:ascii="Times New Roman" w:hAnsi="Times New Roman" w:cs="Times New Roman"/>
        <w:bCs/>
        <w:sz w:val="20"/>
        <w:szCs w:val="20"/>
      </w:rPr>
      <w:t xml:space="preserve"> Ministru kabineta 2009.gada 17.jūnija noteikumos Nr.582 </w:t>
    </w:r>
    <w:r w:rsidR="009C3368" w:rsidRPr="00CC59E7">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r w:rsidR="009C3368" w:rsidRPr="00CC59E7">
      <w:rPr>
        <w:rFonts w:ascii="Times New Roman" w:hAnsi="Times New Roman" w:cs="Times New Roman"/>
        <w:bCs/>
        <w:sz w:val="20"/>
        <w:szCs w:val="20"/>
      </w:rPr>
      <w:t xml:space="preserve"> </w:t>
    </w:r>
    <w:r w:rsidR="009C3368"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68" w:rsidRPr="00CC59E7" w:rsidRDefault="00A14C66" w:rsidP="009C3368">
    <w:pPr>
      <w:pStyle w:val="Footer"/>
      <w:jc w:val="both"/>
      <w:rPr>
        <w:rFonts w:ascii="Times New Roman" w:hAnsi="Times New Roman" w:cs="Times New Roman"/>
        <w:sz w:val="20"/>
        <w:szCs w:val="20"/>
      </w:rPr>
    </w:pPr>
    <w:r>
      <w:rPr>
        <w:rFonts w:ascii="Times New Roman" w:hAnsi="Times New Roman" w:cs="Times New Roman"/>
        <w:sz w:val="20"/>
        <w:szCs w:val="20"/>
      </w:rPr>
      <w:t>EMAnot_26</w:t>
    </w:r>
    <w:r w:rsidR="005B5ECE">
      <w:rPr>
        <w:rFonts w:ascii="Times New Roman" w:hAnsi="Times New Roman" w:cs="Times New Roman"/>
        <w:sz w:val="20"/>
        <w:szCs w:val="20"/>
      </w:rPr>
      <w:t>10</w:t>
    </w:r>
    <w:r w:rsidR="009C3368">
      <w:rPr>
        <w:rFonts w:ascii="Times New Roman" w:hAnsi="Times New Roman" w:cs="Times New Roman"/>
        <w:sz w:val="20"/>
        <w:szCs w:val="20"/>
      </w:rPr>
      <w:t>2015_groz582</w:t>
    </w:r>
    <w:r w:rsidR="009C3368" w:rsidRPr="00CC59E7">
      <w:rPr>
        <w:rFonts w:ascii="Times New Roman" w:hAnsi="Times New Roman" w:cs="Times New Roman"/>
        <w:sz w:val="20"/>
        <w:szCs w:val="20"/>
      </w:rPr>
      <w:t>; Ministru kabineta noteikumu projekta „</w:t>
    </w:r>
    <w:r w:rsidR="009C3368">
      <w:rPr>
        <w:rFonts w:ascii="Times New Roman" w:hAnsi="Times New Roman" w:cs="Times New Roman"/>
        <w:bCs/>
        <w:sz w:val="20"/>
        <w:szCs w:val="20"/>
      </w:rPr>
      <w:t>Grozījumi</w:t>
    </w:r>
    <w:r w:rsidR="009C3368" w:rsidRPr="00CC59E7">
      <w:rPr>
        <w:rFonts w:ascii="Times New Roman" w:hAnsi="Times New Roman" w:cs="Times New Roman"/>
        <w:bCs/>
        <w:sz w:val="20"/>
        <w:szCs w:val="20"/>
      </w:rPr>
      <w:t xml:space="preserve"> Ministru kabineta 2009.gada 17.jūnija noteikumos Nr.582 </w:t>
    </w:r>
    <w:r w:rsidR="009C3368" w:rsidRPr="00CC59E7">
      <w:rPr>
        <w:rFonts w:ascii="Times New Roman" w:hAnsi="Times New Roman" w:cs="Times New Roman"/>
        <w:sz w:val="20"/>
        <w:szCs w:val="20"/>
      </w:rPr>
      <w:t>„Noteikumi par darbības programmas „Uzņēmējdarbība un inovācijas” papildinājuma 2.3.1.1.1.apakšaktivitātes „Ārējo tirgu apgūšana – ārējais mārketing</w:t>
    </w:r>
    <w:r w:rsidR="009C3368">
      <w:rPr>
        <w:rFonts w:ascii="Times New Roman" w:hAnsi="Times New Roman" w:cs="Times New Roman"/>
        <w:sz w:val="20"/>
        <w:szCs w:val="20"/>
      </w:rPr>
      <w:t>s” sesto un turpmākajām kārtām”</w:t>
    </w:r>
    <w:r w:rsidR="009C3368" w:rsidRPr="00CC59E7">
      <w:rPr>
        <w:rFonts w:ascii="Times New Roman" w:hAnsi="Times New Roman" w:cs="Times New Roman"/>
        <w:bCs/>
        <w:sz w:val="20"/>
        <w:szCs w:val="20"/>
      </w:rPr>
      <w:t xml:space="preserve">” </w:t>
    </w:r>
    <w:r w:rsidR="009C3368"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5E" w:rsidRDefault="0043285E">
      <w:pPr>
        <w:spacing w:after="0" w:line="240" w:lineRule="auto"/>
      </w:pPr>
      <w:r>
        <w:separator/>
      </w:r>
    </w:p>
  </w:footnote>
  <w:footnote w:type="continuationSeparator" w:id="0">
    <w:p w:rsidR="0043285E" w:rsidRDefault="0043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9C3368" w:rsidRDefault="009C3368">
        <w:pPr>
          <w:pStyle w:val="Header"/>
          <w:jc w:val="center"/>
        </w:pPr>
        <w:r>
          <w:fldChar w:fldCharType="begin"/>
        </w:r>
        <w:r>
          <w:instrText xml:space="preserve"> PAGE   \* MERGEFORMAT </w:instrText>
        </w:r>
        <w:r>
          <w:fldChar w:fldCharType="separate"/>
        </w:r>
        <w:r w:rsidR="00BE6387">
          <w:rPr>
            <w:noProof/>
          </w:rPr>
          <w:t>10</w:t>
        </w:r>
        <w:r>
          <w:rPr>
            <w:noProof/>
          </w:rPr>
          <w:fldChar w:fldCharType="end"/>
        </w:r>
      </w:p>
    </w:sdtContent>
  </w:sdt>
  <w:p w:rsidR="009C3368" w:rsidRDefault="009C3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8F2C79"/>
    <w:multiLevelType w:val="hybridMultilevel"/>
    <w:tmpl w:val="AC68A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4A30F2"/>
    <w:multiLevelType w:val="hybridMultilevel"/>
    <w:tmpl w:val="60CE4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CE1B56"/>
    <w:multiLevelType w:val="hybridMultilevel"/>
    <w:tmpl w:val="CF76A2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7691DD6"/>
    <w:multiLevelType w:val="hybridMultilevel"/>
    <w:tmpl w:val="8E02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0AF5233"/>
    <w:multiLevelType w:val="hybridMultilevel"/>
    <w:tmpl w:val="27FA0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011C9F"/>
    <w:multiLevelType w:val="hybridMultilevel"/>
    <w:tmpl w:val="43F80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
  </w:num>
  <w:num w:numId="6">
    <w:abstractNumId w:val="2"/>
  </w:num>
  <w:num w:numId="7">
    <w:abstractNumId w:val="10"/>
  </w:num>
  <w:num w:numId="8">
    <w:abstractNumId w:val="5"/>
  </w:num>
  <w:num w:numId="9">
    <w:abstractNumId w:val="3"/>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120CC"/>
    <w:rsid w:val="00024BBF"/>
    <w:rsid w:val="000413D4"/>
    <w:rsid w:val="000526BA"/>
    <w:rsid w:val="00061AF7"/>
    <w:rsid w:val="000746F4"/>
    <w:rsid w:val="00080313"/>
    <w:rsid w:val="00092671"/>
    <w:rsid w:val="000957F1"/>
    <w:rsid w:val="0009677A"/>
    <w:rsid w:val="000A21AB"/>
    <w:rsid w:val="000A7F3A"/>
    <w:rsid w:val="000B027F"/>
    <w:rsid w:val="000B2ACD"/>
    <w:rsid w:val="000B37B1"/>
    <w:rsid w:val="000B783B"/>
    <w:rsid w:val="000D18B2"/>
    <w:rsid w:val="000D233A"/>
    <w:rsid w:val="000D6240"/>
    <w:rsid w:val="000E25AC"/>
    <w:rsid w:val="000E3F3F"/>
    <w:rsid w:val="000F686D"/>
    <w:rsid w:val="00106C7B"/>
    <w:rsid w:val="001267DE"/>
    <w:rsid w:val="00153858"/>
    <w:rsid w:val="00161FD1"/>
    <w:rsid w:val="00174401"/>
    <w:rsid w:val="001875F7"/>
    <w:rsid w:val="001909AD"/>
    <w:rsid w:val="001A7383"/>
    <w:rsid w:val="001B3210"/>
    <w:rsid w:val="001C21E7"/>
    <w:rsid w:val="001E6848"/>
    <w:rsid w:val="001F61F4"/>
    <w:rsid w:val="00200149"/>
    <w:rsid w:val="002077CA"/>
    <w:rsid w:val="002368BC"/>
    <w:rsid w:val="00237430"/>
    <w:rsid w:val="00240E69"/>
    <w:rsid w:val="00240EF5"/>
    <w:rsid w:val="002475D0"/>
    <w:rsid w:val="00260B58"/>
    <w:rsid w:val="00262018"/>
    <w:rsid w:val="00282DE8"/>
    <w:rsid w:val="002837AD"/>
    <w:rsid w:val="002A2D8C"/>
    <w:rsid w:val="002E2F25"/>
    <w:rsid w:val="003056C1"/>
    <w:rsid w:val="00306789"/>
    <w:rsid w:val="00326D58"/>
    <w:rsid w:val="00327883"/>
    <w:rsid w:val="0033554F"/>
    <w:rsid w:val="00341CEC"/>
    <w:rsid w:val="00341FF0"/>
    <w:rsid w:val="0034216E"/>
    <w:rsid w:val="00347276"/>
    <w:rsid w:val="00353760"/>
    <w:rsid w:val="00353BBC"/>
    <w:rsid w:val="00355063"/>
    <w:rsid w:val="00366A5C"/>
    <w:rsid w:val="0037095F"/>
    <w:rsid w:val="00383F97"/>
    <w:rsid w:val="0038733A"/>
    <w:rsid w:val="0039400B"/>
    <w:rsid w:val="003B30C2"/>
    <w:rsid w:val="003D5AFD"/>
    <w:rsid w:val="003D79DE"/>
    <w:rsid w:val="003E1A6E"/>
    <w:rsid w:val="004048F4"/>
    <w:rsid w:val="00404A24"/>
    <w:rsid w:val="00417458"/>
    <w:rsid w:val="00417DDE"/>
    <w:rsid w:val="004225DE"/>
    <w:rsid w:val="00425CB9"/>
    <w:rsid w:val="00432524"/>
    <w:rsid w:val="0043285E"/>
    <w:rsid w:val="00434CAE"/>
    <w:rsid w:val="00457177"/>
    <w:rsid w:val="00467D08"/>
    <w:rsid w:val="00484327"/>
    <w:rsid w:val="00496D30"/>
    <w:rsid w:val="00497F91"/>
    <w:rsid w:val="004A2D2D"/>
    <w:rsid w:val="004A5A2E"/>
    <w:rsid w:val="004B0C3F"/>
    <w:rsid w:val="004B3C52"/>
    <w:rsid w:val="004C3B7D"/>
    <w:rsid w:val="004C7EA9"/>
    <w:rsid w:val="004D1799"/>
    <w:rsid w:val="004D7E2C"/>
    <w:rsid w:val="004F4A64"/>
    <w:rsid w:val="004F51CE"/>
    <w:rsid w:val="00500BDD"/>
    <w:rsid w:val="005110AC"/>
    <w:rsid w:val="005136DC"/>
    <w:rsid w:val="005138DA"/>
    <w:rsid w:val="00516164"/>
    <w:rsid w:val="00520A62"/>
    <w:rsid w:val="00545814"/>
    <w:rsid w:val="0054698E"/>
    <w:rsid w:val="00546A8B"/>
    <w:rsid w:val="00554D34"/>
    <w:rsid w:val="005603EE"/>
    <w:rsid w:val="00565F14"/>
    <w:rsid w:val="005704F3"/>
    <w:rsid w:val="00575291"/>
    <w:rsid w:val="00577D51"/>
    <w:rsid w:val="005822F0"/>
    <w:rsid w:val="005864D4"/>
    <w:rsid w:val="005B5ECE"/>
    <w:rsid w:val="005B74D3"/>
    <w:rsid w:val="005C279F"/>
    <w:rsid w:val="005D78E4"/>
    <w:rsid w:val="005E7D27"/>
    <w:rsid w:val="005E7F7B"/>
    <w:rsid w:val="005F2ED5"/>
    <w:rsid w:val="006046D3"/>
    <w:rsid w:val="006047B1"/>
    <w:rsid w:val="00613344"/>
    <w:rsid w:val="006321DC"/>
    <w:rsid w:val="0063462B"/>
    <w:rsid w:val="0063602A"/>
    <w:rsid w:val="006425CA"/>
    <w:rsid w:val="00651133"/>
    <w:rsid w:val="00670391"/>
    <w:rsid w:val="006713A4"/>
    <w:rsid w:val="006831D8"/>
    <w:rsid w:val="00683FDA"/>
    <w:rsid w:val="00690101"/>
    <w:rsid w:val="00697099"/>
    <w:rsid w:val="006C02C3"/>
    <w:rsid w:val="006C231D"/>
    <w:rsid w:val="006C757D"/>
    <w:rsid w:val="006E2851"/>
    <w:rsid w:val="006E394D"/>
    <w:rsid w:val="006E3C24"/>
    <w:rsid w:val="006E3E76"/>
    <w:rsid w:val="006F0789"/>
    <w:rsid w:val="00716278"/>
    <w:rsid w:val="00716F78"/>
    <w:rsid w:val="00734683"/>
    <w:rsid w:val="00737C71"/>
    <w:rsid w:val="00743826"/>
    <w:rsid w:val="00744146"/>
    <w:rsid w:val="00754402"/>
    <w:rsid w:val="00765B7F"/>
    <w:rsid w:val="00776676"/>
    <w:rsid w:val="00782945"/>
    <w:rsid w:val="00783EFE"/>
    <w:rsid w:val="00795CCC"/>
    <w:rsid w:val="0079679B"/>
    <w:rsid w:val="007A5680"/>
    <w:rsid w:val="007C60F0"/>
    <w:rsid w:val="007C79C1"/>
    <w:rsid w:val="007D1781"/>
    <w:rsid w:val="007E3FA6"/>
    <w:rsid w:val="007F35BD"/>
    <w:rsid w:val="008035F8"/>
    <w:rsid w:val="00810A68"/>
    <w:rsid w:val="00822D89"/>
    <w:rsid w:val="008440BB"/>
    <w:rsid w:val="00851750"/>
    <w:rsid w:val="008646EC"/>
    <w:rsid w:val="00881AD5"/>
    <w:rsid w:val="00885BBD"/>
    <w:rsid w:val="00896990"/>
    <w:rsid w:val="008A1CEB"/>
    <w:rsid w:val="008A68CB"/>
    <w:rsid w:val="008A7320"/>
    <w:rsid w:val="008B5CF2"/>
    <w:rsid w:val="008C4E87"/>
    <w:rsid w:val="008C6509"/>
    <w:rsid w:val="008D19DA"/>
    <w:rsid w:val="008D782D"/>
    <w:rsid w:val="008F7F57"/>
    <w:rsid w:val="00902223"/>
    <w:rsid w:val="00912B83"/>
    <w:rsid w:val="00913710"/>
    <w:rsid w:val="00913C0E"/>
    <w:rsid w:val="00913EC1"/>
    <w:rsid w:val="00923D20"/>
    <w:rsid w:val="00924C70"/>
    <w:rsid w:val="00925153"/>
    <w:rsid w:val="009325E8"/>
    <w:rsid w:val="00935128"/>
    <w:rsid w:val="00945A1D"/>
    <w:rsid w:val="0095082E"/>
    <w:rsid w:val="00970BDA"/>
    <w:rsid w:val="009750C4"/>
    <w:rsid w:val="00975E10"/>
    <w:rsid w:val="00983A85"/>
    <w:rsid w:val="00992849"/>
    <w:rsid w:val="009A66DC"/>
    <w:rsid w:val="009B0D28"/>
    <w:rsid w:val="009B3CC4"/>
    <w:rsid w:val="009C01AE"/>
    <w:rsid w:val="009C3368"/>
    <w:rsid w:val="009C6595"/>
    <w:rsid w:val="009E4E51"/>
    <w:rsid w:val="009E5A1C"/>
    <w:rsid w:val="00A00DB7"/>
    <w:rsid w:val="00A07A8C"/>
    <w:rsid w:val="00A14C66"/>
    <w:rsid w:val="00A2107E"/>
    <w:rsid w:val="00A276E5"/>
    <w:rsid w:val="00A30A3F"/>
    <w:rsid w:val="00A31ADD"/>
    <w:rsid w:val="00A32081"/>
    <w:rsid w:val="00A3606D"/>
    <w:rsid w:val="00A40237"/>
    <w:rsid w:val="00A44083"/>
    <w:rsid w:val="00A46721"/>
    <w:rsid w:val="00A5373D"/>
    <w:rsid w:val="00A568AF"/>
    <w:rsid w:val="00A66AA5"/>
    <w:rsid w:val="00A676A1"/>
    <w:rsid w:val="00A719EF"/>
    <w:rsid w:val="00A74DD0"/>
    <w:rsid w:val="00A762E5"/>
    <w:rsid w:val="00A850CC"/>
    <w:rsid w:val="00A866EB"/>
    <w:rsid w:val="00A913F7"/>
    <w:rsid w:val="00A97AA2"/>
    <w:rsid w:val="00AA1C74"/>
    <w:rsid w:val="00AA5524"/>
    <w:rsid w:val="00AA6D76"/>
    <w:rsid w:val="00AD03D9"/>
    <w:rsid w:val="00AD2530"/>
    <w:rsid w:val="00B14350"/>
    <w:rsid w:val="00B21232"/>
    <w:rsid w:val="00B2413C"/>
    <w:rsid w:val="00B25223"/>
    <w:rsid w:val="00B303DD"/>
    <w:rsid w:val="00B3089F"/>
    <w:rsid w:val="00B30D00"/>
    <w:rsid w:val="00B44B99"/>
    <w:rsid w:val="00B45F43"/>
    <w:rsid w:val="00B5204B"/>
    <w:rsid w:val="00B552A3"/>
    <w:rsid w:val="00B60049"/>
    <w:rsid w:val="00B60C24"/>
    <w:rsid w:val="00B645D5"/>
    <w:rsid w:val="00B656E9"/>
    <w:rsid w:val="00B9029E"/>
    <w:rsid w:val="00B90A9B"/>
    <w:rsid w:val="00B910F4"/>
    <w:rsid w:val="00BA2A79"/>
    <w:rsid w:val="00BA56E4"/>
    <w:rsid w:val="00BA7E42"/>
    <w:rsid w:val="00BB061D"/>
    <w:rsid w:val="00BC5CFE"/>
    <w:rsid w:val="00BE3116"/>
    <w:rsid w:val="00BE6387"/>
    <w:rsid w:val="00BF67B4"/>
    <w:rsid w:val="00C03D5B"/>
    <w:rsid w:val="00C17AC8"/>
    <w:rsid w:val="00C25707"/>
    <w:rsid w:val="00C30D97"/>
    <w:rsid w:val="00C31C12"/>
    <w:rsid w:val="00C36E6C"/>
    <w:rsid w:val="00C43073"/>
    <w:rsid w:val="00C45DD0"/>
    <w:rsid w:val="00C461EA"/>
    <w:rsid w:val="00C7184A"/>
    <w:rsid w:val="00C726F3"/>
    <w:rsid w:val="00C74BCB"/>
    <w:rsid w:val="00C77E83"/>
    <w:rsid w:val="00C8661C"/>
    <w:rsid w:val="00C90C7D"/>
    <w:rsid w:val="00C95975"/>
    <w:rsid w:val="00C97E7D"/>
    <w:rsid w:val="00CA6F7F"/>
    <w:rsid w:val="00CE0762"/>
    <w:rsid w:val="00CE6C1D"/>
    <w:rsid w:val="00CE79D5"/>
    <w:rsid w:val="00CF2C05"/>
    <w:rsid w:val="00D207B9"/>
    <w:rsid w:val="00D22D2D"/>
    <w:rsid w:val="00D267F6"/>
    <w:rsid w:val="00D33952"/>
    <w:rsid w:val="00D33B4C"/>
    <w:rsid w:val="00D3405E"/>
    <w:rsid w:val="00D348BE"/>
    <w:rsid w:val="00D358F6"/>
    <w:rsid w:val="00D4655F"/>
    <w:rsid w:val="00D54A59"/>
    <w:rsid w:val="00D629E8"/>
    <w:rsid w:val="00D63DDA"/>
    <w:rsid w:val="00D66091"/>
    <w:rsid w:val="00D670D7"/>
    <w:rsid w:val="00D778F2"/>
    <w:rsid w:val="00D804B9"/>
    <w:rsid w:val="00D81249"/>
    <w:rsid w:val="00D90807"/>
    <w:rsid w:val="00D92D38"/>
    <w:rsid w:val="00DA0CF5"/>
    <w:rsid w:val="00DC6E90"/>
    <w:rsid w:val="00DD47F1"/>
    <w:rsid w:val="00DE0832"/>
    <w:rsid w:val="00E066D0"/>
    <w:rsid w:val="00E14A1A"/>
    <w:rsid w:val="00E47795"/>
    <w:rsid w:val="00E52986"/>
    <w:rsid w:val="00E531A2"/>
    <w:rsid w:val="00E56CBE"/>
    <w:rsid w:val="00E605E9"/>
    <w:rsid w:val="00E67C9D"/>
    <w:rsid w:val="00E67F1B"/>
    <w:rsid w:val="00E7506E"/>
    <w:rsid w:val="00E77F75"/>
    <w:rsid w:val="00E80CE9"/>
    <w:rsid w:val="00E872D4"/>
    <w:rsid w:val="00E90889"/>
    <w:rsid w:val="00EA14C2"/>
    <w:rsid w:val="00EA2DE6"/>
    <w:rsid w:val="00EA3C58"/>
    <w:rsid w:val="00EA49D8"/>
    <w:rsid w:val="00EB2358"/>
    <w:rsid w:val="00EC0EE8"/>
    <w:rsid w:val="00EC38F4"/>
    <w:rsid w:val="00EC49B2"/>
    <w:rsid w:val="00EE60E5"/>
    <w:rsid w:val="00EE6B6A"/>
    <w:rsid w:val="00EF2EBC"/>
    <w:rsid w:val="00F172ED"/>
    <w:rsid w:val="00F22871"/>
    <w:rsid w:val="00F240D0"/>
    <w:rsid w:val="00F242B2"/>
    <w:rsid w:val="00F25A63"/>
    <w:rsid w:val="00F3377F"/>
    <w:rsid w:val="00F844FA"/>
    <w:rsid w:val="00F8529B"/>
    <w:rsid w:val="00F85F74"/>
    <w:rsid w:val="00F92B6C"/>
    <w:rsid w:val="00FA37C4"/>
    <w:rsid w:val="00FB2DC1"/>
    <w:rsid w:val="00FB465C"/>
    <w:rsid w:val="00FB7A15"/>
    <w:rsid w:val="00FB7A96"/>
    <w:rsid w:val="00FD0A23"/>
    <w:rsid w:val="00FD300A"/>
    <w:rsid w:val="00FE5670"/>
    <w:rsid w:val="00FF1A6D"/>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7C79C1"/>
    <w:rPr>
      <w:sz w:val="16"/>
      <w:szCs w:val="16"/>
    </w:rPr>
  </w:style>
  <w:style w:type="paragraph" w:styleId="CommentText">
    <w:name w:val="annotation text"/>
    <w:basedOn w:val="Normal"/>
    <w:link w:val="CommentTextChar"/>
    <w:uiPriority w:val="99"/>
    <w:unhideWhenUsed/>
    <w:rsid w:val="007C79C1"/>
    <w:pPr>
      <w:spacing w:line="240" w:lineRule="auto"/>
    </w:pPr>
    <w:rPr>
      <w:sz w:val="20"/>
      <w:szCs w:val="20"/>
    </w:rPr>
  </w:style>
  <w:style w:type="character" w:customStyle="1" w:styleId="CommentTextChar">
    <w:name w:val="Comment Text Char"/>
    <w:basedOn w:val="DefaultParagraphFont"/>
    <w:link w:val="CommentText"/>
    <w:uiPriority w:val="99"/>
    <w:rsid w:val="007C79C1"/>
    <w:rPr>
      <w:sz w:val="20"/>
      <w:szCs w:val="20"/>
    </w:rPr>
  </w:style>
  <w:style w:type="paragraph" w:styleId="CommentSubject">
    <w:name w:val="annotation subject"/>
    <w:basedOn w:val="CommentText"/>
    <w:next w:val="CommentText"/>
    <w:link w:val="CommentSubjectChar"/>
    <w:uiPriority w:val="99"/>
    <w:semiHidden/>
    <w:unhideWhenUsed/>
    <w:rsid w:val="007C79C1"/>
    <w:rPr>
      <w:b/>
      <w:bCs/>
    </w:rPr>
  </w:style>
  <w:style w:type="character" w:customStyle="1" w:styleId="CommentSubjectChar">
    <w:name w:val="Comment Subject Char"/>
    <w:basedOn w:val="CommentTextChar"/>
    <w:link w:val="CommentSubject"/>
    <w:uiPriority w:val="99"/>
    <w:semiHidden/>
    <w:rsid w:val="007C79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7C79C1"/>
    <w:rPr>
      <w:sz w:val="16"/>
      <w:szCs w:val="16"/>
    </w:rPr>
  </w:style>
  <w:style w:type="paragraph" w:styleId="CommentText">
    <w:name w:val="annotation text"/>
    <w:basedOn w:val="Normal"/>
    <w:link w:val="CommentTextChar"/>
    <w:uiPriority w:val="99"/>
    <w:unhideWhenUsed/>
    <w:rsid w:val="007C79C1"/>
    <w:pPr>
      <w:spacing w:line="240" w:lineRule="auto"/>
    </w:pPr>
    <w:rPr>
      <w:sz w:val="20"/>
      <w:szCs w:val="20"/>
    </w:rPr>
  </w:style>
  <w:style w:type="character" w:customStyle="1" w:styleId="CommentTextChar">
    <w:name w:val="Comment Text Char"/>
    <w:basedOn w:val="DefaultParagraphFont"/>
    <w:link w:val="CommentText"/>
    <w:uiPriority w:val="99"/>
    <w:rsid w:val="007C79C1"/>
    <w:rPr>
      <w:sz w:val="20"/>
      <w:szCs w:val="20"/>
    </w:rPr>
  </w:style>
  <w:style w:type="paragraph" w:styleId="CommentSubject">
    <w:name w:val="annotation subject"/>
    <w:basedOn w:val="CommentText"/>
    <w:next w:val="CommentText"/>
    <w:link w:val="CommentSubjectChar"/>
    <w:uiPriority w:val="99"/>
    <w:semiHidden/>
    <w:unhideWhenUsed/>
    <w:rsid w:val="007C79C1"/>
    <w:rPr>
      <w:b/>
      <w:bCs/>
    </w:rPr>
  </w:style>
  <w:style w:type="character" w:customStyle="1" w:styleId="CommentSubjectChar">
    <w:name w:val="Comment Subject Char"/>
    <w:basedOn w:val="CommentTextChar"/>
    <w:link w:val="CommentSubject"/>
    <w:uiPriority w:val="99"/>
    <w:semiHidden/>
    <w:rsid w:val="007C7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057">
      <w:bodyDiv w:val="1"/>
      <w:marLeft w:val="0"/>
      <w:marRight w:val="0"/>
      <w:marTop w:val="0"/>
      <w:marBottom w:val="0"/>
      <w:divBdr>
        <w:top w:val="none" w:sz="0" w:space="0" w:color="auto"/>
        <w:left w:val="none" w:sz="0" w:space="0" w:color="auto"/>
        <w:bottom w:val="none" w:sz="0" w:space="0" w:color="auto"/>
        <w:right w:val="none" w:sz="0" w:space="0" w:color="auto"/>
      </w:divBdr>
    </w:div>
    <w:div w:id="186909598">
      <w:bodyDiv w:val="1"/>
      <w:marLeft w:val="0"/>
      <w:marRight w:val="0"/>
      <w:marTop w:val="0"/>
      <w:marBottom w:val="0"/>
      <w:divBdr>
        <w:top w:val="none" w:sz="0" w:space="0" w:color="auto"/>
        <w:left w:val="none" w:sz="0" w:space="0" w:color="auto"/>
        <w:bottom w:val="none" w:sz="0" w:space="0" w:color="auto"/>
        <w:right w:val="none" w:sz="0" w:space="0" w:color="auto"/>
      </w:divBdr>
    </w:div>
    <w:div w:id="222717007">
      <w:bodyDiv w:val="1"/>
      <w:marLeft w:val="0"/>
      <w:marRight w:val="0"/>
      <w:marTop w:val="0"/>
      <w:marBottom w:val="0"/>
      <w:divBdr>
        <w:top w:val="none" w:sz="0" w:space="0" w:color="auto"/>
        <w:left w:val="none" w:sz="0" w:space="0" w:color="auto"/>
        <w:bottom w:val="none" w:sz="0" w:space="0" w:color="auto"/>
        <w:right w:val="none" w:sz="0" w:space="0" w:color="auto"/>
      </w:divBdr>
    </w:div>
    <w:div w:id="364209615">
      <w:bodyDiv w:val="1"/>
      <w:marLeft w:val="0"/>
      <w:marRight w:val="0"/>
      <w:marTop w:val="0"/>
      <w:marBottom w:val="0"/>
      <w:divBdr>
        <w:top w:val="none" w:sz="0" w:space="0" w:color="auto"/>
        <w:left w:val="none" w:sz="0" w:space="0" w:color="auto"/>
        <w:bottom w:val="none" w:sz="0" w:space="0" w:color="auto"/>
        <w:right w:val="none" w:sz="0" w:space="0" w:color="auto"/>
      </w:divBdr>
    </w:div>
    <w:div w:id="472337680">
      <w:bodyDiv w:val="1"/>
      <w:marLeft w:val="0"/>
      <w:marRight w:val="0"/>
      <w:marTop w:val="0"/>
      <w:marBottom w:val="0"/>
      <w:divBdr>
        <w:top w:val="none" w:sz="0" w:space="0" w:color="auto"/>
        <w:left w:val="none" w:sz="0" w:space="0" w:color="auto"/>
        <w:bottom w:val="none" w:sz="0" w:space="0" w:color="auto"/>
        <w:right w:val="none" w:sz="0" w:space="0" w:color="auto"/>
      </w:divBdr>
    </w:div>
    <w:div w:id="594947145">
      <w:bodyDiv w:val="1"/>
      <w:marLeft w:val="0"/>
      <w:marRight w:val="0"/>
      <w:marTop w:val="0"/>
      <w:marBottom w:val="0"/>
      <w:divBdr>
        <w:top w:val="none" w:sz="0" w:space="0" w:color="auto"/>
        <w:left w:val="none" w:sz="0" w:space="0" w:color="auto"/>
        <w:bottom w:val="none" w:sz="0" w:space="0" w:color="auto"/>
        <w:right w:val="none" w:sz="0" w:space="0" w:color="auto"/>
      </w:divBdr>
    </w:div>
    <w:div w:id="791632568">
      <w:bodyDiv w:val="1"/>
      <w:marLeft w:val="0"/>
      <w:marRight w:val="0"/>
      <w:marTop w:val="0"/>
      <w:marBottom w:val="0"/>
      <w:divBdr>
        <w:top w:val="none" w:sz="0" w:space="0" w:color="auto"/>
        <w:left w:val="none" w:sz="0" w:space="0" w:color="auto"/>
        <w:bottom w:val="none" w:sz="0" w:space="0" w:color="auto"/>
        <w:right w:val="none" w:sz="0" w:space="0" w:color="auto"/>
      </w:divBdr>
    </w:div>
    <w:div w:id="880094723">
      <w:bodyDiv w:val="1"/>
      <w:marLeft w:val="0"/>
      <w:marRight w:val="0"/>
      <w:marTop w:val="0"/>
      <w:marBottom w:val="0"/>
      <w:divBdr>
        <w:top w:val="none" w:sz="0" w:space="0" w:color="auto"/>
        <w:left w:val="none" w:sz="0" w:space="0" w:color="auto"/>
        <w:bottom w:val="none" w:sz="0" w:space="0" w:color="auto"/>
        <w:right w:val="none" w:sz="0" w:space="0" w:color="auto"/>
      </w:divBdr>
    </w:div>
    <w:div w:id="1693533982">
      <w:bodyDiv w:val="1"/>
      <w:marLeft w:val="0"/>
      <w:marRight w:val="0"/>
      <w:marTop w:val="0"/>
      <w:marBottom w:val="0"/>
      <w:divBdr>
        <w:top w:val="none" w:sz="0" w:space="0" w:color="auto"/>
        <w:left w:val="none" w:sz="0" w:space="0" w:color="auto"/>
        <w:bottom w:val="none" w:sz="0" w:space="0" w:color="auto"/>
        <w:right w:val="none" w:sz="0" w:space="0" w:color="auto"/>
      </w:divBdr>
    </w:div>
    <w:div w:id="1756777214">
      <w:bodyDiv w:val="1"/>
      <w:marLeft w:val="0"/>
      <w:marRight w:val="0"/>
      <w:marTop w:val="0"/>
      <w:marBottom w:val="0"/>
      <w:divBdr>
        <w:top w:val="none" w:sz="0" w:space="0" w:color="auto"/>
        <w:left w:val="none" w:sz="0" w:space="0" w:color="auto"/>
        <w:bottom w:val="none" w:sz="0" w:space="0" w:color="auto"/>
        <w:right w:val="none" w:sz="0" w:space="0" w:color="auto"/>
      </w:divBdr>
    </w:div>
    <w:div w:id="1784688955">
      <w:bodyDiv w:val="1"/>
      <w:marLeft w:val="0"/>
      <w:marRight w:val="0"/>
      <w:marTop w:val="0"/>
      <w:marBottom w:val="0"/>
      <w:divBdr>
        <w:top w:val="none" w:sz="0" w:space="0" w:color="auto"/>
        <w:left w:val="none" w:sz="0" w:space="0" w:color="auto"/>
        <w:bottom w:val="none" w:sz="0" w:space="0" w:color="auto"/>
        <w:right w:val="none" w:sz="0" w:space="0" w:color="auto"/>
      </w:divBdr>
    </w:div>
    <w:div w:id="1880706831">
      <w:bodyDiv w:val="1"/>
      <w:marLeft w:val="0"/>
      <w:marRight w:val="0"/>
      <w:marTop w:val="0"/>
      <w:marBottom w:val="0"/>
      <w:divBdr>
        <w:top w:val="none" w:sz="0" w:space="0" w:color="auto"/>
        <w:left w:val="none" w:sz="0" w:space="0" w:color="auto"/>
        <w:bottom w:val="none" w:sz="0" w:space="0" w:color="auto"/>
        <w:right w:val="none" w:sz="0" w:space="0" w:color="auto"/>
      </w:divBdr>
    </w:div>
    <w:div w:id="2078283523">
      <w:bodyDiv w:val="1"/>
      <w:marLeft w:val="0"/>
      <w:marRight w:val="0"/>
      <w:marTop w:val="0"/>
      <w:marBottom w:val="0"/>
      <w:divBdr>
        <w:top w:val="none" w:sz="0" w:space="0" w:color="auto"/>
        <w:left w:val="none" w:sz="0" w:space="0" w:color="auto"/>
        <w:bottom w:val="none" w:sz="0" w:space="0" w:color="auto"/>
        <w:right w:val="none" w:sz="0" w:space="0" w:color="auto"/>
      </w:divBdr>
    </w:div>
    <w:div w:id="21368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B12F-DB8E-43D6-B6E4-B1609799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2654</Words>
  <Characters>19621</Characters>
  <Application>Microsoft Office Word</Application>
  <DocSecurity>0</DocSecurity>
  <Lines>545</Lines>
  <Paragraphs>212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Austris Jansons</dc:creator>
  <dc:description>Austris.Jansons@em.gov.lv, 67013062</dc:description>
  <cp:lastModifiedBy>Austris Jansons</cp:lastModifiedBy>
  <cp:revision>15</cp:revision>
  <dcterms:created xsi:type="dcterms:W3CDTF">2015-10-22T13:34:00Z</dcterms:created>
  <dcterms:modified xsi:type="dcterms:W3CDTF">2015-10-26T06:42:00Z</dcterms:modified>
</cp:coreProperties>
</file>