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751E9" w14:textId="77777777" w:rsidR="002E79E4" w:rsidRPr="00311205" w:rsidRDefault="00BB09C5" w:rsidP="002E79E4">
      <w:pPr>
        <w:tabs>
          <w:tab w:val="left" w:pos="6237"/>
        </w:tabs>
        <w:jc w:val="center"/>
        <w:rPr>
          <w:b/>
          <w:sz w:val="24"/>
          <w:szCs w:val="24"/>
          <w:lang w:val="lv-LV"/>
        </w:rPr>
      </w:pPr>
      <w:bookmarkStart w:id="0" w:name="OLE_LINK3"/>
      <w:bookmarkStart w:id="1" w:name="OLE_LINK1"/>
      <w:bookmarkStart w:id="2" w:name="OLE_LINK2"/>
      <w:r w:rsidRPr="00311205">
        <w:rPr>
          <w:b/>
          <w:sz w:val="24"/>
          <w:szCs w:val="24"/>
          <w:lang w:val="lv-LV"/>
        </w:rPr>
        <w:t xml:space="preserve">Ministru kabineta </w:t>
      </w:r>
      <w:r w:rsidR="00C83591" w:rsidRPr="00311205">
        <w:rPr>
          <w:b/>
          <w:sz w:val="24"/>
          <w:szCs w:val="24"/>
          <w:lang w:val="lv-LV"/>
        </w:rPr>
        <w:t>noteikumu</w:t>
      </w:r>
      <w:r w:rsidR="001764E7" w:rsidRPr="00311205">
        <w:rPr>
          <w:b/>
          <w:sz w:val="24"/>
          <w:szCs w:val="24"/>
          <w:lang w:val="lv-LV"/>
        </w:rPr>
        <w:t xml:space="preserve"> </w:t>
      </w:r>
      <w:r w:rsidRPr="00311205">
        <w:rPr>
          <w:b/>
          <w:sz w:val="24"/>
          <w:szCs w:val="24"/>
          <w:lang w:val="lv-LV"/>
        </w:rPr>
        <w:t xml:space="preserve">projekta </w:t>
      </w:r>
      <w:r w:rsidR="00092473" w:rsidRPr="00311205">
        <w:rPr>
          <w:b/>
          <w:sz w:val="24"/>
          <w:szCs w:val="24"/>
          <w:lang w:val="lv-LV"/>
        </w:rPr>
        <w:t>„</w:t>
      </w:r>
      <w:bookmarkStart w:id="3" w:name="OLE_LINK8"/>
      <w:bookmarkStart w:id="4" w:name="OLE_LINK4"/>
      <w:bookmarkStart w:id="5" w:name="OLE_LINK5"/>
      <w:r w:rsidR="002E79E4" w:rsidRPr="00311205">
        <w:rPr>
          <w:b/>
          <w:sz w:val="24"/>
          <w:szCs w:val="24"/>
          <w:lang w:val="lv-LV"/>
        </w:rPr>
        <w:t>Grozījumi Ministru kabineta 2009.gada 10.marta noteikumos Nr.238 „Noteikumi par darbības programmas „Uzņēmējdarbība un inovācijas” papildinājuma 2.2.1.4.1.apakšaktivitāti „Atbalsts aizdevumu veidā komersantu konkurētspējas uzlabošanai”</w:t>
      </w:r>
      <w:bookmarkEnd w:id="3"/>
      <w:bookmarkEnd w:id="4"/>
      <w:bookmarkEnd w:id="5"/>
      <w:r w:rsidR="002E79E4" w:rsidRPr="00311205">
        <w:rPr>
          <w:b/>
          <w:sz w:val="24"/>
          <w:szCs w:val="24"/>
          <w:lang w:val="lv-LV"/>
        </w:rPr>
        <w:t>”</w:t>
      </w:r>
    </w:p>
    <w:p w14:paraId="032E4B7D" w14:textId="77777777" w:rsidR="00C97F6E" w:rsidRPr="00311205" w:rsidRDefault="00FA743C" w:rsidP="002E79E4">
      <w:pPr>
        <w:tabs>
          <w:tab w:val="left" w:pos="6237"/>
        </w:tabs>
        <w:jc w:val="center"/>
        <w:rPr>
          <w:b/>
          <w:sz w:val="24"/>
          <w:szCs w:val="24"/>
          <w:lang w:val="lv-LV"/>
        </w:rPr>
        <w:sectPr w:rsidR="00C97F6E" w:rsidRPr="00311205" w:rsidSect="005B7CB3">
          <w:headerReference w:type="default" r:id="rId9"/>
          <w:footerReference w:type="default" r:id="rId10"/>
          <w:footerReference w:type="first" r:id="rId11"/>
          <w:pgSz w:w="11906" w:h="16838"/>
          <w:pgMar w:top="1418" w:right="1134" w:bottom="1134" w:left="1701" w:header="709" w:footer="709" w:gutter="0"/>
          <w:cols w:space="708"/>
          <w:titlePg/>
          <w:docGrid w:linePitch="360"/>
        </w:sectPr>
      </w:pPr>
      <w:r w:rsidRPr="00311205">
        <w:rPr>
          <w:b/>
          <w:sz w:val="24"/>
          <w:szCs w:val="24"/>
          <w:lang w:val="lv-LV"/>
        </w:rPr>
        <w:t xml:space="preserve"> </w:t>
      </w:r>
      <w:r w:rsidR="00092473" w:rsidRPr="00311205">
        <w:rPr>
          <w:b/>
          <w:sz w:val="24"/>
          <w:szCs w:val="24"/>
          <w:lang w:val="lv-LV"/>
        </w:rPr>
        <w:t xml:space="preserve"> </w:t>
      </w:r>
      <w:r w:rsidR="003000F0" w:rsidRPr="00311205">
        <w:rPr>
          <w:b/>
          <w:sz w:val="24"/>
          <w:szCs w:val="24"/>
          <w:lang w:val="lv-LV"/>
        </w:rPr>
        <w:t xml:space="preserve">sākotnējās ietekmes novērtējuma </w:t>
      </w:r>
      <w:smartTag w:uri="schemas-tilde-lv/tildestengine" w:element="veidnes">
        <w:smartTagPr>
          <w:attr w:name="text" w:val="ziņojums"/>
          <w:attr w:name="baseform" w:val="ziņojums"/>
          <w:attr w:name="id" w:val="-1"/>
        </w:smartTagPr>
        <w:r w:rsidR="003000F0" w:rsidRPr="00311205">
          <w:rPr>
            <w:b/>
            <w:sz w:val="24"/>
            <w:szCs w:val="24"/>
            <w:lang w:val="lv-LV"/>
          </w:rPr>
          <w:t>ziņojums</w:t>
        </w:r>
      </w:smartTag>
      <w:r w:rsidR="00E73425" w:rsidRPr="00311205">
        <w:rPr>
          <w:b/>
          <w:sz w:val="24"/>
          <w:szCs w:val="24"/>
          <w:lang w:val="lv-LV"/>
        </w:rPr>
        <w:t xml:space="preserve"> </w:t>
      </w:r>
      <w:r w:rsidR="003000F0" w:rsidRPr="00311205">
        <w:rPr>
          <w:b/>
          <w:sz w:val="24"/>
          <w:szCs w:val="24"/>
          <w:lang w:val="lv-LV"/>
        </w:rPr>
        <w:t>(</w:t>
      </w:r>
      <w:r w:rsidR="00E73425" w:rsidRPr="00311205">
        <w:rPr>
          <w:b/>
          <w:sz w:val="24"/>
          <w:szCs w:val="24"/>
          <w:lang w:val="lv-LV"/>
        </w:rPr>
        <w:t>anotācija</w:t>
      </w:r>
      <w:bookmarkEnd w:id="0"/>
      <w:bookmarkEnd w:id="1"/>
      <w:bookmarkEnd w:id="2"/>
      <w:r w:rsidR="00E009B0" w:rsidRPr="00311205">
        <w:rPr>
          <w:b/>
          <w:sz w:val="24"/>
          <w:szCs w:val="24"/>
          <w:lang w:val="lv-LV"/>
        </w:rPr>
        <w:t>)</w:t>
      </w:r>
    </w:p>
    <w:p w14:paraId="2212A6FF" w14:textId="77777777" w:rsidR="00C97F6E" w:rsidRPr="00311205" w:rsidRDefault="00C97F6E" w:rsidP="00F22471">
      <w:pPr>
        <w:jc w:val="both"/>
        <w:rPr>
          <w:rFonts w:eastAsia="Times New Roman"/>
          <w:sz w:val="24"/>
          <w:szCs w:val="24"/>
          <w:lang w:val="lv-LV" w:eastAsia="lv-LV"/>
        </w:rPr>
      </w:pPr>
    </w:p>
    <w:p w14:paraId="409D3B0A" w14:textId="77777777" w:rsidR="00E13579" w:rsidRPr="00311205" w:rsidRDefault="00E13579" w:rsidP="00F22471">
      <w:pPr>
        <w:jc w:val="both"/>
        <w:rPr>
          <w:rFonts w:eastAsia="Times New Roman"/>
          <w:sz w:val="24"/>
          <w:szCs w:val="24"/>
          <w:lang w:val="lv-LV" w:eastAsia="lv-LV"/>
        </w:rPr>
        <w:sectPr w:rsidR="00E13579" w:rsidRPr="00311205" w:rsidSect="005B7CB3">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7B2F77" w14:paraId="62829EAD" w14:textId="77777777"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6AEEB42A" w14:textId="77777777" w:rsidR="00D11308" w:rsidRPr="00311205" w:rsidRDefault="00D11308" w:rsidP="000A15AB">
            <w:pPr>
              <w:ind w:firstLine="720"/>
              <w:jc w:val="both"/>
              <w:rPr>
                <w:rFonts w:eastAsia="Times New Roman"/>
                <w:b/>
                <w:sz w:val="24"/>
                <w:szCs w:val="24"/>
                <w:lang w:val="lv-LV" w:eastAsia="lv-LV"/>
              </w:rPr>
            </w:pPr>
            <w:r w:rsidRPr="00311205">
              <w:rPr>
                <w:rFonts w:eastAsia="Times New Roman"/>
                <w:b/>
                <w:sz w:val="24"/>
                <w:szCs w:val="24"/>
                <w:lang w:val="lv-LV" w:eastAsia="lv-LV"/>
              </w:rPr>
              <w:lastRenderedPageBreak/>
              <w:t>I.Tiesību akta projekta izstrādes nepieciešamība</w:t>
            </w:r>
          </w:p>
        </w:tc>
      </w:tr>
      <w:tr w:rsidR="00D11308" w:rsidRPr="007B2F77" w14:paraId="11EDE596" w14:textId="77777777"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480E3095" w14:textId="77777777" w:rsidR="00D11308" w:rsidRPr="00311205" w:rsidRDefault="00D11308" w:rsidP="000A15AB">
            <w:pPr>
              <w:jc w:val="both"/>
              <w:rPr>
                <w:rFonts w:eastAsia="Times New Roman"/>
                <w:sz w:val="24"/>
                <w:szCs w:val="24"/>
                <w:lang w:val="lv-LV" w:eastAsia="lv-LV"/>
              </w:rPr>
            </w:pPr>
            <w:r w:rsidRPr="00311205">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6AA6E2" w14:textId="77777777" w:rsidR="00D11308" w:rsidRPr="007B2F77" w:rsidRDefault="00D11308" w:rsidP="000A15AB">
            <w:pPr>
              <w:jc w:val="both"/>
              <w:rPr>
                <w:rFonts w:eastAsia="Times New Roman"/>
                <w:sz w:val="24"/>
                <w:szCs w:val="24"/>
                <w:lang w:val="lv-LV" w:eastAsia="lv-LV"/>
              </w:rPr>
            </w:pPr>
            <w:r w:rsidRPr="007B2F77">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911561" w14:textId="77777777" w:rsidR="0078115C" w:rsidRPr="007B2F77" w:rsidRDefault="002E79E4" w:rsidP="00287FF2">
            <w:pPr>
              <w:jc w:val="both"/>
              <w:rPr>
                <w:sz w:val="24"/>
                <w:szCs w:val="24"/>
                <w:lang w:val="lv-LV"/>
              </w:rPr>
            </w:pPr>
            <w:r w:rsidRPr="007B2F77">
              <w:rPr>
                <w:sz w:val="24"/>
                <w:szCs w:val="24"/>
                <w:lang w:val="lv-LV"/>
              </w:rPr>
              <w:t>Noteikumu projekts sagatavots</w:t>
            </w:r>
            <w:r w:rsidR="00BB643A" w:rsidRPr="007B2F77">
              <w:rPr>
                <w:sz w:val="24"/>
                <w:szCs w:val="24"/>
                <w:lang w:val="lv-LV"/>
              </w:rPr>
              <w:t>,</w:t>
            </w:r>
            <w:r w:rsidRPr="007B2F77">
              <w:rPr>
                <w:sz w:val="24"/>
                <w:szCs w:val="24"/>
                <w:lang w:val="lv-LV"/>
              </w:rPr>
              <w:t xml:space="preserve"> pamatojoties uz Eiropas Savienības struktūrfondu un Kohēzijas fonda vadības likuma 18.panta 10.punktu</w:t>
            </w:r>
            <w:r w:rsidR="00287FF2" w:rsidRPr="007B2F77">
              <w:rPr>
                <w:sz w:val="24"/>
                <w:szCs w:val="24"/>
                <w:lang w:val="lv-LV"/>
              </w:rPr>
              <w:t>.</w:t>
            </w:r>
          </w:p>
        </w:tc>
      </w:tr>
      <w:tr w:rsidR="00D11308" w:rsidRPr="007B2F77" w14:paraId="1151F5E9" w14:textId="77777777" w:rsidTr="000A15AB">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6E8D5992" w14:textId="77777777" w:rsidR="00D11308" w:rsidRPr="00311205" w:rsidRDefault="00D11308" w:rsidP="000A15AB">
            <w:pPr>
              <w:jc w:val="both"/>
              <w:rPr>
                <w:rFonts w:eastAsia="Times New Roman"/>
                <w:sz w:val="24"/>
                <w:szCs w:val="24"/>
                <w:lang w:val="lv-LV" w:eastAsia="lv-LV"/>
              </w:rPr>
            </w:pPr>
            <w:r w:rsidRPr="00311205">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FB22B14" w14:textId="77777777" w:rsidR="00D11308" w:rsidRPr="007B2F77" w:rsidRDefault="00D11308" w:rsidP="000A15AB">
            <w:pPr>
              <w:jc w:val="both"/>
              <w:rPr>
                <w:rFonts w:eastAsia="Times New Roman"/>
                <w:sz w:val="24"/>
                <w:szCs w:val="24"/>
                <w:lang w:val="lv-LV" w:eastAsia="lv-LV"/>
              </w:rPr>
            </w:pPr>
            <w:r w:rsidRPr="007B2F77">
              <w:rPr>
                <w:rFonts w:eastAsia="Times New Roman"/>
                <w:sz w:val="24"/>
                <w:szCs w:val="24"/>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2B6D9E" w14:textId="77777777" w:rsidR="0085210B" w:rsidRDefault="0085210B" w:rsidP="00890272">
            <w:pPr>
              <w:ind w:firstLine="567"/>
              <w:jc w:val="both"/>
              <w:rPr>
                <w:bCs/>
                <w:sz w:val="24"/>
                <w:szCs w:val="24"/>
                <w:lang w:val="lv-LV"/>
              </w:rPr>
            </w:pPr>
            <w:r>
              <w:rPr>
                <w:bCs/>
                <w:sz w:val="24"/>
                <w:szCs w:val="24"/>
                <w:lang w:val="lv-LV"/>
              </w:rPr>
              <w:t xml:space="preserve">Saskaņā ar Ministru kabineta 2009.gada 10.marta noteikumu Nr.238 „Noteikumi par darbības programmas „Uzņēmējdarbība un inovācijas” papildinājuma 2.2.1.4.1.apakšaktivitāti „Atbalsts aizdevumu veidā komersantu konkurētspējas uzlabošanai” (turpmāk – MK noteikumi Nr.238) 5.punktu atbildīgā iestāde ir Ekonomikas ministrija (turpmāk- EM), savukārt saskaņā ar 9.punktu projekta iesniedzējs ir akciju sabiedrība „Attīstības finanšu institūcija </w:t>
            </w:r>
            <w:proofErr w:type="spellStart"/>
            <w:r>
              <w:rPr>
                <w:bCs/>
                <w:sz w:val="24"/>
                <w:szCs w:val="24"/>
                <w:lang w:val="lv-LV"/>
              </w:rPr>
              <w:t>Altum</w:t>
            </w:r>
            <w:proofErr w:type="spellEnd"/>
            <w:r>
              <w:rPr>
                <w:bCs/>
                <w:sz w:val="24"/>
                <w:szCs w:val="24"/>
                <w:lang w:val="lv-LV"/>
              </w:rPr>
              <w:t xml:space="preserve">” (turpmāk – sabiedrība </w:t>
            </w:r>
            <w:proofErr w:type="spellStart"/>
            <w:r>
              <w:rPr>
                <w:bCs/>
                <w:sz w:val="24"/>
                <w:szCs w:val="24"/>
                <w:lang w:val="lv-LV"/>
              </w:rPr>
              <w:t>Altum</w:t>
            </w:r>
            <w:proofErr w:type="spellEnd"/>
            <w:r>
              <w:rPr>
                <w:bCs/>
                <w:sz w:val="24"/>
                <w:szCs w:val="24"/>
                <w:lang w:val="lv-LV"/>
              </w:rPr>
              <w:t>).</w:t>
            </w:r>
          </w:p>
          <w:p w14:paraId="6A190795" w14:textId="77777777" w:rsidR="0085210B" w:rsidRDefault="0085210B" w:rsidP="00890272">
            <w:pPr>
              <w:ind w:firstLine="567"/>
              <w:jc w:val="both"/>
              <w:rPr>
                <w:bCs/>
                <w:sz w:val="24"/>
                <w:szCs w:val="24"/>
                <w:lang w:val="lv-LV"/>
              </w:rPr>
            </w:pPr>
            <w:r>
              <w:rPr>
                <w:bCs/>
                <w:sz w:val="24"/>
                <w:szCs w:val="24"/>
                <w:lang w:val="lv-LV"/>
              </w:rPr>
              <w:t xml:space="preserve">2009.gada 21.aprīlī tika noslēgts līgums starp sabiedrību </w:t>
            </w:r>
            <w:proofErr w:type="spellStart"/>
            <w:r>
              <w:rPr>
                <w:bCs/>
                <w:sz w:val="24"/>
                <w:szCs w:val="24"/>
                <w:lang w:val="lv-LV"/>
              </w:rPr>
              <w:t>Altum</w:t>
            </w:r>
            <w:proofErr w:type="spellEnd"/>
            <w:r>
              <w:rPr>
                <w:bCs/>
                <w:sz w:val="24"/>
                <w:szCs w:val="24"/>
                <w:lang w:val="lv-LV"/>
              </w:rPr>
              <w:t xml:space="preserve"> un EM par </w:t>
            </w:r>
            <w:r w:rsidR="00890272">
              <w:rPr>
                <w:bCs/>
                <w:sz w:val="24"/>
                <w:szCs w:val="24"/>
                <w:lang w:val="lv-LV"/>
              </w:rPr>
              <w:t xml:space="preserve">2.2.1.4.1.apakšaktivitātes „Atbalsts aizdevumu veidā komersantu konkurētspējas uzlabošanai” (turpmāk – 2.2.1.4.1.aktivitāte) </w:t>
            </w:r>
            <w:r>
              <w:rPr>
                <w:bCs/>
                <w:sz w:val="24"/>
                <w:szCs w:val="24"/>
                <w:lang w:val="lv-LV"/>
              </w:rPr>
              <w:t xml:space="preserve">pirmās projektu iesniegumu atlases kārtas īstenošanu. Tās īstenošana ir noslēgusies 2014.gada </w:t>
            </w:r>
            <w:r w:rsidR="00C50C96">
              <w:rPr>
                <w:bCs/>
                <w:sz w:val="24"/>
                <w:szCs w:val="24"/>
                <w:lang w:val="lv-LV"/>
              </w:rPr>
              <w:t xml:space="preserve">30.jūnijā. Līdz pirmās projektu iesniegumu atlases kārtas beigām </w:t>
            </w:r>
            <w:r>
              <w:rPr>
                <w:bCs/>
                <w:sz w:val="24"/>
                <w:szCs w:val="24"/>
                <w:lang w:val="lv-LV"/>
              </w:rPr>
              <w:t xml:space="preserve">sabiedrība </w:t>
            </w:r>
            <w:proofErr w:type="spellStart"/>
            <w:r>
              <w:rPr>
                <w:bCs/>
                <w:sz w:val="24"/>
                <w:szCs w:val="24"/>
                <w:lang w:val="lv-LV"/>
              </w:rPr>
              <w:t>Altum</w:t>
            </w:r>
            <w:proofErr w:type="spellEnd"/>
            <w:r>
              <w:rPr>
                <w:bCs/>
                <w:sz w:val="24"/>
                <w:szCs w:val="24"/>
                <w:lang w:val="lv-LV"/>
              </w:rPr>
              <w:t xml:space="preserve"> ir noslēgusi</w:t>
            </w:r>
            <w:r w:rsidRPr="0085210B">
              <w:rPr>
                <w:bCs/>
                <w:sz w:val="24"/>
                <w:szCs w:val="24"/>
                <w:lang w:val="lv-LV"/>
              </w:rPr>
              <w:t xml:space="preserve"> 100 aizdevumu līgumus par kopējo finansējumu 76 232 886 </w:t>
            </w:r>
            <w:proofErr w:type="spellStart"/>
            <w:r w:rsidRPr="0085210B">
              <w:rPr>
                <w:bCs/>
                <w:i/>
                <w:sz w:val="24"/>
                <w:szCs w:val="24"/>
                <w:lang w:val="lv-LV"/>
              </w:rPr>
              <w:t>euro</w:t>
            </w:r>
            <w:proofErr w:type="spellEnd"/>
            <w:r w:rsidRPr="0085210B">
              <w:rPr>
                <w:bCs/>
                <w:sz w:val="24"/>
                <w:szCs w:val="24"/>
                <w:lang w:val="lv-LV"/>
              </w:rPr>
              <w:t xml:space="preserve"> apmērā, tajā skaitā ERAF finansējums – 50 039 266 </w:t>
            </w:r>
            <w:proofErr w:type="spellStart"/>
            <w:r w:rsidRPr="0085210B">
              <w:rPr>
                <w:bCs/>
                <w:i/>
                <w:sz w:val="24"/>
                <w:szCs w:val="24"/>
                <w:lang w:val="lv-LV"/>
              </w:rPr>
              <w:t>euro</w:t>
            </w:r>
            <w:proofErr w:type="spellEnd"/>
            <w:r w:rsidRPr="0085210B">
              <w:rPr>
                <w:bCs/>
                <w:sz w:val="24"/>
                <w:szCs w:val="24"/>
                <w:lang w:val="lv-LV"/>
              </w:rPr>
              <w:t xml:space="preserve">. Noslēgto līgumu ietvaros ir uzņemtas lielākas saistības nekā pieejamais finansējums saskaņā ar </w:t>
            </w:r>
            <w:r>
              <w:rPr>
                <w:bCs/>
                <w:sz w:val="24"/>
                <w:szCs w:val="24"/>
                <w:lang w:val="lv-LV"/>
              </w:rPr>
              <w:t xml:space="preserve">sabiedrības </w:t>
            </w:r>
            <w:proofErr w:type="spellStart"/>
            <w:r>
              <w:rPr>
                <w:bCs/>
                <w:sz w:val="24"/>
                <w:szCs w:val="24"/>
                <w:lang w:val="lv-LV"/>
              </w:rPr>
              <w:t>Altum</w:t>
            </w:r>
            <w:proofErr w:type="spellEnd"/>
            <w:r w:rsidRPr="0085210B">
              <w:rPr>
                <w:bCs/>
                <w:sz w:val="24"/>
                <w:szCs w:val="24"/>
                <w:lang w:val="lv-LV"/>
              </w:rPr>
              <w:t xml:space="preserve"> un EM noslēgtā </w:t>
            </w:r>
            <w:r>
              <w:rPr>
                <w:bCs/>
                <w:sz w:val="24"/>
                <w:szCs w:val="24"/>
                <w:lang w:val="lv-LV"/>
              </w:rPr>
              <w:t>l</w:t>
            </w:r>
            <w:r w:rsidRPr="0085210B">
              <w:rPr>
                <w:bCs/>
                <w:sz w:val="24"/>
                <w:szCs w:val="24"/>
                <w:lang w:val="lv-LV"/>
              </w:rPr>
              <w:t xml:space="preserve">īguma 7.10.punktu, kas nosaka, ka aizdevuma fonda atmaksas 10% apmērā no </w:t>
            </w:r>
            <w:r>
              <w:rPr>
                <w:bCs/>
                <w:sz w:val="24"/>
                <w:szCs w:val="24"/>
                <w:lang w:val="lv-LV"/>
              </w:rPr>
              <w:t xml:space="preserve">līgumā norādītā Aizdevuma fonda sabiedrība </w:t>
            </w:r>
            <w:proofErr w:type="spellStart"/>
            <w:r>
              <w:rPr>
                <w:bCs/>
                <w:sz w:val="24"/>
                <w:szCs w:val="24"/>
                <w:lang w:val="lv-LV"/>
              </w:rPr>
              <w:t>Altum</w:t>
            </w:r>
            <w:proofErr w:type="spellEnd"/>
            <w:r>
              <w:rPr>
                <w:bCs/>
                <w:sz w:val="24"/>
                <w:szCs w:val="24"/>
                <w:lang w:val="lv-LV"/>
              </w:rPr>
              <w:t xml:space="preserve"> izmanto atbilstoši l</w:t>
            </w:r>
            <w:r w:rsidRPr="0085210B">
              <w:rPr>
                <w:bCs/>
                <w:sz w:val="24"/>
                <w:szCs w:val="24"/>
                <w:lang w:val="lv-LV"/>
              </w:rPr>
              <w:t xml:space="preserve">īgumā paredzētajam mērķim un kārtībai.  </w:t>
            </w:r>
            <w:r>
              <w:rPr>
                <w:bCs/>
                <w:sz w:val="24"/>
                <w:szCs w:val="24"/>
                <w:lang w:val="lv-LV"/>
              </w:rPr>
              <w:t xml:space="preserve">Pirmās projektu iesniegumu atlases kārtas ietvaros sabiedrība </w:t>
            </w:r>
            <w:proofErr w:type="spellStart"/>
            <w:r>
              <w:rPr>
                <w:bCs/>
                <w:sz w:val="24"/>
                <w:szCs w:val="24"/>
                <w:lang w:val="lv-LV"/>
              </w:rPr>
              <w:t>Altum</w:t>
            </w:r>
            <w:proofErr w:type="spellEnd"/>
            <w:r>
              <w:rPr>
                <w:bCs/>
                <w:sz w:val="24"/>
                <w:szCs w:val="24"/>
                <w:lang w:val="lv-LV"/>
              </w:rPr>
              <w:t xml:space="preserve"> ir veikusi maksājumus 73 347 479 </w:t>
            </w:r>
            <w:proofErr w:type="spellStart"/>
            <w:r w:rsidRPr="00480261">
              <w:rPr>
                <w:bCs/>
                <w:i/>
                <w:sz w:val="24"/>
                <w:szCs w:val="24"/>
                <w:lang w:val="lv-LV"/>
              </w:rPr>
              <w:t>euro</w:t>
            </w:r>
            <w:proofErr w:type="spellEnd"/>
            <w:r>
              <w:rPr>
                <w:bCs/>
                <w:sz w:val="24"/>
                <w:szCs w:val="24"/>
                <w:lang w:val="lv-LV"/>
              </w:rPr>
              <w:t xml:space="preserve"> apmērā, kas sastāda </w:t>
            </w:r>
            <w:r w:rsidR="00890272">
              <w:rPr>
                <w:bCs/>
                <w:sz w:val="24"/>
                <w:szCs w:val="24"/>
                <w:lang w:val="lv-LV"/>
              </w:rPr>
              <w:t>101% no Aizdevuma fonda apmēra.</w:t>
            </w:r>
          </w:p>
          <w:p w14:paraId="5D44E061" w14:textId="6E97C901" w:rsidR="00480261" w:rsidRDefault="0085210B" w:rsidP="00890272">
            <w:pPr>
              <w:pStyle w:val="FootnoteText"/>
              <w:jc w:val="both"/>
              <w:rPr>
                <w:sz w:val="24"/>
                <w:szCs w:val="24"/>
                <w:lang w:val="lv-LV"/>
              </w:rPr>
            </w:pPr>
            <w:r w:rsidRPr="004E7105">
              <w:rPr>
                <w:sz w:val="24"/>
                <w:szCs w:val="24"/>
                <w:lang w:val="lv-LV"/>
              </w:rPr>
              <w:t>2014.gada 25.</w:t>
            </w:r>
            <w:r w:rsidR="00890272">
              <w:rPr>
                <w:sz w:val="24"/>
                <w:szCs w:val="24"/>
                <w:lang w:val="lv-LV"/>
              </w:rPr>
              <w:t xml:space="preserve">augustā </w:t>
            </w:r>
            <w:r w:rsidR="005B7CB3">
              <w:rPr>
                <w:sz w:val="24"/>
                <w:szCs w:val="24"/>
                <w:lang w:val="lv-LV"/>
              </w:rPr>
              <w:t xml:space="preserve">sabiedrība </w:t>
            </w:r>
            <w:proofErr w:type="spellStart"/>
            <w:r w:rsidR="005B7CB3">
              <w:rPr>
                <w:sz w:val="24"/>
                <w:szCs w:val="24"/>
                <w:lang w:val="lv-LV"/>
              </w:rPr>
              <w:t>Altum</w:t>
            </w:r>
            <w:proofErr w:type="spellEnd"/>
            <w:r w:rsidR="00890272">
              <w:rPr>
                <w:sz w:val="24"/>
                <w:szCs w:val="24"/>
                <w:lang w:val="lv-LV"/>
              </w:rPr>
              <w:t xml:space="preserve"> uzsāka 2.2.1.4.1.</w:t>
            </w:r>
            <w:r w:rsidRPr="004E7105">
              <w:rPr>
                <w:sz w:val="24"/>
                <w:szCs w:val="24"/>
                <w:lang w:val="lv-LV"/>
              </w:rPr>
              <w:t xml:space="preserve">aktivitātes </w:t>
            </w:r>
            <w:r w:rsidRPr="00890272">
              <w:rPr>
                <w:sz w:val="24"/>
                <w:szCs w:val="24"/>
                <w:lang w:val="lv-LV"/>
              </w:rPr>
              <w:t xml:space="preserve">otrās projektu iesniegumu atlases kārtas īstenošanu. </w:t>
            </w:r>
            <w:r w:rsidR="00890272">
              <w:rPr>
                <w:sz w:val="24"/>
                <w:szCs w:val="24"/>
                <w:lang w:val="lv-LV"/>
              </w:rPr>
              <w:t xml:space="preserve">Saskaņā ar 2014.gada 3.novembra grozījumiem MK noteikumos Nr.238, otrās projektu iesniegumu atlases kārtas ietvaros turpmāk tika sniegti arī aizdevumi saimnieciskās darbības uzsācējiem. </w:t>
            </w:r>
          </w:p>
          <w:p w14:paraId="3660CFBE" w14:textId="4DAEEAD1" w:rsidR="00674316" w:rsidRDefault="00890272" w:rsidP="00674316">
            <w:pPr>
              <w:pStyle w:val="FootnoteText"/>
              <w:jc w:val="both"/>
              <w:rPr>
                <w:bCs/>
                <w:sz w:val="24"/>
                <w:szCs w:val="24"/>
                <w:lang w:val="lv-LV"/>
              </w:rPr>
            </w:pPr>
            <w:r>
              <w:rPr>
                <w:sz w:val="24"/>
                <w:szCs w:val="24"/>
                <w:lang w:val="lv-LV"/>
              </w:rPr>
              <w:t>Saskaņā ar MK noteikumu Nr.238 8.</w:t>
            </w:r>
            <w:r w:rsidRPr="00890272">
              <w:rPr>
                <w:sz w:val="24"/>
                <w:szCs w:val="24"/>
                <w:vertAlign w:val="superscript"/>
                <w:lang w:val="lv-LV"/>
              </w:rPr>
              <w:t>1</w:t>
            </w:r>
            <w:r>
              <w:rPr>
                <w:sz w:val="24"/>
                <w:szCs w:val="24"/>
                <w:lang w:val="lv-LV"/>
              </w:rPr>
              <w:t xml:space="preserve">punktu, </w:t>
            </w:r>
            <w:r w:rsidR="0085210B" w:rsidRPr="00BB71EB">
              <w:rPr>
                <w:sz w:val="24"/>
                <w:szCs w:val="24"/>
                <w:lang w:val="lv-LV"/>
              </w:rPr>
              <w:t>otrās projektu iesniegumu atlases kārtas ietvaros kopējais pieejamais finansējums ir 10</w:t>
            </w:r>
            <w:r>
              <w:rPr>
                <w:sz w:val="24"/>
                <w:szCs w:val="24"/>
                <w:lang w:val="lv-LV"/>
              </w:rPr>
              <w:t> 783 523</w:t>
            </w:r>
            <w:r w:rsidR="0085210B" w:rsidRPr="00BB71EB">
              <w:rPr>
                <w:sz w:val="24"/>
                <w:szCs w:val="24"/>
                <w:lang w:val="lv-LV"/>
              </w:rPr>
              <w:t xml:space="preserve"> </w:t>
            </w:r>
            <w:proofErr w:type="spellStart"/>
            <w:r w:rsidR="0085210B" w:rsidRPr="00BB71EB">
              <w:rPr>
                <w:i/>
                <w:sz w:val="24"/>
                <w:szCs w:val="24"/>
                <w:lang w:val="lv-LV"/>
              </w:rPr>
              <w:t>euro</w:t>
            </w:r>
            <w:proofErr w:type="spellEnd"/>
            <w:r w:rsidR="0085210B" w:rsidRPr="00BB71EB">
              <w:rPr>
                <w:i/>
                <w:sz w:val="24"/>
                <w:szCs w:val="24"/>
                <w:lang w:val="lv-LV"/>
              </w:rPr>
              <w:t>,</w:t>
            </w:r>
            <w:r w:rsidR="0085210B" w:rsidRPr="00BB71EB">
              <w:rPr>
                <w:sz w:val="24"/>
                <w:szCs w:val="24"/>
                <w:lang w:val="lv-LV"/>
              </w:rPr>
              <w:t xml:space="preserve"> ko veido ERAF finansējums – </w:t>
            </w:r>
            <w:r>
              <w:rPr>
                <w:sz w:val="24"/>
                <w:szCs w:val="24"/>
                <w:lang w:val="lv-LV"/>
              </w:rPr>
              <w:t>7 506 258</w:t>
            </w:r>
            <w:r w:rsidR="0085210B" w:rsidRPr="00BB71EB">
              <w:rPr>
                <w:sz w:val="24"/>
                <w:szCs w:val="24"/>
                <w:lang w:val="lv-LV"/>
              </w:rPr>
              <w:t xml:space="preserve"> </w:t>
            </w:r>
            <w:proofErr w:type="spellStart"/>
            <w:r w:rsidR="0085210B" w:rsidRPr="00BB71EB">
              <w:rPr>
                <w:i/>
                <w:sz w:val="24"/>
                <w:szCs w:val="24"/>
                <w:lang w:val="lv-LV"/>
              </w:rPr>
              <w:t>euro</w:t>
            </w:r>
            <w:proofErr w:type="spellEnd"/>
            <w:r w:rsidR="0085210B" w:rsidRPr="00BB71EB">
              <w:rPr>
                <w:i/>
                <w:sz w:val="24"/>
                <w:szCs w:val="24"/>
                <w:lang w:val="lv-LV"/>
              </w:rPr>
              <w:t>,</w:t>
            </w:r>
            <w:r w:rsidR="0085210B" w:rsidRPr="00BB71EB">
              <w:rPr>
                <w:sz w:val="24"/>
                <w:szCs w:val="24"/>
                <w:lang w:val="lv-LV"/>
              </w:rPr>
              <w:t xml:space="preserve"> valsts budžets – </w:t>
            </w:r>
            <w:r>
              <w:rPr>
                <w:sz w:val="24"/>
                <w:szCs w:val="24"/>
                <w:lang w:val="lv-LV"/>
              </w:rPr>
              <w:t>662 536</w:t>
            </w:r>
            <w:r w:rsidR="0085210B" w:rsidRPr="00BB71EB">
              <w:rPr>
                <w:sz w:val="24"/>
                <w:szCs w:val="24"/>
                <w:lang w:val="lv-LV"/>
              </w:rPr>
              <w:t xml:space="preserve"> </w:t>
            </w:r>
            <w:proofErr w:type="spellStart"/>
            <w:r w:rsidR="0085210B" w:rsidRPr="00BB71EB">
              <w:rPr>
                <w:i/>
                <w:sz w:val="24"/>
                <w:szCs w:val="24"/>
                <w:lang w:val="lv-LV"/>
              </w:rPr>
              <w:t>euro</w:t>
            </w:r>
            <w:proofErr w:type="spellEnd"/>
            <w:r w:rsidR="0085210B" w:rsidRPr="00BB71EB">
              <w:rPr>
                <w:sz w:val="24"/>
                <w:szCs w:val="24"/>
                <w:lang w:val="lv-LV"/>
              </w:rPr>
              <w:t xml:space="preserve"> un </w:t>
            </w:r>
            <w:r>
              <w:rPr>
                <w:sz w:val="24"/>
                <w:szCs w:val="24"/>
                <w:lang w:val="lv-LV"/>
              </w:rPr>
              <w:t xml:space="preserve">sabiedrības </w:t>
            </w:r>
            <w:proofErr w:type="spellStart"/>
            <w:r>
              <w:rPr>
                <w:sz w:val="24"/>
                <w:szCs w:val="24"/>
                <w:lang w:val="lv-LV"/>
              </w:rPr>
              <w:t>Altum</w:t>
            </w:r>
            <w:proofErr w:type="spellEnd"/>
            <w:r w:rsidR="0085210B" w:rsidRPr="00BB71EB">
              <w:rPr>
                <w:sz w:val="24"/>
                <w:szCs w:val="24"/>
                <w:lang w:val="lv-LV"/>
              </w:rPr>
              <w:t xml:space="preserve"> līdzfinansējums - 2 614 729 </w:t>
            </w:r>
            <w:proofErr w:type="spellStart"/>
            <w:r w:rsidR="0085210B" w:rsidRPr="00BB71EB">
              <w:rPr>
                <w:i/>
                <w:sz w:val="24"/>
                <w:szCs w:val="24"/>
                <w:lang w:val="lv-LV"/>
              </w:rPr>
              <w:t>euro</w:t>
            </w:r>
            <w:proofErr w:type="spellEnd"/>
            <w:r w:rsidR="0085210B" w:rsidRPr="00BB71EB">
              <w:rPr>
                <w:i/>
                <w:sz w:val="24"/>
                <w:szCs w:val="24"/>
                <w:lang w:val="lv-LV"/>
              </w:rPr>
              <w:t>.</w:t>
            </w:r>
            <w:r w:rsidR="00BC7F95">
              <w:rPr>
                <w:i/>
                <w:sz w:val="24"/>
                <w:szCs w:val="24"/>
                <w:lang w:val="lv-LV"/>
              </w:rPr>
              <w:t xml:space="preserve"> </w:t>
            </w:r>
            <w:r w:rsidR="00BC7F95" w:rsidRPr="00BC7F95">
              <w:rPr>
                <w:sz w:val="24"/>
                <w:szCs w:val="24"/>
                <w:lang w:val="lv-LV"/>
              </w:rPr>
              <w:t>Saskaņā ar EM un sabiedrība</w:t>
            </w:r>
            <w:r w:rsidR="00BC7F95">
              <w:rPr>
                <w:sz w:val="24"/>
                <w:szCs w:val="24"/>
                <w:lang w:val="lv-LV"/>
              </w:rPr>
              <w:t xml:space="preserve">s </w:t>
            </w:r>
            <w:proofErr w:type="spellStart"/>
            <w:r w:rsidR="00BC7F95">
              <w:rPr>
                <w:sz w:val="24"/>
                <w:szCs w:val="24"/>
                <w:lang w:val="lv-LV"/>
              </w:rPr>
              <w:t>Alt</w:t>
            </w:r>
            <w:r w:rsidR="00BC7F95" w:rsidRPr="00BC7F95">
              <w:rPr>
                <w:sz w:val="24"/>
                <w:szCs w:val="24"/>
                <w:lang w:val="lv-LV"/>
              </w:rPr>
              <w:t>um</w:t>
            </w:r>
            <w:proofErr w:type="spellEnd"/>
            <w:r w:rsidR="00BC7F95" w:rsidRPr="00BC7F95">
              <w:rPr>
                <w:sz w:val="24"/>
                <w:szCs w:val="24"/>
                <w:lang w:val="lv-LV"/>
              </w:rPr>
              <w:t xml:space="preserve"> noslēgto līgumu,</w:t>
            </w:r>
            <w:r w:rsidR="00BC7F95">
              <w:rPr>
                <w:sz w:val="24"/>
                <w:szCs w:val="24"/>
                <w:lang w:val="lv-LV"/>
              </w:rPr>
              <w:t xml:space="preserve"> </w:t>
            </w:r>
            <w:r w:rsidR="00CE46D6">
              <w:rPr>
                <w:sz w:val="24"/>
                <w:szCs w:val="24"/>
                <w:lang w:val="lv-LV"/>
              </w:rPr>
              <w:t xml:space="preserve">otrās projektu iesniegumu atlases kārtas ietvaros aizdevumiem pieejamais finansējums ir 10 044 660 </w:t>
            </w:r>
            <w:proofErr w:type="spellStart"/>
            <w:r w:rsidR="00CE46D6" w:rsidRPr="00CE46D6">
              <w:rPr>
                <w:i/>
                <w:sz w:val="24"/>
                <w:szCs w:val="24"/>
                <w:lang w:val="lv-LV"/>
              </w:rPr>
              <w:t>euro</w:t>
            </w:r>
            <w:proofErr w:type="spellEnd"/>
            <w:r w:rsidR="00CE46D6">
              <w:rPr>
                <w:sz w:val="24"/>
                <w:szCs w:val="24"/>
                <w:lang w:val="lv-LV"/>
              </w:rPr>
              <w:t xml:space="preserve"> (ERAF- 6 850 868 </w:t>
            </w:r>
            <w:proofErr w:type="spellStart"/>
            <w:r w:rsidR="00CE46D6" w:rsidRPr="00CE46D6">
              <w:rPr>
                <w:i/>
                <w:sz w:val="24"/>
                <w:szCs w:val="24"/>
                <w:lang w:val="lv-LV"/>
              </w:rPr>
              <w:t>euro</w:t>
            </w:r>
            <w:proofErr w:type="spellEnd"/>
            <w:r w:rsidR="00CE46D6">
              <w:rPr>
                <w:sz w:val="24"/>
                <w:szCs w:val="24"/>
                <w:lang w:val="lv-LV"/>
              </w:rPr>
              <w:t xml:space="preserve">, valsts budžets – 579 063 </w:t>
            </w:r>
            <w:proofErr w:type="spellStart"/>
            <w:r w:rsidR="00CE46D6" w:rsidRPr="00CE46D6">
              <w:rPr>
                <w:i/>
                <w:sz w:val="24"/>
                <w:szCs w:val="24"/>
                <w:lang w:val="lv-LV"/>
              </w:rPr>
              <w:t>euro</w:t>
            </w:r>
            <w:proofErr w:type="spellEnd"/>
            <w:r w:rsidR="00CE46D6">
              <w:rPr>
                <w:sz w:val="24"/>
                <w:szCs w:val="24"/>
                <w:lang w:val="lv-LV"/>
              </w:rPr>
              <w:t xml:space="preserve">, sabiedrības </w:t>
            </w:r>
            <w:proofErr w:type="spellStart"/>
            <w:r w:rsidR="00CE46D6">
              <w:rPr>
                <w:sz w:val="24"/>
                <w:szCs w:val="24"/>
                <w:lang w:val="lv-LV"/>
              </w:rPr>
              <w:t>Altum</w:t>
            </w:r>
            <w:proofErr w:type="spellEnd"/>
            <w:r w:rsidR="00CE46D6">
              <w:rPr>
                <w:sz w:val="24"/>
                <w:szCs w:val="24"/>
                <w:lang w:val="lv-LV"/>
              </w:rPr>
              <w:t xml:space="preserve"> finansējums- 2 614 729 </w:t>
            </w:r>
            <w:proofErr w:type="spellStart"/>
            <w:r w:rsidR="00CE46D6" w:rsidRPr="00CE46D6">
              <w:rPr>
                <w:i/>
                <w:sz w:val="24"/>
                <w:szCs w:val="24"/>
                <w:lang w:val="lv-LV"/>
              </w:rPr>
              <w:t>euro</w:t>
            </w:r>
            <w:proofErr w:type="spellEnd"/>
            <w:r w:rsidR="00CE46D6">
              <w:rPr>
                <w:sz w:val="24"/>
                <w:szCs w:val="24"/>
                <w:lang w:val="lv-LV"/>
              </w:rPr>
              <w:t xml:space="preserve">), savukārt </w:t>
            </w:r>
            <w:r w:rsidR="00CE46D6">
              <w:rPr>
                <w:bCs/>
                <w:sz w:val="24"/>
                <w:szCs w:val="24"/>
                <w:lang w:val="lv-LV"/>
              </w:rPr>
              <w:t>sabiedrības</w:t>
            </w:r>
            <w:r w:rsidR="00CE46D6" w:rsidRPr="00674316">
              <w:rPr>
                <w:bCs/>
                <w:sz w:val="24"/>
                <w:szCs w:val="24"/>
                <w:lang w:val="lv-LV"/>
              </w:rPr>
              <w:t xml:space="preserve"> </w:t>
            </w:r>
            <w:proofErr w:type="spellStart"/>
            <w:r w:rsidR="00CE46D6" w:rsidRPr="00674316">
              <w:rPr>
                <w:bCs/>
                <w:sz w:val="24"/>
                <w:szCs w:val="24"/>
                <w:lang w:val="lv-LV"/>
              </w:rPr>
              <w:t>Altum</w:t>
            </w:r>
            <w:proofErr w:type="spellEnd"/>
            <w:r w:rsidR="00CE46D6" w:rsidRPr="00674316">
              <w:rPr>
                <w:bCs/>
                <w:sz w:val="24"/>
                <w:szCs w:val="24"/>
                <w:lang w:val="lv-LV"/>
              </w:rPr>
              <w:t xml:space="preserve"> </w:t>
            </w:r>
            <w:r w:rsidR="00CE46D6">
              <w:rPr>
                <w:sz w:val="24"/>
                <w:szCs w:val="24"/>
                <w:lang w:val="lv-LV"/>
              </w:rPr>
              <w:t>vadības</w:t>
            </w:r>
            <w:r w:rsidR="00BC7F95">
              <w:rPr>
                <w:i/>
                <w:sz w:val="24"/>
                <w:szCs w:val="24"/>
                <w:lang w:val="lv-LV"/>
              </w:rPr>
              <w:t xml:space="preserve"> </w:t>
            </w:r>
            <w:r w:rsidR="00CE46D6" w:rsidRPr="00CE46D6">
              <w:rPr>
                <w:sz w:val="24"/>
                <w:szCs w:val="24"/>
                <w:lang w:val="lv-LV"/>
              </w:rPr>
              <w:t>izmaksām</w:t>
            </w:r>
            <w:r w:rsidR="00674316" w:rsidRPr="00CE46D6">
              <w:rPr>
                <w:sz w:val="24"/>
                <w:szCs w:val="24"/>
                <w:lang w:val="lv-LV"/>
              </w:rPr>
              <w:t xml:space="preserve"> </w:t>
            </w:r>
            <w:r w:rsidR="00674316" w:rsidRPr="00674316">
              <w:rPr>
                <w:bCs/>
                <w:sz w:val="24"/>
                <w:szCs w:val="24"/>
                <w:lang w:val="lv-LV"/>
              </w:rPr>
              <w:t>ir</w:t>
            </w:r>
            <w:r w:rsidR="0098275B">
              <w:rPr>
                <w:bCs/>
                <w:sz w:val="24"/>
                <w:szCs w:val="24"/>
                <w:lang w:val="lv-LV"/>
              </w:rPr>
              <w:t xml:space="preserve"> pieejami finanšu līdzekļi</w:t>
            </w:r>
            <w:r w:rsidR="00674316" w:rsidRPr="00674316">
              <w:rPr>
                <w:bCs/>
                <w:sz w:val="24"/>
                <w:szCs w:val="24"/>
                <w:lang w:val="lv-LV"/>
              </w:rPr>
              <w:t xml:space="preserve"> 421 573 </w:t>
            </w:r>
            <w:proofErr w:type="spellStart"/>
            <w:r w:rsidR="00674316" w:rsidRPr="00674316">
              <w:rPr>
                <w:bCs/>
                <w:i/>
                <w:sz w:val="24"/>
                <w:szCs w:val="24"/>
                <w:lang w:val="lv-LV"/>
              </w:rPr>
              <w:t>euro</w:t>
            </w:r>
            <w:proofErr w:type="spellEnd"/>
            <w:r w:rsidR="00674316" w:rsidRPr="00674316">
              <w:rPr>
                <w:bCs/>
                <w:sz w:val="24"/>
                <w:szCs w:val="24"/>
                <w:lang w:val="lv-LV"/>
              </w:rPr>
              <w:t xml:space="preserve"> apmērā (ERAF- 373 945 un valsts budžeta līdzekļi – 47 628 </w:t>
            </w:r>
            <w:proofErr w:type="spellStart"/>
            <w:r w:rsidR="00674316" w:rsidRPr="00674316">
              <w:rPr>
                <w:bCs/>
                <w:i/>
                <w:sz w:val="24"/>
                <w:szCs w:val="24"/>
                <w:lang w:val="lv-LV"/>
              </w:rPr>
              <w:t>euro</w:t>
            </w:r>
            <w:proofErr w:type="spellEnd"/>
            <w:r w:rsidR="00674316" w:rsidRPr="00674316">
              <w:rPr>
                <w:bCs/>
                <w:sz w:val="24"/>
                <w:szCs w:val="24"/>
                <w:lang w:val="lv-LV"/>
              </w:rPr>
              <w:t>).</w:t>
            </w:r>
            <w:r w:rsidR="00CE46D6">
              <w:rPr>
                <w:bCs/>
                <w:sz w:val="24"/>
                <w:szCs w:val="24"/>
                <w:lang w:val="lv-LV"/>
              </w:rPr>
              <w:t xml:space="preserve">  EM informē, ka otrās projektu iesniegumu </w:t>
            </w:r>
            <w:r w:rsidR="00CE46D6">
              <w:rPr>
                <w:bCs/>
                <w:sz w:val="24"/>
                <w:szCs w:val="24"/>
                <w:lang w:val="lv-LV"/>
              </w:rPr>
              <w:lastRenderedPageBreak/>
              <w:t xml:space="preserve">atlases kārtas ietvaros netika noslēgts līgums par visu otrajai kārtai pieejamo finansējumu, lai nepārsniegtu vadības izmaksām noteiktos </w:t>
            </w:r>
            <w:r w:rsidR="003624CD">
              <w:rPr>
                <w:bCs/>
                <w:sz w:val="24"/>
                <w:szCs w:val="24"/>
                <w:lang w:val="lv-LV"/>
              </w:rPr>
              <w:t>ierobežojumus</w:t>
            </w:r>
            <w:r w:rsidR="00CE46D6">
              <w:rPr>
                <w:bCs/>
                <w:sz w:val="24"/>
                <w:szCs w:val="24"/>
                <w:lang w:val="lv-LV"/>
              </w:rPr>
              <w:t>.</w:t>
            </w:r>
          </w:p>
          <w:p w14:paraId="3B0E7215" w14:textId="7FD17215" w:rsidR="00674316" w:rsidRDefault="00890272" w:rsidP="00480261">
            <w:pPr>
              <w:pStyle w:val="FootnoteText"/>
              <w:jc w:val="both"/>
              <w:rPr>
                <w:bCs/>
                <w:sz w:val="24"/>
                <w:szCs w:val="24"/>
                <w:lang w:val="lv-LV"/>
              </w:rPr>
            </w:pPr>
            <w:r>
              <w:rPr>
                <w:bCs/>
                <w:sz w:val="24"/>
                <w:szCs w:val="24"/>
                <w:lang w:val="lv-LV"/>
              </w:rPr>
              <w:t>Līdz š.g. 1.</w:t>
            </w:r>
            <w:r w:rsidR="00674316">
              <w:rPr>
                <w:bCs/>
                <w:sz w:val="24"/>
                <w:szCs w:val="24"/>
                <w:lang w:val="lv-LV"/>
              </w:rPr>
              <w:t>septembrim</w:t>
            </w:r>
            <w:r>
              <w:rPr>
                <w:bCs/>
                <w:sz w:val="24"/>
                <w:szCs w:val="24"/>
                <w:lang w:val="lv-LV"/>
              </w:rPr>
              <w:t xml:space="preserve"> otrās projektu iesniegumu atlases kārtas ietvaros sabiedrība </w:t>
            </w:r>
            <w:proofErr w:type="spellStart"/>
            <w:r>
              <w:rPr>
                <w:bCs/>
                <w:sz w:val="24"/>
                <w:szCs w:val="24"/>
                <w:lang w:val="lv-LV"/>
              </w:rPr>
              <w:t>Altum</w:t>
            </w:r>
            <w:proofErr w:type="spellEnd"/>
            <w:r>
              <w:rPr>
                <w:bCs/>
                <w:sz w:val="24"/>
                <w:szCs w:val="24"/>
                <w:lang w:val="lv-LV"/>
              </w:rPr>
              <w:t xml:space="preserve"> ir noslēgusi</w:t>
            </w:r>
            <w:r w:rsidRPr="0085210B">
              <w:rPr>
                <w:bCs/>
                <w:sz w:val="24"/>
                <w:szCs w:val="24"/>
                <w:lang w:val="lv-LV"/>
              </w:rPr>
              <w:t xml:space="preserve"> </w:t>
            </w:r>
            <w:r>
              <w:rPr>
                <w:bCs/>
                <w:sz w:val="24"/>
                <w:szCs w:val="24"/>
                <w:lang w:val="lv-LV"/>
              </w:rPr>
              <w:t>2</w:t>
            </w:r>
            <w:r w:rsidR="00674316">
              <w:rPr>
                <w:bCs/>
                <w:sz w:val="24"/>
                <w:szCs w:val="24"/>
                <w:lang w:val="lv-LV"/>
              </w:rPr>
              <w:t>99</w:t>
            </w:r>
            <w:r>
              <w:rPr>
                <w:bCs/>
                <w:sz w:val="24"/>
                <w:szCs w:val="24"/>
                <w:lang w:val="lv-LV"/>
              </w:rPr>
              <w:t xml:space="preserve"> </w:t>
            </w:r>
            <w:r w:rsidRPr="0085210B">
              <w:rPr>
                <w:bCs/>
                <w:sz w:val="24"/>
                <w:szCs w:val="24"/>
                <w:lang w:val="lv-LV"/>
              </w:rPr>
              <w:t xml:space="preserve">aizdevumu līgumus par kopējo finansējumu </w:t>
            </w:r>
            <w:r w:rsidR="00102BC5">
              <w:rPr>
                <w:bCs/>
                <w:sz w:val="24"/>
                <w:szCs w:val="24"/>
                <w:lang w:val="lv-LV"/>
              </w:rPr>
              <w:t>7 852 140</w:t>
            </w:r>
            <w:r w:rsidRPr="0085210B">
              <w:rPr>
                <w:bCs/>
                <w:sz w:val="24"/>
                <w:szCs w:val="24"/>
                <w:lang w:val="lv-LV"/>
              </w:rPr>
              <w:t xml:space="preserve"> </w:t>
            </w:r>
            <w:proofErr w:type="spellStart"/>
            <w:r w:rsidRPr="0085210B">
              <w:rPr>
                <w:bCs/>
                <w:i/>
                <w:sz w:val="24"/>
                <w:szCs w:val="24"/>
                <w:lang w:val="lv-LV"/>
              </w:rPr>
              <w:t>euro</w:t>
            </w:r>
            <w:proofErr w:type="spellEnd"/>
            <w:r w:rsidRPr="0085210B">
              <w:rPr>
                <w:bCs/>
                <w:sz w:val="24"/>
                <w:szCs w:val="24"/>
                <w:lang w:val="lv-LV"/>
              </w:rPr>
              <w:t xml:space="preserve"> apmērā</w:t>
            </w:r>
            <w:r w:rsidR="00226857">
              <w:rPr>
                <w:bCs/>
                <w:sz w:val="24"/>
                <w:szCs w:val="24"/>
                <w:lang w:val="lv-LV"/>
              </w:rPr>
              <w:t>.</w:t>
            </w:r>
            <w:r w:rsidRPr="0085210B">
              <w:rPr>
                <w:bCs/>
                <w:sz w:val="24"/>
                <w:szCs w:val="24"/>
                <w:lang w:val="lv-LV"/>
              </w:rPr>
              <w:t xml:space="preserve"> </w:t>
            </w:r>
            <w:r w:rsidR="00480261">
              <w:rPr>
                <w:bCs/>
                <w:sz w:val="24"/>
                <w:szCs w:val="24"/>
                <w:lang w:val="lv-LV"/>
              </w:rPr>
              <w:t xml:space="preserve">Tādējādi ir noslēgti līgumi par kopējo </w:t>
            </w:r>
            <w:r w:rsidR="00102BC5">
              <w:rPr>
                <w:bCs/>
                <w:sz w:val="24"/>
                <w:szCs w:val="24"/>
                <w:lang w:val="lv-LV"/>
              </w:rPr>
              <w:t xml:space="preserve">aizdevumiem pieejamo </w:t>
            </w:r>
            <w:r w:rsidR="00480261">
              <w:rPr>
                <w:bCs/>
                <w:sz w:val="24"/>
                <w:szCs w:val="24"/>
                <w:lang w:val="lv-LV"/>
              </w:rPr>
              <w:t xml:space="preserve">finansējumu </w:t>
            </w:r>
            <w:r w:rsidR="00102BC5">
              <w:rPr>
                <w:bCs/>
                <w:sz w:val="24"/>
                <w:szCs w:val="24"/>
                <w:lang w:val="lv-LV"/>
              </w:rPr>
              <w:t>78</w:t>
            </w:r>
            <w:r w:rsidR="00480261">
              <w:rPr>
                <w:bCs/>
                <w:sz w:val="24"/>
                <w:szCs w:val="24"/>
                <w:lang w:val="lv-LV"/>
              </w:rPr>
              <w:t xml:space="preserve">% apmērā. </w:t>
            </w:r>
            <w:r w:rsidR="0085210B" w:rsidRPr="00BB71EB">
              <w:rPr>
                <w:sz w:val="24"/>
                <w:szCs w:val="24"/>
                <w:lang w:val="lv-LV"/>
              </w:rPr>
              <w:t xml:space="preserve">Līdz </w:t>
            </w:r>
            <w:r w:rsidR="00480261">
              <w:rPr>
                <w:sz w:val="24"/>
                <w:szCs w:val="24"/>
                <w:lang w:val="lv-LV"/>
              </w:rPr>
              <w:t>š.g. 1.</w:t>
            </w:r>
            <w:r w:rsidR="00674316">
              <w:rPr>
                <w:sz w:val="24"/>
                <w:szCs w:val="24"/>
                <w:lang w:val="lv-LV"/>
              </w:rPr>
              <w:t>septembrim</w:t>
            </w:r>
            <w:r w:rsidR="0085210B" w:rsidRPr="00D16229">
              <w:rPr>
                <w:sz w:val="24"/>
                <w:szCs w:val="24"/>
                <w:lang w:val="lv-LV"/>
              </w:rPr>
              <w:t xml:space="preserve"> </w:t>
            </w:r>
            <w:r w:rsidR="0085210B" w:rsidRPr="00480261">
              <w:rPr>
                <w:sz w:val="24"/>
                <w:szCs w:val="24"/>
                <w:lang w:val="lv-LV"/>
              </w:rPr>
              <w:t>otrās projektu iesniegumu atlases kārtas</w:t>
            </w:r>
            <w:r w:rsidR="0085210B" w:rsidRPr="00D16229">
              <w:rPr>
                <w:sz w:val="24"/>
                <w:szCs w:val="24"/>
                <w:lang w:val="lv-LV"/>
              </w:rPr>
              <w:t xml:space="preserve"> ietvaros </w:t>
            </w:r>
            <w:r w:rsidR="00480261">
              <w:rPr>
                <w:bCs/>
                <w:sz w:val="24"/>
                <w:szCs w:val="24"/>
                <w:lang w:val="lv-LV"/>
              </w:rPr>
              <w:t xml:space="preserve">sabiedrība </w:t>
            </w:r>
            <w:proofErr w:type="spellStart"/>
            <w:r w:rsidR="00480261">
              <w:rPr>
                <w:bCs/>
                <w:sz w:val="24"/>
                <w:szCs w:val="24"/>
                <w:lang w:val="lv-LV"/>
              </w:rPr>
              <w:t>Altum</w:t>
            </w:r>
            <w:proofErr w:type="spellEnd"/>
            <w:r w:rsidR="0085210B" w:rsidRPr="00D16229">
              <w:rPr>
                <w:sz w:val="24"/>
                <w:szCs w:val="24"/>
                <w:lang w:val="lv-LV"/>
              </w:rPr>
              <w:t xml:space="preserve"> </w:t>
            </w:r>
            <w:r w:rsidR="00480261">
              <w:rPr>
                <w:sz w:val="24"/>
                <w:szCs w:val="24"/>
                <w:lang w:val="lv-LV"/>
              </w:rPr>
              <w:t>ir</w:t>
            </w:r>
            <w:r w:rsidR="00480261">
              <w:rPr>
                <w:bCs/>
                <w:sz w:val="24"/>
                <w:szCs w:val="24"/>
                <w:lang w:val="lv-LV"/>
              </w:rPr>
              <w:t xml:space="preserve"> veikusi maksājumus </w:t>
            </w:r>
            <w:r w:rsidR="00102BC5">
              <w:rPr>
                <w:bCs/>
                <w:sz w:val="24"/>
                <w:szCs w:val="24"/>
                <w:lang w:val="lv-LV"/>
              </w:rPr>
              <w:t>6 946 981</w:t>
            </w:r>
            <w:r w:rsidR="00480261">
              <w:rPr>
                <w:bCs/>
                <w:sz w:val="24"/>
                <w:szCs w:val="24"/>
                <w:lang w:val="lv-LV"/>
              </w:rPr>
              <w:t xml:space="preserve"> </w:t>
            </w:r>
            <w:proofErr w:type="spellStart"/>
            <w:r w:rsidR="00480261" w:rsidRPr="00480261">
              <w:rPr>
                <w:bCs/>
                <w:i/>
                <w:sz w:val="24"/>
                <w:szCs w:val="24"/>
                <w:lang w:val="lv-LV"/>
              </w:rPr>
              <w:t>euro</w:t>
            </w:r>
            <w:proofErr w:type="spellEnd"/>
            <w:r w:rsidR="00480261">
              <w:rPr>
                <w:bCs/>
                <w:sz w:val="24"/>
                <w:szCs w:val="24"/>
                <w:lang w:val="lv-LV"/>
              </w:rPr>
              <w:t xml:space="preserve"> apmērā, kas sastāda </w:t>
            </w:r>
            <w:r w:rsidR="00102BC5">
              <w:rPr>
                <w:bCs/>
                <w:sz w:val="24"/>
                <w:szCs w:val="24"/>
                <w:lang w:val="lv-LV"/>
              </w:rPr>
              <w:t>69</w:t>
            </w:r>
            <w:r w:rsidR="00480261">
              <w:rPr>
                <w:bCs/>
                <w:sz w:val="24"/>
                <w:szCs w:val="24"/>
                <w:lang w:val="lv-LV"/>
              </w:rPr>
              <w:t xml:space="preserve">% no Aizdevuma fonda apmēra. </w:t>
            </w:r>
          </w:p>
          <w:p w14:paraId="343B631A" w14:textId="4D6669E8" w:rsidR="00674316" w:rsidRPr="00156DFE" w:rsidRDefault="00467CF7" w:rsidP="00480261">
            <w:pPr>
              <w:pStyle w:val="FootnoteText"/>
              <w:jc w:val="both"/>
              <w:rPr>
                <w:bCs/>
                <w:sz w:val="24"/>
                <w:szCs w:val="24"/>
                <w:lang w:val="lv-LV"/>
              </w:rPr>
            </w:pPr>
            <w:r>
              <w:rPr>
                <w:bCs/>
                <w:sz w:val="24"/>
                <w:szCs w:val="24"/>
                <w:lang w:val="lv-LV"/>
              </w:rPr>
              <w:t xml:space="preserve">Papildus jāmin, ka saskaņā ar EM un sabiedrības </w:t>
            </w:r>
            <w:proofErr w:type="spellStart"/>
            <w:r>
              <w:rPr>
                <w:bCs/>
                <w:sz w:val="24"/>
                <w:szCs w:val="24"/>
                <w:lang w:val="lv-LV"/>
              </w:rPr>
              <w:t>Altum</w:t>
            </w:r>
            <w:proofErr w:type="spellEnd"/>
            <w:r>
              <w:rPr>
                <w:bCs/>
                <w:sz w:val="24"/>
                <w:szCs w:val="24"/>
                <w:lang w:val="lv-LV"/>
              </w:rPr>
              <w:t xml:space="preserve"> noslēgto līgumu, papildus ir pieejams</w:t>
            </w:r>
            <w:r w:rsidR="00156DFE">
              <w:rPr>
                <w:bCs/>
                <w:sz w:val="24"/>
                <w:szCs w:val="24"/>
                <w:lang w:val="lv-LV"/>
              </w:rPr>
              <w:t xml:space="preserve"> </w:t>
            </w:r>
            <w:r>
              <w:rPr>
                <w:bCs/>
                <w:sz w:val="24"/>
                <w:szCs w:val="24"/>
                <w:lang w:val="lv-LV"/>
              </w:rPr>
              <w:t xml:space="preserve">finansējums no nopelnītajiem procentu ieņēmumiem – 2 709 518 </w:t>
            </w:r>
            <w:proofErr w:type="spellStart"/>
            <w:r w:rsidRPr="00467CF7">
              <w:rPr>
                <w:bCs/>
                <w:i/>
                <w:sz w:val="24"/>
                <w:szCs w:val="24"/>
                <w:lang w:val="lv-LV"/>
              </w:rPr>
              <w:t>euro</w:t>
            </w:r>
            <w:proofErr w:type="spellEnd"/>
            <w:r>
              <w:rPr>
                <w:bCs/>
                <w:sz w:val="24"/>
                <w:szCs w:val="24"/>
                <w:lang w:val="lv-LV"/>
              </w:rPr>
              <w:t xml:space="preserve"> apmērā (ERAF finansējums- 2 403 945 </w:t>
            </w:r>
            <w:proofErr w:type="spellStart"/>
            <w:r w:rsidRPr="00467CF7">
              <w:rPr>
                <w:bCs/>
                <w:i/>
                <w:sz w:val="24"/>
                <w:szCs w:val="24"/>
                <w:lang w:val="lv-LV"/>
              </w:rPr>
              <w:t>euro</w:t>
            </w:r>
            <w:proofErr w:type="spellEnd"/>
            <w:r w:rsidRPr="00467CF7">
              <w:rPr>
                <w:bCs/>
                <w:i/>
                <w:sz w:val="24"/>
                <w:szCs w:val="24"/>
                <w:lang w:val="lv-LV"/>
              </w:rPr>
              <w:t>,</w:t>
            </w:r>
            <w:r>
              <w:rPr>
                <w:bCs/>
                <w:sz w:val="24"/>
                <w:szCs w:val="24"/>
                <w:lang w:val="lv-LV"/>
              </w:rPr>
              <w:t xml:space="preserve"> valsts budžeta finansējums – 306 106 </w:t>
            </w:r>
            <w:proofErr w:type="spellStart"/>
            <w:r w:rsidRPr="00467CF7">
              <w:rPr>
                <w:bCs/>
                <w:i/>
                <w:sz w:val="24"/>
                <w:szCs w:val="24"/>
                <w:lang w:val="lv-LV"/>
              </w:rPr>
              <w:t>euro</w:t>
            </w:r>
            <w:proofErr w:type="spellEnd"/>
            <w:r>
              <w:rPr>
                <w:bCs/>
                <w:sz w:val="24"/>
                <w:szCs w:val="24"/>
                <w:lang w:val="lv-LV"/>
              </w:rPr>
              <w:t xml:space="preserve">). Līdz š.g. 1.septembrim šī finansējuma ietvaros ir noslēgti 10 līgumi par kopējo finansējumu 1 137 385 </w:t>
            </w:r>
            <w:proofErr w:type="spellStart"/>
            <w:r w:rsidRPr="00467CF7">
              <w:rPr>
                <w:bCs/>
                <w:i/>
                <w:sz w:val="24"/>
                <w:szCs w:val="24"/>
                <w:lang w:val="lv-LV"/>
              </w:rPr>
              <w:t>euro</w:t>
            </w:r>
            <w:proofErr w:type="spellEnd"/>
            <w:r>
              <w:rPr>
                <w:bCs/>
                <w:sz w:val="24"/>
                <w:szCs w:val="24"/>
                <w:lang w:val="lv-LV"/>
              </w:rPr>
              <w:t xml:space="preserve"> (42% izpilde), savukārt izmaksāts ir finansējums 1 040 965 </w:t>
            </w:r>
            <w:proofErr w:type="spellStart"/>
            <w:r w:rsidRPr="00467CF7">
              <w:rPr>
                <w:bCs/>
                <w:i/>
                <w:sz w:val="24"/>
                <w:szCs w:val="24"/>
                <w:lang w:val="lv-LV"/>
              </w:rPr>
              <w:t>euro</w:t>
            </w:r>
            <w:proofErr w:type="spellEnd"/>
            <w:r w:rsidRPr="00467CF7">
              <w:rPr>
                <w:bCs/>
                <w:i/>
                <w:sz w:val="24"/>
                <w:szCs w:val="24"/>
                <w:lang w:val="lv-LV"/>
              </w:rPr>
              <w:t xml:space="preserve"> </w:t>
            </w:r>
            <w:r>
              <w:rPr>
                <w:bCs/>
                <w:sz w:val="24"/>
                <w:szCs w:val="24"/>
                <w:lang w:val="lv-LV"/>
              </w:rPr>
              <w:t>apmērā (38% izpilde).</w:t>
            </w:r>
            <w:r w:rsidR="00226857">
              <w:rPr>
                <w:bCs/>
                <w:sz w:val="24"/>
                <w:szCs w:val="24"/>
                <w:lang w:val="lv-LV"/>
              </w:rPr>
              <w:t xml:space="preserve"> Ar nākamajiem grozījumiem līgumā starp EM un sabiedrību </w:t>
            </w:r>
            <w:proofErr w:type="spellStart"/>
            <w:r w:rsidR="00226857">
              <w:rPr>
                <w:bCs/>
                <w:sz w:val="24"/>
                <w:szCs w:val="24"/>
                <w:lang w:val="lv-LV"/>
              </w:rPr>
              <w:t>Altum</w:t>
            </w:r>
            <w:proofErr w:type="spellEnd"/>
            <w:r w:rsidR="00226857">
              <w:rPr>
                <w:bCs/>
                <w:sz w:val="24"/>
                <w:szCs w:val="24"/>
                <w:lang w:val="lv-LV"/>
              </w:rPr>
              <w:t xml:space="preserve"> šis finansējums tiks palielināts un turpmāk sastādīs </w:t>
            </w:r>
            <w:r w:rsidR="00156DFE" w:rsidRPr="00156DFE">
              <w:rPr>
                <w:bCs/>
                <w:sz w:val="24"/>
                <w:szCs w:val="24"/>
                <w:lang w:val="lv-LV"/>
              </w:rPr>
              <w:t>2 749 84</w:t>
            </w:r>
            <w:r w:rsidR="00156DFE">
              <w:rPr>
                <w:bCs/>
                <w:sz w:val="24"/>
                <w:szCs w:val="24"/>
                <w:lang w:val="lv-LV"/>
              </w:rPr>
              <w:t>2</w:t>
            </w:r>
            <w:r w:rsidR="00156DFE" w:rsidRPr="00156DFE">
              <w:rPr>
                <w:bCs/>
                <w:sz w:val="24"/>
                <w:szCs w:val="24"/>
                <w:lang w:val="lv-LV"/>
              </w:rPr>
              <w:t xml:space="preserve"> </w:t>
            </w:r>
            <w:proofErr w:type="spellStart"/>
            <w:r w:rsidR="00156DFE" w:rsidRPr="00156DFE">
              <w:rPr>
                <w:bCs/>
                <w:i/>
                <w:sz w:val="24"/>
                <w:szCs w:val="24"/>
                <w:lang w:val="lv-LV"/>
              </w:rPr>
              <w:t>euro</w:t>
            </w:r>
            <w:proofErr w:type="spellEnd"/>
            <w:r w:rsidR="00156DFE" w:rsidRPr="00156DFE">
              <w:rPr>
                <w:bCs/>
                <w:sz w:val="24"/>
                <w:szCs w:val="24"/>
                <w:lang w:val="lv-LV"/>
              </w:rPr>
              <w:t xml:space="preserve">, t.sk. ERAF finansējums 2 439 180 </w:t>
            </w:r>
            <w:proofErr w:type="spellStart"/>
            <w:r w:rsidR="00156DFE" w:rsidRPr="00156DFE">
              <w:rPr>
                <w:bCs/>
                <w:i/>
                <w:sz w:val="24"/>
                <w:szCs w:val="24"/>
                <w:lang w:val="lv-LV"/>
              </w:rPr>
              <w:t>euro</w:t>
            </w:r>
            <w:proofErr w:type="spellEnd"/>
            <w:r w:rsidR="00156DFE" w:rsidRPr="00156DFE">
              <w:rPr>
                <w:bCs/>
                <w:sz w:val="24"/>
                <w:szCs w:val="24"/>
                <w:lang w:val="lv-LV"/>
              </w:rPr>
              <w:t xml:space="preserve"> un valsts budžeta finansējums 310</w:t>
            </w:r>
            <w:r w:rsidR="00156DFE">
              <w:rPr>
                <w:bCs/>
                <w:sz w:val="24"/>
                <w:szCs w:val="24"/>
                <w:lang w:val="lv-LV"/>
              </w:rPr>
              <w:t> </w:t>
            </w:r>
            <w:r w:rsidR="00156DFE" w:rsidRPr="00156DFE">
              <w:rPr>
                <w:bCs/>
                <w:sz w:val="24"/>
                <w:szCs w:val="24"/>
                <w:lang w:val="lv-LV"/>
              </w:rPr>
              <w:t>662</w:t>
            </w:r>
            <w:r w:rsidR="00156DFE">
              <w:rPr>
                <w:bCs/>
                <w:sz w:val="24"/>
                <w:szCs w:val="24"/>
                <w:lang w:val="lv-LV"/>
              </w:rPr>
              <w:t xml:space="preserve"> </w:t>
            </w:r>
            <w:proofErr w:type="spellStart"/>
            <w:r w:rsidR="00156DFE" w:rsidRPr="00156DFE">
              <w:rPr>
                <w:bCs/>
                <w:i/>
                <w:sz w:val="24"/>
                <w:szCs w:val="24"/>
                <w:lang w:val="lv-LV"/>
              </w:rPr>
              <w:t>euro</w:t>
            </w:r>
            <w:proofErr w:type="spellEnd"/>
            <w:r w:rsidR="00156DFE">
              <w:rPr>
                <w:bCs/>
                <w:i/>
                <w:sz w:val="24"/>
                <w:szCs w:val="24"/>
                <w:lang w:val="lv-LV"/>
              </w:rPr>
              <w:t>.</w:t>
            </w:r>
          </w:p>
          <w:p w14:paraId="65559D42" w14:textId="77777777" w:rsidR="00480261" w:rsidRDefault="00480261" w:rsidP="00480261">
            <w:pPr>
              <w:pStyle w:val="FootnoteText"/>
              <w:jc w:val="both"/>
              <w:rPr>
                <w:bCs/>
                <w:sz w:val="24"/>
                <w:szCs w:val="24"/>
                <w:lang w:val="lv-LV"/>
              </w:rPr>
            </w:pPr>
            <w:r>
              <w:rPr>
                <w:bCs/>
                <w:sz w:val="24"/>
                <w:szCs w:val="24"/>
                <w:lang w:val="lv-LV"/>
              </w:rPr>
              <w:t xml:space="preserve">Lai </w:t>
            </w:r>
            <w:r w:rsidRPr="00480261">
              <w:rPr>
                <w:bCs/>
                <w:sz w:val="24"/>
                <w:szCs w:val="24"/>
                <w:lang w:val="lv-LV"/>
              </w:rPr>
              <w:t>mazinātu 2007.-2013.gada plānošanas perioda publis</w:t>
            </w:r>
            <w:r>
              <w:rPr>
                <w:bCs/>
                <w:sz w:val="24"/>
                <w:szCs w:val="24"/>
                <w:lang w:val="lv-LV"/>
              </w:rPr>
              <w:t xml:space="preserve">kā finansējuma </w:t>
            </w:r>
            <w:proofErr w:type="spellStart"/>
            <w:r>
              <w:rPr>
                <w:bCs/>
                <w:sz w:val="24"/>
                <w:szCs w:val="24"/>
                <w:lang w:val="lv-LV"/>
              </w:rPr>
              <w:t>neapguves</w:t>
            </w:r>
            <w:proofErr w:type="spellEnd"/>
            <w:r>
              <w:rPr>
                <w:bCs/>
                <w:sz w:val="24"/>
                <w:szCs w:val="24"/>
                <w:lang w:val="lv-LV"/>
              </w:rPr>
              <w:t xml:space="preserve"> risku, kā arī nesasteigtu maksājumu veikšanu noslēgtajiem līgumiem, </w:t>
            </w:r>
            <w:r w:rsidRPr="00E259C9">
              <w:rPr>
                <w:bCs/>
                <w:sz w:val="24"/>
                <w:szCs w:val="24"/>
                <w:u w:val="single"/>
                <w:lang w:val="lv-LV"/>
              </w:rPr>
              <w:t xml:space="preserve">EM ierosina pagarināt otrās projektu iesniegumu atlases kārtas projekta īstenošana termiņu līdz 2016.gada 30.jūnijam, papildus atrunājot, ka sabiedrība </w:t>
            </w:r>
            <w:proofErr w:type="spellStart"/>
            <w:r w:rsidRPr="00E259C9">
              <w:rPr>
                <w:bCs/>
                <w:sz w:val="24"/>
                <w:szCs w:val="24"/>
                <w:u w:val="single"/>
                <w:lang w:val="lv-LV"/>
              </w:rPr>
              <w:t>Altum</w:t>
            </w:r>
            <w:proofErr w:type="spellEnd"/>
            <w:r w:rsidRPr="00E259C9">
              <w:rPr>
                <w:bCs/>
                <w:sz w:val="24"/>
                <w:szCs w:val="24"/>
                <w:u w:val="single"/>
                <w:lang w:val="lv-LV"/>
              </w:rPr>
              <w:t xml:space="preserve"> var slēgt līgumus par aizdevumu piešķiršanu līdz 2015.gada 31.decembrim, savukārt 2016.gada pirmajā pusē var notikt maksājumu veikšana aizdevumu saņēmējiem</w:t>
            </w:r>
            <w:r>
              <w:rPr>
                <w:bCs/>
                <w:sz w:val="24"/>
                <w:szCs w:val="24"/>
                <w:lang w:val="lv-LV"/>
              </w:rPr>
              <w:t xml:space="preserve">. Šāda pieeja nav pretrunā ar </w:t>
            </w:r>
            <w:r w:rsidRPr="00480261">
              <w:rPr>
                <w:bCs/>
                <w:sz w:val="24"/>
                <w:szCs w:val="24"/>
                <w:lang w:val="lv-LV"/>
              </w:rPr>
              <w:t xml:space="preserve"> Eiropas Komisijas  2015.gada 30.aprīļa pielikuma </w:t>
            </w:r>
            <w:proofErr w:type="spellStart"/>
            <w:r w:rsidRPr="00480261">
              <w:rPr>
                <w:bCs/>
                <w:sz w:val="24"/>
                <w:szCs w:val="24"/>
                <w:lang w:val="lv-LV"/>
              </w:rPr>
              <w:t>Nr.C</w:t>
            </w:r>
            <w:proofErr w:type="spellEnd"/>
            <w:r w:rsidRPr="00480261">
              <w:rPr>
                <w:bCs/>
                <w:sz w:val="24"/>
                <w:szCs w:val="24"/>
                <w:lang w:val="lv-LV"/>
              </w:rPr>
              <w:t xml:space="preserve"> (2015) 2771 Komisijas lēmumam, ar kuru groza Lēmumu </w:t>
            </w:r>
            <w:proofErr w:type="spellStart"/>
            <w:r w:rsidRPr="00480261">
              <w:rPr>
                <w:bCs/>
                <w:sz w:val="24"/>
                <w:szCs w:val="24"/>
                <w:lang w:val="lv-LV"/>
              </w:rPr>
              <w:t>Nr.C</w:t>
            </w:r>
            <w:proofErr w:type="spellEnd"/>
            <w:r w:rsidRPr="00480261">
              <w:rPr>
                <w:bCs/>
                <w:sz w:val="24"/>
                <w:szCs w:val="24"/>
                <w:lang w:val="lv-LV"/>
              </w:rPr>
              <w:t xml:space="preserve"> (2013) 1573, ar ko apstiprina pamatnostādnes par to darbības programmu slēgšanu, kuras pieņemtas atbalsta saņemšanai no Eiropas Reģionālās attīstības fonda, Eiropas Sociālā fonda un Kohēzijas fonda (2007-2013) 3.6.punktu</w:t>
            </w:r>
            <w:r w:rsidR="003073FE">
              <w:rPr>
                <w:bCs/>
                <w:sz w:val="24"/>
                <w:szCs w:val="24"/>
                <w:lang w:val="lv-LV"/>
              </w:rPr>
              <w:t xml:space="preserve">. </w:t>
            </w:r>
            <w:r w:rsidRPr="00480261">
              <w:rPr>
                <w:bCs/>
                <w:sz w:val="24"/>
                <w:szCs w:val="24"/>
                <w:lang w:val="lv-LV"/>
              </w:rPr>
              <w:t xml:space="preserve"> </w:t>
            </w:r>
          </w:p>
          <w:p w14:paraId="14500BF9" w14:textId="77777777" w:rsidR="00D52CF4" w:rsidRDefault="00090821" w:rsidP="00090821">
            <w:pPr>
              <w:ind w:firstLine="567"/>
              <w:jc w:val="both"/>
              <w:rPr>
                <w:bCs/>
                <w:sz w:val="24"/>
                <w:szCs w:val="24"/>
                <w:lang w:val="lv-LV"/>
              </w:rPr>
            </w:pPr>
            <w:r>
              <w:rPr>
                <w:bCs/>
                <w:sz w:val="24"/>
                <w:szCs w:val="24"/>
                <w:lang w:val="lv-LV"/>
              </w:rPr>
              <w:t>Saskaņā ar</w:t>
            </w:r>
            <w:r w:rsidRPr="00244B2D">
              <w:rPr>
                <w:bCs/>
                <w:sz w:val="24"/>
                <w:szCs w:val="24"/>
                <w:lang w:val="lv-LV"/>
              </w:rPr>
              <w:t xml:space="preserve"> Komis</w:t>
            </w:r>
            <w:r>
              <w:rPr>
                <w:bCs/>
                <w:sz w:val="24"/>
                <w:szCs w:val="24"/>
                <w:lang w:val="lv-LV"/>
              </w:rPr>
              <w:t>ijas 2006.gada 8.decembra Regulas</w:t>
            </w:r>
            <w:r w:rsidRPr="00244B2D">
              <w:rPr>
                <w:bCs/>
                <w:sz w:val="24"/>
                <w:szCs w:val="24"/>
                <w:lang w:val="lv-LV"/>
              </w:rPr>
              <w:t xml:space="preserve"> (EK) Nr.1828/2006,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w:t>
            </w:r>
            <w:r>
              <w:rPr>
                <w:bCs/>
                <w:sz w:val="24"/>
                <w:szCs w:val="24"/>
                <w:lang w:val="lv-LV"/>
              </w:rPr>
              <w:t>īstības fondu, 43.panta 4.punktu,</w:t>
            </w:r>
            <w:r w:rsidR="00E259C9">
              <w:rPr>
                <w:bCs/>
                <w:sz w:val="24"/>
                <w:szCs w:val="24"/>
                <w:lang w:val="lv-LV"/>
              </w:rPr>
              <w:t xml:space="preserve"> sabiedrības </w:t>
            </w:r>
            <w:proofErr w:type="spellStart"/>
            <w:r w:rsidR="00E259C9">
              <w:rPr>
                <w:bCs/>
                <w:sz w:val="24"/>
                <w:szCs w:val="24"/>
                <w:lang w:val="lv-LV"/>
              </w:rPr>
              <w:t>Altum</w:t>
            </w:r>
            <w:proofErr w:type="spellEnd"/>
            <w:r w:rsidRPr="00244B2D">
              <w:rPr>
                <w:bCs/>
                <w:sz w:val="24"/>
                <w:szCs w:val="24"/>
                <w:lang w:val="lv-LV"/>
              </w:rPr>
              <w:t xml:space="preserve"> </w:t>
            </w:r>
            <w:r>
              <w:rPr>
                <w:bCs/>
                <w:sz w:val="24"/>
                <w:szCs w:val="24"/>
                <w:lang w:val="lv-LV"/>
              </w:rPr>
              <w:t>vadības izmaksas nedrīkst pārsniegt</w:t>
            </w:r>
            <w:r w:rsidRPr="00244B2D">
              <w:rPr>
                <w:bCs/>
                <w:sz w:val="24"/>
                <w:szCs w:val="24"/>
                <w:lang w:val="lv-LV"/>
              </w:rPr>
              <w:t xml:space="preserve"> </w:t>
            </w:r>
            <w:r>
              <w:rPr>
                <w:bCs/>
                <w:sz w:val="24"/>
                <w:szCs w:val="24"/>
                <w:lang w:val="lv-LV"/>
              </w:rPr>
              <w:t xml:space="preserve">šādus ierobežojumus </w:t>
            </w:r>
            <w:r w:rsidRPr="00244B2D">
              <w:rPr>
                <w:bCs/>
                <w:sz w:val="24"/>
                <w:szCs w:val="24"/>
                <w:lang w:val="lv-LV"/>
              </w:rPr>
              <w:t xml:space="preserve">– </w:t>
            </w:r>
            <w:r>
              <w:rPr>
                <w:bCs/>
                <w:sz w:val="24"/>
                <w:szCs w:val="24"/>
                <w:lang w:val="lv-LV"/>
              </w:rPr>
              <w:t xml:space="preserve">vidēji gadā </w:t>
            </w:r>
            <w:r w:rsidRPr="00244B2D">
              <w:rPr>
                <w:bCs/>
                <w:sz w:val="24"/>
                <w:szCs w:val="24"/>
                <w:lang w:val="lv-LV"/>
              </w:rPr>
              <w:t xml:space="preserve">4% </w:t>
            </w:r>
            <w:proofErr w:type="spellStart"/>
            <w:r w:rsidRPr="00244B2D">
              <w:rPr>
                <w:bCs/>
                <w:sz w:val="24"/>
                <w:szCs w:val="24"/>
                <w:lang w:val="lv-LV"/>
              </w:rPr>
              <w:t>mikroaizdevumu</w:t>
            </w:r>
            <w:proofErr w:type="spellEnd"/>
            <w:r w:rsidRPr="00244B2D">
              <w:rPr>
                <w:bCs/>
                <w:sz w:val="24"/>
                <w:szCs w:val="24"/>
                <w:lang w:val="lv-LV"/>
              </w:rPr>
              <w:t xml:space="preserve"> piešķiršanas gadījumā, savukārt 3% pārējo aizdevumu gadījumā. </w:t>
            </w:r>
            <w:r>
              <w:rPr>
                <w:bCs/>
                <w:sz w:val="24"/>
                <w:szCs w:val="24"/>
                <w:lang w:val="lv-LV"/>
              </w:rPr>
              <w:t>Ņemot vērā otrās projektu iesniegumu atlases kārtas aizdevuma fonda pieejamo finansējumu un indikatīvo sadalījumu pa finanšu instrumentiem (</w:t>
            </w:r>
            <w:proofErr w:type="spellStart"/>
            <w:r>
              <w:rPr>
                <w:bCs/>
                <w:sz w:val="24"/>
                <w:szCs w:val="24"/>
                <w:lang w:val="lv-LV"/>
              </w:rPr>
              <w:t>mikroaizdevumi</w:t>
            </w:r>
            <w:proofErr w:type="spellEnd"/>
            <w:r>
              <w:rPr>
                <w:bCs/>
                <w:sz w:val="24"/>
                <w:szCs w:val="24"/>
                <w:lang w:val="lv-LV"/>
              </w:rPr>
              <w:t xml:space="preserve">, aizdevumi saimnieciskās darbības uzsākšanai un pārējie aizdevumi), EM ir konstatējusi, ka otrās projektu iesniegumu atlases kārtas ietvaros ir brīvais finansējums 156 179 </w:t>
            </w:r>
            <w:proofErr w:type="spellStart"/>
            <w:r w:rsidRPr="00090821">
              <w:rPr>
                <w:bCs/>
                <w:i/>
                <w:sz w:val="24"/>
                <w:szCs w:val="24"/>
                <w:lang w:val="lv-LV"/>
              </w:rPr>
              <w:t>euro</w:t>
            </w:r>
            <w:proofErr w:type="spellEnd"/>
            <w:r>
              <w:rPr>
                <w:bCs/>
                <w:sz w:val="24"/>
                <w:szCs w:val="24"/>
                <w:lang w:val="lv-LV"/>
              </w:rPr>
              <w:t xml:space="preserve"> apmērā (ERAF- 138 534 </w:t>
            </w:r>
            <w:proofErr w:type="spellStart"/>
            <w:r w:rsidRPr="00090821">
              <w:rPr>
                <w:bCs/>
                <w:i/>
                <w:sz w:val="24"/>
                <w:szCs w:val="24"/>
                <w:lang w:val="lv-LV"/>
              </w:rPr>
              <w:t>euro</w:t>
            </w:r>
            <w:proofErr w:type="spellEnd"/>
            <w:r>
              <w:rPr>
                <w:bCs/>
                <w:sz w:val="24"/>
                <w:szCs w:val="24"/>
                <w:lang w:val="lv-LV"/>
              </w:rPr>
              <w:t xml:space="preserve"> un valsts budžets – 17 645 </w:t>
            </w:r>
            <w:proofErr w:type="spellStart"/>
            <w:r w:rsidRPr="00090821">
              <w:rPr>
                <w:bCs/>
                <w:i/>
                <w:sz w:val="24"/>
                <w:szCs w:val="24"/>
                <w:lang w:val="lv-LV"/>
              </w:rPr>
              <w:t>euro</w:t>
            </w:r>
            <w:proofErr w:type="spellEnd"/>
            <w:r>
              <w:rPr>
                <w:bCs/>
                <w:sz w:val="24"/>
                <w:szCs w:val="24"/>
                <w:lang w:val="lv-LV"/>
              </w:rPr>
              <w:t xml:space="preserve">), un ierosina to </w:t>
            </w:r>
            <w:r>
              <w:rPr>
                <w:bCs/>
                <w:sz w:val="24"/>
                <w:szCs w:val="24"/>
                <w:lang w:val="lv-LV"/>
              </w:rPr>
              <w:lastRenderedPageBreak/>
              <w:t xml:space="preserve">pārdalīt  </w:t>
            </w:r>
            <w:r w:rsidRPr="00090821">
              <w:rPr>
                <w:bCs/>
                <w:sz w:val="24"/>
                <w:szCs w:val="24"/>
                <w:lang w:val="lv-LV"/>
              </w:rPr>
              <w:t>2.2</w:t>
            </w:r>
            <w:r>
              <w:rPr>
                <w:bCs/>
                <w:sz w:val="24"/>
                <w:szCs w:val="24"/>
                <w:lang w:val="lv-LV"/>
              </w:rPr>
              <w:t xml:space="preserve">.1.4.2. </w:t>
            </w:r>
            <w:proofErr w:type="spellStart"/>
            <w:r>
              <w:rPr>
                <w:bCs/>
                <w:sz w:val="24"/>
                <w:szCs w:val="24"/>
                <w:lang w:val="lv-LV"/>
              </w:rPr>
              <w:t>apakšaktivitātes</w:t>
            </w:r>
            <w:proofErr w:type="spellEnd"/>
            <w:r w:rsidRPr="00090821">
              <w:rPr>
                <w:bCs/>
                <w:sz w:val="24"/>
                <w:szCs w:val="24"/>
                <w:lang w:val="lv-LV"/>
              </w:rPr>
              <w:t xml:space="preserve"> "</w:t>
            </w:r>
            <w:proofErr w:type="spellStart"/>
            <w:r w:rsidRPr="00090821">
              <w:rPr>
                <w:bCs/>
                <w:sz w:val="24"/>
                <w:szCs w:val="24"/>
                <w:lang w:val="lv-LV"/>
              </w:rPr>
              <w:t>Mezanīna</w:t>
            </w:r>
            <w:proofErr w:type="spellEnd"/>
            <w:r w:rsidRPr="00090821">
              <w:rPr>
                <w:bCs/>
                <w:sz w:val="24"/>
                <w:szCs w:val="24"/>
                <w:lang w:val="lv-LV"/>
              </w:rPr>
              <w:t xml:space="preserve"> aizdevumi un nodrošinājuma garantijas saimnieciskās darbības veicēju konkurētspējas uzlabošanai"</w:t>
            </w:r>
            <w:r>
              <w:rPr>
                <w:bCs/>
                <w:sz w:val="24"/>
                <w:szCs w:val="24"/>
                <w:lang w:val="lv-LV"/>
              </w:rPr>
              <w:t xml:space="preserve"> </w:t>
            </w:r>
            <w:r w:rsidR="00156DFE">
              <w:rPr>
                <w:bCs/>
                <w:sz w:val="24"/>
                <w:szCs w:val="24"/>
                <w:lang w:val="lv-LV"/>
              </w:rPr>
              <w:t xml:space="preserve">(turpmāk – 2.2.1.4.2. aktivitāte) </w:t>
            </w:r>
            <w:r>
              <w:rPr>
                <w:bCs/>
                <w:sz w:val="24"/>
                <w:szCs w:val="24"/>
                <w:lang w:val="lv-LV"/>
              </w:rPr>
              <w:t>ietvaros.</w:t>
            </w:r>
            <w:r w:rsidR="00156DFE">
              <w:rPr>
                <w:bCs/>
                <w:sz w:val="24"/>
                <w:szCs w:val="24"/>
                <w:lang w:val="lv-LV"/>
              </w:rPr>
              <w:t xml:space="preserve"> Līguma grozījumos starp EM un </w:t>
            </w:r>
            <w:proofErr w:type="spellStart"/>
            <w:r w:rsidR="00156DFE">
              <w:rPr>
                <w:bCs/>
                <w:sz w:val="24"/>
                <w:szCs w:val="24"/>
                <w:lang w:val="lv-LV"/>
              </w:rPr>
              <w:t>Altum</w:t>
            </w:r>
            <w:proofErr w:type="spellEnd"/>
            <w:r w:rsidR="00156DFE">
              <w:rPr>
                <w:bCs/>
                <w:sz w:val="24"/>
                <w:szCs w:val="24"/>
                <w:lang w:val="lv-LV"/>
              </w:rPr>
              <w:t xml:space="preserve"> tiks atrunāta šo līdzekļu pārskaitījuma veikšana uz 2.2.1.4.2.aktivitāti.</w:t>
            </w:r>
            <w:r w:rsidR="00631F4B">
              <w:rPr>
                <w:bCs/>
                <w:sz w:val="24"/>
                <w:szCs w:val="24"/>
                <w:lang w:val="lv-LV"/>
              </w:rPr>
              <w:t xml:space="preserve"> EM apliecina, ka grāmatojumi un pārskaitījumi tiks veikti mēneša laikā, bet ne vēlāk kā līdz 2015.gada novembra beigām.</w:t>
            </w:r>
            <w:r w:rsidR="0024534B">
              <w:rPr>
                <w:bCs/>
                <w:sz w:val="24"/>
                <w:szCs w:val="24"/>
                <w:lang w:val="lv-LV"/>
              </w:rPr>
              <w:t xml:space="preserve"> </w:t>
            </w:r>
          </w:p>
          <w:p w14:paraId="207ECB63" w14:textId="703EA26A" w:rsidR="00090821" w:rsidRDefault="0024534B" w:rsidP="00090821">
            <w:pPr>
              <w:ind w:firstLine="567"/>
              <w:jc w:val="both"/>
              <w:rPr>
                <w:bCs/>
                <w:sz w:val="24"/>
                <w:szCs w:val="24"/>
                <w:lang w:val="lv-LV"/>
              </w:rPr>
            </w:pPr>
            <w:r>
              <w:rPr>
                <w:bCs/>
                <w:sz w:val="24"/>
                <w:szCs w:val="24"/>
                <w:lang w:val="lv-LV"/>
              </w:rPr>
              <w:t>Tādējādi 2.2.1.4.1.aktivtātes ietvaros tiks veikti līguma grozījumi, paredzot finansējuma palielinājumu 161</w:t>
            </w:r>
            <w:r w:rsidR="0013499B">
              <w:rPr>
                <w:bCs/>
                <w:sz w:val="24"/>
                <w:szCs w:val="24"/>
                <w:lang w:val="lv-LV"/>
              </w:rPr>
              <w:t> </w:t>
            </w:r>
            <w:r>
              <w:rPr>
                <w:bCs/>
                <w:sz w:val="24"/>
                <w:szCs w:val="24"/>
                <w:lang w:val="lv-LV"/>
              </w:rPr>
              <w:t>111</w:t>
            </w:r>
            <w:r w:rsidR="0013499B">
              <w:rPr>
                <w:bCs/>
                <w:sz w:val="24"/>
                <w:szCs w:val="24"/>
                <w:lang w:val="lv-LV"/>
              </w:rPr>
              <w:t xml:space="preserve"> </w:t>
            </w:r>
            <w:proofErr w:type="spellStart"/>
            <w:r w:rsidRPr="00640DBD">
              <w:rPr>
                <w:bCs/>
                <w:i/>
                <w:sz w:val="24"/>
                <w:szCs w:val="24"/>
                <w:lang w:val="lv-LV"/>
              </w:rPr>
              <w:t>euro</w:t>
            </w:r>
            <w:proofErr w:type="spellEnd"/>
            <w:r w:rsidR="00D52CF4">
              <w:rPr>
                <w:bCs/>
                <w:i/>
                <w:sz w:val="24"/>
                <w:szCs w:val="24"/>
                <w:lang w:val="lv-LV"/>
              </w:rPr>
              <w:t xml:space="preserve"> </w:t>
            </w:r>
            <w:r w:rsidR="00D52CF4" w:rsidRPr="00640DBD">
              <w:rPr>
                <w:bCs/>
                <w:sz w:val="24"/>
                <w:szCs w:val="24"/>
                <w:lang w:val="lv-LV"/>
              </w:rPr>
              <w:t xml:space="preserve">(ERAF – 142 910 </w:t>
            </w:r>
            <w:proofErr w:type="spellStart"/>
            <w:r w:rsidR="00D52CF4" w:rsidRPr="00D52CF4">
              <w:rPr>
                <w:bCs/>
                <w:i/>
                <w:sz w:val="24"/>
                <w:szCs w:val="24"/>
                <w:lang w:val="lv-LV"/>
              </w:rPr>
              <w:t>euro</w:t>
            </w:r>
            <w:proofErr w:type="spellEnd"/>
            <w:r w:rsidR="00D52CF4" w:rsidRPr="00640DBD">
              <w:rPr>
                <w:bCs/>
                <w:sz w:val="24"/>
                <w:szCs w:val="24"/>
                <w:lang w:val="lv-LV"/>
              </w:rPr>
              <w:t xml:space="preserve"> un valsts budžets- 18 201 </w:t>
            </w:r>
            <w:proofErr w:type="spellStart"/>
            <w:r w:rsidR="00D52CF4" w:rsidRPr="00D52CF4">
              <w:rPr>
                <w:bCs/>
                <w:i/>
                <w:sz w:val="24"/>
                <w:szCs w:val="24"/>
                <w:lang w:val="lv-LV"/>
              </w:rPr>
              <w:t>euro</w:t>
            </w:r>
            <w:proofErr w:type="spellEnd"/>
            <w:r w:rsidR="00D52CF4" w:rsidRPr="00640DBD">
              <w:rPr>
                <w:bCs/>
                <w:sz w:val="24"/>
                <w:szCs w:val="24"/>
                <w:lang w:val="lv-LV"/>
              </w:rPr>
              <w:t>)</w:t>
            </w:r>
            <w:r>
              <w:rPr>
                <w:bCs/>
                <w:sz w:val="24"/>
                <w:szCs w:val="24"/>
                <w:lang w:val="lv-LV"/>
              </w:rPr>
              <w:t xml:space="preserve"> apmērā, kas tiks novirzīts vadības izmaksām. </w:t>
            </w:r>
          </w:p>
          <w:p w14:paraId="3B4D69B6" w14:textId="503CB642" w:rsidR="0085210B" w:rsidRDefault="00090821" w:rsidP="00344771">
            <w:pPr>
              <w:ind w:firstLine="567"/>
              <w:jc w:val="both"/>
              <w:rPr>
                <w:bCs/>
                <w:sz w:val="24"/>
                <w:szCs w:val="24"/>
                <w:lang w:val="lv-LV"/>
              </w:rPr>
            </w:pPr>
            <w:r w:rsidRPr="00244B2D">
              <w:rPr>
                <w:bCs/>
                <w:sz w:val="24"/>
                <w:szCs w:val="24"/>
                <w:lang w:val="lv-LV"/>
              </w:rPr>
              <w:t>Papildus</w:t>
            </w:r>
            <w:r>
              <w:rPr>
                <w:bCs/>
                <w:sz w:val="24"/>
                <w:szCs w:val="24"/>
                <w:lang w:val="lv-LV"/>
              </w:rPr>
              <w:t xml:space="preserve"> informējam, ka sabiedrībai </w:t>
            </w:r>
            <w:proofErr w:type="spellStart"/>
            <w:r>
              <w:rPr>
                <w:bCs/>
                <w:sz w:val="24"/>
                <w:szCs w:val="24"/>
                <w:lang w:val="lv-LV"/>
              </w:rPr>
              <w:t>Altum</w:t>
            </w:r>
            <w:proofErr w:type="spellEnd"/>
            <w:r>
              <w:rPr>
                <w:bCs/>
                <w:sz w:val="24"/>
                <w:szCs w:val="24"/>
                <w:lang w:val="lv-LV"/>
              </w:rPr>
              <w:t xml:space="preserve"> vadības izmaksas tiek aprēķinātas saskaņā ar EM un Finanšu ministriju saskaņoto </w:t>
            </w:r>
            <w:r w:rsidRPr="000655FF">
              <w:rPr>
                <w:bCs/>
                <w:sz w:val="24"/>
                <w:szCs w:val="24"/>
                <w:lang w:val="lv-LV"/>
              </w:rPr>
              <w:t>„Programmu vadība</w:t>
            </w:r>
            <w:r>
              <w:rPr>
                <w:bCs/>
                <w:sz w:val="24"/>
                <w:szCs w:val="24"/>
                <w:lang w:val="lv-LV"/>
              </w:rPr>
              <w:t xml:space="preserve">s izmaksu aprēķināšanas </w:t>
            </w:r>
            <w:r w:rsidR="00C81A83">
              <w:rPr>
                <w:bCs/>
                <w:sz w:val="24"/>
                <w:szCs w:val="24"/>
                <w:lang w:val="lv-LV"/>
              </w:rPr>
              <w:t xml:space="preserve">metodiku”, kā arī </w:t>
            </w:r>
            <w:r w:rsidRPr="007B2F77">
              <w:rPr>
                <w:bCs/>
                <w:sz w:val="24"/>
                <w:szCs w:val="24"/>
                <w:lang w:val="lv-LV"/>
              </w:rPr>
              <w:t>EM četras reiz</w:t>
            </w:r>
            <w:r w:rsidR="0098275B">
              <w:rPr>
                <w:bCs/>
                <w:sz w:val="24"/>
                <w:szCs w:val="24"/>
                <w:lang w:val="lv-LV"/>
              </w:rPr>
              <w:t>es</w:t>
            </w:r>
            <w:r w:rsidRPr="007B2F77">
              <w:rPr>
                <w:bCs/>
                <w:sz w:val="24"/>
                <w:szCs w:val="24"/>
                <w:lang w:val="lv-LV"/>
              </w:rPr>
              <w:t xml:space="preserve"> </w:t>
            </w:r>
            <w:r w:rsidR="0098275B" w:rsidRPr="007B2F77">
              <w:rPr>
                <w:bCs/>
                <w:sz w:val="24"/>
                <w:szCs w:val="24"/>
                <w:lang w:val="lv-LV"/>
              </w:rPr>
              <w:t xml:space="preserve">gadā </w:t>
            </w:r>
            <w:r w:rsidRPr="007B2F77">
              <w:rPr>
                <w:bCs/>
                <w:sz w:val="24"/>
                <w:szCs w:val="24"/>
                <w:lang w:val="lv-LV"/>
              </w:rPr>
              <w:t xml:space="preserve">veic sabiedrības </w:t>
            </w:r>
            <w:proofErr w:type="spellStart"/>
            <w:r w:rsidRPr="007B2F77">
              <w:rPr>
                <w:bCs/>
                <w:sz w:val="24"/>
                <w:szCs w:val="24"/>
                <w:lang w:val="lv-LV"/>
              </w:rPr>
              <w:t>Altum</w:t>
            </w:r>
            <w:proofErr w:type="spellEnd"/>
            <w:r w:rsidRPr="007B2F77">
              <w:rPr>
                <w:bCs/>
                <w:sz w:val="24"/>
                <w:szCs w:val="24"/>
                <w:lang w:val="lv-LV"/>
              </w:rPr>
              <w:t xml:space="preserve"> ceturkšņa pārskatu pārbaudes, kurās pārliecinās par šī finansējuma </w:t>
            </w:r>
            <w:r w:rsidR="0098275B">
              <w:rPr>
                <w:bCs/>
                <w:sz w:val="24"/>
                <w:szCs w:val="24"/>
                <w:lang w:val="lv-LV"/>
              </w:rPr>
              <w:t xml:space="preserve">izlietojuma </w:t>
            </w:r>
            <w:r w:rsidRPr="007B2F77">
              <w:rPr>
                <w:bCs/>
                <w:sz w:val="24"/>
                <w:szCs w:val="24"/>
                <w:lang w:val="lv-LV"/>
              </w:rPr>
              <w:t xml:space="preserve">procentuālo apmēru. </w:t>
            </w:r>
          </w:p>
          <w:p w14:paraId="23DD2F4E" w14:textId="77777777" w:rsidR="0085210B" w:rsidRPr="007B2F77" w:rsidRDefault="0085210B" w:rsidP="00344771">
            <w:pPr>
              <w:ind w:firstLine="567"/>
              <w:jc w:val="both"/>
              <w:rPr>
                <w:bCs/>
                <w:sz w:val="24"/>
                <w:szCs w:val="24"/>
                <w:lang w:val="lv-LV"/>
              </w:rPr>
            </w:pPr>
            <w:r w:rsidRPr="00344771">
              <w:rPr>
                <w:bCs/>
                <w:sz w:val="24"/>
                <w:szCs w:val="24"/>
                <w:lang w:val="lv-LV"/>
              </w:rPr>
              <w:t>MK noteikumu Nr.</w:t>
            </w:r>
            <w:r w:rsidR="00344771">
              <w:rPr>
                <w:bCs/>
                <w:sz w:val="24"/>
                <w:szCs w:val="24"/>
                <w:lang w:val="lv-LV"/>
              </w:rPr>
              <w:t>238</w:t>
            </w:r>
            <w:r w:rsidRPr="00344771">
              <w:rPr>
                <w:bCs/>
                <w:sz w:val="24"/>
                <w:szCs w:val="24"/>
                <w:lang w:val="lv-LV"/>
              </w:rPr>
              <w:t xml:space="preserve"> </w:t>
            </w:r>
            <w:r w:rsidR="00344771">
              <w:rPr>
                <w:bCs/>
                <w:sz w:val="24"/>
                <w:szCs w:val="24"/>
                <w:lang w:val="lv-LV"/>
              </w:rPr>
              <w:t xml:space="preserve">27.punkts </w:t>
            </w:r>
            <w:r w:rsidRPr="00344771">
              <w:rPr>
                <w:bCs/>
                <w:sz w:val="24"/>
                <w:szCs w:val="24"/>
                <w:lang w:val="lv-LV"/>
              </w:rPr>
              <w:t xml:space="preserve">nosaka dokumentu glabāšanas termiņu 2021.gada 31.decembri. Lai nodrošinātu, ka tiek ievērots Komisijas 2013.gada 18.decembra Regulas (ES) Nr.1407/2013 par Līguma par Eiropas Savienības darbību 107. un 108.panta piemērošanu </w:t>
            </w:r>
            <w:proofErr w:type="spellStart"/>
            <w:r w:rsidRPr="00344771">
              <w:rPr>
                <w:bCs/>
                <w:i/>
                <w:sz w:val="24"/>
                <w:szCs w:val="24"/>
                <w:lang w:val="lv-LV"/>
              </w:rPr>
              <w:t>de</w:t>
            </w:r>
            <w:proofErr w:type="spellEnd"/>
            <w:r w:rsidRPr="00344771">
              <w:rPr>
                <w:bCs/>
                <w:i/>
                <w:sz w:val="24"/>
                <w:szCs w:val="24"/>
                <w:lang w:val="lv-LV"/>
              </w:rPr>
              <w:t xml:space="preserve"> </w:t>
            </w:r>
            <w:proofErr w:type="spellStart"/>
            <w:r w:rsidRPr="00344771">
              <w:rPr>
                <w:bCs/>
                <w:i/>
                <w:sz w:val="24"/>
                <w:szCs w:val="24"/>
                <w:lang w:val="lv-LV"/>
              </w:rPr>
              <w:t>minimis</w:t>
            </w:r>
            <w:proofErr w:type="spellEnd"/>
            <w:r w:rsidRPr="00344771">
              <w:rPr>
                <w:bCs/>
                <w:sz w:val="24"/>
                <w:szCs w:val="24"/>
                <w:lang w:val="lv-LV"/>
              </w:rPr>
              <w:t xml:space="preserve"> atbalstam (turpmāk – Regula Nr.1407/2013) 6.panta 4.punktā noteiktais un Komisijas 2014. gada 17.jūnija Regulas (ES) Nr. 651/2014, ar ko noteiktas atbalsta kategorijas atzīst par saderīgām ar iekšējo tirgu, piemērojot Līguma 107. un 108. pantu (turpmāk – Regula Nr.651/2014) 12.pantā noteiktais attiecībā uz dokumentu glabāšanas termiņu, noteikumu projekts paredz noteikt dokumentu glabāšanas termiņu 10 gadus kopš dienas, kad piešķirts pēdējais atbalsts.</w:t>
            </w:r>
          </w:p>
          <w:p w14:paraId="776C820C" w14:textId="77777777" w:rsidR="007C41A2" w:rsidRDefault="00344771" w:rsidP="00344771">
            <w:pPr>
              <w:pStyle w:val="ListParagraph"/>
              <w:ind w:left="283" w:firstLine="437"/>
              <w:jc w:val="both"/>
              <w:rPr>
                <w:bCs/>
                <w:sz w:val="24"/>
                <w:szCs w:val="24"/>
                <w:lang w:val="lv-LV"/>
              </w:rPr>
            </w:pPr>
            <w:r>
              <w:rPr>
                <w:bCs/>
                <w:sz w:val="24"/>
                <w:szCs w:val="24"/>
                <w:lang w:val="lv-LV"/>
              </w:rPr>
              <w:t>Ņemot vērā augstākminēto, MK noteikumu Nr.238 grozījumu projekts paredz:</w:t>
            </w:r>
          </w:p>
          <w:p w14:paraId="18C607D7" w14:textId="5C12259E" w:rsidR="00344771" w:rsidRDefault="00344771" w:rsidP="00344771">
            <w:pPr>
              <w:pStyle w:val="ListParagraph"/>
              <w:numPr>
                <w:ilvl w:val="0"/>
                <w:numId w:val="24"/>
              </w:numPr>
              <w:jc w:val="both"/>
              <w:rPr>
                <w:bCs/>
                <w:sz w:val="24"/>
                <w:szCs w:val="24"/>
                <w:lang w:val="lv-LV"/>
              </w:rPr>
            </w:pPr>
            <w:r>
              <w:rPr>
                <w:bCs/>
                <w:sz w:val="24"/>
                <w:szCs w:val="24"/>
                <w:lang w:val="lv-LV"/>
              </w:rPr>
              <w:t>p</w:t>
            </w:r>
            <w:r w:rsidRPr="00344771">
              <w:rPr>
                <w:bCs/>
                <w:sz w:val="24"/>
                <w:szCs w:val="24"/>
                <w:lang w:val="lv-LV"/>
              </w:rPr>
              <w:t xml:space="preserve">ārdalīt </w:t>
            </w:r>
            <w:r>
              <w:rPr>
                <w:bCs/>
                <w:sz w:val="24"/>
                <w:szCs w:val="24"/>
                <w:lang w:val="lv-LV"/>
              </w:rPr>
              <w:t xml:space="preserve">finansējumu </w:t>
            </w:r>
            <w:r w:rsidRPr="00344771">
              <w:rPr>
                <w:bCs/>
                <w:sz w:val="24"/>
                <w:szCs w:val="24"/>
                <w:lang w:val="lv-LV"/>
              </w:rPr>
              <w:t xml:space="preserve">156 179 </w:t>
            </w:r>
            <w:proofErr w:type="spellStart"/>
            <w:r w:rsidRPr="00344771">
              <w:rPr>
                <w:bCs/>
                <w:i/>
                <w:sz w:val="24"/>
                <w:szCs w:val="24"/>
                <w:lang w:val="lv-LV"/>
              </w:rPr>
              <w:t>euro</w:t>
            </w:r>
            <w:proofErr w:type="spellEnd"/>
            <w:r w:rsidRPr="00344771">
              <w:rPr>
                <w:bCs/>
                <w:sz w:val="24"/>
                <w:szCs w:val="24"/>
                <w:lang w:val="lv-LV"/>
              </w:rPr>
              <w:t xml:space="preserve"> apmērā (ERAF- 138 534 </w:t>
            </w:r>
            <w:proofErr w:type="spellStart"/>
            <w:r w:rsidRPr="00344771">
              <w:rPr>
                <w:bCs/>
                <w:i/>
                <w:sz w:val="24"/>
                <w:szCs w:val="24"/>
                <w:lang w:val="lv-LV"/>
              </w:rPr>
              <w:t>euro</w:t>
            </w:r>
            <w:proofErr w:type="spellEnd"/>
            <w:r w:rsidRPr="00344771">
              <w:rPr>
                <w:bCs/>
                <w:sz w:val="24"/>
                <w:szCs w:val="24"/>
                <w:lang w:val="lv-LV"/>
              </w:rPr>
              <w:t xml:space="preserve"> un valsts budžets – 17 645 </w:t>
            </w:r>
            <w:proofErr w:type="spellStart"/>
            <w:r w:rsidRPr="00344771">
              <w:rPr>
                <w:bCs/>
                <w:i/>
                <w:sz w:val="24"/>
                <w:szCs w:val="24"/>
                <w:lang w:val="lv-LV"/>
              </w:rPr>
              <w:t>euro</w:t>
            </w:r>
            <w:proofErr w:type="spellEnd"/>
            <w:r w:rsidRPr="00344771">
              <w:rPr>
                <w:bCs/>
                <w:sz w:val="24"/>
                <w:szCs w:val="24"/>
                <w:lang w:val="lv-LV"/>
              </w:rPr>
              <w:t xml:space="preserve">) </w:t>
            </w:r>
            <w:r>
              <w:rPr>
                <w:bCs/>
                <w:sz w:val="24"/>
                <w:szCs w:val="24"/>
                <w:lang w:val="lv-LV"/>
              </w:rPr>
              <w:t>uz</w:t>
            </w:r>
            <w:r w:rsidR="00A4478E">
              <w:rPr>
                <w:bCs/>
                <w:sz w:val="24"/>
                <w:szCs w:val="24"/>
                <w:lang w:val="lv-LV"/>
              </w:rPr>
              <w:t xml:space="preserve"> 2.2.1.4.2.</w:t>
            </w:r>
            <w:r w:rsidR="00814A5E">
              <w:rPr>
                <w:bCs/>
                <w:sz w:val="24"/>
                <w:szCs w:val="24"/>
                <w:lang w:val="lv-LV"/>
              </w:rPr>
              <w:t>a</w:t>
            </w:r>
            <w:r w:rsidRPr="00344771">
              <w:rPr>
                <w:bCs/>
                <w:sz w:val="24"/>
                <w:szCs w:val="24"/>
                <w:lang w:val="lv-LV"/>
              </w:rPr>
              <w:t>ktivitāt</w:t>
            </w:r>
            <w:r>
              <w:rPr>
                <w:bCs/>
                <w:sz w:val="24"/>
                <w:szCs w:val="24"/>
                <w:lang w:val="lv-LV"/>
              </w:rPr>
              <w:t>i</w:t>
            </w:r>
            <w:r w:rsidR="00814A5E">
              <w:rPr>
                <w:bCs/>
                <w:sz w:val="24"/>
                <w:szCs w:val="24"/>
                <w:lang w:val="lv-LV"/>
              </w:rPr>
              <w:t>;</w:t>
            </w:r>
            <w:r w:rsidRPr="00344771">
              <w:rPr>
                <w:bCs/>
                <w:sz w:val="24"/>
                <w:szCs w:val="24"/>
                <w:lang w:val="lv-LV"/>
              </w:rPr>
              <w:t xml:space="preserve"> </w:t>
            </w:r>
          </w:p>
          <w:p w14:paraId="002771CA" w14:textId="6DC7FB21" w:rsidR="00344771" w:rsidRDefault="00344771" w:rsidP="00344771">
            <w:pPr>
              <w:pStyle w:val="ListParagraph"/>
              <w:numPr>
                <w:ilvl w:val="0"/>
                <w:numId w:val="24"/>
              </w:numPr>
              <w:jc w:val="both"/>
              <w:rPr>
                <w:bCs/>
                <w:sz w:val="24"/>
                <w:szCs w:val="24"/>
                <w:lang w:val="lv-LV"/>
              </w:rPr>
            </w:pPr>
            <w:r>
              <w:rPr>
                <w:bCs/>
                <w:sz w:val="24"/>
                <w:szCs w:val="24"/>
                <w:lang w:val="lv-LV"/>
              </w:rPr>
              <w:t>pagarināt 2.2.1.4.1.</w:t>
            </w:r>
            <w:r w:rsidR="00585145" w:rsidDel="00585145">
              <w:rPr>
                <w:bCs/>
                <w:sz w:val="24"/>
                <w:szCs w:val="24"/>
                <w:lang w:val="lv-LV"/>
              </w:rPr>
              <w:t xml:space="preserve"> </w:t>
            </w:r>
            <w:r>
              <w:rPr>
                <w:bCs/>
                <w:sz w:val="24"/>
                <w:szCs w:val="24"/>
                <w:lang w:val="lv-LV"/>
              </w:rPr>
              <w:t xml:space="preserve">aktivitātes otrās projektu iesniegumu atlases kārtas projekta īstenošanas termiņu, papildus atrunājot, ka sabiedrība </w:t>
            </w:r>
            <w:proofErr w:type="spellStart"/>
            <w:r>
              <w:rPr>
                <w:bCs/>
                <w:sz w:val="24"/>
                <w:szCs w:val="24"/>
                <w:lang w:val="lv-LV"/>
              </w:rPr>
              <w:t>Altum</w:t>
            </w:r>
            <w:proofErr w:type="spellEnd"/>
            <w:r>
              <w:rPr>
                <w:bCs/>
                <w:sz w:val="24"/>
                <w:szCs w:val="24"/>
                <w:lang w:val="lv-LV"/>
              </w:rPr>
              <w:t xml:space="preserve"> var slēgt līgumus par aizdevumu piešķiršanu līdz 2015.gada 31.decembrim, savukārt 2016.gada pirmajā pusē var notikt maksājumu veikšana aizdevumu saņēmējiem;</w:t>
            </w:r>
          </w:p>
          <w:p w14:paraId="04450C15" w14:textId="77777777" w:rsidR="005B7CB3" w:rsidRDefault="005B7CB3" w:rsidP="00344771">
            <w:pPr>
              <w:pStyle w:val="ListParagraph"/>
              <w:numPr>
                <w:ilvl w:val="0"/>
                <w:numId w:val="24"/>
              </w:numPr>
              <w:jc w:val="both"/>
              <w:rPr>
                <w:bCs/>
                <w:sz w:val="24"/>
                <w:szCs w:val="24"/>
                <w:lang w:val="lv-LV"/>
              </w:rPr>
            </w:pPr>
            <w:r>
              <w:rPr>
                <w:bCs/>
                <w:sz w:val="24"/>
                <w:szCs w:val="24"/>
                <w:lang w:val="lv-LV"/>
              </w:rPr>
              <w:t xml:space="preserve">noteikt, ka sabiedrība </w:t>
            </w:r>
            <w:proofErr w:type="spellStart"/>
            <w:r>
              <w:rPr>
                <w:bCs/>
                <w:sz w:val="24"/>
                <w:szCs w:val="24"/>
                <w:lang w:val="lv-LV"/>
              </w:rPr>
              <w:t>Altum</w:t>
            </w:r>
            <w:proofErr w:type="spellEnd"/>
            <w:r>
              <w:rPr>
                <w:bCs/>
                <w:sz w:val="24"/>
                <w:szCs w:val="24"/>
                <w:lang w:val="lv-LV"/>
              </w:rPr>
              <w:t xml:space="preserve"> iesniedz EM noslē</w:t>
            </w:r>
            <w:r w:rsidR="000743C2">
              <w:rPr>
                <w:bCs/>
                <w:sz w:val="24"/>
                <w:szCs w:val="24"/>
                <w:lang w:val="lv-LV"/>
              </w:rPr>
              <w:t>guma pārskatu līdz 2016.gada 1.augustam</w:t>
            </w:r>
            <w:r>
              <w:rPr>
                <w:bCs/>
                <w:sz w:val="24"/>
                <w:szCs w:val="24"/>
                <w:lang w:val="lv-LV"/>
              </w:rPr>
              <w:t>;</w:t>
            </w:r>
          </w:p>
          <w:p w14:paraId="67ED2FDC" w14:textId="77777777" w:rsidR="00344771" w:rsidRPr="005B7CB3" w:rsidRDefault="00344771" w:rsidP="005B7CB3">
            <w:pPr>
              <w:pStyle w:val="ListParagraph"/>
              <w:numPr>
                <w:ilvl w:val="0"/>
                <w:numId w:val="24"/>
              </w:numPr>
              <w:jc w:val="both"/>
              <w:rPr>
                <w:bCs/>
                <w:sz w:val="24"/>
                <w:szCs w:val="24"/>
                <w:lang w:val="lv-LV"/>
              </w:rPr>
            </w:pPr>
            <w:r>
              <w:rPr>
                <w:bCs/>
                <w:sz w:val="24"/>
                <w:szCs w:val="24"/>
                <w:lang w:val="lv-LV"/>
              </w:rPr>
              <w:t xml:space="preserve">noteikt dokumentu glabāšanas termiņu </w:t>
            </w:r>
            <w:r w:rsidRPr="00344771">
              <w:rPr>
                <w:bCs/>
                <w:sz w:val="24"/>
                <w:szCs w:val="24"/>
                <w:lang w:val="lv-LV"/>
              </w:rPr>
              <w:t>10 gadus kopš dienas, kad piešķirts pēdējais atbalsts</w:t>
            </w:r>
            <w:r w:rsidR="005B7CB3">
              <w:rPr>
                <w:bCs/>
                <w:sz w:val="24"/>
                <w:szCs w:val="24"/>
                <w:lang w:val="lv-LV"/>
              </w:rPr>
              <w:t>.</w:t>
            </w:r>
          </w:p>
        </w:tc>
      </w:tr>
      <w:tr w:rsidR="00D11308" w:rsidRPr="007B2F77" w14:paraId="2F2E691B" w14:textId="77777777"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105396F5" w14:textId="77777777" w:rsidR="00D11308" w:rsidRPr="00311205" w:rsidRDefault="00D11308" w:rsidP="0078115C">
            <w:pPr>
              <w:jc w:val="both"/>
              <w:rPr>
                <w:rFonts w:eastAsia="Times New Roman"/>
                <w:sz w:val="24"/>
                <w:szCs w:val="24"/>
                <w:lang w:val="lv-LV" w:eastAsia="lv-LV"/>
              </w:rPr>
            </w:pPr>
            <w:r w:rsidRPr="00311205">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1D2E807" w14:textId="77777777" w:rsidR="00E13579" w:rsidRPr="007B2F77" w:rsidRDefault="00D11308" w:rsidP="0078115C">
            <w:pPr>
              <w:jc w:val="both"/>
              <w:rPr>
                <w:rFonts w:eastAsia="Times New Roman"/>
                <w:sz w:val="24"/>
                <w:szCs w:val="24"/>
                <w:lang w:val="lv-LV" w:eastAsia="lv-LV"/>
              </w:rPr>
            </w:pPr>
            <w:r w:rsidRPr="007B2F77">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31C4922" w14:textId="77777777" w:rsidR="00D11308" w:rsidRPr="007B2F77" w:rsidRDefault="00E259C9" w:rsidP="0078115C">
            <w:pPr>
              <w:jc w:val="both"/>
              <w:rPr>
                <w:bCs/>
                <w:sz w:val="24"/>
                <w:szCs w:val="24"/>
                <w:lang w:val="lv-LV"/>
              </w:rPr>
            </w:pPr>
            <w:r>
              <w:rPr>
                <w:iCs/>
                <w:sz w:val="24"/>
                <w:szCs w:val="24"/>
                <w:lang w:val="lv-LV"/>
              </w:rPr>
              <w:t>EM un s</w:t>
            </w:r>
            <w:r w:rsidR="005B7CB3">
              <w:rPr>
                <w:iCs/>
                <w:sz w:val="24"/>
                <w:szCs w:val="24"/>
                <w:lang w:val="lv-LV"/>
              </w:rPr>
              <w:t xml:space="preserve">abiedrība </w:t>
            </w:r>
            <w:proofErr w:type="spellStart"/>
            <w:r w:rsidR="005B7CB3">
              <w:rPr>
                <w:iCs/>
                <w:sz w:val="24"/>
                <w:szCs w:val="24"/>
                <w:lang w:val="lv-LV"/>
              </w:rPr>
              <w:t>Altum</w:t>
            </w:r>
            <w:proofErr w:type="spellEnd"/>
            <w:r w:rsidR="00D11308" w:rsidRPr="007B2F77">
              <w:rPr>
                <w:color w:val="000000"/>
                <w:sz w:val="24"/>
                <w:szCs w:val="24"/>
                <w:lang w:val="lv-LV"/>
              </w:rPr>
              <w:t xml:space="preserve"> </w:t>
            </w:r>
          </w:p>
        </w:tc>
      </w:tr>
      <w:tr w:rsidR="00D11308" w:rsidRPr="007B2F77" w14:paraId="0FBA2B55" w14:textId="77777777"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2282FCCA" w14:textId="77777777" w:rsidR="00D11308" w:rsidRPr="00311205" w:rsidRDefault="00D11308" w:rsidP="0078115C">
            <w:pPr>
              <w:jc w:val="both"/>
              <w:rPr>
                <w:rFonts w:eastAsia="Times New Roman"/>
                <w:sz w:val="24"/>
                <w:szCs w:val="24"/>
                <w:lang w:val="lv-LV" w:eastAsia="lv-LV"/>
              </w:rPr>
            </w:pPr>
            <w:r w:rsidRPr="00311205">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14:paraId="16288BE8" w14:textId="77777777" w:rsidR="00D11308" w:rsidRPr="007B2F77" w:rsidRDefault="00D11308" w:rsidP="0078115C">
            <w:pPr>
              <w:jc w:val="both"/>
              <w:rPr>
                <w:rFonts w:eastAsia="Times New Roman"/>
                <w:sz w:val="24"/>
                <w:szCs w:val="24"/>
                <w:lang w:val="lv-LV" w:eastAsia="lv-LV"/>
              </w:rPr>
            </w:pPr>
            <w:r w:rsidRPr="007B2F77">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14:paraId="2C8BF170" w14:textId="77777777" w:rsidR="000576D6" w:rsidRPr="007B2F77" w:rsidRDefault="005B7CB3" w:rsidP="0078115C">
            <w:pPr>
              <w:jc w:val="both"/>
              <w:rPr>
                <w:iCs/>
                <w:sz w:val="24"/>
                <w:szCs w:val="24"/>
                <w:lang w:val="lv-LV"/>
              </w:rPr>
            </w:pPr>
            <w:r>
              <w:rPr>
                <w:iCs/>
                <w:sz w:val="24"/>
                <w:szCs w:val="24"/>
                <w:lang w:val="lv-LV"/>
              </w:rPr>
              <w:t>Nav</w:t>
            </w:r>
          </w:p>
        </w:tc>
      </w:tr>
    </w:tbl>
    <w:p w14:paraId="741D26F4" w14:textId="77777777" w:rsidR="00D11308" w:rsidRPr="007B2F77" w:rsidRDefault="00D11308" w:rsidP="0078115C">
      <w:pPr>
        <w:jc w:val="both"/>
        <w:rPr>
          <w:rFonts w:eastAsia="Times New Roman"/>
          <w:sz w:val="24"/>
          <w:szCs w:val="24"/>
          <w:lang w:val="lv-LV" w:eastAsia="lv-LV"/>
        </w:rPr>
        <w:sectPr w:rsidR="00D11308" w:rsidRPr="007B2F77" w:rsidSect="005B7CB3">
          <w:headerReference w:type="default" r:id="rId12"/>
          <w:footerReference w:type="default" r:id="rId13"/>
          <w:footerReference w:type="first" r:id="rId14"/>
          <w:type w:val="continuous"/>
          <w:pgSz w:w="11906" w:h="16838"/>
          <w:pgMar w:top="1418" w:right="1134" w:bottom="1134" w:left="1701" w:header="709" w:footer="709" w:gutter="0"/>
          <w:cols w:space="708"/>
          <w:titlePg/>
          <w:docGrid w:linePitch="360"/>
        </w:sectPr>
      </w:pPr>
    </w:p>
    <w:p w14:paraId="1D6C5EFF" w14:textId="77777777" w:rsidR="00C9779A" w:rsidRDefault="00C9779A" w:rsidP="0078115C">
      <w:pP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9"/>
        <w:gridCol w:w="284"/>
        <w:gridCol w:w="145"/>
        <w:gridCol w:w="1697"/>
        <w:gridCol w:w="1135"/>
        <w:gridCol w:w="5811"/>
        <w:gridCol w:w="68"/>
      </w:tblGrid>
      <w:tr w:rsidR="005B7CB3" w:rsidRPr="003E5A6D" w14:paraId="49A8301F" w14:textId="77777777" w:rsidTr="005B7CB3">
        <w:trPr>
          <w:trHeight w:val="360"/>
          <w:tblCellSpacing w:w="15" w:type="dxa"/>
        </w:trPr>
        <w:tc>
          <w:tcPr>
            <w:tcW w:w="9149" w:type="dxa"/>
            <w:gridSpan w:val="7"/>
            <w:tcBorders>
              <w:top w:val="outset" w:sz="6" w:space="0" w:color="auto"/>
              <w:left w:val="outset" w:sz="6" w:space="0" w:color="auto"/>
              <w:bottom w:val="outset" w:sz="6" w:space="0" w:color="auto"/>
              <w:right w:val="outset" w:sz="6" w:space="0" w:color="auto"/>
            </w:tcBorders>
            <w:vAlign w:val="center"/>
            <w:hideMark/>
          </w:tcPr>
          <w:p w14:paraId="618515F5" w14:textId="77777777" w:rsidR="005B7CB3" w:rsidRPr="005B7CB3" w:rsidRDefault="005B7CB3" w:rsidP="005B7CB3">
            <w:pPr>
              <w:jc w:val="center"/>
              <w:rPr>
                <w:rFonts w:eastAsia="Times New Roman"/>
                <w:b/>
                <w:bCs/>
                <w:sz w:val="24"/>
                <w:szCs w:val="24"/>
                <w:lang w:val="lv-LV" w:eastAsia="lv-LV"/>
              </w:rPr>
            </w:pPr>
            <w:r w:rsidRPr="005B7CB3">
              <w:rPr>
                <w:rFonts w:eastAsia="Times New Roman"/>
                <w:b/>
                <w:bCs/>
                <w:sz w:val="24"/>
                <w:szCs w:val="24"/>
                <w:lang w:val="lv-LV" w:eastAsia="lv-LV"/>
              </w:rPr>
              <w:lastRenderedPageBreak/>
              <w:t>II. Tiesību akta projekta ietekme uz sabiedrību, tautsaimniecības attīstību un administratīvo slogu</w:t>
            </w:r>
          </w:p>
        </w:tc>
      </w:tr>
      <w:tr w:rsidR="005B7CB3" w:rsidRPr="003E5A6D" w14:paraId="3D3F8E8E" w14:textId="77777777" w:rsidTr="005B7CB3">
        <w:tblPrEx>
          <w:tblCellSpacing w:w="0" w:type="nil"/>
          <w:tblBorders>
            <w:top w:val="thickThinLargeGap" w:sz="6" w:space="0" w:color="C0C0C0"/>
            <w:left w:val="thickThinLargeGap" w:sz="6" w:space="0" w:color="C0C0C0"/>
            <w:bottom w:val="thickThinLargeGap" w:sz="6" w:space="0" w:color="C0C0C0"/>
            <w:right w:val="thickThinLargeGap" w:sz="6" w:space="0" w:color="C0C0C0"/>
          </w:tblBorders>
          <w:tblCellMar>
            <w:top w:w="0" w:type="dxa"/>
            <w:left w:w="0" w:type="dxa"/>
            <w:bottom w:w="0" w:type="dxa"/>
            <w:right w:w="0" w:type="dxa"/>
          </w:tblCellMar>
        </w:tblPrEx>
        <w:trPr>
          <w:gridBefore w:val="1"/>
          <w:gridAfter w:val="1"/>
          <w:wBefore w:w="24" w:type="dxa"/>
          <w:wAfter w:w="23" w:type="dxa"/>
        </w:trPr>
        <w:tc>
          <w:tcPr>
            <w:tcW w:w="254" w:type="dxa"/>
            <w:tcBorders>
              <w:top w:val="thickThinLargeGap" w:sz="6" w:space="0" w:color="C0C0C0"/>
              <w:left w:val="thickThinLargeGap" w:sz="6" w:space="0" w:color="C0C0C0"/>
              <w:bottom w:val="thickThinLargeGap" w:sz="6" w:space="0" w:color="C0C0C0"/>
              <w:right w:val="thickThinLargeGap" w:sz="6" w:space="0" w:color="C0C0C0"/>
            </w:tcBorders>
          </w:tcPr>
          <w:p w14:paraId="544AE01D" w14:textId="77777777" w:rsidR="005B7CB3" w:rsidRPr="003E5A6D" w:rsidRDefault="005B7CB3" w:rsidP="00695DCF">
            <w:pPr>
              <w:jc w:val="both"/>
              <w:rPr>
                <w:rFonts w:eastAsia="Times New Roman"/>
                <w:sz w:val="24"/>
                <w:szCs w:val="24"/>
                <w:lang w:val="lv-LV" w:eastAsia="lv-LV"/>
              </w:rPr>
            </w:pPr>
            <w:r w:rsidRPr="003E5A6D">
              <w:rPr>
                <w:rFonts w:eastAsia="Times New Roman"/>
                <w:sz w:val="24"/>
                <w:szCs w:val="24"/>
                <w:lang w:val="lv-LV" w:eastAsia="lv-LV"/>
              </w:rPr>
              <w:t>1.</w:t>
            </w:r>
          </w:p>
        </w:tc>
        <w:tc>
          <w:tcPr>
            <w:tcW w:w="294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5784A3FB" w14:textId="77777777" w:rsidR="005B7CB3" w:rsidRPr="005B7CB3" w:rsidRDefault="005B7CB3" w:rsidP="005B7CB3">
            <w:pPr>
              <w:ind w:firstLine="567"/>
              <w:jc w:val="both"/>
              <w:rPr>
                <w:bCs/>
                <w:sz w:val="24"/>
                <w:szCs w:val="24"/>
                <w:lang w:val="lv-LV"/>
              </w:rPr>
            </w:pPr>
            <w:r w:rsidRPr="005B7CB3">
              <w:rPr>
                <w:bCs/>
                <w:sz w:val="24"/>
                <w:szCs w:val="24"/>
                <w:lang w:val="lv-LV"/>
              </w:rPr>
              <w:t xml:space="preserve">Sabiedrības </w:t>
            </w:r>
            <w:proofErr w:type="spellStart"/>
            <w:r w:rsidRPr="005B7CB3">
              <w:rPr>
                <w:bCs/>
                <w:sz w:val="24"/>
                <w:szCs w:val="24"/>
                <w:lang w:val="lv-LV"/>
              </w:rPr>
              <w:t>mērķgrupas</w:t>
            </w:r>
            <w:proofErr w:type="spellEnd"/>
            <w:r w:rsidRPr="005B7CB3">
              <w:rPr>
                <w:bCs/>
                <w:sz w:val="24"/>
                <w:szCs w:val="24"/>
                <w:lang w:val="lv-LV"/>
              </w:rPr>
              <w:t>, kurs tiesiskais regulējums ietekmē vai varētu ietekmēt</w:t>
            </w:r>
          </w:p>
        </w:tc>
        <w:tc>
          <w:tcPr>
            <w:tcW w:w="5781" w:type="dxa"/>
            <w:tcBorders>
              <w:top w:val="thickThinLargeGap" w:sz="6" w:space="0" w:color="C0C0C0"/>
              <w:left w:val="thickThinLargeGap" w:sz="6" w:space="0" w:color="C0C0C0"/>
              <w:bottom w:val="thickThinLargeGap" w:sz="6" w:space="0" w:color="C0C0C0"/>
              <w:right w:val="thickThinLargeGap" w:sz="6" w:space="0" w:color="C0C0C0"/>
            </w:tcBorders>
            <w:hideMark/>
          </w:tcPr>
          <w:p w14:paraId="1693C028" w14:textId="77777777" w:rsidR="005B7CB3" w:rsidRPr="005B7CB3" w:rsidRDefault="00E259C9" w:rsidP="005B7CB3">
            <w:pPr>
              <w:ind w:firstLine="567"/>
              <w:jc w:val="both"/>
              <w:rPr>
                <w:bCs/>
                <w:sz w:val="24"/>
                <w:szCs w:val="24"/>
                <w:lang w:val="lv-LV"/>
              </w:rPr>
            </w:pPr>
            <w:r>
              <w:rPr>
                <w:bCs/>
                <w:sz w:val="24"/>
                <w:szCs w:val="24"/>
                <w:lang w:val="lv-LV"/>
              </w:rPr>
              <w:t xml:space="preserve">Sabiedrība </w:t>
            </w:r>
            <w:proofErr w:type="spellStart"/>
            <w:r w:rsidR="005B7CB3" w:rsidRPr="005B7CB3">
              <w:rPr>
                <w:bCs/>
                <w:sz w:val="24"/>
                <w:szCs w:val="24"/>
                <w:lang w:val="lv-LV"/>
              </w:rPr>
              <w:t>Altum</w:t>
            </w:r>
            <w:proofErr w:type="spellEnd"/>
            <w:r w:rsidR="005B7CB3" w:rsidRPr="005B7CB3">
              <w:rPr>
                <w:bCs/>
                <w:sz w:val="24"/>
                <w:szCs w:val="24"/>
                <w:lang w:val="lv-LV"/>
              </w:rPr>
              <w:t xml:space="preserve">,  </w:t>
            </w:r>
            <w:r>
              <w:rPr>
                <w:bCs/>
                <w:sz w:val="24"/>
                <w:szCs w:val="24"/>
                <w:lang w:val="lv-LV"/>
              </w:rPr>
              <w:t>komersanti, saimnieciskās darbības uzsācēji</w:t>
            </w:r>
          </w:p>
        </w:tc>
      </w:tr>
      <w:tr w:rsidR="005B7CB3" w:rsidRPr="003E5A6D" w14:paraId="68626C14" w14:textId="77777777" w:rsidTr="005B7CB3">
        <w:tblPrEx>
          <w:tblCellSpacing w:w="0" w:type="nil"/>
          <w:tblBorders>
            <w:top w:val="thickThinLargeGap" w:sz="6" w:space="0" w:color="C0C0C0"/>
            <w:left w:val="thickThinLargeGap" w:sz="6" w:space="0" w:color="C0C0C0"/>
            <w:bottom w:val="thickThinLargeGap" w:sz="6" w:space="0" w:color="C0C0C0"/>
            <w:right w:val="thickThinLargeGap" w:sz="6" w:space="0" w:color="C0C0C0"/>
          </w:tblBorders>
          <w:tblCellMar>
            <w:top w:w="0" w:type="dxa"/>
            <w:left w:w="0" w:type="dxa"/>
            <w:bottom w:w="0" w:type="dxa"/>
            <w:right w:w="0" w:type="dxa"/>
          </w:tblCellMar>
        </w:tblPrEx>
        <w:trPr>
          <w:gridBefore w:val="1"/>
          <w:gridAfter w:val="1"/>
          <w:wBefore w:w="24" w:type="dxa"/>
          <w:wAfter w:w="23" w:type="dxa"/>
        </w:trPr>
        <w:tc>
          <w:tcPr>
            <w:tcW w:w="254" w:type="dxa"/>
            <w:tcBorders>
              <w:top w:val="thickThinLargeGap" w:sz="6" w:space="0" w:color="C0C0C0"/>
              <w:left w:val="thickThinLargeGap" w:sz="6" w:space="0" w:color="C0C0C0"/>
              <w:bottom w:val="thickThinLargeGap" w:sz="6" w:space="0" w:color="C0C0C0"/>
              <w:right w:val="thickThinLargeGap" w:sz="6" w:space="0" w:color="C0C0C0"/>
            </w:tcBorders>
          </w:tcPr>
          <w:p w14:paraId="4A4CB720" w14:textId="77777777" w:rsidR="005B7CB3" w:rsidRPr="003E5A6D" w:rsidRDefault="005B7CB3" w:rsidP="00695DCF">
            <w:pPr>
              <w:jc w:val="both"/>
              <w:rPr>
                <w:rFonts w:eastAsia="Times New Roman"/>
                <w:sz w:val="24"/>
                <w:szCs w:val="24"/>
                <w:lang w:val="lv-LV" w:eastAsia="lv-LV"/>
              </w:rPr>
            </w:pPr>
            <w:r w:rsidRPr="003E5A6D">
              <w:rPr>
                <w:rFonts w:eastAsia="Times New Roman"/>
                <w:sz w:val="24"/>
                <w:szCs w:val="24"/>
                <w:lang w:val="lv-LV" w:eastAsia="lv-LV"/>
              </w:rPr>
              <w:t>2.</w:t>
            </w:r>
          </w:p>
        </w:tc>
        <w:tc>
          <w:tcPr>
            <w:tcW w:w="294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7C1A22C9" w14:textId="77777777" w:rsidR="005B7CB3" w:rsidRPr="005B7CB3" w:rsidRDefault="005B7CB3" w:rsidP="005B7CB3">
            <w:pPr>
              <w:ind w:firstLine="567"/>
              <w:jc w:val="both"/>
              <w:rPr>
                <w:bCs/>
                <w:sz w:val="24"/>
                <w:szCs w:val="24"/>
                <w:lang w:val="lv-LV"/>
              </w:rPr>
            </w:pPr>
            <w:r w:rsidRPr="005B7CB3">
              <w:rPr>
                <w:bCs/>
                <w:sz w:val="24"/>
                <w:szCs w:val="24"/>
                <w:lang w:val="lv-LV"/>
              </w:rPr>
              <w:t>Tiesiskā regulējuma ietekme uz tautsaimniecību un administratīvo slogu</w:t>
            </w:r>
          </w:p>
        </w:tc>
        <w:tc>
          <w:tcPr>
            <w:tcW w:w="5781" w:type="dxa"/>
            <w:tcBorders>
              <w:top w:val="thickThinLargeGap" w:sz="6" w:space="0" w:color="C0C0C0"/>
              <w:left w:val="thickThinLargeGap" w:sz="6" w:space="0" w:color="C0C0C0"/>
              <w:bottom w:val="thickThinLargeGap" w:sz="6" w:space="0" w:color="C0C0C0"/>
              <w:right w:val="thickThinLargeGap" w:sz="6" w:space="0" w:color="C0C0C0"/>
            </w:tcBorders>
            <w:hideMark/>
          </w:tcPr>
          <w:p w14:paraId="11B562E5" w14:textId="77777777" w:rsidR="005B7CB3" w:rsidRPr="005B7CB3" w:rsidRDefault="005B7CB3" w:rsidP="005B7CB3">
            <w:pPr>
              <w:pStyle w:val="BodyText"/>
              <w:ind w:right="142" w:firstLine="567"/>
              <w:rPr>
                <w:rFonts w:eastAsia="Calibri"/>
                <w:bCs/>
                <w:sz w:val="24"/>
                <w:szCs w:val="24"/>
                <w:lang w:eastAsia="en-US"/>
              </w:rPr>
            </w:pPr>
            <w:r w:rsidRPr="005B7CB3">
              <w:rPr>
                <w:rFonts w:eastAsia="Calibri"/>
                <w:bCs/>
                <w:sz w:val="24"/>
                <w:szCs w:val="24"/>
                <w:lang w:eastAsia="en-US"/>
              </w:rPr>
              <w:t>Projekts neparedz ietekmi uz administratīvo slogu.</w:t>
            </w:r>
          </w:p>
          <w:p w14:paraId="769FB7FD" w14:textId="77777777" w:rsidR="005B7CB3" w:rsidRPr="005B7CB3" w:rsidRDefault="005B7CB3" w:rsidP="005B7CB3">
            <w:pPr>
              <w:pStyle w:val="BodyText"/>
              <w:ind w:right="142" w:firstLine="567"/>
              <w:rPr>
                <w:rFonts w:eastAsia="Calibri"/>
                <w:bCs/>
                <w:sz w:val="24"/>
                <w:szCs w:val="24"/>
                <w:lang w:eastAsia="en-US"/>
              </w:rPr>
            </w:pPr>
            <w:r w:rsidRPr="005B7CB3">
              <w:rPr>
                <w:rFonts w:eastAsia="Calibri"/>
                <w:bCs/>
                <w:sz w:val="24"/>
                <w:szCs w:val="24"/>
                <w:lang w:eastAsia="en-US"/>
              </w:rPr>
              <w:t xml:space="preserve">Noteikumu projekts paredz ietekmi uz Latvijas tautsaimniecību (uzņēmējdarbību), jo nodrošina </w:t>
            </w:r>
            <w:r>
              <w:rPr>
                <w:rFonts w:eastAsia="Calibri"/>
                <w:bCs/>
                <w:sz w:val="24"/>
                <w:szCs w:val="24"/>
                <w:lang w:eastAsia="en-US"/>
              </w:rPr>
              <w:t xml:space="preserve">finanšu </w:t>
            </w:r>
            <w:r w:rsidRPr="005B7CB3">
              <w:rPr>
                <w:rFonts w:eastAsia="Calibri"/>
                <w:bCs/>
                <w:sz w:val="24"/>
                <w:szCs w:val="24"/>
                <w:lang w:eastAsia="en-US"/>
              </w:rPr>
              <w:t xml:space="preserve">pieejamību </w:t>
            </w:r>
            <w:r>
              <w:rPr>
                <w:rFonts w:eastAsia="Calibri"/>
                <w:bCs/>
                <w:sz w:val="24"/>
                <w:szCs w:val="24"/>
                <w:lang w:eastAsia="en-US"/>
              </w:rPr>
              <w:t>komersantiem, saimnieciskās darbības uzsācējiem</w:t>
            </w:r>
            <w:r w:rsidRPr="005B7CB3">
              <w:rPr>
                <w:rFonts w:eastAsia="Calibri"/>
                <w:bCs/>
                <w:sz w:val="24"/>
                <w:szCs w:val="24"/>
                <w:lang w:eastAsia="en-US"/>
              </w:rPr>
              <w:t>.</w:t>
            </w:r>
          </w:p>
        </w:tc>
      </w:tr>
      <w:tr w:rsidR="005B7CB3" w:rsidRPr="003E5A6D" w14:paraId="41E5C3B1" w14:textId="77777777" w:rsidTr="005B7CB3">
        <w:tblPrEx>
          <w:tblCellSpacing w:w="0" w:type="nil"/>
          <w:tblBorders>
            <w:top w:val="thickThinLargeGap" w:sz="6" w:space="0" w:color="C0C0C0"/>
            <w:left w:val="thickThinLargeGap" w:sz="6" w:space="0" w:color="C0C0C0"/>
            <w:bottom w:val="thickThinLargeGap" w:sz="6" w:space="0" w:color="C0C0C0"/>
            <w:right w:val="thickThinLargeGap" w:sz="6" w:space="0" w:color="C0C0C0"/>
          </w:tblBorders>
          <w:tblCellMar>
            <w:top w:w="0" w:type="dxa"/>
            <w:left w:w="0" w:type="dxa"/>
            <w:bottom w:w="0" w:type="dxa"/>
            <w:right w:w="0" w:type="dxa"/>
          </w:tblCellMar>
        </w:tblPrEx>
        <w:trPr>
          <w:gridBefore w:val="1"/>
          <w:gridAfter w:val="1"/>
          <w:wBefore w:w="24" w:type="dxa"/>
          <w:wAfter w:w="23" w:type="dxa"/>
        </w:trPr>
        <w:tc>
          <w:tcPr>
            <w:tcW w:w="254" w:type="dxa"/>
            <w:tcBorders>
              <w:top w:val="thickThinLargeGap" w:sz="6" w:space="0" w:color="C0C0C0"/>
              <w:left w:val="thickThinLargeGap" w:sz="6" w:space="0" w:color="C0C0C0"/>
              <w:bottom w:val="thickThinLargeGap" w:sz="6" w:space="0" w:color="C0C0C0"/>
              <w:right w:val="thickThinLargeGap" w:sz="6" w:space="0" w:color="C0C0C0"/>
            </w:tcBorders>
          </w:tcPr>
          <w:p w14:paraId="22D92F2F" w14:textId="77777777" w:rsidR="005B7CB3" w:rsidRPr="003E5A6D" w:rsidRDefault="005B7CB3" w:rsidP="00695DCF">
            <w:pPr>
              <w:jc w:val="both"/>
              <w:rPr>
                <w:rFonts w:eastAsia="Times New Roman"/>
                <w:sz w:val="24"/>
                <w:szCs w:val="24"/>
                <w:lang w:val="lv-LV" w:eastAsia="lv-LV"/>
              </w:rPr>
            </w:pPr>
            <w:r w:rsidRPr="003E5A6D">
              <w:rPr>
                <w:rFonts w:eastAsia="Times New Roman"/>
                <w:sz w:val="24"/>
                <w:szCs w:val="24"/>
                <w:lang w:val="lv-LV" w:eastAsia="lv-LV"/>
              </w:rPr>
              <w:t>3.</w:t>
            </w:r>
          </w:p>
        </w:tc>
        <w:tc>
          <w:tcPr>
            <w:tcW w:w="2947"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00F3D17B" w14:textId="77777777" w:rsidR="005B7CB3" w:rsidRPr="005B7CB3" w:rsidRDefault="005B7CB3" w:rsidP="005B7CB3">
            <w:pPr>
              <w:ind w:firstLine="567"/>
              <w:jc w:val="both"/>
              <w:rPr>
                <w:bCs/>
                <w:sz w:val="24"/>
                <w:szCs w:val="24"/>
                <w:lang w:val="lv-LV"/>
              </w:rPr>
            </w:pPr>
            <w:r w:rsidRPr="005B7CB3">
              <w:rPr>
                <w:bCs/>
                <w:sz w:val="24"/>
                <w:szCs w:val="24"/>
                <w:lang w:val="lv-LV"/>
              </w:rPr>
              <w:t>Administratīvo izmaksu monetārs novērtējums</w:t>
            </w:r>
          </w:p>
        </w:tc>
        <w:tc>
          <w:tcPr>
            <w:tcW w:w="5781" w:type="dxa"/>
            <w:tcBorders>
              <w:top w:val="thickThinLargeGap" w:sz="6" w:space="0" w:color="C0C0C0"/>
              <w:left w:val="thickThinLargeGap" w:sz="6" w:space="0" w:color="C0C0C0"/>
              <w:bottom w:val="thickThinLargeGap" w:sz="6" w:space="0" w:color="C0C0C0"/>
              <w:right w:val="thickThinLargeGap" w:sz="6" w:space="0" w:color="C0C0C0"/>
            </w:tcBorders>
          </w:tcPr>
          <w:p w14:paraId="24B80007" w14:textId="77777777" w:rsidR="005B7CB3" w:rsidRPr="005B7CB3" w:rsidRDefault="005B7CB3" w:rsidP="005B7CB3">
            <w:pPr>
              <w:pStyle w:val="BodyText"/>
              <w:ind w:right="142" w:firstLine="567"/>
              <w:rPr>
                <w:rFonts w:eastAsia="Calibri"/>
                <w:bCs/>
                <w:sz w:val="24"/>
                <w:szCs w:val="24"/>
                <w:lang w:eastAsia="en-US"/>
              </w:rPr>
            </w:pPr>
            <w:r w:rsidRPr="005B7CB3">
              <w:rPr>
                <w:rFonts w:eastAsia="Calibri"/>
                <w:bCs/>
                <w:sz w:val="24"/>
                <w:szCs w:val="24"/>
                <w:lang w:eastAsia="en-US"/>
              </w:rPr>
              <w:t>Projekts šo jomu neskar.</w:t>
            </w:r>
          </w:p>
        </w:tc>
      </w:tr>
      <w:tr w:rsidR="005B7CB3" w:rsidRPr="003E5A6D" w14:paraId="0E769AEF" w14:textId="77777777" w:rsidTr="005B7CB3">
        <w:tblPrEx>
          <w:tblCellSpacing w:w="0" w:type="nil"/>
          <w:tblBorders>
            <w:top w:val="thickThinLargeGap" w:sz="6" w:space="0" w:color="C0C0C0"/>
            <w:left w:val="thickThinLargeGap" w:sz="6" w:space="0" w:color="C0C0C0"/>
            <w:bottom w:val="thickThinLargeGap" w:sz="6" w:space="0" w:color="C0C0C0"/>
            <w:right w:val="thickThinLargeGap" w:sz="6" w:space="0" w:color="C0C0C0"/>
          </w:tblBorders>
          <w:tblCellMar>
            <w:top w:w="0" w:type="dxa"/>
            <w:left w:w="0" w:type="dxa"/>
            <w:bottom w:w="0" w:type="dxa"/>
            <w:right w:w="0" w:type="dxa"/>
          </w:tblCellMar>
        </w:tblPrEx>
        <w:trPr>
          <w:gridBefore w:val="1"/>
          <w:gridAfter w:val="1"/>
          <w:wBefore w:w="24" w:type="dxa"/>
          <w:wAfter w:w="23" w:type="dxa"/>
        </w:trPr>
        <w:tc>
          <w:tcPr>
            <w:tcW w:w="254" w:type="dxa"/>
            <w:tcBorders>
              <w:top w:val="thickThinLargeGap" w:sz="6" w:space="0" w:color="C0C0C0"/>
              <w:left w:val="thickThinLargeGap" w:sz="6" w:space="0" w:color="C0C0C0"/>
              <w:bottom w:val="thickThinLargeGap" w:sz="6" w:space="0" w:color="C0C0C0"/>
              <w:right w:val="thickThinLargeGap" w:sz="6" w:space="0" w:color="C0C0C0"/>
            </w:tcBorders>
          </w:tcPr>
          <w:p w14:paraId="269136A8" w14:textId="77777777" w:rsidR="005B7CB3" w:rsidRPr="003E5A6D" w:rsidRDefault="005B7CB3" w:rsidP="00695DCF">
            <w:pPr>
              <w:jc w:val="both"/>
              <w:rPr>
                <w:rFonts w:eastAsia="Times New Roman"/>
                <w:sz w:val="24"/>
                <w:szCs w:val="24"/>
                <w:lang w:val="lv-LV" w:eastAsia="lv-LV"/>
              </w:rPr>
            </w:pPr>
            <w:r>
              <w:rPr>
                <w:rFonts w:eastAsia="Times New Roman"/>
                <w:sz w:val="24"/>
                <w:szCs w:val="24"/>
                <w:lang w:val="lv-LV" w:eastAsia="lv-LV"/>
              </w:rPr>
              <w:t>4</w:t>
            </w:r>
            <w:r w:rsidRPr="003E5A6D">
              <w:rPr>
                <w:rFonts w:eastAsia="Times New Roman"/>
                <w:sz w:val="24"/>
                <w:szCs w:val="24"/>
                <w:lang w:val="lv-LV" w:eastAsia="lv-LV"/>
              </w:rPr>
              <w:t>.</w:t>
            </w:r>
          </w:p>
        </w:tc>
        <w:tc>
          <w:tcPr>
            <w:tcW w:w="2947"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2BEA82A1" w14:textId="77777777" w:rsidR="005B7CB3" w:rsidRPr="005B7CB3" w:rsidRDefault="005B7CB3" w:rsidP="005B7CB3">
            <w:pPr>
              <w:ind w:firstLine="567"/>
              <w:jc w:val="both"/>
              <w:rPr>
                <w:bCs/>
                <w:sz w:val="24"/>
                <w:szCs w:val="24"/>
                <w:lang w:val="lv-LV"/>
              </w:rPr>
            </w:pPr>
            <w:r w:rsidRPr="005B7CB3">
              <w:rPr>
                <w:bCs/>
                <w:sz w:val="24"/>
                <w:szCs w:val="24"/>
                <w:lang w:val="lv-LV"/>
              </w:rPr>
              <w:t>Cita informācija</w:t>
            </w:r>
          </w:p>
        </w:tc>
        <w:tc>
          <w:tcPr>
            <w:tcW w:w="5781" w:type="dxa"/>
            <w:tcBorders>
              <w:top w:val="thickThinLargeGap" w:sz="6" w:space="0" w:color="C0C0C0"/>
              <w:left w:val="thickThinLargeGap" w:sz="6" w:space="0" w:color="C0C0C0"/>
              <w:bottom w:val="thickThinLargeGap" w:sz="6" w:space="0" w:color="C0C0C0"/>
              <w:right w:val="thickThinLargeGap" w:sz="6" w:space="0" w:color="C0C0C0"/>
            </w:tcBorders>
          </w:tcPr>
          <w:p w14:paraId="5EA22BC9" w14:textId="77777777" w:rsidR="005B7CB3" w:rsidRPr="005B7CB3" w:rsidRDefault="005B7CB3" w:rsidP="005B7CB3">
            <w:pPr>
              <w:ind w:firstLine="567"/>
              <w:jc w:val="both"/>
              <w:rPr>
                <w:bCs/>
                <w:sz w:val="24"/>
                <w:szCs w:val="24"/>
                <w:lang w:val="lv-LV"/>
              </w:rPr>
            </w:pPr>
            <w:r w:rsidRPr="005B7CB3">
              <w:rPr>
                <w:bCs/>
                <w:sz w:val="24"/>
                <w:szCs w:val="24"/>
                <w:lang w:val="lv-LV"/>
              </w:rPr>
              <w:t>Nav</w:t>
            </w:r>
          </w:p>
        </w:tc>
      </w:tr>
      <w:tr w:rsidR="005B7CB3" w:rsidRPr="007B2F77" w14:paraId="017A2A21" w14:textId="77777777" w:rsidTr="005B7CB3">
        <w:trPr>
          <w:trHeight w:val="360"/>
          <w:tblCellSpacing w:w="15" w:type="dxa"/>
        </w:trPr>
        <w:tc>
          <w:tcPr>
            <w:tcW w:w="9149" w:type="dxa"/>
            <w:gridSpan w:val="7"/>
            <w:tcBorders>
              <w:top w:val="nil"/>
              <w:left w:val="nil"/>
              <w:bottom w:val="nil"/>
              <w:right w:val="nil"/>
            </w:tcBorders>
            <w:vAlign w:val="center"/>
          </w:tcPr>
          <w:p w14:paraId="77227F4A" w14:textId="77777777" w:rsidR="005B7CB3" w:rsidRPr="00E259C9" w:rsidRDefault="005B7CB3" w:rsidP="0078115C">
            <w:pPr>
              <w:jc w:val="center"/>
              <w:rPr>
                <w:rFonts w:eastAsia="Times New Roman"/>
                <w:b/>
                <w:bCs/>
                <w:sz w:val="16"/>
                <w:szCs w:val="16"/>
                <w:lang w:val="lv-LV" w:eastAsia="lv-LV"/>
              </w:rPr>
            </w:pPr>
          </w:p>
        </w:tc>
      </w:tr>
      <w:tr w:rsidR="00244B2D" w:rsidRPr="007B2F77" w14:paraId="3F880B2E" w14:textId="77777777" w:rsidTr="005B7CB3">
        <w:trPr>
          <w:trHeight w:val="360"/>
          <w:tblCellSpacing w:w="15" w:type="dxa"/>
        </w:trPr>
        <w:tc>
          <w:tcPr>
            <w:tcW w:w="9149" w:type="dxa"/>
            <w:gridSpan w:val="7"/>
            <w:tcBorders>
              <w:top w:val="outset" w:sz="6" w:space="0" w:color="auto"/>
              <w:left w:val="outset" w:sz="6" w:space="0" w:color="auto"/>
              <w:bottom w:val="outset" w:sz="6" w:space="0" w:color="auto"/>
              <w:right w:val="outset" w:sz="6" w:space="0" w:color="auto"/>
            </w:tcBorders>
            <w:vAlign w:val="center"/>
            <w:hideMark/>
          </w:tcPr>
          <w:p w14:paraId="46AEEB5C" w14:textId="77777777" w:rsidR="00244B2D" w:rsidRPr="007B2F77" w:rsidRDefault="00244B2D" w:rsidP="0078115C">
            <w:pPr>
              <w:jc w:val="center"/>
              <w:rPr>
                <w:rFonts w:eastAsia="Times New Roman"/>
                <w:b/>
                <w:bCs/>
                <w:sz w:val="24"/>
                <w:szCs w:val="24"/>
                <w:lang w:val="lv-LV" w:eastAsia="lv-LV"/>
              </w:rPr>
            </w:pPr>
            <w:r w:rsidRPr="007B2F77">
              <w:rPr>
                <w:rFonts w:eastAsia="Times New Roman"/>
                <w:b/>
                <w:bCs/>
                <w:sz w:val="24"/>
                <w:szCs w:val="24"/>
                <w:lang w:val="lv-LV" w:eastAsia="lv-LV"/>
              </w:rPr>
              <w:t>IV. Tiesību akta projekta ietekme uz spēkā esošo tiesību normu sistēmu</w:t>
            </w:r>
          </w:p>
        </w:tc>
      </w:tr>
      <w:tr w:rsidR="00244B2D" w:rsidRPr="007B2F77" w14:paraId="59010320" w14:textId="77777777" w:rsidTr="005B7CB3">
        <w:trPr>
          <w:tblCellSpacing w:w="15" w:type="dxa"/>
        </w:trPr>
        <w:tc>
          <w:tcPr>
            <w:tcW w:w="453" w:type="dxa"/>
            <w:gridSpan w:val="3"/>
            <w:tcBorders>
              <w:top w:val="outset" w:sz="6" w:space="0" w:color="auto"/>
              <w:left w:val="outset" w:sz="6" w:space="0" w:color="auto"/>
              <w:bottom w:val="outset" w:sz="6" w:space="0" w:color="auto"/>
              <w:right w:val="outset" w:sz="6" w:space="0" w:color="auto"/>
            </w:tcBorders>
            <w:hideMark/>
          </w:tcPr>
          <w:p w14:paraId="6121B216" w14:textId="77777777" w:rsidR="00244B2D" w:rsidRPr="00311205" w:rsidRDefault="00244B2D" w:rsidP="0078115C">
            <w:pPr>
              <w:rPr>
                <w:rFonts w:eastAsia="Times New Roman"/>
                <w:sz w:val="24"/>
                <w:szCs w:val="24"/>
                <w:lang w:val="lv-LV" w:eastAsia="lv-LV"/>
              </w:rPr>
            </w:pPr>
            <w:r w:rsidRPr="00311205">
              <w:rPr>
                <w:rFonts w:eastAsia="Times New Roman"/>
                <w:sz w:val="24"/>
                <w:szCs w:val="24"/>
                <w:lang w:val="lv-LV" w:eastAsia="lv-LV"/>
              </w:rPr>
              <w:t>1.</w:t>
            </w:r>
          </w:p>
        </w:tc>
        <w:tc>
          <w:tcPr>
            <w:tcW w:w="1667" w:type="dxa"/>
            <w:tcBorders>
              <w:top w:val="outset" w:sz="6" w:space="0" w:color="auto"/>
              <w:left w:val="outset" w:sz="6" w:space="0" w:color="auto"/>
              <w:bottom w:val="outset" w:sz="6" w:space="0" w:color="auto"/>
              <w:right w:val="outset" w:sz="6" w:space="0" w:color="auto"/>
            </w:tcBorders>
            <w:hideMark/>
          </w:tcPr>
          <w:p w14:paraId="64B9CFAE" w14:textId="77777777" w:rsidR="00244B2D" w:rsidRPr="007B2F77" w:rsidRDefault="00244B2D" w:rsidP="0078115C">
            <w:pPr>
              <w:rPr>
                <w:rFonts w:eastAsia="Times New Roman"/>
                <w:sz w:val="24"/>
                <w:szCs w:val="24"/>
                <w:lang w:val="lv-LV" w:eastAsia="lv-LV"/>
              </w:rPr>
            </w:pPr>
            <w:r w:rsidRPr="007B2F77">
              <w:rPr>
                <w:rFonts w:eastAsia="Times New Roman"/>
                <w:sz w:val="24"/>
                <w:szCs w:val="24"/>
                <w:lang w:val="lv-LV" w:eastAsia="lv-LV"/>
              </w:rPr>
              <w:t>Nepieciešamie saistītie tiesību aktu projekti</w:t>
            </w:r>
          </w:p>
        </w:tc>
        <w:tc>
          <w:tcPr>
            <w:tcW w:w="6969" w:type="dxa"/>
            <w:gridSpan w:val="3"/>
            <w:tcBorders>
              <w:top w:val="outset" w:sz="6" w:space="0" w:color="auto"/>
              <w:left w:val="outset" w:sz="6" w:space="0" w:color="auto"/>
              <w:bottom w:val="outset" w:sz="6" w:space="0" w:color="auto"/>
              <w:right w:val="outset" w:sz="6" w:space="0" w:color="auto"/>
            </w:tcBorders>
            <w:hideMark/>
          </w:tcPr>
          <w:p w14:paraId="4761304F" w14:textId="77777777" w:rsidR="004E0AC5" w:rsidRDefault="00D460F1" w:rsidP="004E0AC5">
            <w:pPr>
              <w:jc w:val="both"/>
              <w:rPr>
                <w:iCs/>
                <w:sz w:val="24"/>
                <w:szCs w:val="24"/>
                <w:lang w:val="lv-LV"/>
              </w:rPr>
            </w:pPr>
            <w:r>
              <w:rPr>
                <w:iCs/>
                <w:sz w:val="24"/>
                <w:szCs w:val="24"/>
                <w:lang w:val="lv-LV"/>
              </w:rPr>
              <w:t>MK noteikumu projekts</w:t>
            </w:r>
            <w:r w:rsidR="004E0AC5">
              <w:rPr>
                <w:iCs/>
                <w:sz w:val="24"/>
                <w:szCs w:val="24"/>
                <w:lang w:val="lv-LV"/>
              </w:rPr>
              <w:t xml:space="preserve"> izskatāms </w:t>
            </w:r>
            <w:r>
              <w:rPr>
                <w:iCs/>
                <w:sz w:val="24"/>
                <w:szCs w:val="24"/>
                <w:lang w:val="lv-LV"/>
              </w:rPr>
              <w:t xml:space="preserve"> </w:t>
            </w:r>
            <w:r w:rsidR="004E0AC5">
              <w:rPr>
                <w:iCs/>
                <w:sz w:val="24"/>
                <w:szCs w:val="24"/>
                <w:lang w:val="lv-LV"/>
              </w:rPr>
              <w:t xml:space="preserve">Ministru kabineta sēdē vienlaicīgi ar šādiem grozījumiem: </w:t>
            </w:r>
          </w:p>
          <w:p w14:paraId="76872854" w14:textId="77777777" w:rsidR="0036246C" w:rsidRPr="004E0AC5" w:rsidRDefault="0036246C" w:rsidP="004E0AC5">
            <w:pPr>
              <w:pStyle w:val="ListParagraph"/>
              <w:numPr>
                <w:ilvl w:val="0"/>
                <w:numId w:val="21"/>
              </w:numPr>
              <w:jc w:val="both"/>
              <w:rPr>
                <w:iCs/>
                <w:sz w:val="24"/>
                <w:szCs w:val="24"/>
                <w:lang w:val="lv-LV"/>
              </w:rPr>
            </w:pPr>
            <w:r w:rsidRPr="004E0AC5">
              <w:rPr>
                <w:bCs/>
                <w:sz w:val="24"/>
                <w:szCs w:val="24"/>
                <w:lang w:val="lv-LV"/>
              </w:rPr>
              <w:t>darbības programmas „Uzņēmējdarbība un inovācijas” papildinājumā;</w:t>
            </w:r>
          </w:p>
          <w:p w14:paraId="3A23125B" w14:textId="77777777" w:rsidR="0078115C" w:rsidRDefault="00181DAD" w:rsidP="00A957B5">
            <w:pPr>
              <w:pStyle w:val="ListParagraph"/>
              <w:numPr>
                <w:ilvl w:val="0"/>
                <w:numId w:val="21"/>
              </w:numPr>
              <w:jc w:val="both"/>
              <w:rPr>
                <w:rFonts w:eastAsia="Times New Roman"/>
                <w:sz w:val="24"/>
                <w:szCs w:val="24"/>
                <w:lang w:val="lv-LV" w:eastAsia="lv-LV"/>
              </w:rPr>
            </w:pPr>
            <w:r w:rsidRPr="0036246C">
              <w:rPr>
                <w:iCs/>
                <w:sz w:val="24"/>
                <w:szCs w:val="24"/>
                <w:lang w:val="lv-LV"/>
              </w:rPr>
              <w:t xml:space="preserve">2011.gada </w:t>
            </w:r>
            <w:r w:rsidR="0036246C" w:rsidRPr="0036246C">
              <w:rPr>
                <w:iCs/>
                <w:sz w:val="24"/>
                <w:szCs w:val="24"/>
                <w:lang w:val="lv-LV"/>
              </w:rPr>
              <w:t>2.augusta</w:t>
            </w:r>
            <w:r w:rsidR="00082F82">
              <w:rPr>
                <w:iCs/>
                <w:sz w:val="24"/>
                <w:szCs w:val="24"/>
                <w:lang w:val="lv-LV"/>
              </w:rPr>
              <w:t xml:space="preserve"> Ministru kabineta</w:t>
            </w:r>
            <w:r w:rsidR="0036246C" w:rsidRPr="0036246C">
              <w:rPr>
                <w:iCs/>
                <w:sz w:val="24"/>
                <w:szCs w:val="24"/>
                <w:lang w:val="lv-LV"/>
              </w:rPr>
              <w:t xml:space="preserve"> noteikumos Nr.614</w:t>
            </w:r>
            <w:r w:rsidRPr="0036246C">
              <w:rPr>
                <w:iCs/>
                <w:sz w:val="24"/>
                <w:szCs w:val="24"/>
                <w:lang w:val="lv-LV"/>
              </w:rPr>
              <w:t xml:space="preserve"> „</w:t>
            </w:r>
            <w:r w:rsidR="0036246C" w:rsidRPr="0036246C">
              <w:rPr>
                <w:rFonts w:eastAsia="Times New Roman"/>
                <w:sz w:val="24"/>
                <w:szCs w:val="24"/>
                <w:lang w:val="lv-LV" w:eastAsia="lv-LV"/>
              </w:rPr>
              <w:t>Not</w:t>
            </w:r>
            <w:r w:rsidR="00A957B5">
              <w:rPr>
                <w:rFonts w:eastAsia="Times New Roman"/>
                <w:sz w:val="24"/>
                <w:szCs w:val="24"/>
                <w:lang w:val="lv-LV" w:eastAsia="lv-LV"/>
              </w:rPr>
              <w:t>eikumi par darbības programmas „</w:t>
            </w:r>
            <w:r w:rsidR="0036246C" w:rsidRPr="0036246C">
              <w:rPr>
                <w:rFonts w:eastAsia="Times New Roman"/>
                <w:sz w:val="24"/>
                <w:szCs w:val="24"/>
                <w:lang w:val="lv-LV" w:eastAsia="lv-LV"/>
              </w:rPr>
              <w:t xml:space="preserve">Uzņēmējdarbība un </w:t>
            </w:r>
            <w:r w:rsidR="00A957B5">
              <w:rPr>
                <w:rFonts w:eastAsia="Times New Roman"/>
                <w:sz w:val="24"/>
                <w:szCs w:val="24"/>
                <w:lang w:val="lv-LV" w:eastAsia="lv-LV"/>
              </w:rPr>
              <w:t xml:space="preserve">inovācijas"” </w:t>
            </w:r>
            <w:r w:rsidR="0036246C" w:rsidRPr="0036246C">
              <w:rPr>
                <w:rFonts w:eastAsia="Times New Roman"/>
                <w:sz w:val="24"/>
                <w:szCs w:val="24"/>
                <w:lang w:val="lv-LV" w:eastAsia="lv-LV"/>
              </w:rPr>
              <w:t xml:space="preserve">papildinājuma 2.2.1.4.2. </w:t>
            </w:r>
            <w:proofErr w:type="spellStart"/>
            <w:r w:rsidR="0036246C" w:rsidRPr="0036246C">
              <w:rPr>
                <w:rFonts w:eastAsia="Times New Roman"/>
                <w:sz w:val="24"/>
                <w:szCs w:val="24"/>
                <w:lang w:val="lv-LV" w:eastAsia="lv-LV"/>
              </w:rPr>
              <w:t>apakšaktivitāti</w:t>
            </w:r>
            <w:proofErr w:type="spellEnd"/>
            <w:r w:rsidR="0036246C" w:rsidRPr="0036246C">
              <w:rPr>
                <w:rFonts w:eastAsia="Times New Roman"/>
                <w:sz w:val="24"/>
                <w:szCs w:val="24"/>
                <w:lang w:val="lv-LV" w:eastAsia="lv-LV"/>
              </w:rPr>
              <w:t xml:space="preserve"> </w:t>
            </w:r>
            <w:r w:rsidR="0036246C">
              <w:rPr>
                <w:rFonts w:eastAsia="Times New Roman"/>
                <w:sz w:val="24"/>
                <w:szCs w:val="24"/>
                <w:lang w:val="lv-LV" w:eastAsia="lv-LV"/>
              </w:rPr>
              <w:t xml:space="preserve"> </w:t>
            </w:r>
            <w:r w:rsidR="00A4478E">
              <w:rPr>
                <w:rFonts w:eastAsia="Times New Roman"/>
                <w:sz w:val="24"/>
                <w:szCs w:val="24"/>
                <w:lang w:val="lv-LV" w:eastAsia="lv-LV"/>
              </w:rPr>
              <w:t>„</w:t>
            </w:r>
            <w:proofErr w:type="spellStart"/>
            <w:r w:rsidR="0036246C" w:rsidRPr="0036246C">
              <w:rPr>
                <w:rFonts w:eastAsia="Times New Roman"/>
                <w:sz w:val="24"/>
                <w:szCs w:val="24"/>
                <w:lang w:val="lv-LV" w:eastAsia="lv-LV"/>
              </w:rPr>
              <w:t>Mezanīna</w:t>
            </w:r>
            <w:proofErr w:type="spellEnd"/>
            <w:r w:rsidR="0036246C" w:rsidRPr="0036246C">
              <w:rPr>
                <w:rFonts w:eastAsia="Times New Roman"/>
                <w:sz w:val="24"/>
                <w:szCs w:val="24"/>
                <w:lang w:val="lv-LV" w:eastAsia="lv-LV"/>
              </w:rPr>
              <w:t xml:space="preserve"> aizdevumi un nodrošinājuma garantijas saimnieciskās darbības vei</w:t>
            </w:r>
            <w:r w:rsidR="0036246C">
              <w:rPr>
                <w:rFonts w:eastAsia="Times New Roman"/>
                <w:sz w:val="24"/>
                <w:szCs w:val="24"/>
                <w:lang w:val="lv-LV" w:eastAsia="lv-LV"/>
              </w:rPr>
              <w:t xml:space="preserve">cēju konkurētspējas </w:t>
            </w:r>
            <w:r w:rsidR="00082F82">
              <w:rPr>
                <w:rFonts w:eastAsia="Times New Roman"/>
                <w:sz w:val="24"/>
                <w:szCs w:val="24"/>
                <w:lang w:val="lv-LV" w:eastAsia="lv-LV"/>
              </w:rPr>
              <w:t>uzlabošanai””;</w:t>
            </w:r>
          </w:p>
          <w:p w14:paraId="6E840000" w14:textId="77777777" w:rsidR="00082F82" w:rsidRPr="0036246C" w:rsidRDefault="00082F82" w:rsidP="00082F82">
            <w:pPr>
              <w:pStyle w:val="ListParagraph"/>
              <w:numPr>
                <w:ilvl w:val="0"/>
                <w:numId w:val="21"/>
              </w:numPr>
              <w:jc w:val="both"/>
              <w:rPr>
                <w:rFonts w:eastAsia="Times New Roman"/>
                <w:sz w:val="24"/>
                <w:szCs w:val="24"/>
                <w:lang w:val="lv-LV" w:eastAsia="lv-LV"/>
              </w:rPr>
            </w:pPr>
            <w:r>
              <w:rPr>
                <w:rFonts w:eastAsia="Times New Roman"/>
                <w:sz w:val="24"/>
                <w:szCs w:val="24"/>
                <w:lang w:val="lv-LV" w:eastAsia="lv-LV"/>
              </w:rPr>
              <w:t xml:space="preserve">2014.gada 13.maija </w:t>
            </w:r>
            <w:r>
              <w:rPr>
                <w:iCs/>
                <w:sz w:val="24"/>
                <w:szCs w:val="24"/>
                <w:lang w:val="lv-LV"/>
              </w:rPr>
              <w:t>Ministru kabineta noteikumos Nr.241 “N</w:t>
            </w:r>
            <w:r w:rsidRPr="00082F82">
              <w:rPr>
                <w:iCs/>
                <w:sz w:val="24"/>
                <w:szCs w:val="24"/>
                <w:lang w:val="lv-LV"/>
              </w:rPr>
              <w:t xml:space="preserve">oteikumi par </w:t>
            </w:r>
            <w:proofErr w:type="spellStart"/>
            <w:r w:rsidRPr="00082F82">
              <w:rPr>
                <w:iCs/>
                <w:sz w:val="24"/>
                <w:szCs w:val="24"/>
                <w:lang w:val="lv-LV"/>
              </w:rPr>
              <w:t>mezanīna</w:t>
            </w:r>
            <w:proofErr w:type="spellEnd"/>
            <w:r w:rsidRPr="00082F82">
              <w:rPr>
                <w:iCs/>
                <w:sz w:val="24"/>
                <w:szCs w:val="24"/>
                <w:lang w:val="lv-LV"/>
              </w:rPr>
              <w:t xml:space="preserve"> aizdevumiem saimnieciskās darbības veic</w:t>
            </w:r>
            <w:r>
              <w:rPr>
                <w:iCs/>
                <w:sz w:val="24"/>
                <w:szCs w:val="24"/>
                <w:lang w:val="lv-LV"/>
              </w:rPr>
              <w:t>ēju konkurētspējas uzlabošanai”</w:t>
            </w:r>
          </w:p>
        </w:tc>
      </w:tr>
      <w:tr w:rsidR="00244B2D" w:rsidRPr="007B2F77" w14:paraId="3AD3D506" w14:textId="77777777" w:rsidTr="005B7CB3">
        <w:trPr>
          <w:tblCellSpacing w:w="15" w:type="dxa"/>
        </w:trPr>
        <w:tc>
          <w:tcPr>
            <w:tcW w:w="453" w:type="dxa"/>
            <w:gridSpan w:val="3"/>
            <w:tcBorders>
              <w:top w:val="outset" w:sz="6" w:space="0" w:color="auto"/>
              <w:left w:val="outset" w:sz="6" w:space="0" w:color="auto"/>
              <w:bottom w:val="outset" w:sz="6" w:space="0" w:color="auto"/>
              <w:right w:val="outset" w:sz="6" w:space="0" w:color="auto"/>
            </w:tcBorders>
            <w:hideMark/>
          </w:tcPr>
          <w:p w14:paraId="16E1B7AC" w14:textId="77777777" w:rsidR="00244B2D" w:rsidRPr="00311205" w:rsidRDefault="00244B2D" w:rsidP="00FD534A">
            <w:pPr>
              <w:rPr>
                <w:rFonts w:eastAsia="Times New Roman"/>
                <w:sz w:val="24"/>
                <w:szCs w:val="24"/>
                <w:lang w:val="lv-LV" w:eastAsia="lv-LV"/>
              </w:rPr>
            </w:pPr>
            <w:r w:rsidRPr="00311205">
              <w:rPr>
                <w:rFonts w:eastAsia="Times New Roman"/>
                <w:sz w:val="24"/>
                <w:szCs w:val="24"/>
                <w:lang w:val="lv-LV" w:eastAsia="lv-LV"/>
              </w:rPr>
              <w:t>2.</w:t>
            </w:r>
          </w:p>
        </w:tc>
        <w:tc>
          <w:tcPr>
            <w:tcW w:w="1667" w:type="dxa"/>
            <w:tcBorders>
              <w:top w:val="outset" w:sz="6" w:space="0" w:color="auto"/>
              <w:left w:val="outset" w:sz="6" w:space="0" w:color="auto"/>
              <w:bottom w:val="outset" w:sz="6" w:space="0" w:color="auto"/>
              <w:right w:val="outset" w:sz="6" w:space="0" w:color="auto"/>
            </w:tcBorders>
            <w:hideMark/>
          </w:tcPr>
          <w:p w14:paraId="6C4FFB2D" w14:textId="77777777" w:rsidR="00244B2D" w:rsidRPr="007B2F77" w:rsidRDefault="00244B2D" w:rsidP="00FD534A">
            <w:pPr>
              <w:rPr>
                <w:rFonts w:eastAsia="Times New Roman"/>
                <w:sz w:val="24"/>
                <w:szCs w:val="24"/>
                <w:lang w:val="lv-LV" w:eastAsia="lv-LV"/>
              </w:rPr>
            </w:pPr>
            <w:r w:rsidRPr="007B2F77">
              <w:rPr>
                <w:rFonts w:eastAsia="Times New Roman"/>
                <w:sz w:val="24"/>
                <w:szCs w:val="24"/>
                <w:lang w:val="lv-LV" w:eastAsia="lv-LV"/>
              </w:rPr>
              <w:t>Atbildīgā institūcija</w:t>
            </w:r>
          </w:p>
        </w:tc>
        <w:tc>
          <w:tcPr>
            <w:tcW w:w="6969" w:type="dxa"/>
            <w:gridSpan w:val="3"/>
            <w:tcBorders>
              <w:top w:val="outset" w:sz="6" w:space="0" w:color="auto"/>
              <w:left w:val="outset" w:sz="6" w:space="0" w:color="auto"/>
              <w:bottom w:val="outset" w:sz="6" w:space="0" w:color="auto"/>
              <w:right w:val="outset" w:sz="6" w:space="0" w:color="auto"/>
            </w:tcBorders>
            <w:hideMark/>
          </w:tcPr>
          <w:p w14:paraId="5363E84E" w14:textId="77777777" w:rsidR="00244B2D" w:rsidRPr="007B2F77" w:rsidRDefault="00244B2D" w:rsidP="00FD534A">
            <w:pPr>
              <w:rPr>
                <w:rFonts w:eastAsia="Times New Roman"/>
                <w:sz w:val="24"/>
                <w:szCs w:val="24"/>
                <w:lang w:val="lv-LV" w:eastAsia="lv-LV"/>
              </w:rPr>
            </w:pPr>
            <w:r w:rsidRPr="007B2F77">
              <w:rPr>
                <w:rFonts w:eastAsia="Times New Roman"/>
                <w:sz w:val="24"/>
                <w:szCs w:val="24"/>
                <w:lang w:val="lv-LV" w:eastAsia="lv-LV"/>
              </w:rPr>
              <w:t xml:space="preserve">EM </w:t>
            </w:r>
          </w:p>
        </w:tc>
      </w:tr>
      <w:tr w:rsidR="00244B2D" w:rsidRPr="007B2F77" w14:paraId="494F5EC1" w14:textId="77777777" w:rsidTr="005B7CB3">
        <w:trPr>
          <w:tblCellSpacing w:w="15" w:type="dxa"/>
        </w:trPr>
        <w:tc>
          <w:tcPr>
            <w:tcW w:w="453" w:type="dxa"/>
            <w:gridSpan w:val="3"/>
            <w:tcBorders>
              <w:top w:val="outset" w:sz="6" w:space="0" w:color="auto"/>
              <w:left w:val="outset" w:sz="6" w:space="0" w:color="auto"/>
              <w:bottom w:val="outset" w:sz="6" w:space="0" w:color="auto"/>
              <w:right w:val="outset" w:sz="6" w:space="0" w:color="auto"/>
            </w:tcBorders>
            <w:hideMark/>
          </w:tcPr>
          <w:p w14:paraId="6BA0151A" w14:textId="77777777" w:rsidR="00244B2D" w:rsidRPr="00311205" w:rsidRDefault="00244B2D" w:rsidP="00FD534A">
            <w:pPr>
              <w:rPr>
                <w:rFonts w:eastAsia="Times New Roman"/>
                <w:sz w:val="24"/>
                <w:szCs w:val="24"/>
                <w:lang w:val="lv-LV" w:eastAsia="lv-LV"/>
              </w:rPr>
            </w:pPr>
            <w:r w:rsidRPr="00311205">
              <w:rPr>
                <w:rFonts w:eastAsia="Times New Roman"/>
                <w:sz w:val="24"/>
                <w:szCs w:val="24"/>
                <w:lang w:val="lv-LV" w:eastAsia="lv-LV"/>
              </w:rPr>
              <w:t>3.</w:t>
            </w:r>
          </w:p>
        </w:tc>
        <w:tc>
          <w:tcPr>
            <w:tcW w:w="1667" w:type="dxa"/>
            <w:tcBorders>
              <w:top w:val="outset" w:sz="6" w:space="0" w:color="auto"/>
              <w:left w:val="outset" w:sz="6" w:space="0" w:color="auto"/>
              <w:bottom w:val="outset" w:sz="6" w:space="0" w:color="auto"/>
              <w:right w:val="outset" w:sz="6" w:space="0" w:color="auto"/>
            </w:tcBorders>
            <w:hideMark/>
          </w:tcPr>
          <w:p w14:paraId="7756830C" w14:textId="77777777" w:rsidR="00244B2D" w:rsidRPr="007B2F77" w:rsidRDefault="00244B2D" w:rsidP="00FD534A">
            <w:pPr>
              <w:rPr>
                <w:rFonts w:eastAsia="Times New Roman"/>
                <w:sz w:val="24"/>
                <w:szCs w:val="24"/>
                <w:lang w:val="lv-LV" w:eastAsia="lv-LV"/>
              </w:rPr>
            </w:pPr>
            <w:r w:rsidRPr="007B2F77">
              <w:rPr>
                <w:rFonts w:eastAsia="Times New Roman"/>
                <w:sz w:val="24"/>
                <w:szCs w:val="24"/>
                <w:lang w:val="lv-LV" w:eastAsia="lv-LV"/>
              </w:rPr>
              <w:t>Cita informācija</w:t>
            </w:r>
          </w:p>
        </w:tc>
        <w:tc>
          <w:tcPr>
            <w:tcW w:w="6969" w:type="dxa"/>
            <w:gridSpan w:val="3"/>
            <w:tcBorders>
              <w:top w:val="outset" w:sz="6" w:space="0" w:color="auto"/>
              <w:left w:val="outset" w:sz="6" w:space="0" w:color="auto"/>
              <w:bottom w:val="outset" w:sz="6" w:space="0" w:color="auto"/>
              <w:right w:val="outset" w:sz="6" w:space="0" w:color="auto"/>
            </w:tcBorders>
            <w:hideMark/>
          </w:tcPr>
          <w:p w14:paraId="4CEE6642" w14:textId="77777777" w:rsidR="0036246C" w:rsidRDefault="0036246C" w:rsidP="0036246C">
            <w:pPr>
              <w:rPr>
                <w:iCs/>
                <w:sz w:val="24"/>
                <w:szCs w:val="24"/>
                <w:lang w:val="lv-LV"/>
              </w:rPr>
            </w:pPr>
            <w:r>
              <w:rPr>
                <w:iCs/>
                <w:sz w:val="24"/>
                <w:szCs w:val="24"/>
                <w:lang w:val="lv-LV"/>
              </w:rPr>
              <w:t>Papildus nepieciešami grozījumi:</w:t>
            </w:r>
          </w:p>
          <w:p w14:paraId="70D5D867" w14:textId="74FFAABF" w:rsidR="0036246C" w:rsidRPr="0036246C" w:rsidRDefault="0036246C" w:rsidP="00A957B5">
            <w:pPr>
              <w:pStyle w:val="ListParagraph"/>
              <w:numPr>
                <w:ilvl w:val="0"/>
                <w:numId w:val="26"/>
              </w:numPr>
              <w:jc w:val="both"/>
              <w:rPr>
                <w:iCs/>
                <w:sz w:val="24"/>
                <w:szCs w:val="24"/>
                <w:lang w:val="lv-LV"/>
              </w:rPr>
            </w:pPr>
            <w:r w:rsidRPr="0036246C">
              <w:rPr>
                <w:iCs/>
                <w:sz w:val="24"/>
                <w:szCs w:val="24"/>
                <w:lang w:val="lv-LV"/>
              </w:rPr>
              <w:t xml:space="preserve">Līgumā, kas noslēgts starp EM un sabiedrību </w:t>
            </w:r>
            <w:proofErr w:type="spellStart"/>
            <w:r w:rsidRPr="0036246C">
              <w:rPr>
                <w:iCs/>
                <w:sz w:val="24"/>
                <w:szCs w:val="24"/>
                <w:lang w:val="lv-LV"/>
              </w:rPr>
              <w:t>Altum</w:t>
            </w:r>
            <w:proofErr w:type="spellEnd"/>
            <w:r w:rsidRPr="0036246C">
              <w:rPr>
                <w:iCs/>
                <w:sz w:val="24"/>
                <w:szCs w:val="24"/>
                <w:lang w:val="lv-LV"/>
              </w:rPr>
              <w:t xml:space="preserve"> par 2.2.1.4.1.aktivitātes otrās projektu iesniegumu atlases kārtas projekta īstenošanu;</w:t>
            </w:r>
          </w:p>
          <w:p w14:paraId="56DBCCDF" w14:textId="53A682D5" w:rsidR="0036246C" w:rsidRPr="0036246C" w:rsidRDefault="0036246C" w:rsidP="00A957B5">
            <w:pPr>
              <w:pStyle w:val="ListParagraph"/>
              <w:numPr>
                <w:ilvl w:val="0"/>
                <w:numId w:val="26"/>
              </w:numPr>
              <w:jc w:val="both"/>
              <w:rPr>
                <w:iCs/>
                <w:sz w:val="24"/>
                <w:szCs w:val="24"/>
                <w:lang w:val="lv-LV"/>
              </w:rPr>
            </w:pPr>
            <w:r w:rsidRPr="0036246C">
              <w:rPr>
                <w:iCs/>
                <w:sz w:val="24"/>
                <w:szCs w:val="24"/>
                <w:lang w:val="lv-LV"/>
              </w:rPr>
              <w:t xml:space="preserve">Līgumā, kas noslēgts starp EM un sabiedrību </w:t>
            </w:r>
            <w:proofErr w:type="spellStart"/>
            <w:r w:rsidRPr="0036246C">
              <w:rPr>
                <w:iCs/>
                <w:sz w:val="24"/>
                <w:szCs w:val="24"/>
                <w:lang w:val="lv-LV"/>
              </w:rPr>
              <w:t>Altum</w:t>
            </w:r>
            <w:proofErr w:type="spellEnd"/>
            <w:r w:rsidRPr="0036246C">
              <w:rPr>
                <w:iCs/>
                <w:sz w:val="24"/>
                <w:szCs w:val="24"/>
                <w:lang w:val="lv-LV"/>
              </w:rPr>
              <w:t xml:space="preserve"> par 2.2.1.4.2.</w:t>
            </w:r>
            <w:r w:rsidR="00814A5E">
              <w:rPr>
                <w:iCs/>
                <w:sz w:val="24"/>
                <w:szCs w:val="24"/>
                <w:lang w:val="lv-LV"/>
              </w:rPr>
              <w:t>a</w:t>
            </w:r>
            <w:r w:rsidRPr="0036246C">
              <w:rPr>
                <w:iCs/>
                <w:sz w:val="24"/>
                <w:szCs w:val="24"/>
                <w:lang w:val="lv-LV"/>
              </w:rPr>
              <w:t>ktivitātes īstenošanu</w:t>
            </w:r>
            <w:r w:rsidR="00A4478E">
              <w:rPr>
                <w:iCs/>
                <w:sz w:val="24"/>
                <w:szCs w:val="24"/>
                <w:lang w:val="lv-LV"/>
              </w:rPr>
              <w:t>.</w:t>
            </w:r>
          </w:p>
        </w:tc>
      </w:tr>
    </w:tbl>
    <w:p w14:paraId="04F2E07E" w14:textId="77777777" w:rsidR="00244B2D" w:rsidRDefault="00244B2D" w:rsidP="00C9779A">
      <w:pPr>
        <w:rPr>
          <w:sz w:val="24"/>
          <w:szCs w:val="24"/>
          <w:lang w:val="lv-LV"/>
        </w:rPr>
      </w:pPr>
    </w:p>
    <w:tbl>
      <w:tblPr>
        <w:tblW w:w="4881"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1"/>
        <w:gridCol w:w="1822"/>
        <w:gridCol w:w="549"/>
        <w:gridCol w:w="1271"/>
        <w:gridCol w:w="1460"/>
        <w:gridCol w:w="3616"/>
      </w:tblGrid>
      <w:tr w:rsidR="0036246C" w:rsidRPr="00C64C83" w14:paraId="77B9AA2D" w14:textId="77777777" w:rsidTr="00695DCF">
        <w:trPr>
          <w:tblCellSpacing w:w="15" w:type="dxa"/>
        </w:trPr>
        <w:tc>
          <w:tcPr>
            <w:tcW w:w="4967" w:type="pct"/>
            <w:gridSpan w:val="6"/>
            <w:shd w:val="clear" w:color="auto" w:fill="auto"/>
            <w:hideMark/>
          </w:tcPr>
          <w:p w14:paraId="749AF519" w14:textId="77777777" w:rsidR="0036246C" w:rsidRPr="0036246C" w:rsidRDefault="0036246C" w:rsidP="00695DCF">
            <w:pPr>
              <w:jc w:val="center"/>
              <w:rPr>
                <w:rFonts w:eastAsia="Times New Roman"/>
                <w:b/>
                <w:bCs/>
                <w:sz w:val="24"/>
                <w:szCs w:val="24"/>
                <w:lang w:val="lv-LV" w:eastAsia="lv-LV"/>
              </w:rPr>
            </w:pPr>
            <w:r w:rsidRPr="0036246C">
              <w:rPr>
                <w:rFonts w:eastAsia="Times New Roman"/>
                <w:b/>
                <w:bCs/>
                <w:sz w:val="24"/>
                <w:szCs w:val="24"/>
                <w:lang w:val="lv-LV" w:eastAsia="lv-LV"/>
              </w:rPr>
              <w:t>V. Tiesību akta projekta atbilstība Latvijas Republikas starptautiskajām saistībām</w:t>
            </w:r>
          </w:p>
        </w:tc>
      </w:tr>
      <w:tr w:rsidR="0036246C" w:rsidRPr="00C64C83" w14:paraId="0CD6892F" w14:textId="77777777" w:rsidTr="00695DCF">
        <w:trPr>
          <w:tblCellSpacing w:w="15" w:type="dxa"/>
        </w:trPr>
        <w:tc>
          <w:tcPr>
            <w:tcW w:w="183" w:type="pct"/>
            <w:shd w:val="clear" w:color="auto" w:fill="auto"/>
            <w:hideMark/>
          </w:tcPr>
          <w:p w14:paraId="28C28858" w14:textId="77777777" w:rsidR="0036246C" w:rsidRPr="0036246C" w:rsidRDefault="0036246C" w:rsidP="00695DCF">
            <w:pPr>
              <w:jc w:val="center"/>
              <w:rPr>
                <w:rFonts w:eastAsia="Times New Roman"/>
                <w:sz w:val="24"/>
                <w:szCs w:val="24"/>
                <w:lang w:val="lv-LV" w:eastAsia="lv-LV"/>
              </w:rPr>
            </w:pPr>
            <w:r w:rsidRPr="0036246C">
              <w:rPr>
                <w:rFonts w:eastAsia="Times New Roman"/>
                <w:sz w:val="24"/>
                <w:szCs w:val="24"/>
                <w:lang w:val="lv-LV" w:eastAsia="lv-LV"/>
              </w:rPr>
              <w:t>1.</w:t>
            </w:r>
          </w:p>
        </w:tc>
        <w:tc>
          <w:tcPr>
            <w:tcW w:w="1292" w:type="pct"/>
            <w:gridSpan w:val="2"/>
            <w:shd w:val="clear" w:color="auto" w:fill="auto"/>
            <w:hideMark/>
          </w:tcPr>
          <w:p w14:paraId="49F56585" w14:textId="77777777" w:rsidR="0036246C" w:rsidRPr="0036246C" w:rsidRDefault="0036246C" w:rsidP="00695DCF">
            <w:pPr>
              <w:jc w:val="both"/>
              <w:rPr>
                <w:rFonts w:eastAsia="Times New Roman"/>
                <w:sz w:val="24"/>
                <w:szCs w:val="24"/>
                <w:lang w:val="lv-LV" w:eastAsia="lv-LV"/>
              </w:rPr>
            </w:pPr>
            <w:r w:rsidRPr="0036246C">
              <w:rPr>
                <w:rFonts w:eastAsia="Times New Roman"/>
                <w:sz w:val="24"/>
                <w:szCs w:val="24"/>
                <w:lang w:val="lv-LV" w:eastAsia="lv-LV"/>
              </w:rPr>
              <w:t>Saistības pret Eiropas Savienību</w:t>
            </w:r>
          </w:p>
        </w:tc>
        <w:tc>
          <w:tcPr>
            <w:tcW w:w="3460" w:type="pct"/>
            <w:gridSpan w:val="3"/>
            <w:shd w:val="clear" w:color="auto" w:fill="auto"/>
            <w:hideMark/>
          </w:tcPr>
          <w:p w14:paraId="66447914" w14:textId="77777777" w:rsidR="002E1E4D" w:rsidRDefault="002E1E4D" w:rsidP="00695DCF">
            <w:pPr>
              <w:ind w:left="336"/>
              <w:jc w:val="both"/>
              <w:rPr>
                <w:sz w:val="24"/>
                <w:szCs w:val="24"/>
                <w:lang w:val="lv-LV"/>
              </w:rPr>
            </w:pPr>
            <w:r>
              <w:rPr>
                <w:sz w:val="24"/>
                <w:szCs w:val="24"/>
                <w:lang w:val="lv-LV"/>
              </w:rPr>
              <w:t>Ar normatīvo aktu tiek ieviesta:</w:t>
            </w:r>
          </w:p>
          <w:p w14:paraId="6BE5E554" w14:textId="77777777" w:rsidR="002E1E4D" w:rsidRDefault="002E1E4D" w:rsidP="002E1E4D">
            <w:pPr>
              <w:pStyle w:val="ListParagraph"/>
              <w:numPr>
                <w:ilvl w:val="0"/>
                <w:numId w:val="27"/>
              </w:numPr>
              <w:jc w:val="both"/>
              <w:rPr>
                <w:sz w:val="24"/>
                <w:szCs w:val="24"/>
                <w:lang w:val="lv-LV"/>
              </w:rPr>
            </w:pPr>
            <w:r w:rsidRPr="0036246C">
              <w:rPr>
                <w:sz w:val="24"/>
                <w:szCs w:val="24"/>
                <w:lang w:val="lv-LV"/>
              </w:rPr>
              <w:t xml:space="preserve">Komisijas 2013.gada 18.decembra Regula (EK) Nr.1407/2013 par Līguma 87. un 88.panta piemērošanu </w:t>
            </w:r>
            <w:proofErr w:type="spellStart"/>
            <w:r w:rsidRPr="0036246C">
              <w:rPr>
                <w:i/>
                <w:sz w:val="24"/>
                <w:szCs w:val="24"/>
                <w:lang w:val="lv-LV"/>
              </w:rPr>
              <w:t>de</w:t>
            </w:r>
            <w:proofErr w:type="spellEnd"/>
            <w:r w:rsidRPr="0036246C">
              <w:rPr>
                <w:i/>
                <w:sz w:val="24"/>
                <w:szCs w:val="24"/>
                <w:lang w:val="lv-LV"/>
              </w:rPr>
              <w:t xml:space="preserve"> </w:t>
            </w:r>
            <w:proofErr w:type="spellStart"/>
            <w:r w:rsidRPr="0036246C">
              <w:rPr>
                <w:i/>
                <w:sz w:val="24"/>
                <w:szCs w:val="24"/>
                <w:lang w:val="lv-LV"/>
              </w:rPr>
              <w:t>minimis</w:t>
            </w:r>
            <w:proofErr w:type="spellEnd"/>
            <w:r w:rsidRPr="0036246C">
              <w:rPr>
                <w:sz w:val="24"/>
                <w:szCs w:val="24"/>
                <w:lang w:val="lv-LV"/>
              </w:rPr>
              <w:t xml:space="preserve"> atbalstam (Eiropas Savienības Oficiālais Vēstnesis, 2013.</w:t>
            </w:r>
            <w:r>
              <w:rPr>
                <w:sz w:val="24"/>
                <w:szCs w:val="24"/>
                <w:lang w:val="lv-LV"/>
              </w:rPr>
              <w:t xml:space="preserve">gada 24.decembris, Nr. L 352/1) </w:t>
            </w:r>
            <w:r>
              <w:rPr>
                <w:sz w:val="24"/>
                <w:szCs w:val="24"/>
                <w:lang w:val="lv-LV"/>
              </w:rPr>
              <w:lastRenderedPageBreak/>
              <w:t xml:space="preserve">(turpmāk - </w:t>
            </w:r>
            <w:r w:rsidRPr="002E1E4D">
              <w:rPr>
                <w:sz w:val="24"/>
                <w:szCs w:val="24"/>
                <w:lang w:val="lv-LV"/>
              </w:rPr>
              <w:t>Regula Nr.1407/2013</w:t>
            </w:r>
            <w:r>
              <w:rPr>
                <w:sz w:val="24"/>
                <w:szCs w:val="24"/>
                <w:lang w:val="lv-LV"/>
              </w:rPr>
              <w:t>);</w:t>
            </w:r>
          </w:p>
          <w:p w14:paraId="6D9BCB63" w14:textId="77777777" w:rsidR="0036246C" w:rsidRPr="002E1E4D" w:rsidRDefault="002E1E4D" w:rsidP="002E1E4D">
            <w:pPr>
              <w:pStyle w:val="ListParagraph"/>
              <w:numPr>
                <w:ilvl w:val="0"/>
                <w:numId w:val="27"/>
              </w:numPr>
              <w:jc w:val="both"/>
              <w:rPr>
                <w:sz w:val="24"/>
                <w:szCs w:val="24"/>
                <w:lang w:val="lv-LV"/>
              </w:rPr>
            </w:pPr>
            <w:r w:rsidRPr="002E1E4D">
              <w:rPr>
                <w:sz w:val="24"/>
                <w:szCs w:val="24"/>
                <w:lang w:val="lv-LV"/>
              </w:rPr>
              <w:t xml:space="preserve">Komisijas 2014.gada 17.jūnija Regula (ES) Nr.651/2014, ar ko noteiktas atbalsta kategorijas atzīst par saderīgām ar iekšējo tirgu, piemērojot Līguma 107. un 108.pantu (Eiropas Savienības Oficiālais Vēstnesis, 2014.gada 26.jūnijs, L 187) (turpmāk - </w:t>
            </w:r>
            <w:r>
              <w:rPr>
                <w:sz w:val="24"/>
                <w:szCs w:val="24"/>
                <w:lang w:val="lv-LV"/>
              </w:rPr>
              <w:t>Regula Nr.651/2014).</w:t>
            </w:r>
          </w:p>
        </w:tc>
      </w:tr>
      <w:tr w:rsidR="0036246C" w:rsidRPr="001F6D46" w14:paraId="132E18F8" w14:textId="77777777" w:rsidTr="00695DCF">
        <w:trPr>
          <w:tblCellSpacing w:w="15" w:type="dxa"/>
        </w:trPr>
        <w:tc>
          <w:tcPr>
            <w:tcW w:w="183" w:type="pct"/>
            <w:shd w:val="clear" w:color="auto" w:fill="auto"/>
            <w:hideMark/>
          </w:tcPr>
          <w:p w14:paraId="1D597910" w14:textId="77777777" w:rsidR="0036246C" w:rsidRPr="0036246C" w:rsidRDefault="0036246C" w:rsidP="00695DCF">
            <w:pPr>
              <w:jc w:val="center"/>
              <w:rPr>
                <w:rFonts w:eastAsia="Times New Roman"/>
                <w:sz w:val="24"/>
                <w:szCs w:val="24"/>
                <w:lang w:val="lv-LV" w:eastAsia="lv-LV"/>
              </w:rPr>
            </w:pPr>
            <w:r w:rsidRPr="0036246C">
              <w:rPr>
                <w:rFonts w:eastAsia="Times New Roman"/>
                <w:sz w:val="24"/>
                <w:szCs w:val="24"/>
                <w:lang w:val="lv-LV" w:eastAsia="lv-LV"/>
              </w:rPr>
              <w:lastRenderedPageBreak/>
              <w:t>2.</w:t>
            </w:r>
          </w:p>
        </w:tc>
        <w:tc>
          <w:tcPr>
            <w:tcW w:w="1292" w:type="pct"/>
            <w:gridSpan w:val="2"/>
            <w:shd w:val="clear" w:color="auto" w:fill="auto"/>
            <w:hideMark/>
          </w:tcPr>
          <w:p w14:paraId="0C861C01" w14:textId="77777777" w:rsidR="0036246C" w:rsidRPr="0036246C" w:rsidRDefault="0036246C" w:rsidP="00695DCF">
            <w:pPr>
              <w:jc w:val="both"/>
              <w:rPr>
                <w:rFonts w:eastAsia="Times New Roman"/>
                <w:sz w:val="24"/>
                <w:szCs w:val="24"/>
                <w:lang w:val="lv-LV" w:eastAsia="lv-LV"/>
              </w:rPr>
            </w:pPr>
            <w:r w:rsidRPr="0036246C">
              <w:rPr>
                <w:rFonts w:eastAsia="Times New Roman"/>
                <w:sz w:val="24"/>
                <w:szCs w:val="24"/>
                <w:lang w:val="lv-LV" w:eastAsia="lv-LV"/>
              </w:rPr>
              <w:t>Citas starptautiskās saistības</w:t>
            </w:r>
          </w:p>
        </w:tc>
        <w:tc>
          <w:tcPr>
            <w:tcW w:w="3460" w:type="pct"/>
            <w:gridSpan w:val="3"/>
            <w:shd w:val="clear" w:color="auto" w:fill="auto"/>
            <w:hideMark/>
          </w:tcPr>
          <w:p w14:paraId="0FED06E4" w14:textId="77777777" w:rsidR="0036246C" w:rsidRPr="0036246C" w:rsidRDefault="0036246C" w:rsidP="00695DCF">
            <w:pPr>
              <w:ind w:firstLine="341"/>
              <w:jc w:val="both"/>
              <w:rPr>
                <w:rFonts w:eastAsia="Times New Roman"/>
                <w:sz w:val="24"/>
                <w:szCs w:val="24"/>
                <w:lang w:val="lv-LV" w:eastAsia="lv-LV"/>
              </w:rPr>
            </w:pPr>
            <w:r w:rsidRPr="0036246C">
              <w:rPr>
                <w:rFonts w:eastAsia="Times New Roman"/>
                <w:sz w:val="24"/>
                <w:szCs w:val="24"/>
                <w:lang w:val="lv-LV" w:eastAsia="lv-LV"/>
              </w:rPr>
              <w:t>Projekts šo jomu neskar.</w:t>
            </w:r>
          </w:p>
        </w:tc>
      </w:tr>
      <w:tr w:rsidR="0036246C" w:rsidRPr="009F052F" w14:paraId="30CDE9BD" w14:textId="77777777" w:rsidTr="00695DCF">
        <w:trPr>
          <w:tblCellSpacing w:w="15" w:type="dxa"/>
        </w:trPr>
        <w:tc>
          <w:tcPr>
            <w:tcW w:w="183" w:type="pct"/>
            <w:shd w:val="clear" w:color="auto" w:fill="auto"/>
            <w:hideMark/>
          </w:tcPr>
          <w:p w14:paraId="6A80A826" w14:textId="77777777" w:rsidR="0036246C" w:rsidRPr="0036246C" w:rsidRDefault="0036246C" w:rsidP="00695DCF">
            <w:pPr>
              <w:jc w:val="center"/>
              <w:rPr>
                <w:rFonts w:eastAsia="Times New Roman"/>
                <w:sz w:val="24"/>
                <w:szCs w:val="24"/>
                <w:lang w:val="lv-LV" w:eastAsia="lv-LV"/>
              </w:rPr>
            </w:pPr>
            <w:r w:rsidRPr="0036246C">
              <w:rPr>
                <w:rFonts w:eastAsia="Times New Roman"/>
                <w:sz w:val="24"/>
                <w:szCs w:val="24"/>
                <w:lang w:val="lv-LV" w:eastAsia="lv-LV"/>
              </w:rPr>
              <w:t>3.</w:t>
            </w:r>
          </w:p>
        </w:tc>
        <w:tc>
          <w:tcPr>
            <w:tcW w:w="1292" w:type="pct"/>
            <w:gridSpan w:val="2"/>
            <w:shd w:val="clear" w:color="auto" w:fill="auto"/>
            <w:hideMark/>
          </w:tcPr>
          <w:p w14:paraId="64BFB3A3" w14:textId="77777777" w:rsidR="0036246C" w:rsidRPr="0036246C" w:rsidRDefault="0036246C" w:rsidP="00695DCF">
            <w:pPr>
              <w:jc w:val="both"/>
              <w:rPr>
                <w:rFonts w:eastAsia="Times New Roman"/>
                <w:sz w:val="24"/>
                <w:szCs w:val="24"/>
                <w:lang w:val="lv-LV" w:eastAsia="lv-LV"/>
              </w:rPr>
            </w:pPr>
            <w:r w:rsidRPr="0036246C">
              <w:rPr>
                <w:rFonts w:eastAsia="Times New Roman"/>
                <w:sz w:val="24"/>
                <w:szCs w:val="24"/>
                <w:lang w:val="lv-LV" w:eastAsia="lv-LV"/>
              </w:rPr>
              <w:t>Cita informācija</w:t>
            </w:r>
          </w:p>
        </w:tc>
        <w:tc>
          <w:tcPr>
            <w:tcW w:w="3460" w:type="pct"/>
            <w:gridSpan w:val="3"/>
            <w:shd w:val="clear" w:color="auto" w:fill="auto"/>
            <w:hideMark/>
          </w:tcPr>
          <w:p w14:paraId="295B5B65" w14:textId="77777777" w:rsidR="0036246C" w:rsidRPr="0036246C" w:rsidRDefault="0036246C" w:rsidP="00695DCF">
            <w:pPr>
              <w:ind w:firstLine="341"/>
              <w:jc w:val="both"/>
              <w:rPr>
                <w:rFonts w:eastAsia="Times New Roman"/>
                <w:sz w:val="24"/>
                <w:szCs w:val="24"/>
                <w:lang w:val="lv-LV" w:eastAsia="lv-LV"/>
              </w:rPr>
            </w:pPr>
            <w:r w:rsidRPr="0036246C">
              <w:rPr>
                <w:rFonts w:eastAsia="Times New Roman"/>
                <w:sz w:val="24"/>
                <w:szCs w:val="24"/>
                <w:lang w:val="lv-LV" w:eastAsia="lv-LV"/>
              </w:rPr>
              <w:t>Nav.</w:t>
            </w:r>
          </w:p>
        </w:tc>
      </w:tr>
      <w:tr w:rsidR="0036246C" w:rsidRPr="00C64C83" w14:paraId="428A75F7" w14:textId="77777777" w:rsidTr="00695DCF">
        <w:trPr>
          <w:tblCellSpacing w:w="15" w:type="dxa"/>
        </w:trPr>
        <w:tc>
          <w:tcPr>
            <w:tcW w:w="4967" w:type="pct"/>
            <w:gridSpan w:val="6"/>
            <w:shd w:val="clear" w:color="auto" w:fill="auto"/>
            <w:vAlign w:val="center"/>
            <w:hideMark/>
          </w:tcPr>
          <w:p w14:paraId="668CCC67" w14:textId="77777777" w:rsidR="0036246C" w:rsidRPr="0036246C" w:rsidRDefault="0036246C" w:rsidP="00695DCF">
            <w:pPr>
              <w:jc w:val="center"/>
              <w:rPr>
                <w:rFonts w:eastAsia="Times New Roman"/>
                <w:b/>
                <w:bCs/>
                <w:sz w:val="24"/>
                <w:szCs w:val="24"/>
                <w:lang w:val="lv-LV" w:eastAsia="lv-LV"/>
              </w:rPr>
            </w:pPr>
            <w:r w:rsidRPr="0036246C">
              <w:rPr>
                <w:rFonts w:eastAsia="Times New Roman"/>
                <w:b/>
                <w:bCs/>
                <w:sz w:val="24"/>
                <w:szCs w:val="24"/>
                <w:lang w:val="lv-LV" w:eastAsia="lv-LV"/>
              </w:rPr>
              <w:t>1.tabula</w:t>
            </w:r>
            <w:r w:rsidRPr="0036246C">
              <w:rPr>
                <w:rFonts w:eastAsia="Times New Roman"/>
                <w:b/>
                <w:bCs/>
                <w:sz w:val="24"/>
                <w:szCs w:val="24"/>
                <w:lang w:val="lv-LV" w:eastAsia="lv-LV"/>
              </w:rPr>
              <w:br/>
              <w:t>Tiesību akta projekta atbilstība ES tiesību aktiem</w:t>
            </w:r>
          </w:p>
        </w:tc>
      </w:tr>
      <w:tr w:rsidR="0036246C" w:rsidRPr="002B5151" w14:paraId="3FC8733E" w14:textId="77777777" w:rsidTr="00695DCF">
        <w:trPr>
          <w:tblCellSpacing w:w="15" w:type="dxa"/>
        </w:trPr>
        <w:tc>
          <w:tcPr>
            <w:tcW w:w="1185" w:type="pct"/>
            <w:gridSpan w:val="2"/>
            <w:shd w:val="clear" w:color="auto" w:fill="auto"/>
            <w:vAlign w:val="center"/>
            <w:hideMark/>
          </w:tcPr>
          <w:p w14:paraId="54DC69CF" w14:textId="77777777" w:rsidR="0036246C" w:rsidRPr="0036246C" w:rsidRDefault="0036246C" w:rsidP="00695DCF">
            <w:pPr>
              <w:jc w:val="both"/>
              <w:rPr>
                <w:rFonts w:eastAsia="Times New Roman"/>
                <w:sz w:val="24"/>
                <w:szCs w:val="24"/>
                <w:lang w:val="lv-LV" w:eastAsia="lv-LV"/>
              </w:rPr>
            </w:pPr>
            <w:r w:rsidRPr="0036246C">
              <w:rPr>
                <w:rFonts w:eastAsia="Times New Roman"/>
                <w:sz w:val="24"/>
                <w:szCs w:val="24"/>
                <w:lang w:val="lv-LV" w:eastAsia="lv-LV"/>
              </w:rPr>
              <w:t>Attiecīgā ES tiesību akta datums, numurs un nosaukums</w:t>
            </w:r>
          </w:p>
        </w:tc>
        <w:tc>
          <w:tcPr>
            <w:tcW w:w="3765" w:type="pct"/>
            <w:gridSpan w:val="4"/>
            <w:shd w:val="clear" w:color="auto" w:fill="auto"/>
            <w:vAlign w:val="center"/>
            <w:hideMark/>
          </w:tcPr>
          <w:p w14:paraId="26D40550" w14:textId="77777777" w:rsidR="002E1E4D" w:rsidRPr="00E03D96" w:rsidRDefault="002E1E4D" w:rsidP="002E1E4D">
            <w:pPr>
              <w:jc w:val="both"/>
              <w:rPr>
                <w:rFonts w:eastAsia="Times New Roman"/>
                <w:sz w:val="24"/>
                <w:szCs w:val="24"/>
                <w:lang w:val="lv-LV" w:eastAsia="lv-LV"/>
              </w:rPr>
            </w:pPr>
            <w:r w:rsidRPr="004F2F78">
              <w:rPr>
                <w:rFonts w:eastAsia="Times New Roman"/>
                <w:sz w:val="24"/>
                <w:szCs w:val="24"/>
                <w:lang w:val="lv-LV" w:eastAsia="lv-LV"/>
              </w:rPr>
              <w:t xml:space="preserve">Ar normatīvo aktu tiek ieviestas Eiropas Savienības tiesību akta prasības: </w:t>
            </w:r>
          </w:p>
          <w:p w14:paraId="2EDCA31C" w14:textId="77777777" w:rsidR="0036246C" w:rsidRDefault="002E1E4D" w:rsidP="002E1E4D">
            <w:pPr>
              <w:pStyle w:val="ListParagraph"/>
              <w:numPr>
                <w:ilvl w:val="0"/>
                <w:numId w:val="28"/>
              </w:numPr>
              <w:jc w:val="both"/>
              <w:rPr>
                <w:sz w:val="24"/>
                <w:szCs w:val="24"/>
                <w:lang w:val="lv-LV"/>
              </w:rPr>
            </w:pPr>
            <w:r w:rsidRPr="002E1E4D">
              <w:rPr>
                <w:sz w:val="24"/>
                <w:szCs w:val="24"/>
                <w:lang w:val="lv-LV"/>
              </w:rPr>
              <w:t>Regula Nr.1407/2013</w:t>
            </w:r>
            <w:r>
              <w:rPr>
                <w:sz w:val="24"/>
                <w:szCs w:val="24"/>
                <w:lang w:val="lv-LV"/>
              </w:rPr>
              <w:t>;</w:t>
            </w:r>
          </w:p>
          <w:p w14:paraId="616A22DD" w14:textId="77777777" w:rsidR="002E1E4D" w:rsidRPr="002E1E4D" w:rsidRDefault="002E1E4D" w:rsidP="002E1E4D">
            <w:pPr>
              <w:pStyle w:val="ListParagraph"/>
              <w:numPr>
                <w:ilvl w:val="0"/>
                <w:numId w:val="28"/>
              </w:numPr>
              <w:jc w:val="both"/>
              <w:rPr>
                <w:sz w:val="24"/>
                <w:szCs w:val="24"/>
                <w:lang w:val="lv-LV"/>
              </w:rPr>
            </w:pPr>
            <w:r>
              <w:rPr>
                <w:sz w:val="24"/>
                <w:szCs w:val="24"/>
                <w:lang w:val="lv-LV"/>
              </w:rPr>
              <w:t>Regula Nr.651/2014.</w:t>
            </w:r>
          </w:p>
        </w:tc>
      </w:tr>
      <w:tr w:rsidR="0036246C" w:rsidRPr="001F6D46" w14:paraId="786F0159" w14:textId="77777777" w:rsidTr="00695DCF">
        <w:trPr>
          <w:tblCellSpacing w:w="15" w:type="dxa"/>
        </w:trPr>
        <w:tc>
          <w:tcPr>
            <w:tcW w:w="1185" w:type="pct"/>
            <w:gridSpan w:val="2"/>
            <w:shd w:val="clear" w:color="auto" w:fill="auto"/>
            <w:vAlign w:val="center"/>
            <w:hideMark/>
          </w:tcPr>
          <w:p w14:paraId="07F9EE23" w14:textId="77777777" w:rsidR="0036246C" w:rsidRPr="0036246C" w:rsidRDefault="0036246C" w:rsidP="00695DCF">
            <w:pPr>
              <w:jc w:val="both"/>
              <w:rPr>
                <w:rFonts w:eastAsia="Times New Roman"/>
                <w:sz w:val="24"/>
                <w:szCs w:val="24"/>
                <w:lang w:val="lv-LV" w:eastAsia="lv-LV"/>
              </w:rPr>
            </w:pPr>
            <w:r w:rsidRPr="0036246C">
              <w:rPr>
                <w:rFonts w:eastAsia="Times New Roman"/>
                <w:sz w:val="24"/>
                <w:szCs w:val="24"/>
                <w:lang w:val="lv-LV" w:eastAsia="lv-LV"/>
              </w:rPr>
              <w:t>A</w:t>
            </w:r>
          </w:p>
        </w:tc>
        <w:tc>
          <w:tcPr>
            <w:tcW w:w="984" w:type="pct"/>
            <w:gridSpan w:val="2"/>
            <w:shd w:val="clear" w:color="auto" w:fill="auto"/>
            <w:vAlign w:val="center"/>
            <w:hideMark/>
          </w:tcPr>
          <w:p w14:paraId="1A317BAD" w14:textId="77777777" w:rsidR="0036246C" w:rsidRPr="0036246C" w:rsidRDefault="0036246C" w:rsidP="00695DCF">
            <w:pPr>
              <w:jc w:val="both"/>
              <w:rPr>
                <w:rFonts w:eastAsia="Times New Roman"/>
                <w:sz w:val="24"/>
                <w:szCs w:val="24"/>
                <w:lang w:val="lv-LV" w:eastAsia="lv-LV"/>
              </w:rPr>
            </w:pPr>
            <w:r w:rsidRPr="0036246C">
              <w:rPr>
                <w:rFonts w:eastAsia="Times New Roman"/>
                <w:sz w:val="24"/>
                <w:szCs w:val="24"/>
                <w:lang w:val="lv-LV" w:eastAsia="lv-LV"/>
              </w:rPr>
              <w:t>B</w:t>
            </w:r>
          </w:p>
        </w:tc>
        <w:tc>
          <w:tcPr>
            <w:tcW w:w="800" w:type="pct"/>
            <w:shd w:val="clear" w:color="auto" w:fill="auto"/>
            <w:vAlign w:val="center"/>
            <w:hideMark/>
          </w:tcPr>
          <w:p w14:paraId="77624FD8" w14:textId="77777777" w:rsidR="0036246C" w:rsidRPr="0036246C" w:rsidRDefault="0036246C" w:rsidP="00695DCF">
            <w:pPr>
              <w:jc w:val="both"/>
              <w:rPr>
                <w:rFonts w:eastAsia="Times New Roman"/>
                <w:sz w:val="24"/>
                <w:szCs w:val="24"/>
                <w:lang w:val="lv-LV" w:eastAsia="lv-LV"/>
              </w:rPr>
            </w:pPr>
            <w:r w:rsidRPr="0036246C">
              <w:rPr>
                <w:rFonts w:eastAsia="Times New Roman"/>
                <w:sz w:val="24"/>
                <w:szCs w:val="24"/>
                <w:lang w:val="lv-LV" w:eastAsia="lv-LV"/>
              </w:rPr>
              <w:t>C</w:t>
            </w:r>
          </w:p>
        </w:tc>
        <w:tc>
          <w:tcPr>
            <w:tcW w:w="1948" w:type="pct"/>
            <w:shd w:val="clear" w:color="auto" w:fill="auto"/>
            <w:vAlign w:val="center"/>
            <w:hideMark/>
          </w:tcPr>
          <w:p w14:paraId="119E13EC" w14:textId="77777777" w:rsidR="0036246C" w:rsidRPr="0036246C" w:rsidRDefault="0036246C" w:rsidP="00695DCF">
            <w:pPr>
              <w:jc w:val="both"/>
              <w:rPr>
                <w:rFonts w:eastAsia="Times New Roman"/>
                <w:sz w:val="24"/>
                <w:szCs w:val="24"/>
                <w:lang w:val="lv-LV" w:eastAsia="lv-LV"/>
              </w:rPr>
            </w:pPr>
            <w:r w:rsidRPr="0036246C">
              <w:rPr>
                <w:rFonts w:eastAsia="Times New Roman"/>
                <w:sz w:val="24"/>
                <w:szCs w:val="24"/>
                <w:lang w:val="lv-LV" w:eastAsia="lv-LV"/>
              </w:rPr>
              <w:t>D</w:t>
            </w:r>
          </w:p>
        </w:tc>
      </w:tr>
      <w:tr w:rsidR="0036246C" w:rsidRPr="002B5151" w14:paraId="4F3F090B" w14:textId="77777777" w:rsidTr="00695DCF">
        <w:trPr>
          <w:tblCellSpacing w:w="15" w:type="dxa"/>
        </w:trPr>
        <w:tc>
          <w:tcPr>
            <w:tcW w:w="1185" w:type="pct"/>
            <w:gridSpan w:val="2"/>
            <w:shd w:val="clear" w:color="auto" w:fill="auto"/>
            <w:hideMark/>
          </w:tcPr>
          <w:p w14:paraId="5593B183" w14:textId="77777777" w:rsidR="0036246C" w:rsidRPr="0036246C" w:rsidRDefault="0036246C" w:rsidP="00695DCF">
            <w:pPr>
              <w:pStyle w:val="naiskr"/>
              <w:spacing w:before="0" w:after="0"/>
              <w:jc w:val="both"/>
            </w:pPr>
            <w:r w:rsidRPr="0036246C">
              <w:t xml:space="preserve">Attiecīgā ES tiesību akta panta numurs (uzskaitot katru tiesību akta </w:t>
            </w:r>
            <w:r w:rsidRPr="0036246C">
              <w:br/>
              <w:t>vienību – pantu, daļu, punktu, apakšpunktu)</w:t>
            </w:r>
          </w:p>
        </w:tc>
        <w:tc>
          <w:tcPr>
            <w:tcW w:w="984" w:type="pct"/>
            <w:gridSpan w:val="2"/>
            <w:shd w:val="clear" w:color="auto" w:fill="auto"/>
            <w:hideMark/>
          </w:tcPr>
          <w:p w14:paraId="1E0DC3F0" w14:textId="77777777" w:rsidR="0036246C" w:rsidRPr="0036246C" w:rsidRDefault="0036246C" w:rsidP="00695DCF">
            <w:pPr>
              <w:pStyle w:val="naiskr"/>
              <w:spacing w:before="0" w:after="0"/>
              <w:jc w:val="both"/>
            </w:pPr>
            <w:r w:rsidRPr="0036246C">
              <w:t>Projekta vienība, kas pārņem vai ievieš katru šīs tabulas A ailē minēto ES tiesību akta vienību</w:t>
            </w:r>
          </w:p>
        </w:tc>
        <w:tc>
          <w:tcPr>
            <w:tcW w:w="800" w:type="pct"/>
            <w:shd w:val="clear" w:color="auto" w:fill="auto"/>
            <w:hideMark/>
          </w:tcPr>
          <w:p w14:paraId="11227D65" w14:textId="77777777" w:rsidR="0036246C" w:rsidRPr="0036246C" w:rsidRDefault="0036246C" w:rsidP="00695DCF">
            <w:pPr>
              <w:pStyle w:val="naiskr"/>
              <w:spacing w:before="0" w:after="0"/>
              <w:jc w:val="both"/>
            </w:pPr>
            <w:r w:rsidRPr="0036246C">
              <w:t>Informācija par to, vai šīs tabulas A ailē minētās ES tiesību akta vienības tiek pārņemtas vai ieviestas pilnībā vai daļēji.</w:t>
            </w:r>
          </w:p>
          <w:p w14:paraId="73314FCC" w14:textId="77777777" w:rsidR="0036246C" w:rsidRPr="0036246C" w:rsidRDefault="0036246C" w:rsidP="00695DCF">
            <w:pPr>
              <w:pStyle w:val="naiskr"/>
              <w:spacing w:before="0" w:after="0"/>
              <w:jc w:val="both"/>
            </w:pPr>
            <w:r w:rsidRPr="0036246C">
              <w:t>Ja attiecīgā ES tiesību akta vienība tiek pārņemta vai ieviesta daļēji, – sniedz attiecīgu skaidrojumu, kā arī precīzi norāda, kad un kādā veidā ES tiesību akta vienība tiks pārņemta vai ieviesta pilnībā.</w:t>
            </w:r>
          </w:p>
          <w:p w14:paraId="45CF4995" w14:textId="77777777" w:rsidR="0036246C" w:rsidRPr="0036246C" w:rsidRDefault="0036246C" w:rsidP="00695DCF">
            <w:pPr>
              <w:pStyle w:val="naiskr"/>
              <w:spacing w:before="0" w:after="0"/>
              <w:jc w:val="both"/>
            </w:pPr>
            <w:r w:rsidRPr="0036246C">
              <w:t xml:space="preserve">Norāda </w:t>
            </w:r>
            <w:r w:rsidRPr="0036246C">
              <w:lastRenderedPageBreak/>
              <w:t>institūciju, kas ir atbildīga par šo saistību izpildi pilnībā</w:t>
            </w:r>
          </w:p>
        </w:tc>
        <w:tc>
          <w:tcPr>
            <w:tcW w:w="1948" w:type="pct"/>
            <w:shd w:val="clear" w:color="auto" w:fill="auto"/>
            <w:hideMark/>
          </w:tcPr>
          <w:p w14:paraId="3C46B85D" w14:textId="77777777" w:rsidR="0036246C" w:rsidRPr="0036246C" w:rsidRDefault="0036246C" w:rsidP="00695DCF">
            <w:pPr>
              <w:pStyle w:val="naiskr"/>
              <w:spacing w:before="0" w:after="0"/>
              <w:jc w:val="both"/>
            </w:pPr>
            <w:r w:rsidRPr="0036246C">
              <w:lastRenderedPageBreak/>
              <w:t>Informācija par to, vai šīs tabulas B ailē minētās projekta vienības paredz stingrākas prasības nekā šīs tabulas A ailē minētās ES tiesību akta vienības.</w:t>
            </w:r>
          </w:p>
          <w:p w14:paraId="001B9C75" w14:textId="77777777" w:rsidR="0036246C" w:rsidRPr="0036246C" w:rsidRDefault="0036246C" w:rsidP="00695DCF">
            <w:pPr>
              <w:pStyle w:val="naiskr"/>
              <w:spacing w:before="0" w:after="0"/>
              <w:jc w:val="both"/>
            </w:pPr>
            <w:r w:rsidRPr="0036246C">
              <w:t xml:space="preserve">Ja projekts satur stingrākas prasības nekā attiecīgais ES tiesību </w:t>
            </w:r>
            <w:smartTag w:uri="schemas-tilde-lv/tildestengine" w:element="veidnes">
              <w:smartTagPr>
                <w:attr w:name="text" w:val="akts"/>
                <w:attr w:name="baseform" w:val="akts"/>
                <w:attr w:name="id" w:val="-1"/>
              </w:smartTagPr>
              <w:r w:rsidRPr="0036246C">
                <w:t>akts</w:t>
              </w:r>
            </w:smartTag>
            <w:r w:rsidRPr="0036246C">
              <w:t>, – norāda pamatojumu un samērīgumu.</w:t>
            </w:r>
          </w:p>
          <w:p w14:paraId="3E4DF1B9" w14:textId="77777777" w:rsidR="0036246C" w:rsidRPr="0036246C" w:rsidRDefault="0036246C" w:rsidP="00695DCF">
            <w:pPr>
              <w:pStyle w:val="naiskr"/>
              <w:spacing w:before="0" w:after="0"/>
              <w:jc w:val="both"/>
            </w:pPr>
            <w:r w:rsidRPr="0036246C">
              <w:t>Norāda iespējamās alternatīvas (t.sk. alternatīvas, kas neparedz tiesiskā regulējuma izstrādi) – kādos gadījumos būtu iespējams izvairīties no stingrāku prasību noteikšanas, nekā paredzēts attiecīgajos ES tiesību aktos</w:t>
            </w:r>
          </w:p>
        </w:tc>
      </w:tr>
      <w:tr w:rsidR="0036246C" w:rsidRPr="002B5151" w14:paraId="107CBAB0" w14:textId="77777777" w:rsidTr="00695DCF">
        <w:trPr>
          <w:tblCellSpacing w:w="15" w:type="dxa"/>
        </w:trPr>
        <w:tc>
          <w:tcPr>
            <w:tcW w:w="1185" w:type="pct"/>
            <w:gridSpan w:val="2"/>
            <w:shd w:val="clear" w:color="auto" w:fill="auto"/>
          </w:tcPr>
          <w:p w14:paraId="404AD41F" w14:textId="77777777" w:rsidR="0036246C" w:rsidRPr="002E1E4D" w:rsidRDefault="0036246C" w:rsidP="00695DCF">
            <w:pPr>
              <w:pStyle w:val="naiskr"/>
              <w:spacing w:before="0" w:after="0"/>
              <w:jc w:val="both"/>
              <w:rPr>
                <w:i/>
              </w:rPr>
            </w:pPr>
            <w:r w:rsidRPr="002E1E4D">
              <w:rPr>
                <w:i/>
              </w:rPr>
              <w:lastRenderedPageBreak/>
              <w:t>Regulas Nr.1407/2013 6.panta 4.punkts</w:t>
            </w:r>
          </w:p>
        </w:tc>
        <w:tc>
          <w:tcPr>
            <w:tcW w:w="984" w:type="pct"/>
            <w:gridSpan w:val="2"/>
            <w:shd w:val="clear" w:color="auto" w:fill="auto"/>
          </w:tcPr>
          <w:p w14:paraId="11B87D09" w14:textId="77777777" w:rsidR="0036246C" w:rsidRPr="002E1E4D" w:rsidRDefault="0036246C" w:rsidP="00695DCF">
            <w:pPr>
              <w:pStyle w:val="naiskr"/>
              <w:spacing w:before="0" w:after="0"/>
              <w:jc w:val="both"/>
              <w:rPr>
                <w:i/>
              </w:rPr>
            </w:pPr>
            <w:r w:rsidRPr="002E1E4D">
              <w:rPr>
                <w:i/>
              </w:rPr>
              <w:t xml:space="preserve">Noteikumu projekta </w:t>
            </w:r>
            <w:r w:rsidR="002E1E4D" w:rsidRPr="002E1E4D">
              <w:rPr>
                <w:i/>
              </w:rPr>
              <w:t>2</w:t>
            </w:r>
            <w:r w:rsidRPr="002E1E4D">
              <w:rPr>
                <w:i/>
              </w:rPr>
              <w:t>.punkts</w:t>
            </w:r>
            <w:r w:rsidR="002E1E4D" w:rsidRPr="002E1E4D">
              <w:rPr>
                <w:i/>
              </w:rPr>
              <w:t xml:space="preserve"> (ar ko groza MK noteikumu Nr.238 27.punktu)</w:t>
            </w:r>
            <w:r w:rsidRPr="002E1E4D">
              <w:rPr>
                <w:i/>
              </w:rPr>
              <w:t>.</w:t>
            </w:r>
          </w:p>
        </w:tc>
        <w:tc>
          <w:tcPr>
            <w:tcW w:w="800" w:type="pct"/>
            <w:shd w:val="clear" w:color="auto" w:fill="auto"/>
          </w:tcPr>
          <w:p w14:paraId="6DA17897" w14:textId="77777777" w:rsidR="0036246C" w:rsidRPr="002E1E4D" w:rsidRDefault="0036246C" w:rsidP="00695DCF">
            <w:pPr>
              <w:pStyle w:val="naiskr"/>
              <w:spacing w:before="0" w:after="0"/>
              <w:jc w:val="both"/>
              <w:rPr>
                <w:i/>
              </w:rPr>
            </w:pPr>
            <w:r w:rsidRPr="002E1E4D">
              <w:rPr>
                <w:i/>
              </w:rPr>
              <w:t>Ieviests pilnībā.</w:t>
            </w:r>
          </w:p>
        </w:tc>
        <w:tc>
          <w:tcPr>
            <w:tcW w:w="1948" w:type="pct"/>
            <w:shd w:val="clear" w:color="auto" w:fill="auto"/>
          </w:tcPr>
          <w:p w14:paraId="669C2D24" w14:textId="77777777" w:rsidR="0036246C" w:rsidRPr="002E1E4D" w:rsidRDefault="0036246C" w:rsidP="00695DCF">
            <w:pPr>
              <w:pStyle w:val="naiskr"/>
              <w:spacing w:before="0" w:after="0"/>
              <w:jc w:val="both"/>
              <w:rPr>
                <w:i/>
              </w:rPr>
            </w:pPr>
            <w:r w:rsidRPr="002E1E4D">
              <w:rPr>
                <w:i/>
              </w:rPr>
              <w:t>Neparedz stingrākas prasības.</w:t>
            </w:r>
          </w:p>
        </w:tc>
      </w:tr>
      <w:tr w:rsidR="0036246C" w:rsidRPr="002B5151" w14:paraId="46587227" w14:textId="77777777" w:rsidTr="00695DCF">
        <w:trPr>
          <w:tblCellSpacing w:w="15" w:type="dxa"/>
        </w:trPr>
        <w:tc>
          <w:tcPr>
            <w:tcW w:w="1185" w:type="pct"/>
            <w:gridSpan w:val="2"/>
            <w:shd w:val="clear" w:color="auto" w:fill="auto"/>
          </w:tcPr>
          <w:p w14:paraId="1C12A80A" w14:textId="77777777" w:rsidR="0036246C" w:rsidRPr="002E1E4D" w:rsidRDefault="0036246C" w:rsidP="00695DCF">
            <w:pPr>
              <w:pStyle w:val="naiskr"/>
              <w:spacing w:before="0" w:after="0"/>
              <w:jc w:val="both"/>
              <w:rPr>
                <w:i/>
              </w:rPr>
            </w:pPr>
            <w:r w:rsidRPr="002E1E4D">
              <w:rPr>
                <w:i/>
              </w:rPr>
              <w:t>Regulas Nr.651/2014 12.pants</w:t>
            </w:r>
          </w:p>
        </w:tc>
        <w:tc>
          <w:tcPr>
            <w:tcW w:w="984" w:type="pct"/>
            <w:gridSpan w:val="2"/>
            <w:shd w:val="clear" w:color="auto" w:fill="auto"/>
          </w:tcPr>
          <w:p w14:paraId="12C540A8" w14:textId="77777777" w:rsidR="0036246C" w:rsidRPr="002E1E4D" w:rsidRDefault="003E662A" w:rsidP="00695DCF">
            <w:pPr>
              <w:pStyle w:val="naiskr"/>
              <w:spacing w:before="0" w:after="0"/>
              <w:jc w:val="both"/>
              <w:rPr>
                <w:i/>
              </w:rPr>
            </w:pPr>
            <w:r>
              <w:rPr>
                <w:i/>
              </w:rPr>
              <w:t>Noteikumu projekta 2</w:t>
            </w:r>
            <w:r w:rsidR="002E1E4D" w:rsidRPr="002E1E4D">
              <w:rPr>
                <w:i/>
              </w:rPr>
              <w:t>.punkts (ar ko groza MK noteikumu Nr.238 27.punktu)</w:t>
            </w:r>
          </w:p>
        </w:tc>
        <w:tc>
          <w:tcPr>
            <w:tcW w:w="800" w:type="pct"/>
            <w:shd w:val="clear" w:color="auto" w:fill="auto"/>
          </w:tcPr>
          <w:p w14:paraId="344E2946" w14:textId="77777777" w:rsidR="0036246C" w:rsidRPr="002E1E4D" w:rsidRDefault="0036246C" w:rsidP="00695DCF">
            <w:pPr>
              <w:pStyle w:val="naiskr"/>
              <w:spacing w:before="0" w:after="0"/>
              <w:jc w:val="both"/>
              <w:rPr>
                <w:i/>
              </w:rPr>
            </w:pPr>
            <w:r w:rsidRPr="002E1E4D">
              <w:rPr>
                <w:i/>
              </w:rPr>
              <w:t>Ieviests pilnībā.</w:t>
            </w:r>
          </w:p>
        </w:tc>
        <w:tc>
          <w:tcPr>
            <w:tcW w:w="1948" w:type="pct"/>
            <w:shd w:val="clear" w:color="auto" w:fill="auto"/>
          </w:tcPr>
          <w:p w14:paraId="35923DC5" w14:textId="77777777" w:rsidR="0036246C" w:rsidRPr="002E1E4D" w:rsidRDefault="0036246C" w:rsidP="00695DCF">
            <w:pPr>
              <w:pStyle w:val="naiskr"/>
              <w:spacing w:before="0" w:after="0"/>
              <w:jc w:val="both"/>
              <w:rPr>
                <w:i/>
              </w:rPr>
            </w:pPr>
            <w:r w:rsidRPr="002E1E4D">
              <w:rPr>
                <w:i/>
              </w:rPr>
              <w:t>Neparedz stingrākas prasības.</w:t>
            </w:r>
          </w:p>
        </w:tc>
      </w:tr>
      <w:tr w:rsidR="0036246C" w:rsidRPr="002B5151" w14:paraId="5AA81969" w14:textId="77777777" w:rsidTr="00695DCF">
        <w:trPr>
          <w:tblCellSpacing w:w="15" w:type="dxa"/>
        </w:trPr>
        <w:tc>
          <w:tcPr>
            <w:tcW w:w="1185" w:type="pct"/>
            <w:gridSpan w:val="2"/>
            <w:shd w:val="clear" w:color="auto" w:fill="auto"/>
            <w:vAlign w:val="center"/>
          </w:tcPr>
          <w:p w14:paraId="4A2015DD" w14:textId="77777777" w:rsidR="0036246C" w:rsidRPr="0036246C" w:rsidRDefault="0036246C" w:rsidP="00695DCF">
            <w:pPr>
              <w:jc w:val="both"/>
              <w:rPr>
                <w:rFonts w:eastAsia="Times New Roman"/>
                <w:sz w:val="24"/>
                <w:szCs w:val="24"/>
                <w:lang w:val="lv-LV" w:eastAsia="lv-LV"/>
              </w:rPr>
            </w:pPr>
            <w:r w:rsidRPr="0036246C">
              <w:rPr>
                <w:rFonts w:eastAsia="Times New Roman"/>
                <w:sz w:val="24"/>
                <w:szCs w:val="24"/>
                <w:lang w:val="lv-LV" w:eastAsia="lv-LV"/>
              </w:rPr>
              <w:t>Kā ir izmantota ES tiesību aktā paredzētā rīcības brīvība dalībvalstij pārņemt vai ieviest noteiktas ES tiesību akta normas.</w:t>
            </w:r>
          </w:p>
        </w:tc>
        <w:tc>
          <w:tcPr>
            <w:tcW w:w="3765" w:type="pct"/>
            <w:gridSpan w:val="4"/>
            <w:shd w:val="clear" w:color="auto" w:fill="auto"/>
          </w:tcPr>
          <w:p w14:paraId="4BF39501" w14:textId="77777777" w:rsidR="0036246C" w:rsidRPr="0036246C" w:rsidRDefault="00D84ED2" w:rsidP="00695DCF">
            <w:pPr>
              <w:pStyle w:val="naiskr"/>
              <w:spacing w:before="0" w:after="0"/>
              <w:jc w:val="both"/>
            </w:pPr>
            <w:r w:rsidRPr="00E03D96">
              <w:rPr>
                <w:i/>
              </w:rPr>
              <w:t>Projekts šo jomu neskar.</w:t>
            </w:r>
          </w:p>
        </w:tc>
      </w:tr>
      <w:tr w:rsidR="0036246C" w:rsidRPr="00C64C83" w14:paraId="6C41EC9A" w14:textId="77777777" w:rsidTr="00695DCF">
        <w:trPr>
          <w:tblCellSpacing w:w="15" w:type="dxa"/>
        </w:trPr>
        <w:tc>
          <w:tcPr>
            <w:tcW w:w="1185" w:type="pct"/>
            <w:gridSpan w:val="2"/>
            <w:shd w:val="clear" w:color="auto" w:fill="auto"/>
            <w:vAlign w:val="center"/>
            <w:hideMark/>
          </w:tcPr>
          <w:p w14:paraId="7DE3A702" w14:textId="77777777" w:rsidR="0036246C" w:rsidRPr="0036246C" w:rsidRDefault="0036246C" w:rsidP="00695DCF">
            <w:pPr>
              <w:jc w:val="both"/>
              <w:rPr>
                <w:rFonts w:eastAsia="Times New Roman"/>
                <w:sz w:val="24"/>
                <w:szCs w:val="24"/>
                <w:lang w:val="lv-LV" w:eastAsia="lv-LV"/>
              </w:rPr>
            </w:pPr>
            <w:r w:rsidRPr="0036246C">
              <w:rPr>
                <w:rFonts w:eastAsia="Times New Roman"/>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5" w:type="pct"/>
            <w:gridSpan w:val="4"/>
            <w:shd w:val="clear" w:color="auto" w:fill="auto"/>
            <w:hideMark/>
          </w:tcPr>
          <w:p w14:paraId="218AFE13" w14:textId="77777777" w:rsidR="0036246C" w:rsidRPr="0036246C" w:rsidRDefault="00D84ED2" w:rsidP="00695DCF">
            <w:pPr>
              <w:jc w:val="both"/>
              <w:rPr>
                <w:rFonts w:eastAsia="Times New Roman"/>
                <w:sz w:val="24"/>
                <w:szCs w:val="24"/>
                <w:lang w:val="lv-LV" w:eastAsia="lv-LV"/>
              </w:rPr>
            </w:pPr>
            <w:r w:rsidRPr="00E03D96">
              <w:rPr>
                <w:rFonts w:eastAsia="Times New Roman"/>
                <w:i/>
                <w:sz w:val="24"/>
                <w:szCs w:val="24"/>
                <w:lang w:val="lv-LV" w:eastAsia="lv-LV"/>
              </w:rPr>
              <w:t>Projekts šo jomu neskar.</w:t>
            </w:r>
          </w:p>
        </w:tc>
      </w:tr>
      <w:tr w:rsidR="0036246C" w:rsidRPr="001F6D46" w14:paraId="541AC676" w14:textId="77777777" w:rsidTr="00695DCF">
        <w:trPr>
          <w:tblCellSpacing w:w="15" w:type="dxa"/>
        </w:trPr>
        <w:tc>
          <w:tcPr>
            <w:tcW w:w="1185" w:type="pct"/>
            <w:gridSpan w:val="2"/>
            <w:shd w:val="clear" w:color="auto" w:fill="auto"/>
            <w:hideMark/>
          </w:tcPr>
          <w:p w14:paraId="381EB7A6" w14:textId="77777777" w:rsidR="0036246C" w:rsidRPr="0036246C" w:rsidRDefault="0036246C" w:rsidP="00695DCF">
            <w:pPr>
              <w:jc w:val="both"/>
              <w:rPr>
                <w:rFonts w:eastAsia="Times New Roman"/>
                <w:sz w:val="24"/>
                <w:szCs w:val="24"/>
                <w:lang w:val="lv-LV" w:eastAsia="lv-LV"/>
              </w:rPr>
            </w:pPr>
            <w:r w:rsidRPr="0036246C">
              <w:rPr>
                <w:rFonts w:eastAsia="Times New Roman"/>
                <w:sz w:val="24"/>
                <w:szCs w:val="24"/>
                <w:lang w:val="lv-LV" w:eastAsia="lv-LV"/>
              </w:rPr>
              <w:t>Cita informācija</w:t>
            </w:r>
          </w:p>
        </w:tc>
        <w:tc>
          <w:tcPr>
            <w:tcW w:w="3765" w:type="pct"/>
            <w:gridSpan w:val="4"/>
            <w:shd w:val="clear" w:color="auto" w:fill="auto"/>
            <w:hideMark/>
          </w:tcPr>
          <w:p w14:paraId="0D781DC5" w14:textId="77777777" w:rsidR="0036246C" w:rsidRPr="0036246C" w:rsidRDefault="0036246C" w:rsidP="00695DCF">
            <w:pPr>
              <w:jc w:val="both"/>
              <w:rPr>
                <w:rFonts w:eastAsia="Times New Roman"/>
                <w:sz w:val="24"/>
                <w:szCs w:val="24"/>
                <w:lang w:val="lv-LV" w:eastAsia="lv-LV"/>
              </w:rPr>
            </w:pPr>
            <w:r w:rsidRPr="0036246C">
              <w:rPr>
                <w:rFonts w:eastAsia="Times New Roman"/>
                <w:sz w:val="24"/>
                <w:szCs w:val="24"/>
                <w:lang w:val="lv-LV" w:eastAsia="lv-LV"/>
              </w:rPr>
              <w:t>Nav</w:t>
            </w:r>
          </w:p>
        </w:tc>
      </w:tr>
    </w:tbl>
    <w:p w14:paraId="223C8A0A" w14:textId="77777777" w:rsidR="0036246C" w:rsidRDefault="0036246C" w:rsidP="00C9779A">
      <w:pPr>
        <w:rPr>
          <w:sz w:val="24"/>
          <w:szCs w:val="24"/>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D84ED2" w:rsidRPr="006C7215" w14:paraId="17F319C8" w14:textId="77777777" w:rsidTr="00695DCF">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07886E10" w14:textId="77777777" w:rsidR="00D84ED2" w:rsidRPr="00D84ED2" w:rsidRDefault="00D84ED2" w:rsidP="00695DCF">
            <w:pPr>
              <w:ind w:firstLine="720"/>
              <w:jc w:val="both"/>
              <w:rPr>
                <w:rFonts w:eastAsia="Times New Roman"/>
                <w:b/>
                <w:sz w:val="24"/>
                <w:szCs w:val="24"/>
                <w:lang w:val="lv-LV" w:eastAsia="lv-LV"/>
              </w:rPr>
            </w:pPr>
            <w:r w:rsidRPr="00D84ED2">
              <w:rPr>
                <w:rFonts w:eastAsia="Times New Roman"/>
                <w:b/>
                <w:sz w:val="24"/>
                <w:szCs w:val="24"/>
                <w:lang w:val="lv-LV" w:eastAsia="lv-LV"/>
              </w:rPr>
              <w:t>VII. Tiesību akta projekta izpildes nodrošināšana un tās ietekme uz institūcijām</w:t>
            </w:r>
          </w:p>
        </w:tc>
      </w:tr>
      <w:tr w:rsidR="00D84ED2" w:rsidRPr="006C7215" w14:paraId="4ED40B6A" w14:textId="77777777" w:rsidTr="00695DCF">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14:paraId="6430C972" w14:textId="77777777" w:rsidR="00D84ED2" w:rsidRPr="006C7215" w:rsidRDefault="00D84ED2" w:rsidP="00695DCF">
            <w:pPr>
              <w:jc w:val="both"/>
              <w:rPr>
                <w:rFonts w:eastAsia="Times New Roman"/>
                <w:sz w:val="26"/>
                <w:szCs w:val="26"/>
                <w:lang w:val="lv-LV" w:eastAsia="lv-LV"/>
              </w:rPr>
            </w:pPr>
            <w:r w:rsidRPr="006C7215">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3EAD18AB" w14:textId="77777777" w:rsidR="00D84ED2" w:rsidRPr="00D84ED2" w:rsidRDefault="00D84ED2" w:rsidP="00695DCF">
            <w:pPr>
              <w:jc w:val="both"/>
              <w:rPr>
                <w:rFonts w:eastAsia="Times New Roman"/>
                <w:sz w:val="24"/>
                <w:szCs w:val="24"/>
                <w:lang w:val="lv-LV" w:eastAsia="lv-LV"/>
              </w:rPr>
            </w:pPr>
            <w:r w:rsidRPr="00D84ED2">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14:paraId="11983470" w14:textId="77777777" w:rsidR="00D84ED2" w:rsidRPr="00D84ED2" w:rsidRDefault="00D84ED2" w:rsidP="00D84ED2">
            <w:pPr>
              <w:jc w:val="both"/>
              <w:rPr>
                <w:rFonts w:eastAsia="Times New Roman"/>
                <w:sz w:val="24"/>
                <w:szCs w:val="24"/>
                <w:lang w:val="lv-LV" w:eastAsia="lv-LV"/>
              </w:rPr>
            </w:pPr>
            <w:r w:rsidRPr="00D84ED2">
              <w:rPr>
                <w:rFonts w:eastAsia="Times New Roman"/>
                <w:sz w:val="24"/>
                <w:szCs w:val="24"/>
                <w:lang w:val="lv-LV" w:eastAsia="lv-LV"/>
              </w:rPr>
              <w:t xml:space="preserve">Ministru kabineta </w:t>
            </w:r>
            <w:r w:rsidRPr="00D84ED2">
              <w:rPr>
                <w:sz w:val="24"/>
                <w:szCs w:val="24"/>
                <w:lang w:val="lv-LV"/>
              </w:rPr>
              <w:t>noteikumu</w:t>
            </w:r>
            <w:r w:rsidRPr="00D84ED2">
              <w:rPr>
                <w:rFonts w:eastAsia="Times New Roman"/>
                <w:sz w:val="24"/>
                <w:szCs w:val="24"/>
                <w:lang w:val="lv-LV" w:eastAsia="lv-LV"/>
              </w:rPr>
              <w:t xml:space="preserve"> projekta izpildi nodrošinās EM un </w:t>
            </w:r>
            <w:r>
              <w:rPr>
                <w:rFonts w:eastAsia="Times New Roman"/>
                <w:sz w:val="24"/>
                <w:szCs w:val="24"/>
                <w:lang w:val="lv-LV" w:eastAsia="lv-LV"/>
              </w:rPr>
              <w:t xml:space="preserve">sabiedrība </w:t>
            </w:r>
            <w:proofErr w:type="spellStart"/>
            <w:r w:rsidRPr="00D84ED2">
              <w:rPr>
                <w:rFonts w:eastAsia="Times New Roman"/>
                <w:sz w:val="24"/>
                <w:szCs w:val="24"/>
                <w:lang w:val="lv-LV" w:eastAsia="lv-LV"/>
              </w:rPr>
              <w:t>Altum</w:t>
            </w:r>
            <w:proofErr w:type="spellEnd"/>
            <w:r w:rsidRPr="00D84ED2">
              <w:rPr>
                <w:rFonts w:eastAsia="Times New Roman"/>
                <w:sz w:val="24"/>
                <w:szCs w:val="24"/>
                <w:lang w:val="lv-LV" w:eastAsia="lv-LV"/>
              </w:rPr>
              <w:t>.</w:t>
            </w:r>
          </w:p>
          <w:p w14:paraId="172057C6" w14:textId="77777777" w:rsidR="00D84ED2" w:rsidRPr="00D84ED2" w:rsidRDefault="00D84ED2" w:rsidP="00695DCF">
            <w:pPr>
              <w:ind w:firstLine="720"/>
              <w:jc w:val="both"/>
              <w:rPr>
                <w:rFonts w:eastAsia="Times New Roman"/>
                <w:sz w:val="24"/>
                <w:szCs w:val="24"/>
                <w:lang w:val="lv-LV" w:eastAsia="lv-LV"/>
              </w:rPr>
            </w:pPr>
          </w:p>
        </w:tc>
      </w:tr>
      <w:tr w:rsidR="00D84ED2" w:rsidRPr="006C7215" w14:paraId="50DC7B0C" w14:textId="77777777" w:rsidTr="00695DCF">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14:paraId="37C6BC19" w14:textId="77777777" w:rsidR="00D84ED2" w:rsidRPr="006C7215" w:rsidRDefault="00D84ED2" w:rsidP="00695DCF">
            <w:pPr>
              <w:jc w:val="both"/>
              <w:rPr>
                <w:rFonts w:eastAsia="Times New Roman"/>
                <w:sz w:val="26"/>
                <w:szCs w:val="26"/>
                <w:lang w:val="lv-LV" w:eastAsia="lv-LV"/>
              </w:rPr>
            </w:pPr>
            <w:r w:rsidRPr="006C7215">
              <w:rPr>
                <w:rFonts w:eastAsia="Times New Roman"/>
                <w:sz w:val="26"/>
                <w:szCs w:val="26"/>
                <w:lang w:val="lv-LV" w:eastAsia="lv-LV"/>
              </w:rPr>
              <w:lastRenderedPageBreak/>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5E2AD5B6" w14:textId="77777777" w:rsidR="00D84ED2" w:rsidRPr="00D84ED2" w:rsidRDefault="00D84ED2" w:rsidP="00695DCF">
            <w:pPr>
              <w:jc w:val="both"/>
              <w:rPr>
                <w:rFonts w:eastAsia="Times New Roman"/>
                <w:sz w:val="24"/>
                <w:szCs w:val="24"/>
                <w:lang w:val="lv-LV" w:eastAsia="lv-LV"/>
              </w:rPr>
            </w:pPr>
            <w:r w:rsidRPr="00D84ED2">
              <w:rPr>
                <w:rFonts w:eastAsia="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14:paraId="2C557DA9" w14:textId="77777777" w:rsidR="00D84ED2" w:rsidRPr="00D84ED2" w:rsidRDefault="00D84ED2" w:rsidP="00D84ED2">
            <w:pPr>
              <w:jc w:val="both"/>
              <w:rPr>
                <w:rFonts w:eastAsia="Times New Roman"/>
                <w:sz w:val="24"/>
                <w:szCs w:val="24"/>
                <w:lang w:val="lv-LV" w:eastAsia="lv-LV"/>
              </w:rPr>
            </w:pPr>
            <w:r w:rsidRPr="00D84ED2">
              <w:rPr>
                <w:rFonts w:eastAsia="Times New Roman"/>
                <w:sz w:val="24"/>
                <w:szCs w:val="24"/>
                <w:lang w:val="lv-LV" w:eastAsia="lv-LV"/>
              </w:rPr>
              <w:t xml:space="preserve">Ministru kabineta </w:t>
            </w:r>
            <w:r w:rsidRPr="00D84ED2">
              <w:rPr>
                <w:sz w:val="24"/>
                <w:szCs w:val="24"/>
                <w:lang w:val="lv-LV"/>
              </w:rPr>
              <w:t>noteikumu</w:t>
            </w:r>
            <w:r w:rsidRPr="00D84ED2">
              <w:rPr>
                <w:rFonts w:eastAsia="Times New Roman"/>
                <w:sz w:val="24"/>
                <w:szCs w:val="24"/>
                <w:lang w:val="lv-LV" w:eastAsia="lv-LV"/>
              </w:rPr>
              <w:t xml:space="preserve"> projekta izpilde tiks nodrošināta EM un </w:t>
            </w:r>
            <w:r>
              <w:rPr>
                <w:rFonts w:eastAsia="Times New Roman"/>
                <w:sz w:val="24"/>
                <w:szCs w:val="24"/>
                <w:lang w:val="lv-LV" w:eastAsia="lv-LV"/>
              </w:rPr>
              <w:t xml:space="preserve">sabiedrības </w:t>
            </w:r>
            <w:proofErr w:type="spellStart"/>
            <w:r w:rsidRPr="00D84ED2">
              <w:rPr>
                <w:rFonts w:eastAsia="Times New Roman"/>
                <w:sz w:val="24"/>
                <w:szCs w:val="24"/>
                <w:lang w:val="lv-LV" w:eastAsia="lv-LV"/>
              </w:rPr>
              <w:t>Altum</w:t>
            </w:r>
            <w:proofErr w:type="spellEnd"/>
            <w:r w:rsidRPr="00D84ED2">
              <w:rPr>
                <w:rFonts w:eastAsia="Times New Roman"/>
                <w:sz w:val="24"/>
                <w:szCs w:val="24"/>
                <w:lang w:val="lv-LV" w:eastAsia="lv-LV"/>
              </w:rPr>
              <w:t xml:space="preserve"> esošo funkciju ietvaros.</w:t>
            </w:r>
          </w:p>
          <w:p w14:paraId="66C28E5D" w14:textId="77777777" w:rsidR="00D84ED2" w:rsidRPr="00D84ED2" w:rsidRDefault="00D84ED2" w:rsidP="00695DCF">
            <w:pPr>
              <w:ind w:firstLine="720"/>
              <w:jc w:val="both"/>
              <w:rPr>
                <w:rFonts w:eastAsia="Times New Roman"/>
                <w:sz w:val="24"/>
                <w:szCs w:val="24"/>
                <w:lang w:val="lv-LV" w:eastAsia="lv-LV"/>
              </w:rPr>
            </w:pPr>
          </w:p>
        </w:tc>
      </w:tr>
      <w:tr w:rsidR="00D84ED2" w:rsidRPr="006C7215" w14:paraId="0CABA961" w14:textId="77777777" w:rsidTr="00695DCF">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14:paraId="35695F77" w14:textId="77777777" w:rsidR="00D84ED2" w:rsidRPr="006C7215" w:rsidRDefault="00D84ED2" w:rsidP="00695DCF">
            <w:pPr>
              <w:jc w:val="both"/>
              <w:rPr>
                <w:rFonts w:eastAsia="Times New Roman"/>
                <w:sz w:val="26"/>
                <w:szCs w:val="26"/>
                <w:lang w:val="lv-LV" w:eastAsia="lv-LV"/>
              </w:rPr>
            </w:pPr>
            <w:r w:rsidRPr="006C7215">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2680257C" w14:textId="77777777" w:rsidR="00D84ED2" w:rsidRPr="00D84ED2" w:rsidRDefault="00D84ED2" w:rsidP="00695DCF">
            <w:pPr>
              <w:jc w:val="both"/>
              <w:rPr>
                <w:rFonts w:eastAsia="Times New Roman"/>
                <w:sz w:val="24"/>
                <w:szCs w:val="24"/>
                <w:lang w:val="lv-LV" w:eastAsia="lv-LV"/>
              </w:rPr>
            </w:pPr>
            <w:r w:rsidRPr="00D84ED2">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2AC3F1" w14:textId="77777777" w:rsidR="00D84ED2" w:rsidRPr="00D84ED2" w:rsidRDefault="00D84ED2" w:rsidP="00695DCF">
            <w:pPr>
              <w:ind w:firstLine="720"/>
              <w:jc w:val="both"/>
              <w:rPr>
                <w:rFonts w:eastAsia="Times New Roman"/>
                <w:sz w:val="24"/>
                <w:szCs w:val="24"/>
                <w:lang w:val="lv-LV" w:eastAsia="lv-LV"/>
              </w:rPr>
            </w:pPr>
            <w:r w:rsidRPr="00D84ED2">
              <w:rPr>
                <w:rFonts w:eastAsia="Times New Roman"/>
                <w:sz w:val="24"/>
                <w:szCs w:val="24"/>
                <w:lang w:val="lv-LV" w:eastAsia="lv-LV"/>
              </w:rPr>
              <w:t>Nav</w:t>
            </w:r>
          </w:p>
        </w:tc>
      </w:tr>
    </w:tbl>
    <w:p w14:paraId="308DA3E3" w14:textId="77777777" w:rsidR="0088512F" w:rsidRPr="00311205" w:rsidRDefault="0088512F" w:rsidP="00F22471">
      <w:pPr>
        <w:tabs>
          <w:tab w:val="left" w:pos="7655"/>
        </w:tabs>
        <w:jc w:val="both"/>
        <w:rPr>
          <w:sz w:val="24"/>
          <w:szCs w:val="24"/>
          <w:lang w:val="lv-LV"/>
        </w:rPr>
      </w:pPr>
    </w:p>
    <w:p w14:paraId="44D51767" w14:textId="77777777" w:rsidR="00E009B0" w:rsidRDefault="00D84ED2" w:rsidP="00E009B0">
      <w:pPr>
        <w:rPr>
          <w:rFonts w:eastAsia="Times New Roman"/>
          <w:b/>
          <w:sz w:val="24"/>
          <w:szCs w:val="24"/>
          <w:lang w:val="lv-LV" w:eastAsia="lv-LV"/>
        </w:rPr>
      </w:pPr>
      <w:r>
        <w:rPr>
          <w:rFonts w:eastAsia="Times New Roman"/>
          <w:b/>
          <w:sz w:val="24"/>
          <w:szCs w:val="24"/>
          <w:lang w:val="lv-LV" w:eastAsia="lv-LV"/>
        </w:rPr>
        <w:t xml:space="preserve">Anotācijas  III un </w:t>
      </w:r>
      <w:r w:rsidR="00E009B0" w:rsidRPr="007B2F77">
        <w:rPr>
          <w:rFonts w:eastAsia="Times New Roman"/>
          <w:b/>
          <w:sz w:val="24"/>
          <w:szCs w:val="24"/>
          <w:lang w:val="lv-LV" w:eastAsia="lv-LV"/>
        </w:rPr>
        <w:t>VI sadaļa – projekts šo jomu neskar</w:t>
      </w:r>
    </w:p>
    <w:p w14:paraId="677631F9" w14:textId="77777777" w:rsidR="00585145" w:rsidRDefault="00585145" w:rsidP="00E009B0">
      <w:pPr>
        <w:rPr>
          <w:rFonts w:eastAsia="Times New Roman"/>
          <w:b/>
          <w:sz w:val="24"/>
          <w:szCs w:val="24"/>
          <w:lang w:val="lv-LV" w:eastAsia="lv-LV"/>
        </w:rPr>
      </w:pPr>
    </w:p>
    <w:p w14:paraId="3C67FE44" w14:textId="77777777" w:rsidR="00585145" w:rsidRDefault="00585145" w:rsidP="00E009B0">
      <w:pPr>
        <w:rPr>
          <w:rFonts w:eastAsia="Times New Roman"/>
          <w:b/>
          <w:sz w:val="24"/>
          <w:szCs w:val="24"/>
          <w:lang w:val="lv-LV" w:eastAsia="lv-LV"/>
        </w:rPr>
      </w:pPr>
    </w:p>
    <w:p w14:paraId="7C924440" w14:textId="77777777" w:rsidR="00585145" w:rsidRPr="007B2F77" w:rsidRDefault="00585145" w:rsidP="00E009B0">
      <w:pPr>
        <w:rPr>
          <w:rFonts w:eastAsia="Times New Roman"/>
          <w:b/>
          <w:sz w:val="24"/>
          <w:szCs w:val="24"/>
          <w:lang w:val="lv-LV" w:eastAsia="lv-LV"/>
        </w:rPr>
        <w:sectPr w:rsidR="00585145" w:rsidRPr="007B2F77" w:rsidSect="005B7CB3">
          <w:type w:val="continuous"/>
          <w:pgSz w:w="11906" w:h="16838"/>
          <w:pgMar w:top="1418" w:right="1134" w:bottom="1134" w:left="1701" w:header="709" w:footer="709" w:gutter="0"/>
          <w:cols w:space="708"/>
          <w:titlePg/>
          <w:docGrid w:linePitch="360"/>
        </w:sectPr>
      </w:pPr>
    </w:p>
    <w:p w14:paraId="3DEF9F63" w14:textId="77777777" w:rsidR="00235168" w:rsidRPr="007B2F77" w:rsidRDefault="00235168" w:rsidP="00F22471">
      <w:pPr>
        <w:tabs>
          <w:tab w:val="left" w:pos="7655"/>
        </w:tabs>
        <w:rPr>
          <w:sz w:val="24"/>
          <w:szCs w:val="24"/>
          <w:lang w:val="lv-LV"/>
        </w:rPr>
      </w:pPr>
    </w:p>
    <w:p w14:paraId="2CC2720E" w14:textId="77777777" w:rsidR="00BE6E9C" w:rsidRPr="007B2F77" w:rsidRDefault="00BE6E9C" w:rsidP="00A43665">
      <w:pPr>
        <w:tabs>
          <w:tab w:val="right" w:pos="9072"/>
        </w:tabs>
        <w:rPr>
          <w:sz w:val="24"/>
          <w:szCs w:val="24"/>
          <w:lang w:val="lv-LV"/>
        </w:rPr>
      </w:pPr>
    </w:p>
    <w:p w14:paraId="3A9E5BCD" w14:textId="77777777" w:rsidR="00D84ED2" w:rsidRPr="00D84ED2" w:rsidRDefault="00D84ED2" w:rsidP="00D84ED2">
      <w:pPr>
        <w:tabs>
          <w:tab w:val="right" w:pos="9072"/>
        </w:tabs>
        <w:rPr>
          <w:sz w:val="24"/>
          <w:szCs w:val="24"/>
          <w:lang w:val="lv-LV"/>
        </w:rPr>
      </w:pPr>
      <w:r w:rsidRPr="00D84ED2">
        <w:rPr>
          <w:sz w:val="24"/>
          <w:szCs w:val="24"/>
          <w:lang w:val="lv-LV"/>
        </w:rPr>
        <w:t xml:space="preserve">Ekonomikas ministre </w:t>
      </w:r>
      <w:r w:rsidRPr="00D84ED2">
        <w:rPr>
          <w:sz w:val="24"/>
          <w:szCs w:val="24"/>
          <w:lang w:val="lv-LV"/>
        </w:rPr>
        <w:tab/>
      </w:r>
      <w:proofErr w:type="spellStart"/>
      <w:r w:rsidRPr="00D84ED2">
        <w:rPr>
          <w:sz w:val="24"/>
          <w:szCs w:val="24"/>
          <w:lang w:val="lv-LV"/>
        </w:rPr>
        <w:t>D.Reizniece-Ozola</w:t>
      </w:r>
      <w:proofErr w:type="spellEnd"/>
    </w:p>
    <w:p w14:paraId="6834A3B5" w14:textId="77777777" w:rsidR="00D84ED2" w:rsidRPr="00D84ED2" w:rsidRDefault="00D84ED2" w:rsidP="00D84ED2">
      <w:pPr>
        <w:tabs>
          <w:tab w:val="right" w:pos="9072"/>
        </w:tabs>
        <w:rPr>
          <w:sz w:val="24"/>
          <w:szCs w:val="24"/>
          <w:lang w:val="lv-LV"/>
        </w:rPr>
      </w:pPr>
      <w:r w:rsidRPr="00D84ED2">
        <w:rPr>
          <w:sz w:val="24"/>
          <w:szCs w:val="24"/>
          <w:lang w:val="lv-LV"/>
        </w:rPr>
        <w:tab/>
      </w:r>
      <w:r w:rsidRPr="00D84ED2">
        <w:rPr>
          <w:sz w:val="24"/>
          <w:szCs w:val="24"/>
          <w:lang w:val="lv-LV"/>
        </w:rPr>
        <w:tab/>
      </w:r>
      <w:r w:rsidRPr="00D84ED2">
        <w:rPr>
          <w:sz w:val="24"/>
          <w:szCs w:val="24"/>
          <w:lang w:val="lv-LV"/>
        </w:rPr>
        <w:tab/>
      </w:r>
      <w:r w:rsidRPr="00D84ED2">
        <w:rPr>
          <w:sz w:val="24"/>
          <w:szCs w:val="24"/>
          <w:lang w:val="lv-LV"/>
        </w:rPr>
        <w:tab/>
      </w:r>
      <w:r w:rsidRPr="00D84ED2">
        <w:rPr>
          <w:sz w:val="24"/>
          <w:szCs w:val="24"/>
          <w:lang w:val="lv-LV"/>
        </w:rPr>
        <w:tab/>
      </w:r>
    </w:p>
    <w:p w14:paraId="46794799" w14:textId="77777777" w:rsidR="00D84ED2" w:rsidRPr="00D84ED2" w:rsidRDefault="00D84ED2" w:rsidP="00D84ED2">
      <w:pPr>
        <w:tabs>
          <w:tab w:val="right" w:pos="9072"/>
        </w:tabs>
        <w:rPr>
          <w:sz w:val="24"/>
          <w:szCs w:val="24"/>
          <w:lang w:val="lv-LV"/>
        </w:rPr>
      </w:pPr>
    </w:p>
    <w:p w14:paraId="35BC8130" w14:textId="77777777" w:rsidR="009D08E0" w:rsidRPr="00D84ED2" w:rsidRDefault="00D84ED2" w:rsidP="00D84ED2">
      <w:pPr>
        <w:jc w:val="both"/>
        <w:rPr>
          <w:color w:val="000000"/>
          <w:sz w:val="24"/>
          <w:szCs w:val="24"/>
          <w:lang w:val="lv-LV"/>
        </w:rPr>
      </w:pPr>
      <w:r w:rsidRPr="00D84ED2">
        <w:rPr>
          <w:sz w:val="24"/>
          <w:szCs w:val="24"/>
          <w:lang w:val="lv-LV"/>
        </w:rPr>
        <w:t>Vīza: Valsts sekretārs</w:t>
      </w:r>
      <w:r w:rsidRPr="00D84ED2">
        <w:rPr>
          <w:sz w:val="24"/>
          <w:szCs w:val="24"/>
          <w:lang w:val="lv-LV"/>
        </w:rPr>
        <w:tab/>
      </w:r>
      <w:r w:rsidRPr="00D84ED2">
        <w:rPr>
          <w:sz w:val="24"/>
          <w:szCs w:val="24"/>
          <w:lang w:val="lv-LV"/>
        </w:rPr>
        <w:tab/>
      </w:r>
      <w:r w:rsidRPr="00D84ED2">
        <w:rPr>
          <w:sz w:val="24"/>
          <w:szCs w:val="24"/>
          <w:lang w:val="lv-LV"/>
        </w:rPr>
        <w:tab/>
      </w:r>
      <w:r w:rsidRPr="00D84ED2">
        <w:rPr>
          <w:sz w:val="24"/>
          <w:szCs w:val="24"/>
          <w:lang w:val="lv-LV"/>
        </w:rPr>
        <w:tab/>
      </w:r>
      <w:r w:rsidRPr="00D84ED2">
        <w:rPr>
          <w:sz w:val="24"/>
          <w:szCs w:val="24"/>
          <w:lang w:val="lv-LV"/>
        </w:rPr>
        <w:tab/>
      </w:r>
      <w:r w:rsidRPr="00D84ED2">
        <w:rPr>
          <w:sz w:val="24"/>
          <w:szCs w:val="24"/>
          <w:lang w:val="lv-LV"/>
        </w:rPr>
        <w:tab/>
        <w:t xml:space="preserve">         </w:t>
      </w:r>
      <w:r>
        <w:rPr>
          <w:sz w:val="24"/>
          <w:szCs w:val="24"/>
          <w:lang w:val="lv-LV"/>
        </w:rPr>
        <w:t xml:space="preserve">                      </w:t>
      </w:r>
      <w:r w:rsidRPr="00D84ED2">
        <w:rPr>
          <w:sz w:val="24"/>
          <w:szCs w:val="24"/>
          <w:lang w:val="lv-LV"/>
        </w:rPr>
        <w:t xml:space="preserve"> </w:t>
      </w:r>
      <w:proofErr w:type="spellStart"/>
      <w:r w:rsidRPr="00D84ED2">
        <w:rPr>
          <w:sz w:val="24"/>
          <w:szCs w:val="24"/>
          <w:lang w:val="lv-LV"/>
        </w:rPr>
        <w:t>R.Beinarovičs</w:t>
      </w:r>
      <w:proofErr w:type="spellEnd"/>
    </w:p>
    <w:p w14:paraId="1BB4E8A7" w14:textId="77777777" w:rsidR="009D08E0" w:rsidRPr="007B2F77" w:rsidRDefault="009D08E0" w:rsidP="00F22471">
      <w:pPr>
        <w:jc w:val="both"/>
        <w:rPr>
          <w:color w:val="000000"/>
          <w:sz w:val="28"/>
          <w:szCs w:val="28"/>
          <w:lang w:val="lv-LV"/>
        </w:rPr>
      </w:pPr>
    </w:p>
    <w:p w14:paraId="064E1CD2" w14:textId="77777777" w:rsidR="00B76CA3" w:rsidRPr="007B2F77" w:rsidRDefault="00B76CA3" w:rsidP="00F22471">
      <w:pPr>
        <w:jc w:val="both"/>
        <w:rPr>
          <w:color w:val="000000"/>
          <w:sz w:val="28"/>
          <w:szCs w:val="28"/>
          <w:lang w:val="lv-LV"/>
        </w:rPr>
      </w:pPr>
    </w:p>
    <w:p w14:paraId="7DB46912" w14:textId="6DAF8C2B" w:rsidR="00BF2F17" w:rsidRPr="007B2F77" w:rsidRDefault="00F91217" w:rsidP="00F22471">
      <w:pPr>
        <w:jc w:val="both"/>
        <w:rPr>
          <w:sz w:val="18"/>
          <w:szCs w:val="18"/>
          <w:lang w:val="lv-LV"/>
        </w:rPr>
      </w:pPr>
      <w:r w:rsidRPr="007B2F77">
        <w:rPr>
          <w:sz w:val="18"/>
          <w:szCs w:val="18"/>
          <w:lang w:val="lv-LV"/>
        </w:rPr>
        <w:fldChar w:fldCharType="begin"/>
      </w:r>
      <w:r w:rsidR="00BF2F17" w:rsidRPr="007B2F77">
        <w:rPr>
          <w:sz w:val="18"/>
          <w:szCs w:val="18"/>
          <w:lang w:val="lv-LV"/>
        </w:rPr>
        <w:instrText xml:space="preserve"> TIME \@ "dd.MM.yyyy. H:mm" </w:instrText>
      </w:r>
      <w:r w:rsidRPr="007B2F77">
        <w:rPr>
          <w:sz w:val="18"/>
          <w:szCs w:val="18"/>
          <w:lang w:val="lv-LV"/>
        </w:rPr>
        <w:fldChar w:fldCharType="separate"/>
      </w:r>
      <w:r w:rsidR="00640DBD">
        <w:rPr>
          <w:noProof/>
          <w:sz w:val="18"/>
          <w:szCs w:val="18"/>
          <w:lang w:val="lv-LV"/>
        </w:rPr>
        <w:t>29.10.2015. 11:09</w:t>
      </w:r>
      <w:r w:rsidRPr="007B2F77">
        <w:rPr>
          <w:sz w:val="18"/>
          <w:szCs w:val="18"/>
          <w:lang w:val="lv-LV"/>
        </w:rPr>
        <w:fldChar w:fldCharType="end"/>
      </w:r>
    </w:p>
    <w:p w14:paraId="0D2FCE01" w14:textId="4B2E2E03" w:rsidR="00BF2F17" w:rsidRPr="007B2F77" w:rsidRDefault="00D92BBA" w:rsidP="00F22471">
      <w:pPr>
        <w:jc w:val="both"/>
        <w:rPr>
          <w:sz w:val="18"/>
          <w:szCs w:val="18"/>
          <w:lang w:val="lv-LV"/>
        </w:rPr>
      </w:pPr>
      <w:r w:rsidRPr="007B2F77">
        <w:rPr>
          <w:sz w:val="18"/>
          <w:szCs w:val="18"/>
          <w:lang w:val="lv-LV"/>
        </w:rPr>
        <w:fldChar w:fldCharType="begin"/>
      </w:r>
      <w:r w:rsidRPr="007B2F77">
        <w:rPr>
          <w:sz w:val="18"/>
          <w:szCs w:val="18"/>
          <w:lang w:val="lv-LV"/>
        </w:rPr>
        <w:instrText xml:space="preserve"> NUMWORDS   \* MERGEFORMAT </w:instrText>
      </w:r>
      <w:r w:rsidRPr="007B2F77">
        <w:rPr>
          <w:sz w:val="18"/>
          <w:szCs w:val="18"/>
          <w:lang w:val="lv-LV"/>
        </w:rPr>
        <w:fldChar w:fldCharType="separate"/>
      </w:r>
      <w:r w:rsidR="00640DBD">
        <w:rPr>
          <w:noProof/>
          <w:sz w:val="18"/>
          <w:szCs w:val="18"/>
          <w:lang w:val="lv-LV"/>
        </w:rPr>
        <w:t>1767</w:t>
      </w:r>
      <w:bookmarkStart w:id="9" w:name="_GoBack"/>
      <w:bookmarkEnd w:id="9"/>
      <w:r w:rsidRPr="007B2F77">
        <w:rPr>
          <w:noProof/>
          <w:sz w:val="18"/>
          <w:szCs w:val="18"/>
          <w:lang w:val="lv-LV"/>
        </w:rPr>
        <w:fldChar w:fldCharType="end"/>
      </w:r>
    </w:p>
    <w:p w14:paraId="7DFEB694" w14:textId="77777777" w:rsidR="00643B54" w:rsidRPr="00311205" w:rsidRDefault="00634095" w:rsidP="00F22471">
      <w:pPr>
        <w:jc w:val="both"/>
        <w:rPr>
          <w:color w:val="000000"/>
          <w:sz w:val="18"/>
          <w:szCs w:val="18"/>
          <w:lang w:val="lv-LV"/>
        </w:rPr>
      </w:pPr>
      <w:r w:rsidRPr="00311205">
        <w:rPr>
          <w:color w:val="000000"/>
          <w:sz w:val="18"/>
          <w:szCs w:val="18"/>
          <w:lang w:val="lv-LV"/>
        </w:rPr>
        <w:t>E.Dlohi</w:t>
      </w:r>
    </w:p>
    <w:p w14:paraId="2FAF5124" w14:textId="77777777" w:rsidR="00097583" w:rsidRPr="00311205" w:rsidRDefault="00B74BCA" w:rsidP="00F22471">
      <w:pPr>
        <w:jc w:val="both"/>
        <w:rPr>
          <w:color w:val="000000"/>
          <w:sz w:val="18"/>
          <w:szCs w:val="18"/>
          <w:lang w:val="lv-LV"/>
        </w:rPr>
      </w:pPr>
      <w:r w:rsidRPr="00311205">
        <w:rPr>
          <w:sz w:val="18"/>
          <w:szCs w:val="18"/>
          <w:lang w:val="lv-LV"/>
        </w:rPr>
        <w:t>67013</w:t>
      </w:r>
      <w:r w:rsidR="00634095" w:rsidRPr="00311205">
        <w:rPr>
          <w:sz w:val="18"/>
          <w:szCs w:val="18"/>
          <w:lang w:val="lv-LV"/>
        </w:rPr>
        <w:t>082</w:t>
      </w:r>
      <w:r w:rsidR="00386053" w:rsidRPr="00311205">
        <w:rPr>
          <w:sz w:val="18"/>
          <w:szCs w:val="18"/>
          <w:lang w:val="lv-LV"/>
        </w:rPr>
        <w:t>,</w:t>
      </w:r>
      <w:r w:rsidRPr="00311205">
        <w:rPr>
          <w:sz w:val="18"/>
          <w:szCs w:val="18"/>
          <w:lang w:val="lv-LV"/>
        </w:rPr>
        <w:t xml:space="preserve"> </w:t>
      </w:r>
      <w:hyperlink r:id="rId15" w:history="1">
        <w:r w:rsidR="00634095" w:rsidRPr="007B2F77">
          <w:rPr>
            <w:rStyle w:val="Hyperlink"/>
            <w:sz w:val="18"/>
            <w:szCs w:val="18"/>
            <w:lang w:val="lv-LV"/>
          </w:rPr>
          <w:t>Elina.Dlohi@em.gov.lv</w:t>
        </w:r>
      </w:hyperlink>
    </w:p>
    <w:sectPr w:rsidR="00097583" w:rsidRPr="00311205" w:rsidSect="005B7CB3">
      <w:endnotePr>
        <w:numFmt w:val="decimal"/>
      </w:endnotePr>
      <w:type w:val="continuous"/>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393F0" w15:done="0"/>
  <w15:commentEx w15:paraId="1A61E872" w15:done="0"/>
  <w15:commentEx w15:paraId="391F25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B8998" w14:textId="77777777" w:rsidR="00761520" w:rsidRDefault="00761520" w:rsidP="00B014C2">
      <w:r>
        <w:separator/>
      </w:r>
    </w:p>
  </w:endnote>
  <w:endnote w:type="continuationSeparator" w:id="0">
    <w:p w14:paraId="2EA42378" w14:textId="77777777" w:rsidR="00761520" w:rsidRDefault="00761520"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0E91B" w14:textId="77777777"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grantiem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00511C7D" w:rsidRPr="00C33F2C">
        <w:rPr>
          <w:sz w:val="24"/>
          <w:szCs w:val="24"/>
        </w:rPr>
        <w:t>ziņojums</w:t>
      </w:r>
    </w:smartTag>
    <w:r w:rsidR="00511C7D" w:rsidRPr="00C33F2C">
      <w:rPr>
        <w:sz w:val="24"/>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E38E" w14:textId="01924510" w:rsidR="00511C7D" w:rsidRPr="002E79E4" w:rsidRDefault="00181DAD" w:rsidP="00D7256E">
    <w:pPr>
      <w:pStyle w:val="BodyText"/>
      <w:rPr>
        <w:sz w:val="20"/>
      </w:rPr>
    </w:pPr>
    <w:r>
      <w:rPr>
        <w:sz w:val="20"/>
      </w:rPr>
      <w:t>EMAnot_</w:t>
    </w:r>
    <w:r w:rsidR="00640DBD">
      <w:rPr>
        <w:sz w:val="20"/>
      </w:rPr>
      <w:t>29</w:t>
    </w:r>
    <w:r w:rsidR="00DB03F3">
      <w:rPr>
        <w:sz w:val="20"/>
      </w:rPr>
      <w:t>1020</w:t>
    </w:r>
    <w:r w:rsidR="00780795">
      <w:rPr>
        <w:sz w:val="20"/>
      </w:rPr>
      <w:t>15</w:t>
    </w:r>
    <w:r w:rsidR="00655415" w:rsidRPr="002E79E4">
      <w:rPr>
        <w:sz w:val="20"/>
      </w:rPr>
      <w:t>_groz</w:t>
    </w:r>
    <w:r w:rsidR="002E79E4" w:rsidRPr="002E79E4">
      <w:rPr>
        <w:sz w:val="20"/>
      </w:rPr>
      <w:t>238</w:t>
    </w:r>
    <w:r w:rsidR="00511C7D" w:rsidRPr="002E79E4">
      <w:rPr>
        <w:sz w:val="20"/>
      </w:rPr>
      <w:t xml:space="preserve">; </w:t>
    </w:r>
    <w:bookmarkStart w:id="6" w:name="OLE_LINK12"/>
    <w:bookmarkStart w:id="7" w:name="OLE_LINK13"/>
    <w:bookmarkStart w:id="8" w:name="_Hlk259447629"/>
    <w:r w:rsidR="00511C7D" w:rsidRPr="002E79E4">
      <w:rPr>
        <w:sz w:val="20"/>
      </w:rPr>
      <w:t xml:space="preserve">Ministru kabineta noteikumu projekta </w:t>
    </w:r>
    <w:r w:rsidR="002E79E4" w:rsidRPr="002E79E4">
      <w:rPr>
        <w:sz w:val="20"/>
      </w:rPr>
      <w:t>„Grozījumi Ministru kabineta 2009.gada 10.marta noteikumos Nr.238 „Noteikumi par darbības programmas „Uzņēmējdarbība un inovācijas” papildinājuma 2.2.1.4.1.apakšaktivitāti „Atbalsts aizdevumu veidā komersantu konkurētspējas uzlabošanai””</w:t>
    </w:r>
    <w:r w:rsidR="00655415" w:rsidRPr="002E79E4">
      <w:rPr>
        <w:sz w:val="20"/>
      </w:rPr>
      <w:t xml:space="preserve">  </w:t>
    </w:r>
    <w:r w:rsidR="00511C7D" w:rsidRPr="002E79E4">
      <w:rPr>
        <w:sz w:val="20"/>
      </w:rPr>
      <w:t xml:space="preserve">sākotnējās ietekmes novērtējuma </w:t>
    </w:r>
    <w:smartTag w:uri="schemas-tilde-lv/tildestengine" w:element="veidnes">
      <w:smartTagPr>
        <w:attr w:name="id" w:val="-1"/>
        <w:attr w:name="baseform" w:val="ziņojums"/>
        <w:attr w:name="text" w:val="ziņojums"/>
      </w:smartTagPr>
      <w:r w:rsidR="00511C7D" w:rsidRPr="002E79E4">
        <w:rPr>
          <w:sz w:val="20"/>
        </w:rPr>
        <w:t>ziņojums</w:t>
      </w:r>
    </w:smartTag>
    <w:r w:rsidR="00511C7D" w:rsidRPr="002E79E4">
      <w:rPr>
        <w:sz w:val="20"/>
      </w:rPr>
      <w:t xml:space="preserve"> (anotācija)</w:t>
    </w:r>
    <w:bookmarkEnd w:id="6"/>
    <w:bookmarkEnd w:id="7"/>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FB518" w14:textId="76663C8F" w:rsidR="00780795" w:rsidRPr="002E79E4" w:rsidRDefault="00DB03F3" w:rsidP="00780795">
    <w:pPr>
      <w:pStyle w:val="BodyText"/>
      <w:rPr>
        <w:sz w:val="20"/>
      </w:rPr>
    </w:pPr>
    <w:r>
      <w:rPr>
        <w:sz w:val="20"/>
      </w:rPr>
      <w:t>EMAnot_</w:t>
    </w:r>
    <w:r w:rsidR="00640DBD">
      <w:rPr>
        <w:sz w:val="20"/>
      </w:rPr>
      <w:t>29</w:t>
    </w:r>
    <w:r>
      <w:rPr>
        <w:sz w:val="20"/>
      </w:rPr>
      <w:t>1020</w:t>
    </w:r>
    <w:r w:rsidR="00780795">
      <w:rPr>
        <w:sz w:val="20"/>
      </w:rPr>
      <w:t>15</w:t>
    </w:r>
    <w:r w:rsidR="00780795" w:rsidRPr="002E79E4">
      <w:rPr>
        <w:sz w:val="20"/>
      </w:rPr>
      <w:t xml:space="preserve">_groz238; Ministru kabineta noteikumu projekta „Grozījumi Ministru kabineta 2009.gada 10.marta noteikumos Nr.238 „Noteikumi par darbības programmas „Uzņēmējdarbība un inovācijas” papildinājuma 2.2.1.4.1.apakšaktivitāti „Atbalsts aizdevumu veidā komersantu konkurētspējas uzlabošanai””  sākotnējās ietekmes novērtējuma </w:t>
    </w:r>
    <w:smartTag w:uri="schemas-tilde-lv/tildestengine" w:element="veidnes">
      <w:smartTagPr>
        <w:attr w:name="text" w:val="ziņojums"/>
        <w:attr w:name="baseform" w:val="ziņojums"/>
        <w:attr w:name="id" w:val="-1"/>
      </w:smartTagPr>
      <w:r w:rsidR="00780795" w:rsidRPr="002E79E4">
        <w:rPr>
          <w:sz w:val="20"/>
        </w:rPr>
        <w:t>ziņojums</w:t>
      </w:r>
    </w:smartTag>
    <w:r w:rsidR="00780795" w:rsidRPr="002E79E4">
      <w:rPr>
        <w:sz w:val="20"/>
      </w:rPr>
      <w:t xml:space="preserve"> (anotācija)</w:t>
    </w:r>
  </w:p>
  <w:p w14:paraId="2E7347CA" w14:textId="77777777" w:rsidR="00D11308" w:rsidRPr="002E79E4" w:rsidRDefault="00D11308" w:rsidP="002E79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2980" w14:textId="77777777" w:rsidR="00D11308" w:rsidRPr="00C33F2C" w:rsidRDefault="00D11308" w:rsidP="00D7256E">
    <w:pPr>
      <w:pStyle w:val="BodyText"/>
      <w:rPr>
        <w:sz w:val="24"/>
        <w:szCs w:val="24"/>
      </w:rPr>
    </w:pPr>
    <w:r>
      <w:rPr>
        <w:sz w:val="24"/>
        <w:szCs w:val="24"/>
      </w:rPr>
      <w:t>EMAnot_010414_groz898</w:t>
    </w:r>
    <w:r w:rsidRPr="00634095">
      <w:rPr>
        <w:sz w:val="24"/>
        <w:szCs w:val="24"/>
      </w:rPr>
      <w:t>; Ministru kabineta noteikumu projekta „</w:t>
    </w:r>
    <w:r w:rsidRPr="0067603D">
      <w:rPr>
        <w:sz w:val="24"/>
        <w:szCs w:val="24"/>
      </w:rPr>
      <w:t xml:space="preserve">Grozījumi Ministru kabineta 2013.gada 24.septembra noteikumos Nr.898 „Noteikumi par apmācību nodrošināšanu saimnieciskās darbības uzsācējiem un personām, kas vēlas uzsākt saimniecisko darbību”” </w:t>
    </w:r>
    <w:r>
      <w:rPr>
        <w:sz w:val="24"/>
        <w:szCs w:val="24"/>
      </w:rPr>
      <w:t xml:space="preserve"> </w:t>
    </w:r>
    <w:r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Pr="00C33F2C">
        <w:rPr>
          <w:sz w:val="24"/>
          <w:szCs w:val="24"/>
        </w:rPr>
        <w:t>ziņojums</w:t>
      </w:r>
    </w:smartTag>
    <w:r w:rsidRPr="00C33F2C">
      <w:rPr>
        <w:sz w:val="24"/>
        <w:szCs w:val="24"/>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E5243" w14:textId="77777777" w:rsidR="00761520" w:rsidRDefault="00761520" w:rsidP="00B014C2">
      <w:r>
        <w:separator/>
      </w:r>
    </w:p>
  </w:footnote>
  <w:footnote w:type="continuationSeparator" w:id="0">
    <w:p w14:paraId="34A987DB" w14:textId="77777777" w:rsidR="00761520" w:rsidRDefault="00761520"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14:paraId="148C2AE2" w14:textId="77777777"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14:paraId="6055D021" w14:textId="77777777" w:rsidR="00511C7D" w:rsidRDefault="0051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14:paraId="0E467610" w14:textId="77777777"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640DBD">
          <w:rPr>
            <w:noProof/>
            <w:sz w:val="24"/>
            <w:szCs w:val="24"/>
          </w:rPr>
          <w:t>2</w:t>
        </w:r>
        <w:r w:rsidRPr="00B014C2">
          <w:rPr>
            <w:sz w:val="24"/>
            <w:szCs w:val="24"/>
          </w:rPr>
          <w:fldChar w:fldCharType="end"/>
        </w:r>
      </w:p>
    </w:sdtContent>
  </w:sdt>
  <w:p w14:paraId="402BEE4C" w14:textId="77777777"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97FC6"/>
    <w:multiLevelType w:val="hybridMultilevel"/>
    <w:tmpl w:val="0EBA3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3E1D35"/>
    <w:multiLevelType w:val="hybridMultilevel"/>
    <w:tmpl w:val="CFE2CF5C"/>
    <w:lvl w:ilvl="0" w:tplc="3A02D1E4">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645A13"/>
    <w:multiLevelType w:val="hybridMultilevel"/>
    <w:tmpl w:val="2FC62BD6"/>
    <w:lvl w:ilvl="0" w:tplc="2248ABF4">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0DD8395C"/>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15523E"/>
    <w:multiLevelType w:val="hybridMultilevel"/>
    <w:tmpl w:val="B9A8EE96"/>
    <w:lvl w:ilvl="0" w:tplc="1E2836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BB90BCF"/>
    <w:multiLevelType w:val="hybridMultilevel"/>
    <w:tmpl w:val="918E56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6">
    <w:nsid w:val="38071391"/>
    <w:multiLevelType w:val="hybridMultilevel"/>
    <w:tmpl w:val="9370A64A"/>
    <w:lvl w:ilvl="0" w:tplc="E7322D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6774206E"/>
    <w:multiLevelType w:val="hybridMultilevel"/>
    <w:tmpl w:val="0EBA3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DEE0E90"/>
    <w:multiLevelType w:val="hybridMultilevel"/>
    <w:tmpl w:val="B4165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25">
    <w:nsid w:val="75162820"/>
    <w:multiLevelType w:val="hybridMultilevel"/>
    <w:tmpl w:val="9EF0C74C"/>
    <w:lvl w:ilvl="0" w:tplc="C4BCEB18">
      <w:start w:val="1"/>
      <w:numFmt w:val="decimal"/>
      <w:lvlText w:val="%1."/>
      <w:lvlJc w:val="left"/>
      <w:pPr>
        <w:ind w:left="696" w:hanging="360"/>
      </w:pPr>
      <w:rPr>
        <w:rFonts w:hint="default"/>
      </w:rPr>
    </w:lvl>
    <w:lvl w:ilvl="1" w:tplc="04260019" w:tentative="1">
      <w:start w:val="1"/>
      <w:numFmt w:val="lowerLetter"/>
      <w:lvlText w:val="%2."/>
      <w:lvlJc w:val="left"/>
      <w:pPr>
        <w:ind w:left="1416" w:hanging="360"/>
      </w:pPr>
    </w:lvl>
    <w:lvl w:ilvl="2" w:tplc="0426001B" w:tentative="1">
      <w:start w:val="1"/>
      <w:numFmt w:val="lowerRoman"/>
      <w:lvlText w:val="%3."/>
      <w:lvlJc w:val="right"/>
      <w:pPr>
        <w:ind w:left="2136" w:hanging="180"/>
      </w:pPr>
    </w:lvl>
    <w:lvl w:ilvl="3" w:tplc="0426000F" w:tentative="1">
      <w:start w:val="1"/>
      <w:numFmt w:val="decimal"/>
      <w:lvlText w:val="%4."/>
      <w:lvlJc w:val="left"/>
      <w:pPr>
        <w:ind w:left="2856" w:hanging="360"/>
      </w:pPr>
    </w:lvl>
    <w:lvl w:ilvl="4" w:tplc="04260019" w:tentative="1">
      <w:start w:val="1"/>
      <w:numFmt w:val="lowerLetter"/>
      <w:lvlText w:val="%5."/>
      <w:lvlJc w:val="left"/>
      <w:pPr>
        <w:ind w:left="3576" w:hanging="360"/>
      </w:pPr>
    </w:lvl>
    <w:lvl w:ilvl="5" w:tplc="0426001B" w:tentative="1">
      <w:start w:val="1"/>
      <w:numFmt w:val="lowerRoman"/>
      <w:lvlText w:val="%6."/>
      <w:lvlJc w:val="right"/>
      <w:pPr>
        <w:ind w:left="4296" w:hanging="180"/>
      </w:pPr>
    </w:lvl>
    <w:lvl w:ilvl="6" w:tplc="0426000F" w:tentative="1">
      <w:start w:val="1"/>
      <w:numFmt w:val="decimal"/>
      <w:lvlText w:val="%7."/>
      <w:lvlJc w:val="left"/>
      <w:pPr>
        <w:ind w:left="5016" w:hanging="360"/>
      </w:pPr>
    </w:lvl>
    <w:lvl w:ilvl="7" w:tplc="04260019" w:tentative="1">
      <w:start w:val="1"/>
      <w:numFmt w:val="lowerLetter"/>
      <w:lvlText w:val="%8."/>
      <w:lvlJc w:val="left"/>
      <w:pPr>
        <w:ind w:left="5736" w:hanging="360"/>
      </w:pPr>
    </w:lvl>
    <w:lvl w:ilvl="8" w:tplc="0426001B" w:tentative="1">
      <w:start w:val="1"/>
      <w:numFmt w:val="lowerRoman"/>
      <w:lvlText w:val="%9."/>
      <w:lvlJc w:val="right"/>
      <w:pPr>
        <w:ind w:left="6456" w:hanging="180"/>
      </w:pPr>
    </w:lvl>
  </w:abstractNum>
  <w:abstractNum w:abstractNumId="26">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7">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4"/>
  </w:num>
  <w:num w:numId="2">
    <w:abstractNumId w:val="12"/>
  </w:num>
  <w:num w:numId="3">
    <w:abstractNumId w:val="19"/>
  </w:num>
  <w:num w:numId="4">
    <w:abstractNumId w:val="7"/>
  </w:num>
  <w:num w:numId="5">
    <w:abstractNumId w:val="4"/>
  </w:num>
  <w:num w:numId="6">
    <w:abstractNumId w:val="17"/>
  </w:num>
  <w:num w:numId="7">
    <w:abstractNumId w:val="27"/>
  </w:num>
  <w:num w:numId="8">
    <w:abstractNumId w:val="11"/>
  </w:num>
  <w:num w:numId="9">
    <w:abstractNumId w:val="18"/>
  </w:num>
  <w:num w:numId="10">
    <w:abstractNumId w:val="22"/>
  </w:num>
  <w:num w:numId="11">
    <w:abstractNumId w:val="9"/>
  </w:num>
  <w:num w:numId="12">
    <w:abstractNumId w:val="14"/>
  </w:num>
  <w:num w:numId="13">
    <w:abstractNumId w:val="26"/>
  </w:num>
  <w:num w:numId="14">
    <w:abstractNumId w:val="8"/>
  </w:num>
  <w:num w:numId="15">
    <w:abstractNumId w:val="10"/>
  </w:num>
  <w:num w:numId="16">
    <w:abstractNumId w:val="15"/>
  </w:num>
  <w:num w:numId="17">
    <w:abstractNumId w:val="0"/>
  </w:num>
  <w:num w:numId="18">
    <w:abstractNumId w:val="5"/>
  </w:num>
  <w:num w:numId="19">
    <w:abstractNumId w:val="20"/>
  </w:num>
  <w:num w:numId="20">
    <w:abstractNumId w:val="1"/>
  </w:num>
  <w:num w:numId="21">
    <w:abstractNumId w:val="23"/>
  </w:num>
  <w:num w:numId="22">
    <w:abstractNumId w:val="21"/>
  </w:num>
  <w:num w:numId="23">
    <w:abstractNumId w:val="6"/>
  </w:num>
  <w:num w:numId="24">
    <w:abstractNumId w:val="16"/>
  </w:num>
  <w:num w:numId="25">
    <w:abstractNumId w:val="2"/>
  </w:num>
  <w:num w:numId="26">
    <w:abstractNumId w:val="13"/>
  </w:num>
  <w:num w:numId="27">
    <w:abstractNumId w:val="25"/>
  </w:num>
  <w:num w:numId="2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a Rogule-Lazdiņa">
    <w15:presenceInfo w15:providerId="AD" w15:userId="S-1-5-21-734147818-1251574435-2103723179-1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24BB"/>
    <w:rsid w:val="00004C45"/>
    <w:rsid w:val="0001186C"/>
    <w:rsid w:val="000120A0"/>
    <w:rsid w:val="00014006"/>
    <w:rsid w:val="0001626D"/>
    <w:rsid w:val="0001764D"/>
    <w:rsid w:val="00020A02"/>
    <w:rsid w:val="000214DF"/>
    <w:rsid w:val="00022D33"/>
    <w:rsid w:val="00026BA7"/>
    <w:rsid w:val="00026C03"/>
    <w:rsid w:val="000275AB"/>
    <w:rsid w:val="0002762A"/>
    <w:rsid w:val="00031099"/>
    <w:rsid w:val="000320DD"/>
    <w:rsid w:val="0003693D"/>
    <w:rsid w:val="00036E03"/>
    <w:rsid w:val="0004167C"/>
    <w:rsid w:val="000421D9"/>
    <w:rsid w:val="000445F3"/>
    <w:rsid w:val="000467E4"/>
    <w:rsid w:val="00047EF5"/>
    <w:rsid w:val="00050184"/>
    <w:rsid w:val="00050EA4"/>
    <w:rsid w:val="00052380"/>
    <w:rsid w:val="000564DA"/>
    <w:rsid w:val="000576D6"/>
    <w:rsid w:val="00060D39"/>
    <w:rsid w:val="000643D5"/>
    <w:rsid w:val="000655FF"/>
    <w:rsid w:val="00070D32"/>
    <w:rsid w:val="00070E7B"/>
    <w:rsid w:val="00071114"/>
    <w:rsid w:val="000729ED"/>
    <w:rsid w:val="00072ECD"/>
    <w:rsid w:val="000743C2"/>
    <w:rsid w:val="00081C1D"/>
    <w:rsid w:val="00081F44"/>
    <w:rsid w:val="000823C6"/>
    <w:rsid w:val="00082F82"/>
    <w:rsid w:val="00083704"/>
    <w:rsid w:val="000847AE"/>
    <w:rsid w:val="0008484B"/>
    <w:rsid w:val="0008486C"/>
    <w:rsid w:val="00086412"/>
    <w:rsid w:val="00087524"/>
    <w:rsid w:val="00090821"/>
    <w:rsid w:val="00091DBA"/>
    <w:rsid w:val="00092473"/>
    <w:rsid w:val="00097583"/>
    <w:rsid w:val="000A164A"/>
    <w:rsid w:val="000A402E"/>
    <w:rsid w:val="000A4AED"/>
    <w:rsid w:val="000A548B"/>
    <w:rsid w:val="000A5FB9"/>
    <w:rsid w:val="000B0719"/>
    <w:rsid w:val="000B08FC"/>
    <w:rsid w:val="000B10BD"/>
    <w:rsid w:val="000B2AE3"/>
    <w:rsid w:val="000B5B6D"/>
    <w:rsid w:val="000D0388"/>
    <w:rsid w:val="000D19C8"/>
    <w:rsid w:val="000D2F05"/>
    <w:rsid w:val="000D4DC9"/>
    <w:rsid w:val="000D6DF2"/>
    <w:rsid w:val="000E2F17"/>
    <w:rsid w:val="000E409F"/>
    <w:rsid w:val="000E4277"/>
    <w:rsid w:val="000E6235"/>
    <w:rsid w:val="000E76F0"/>
    <w:rsid w:val="000F0232"/>
    <w:rsid w:val="000F6C72"/>
    <w:rsid w:val="000F6E9E"/>
    <w:rsid w:val="001000B5"/>
    <w:rsid w:val="001002E4"/>
    <w:rsid w:val="0010079A"/>
    <w:rsid w:val="00102BC5"/>
    <w:rsid w:val="0010385C"/>
    <w:rsid w:val="00103FE1"/>
    <w:rsid w:val="0010410B"/>
    <w:rsid w:val="001047E8"/>
    <w:rsid w:val="00115E25"/>
    <w:rsid w:val="0011777C"/>
    <w:rsid w:val="00120651"/>
    <w:rsid w:val="0012067B"/>
    <w:rsid w:val="00120C26"/>
    <w:rsid w:val="001232D1"/>
    <w:rsid w:val="001254CC"/>
    <w:rsid w:val="001267F1"/>
    <w:rsid w:val="001305B3"/>
    <w:rsid w:val="00130D33"/>
    <w:rsid w:val="00131980"/>
    <w:rsid w:val="00131C62"/>
    <w:rsid w:val="0013499B"/>
    <w:rsid w:val="00134E0F"/>
    <w:rsid w:val="001428EB"/>
    <w:rsid w:val="00142A69"/>
    <w:rsid w:val="00142AC2"/>
    <w:rsid w:val="00142CBB"/>
    <w:rsid w:val="00144D39"/>
    <w:rsid w:val="00153C1A"/>
    <w:rsid w:val="00155953"/>
    <w:rsid w:val="00156DFE"/>
    <w:rsid w:val="001611D0"/>
    <w:rsid w:val="0017312C"/>
    <w:rsid w:val="001733BE"/>
    <w:rsid w:val="0017472D"/>
    <w:rsid w:val="001764E7"/>
    <w:rsid w:val="00181DAD"/>
    <w:rsid w:val="00182537"/>
    <w:rsid w:val="00182AB8"/>
    <w:rsid w:val="00182CC4"/>
    <w:rsid w:val="001831F7"/>
    <w:rsid w:val="00184308"/>
    <w:rsid w:val="00184C02"/>
    <w:rsid w:val="00184E37"/>
    <w:rsid w:val="00186895"/>
    <w:rsid w:val="001871BB"/>
    <w:rsid w:val="00190498"/>
    <w:rsid w:val="00191102"/>
    <w:rsid w:val="00191B2C"/>
    <w:rsid w:val="001947CD"/>
    <w:rsid w:val="00194800"/>
    <w:rsid w:val="001967AC"/>
    <w:rsid w:val="00196D43"/>
    <w:rsid w:val="001971A4"/>
    <w:rsid w:val="001973A7"/>
    <w:rsid w:val="001973E2"/>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979"/>
    <w:rsid w:val="001C6A1F"/>
    <w:rsid w:val="001D02A2"/>
    <w:rsid w:val="001D2EDB"/>
    <w:rsid w:val="001D39D9"/>
    <w:rsid w:val="001D416F"/>
    <w:rsid w:val="001D46D6"/>
    <w:rsid w:val="001D5E9C"/>
    <w:rsid w:val="001D76FC"/>
    <w:rsid w:val="001E1FFC"/>
    <w:rsid w:val="001E3BD0"/>
    <w:rsid w:val="001E5031"/>
    <w:rsid w:val="001E6651"/>
    <w:rsid w:val="001E7BB7"/>
    <w:rsid w:val="001F02C1"/>
    <w:rsid w:val="001F6151"/>
    <w:rsid w:val="001F7527"/>
    <w:rsid w:val="00200612"/>
    <w:rsid w:val="00203A19"/>
    <w:rsid w:val="00205FEE"/>
    <w:rsid w:val="0021241F"/>
    <w:rsid w:val="00213D6A"/>
    <w:rsid w:val="002149CB"/>
    <w:rsid w:val="00216B96"/>
    <w:rsid w:val="00220CC5"/>
    <w:rsid w:val="00221058"/>
    <w:rsid w:val="00221205"/>
    <w:rsid w:val="00221561"/>
    <w:rsid w:val="00221CAE"/>
    <w:rsid w:val="00222A92"/>
    <w:rsid w:val="00224C7C"/>
    <w:rsid w:val="00224CFE"/>
    <w:rsid w:val="00226857"/>
    <w:rsid w:val="0023085A"/>
    <w:rsid w:val="00230FB6"/>
    <w:rsid w:val="00231EB0"/>
    <w:rsid w:val="00233657"/>
    <w:rsid w:val="00233F7A"/>
    <w:rsid w:val="0023462C"/>
    <w:rsid w:val="00234C58"/>
    <w:rsid w:val="00234DDC"/>
    <w:rsid w:val="00235168"/>
    <w:rsid w:val="00236989"/>
    <w:rsid w:val="002428B8"/>
    <w:rsid w:val="0024463B"/>
    <w:rsid w:val="00244B2D"/>
    <w:rsid w:val="0024534B"/>
    <w:rsid w:val="00245D09"/>
    <w:rsid w:val="00247529"/>
    <w:rsid w:val="002507A0"/>
    <w:rsid w:val="002523D8"/>
    <w:rsid w:val="002543B5"/>
    <w:rsid w:val="0025484B"/>
    <w:rsid w:val="00257EAE"/>
    <w:rsid w:val="00261B9F"/>
    <w:rsid w:val="00263722"/>
    <w:rsid w:val="0026446F"/>
    <w:rsid w:val="00265C1B"/>
    <w:rsid w:val="002701D0"/>
    <w:rsid w:val="002702EB"/>
    <w:rsid w:val="00271EC3"/>
    <w:rsid w:val="0027677B"/>
    <w:rsid w:val="00280A6B"/>
    <w:rsid w:val="002828B7"/>
    <w:rsid w:val="00284232"/>
    <w:rsid w:val="00285613"/>
    <w:rsid w:val="00285CAB"/>
    <w:rsid w:val="0028698C"/>
    <w:rsid w:val="00287254"/>
    <w:rsid w:val="00287FF2"/>
    <w:rsid w:val="00290331"/>
    <w:rsid w:val="00292E4C"/>
    <w:rsid w:val="0029306A"/>
    <w:rsid w:val="002954D4"/>
    <w:rsid w:val="00295C0F"/>
    <w:rsid w:val="00296D8B"/>
    <w:rsid w:val="00297E4A"/>
    <w:rsid w:val="002A0052"/>
    <w:rsid w:val="002A0CEE"/>
    <w:rsid w:val="002A2DDB"/>
    <w:rsid w:val="002A680A"/>
    <w:rsid w:val="002B2DC2"/>
    <w:rsid w:val="002B30A6"/>
    <w:rsid w:val="002B34B0"/>
    <w:rsid w:val="002B4D01"/>
    <w:rsid w:val="002B6312"/>
    <w:rsid w:val="002B667D"/>
    <w:rsid w:val="002B768A"/>
    <w:rsid w:val="002C0E0E"/>
    <w:rsid w:val="002C20C8"/>
    <w:rsid w:val="002C4039"/>
    <w:rsid w:val="002D1571"/>
    <w:rsid w:val="002D259E"/>
    <w:rsid w:val="002D3E95"/>
    <w:rsid w:val="002D43D4"/>
    <w:rsid w:val="002D7C26"/>
    <w:rsid w:val="002E1D56"/>
    <w:rsid w:val="002E1E4D"/>
    <w:rsid w:val="002E3CFA"/>
    <w:rsid w:val="002E3E83"/>
    <w:rsid w:val="002E6122"/>
    <w:rsid w:val="002E7059"/>
    <w:rsid w:val="002E7530"/>
    <w:rsid w:val="002E7962"/>
    <w:rsid w:val="002E79E4"/>
    <w:rsid w:val="002E7BEF"/>
    <w:rsid w:val="002F063C"/>
    <w:rsid w:val="002F423D"/>
    <w:rsid w:val="002F4553"/>
    <w:rsid w:val="002F5BA4"/>
    <w:rsid w:val="002F6D2C"/>
    <w:rsid w:val="003000F0"/>
    <w:rsid w:val="003073FE"/>
    <w:rsid w:val="00311205"/>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771"/>
    <w:rsid w:val="00344B27"/>
    <w:rsid w:val="0034724B"/>
    <w:rsid w:val="0034794E"/>
    <w:rsid w:val="003479DF"/>
    <w:rsid w:val="00356364"/>
    <w:rsid w:val="0035647E"/>
    <w:rsid w:val="00356CDF"/>
    <w:rsid w:val="00357B86"/>
    <w:rsid w:val="00360437"/>
    <w:rsid w:val="00360962"/>
    <w:rsid w:val="003611ED"/>
    <w:rsid w:val="00361DA6"/>
    <w:rsid w:val="0036246C"/>
    <w:rsid w:val="003624CD"/>
    <w:rsid w:val="00362D30"/>
    <w:rsid w:val="00367B30"/>
    <w:rsid w:val="003707C8"/>
    <w:rsid w:val="0037466C"/>
    <w:rsid w:val="00376A40"/>
    <w:rsid w:val="00380F87"/>
    <w:rsid w:val="00382BA7"/>
    <w:rsid w:val="00383500"/>
    <w:rsid w:val="00384799"/>
    <w:rsid w:val="00385DB0"/>
    <w:rsid w:val="00386053"/>
    <w:rsid w:val="00391942"/>
    <w:rsid w:val="00395628"/>
    <w:rsid w:val="00396D2E"/>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25AF"/>
    <w:rsid w:val="003D342E"/>
    <w:rsid w:val="003D3A14"/>
    <w:rsid w:val="003D47EF"/>
    <w:rsid w:val="003E0167"/>
    <w:rsid w:val="003E0BD3"/>
    <w:rsid w:val="003E284A"/>
    <w:rsid w:val="003E2968"/>
    <w:rsid w:val="003E3604"/>
    <w:rsid w:val="003E662A"/>
    <w:rsid w:val="003E6CB3"/>
    <w:rsid w:val="003E7A45"/>
    <w:rsid w:val="003F0C4F"/>
    <w:rsid w:val="003F17ED"/>
    <w:rsid w:val="003F4E09"/>
    <w:rsid w:val="00401C5F"/>
    <w:rsid w:val="00402B2B"/>
    <w:rsid w:val="00404C10"/>
    <w:rsid w:val="00404D4B"/>
    <w:rsid w:val="00406C83"/>
    <w:rsid w:val="004074FD"/>
    <w:rsid w:val="00410EC7"/>
    <w:rsid w:val="00410FEE"/>
    <w:rsid w:val="00414CC7"/>
    <w:rsid w:val="00415C03"/>
    <w:rsid w:val="00416C3A"/>
    <w:rsid w:val="00420FC8"/>
    <w:rsid w:val="0042129F"/>
    <w:rsid w:val="0042154E"/>
    <w:rsid w:val="00421B4E"/>
    <w:rsid w:val="004232D7"/>
    <w:rsid w:val="0042395B"/>
    <w:rsid w:val="0042472B"/>
    <w:rsid w:val="004271C8"/>
    <w:rsid w:val="00431CB5"/>
    <w:rsid w:val="00434ACC"/>
    <w:rsid w:val="00435CDA"/>
    <w:rsid w:val="00436083"/>
    <w:rsid w:val="00436E46"/>
    <w:rsid w:val="00436E6A"/>
    <w:rsid w:val="004413C4"/>
    <w:rsid w:val="00441A71"/>
    <w:rsid w:val="00441C3F"/>
    <w:rsid w:val="004426FC"/>
    <w:rsid w:val="00442884"/>
    <w:rsid w:val="00443B04"/>
    <w:rsid w:val="004450A5"/>
    <w:rsid w:val="0044567A"/>
    <w:rsid w:val="004465FC"/>
    <w:rsid w:val="004522D7"/>
    <w:rsid w:val="004527EA"/>
    <w:rsid w:val="004560FA"/>
    <w:rsid w:val="00457B62"/>
    <w:rsid w:val="00457CC8"/>
    <w:rsid w:val="00460A29"/>
    <w:rsid w:val="00467CF7"/>
    <w:rsid w:val="00472EF3"/>
    <w:rsid w:val="00475A76"/>
    <w:rsid w:val="004775F4"/>
    <w:rsid w:val="00480261"/>
    <w:rsid w:val="00484C10"/>
    <w:rsid w:val="00485E0B"/>
    <w:rsid w:val="00486BD6"/>
    <w:rsid w:val="00487753"/>
    <w:rsid w:val="0049013B"/>
    <w:rsid w:val="00491F0A"/>
    <w:rsid w:val="004960FB"/>
    <w:rsid w:val="00497086"/>
    <w:rsid w:val="004A22E5"/>
    <w:rsid w:val="004A554F"/>
    <w:rsid w:val="004A627A"/>
    <w:rsid w:val="004B18A4"/>
    <w:rsid w:val="004B1FE7"/>
    <w:rsid w:val="004B3D19"/>
    <w:rsid w:val="004B77C0"/>
    <w:rsid w:val="004C1463"/>
    <w:rsid w:val="004C24A4"/>
    <w:rsid w:val="004C342A"/>
    <w:rsid w:val="004C4D97"/>
    <w:rsid w:val="004D4997"/>
    <w:rsid w:val="004D54CD"/>
    <w:rsid w:val="004D65B3"/>
    <w:rsid w:val="004D6EF0"/>
    <w:rsid w:val="004D790D"/>
    <w:rsid w:val="004E01F5"/>
    <w:rsid w:val="004E0AC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1C7D"/>
    <w:rsid w:val="0051358D"/>
    <w:rsid w:val="00513AF6"/>
    <w:rsid w:val="00517C20"/>
    <w:rsid w:val="00522B62"/>
    <w:rsid w:val="00524D01"/>
    <w:rsid w:val="005254AB"/>
    <w:rsid w:val="00530C47"/>
    <w:rsid w:val="00531687"/>
    <w:rsid w:val="00532532"/>
    <w:rsid w:val="00532EE4"/>
    <w:rsid w:val="00532FEB"/>
    <w:rsid w:val="00534386"/>
    <w:rsid w:val="00534934"/>
    <w:rsid w:val="00537A29"/>
    <w:rsid w:val="005422C3"/>
    <w:rsid w:val="00542739"/>
    <w:rsid w:val="00542F49"/>
    <w:rsid w:val="00543052"/>
    <w:rsid w:val="00546599"/>
    <w:rsid w:val="00546E77"/>
    <w:rsid w:val="00554774"/>
    <w:rsid w:val="00554A7A"/>
    <w:rsid w:val="0055584C"/>
    <w:rsid w:val="0055667F"/>
    <w:rsid w:val="005631C8"/>
    <w:rsid w:val="0056506A"/>
    <w:rsid w:val="005663B6"/>
    <w:rsid w:val="0056730C"/>
    <w:rsid w:val="0056795E"/>
    <w:rsid w:val="00570B3E"/>
    <w:rsid w:val="005747E7"/>
    <w:rsid w:val="0057501D"/>
    <w:rsid w:val="00576AEE"/>
    <w:rsid w:val="00576D8A"/>
    <w:rsid w:val="00577C17"/>
    <w:rsid w:val="00580317"/>
    <w:rsid w:val="0058086F"/>
    <w:rsid w:val="0058249F"/>
    <w:rsid w:val="00584F2E"/>
    <w:rsid w:val="00585145"/>
    <w:rsid w:val="0058679B"/>
    <w:rsid w:val="005877DA"/>
    <w:rsid w:val="00593CA6"/>
    <w:rsid w:val="0059700D"/>
    <w:rsid w:val="00597137"/>
    <w:rsid w:val="00597231"/>
    <w:rsid w:val="005A1A83"/>
    <w:rsid w:val="005A1D6F"/>
    <w:rsid w:val="005A2A2D"/>
    <w:rsid w:val="005A37FF"/>
    <w:rsid w:val="005A394F"/>
    <w:rsid w:val="005A6E2E"/>
    <w:rsid w:val="005B2654"/>
    <w:rsid w:val="005B29DE"/>
    <w:rsid w:val="005B4307"/>
    <w:rsid w:val="005B7CB3"/>
    <w:rsid w:val="005C028B"/>
    <w:rsid w:val="005C251D"/>
    <w:rsid w:val="005C4E19"/>
    <w:rsid w:val="005C6DDB"/>
    <w:rsid w:val="005D1220"/>
    <w:rsid w:val="005D3658"/>
    <w:rsid w:val="005D4522"/>
    <w:rsid w:val="005D6171"/>
    <w:rsid w:val="005E14C1"/>
    <w:rsid w:val="005E3172"/>
    <w:rsid w:val="005E4730"/>
    <w:rsid w:val="005E713D"/>
    <w:rsid w:val="005F09EC"/>
    <w:rsid w:val="005F3202"/>
    <w:rsid w:val="006042B0"/>
    <w:rsid w:val="00607722"/>
    <w:rsid w:val="00610DDF"/>
    <w:rsid w:val="00614602"/>
    <w:rsid w:val="006218A6"/>
    <w:rsid w:val="0062592A"/>
    <w:rsid w:val="00625D54"/>
    <w:rsid w:val="00626F78"/>
    <w:rsid w:val="00630367"/>
    <w:rsid w:val="006309F5"/>
    <w:rsid w:val="00630BAA"/>
    <w:rsid w:val="00631039"/>
    <w:rsid w:val="00631F4B"/>
    <w:rsid w:val="00634095"/>
    <w:rsid w:val="00634C36"/>
    <w:rsid w:val="00636440"/>
    <w:rsid w:val="00640DBD"/>
    <w:rsid w:val="00641379"/>
    <w:rsid w:val="00643B54"/>
    <w:rsid w:val="006456BB"/>
    <w:rsid w:val="00647402"/>
    <w:rsid w:val="0064763F"/>
    <w:rsid w:val="00650716"/>
    <w:rsid w:val="006512F4"/>
    <w:rsid w:val="00651669"/>
    <w:rsid w:val="006543B3"/>
    <w:rsid w:val="00654C63"/>
    <w:rsid w:val="00655415"/>
    <w:rsid w:val="00663763"/>
    <w:rsid w:val="00664C33"/>
    <w:rsid w:val="00665020"/>
    <w:rsid w:val="00667BAB"/>
    <w:rsid w:val="006711E1"/>
    <w:rsid w:val="006722B5"/>
    <w:rsid w:val="00672A2F"/>
    <w:rsid w:val="00673175"/>
    <w:rsid w:val="00674316"/>
    <w:rsid w:val="00674BA7"/>
    <w:rsid w:val="00676770"/>
    <w:rsid w:val="006802BE"/>
    <w:rsid w:val="0068051B"/>
    <w:rsid w:val="00681496"/>
    <w:rsid w:val="006817FB"/>
    <w:rsid w:val="00682B64"/>
    <w:rsid w:val="0068409B"/>
    <w:rsid w:val="00684EA2"/>
    <w:rsid w:val="006910BE"/>
    <w:rsid w:val="006A3A28"/>
    <w:rsid w:val="006A668E"/>
    <w:rsid w:val="006A6AD4"/>
    <w:rsid w:val="006A7488"/>
    <w:rsid w:val="006A7638"/>
    <w:rsid w:val="006B0E03"/>
    <w:rsid w:val="006B2B3F"/>
    <w:rsid w:val="006B4EF3"/>
    <w:rsid w:val="006C114F"/>
    <w:rsid w:val="006C15FA"/>
    <w:rsid w:val="006D0B9B"/>
    <w:rsid w:val="006D1F62"/>
    <w:rsid w:val="006D23AE"/>
    <w:rsid w:val="006D30BF"/>
    <w:rsid w:val="006D662F"/>
    <w:rsid w:val="006D69A4"/>
    <w:rsid w:val="006E07AC"/>
    <w:rsid w:val="006E09B6"/>
    <w:rsid w:val="006E0ECB"/>
    <w:rsid w:val="006E1F97"/>
    <w:rsid w:val="006E3949"/>
    <w:rsid w:val="006E5056"/>
    <w:rsid w:val="006F02CA"/>
    <w:rsid w:val="006F0C19"/>
    <w:rsid w:val="006F24A8"/>
    <w:rsid w:val="006F56C1"/>
    <w:rsid w:val="0070210C"/>
    <w:rsid w:val="007049BD"/>
    <w:rsid w:val="007058E9"/>
    <w:rsid w:val="0070678E"/>
    <w:rsid w:val="00706EC2"/>
    <w:rsid w:val="00716874"/>
    <w:rsid w:val="00720EE5"/>
    <w:rsid w:val="007217E4"/>
    <w:rsid w:val="00721D6C"/>
    <w:rsid w:val="00721E50"/>
    <w:rsid w:val="007222B2"/>
    <w:rsid w:val="00725107"/>
    <w:rsid w:val="00725B16"/>
    <w:rsid w:val="007278CF"/>
    <w:rsid w:val="007308B8"/>
    <w:rsid w:val="00732C19"/>
    <w:rsid w:val="00732F77"/>
    <w:rsid w:val="007363F2"/>
    <w:rsid w:val="00737AB8"/>
    <w:rsid w:val="00742BAF"/>
    <w:rsid w:val="00743E33"/>
    <w:rsid w:val="00744513"/>
    <w:rsid w:val="0075648C"/>
    <w:rsid w:val="00760AEB"/>
    <w:rsid w:val="00761520"/>
    <w:rsid w:val="00763941"/>
    <w:rsid w:val="00767185"/>
    <w:rsid w:val="00767E0F"/>
    <w:rsid w:val="007715A2"/>
    <w:rsid w:val="00771E40"/>
    <w:rsid w:val="0077435A"/>
    <w:rsid w:val="00780795"/>
    <w:rsid w:val="0078115C"/>
    <w:rsid w:val="00781C31"/>
    <w:rsid w:val="00790E90"/>
    <w:rsid w:val="00791433"/>
    <w:rsid w:val="007918C0"/>
    <w:rsid w:val="00793496"/>
    <w:rsid w:val="00793A6B"/>
    <w:rsid w:val="00793F04"/>
    <w:rsid w:val="00794360"/>
    <w:rsid w:val="00794B98"/>
    <w:rsid w:val="00797D6F"/>
    <w:rsid w:val="007A0D95"/>
    <w:rsid w:val="007A14D0"/>
    <w:rsid w:val="007A2498"/>
    <w:rsid w:val="007B0767"/>
    <w:rsid w:val="007B2F77"/>
    <w:rsid w:val="007B461A"/>
    <w:rsid w:val="007C1582"/>
    <w:rsid w:val="007C2960"/>
    <w:rsid w:val="007C2992"/>
    <w:rsid w:val="007C3153"/>
    <w:rsid w:val="007C41A2"/>
    <w:rsid w:val="007C62F5"/>
    <w:rsid w:val="007C7357"/>
    <w:rsid w:val="007C7B92"/>
    <w:rsid w:val="007D054D"/>
    <w:rsid w:val="007D0820"/>
    <w:rsid w:val="007D14B7"/>
    <w:rsid w:val="007D45FD"/>
    <w:rsid w:val="007D5444"/>
    <w:rsid w:val="007D6721"/>
    <w:rsid w:val="007D6900"/>
    <w:rsid w:val="007D7A8A"/>
    <w:rsid w:val="007E0403"/>
    <w:rsid w:val="007E0A01"/>
    <w:rsid w:val="007E1DC0"/>
    <w:rsid w:val="007E63F8"/>
    <w:rsid w:val="007E7623"/>
    <w:rsid w:val="007F0242"/>
    <w:rsid w:val="007F0C15"/>
    <w:rsid w:val="007F4141"/>
    <w:rsid w:val="00810BB4"/>
    <w:rsid w:val="00812990"/>
    <w:rsid w:val="00814A5E"/>
    <w:rsid w:val="00814B24"/>
    <w:rsid w:val="0081539E"/>
    <w:rsid w:val="00815A67"/>
    <w:rsid w:val="00815CC0"/>
    <w:rsid w:val="00816B98"/>
    <w:rsid w:val="008173C3"/>
    <w:rsid w:val="00817839"/>
    <w:rsid w:val="00823419"/>
    <w:rsid w:val="00823C4F"/>
    <w:rsid w:val="0082492B"/>
    <w:rsid w:val="008253A7"/>
    <w:rsid w:val="008265EF"/>
    <w:rsid w:val="00827407"/>
    <w:rsid w:val="008356E6"/>
    <w:rsid w:val="00836318"/>
    <w:rsid w:val="00837E38"/>
    <w:rsid w:val="00840961"/>
    <w:rsid w:val="008444BD"/>
    <w:rsid w:val="00844DC6"/>
    <w:rsid w:val="00851D2A"/>
    <w:rsid w:val="0085210B"/>
    <w:rsid w:val="008535B7"/>
    <w:rsid w:val="00855B83"/>
    <w:rsid w:val="00860387"/>
    <w:rsid w:val="00861F33"/>
    <w:rsid w:val="008620C5"/>
    <w:rsid w:val="00864EFE"/>
    <w:rsid w:val="008657D2"/>
    <w:rsid w:val="00866076"/>
    <w:rsid w:val="00873C6E"/>
    <w:rsid w:val="00874C25"/>
    <w:rsid w:val="00876264"/>
    <w:rsid w:val="0087682B"/>
    <w:rsid w:val="00877F72"/>
    <w:rsid w:val="00877FED"/>
    <w:rsid w:val="008806A7"/>
    <w:rsid w:val="00880F80"/>
    <w:rsid w:val="008822A5"/>
    <w:rsid w:val="008833AC"/>
    <w:rsid w:val="0088512F"/>
    <w:rsid w:val="00885C85"/>
    <w:rsid w:val="00890272"/>
    <w:rsid w:val="008906DC"/>
    <w:rsid w:val="00890CFA"/>
    <w:rsid w:val="00891DAA"/>
    <w:rsid w:val="00891EFC"/>
    <w:rsid w:val="0089600F"/>
    <w:rsid w:val="0089622A"/>
    <w:rsid w:val="00897C16"/>
    <w:rsid w:val="008A4831"/>
    <w:rsid w:val="008A492C"/>
    <w:rsid w:val="008A4B38"/>
    <w:rsid w:val="008A4C41"/>
    <w:rsid w:val="008A515D"/>
    <w:rsid w:val="008A615D"/>
    <w:rsid w:val="008A6918"/>
    <w:rsid w:val="008A69DC"/>
    <w:rsid w:val="008B3A38"/>
    <w:rsid w:val="008B46BA"/>
    <w:rsid w:val="008B4856"/>
    <w:rsid w:val="008B7C3D"/>
    <w:rsid w:val="008C2886"/>
    <w:rsid w:val="008C5FD9"/>
    <w:rsid w:val="008D1537"/>
    <w:rsid w:val="008D17E5"/>
    <w:rsid w:val="008D31C7"/>
    <w:rsid w:val="008D6725"/>
    <w:rsid w:val="008D78FF"/>
    <w:rsid w:val="008E476F"/>
    <w:rsid w:val="008E54FE"/>
    <w:rsid w:val="008E5F7D"/>
    <w:rsid w:val="008E6217"/>
    <w:rsid w:val="008F48C1"/>
    <w:rsid w:val="008F4C9D"/>
    <w:rsid w:val="008F5394"/>
    <w:rsid w:val="008F636C"/>
    <w:rsid w:val="008F6397"/>
    <w:rsid w:val="0090048A"/>
    <w:rsid w:val="00901246"/>
    <w:rsid w:val="009032B4"/>
    <w:rsid w:val="00903D32"/>
    <w:rsid w:val="009041C1"/>
    <w:rsid w:val="0090449A"/>
    <w:rsid w:val="00904A06"/>
    <w:rsid w:val="0090536A"/>
    <w:rsid w:val="00911CC8"/>
    <w:rsid w:val="00911D0C"/>
    <w:rsid w:val="00914CB3"/>
    <w:rsid w:val="00916328"/>
    <w:rsid w:val="00917324"/>
    <w:rsid w:val="00920CC5"/>
    <w:rsid w:val="009223CF"/>
    <w:rsid w:val="009223E3"/>
    <w:rsid w:val="00923693"/>
    <w:rsid w:val="0092468A"/>
    <w:rsid w:val="009260C5"/>
    <w:rsid w:val="00930623"/>
    <w:rsid w:val="00930CFF"/>
    <w:rsid w:val="00932B78"/>
    <w:rsid w:val="00933744"/>
    <w:rsid w:val="0094012A"/>
    <w:rsid w:val="00940388"/>
    <w:rsid w:val="009429B7"/>
    <w:rsid w:val="00944903"/>
    <w:rsid w:val="009450CF"/>
    <w:rsid w:val="00945AEE"/>
    <w:rsid w:val="0094634F"/>
    <w:rsid w:val="0094732D"/>
    <w:rsid w:val="00947CF8"/>
    <w:rsid w:val="009520C3"/>
    <w:rsid w:val="00955C80"/>
    <w:rsid w:val="0095680E"/>
    <w:rsid w:val="0095696B"/>
    <w:rsid w:val="00962693"/>
    <w:rsid w:val="00962CEA"/>
    <w:rsid w:val="00963B68"/>
    <w:rsid w:val="00971B45"/>
    <w:rsid w:val="00972275"/>
    <w:rsid w:val="00977A1D"/>
    <w:rsid w:val="0098275B"/>
    <w:rsid w:val="0098472B"/>
    <w:rsid w:val="009906DC"/>
    <w:rsid w:val="0099344A"/>
    <w:rsid w:val="00994A10"/>
    <w:rsid w:val="00995388"/>
    <w:rsid w:val="00996AE1"/>
    <w:rsid w:val="00996D7F"/>
    <w:rsid w:val="009A164D"/>
    <w:rsid w:val="009A19C7"/>
    <w:rsid w:val="009A1FE8"/>
    <w:rsid w:val="009A38AD"/>
    <w:rsid w:val="009A4558"/>
    <w:rsid w:val="009A6C4D"/>
    <w:rsid w:val="009A712C"/>
    <w:rsid w:val="009B0538"/>
    <w:rsid w:val="009B0DB2"/>
    <w:rsid w:val="009B2F66"/>
    <w:rsid w:val="009C1ADF"/>
    <w:rsid w:val="009C2CF9"/>
    <w:rsid w:val="009C42CF"/>
    <w:rsid w:val="009C5919"/>
    <w:rsid w:val="009C6996"/>
    <w:rsid w:val="009C7064"/>
    <w:rsid w:val="009C7B1F"/>
    <w:rsid w:val="009D00E3"/>
    <w:rsid w:val="009D0535"/>
    <w:rsid w:val="009D08E0"/>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156"/>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478E"/>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2026"/>
    <w:rsid w:val="00A8368A"/>
    <w:rsid w:val="00A83F48"/>
    <w:rsid w:val="00A85C97"/>
    <w:rsid w:val="00A87BE9"/>
    <w:rsid w:val="00A9241A"/>
    <w:rsid w:val="00A957B5"/>
    <w:rsid w:val="00A95893"/>
    <w:rsid w:val="00A963C3"/>
    <w:rsid w:val="00A96F94"/>
    <w:rsid w:val="00AA127F"/>
    <w:rsid w:val="00AA230A"/>
    <w:rsid w:val="00AA52FB"/>
    <w:rsid w:val="00AA5C4F"/>
    <w:rsid w:val="00AA60E9"/>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2D68"/>
    <w:rsid w:val="00AE3351"/>
    <w:rsid w:val="00AE4EB6"/>
    <w:rsid w:val="00AE51EC"/>
    <w:rsid w:val="00AE6E0C"/>
    <w:rsid w:val="00AF1CE0"/>
    <w:rsid w:val="00AF1E99"/>
    <w:rsid w:val="00AF1FF8"/>
    <w:rsid w:val="00AF4719"/>
    <w:rsid w:val="00AF6A6E"/>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540F2"/>
    <w:rsid w:val="00B54FB9"/>
    <w:rsid w:val="00B5655C"/>
    <w:rsid w:val="00B56EB8"/>
    <w:rsid w:val="00B57637"/>
    <w:rsid w:val="00B60083"/>
    <w:rsid w:val="00B60EEC"/>
    <w:rsid w:val="00B6151B"/>
    <w:rsid w:val="00B6155C"/>
    <w:rsid w:val="00B6163A"/>
    <w:rsid w:val="00B62197"/>
    <w:rsid w:val="00B63BE0"/>
    <w:rsid w:val="00B6474E"/>
    <w:rsid w:val="00B65CFA"/>
    <w:rsid w:val="00B70F42"/>
    <w:rsid w:val="00B74BCA"/>
    <w:rsid w:val="00B756EA"/>
    <w:rsid w:val="00B75B65"/>
    <w:rsid w:val="00B76CA3"/>
    <w:rsid w:val="00B7774A"/>
    <w:rsid w:val="00B8141A"/>
    <w:rsid w:val="00B81E82"/>
    <w:rsid w:val="00B820E5"/>
    <w:rsid w:val="00B82499"/>
    <w:rsid w:val="00B84C4B"/>
    <w:rsid w:val="00B85C22"/>
    <w:rsid w:val="00B866E5"/>
    <w:rsid w:val="00B91EA5"/>
    <w:rsid w:val="00B931D1"/>
    <w:rsid w:val="00B943B1"/>
    <w:rsid w:val="00BA0A22"/>
    <w:rsid w:val="00BA14F4"/>
    <w:rsid w:val="00BA250D"/>
    <w:rsid w:val="00BA2E9B"/>
    <w:rsid w:val="00BA7189"/>
    <w:rsid w:val="00BB09C5"/>
    <w:rsid w:val="00BB1C9B"/>
    <w:rsid w:val="00BB2330"/>
    <w:rsid w:val="00BB4180"/>
    <w:rsid w:val="00BB643A"/>
    <w:rsid w:val="00BB6E67"/>
    <w:rsid w:val="00BB7960"/>
    <w:rsid w:val="00BB7E9B"/>
    <w:rsid w:val="00BC06E8"/>
    <w:rsid w:val="00BC13F4"/>
    <w:rsid w:val="00BC4144"/>
    <w:rsid w:val="00BC4472"/>
    <w:rsid w:val="00BC4DCE"/>
    <w:rsid w:val="00BC51A3"/>
    <w:rsid w:val="00BC66EB"/>
    <w:rsid w:val="00BC7F95"/>
    <w:rsid w:val="00BD1934"/>
    <w:rsid w:val="00BD1A48"/>
    <w:rsid w:val="00BD292F"/>
    <w:rsid w:val="00BD30DF"/>
    <w:rsid w:val="00BD4752"/>
    <w:rsid w:val="00BD63E9"/>
    <w:rsid w:val="00BE0EC8"/>
    <w:rsid w:val="00BE4892"/>
    <w:rsid w:val="00BE649D"/>
    <w:rsid w:val="00BE6E9C"/>
    <w:rsid w:val="00BE7A86"/>
    <w:rsid w:val="00BF13E2"/>
    <w:rsid w:val="00BF249C"/>
    <w:rsid w:val="00BF2F17"/>
    <w:rsid w:val="00BF4361"/>
    <w:rsid w:val="00BF6568"/>
    <w:rsid w:val="00C02217"/>
    <w:rsid w:val="00C044F2"/>
    <w:rsid w:val="00C10BF7"/>
    <w:rsid w:val="00C11C6A"/>
    <w:rsid w:val="00C16A63"/>
    <w:rsid w:val="00C16F7D"/>
    <w:rsid w:val="00C1739F"/>
    <w:rsid w:val="00C20A0F"/>
    <w:rsid w:val="00C20EF9"/>
    <w:rsid w:val="00C21A1E"/>
    <w:rsid w:val="00C24F0A"/>
    <w:rsid w:val="00C25337"/>
    <w:rsid w:val="00C269E2"/>
    <w:rsid w:val="00C307D2"/>
    <w:rsid w:val="00C31A26"/>
    <w:rsid w:val="00C327A5"/>
    <w:rsid w:val="00C32F05"/>
    <w:rsid w:val="00C33F2C"/>
    <w:rsid w:val="00C34377"/>
    <w:rsid w:val="00C34941"/>
    <w:rsid w:val="00C37B14"/>
    <w:rsid w:val="00C37C59"/>
    <w:rsid w:val="00C40FDA"/>
    <w:rsid w:val="00C42A1F"/>
    <w:rsid w:val="00C44943"/>
    <w:rsid w:val="00C44C95"/>
    <w:rsid w:val="00C4549D"/>
    <w:rsid w:val="00C45812"/>
    <w:rsid w:val="00C45AB4"/>
    <w:rsid w:val="00C45E58"/>
    <w:rsid w:val="00C5082A"/>
    <w:rsid w:val="00C50C96"/>
    <w:rsid w:val="00C52C5E"/>
    <w:rsid w:val="00C5549D"/>
    <w:rsid w:val="00C5645A"/>
    <w:rsid w:val="00C61BDC"/>
    <w:rsid w:val="00C61FF9"/>
    <w:rsid w:val="00C627A2"/>
    <w:rsid w:val="00C65525"/>
    <w:rsid w:val="00C6637E"/>
    <w:rsid w:val="00C7152A"/>
    <w:rsid w:val="00C7219B"/>
    <w:rsid w:val="00C7286B"/>
    <w:rsid w:val="00C728A7"/>
    <w:rsid w:val="00C7500F"/>
    <w:rsid w:val="00C751EA"/>
    <w:rsid w:val="00C75A4F"/>
    <w:rsid w:val="00C772EA"/>
    <w:rsid w:val="00C81A83"/>
    <w:rsid w:val="00C8212B"/>
    <w:rsid w:val="00C83591"/>
    <w:rsid w:val="00C83878"/>
    <w:rsid w:val="00C84027"/>
    <w:rsid w:val="00C85068"/>
    <w:rsid w:val="00C86127"/>
    <w:rsid w:val="00C87711"/>
    <w:rsid w:val="00C8799F"/>
    <w:rsid w:val="00C87B1B"/>
    <w:rsid w:val="00C906FA"/>
    <w:rsid w:val="00C9173E"/>
    <w:rsid w:val="00C93C55"/>
    <w:rsid w:val="00C95CFC"/>
    <w:rsid w:val="00C96D8D"/>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4742"/>
    <w:rsid w:val="00CB5D7B"/>
    <w:rsid w:val="00CB6882"/>
    <w:rsid w:val="00CB7A76"/>
    <w:rsid w:val="00CC1D5A"/>
    <w:rsid w:val="00CC2408"/>
    <w:rsid w:val="00CC4F60"/>
    <w:rsid w:val="00CC76C2"/>
    <w:rsid w:val="00CD06BA"/>
    <w:rsid w:val="00CD4012"/>
    <w:rsid w:val="00CD40FD"/>
    <w:rsid w:val="00CD4E1C"/>
    <w:rsid w:val="00CD7D98"/>
    <w:rsid w:val="00CE09F6"/>
    <w:rsid w:val="00CE128B"/>
    <w:rsid w:val="00CE3F92"/>
    <w:rsid w:val="00CE46A5"/>
    <w:rsid w:val="00CE46D6"/>
    <w:rsid w:val="00CF0131"/>
    <w:rsid w:val="00CF05DA"/>
    <w:rsid w:val="00CF370C"/>
    <w:rsid w:val="00CF4D9E"/>
    <w:rsid w:val="00CF4E8A"/>
    <w:rsid w:val="00CF50F6"/>
    <w:rsid w:val="00CF5C7C"/>
    <w:rsid w:val="00CF6449"/>
    <w:rsid w:val="00D0079F"/>
    <w:rsid w:val="00D03BE9"/>
    <w:rsid w:val="00D10BCE"/>
    <w:rsid w:val="00D11308"/>
    <w:rsid w:val="00D11E93"/>
    <w:rsid w:val="00D121B0"/>
    <w:rsid w:val="00D12D69"/>
    <w:rsid w:val="00D12F6E"/>
    <w:rsid w:val="00D1339D"/>
    <w:rsid w:val="00D215C9"/>
    <w:rsid w:val="00D23D51"/>
    <w:rsid w:val="00D23E53"/>
    <w:rsid w:val="00D24EDC"/>
    <w:rsid w:val="00D277E5"/>
    <w:rsid w:val="00D315BC"/>
    <w:rsid w:val="00D31657"/>
    <w:rsid w:val="00D31FAE"/>
    <w:rsid w:val="00D419F1"/>
    <w:rsid w:val="00D460F1"/>
    <w:rsid w:val="00D474E8"/>
    <w:rsid w:val="00D478F2"/>
    <w:rsid w:val="00D50452"/>
    <w:rsid w:val="00D513B0"/>
    <w:rsid w:val="00D52CF4"/>
    <w:rsid w:val="00D56DA8"/>
    <w:rsid w:val="00D62CCB"/>
    <w:rsid w:val="00D63783"/>
    <w:rsid w:val="00D6488D"/>
    <w:rsid w:val="00D71175"/>
    <w:rsid w:val="00D7155A"/>
    <w:rsid w:val="00D71706"/>
    <w:rsid w:val="00D7256E"/>
    <w:rsid w:val="00D72F3D"/>
    <w:rsid w:val="00D74282"/>
    <w:rsid w:val="00D8286C"/>
    <w:rsid w:val="00D83021"/>
    <w:rsid w:val="00D84ED2"/>
    <w:rsid w:val="00D92BBA"/>
    <w:rsid w:val="00D94B9B"/>
    <w:rsid w:val="00D94F4A"/>
    <w:rsid w:val="00DA0A55"/>
    <w:rsid w:val="00DA14FF"/>
    <w:rsid w:val="00DA33A5"/>
    <w:rsid w:val="00DA3D82"/>
    <w:rsid w:val="00DA3EB7"/>
    <w:rsid w:val="00DA4F89"/>
    <w:rsid w:val="00DA5256"/>
    <w:rsid w:val="00DA61A3"/>
    <w:rsid w:val="00DA6973"/>
    <w:rsid w:val="00DA775F"/>
    <w:rsid w:val="00DB03F3"/>
    <w:rsid w:val="00DB0477"/>
    <w:rsid w:val="00DB1642"/>
    <w:rsid w:val="00DB184B"/>
    <w:rsid w:val="00DB28DC"/>
    <w:rsid w:val="00DB35ED"/>
    <w:rsid w:val="00DB7168"/>
    <w:rsid w:val="00DC0A98"/>
    <w:rsid w:val="00DC1068"/>
    <w:rsid w:val="00DC2009"/>
    <w:rsid w:val="00DC27BB"/>
    <w:rsid w:val="00DC2AFF"/>
    <w:rsid w:val="00DC614F"/>
    <w:rsid w:val="00DC6979"/>
    <w:rsid w:val="00DC7ACA"/>
    <w:rsid w:val="00DD0266"/>
    <w:rsid w:val="00DD21C0"/>
    <w:rsid w:val="00DD36F5"/>
    <w:rsid w:val="00DD3D24"/>
    <w:rsid w:val="00DD42C2"/>
    <w:rsid w:val="00DD5665"/>
    <w:rsid w:val="00DD7750"/>
    <w:rsid w:val="00DE01CE"/>
    <w:rsid w:val="00DE0762"/>
    <w:rsid w:val="00DE2DA4"/>
    <w:rsid w:val="00DE67FC"/>
    <w:rsid w:val="00DF00C1"/>
    <w:rsid w:val="00DF05BB"/>
    <w:rsid w:val="00DF0637"/>
    <w:rsid w:val="00DF0A7E"/>
    <w:rsid w:val="00DF1B59"/>
    <w:rsid w:val="00DF4BCE"/>
    <w:rsid w:val="00E009B0"/>
    <w:rsid w:val="00E03A78"/>
    <w:rsid w:val="00E07DF2"/>
    <w:rsid w:val="00E13579"/>
    <w:rsid w:val="00E147E0"/>
    <w:rsid w:val="00E22906"/>
    <w:rsid w:val="00E22D5A"/>
    <w:rsid w:val="00E22EBE"/>
    <w:rsid w:val="00E237AA"/>
    <w:rsid w:val="00E23C2B"/>
    <w:rsid w:val="00E25884"/>
    <w:rsid w:val="00E259C9"/>
    <w:rsid w:val="00E26AAA"/>
    <w:rsid w:val="00E3385D"/>
    <w:rsid w:val="00E34C4F"/>
    <w:rsid w:val="00E360B7"/>
    <w:rsid w:val="00E43842"/>
    <w:rsid w:val="00E44062"/>
    <w:rsid w:val="00E4416C"/>
    <w:rsid w:val="00E45FE7"/>
    <w:rsid w:val="00E51BA8"/>
    <w:rsid w:val="00E51BE9"/>
    <w:rsid w:val="00E52EB4"/>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C7E"/>
    <w:rsid w:val="00E921F7"/>
    <w:rsid w:val="00E9274F"/>
    <w:rsid w:val="00EA2820"/>
    <w:rsid w:val="00EA6137"/>
    <w:rsid w:val="00EA7586"/>
    <w:rsid w:val="00EB018B"/>
    <w:rsid w:val="00EB03F5"/>
    <w:rsid w:val="00EB263C"/>
    <w:rsid w:val="00EB2E3B"/>
    <w:rsid w:val="00EB4862"/>
    <w:rsid w:val="00EC09FD"/>
    <w:rsid w:val="00EC1C10"/>
    <w:rsid w:val="00EC1CD1"/>
    <w:rsid w:val="00EC4103"/>
    <w:rsid w:val="00EC505E"/>
    <w:rsid w:val="00ED0A9F"/>
    <w:rsid w:val="00ED175B"/>
    <w:rsid w:val="00ED29AD"/>
    <w:rsid w:val="00ED377B"/>
    <w:rsid w:val="00ED49F3"/>
    <w:rsid w:val="00EE209D"/>
    <w:rsid w:val="00EE35DE"/>
    <w:rsid w:val="00EE4E64"/>
    <w:rsid w:val="00EE4FC3"/>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703"/>
    <w:rsid w:val="00F15932"/>
    <w:rsid w:val="00F16354"/>
    <w:rsid w:val="00F1704E"/>
    <w:rsid w:val="00F17FB6"/>
    <w:rsid w:val="00F20476"/>
    <w:rsid w:val="00F2096A"/>
    <w:rsid w:val="00F20A3B"/>
    <w:rsid w:val="00F210C4"/>
    <w:rsid w:val="00F213B5"/>
    <w:rsid w:val="00F2244C"/>
    <w:rsid w:val="00F22471"/>
    <w:rsid w:val="00F23AB0"/>
    <w:rsid w:val="00F24053"/>
    <w:rsid w:val="00F25271"/>
    <w:rsid w:val="00F25DD3"/>
    <w:rsid w:val="00F27161"/>
    <w:rsid w:val="00F33C48"/>
    <w:rsid w:val="00F33E2D"/>
    <w:rsid w:val="00F45FC6"/>
    <w:rsid w:val="00F47E3B"/>
    <w:rsid w:val="00F52FB8"/>
    <w:rsid w:val="00F543D6"/>
    <w:rsid w:val="00F55D66"/>
    <w:rsid w:val="00F573E5"/>
    <w:rsid w:val="00F60C28"/>
    <w:rsid w:val="00F64547"/>
    <w:rsid w:val="00F65DC0"/>
    <w:rsid w:val="00F65EC5"/>
    <w:rsid w:val="00F66F18"/>
    <w:rsid w:val="00F67545"/>
    <w:rsid w:val="00F7130A"/>
    <w:rsid w:val="00F722C5"/>
    <w:rsid w:val="00F73E4D"/>
    <w:rsid w:val="00F73FBF"/>
    <w:rsid w:val="00F768B2"/>
    <w:rsid w:val="00F80221"/>
    <w:rsid w:val="00F81AF1"/>
    <w:rsid w:val="00F81BA5"/>
    <w:rsid w:val="00F82D25"/>
    <w:rsid w:val="00F86F4B"/>
    <w:rsid w:val="00F90307"/>
    <w:rsid w:val="00F91217"/>
    <w:rsid w:val="00F9294A"/>
    <w:rsid w:val="00F92A3D"/>
    <w:rsid w:val="00F97A74"/>
    <w:rsid w:val="00FA2DB4"/>
    <w:rsid w:val="00FA371D"/>
    <w:rsid w:val="00FA6053"/>
    <w:rsid w:val="00FA6507"/>
    <w:rsid w:val="00FA6DB0"/>
    <w:rsid w:val="00FA743C"/>
    <w:rsid w:val="00FA7C2F"/>
    <w:rsid w:val="00FB0E25"/>
    <w:rsid w:val="00FB4555"/>
    <w:rsid w:val="00FB553F"/>
    <w:rsid w:val="00FC02DA"/>
    <w:rsid w:val="00FC09A5"/>
    <w:rsid w:val="00FC4CC7"/>
    <w:rsid w:val="00FD3BBA"/>
    <w:rsid w:val="00FD4326"/>
    <w:rsid w:val="00FD7D7A"/>
    <w:rsid w:val="00FE2734"/>
    <w:rsid w:val="00FE6E77"/>
    <w:rsid w:val="00FF1D9A"/>
    <w:rsid w:val="00FF3E15"/>
    <w:rsid w:val="00FF4A85"/>
    <w:rsid w:val="00FF572F"/>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14:docId w14:val="12D1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AF1CE0"/>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AF1CE0"/>
    <w:rPr>
      <w:rFonts w:eastAsia="Calibri" w:cs="Times New Roman"/>
      <w:sz w:val="20"/>
      <w:szCs w:val="20"/>
      <w:lang w:val="en-AU"/>
    </w:rPr>
  </w:style>
  <w:style w:type="character" w:styleId="FootnoteReference">
    <w:name w:val="footnote reference"/>
    <w:basedOn w:val="DefaultParagraphFont"/>
    <w:uiPriority w:val="99"/>
    <w:unhideWhenUsed/>
    <w:rsid w:val="00AF1C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AF1CE0"/>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AF1CE0"/>
    <w:rPr>
      <w:rFonts w:eastAsia="Calibri" w:cs="Times New Roman"/>
      <w:sz w:val="20"/>
      <w:szCs w:val="20"/>
      <w:lang w:val="en-AU"/>
    </w:rPr>
  </w:style>
  <w:style w:type="character" w:styleId="FootnoteReference">
    <w:name w:val="footnote reference"/>
    <w:basedOn w:val="DefaultParagraphFont"/>
    <w:uiPriority w:val="99"/>
    <w:unhideWhenUsed/>
    <w:rsid w:val="00AF1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9653">
      <w:bodyDiv w:val="1"/>
      <w:marLeft w:val="0"/>
      <w:marRight w:val="0"/>
      <w:marTop w:val="0"/>
      <w:marBottom w:val="0"/>
      <w:divBdr>
        <w:top w:val="none" w:sz="0" w:space="0" w:color="auto"/>
        <w:left w:val="none" w:sz="0" w:space="0" w:color="auto"/>
        <w:bottom w:val="none" w:sz="0" w:space="0" w:color="auto"/>
        <w:right w:val="none" w:sz="0" w:space="0" w:color="auto"/>
      </w:divBdr>
    </w:div>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42877908">
      <w:bodyDiv w:val="1"/>
      <w:marLeft w:val="0"/>
      <w:marRight w:val="0"/>
      <w:marTop w:val="0"/>
      <w:marBottom w:val="0"/>
      <w:divBdr>
        <w:top w:val="none" w:sz="0" w:space="0" w:color="auto"/>
        <w:left w:val="none" w:sz="0" w:space="0" w:color="auto"/>
        <w:bottom w:val="none" w:sz="0" w:space="0" w:color="auto"/>
        <w:right w:val="none" w:sz="0" w:space="0" w:color="auto"/>
      </w:divBdr>
    </w:div>
    <w:div w:id="304510883">
      <w:bodyDiv w:val="1"/>
      <w:marLeft w:val="0"/>
      <w:marRight w:val="0"/>
      <w:marTop w:val="0"/>
      <w:marBottom w:val="0"/>
      <w:divBdr>
        <w:top w:val="none" w:sz="0" w:space="0" w:color="auto"/>
        <w:left w:val="none" w:sz="0" w:space="0" w:color="auto"/>
        <w:bottom w:val="none" w:sz="0" w:space="0" w:color="auto"/>
        <w:right w:val="none" w:sz="0" w:space="0" w:color="auto"/>
      </w:divBdr>
    </w:div>
    <w:div w:id="36506380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03714041">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677733128">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165783826">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2057780">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1942487948">
      <w:bodyDiv w:val="1"/>
      <w:marLeft w:val="0"/>
      <w:marRight w:val="0"/>
      <w:marTop w:val="0"/>
      <w:marBottom w:val="0"/>
      <w:divBdr>
        <w:top w:val="none" w:sz="0" w:space="0" w:color="auto"/>
        <w:left w:val="none" w:sz="0" w:space="0" w:color="auto"/>
        <w:bottom w:val="none" w:sz="0" w:space="0" w:color="auto"/>
        <w:right w:val="none" w:sz="0" w:space="0" w:color="auto"/>
      </w:divBdr>
    </w:div>
    <w:div w:id="1987009477">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 w:id="2143189932">
      <w:bodyDiv w:val="1"/>
      <w:marLeft w:val="0"/>
      <w:marRight w:val="0"/>
      <w:marTop w:val="0"/>
      <w:marBottom w:val="0"/>
      <w:divBdr>
        <w:top w:val="none" w:sz="0" w:space="0" w:color="auto"/>
        <w:left w:val="none" w:sz="0" w:space="0" w:color="auto"/>
        <w:bottom w:val="none" w:sz="0" w:space="0" w:color="auto"/>
        <w:right w:val="none" w:sz="0" w:space="0" w:color="auto"/>
      </w:divBdr>
      <w:divsChild>
        <w:div w:id="230314784">
          <w:marLeft w:val="0"/>
          <w:marRight w:val="0"/>
          <w:marTop w:val="0"/>
          <w:marBottom w:val="0"/>
          <w:divBdr>
            <w:top w:val="none" w:sz="0" w:space="0" w:color="auto"/>
            <w:left w:val="none" w:sz="0" w:space="0" w:color="auto"/>
            <w:bottom w:val="none" w:sz="0" w:space="0" w:color="auto"/>
            <w:right w:val="none" w:sz="0" w:space="0" w:color="auto"/>
          </w:divBdr>
        </w:div>
        <w:div w:id="49048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lina.Dlohi@em.gov.lv" TargetMode="Externa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030D-8458-462B-95E0-8440DFAC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1795</Words>
  <Characters>12192</Characters>
  <Application>Microsoft Office Word</Application>
  <DocSecurity>0</DocSecurity>
  <Lines>420</Lines>
  <Paragraphs>138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10.marta noteikumos Nr.238 „Noteikumi par darbības programmas „Uzņēmējdarbība un inovācijas” papildinājuma 2.2.1.4.1.apakšaktivitāti „Atbalsts aizdevumu veidā komersantu konkurēts</vt:lpstr>
    </vt:vector>
  </TitlesOfParts>
  <Company>LR Ekonomikas ministrija</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10.marta noteikumos Nr.238 „Noteikumi par darbības programmas „Uzņēmējdarbība un inovācijas” papildinājuma 2.2.1.4.1.apakšaktivitāti „Atbalsts aizdevumu veidā komersantu konkurētspējas uzlabošanai””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9</cp:revision>
  <cp:lastPrinted>2014-10-30T07:23:00Z</cp:lastPrinted>
  <dcterms:created xsi:type="dcterms:W3CDTF">2015-10-06T12:09:00Z</dcterms:created>
  <dcterms:modified xsi:type="dcterms:W3CDTF">2015-10-29T09:10:00Z</dcterms:modified>
</cp:coreProperties>
</file>