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C1" w:rsidRDefault="00E22DC1" w:rsidP="00063463">
      <w:pPr>
        <w:jc w:val="right"/>
        <w:rPr>
          <w:sz w:val="22"/>
        </w:rPr>
      </w:pPr>
    </w:p>
    <w:p w:rsidR="00E22DC1" w:rsidRDefault="00E22DC1" w:rsidP="00063463">
      <w:pPr>
        <w:jc w:val="right"/>
        <w:rPr>
          <w:sz w:val="22"/>
        </w:rPr>
      </w:pPr>
    </w:p>
    <w:p w:rsidR="00225A60" w:rsidRPr="00063463" w:rsidRDefault="00724645" w:rsidP="00063463">
      <w:pPr>
        <w:jc w:val="right"/>
        <w:rPr>
          <w:sz w:val="22"/>
        </w:rPr>
      </w:pPr>
      <w:r>
        <w:rPr>
          <w:sz w:val="22"/>
        </w:rPr>
        <w:t>Pielikums</w:t>
      </w:r>
      <w:r w:rsidR="00D623AA">
        <w:rPr>
          <w:sz w:val="22"/>
        </w:rPr>
        <w:t xml:space="preserve"> Nr.1</w:t>
      </w:r>
    </w:p>
    <w:p w:rsidR="00E22DC1" w:rsidRDefault="00E22DC1" w:rsidP="00074235">
      <w:pPr>
        <w:jc w:val="center"/>
        <w:rPr>
          <w:b/>
          <w:sz w:val="32"/>
        </w:rPr>
      </w:pPr>
    </w:p>
    <w:p w:rsidR="00E16C11" w:rsidRPr="00F57D4B" w:rsidRDefault="00E16C11" w:rsidP="00074235">
      <w:pPr>
        <w:jc w:val="center"/>
        <w:rPr>
          <w:b/>
        </w:rPr>
      </w:pPr>
      <w:r w:rsidRPr="00F57D4B">
        <w:rPr>
          <w:b/>
        </w:rPr>
        <w:t>Tērauda ražošanas nozares attīstības tendences</w:t>
      </w:r>
    </w:p>
    <w:p w:rsidR="00074235" w:rsidRDefault="00074235" w:rsidP="001B5529">
      <w:pPr>
        <w:ind w:firstLine="283"/>
        <w:jc w:val="both"/>
        <w:rPr>
          <w:rFonts w:cs="Times New Roman"/>
          <w:b/>
          <w:sz w:val="26"/>
          <w:szCs w:val="26"/>
        </w:rPr>
      </w:pPr>
    </w:p>
    <w:p w:rsidR="002136EF" w:rsidRPr="00F57D4B" w:rsidRDefault="002136EF" w:rsidP="00E22DC1">
      <w:pPr>
        <w:jc w:val="center"/>
        <w:rPr>
          <w:b/>
          <w:sz w:val="24"/>
          <w:szCs w:val="24"/>
          <w:u w:val="single"/>
        </w:rPr>
      </w:pPr>
      <w:r w:rsidRPr="00F57D4B">
        <w:rPr>
          <w:b/>
          <w:sz w:val="24"/>
          <w:szCs w:val="24"/>
          <w:u w:val="single"/>
        </w:rPr>
        <w:t>1. Globālās tendences</w:t>
      </w:r>
    </w:p>
    <w:p w:rsidR="002136EF" w:rsidRPr="00F57D4B" w:rsidRDefault="002136EF" w:rsidP="001B5529">
      <w:pPr>
        <w:ind w:firstLine="283"/>
        <w:jc w:val="both"/>
        <w:rPr>
          <w:sz w:val="24"/>
          <w:szCs w:val="24"/>
        </w:rPr>
      </w:pPr>
      <w:r w:rsidRPr="00F57D4B">
        <w:rPr>
          <w:sz w:val="24"/>
          <w:szCs w:val="24"/>
        </w:rPr>
        <w:t xml:space="preserve"> </w:t>
      </w:r>
    </w:p>
    <w:p w:rsidR="00D44C30" w:rsidRPr="00F57D4B" w:rsidRDefault="00D44C30" w:rsidP="001B5529">
      <w:pPr>
        <w:ind w:firstLine="283"/>
        <w:jc w:val="both"/>
        <w:rPr>
          <w:sz w:val="24"/>
          <w:szCs w:val="24"/>
        </w:rPr>
      </w:pPr>
      <w:r w:rsidRPr="00F57D4B">
        <w:rPr>
          <w:sz w:val="24"/>
          <w:szCs w:val="24"/>
        </w:rPr>
        <w:t>No kopējā tērauda pieprasījuma pasaulē 6</w:t>
      </w:r>
      <w:r w:rsidR="00503771" w:rsidRPr="00F57D4B">
        <w:rPr>
          <w:sz w:val="24"/>
          <w:szCs w:val="24"/>
        </w:rPr>
        <w:t>6</w:t>
      </w:r>
      <w:r w:rsidRPr="00F57D4B">
        <w:rPr>
          <w:sz w:val="24"/>
          <w:szCs w:val="24"/>
        </w:rPr>
        <w:t>% veido Āzija un Okeānija – galvenokārt Ķīna, Japāna, Indija un Dienvidkoreja. ES-2</w:t>
      </w:r>
      <w:r w:rsidR="00503771" w:rsidRPr="00F57D4B">
        <w:rPr>
          <w:sz w:val="24"/>
          <w:szCs w:val="24"/>
        </w:rPr>
        <w:t>8</w:t>
      </w:r>
      <w:r w:rsidRPr="00F57D4B">
        <w:rPr>
          <w:sz w:val="24"/>
          <w:szCs w:val="24"/>
        </w:rPr>
        <w:t xml:space="preserve"> valstis veido vien </w:t>
      </w:r>
      <w:r w:rsidR="00503771" w:rsidRPr="00F57D4B">
        <w:rPr>
          <w:sz w:val="24"/>
          <w:szCs w:val="24"/>
        </w:rPr>
        <w:t>nepilnus 10</w:t>
      </w:r>
      <w:r w:rsidRPr="00F57D4B">
        <w:rPr>
          <w:sz w:val="24"/>
          <w:szCs w:val="24"/>
        </w:rPr>
        <w:t>% no kopējā tērauda pieprasījuma. Saskaņā ar Pasaules Tērauda asociācijas prognozēm</w:t>
      </w:r>
      <w:r w:rsidR="00EB7D46" w:rsidRPr="00F57D4B">
        <w:rPr>
          <w:rStyle w:val="FootnoteReference"/>
          <w:sz w:val="24"/>
          <w:szCs w:val="24"/>
        </w:rPr>
        <w:footnoteReference w:id="1"/>
      </w:r>
      <w:r w:rsidRPr="00F57D4B">
        <w:rPr>
          <w:sz w:val="24"/>
          <w:szCs w:val="24"/>
        </w:rPr>
        <w:t xml:space="preserve">, pasaulē pieprasījums pēc tērauda </w:t>
      </w:r>
      <w:r w:rsidR="00CC1E7D" w:rsidRPr="00F57D4B">
        <w:rPr>
          <w:sz w:val="24"/>
          <w:szCs w:val="24"/>
        </w:rPr>
        <w:t>2016.</w:t>
      </w:r>
      <w:r w:rsidRPr="00F57D4B">
        <w:rPr>
          <w:sz w:val="24"/>
          <w:szCs w:val="24"/>
        </w:rPr>
        <w:t>gad</w:t>
      </w:r>
      <w:r w:rsidR="00CC1E7D" w:rsidRPr="00F57D4B">
        <w:rPr>
          <w:sz w:val="24"/>
          <w:szCs w:val="24"/>
        </w:rPr>
        <w:t xml:space="preserve">ā </w:t>
      </w:r>
      <w:r w:rsidRPr="00F57D4B">
        <w:rPr>
          <w:sz w:val="24"/>
          <w:szCs w:val="24"/>
        </w:rPr>
        <w:t xml:space="preserve">pieaugs </w:t>
      </w:r>
      <w:r w:rsidR="00CC1E7D" w:rsidRPr="00F57D4B">
        <w:rPr>
          <w:sz w:val="24"/>
          <w:szCs w:val="24"/>
        </w:rPr>
        <w:t>par</w:t>
      </w:r>
      <w:r w:rsidRPr="00F57D4B">
        <w:rPr>
          <w:sz w:val="24"/>
          <w:szCs w:val="24"/>
        </w:rPr>
        <w:t xml:space="preserve"> </w:t>
      </w:r>
      <w:r w:rsidR="00EB7D46" w:rsidRPr="00F57D4B">
        <w:rPr>
          <w:sz w:val="24"/>
          <w:szCs w:val="24"/>
        </w:rPr>
        <w:t>0,</w:t>
      </w:r>
      <w:r w:rsidR="00CC1E7D" w:rsidRPr="00F57D4B">
        <w:rPr>
          <w:sz w:val="24"/>
          <w:szCs w:val="24"/>
        </w:rPr>
        <w:t>7</w:t>
      </w:r>
      <w:r w:rsidR="00EB7D46" w:rsidRPr="00F57D4B">
        <w:rPr>
          <w:sz w:val="24"/>
          <w:szCs w:val="24"/>
        </w:rPr>
        <w:t>%</w:t>
      </w:r>
      <w:r w:rsidRPr="00F57D4B">
        <w:rPr>
          <w:sz w:val="24"/>
          <w:szCs w:val="24"/>
        </w:rPr>
        <w:t>. Pieprasījumu pamatā nodrošin</w:t>
      </w:r>
      <w:r w:rsidR="00E54466" w:rsidRPr="00F57D4B">
        <w:rPr>
          <w:sz w:val="24"/>
          <w:szCs w:val="24"/>
        </w:rPr>
        <w:t xml:space="preserve">a </w:t>
      </w:r>
      <w:r w:rsidRPr="00F57D4B">
        <w:rPr>
          <w:sz w:val="24"/>
          <w:szCs w:val="24"/>
        </w:rPr>
        <w:t>strauji augošās Āzijas ekonomikas.</w:t>
      </w:r>
    </w:p>
    <w:p w:rsidR="00C33D40" w:rsidRPr="00F57D4B" w:rsidRDefault="00C33D40" w:rsidP="00FD165C">
      <w:pPr>
        <w:pStyle w:val="BodyTextIndent2"/>
        <w:keepNext/>
        <w:spacing w:after="60" w:line="240" w:lineRule="auto"/>
        <w:jc w:val="center"/>
        <w:rPr>
          <w:bCs/>
          <w:lang w:val="lv-LV"/>
        </w:rPr>
      </w:pPr>
    </w:p>
    <w:p w:rsidR="00FD165C" w:rsidRPr="00F57D4B" w:rsidRDefault="00FD165C" w:rsidP="00F60846">
      <w:pPr>
        <w:pStyle w:val="BodyTextIndent2"/>
        <w:keepNext/>
        <w:spacing w:after="60" w:line="240" w:lineRule="auto"/>
        <w:ind w:left="0"/>
        <w:jc w:val="center"/>
        <w:rPr>
          <w:b/>
          <w:bCs/>
          <w:lang w:val="lv-LV"/>
        </w:rPr>
      </w:pPr>
      <w:r w:rsidRPr="00F57D4B">
        <w:rPr>
          <w:bCs/>
          <w:lang w:val="lv-LV"/>
        </w:rPr>
        <w:t>1.attēls.</w:t>
      </w:r>
      <w:r w:rsidRPr="00F57D4B">
        <w:rPr>
          <w:b/>
          <w:bCs/>
          <w:lang w:val="lv-LV"/>
        </w:rPr>
        <w:t> Tērauda pieprasījums pasaulē</w:t>
      </w:r>
    </w:p>
    <w:tbl>
      <w:tblPr>
        <w:tblStyle w:val="MediumList1-Accent4"/>
        <w:tblW w:w="5000" w:type="pct"/>
        <w:jc w:val="center"/>
        <w:tblLook w:val="0400" w:firstRow="0" w:lastRow="0" w:firstColumn="0" w:lastColumn="0" w:noHBand="0" w:noVBand="1"/>
      </w:tblPr>
      <w:tblGrid>
        <w:gridCol w:w="4535"/>
        <w:gridCol w:w="4536"/>
      </w:tblGrid>
      <w:tr w:rsidR="00E014C1" w:rsidRPr="00074235" w:rsidTr="00B4353A">
        <w:trPr>
          <w:cnfStyle w:val="000000100000" w:firstRow="0" w:lastRow="0" w:firstColumn="0" w:lastColumn="0" w:oddVBand="0" w:evenVBand="0" w:oddHBand="1" w:evenHBand="0" w:firstRowFirstColumn="0" w:firstRowLastColumn="0" w:lastRowFirstColumn="0" w:lastRowLastColumn="0"/>
          <w:jc w:val="center"/>
        </w:trPr>
        <w:tc>
          <w:tcPr>
            <w:tcW w:w="2500" w:type="pct"/>
            <w:tcBorders>
              <w:top w:val="single" w:sz="8" w:space="0" w:color="8064A2" w:themeColor="accent4"/>
              <w:left w:val="nil"/>
              <w:bottom w:val="single" w:sz="8" w:space="0" w:color="8064A2" w:themeColor="accent4"/>
              <w:right w:val="nil"/>
            </w:tcBorders>
            <w:hideMark/>
          </w:tcPr>
          <w:p w:rsidR="00E014C1" w:rsidRPr="00074235" w:rsidRDefault="00E014C1" w:rsidP="00F60846">
            <w:pPr>
              <w:tabs>
                <w:tab w:val="center" w:pos="2424"/>
              </w:tabs>
              <w:spacing w:before="60" w:after="60"/>
              <w:jc w:val="center"/>
              <w:rPr>
                <w:sz w:val="20"/>
                <w:szCs w:val="18"/>
              </w:rPr>
            </w:pPr>
            <w:r w:rsidRPr="00074235">
              <w:rPr>
                <w:sz w:val="20"/>
                <w:szCs w:val="18"/>
              </w:rPr>
              <w:t>Tērauda pieprasījums pasaulē, 200</w:t>
            </w:r>
            <w:r w:rsidR="003C0D9B">
              <w:rPr>
                <w:sz w:val="20"/>
                <w:szCs w:val="18"/>
              </w:rPr>
              <w:t>4</w:t>
            </w:r>
            <w:r w:rsidRPr="00074235">
              <w:rPr>
                <w:sz w:val="20"/>
                <w:szCs w:val="18"/>
              </w:rPr>
              <w:t>.g., %</w:t>
            </w:r>
          </w:p>
        </w:tc>
        <w:tc>
          <w:tcPr>
            <w:tcW w:w="2500" w:type="pct"/>
            <w:tcBorders>
              <w:top w:val="single" w:sz="8" w:space="0" w:color="8064A2" w:themeColor="accent4"/>
              <w:left w:val="nil"/>
              <w:bottom w:val="single" w:sz="8" w:space="0" w:color="8064A2" w:themeColor="accent4"/>
              <w:right w:val="nil"/>
            </w:tcBorders>
            <w:hideMark/>
          </w:tcPr>
          <w:p w:rsidR="00E014C1" w:rsidRPr="00074235" w:rsidRDefault="00E014C1" w:rsidP="00F60846">
            <w:pPr>
              <w:tabs>
                <w:tab w:val="center" w:pos="2424"/>
              </w:tabs>
              <w:spacing w:before="60" w:after="60"/>
              <w:jc w:val="center"/>
              <w:rPr>
                <w:sz w:val="20"/>
                <w:szCs w:val="18"/>
              </w:rPr>
            </w:pPr>
            <w:r w:rsidRPr="00074235">
              <w:rPr>
                <w:sz w:val="20"/>
                <w:szCs w:val="18"/>
              </w:rPr>
              <w:t>Tērauda pieprasījums pasaulē, 201</w:t>
            </w:r>
            <w:r w:rsidR="003C0D9B">
              <w:rPr>
                <w:sz w:val="20"/>
                <w:szCs w:val="18"/>
              </w:rPr>
              <w:t>4</w:t>
            </w:r>
            <w:r w:rsidRPr="00074235">
              <w:rPr>
                <w:sz w:val="20"/>
                <w:szCs w:val="18"/>
              </w:rPr>
              <w:t>.g., %</w:t>
            </w:r>
          </w:p>
        </w:tc>
      </w:tr>
      <w:tr w:rsidR="00E014C1" w:rsidTr="00B4353A">
        <w:trPr>
          <w:jc w:val="center"/>
        </w:trPr>
        <w:tc>
          <w:tcPr>
            <w:tcW w:w="2500" w:type="pct"/>
            <w:tcBorders>
              <w:top w:val="single" w:sz="8" w:space="0" w:color="8064A2" w:themeColor="accent4"/>
              <w:left w:val="nil"/>
              <w:bottom w:val="single" w:sz="8" w:space="0" w:color="8064A2" w:themeColor="accent4"/>
              <w:right w:val="nil"/>
            </w:tcBorders>
            <w:hideMark/>
          </w:tcPr>
          <w:p w:rsidR="00E014C1" w:rsidRDefault="00E014C1" w:rsidP="00B4353A">
            <w:pPr>
              <w:tabs>
                <w:tab w:val="center" w:pos="2424"/>
              </w:tabs>
              <w:spacing w:before="20" w:after="20"/>
              <w:jc w:val="center"/>
              <w:rPr>
                <w:sz w:val="18"/>
                <w:szCs w:val="18"/>
              </w:rPr>
            </w:pPr>
            <w:r>
              <w:rPr>
                <w:rFonts w:ascii="Garamond" w:hAnsi="Garamond"/>
                <w:noProof/>
                <w:sz w:val="18"/>
                <w:szCs w:val="18"/>
                <w:lang w:eastAsia="lv-LV"/>
              </w:rPr>
              <w:drawing>
                <wp:inline distT="0" distB="0" distL="0" distR="0" wp14:anchorId="33308EC1" wp14:editId="68E151FC">
                  <wp:extent cx="2803585" cy="1880559"/>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500" w:type="pct"/>
            <w:tcBorders>
              <w:top w:val="single" w:sz="8" w:space="0" w:color="8064A2" w:themeColor="accent4"/>
              <w:left w:val="nil"/>
              <w:bottom w:val="single" w:sz="8" w:space="0" w:color="8064A2" w:themeColor="accent4"/>
              <w:right w:val="nil"/>
            </w:tcBorders>
            <w:hideMark/>
          </w:tcPr>
          <w:p w:rsidR="00E014C1" w:rsidRDefault="00FD165C" w:rsidP="00B4353A">
            <w:pPr>
              <w:tabs>
                <w:tab w:val="center" w:pos="2424"/>
              </w:tabs>
              <w:spacing w:before="20" w:after="20"/>
              <w:jc w:val="center"/>
              <w:rPr>
                <w:sz w:val="18"/>
                <w:szCs w:val="18"/>
              </w:rPr>
            </w:pPr>
            <w:r>
              <w:rPr>
                <w:rFonts w:ascii="Garamond" w:hAnsi="Garamond"/>
                <w:noProof/>
                <w:sz w:val="18"/>
                <w:szCs w:val="18"/>
                <w:lang w:eastAsia="lv-LV"/>
              </w:rPr>
              <w:drawing>
                <wp:inline distT="0" distB="0" distL="0" distR="0" wp14:anchorId="27132E04" wp14:editId="25D91C2E">
                  <wp:extent cx="2803585" cy="188055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FD165C" w:rsidRPr="00DE4287" w:rsidRDefault="00FD165C" w:rsidP="00DE4287">
      <w:pPr>
        <w:spacing w:before="120"/>
        <w:jc w:val="both"/>
        <w:rPr>
          <w:rFonts w:cs="Times New Roman"/>
          <w:sz w:val="20"/>
          <w:szCs w:val="20"/>
          <w:lang w:val="en-GB"/>
        </w:rPr>
      </w:pPr>
      <w:r w:rsidRPr="00911DD7">
        <w:rPr>
          <w:rFonts w:cs="Times New Roman"/>
          <w:sz w:val="20"/>
          <w:szCs w:val="20"/>
        </w:rPr>
        <w:t xml:space="preserve">Avots: </w:t>
      </w:r>
      <w:r w:rsidR="00DE4287" w:rsidRPr="00DE4287">
        <w:rPr>
          <w:rFonts w:cs="Times New Roman"/>
          <w:i/>
          <w:sz w:val="20"/>
          <w:szCs w:val="20"/>
          <w:lang w:val="en-GB"/>
        </w:rPr>
        <w:t>World Steel in Figures 2015; World Steel Association</w:t>
      </w:r>
    </w:p>
    <w:p w:rsidR="00FD165C" w:rsidRDefault="00FD165C" w:rsidP="002C13E0">
      <w:pPr>
        <w:pStyle w:val="BodyTextIndent2"/>
        <w:keepNext/>
        <w:spacing w:after="60" w:line="240" w:lineRule="auto"/>
        <w:ind w:left="0"/>
        <w:rPr>
          <w:bCs/>
          <w:sz w:val="21"/>
          <w:szCs w:val="21"/>
          <w:lang w:val="lv-LV"/>
        </w:rPr>
      </w:pPr>
    </w:p>
    <w:p w:rsidR="002C13E0" w:rsidRPr="00F57D4B" w:rsidRDefault="002136EF" w:rsidP="00E22DC1">
      <w:pPr>
        <w:jc w:val="center"/>
        <w:rPr>
          <w:b/>
          <w:sz w:val="24"/>
          <w:szCs w:val="24"/>
          <w:u w:val="single"/>
        </w:rPr>
      </w:pPr>
      <w:r w:rsidRPr="00F57D4B">
        <w:rPr>
          <w:b/>
          <w:sz w:val="24"/>
          <w:szCs w:val="24"/>
          <w:u w:val="single"/>
        </w:rPr>
        <w:t xml:space="preserve">2. </w:t>
      </w:r>
      <w:r w:rsidR="002C13E0" w:rsidRPr="00F57D4B">
        <w:rPr>
          <w:b/>
          <w:sz w:val="24"/>
          <w:szCs w:val="24"/>
          <w:u w:val="single"/>
        </w:rPr>
        <w:t>Tērauda ražošana ES</w:t>
      </w:r>
    </w:p>
    <w:p w:rsidR="002C13E0" w:rsidRPr="00F57D4B" w:rsidRDefault="002C13E0" w:rsidP="002C13E0">
      <w:pPr>
        <w:pStyle w:val="BodyTextIndent2"/>
        <w:keepNext/>
        <w:spacing w:after="60" w:line="240" w:lineRule="auto"/>
        <w:ind w:left="0"/>
        <w:rPr>
          <w:bCs/>
          <w:lang w:val="lv-LV"/>
        </w:rPr>
      </w:pPr>
    </w:p>
    <w:p w:rsidR="00FD165C" w:rsidRPr="00F57D4B" w:rsidRDefault="00FD165C" w:rsidP="00F60846">
      <w:pPr>
        <w:pStyle w:val="BodyTextIndent2"/>
        <w:keepNext/>
        <w:spacing w:after="60" w:line="240" w:lineRule="auto"/>
        <w:ind w:left="0"/>
        <w:jc w:val="center"/>
        <w:rPr>
          <w:b/>
          <w:bCs/>
          <w:lang w:val="lv-LV"/>
        </w:rPr>
      </w:pPr>
      <w:r w:rsidRPr="00F57D4B">
        <w:rPr>
          <w:bCs/>
          <w:lang w:val="lv-LV"/>
        </w:rPr>
        <w:t>2.attēls.</w:t>
      </w:r>
      <w:r w:rsidRPr="00F57D4B">
        <w:rPr>
          <w:b/>
          <w:bCs/>
          <w:lang w:val="lv-LV"/>
        </w:rPr>
        <w:t> Tērauda pieprasījums ES</w:t>
      </w:r>
    </w:p>
    <w:tbl>
      <w:tblPr>
        <w:tblStyle w:val="MediumList1-Accent4"/>
        <w:tblW w:w="5000" w:type="pct"/>
        <w:jc w:val="center"/>
        <w:tblLook w:val="0400" w:firstRow="0" w:lastRow="0" w:firstColumn="0" w:lastColumn="0" w:noHBand="0" w:noVBand="1"/>
      </w:tblPr>
      <w:tblGrid>
        <w:gridCol w:w="4396"/>
        <w:gridCol w:w="4675"/>
      </w:tblGrid>
      <w:tr w:rsidR="00911DD7" w:rsidRPr="00074235" w:rsidTr="00EB7D46">
        <w:trPr>
          <w:cnfStyle w:val="000000100000" w:firstRow="0" w:lastRow="0" w:firstColumn="0" w:lastColumn="0" w:oddVBand="0" w:evenVBand="0" w:oddHBand="1" w:evenHBand="0" w:firstRowFirstColumn="0" w:firstRowLastColumn="0" w:lastRowFirstColumn="0" w:lastRowLastColumn="0"/>
          <w:jc w:val="center"/>
        </w:trPr>
        <w:tc>
          <w:tcPr>
            <w:tcW w:w="2461" w:type="pct"/>
            <w:tcBorders>
              <w:top w:val="single" w:sz="8" w:space="0" w:color="8064A2" w:themeColor="accent4"/>
              <w:left w:val="nil"/>
              <w:bottom w:val="single" w:sz="8" w:space="0" w:color="8064A2" w:themeColor="accent4"/>
              <w:right w:val="nil"/>
            </w:tcBorders>
            <w:vAlign w:val="center"/>
            <w:hideMark/>
          </w:tcPr>
          <w:p w:rsidR="00911DD7" w:rsidRPr="00074235" w:rsidRDefault="00911DD7" w:rsidP="00F60846">
            <w:pPr>
              <w:tabs>
                <w:tab w:val="center" w:pos="2424"/>
              </w:tabs>
              <w:spacing w:before="60" w:after="60"/>
              <w:jc w:val="center"/>
              <w:rPr>
                <w:sz w:val="20"/>
                <w:szCs w:val="18"/>
              </w:rPr>
            </w:pPr>
            <w:r w:rsidRPr="00074235">
              <w:rPr>
                <w:sz w:val="20"/>
                <w:szCs w:val="18"/>
              </w:rPr>
              <w:t>Tērauda pieprasījuma prognozes,</w:t>
            </w:r>
            <w:r w:rsidRPr="00074235">
              <w:rPr>
                <w:sz w:val="20"/>
                <w:szCs w:val="18"/>
              </w:rPr>
              <w:br/>
            </w:r>
            <w:r w:rsidR="005104F7" w:rsidRPr="00074235">
              <w:rPr>
                <w:sz w:val="20"/>
                <w:szCs w:val="18"/>
              </w:rPr>
              <w:t>milj.</w:t>
            </w:r>
            <w:r w:rsidRPr="00074235">
              <w:rPr>
                <w:sz w:val="20"/>
                <w:szCs w:val="18"/>
              </w:rPr>
              <w:t xml:space="preserve"> tonnas</w:t>
            </w:r>
          </w:p>
        </w:tc>
        <w:tc>
          <w:tcPr>
            <w:tcW w:w="2539" w:type="pct"/>
            <w:tcBorders>
              <w:top w:val="single" w:sz="8" w:space="0" w:color="8064A2" w:themeColor="accent4"/>
              <w:left w:val="nil"/>
              <w:bottom w:val="single" w:sz="8" w:space="0" w:color="8064A2" w:themeColor="accent4"/>
              <w:right w:val="nil"/>
            </w:tcBorders>
            <w:vAlign w:val="center"/>
            <w:hideMark/>
          </w:tcPr>
          <w:p w:rsidR="00911DD7" w:rsidRPr="00074235" w:rsidRDefault="00911DD7" w:rsidP="00F60846">
            <w:pPr>
              <w:tabs>
                <w:tab w:val="center" w:pos="2424"/>
              </w:tabs>
              <w:spacing w:before="60" w:after="60"/>
              <w:jc w:val="center"/>
              <w:rPr>
                <w:sz w:val="20"/>
                <w:szCs w:val="18"/>
              </w:rPr>
            </w:pPr>
            <w:r w:rsidRPr="00074235">
              <w:rPr>
                <w:sz w:val="20"/>
                <w:szCs w:val="18"/>
              </w:rPr>
              <w:t xml:space="preserve">Tērauda </w:t>
            </w:r>
            <w:r w:rsidR="00FD165C" w:rsidRPr="00074235">
              <w:rPr>
                <w:sz w:val="20"/>
                <w:szCs w:val="18"/>
              </w:rPr>
              <w:t>patēriņš ES</w:t>
            </w:r>
          </w:p>
        </w:tc>
      </w:tr>
      <w:tr w:rsidR="00911DD7" w:rsidTr="00074235">
        <w:trPr>
          <w:jc w:val="center"/>
        </w:trPr>
        <w:tc>
          <w:tcPr>
            <w:tcW w:w="2461" w:type="pct"/>
            <w:tcBorders>
              <w:top w:val="single" w:sz="8" w:space="0" w:color="8064A2" w:themeColor="accent4"/>
              <w:left w:val="nil"/>
              <w:bottom w:val="single" w:sz="8" w:space="0" w:color="8064A2" w:themeColor="accent4"/>
              <w:right w:val="nil"/>
            </w:tcBorders>
            <w:hideMark/>
          </w:tcPr>
          <w:p w:rsidR="00911DD7" w:rsidRDefault="00911DD7">
            <w:pPr>
              <w:tabs>
                <w:tab w:val="center" w:pos="2424"/>
              </w:tabs>
              <w:spacing w:before="20" w:after="20"/>
              <w:jc w:val="center"/>
              <w:rPr>
                <w:sz w:val="18"/>
                <w:szCs w:val="18"/>
              </w:rPr>
            </w:pPr>
            <w:r>
              <w:rPr>
                <w:rFonts w:ascii="Garamond" w:hAnsi="Garamond"/>
                <w:noProof/>
                <w:sz w:val="18"/>
                <w:szCs w:val="18"/>
                <w:lang w:eastAsia="lv-LV"/>
              </w:rPr>
              <w:lastRenderedPageBreak/>
              <w:drawing>
                <wp:inline distT="0" distB="0" distL="0" distR="0" wp14:anchorId="35AE3324" wp14:editId="76ECC850">
                  <wp:extent cx="2679405" cy="22860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539" w:type="pct"/>
            <w:tcBorders>
              <w:top w:val="single" w:sz="8" w:space="0" w:color="8064A2" w:themeColor="accent4"/>
              <w:left w:val="nil"/>
              <w:bottom w:val="single" w:sz="8" w:space="0" w:color="8064A2" w:themeColor="accent4"/>
              <w:right w:val="nil"/>
            </w:tcBorders>
            <w:hideMark/>
          </w:tcPr>
          <w:p w:rsidR="00911DD7" w:rsidRDefault="00FD165C">
            <w:pPr>
              <w:tabs>
                <w:tab w:val="center" w:pos="2424"/>
              </w:tabs>
              <w:spacing w:before="20" w:after="20"/>
              <w:jc w:val="center"/>
              <w:rPr>
                <w:sz w:val="18"/>
                <w:szCs w:val="18"/>
              </w:rPr>
            </w:pPr>
            <w:r>
              <w:rPr>
                <w:noProof/>
                <w:lang w:eastAsia="lv-LV"/>
              </w:rPr>
              <w:drawing>
                <wp:inline distT="0" distB="0" distL="0" distR="0" wp14:anchorId="74CD95E7" wp14:editId="0DFCADE4">
                  <wp:extent cx="2849526" cy="2286000"/>
                  <wp:effectExtent l="0" t="0" r="825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911DD7" w:rsidRDefault="00911DD7" w:rsidP="00BC32CF">
      <w:pPr>
        <w:spacing w:before="120"/>
        <w:ind w:left="709" w:hanging="709"/>
        <w:rPr>
          <w:rFonts w:cs="Times New Roman"/>
          <w:sz w:val="20"/>
          <w:szCs w:val="20"/>
          <w:lang w:val="en"/>
        </w:rPr>
      </w:pPr>
      <w:r w:rsidRPr="00911DD7">
        <w:rPr>
          <w:rFonts w:cs="Times New Roman"/>
          <w:sz w:val="20"/>
          <w:szCs w:val="20"/>
        </w:rPr>
        <w:t xml:space="preserve">Avots: </w:t>
      </w:r>
      <w:r w:rsidR="00EB7D46">
        <w:rPr>
          <w:rFonts w:cs="Times New Roman"/>
          <w:sz w:val="20"/>
          <w:szCs w:val="20"/>
        </w:rPr>
        <w:tab/>
      </w:r>
      <w:r w:rsidR="00BC32CF" w:rsidRPr="00BC32CF">
        <w:rPr>
          <w:rFonts w:cs="Times New Roman"/>
          <w:i/>
          <w:sz w:val="20"/>
          <w:szCs w:val="20"/>
          <w:lang w:val="en-GB"/>
        </w:rPr>
        <w:t>Economic and Steel Market Outlook 2015-2016, Q4-2015 Report from EUROREF’s Economic Committee</w:t>
      </w:r>
    </w:p>
    <w:p w:rsidR="00DE4287" w:rsidRPr="00F57D4B" w:rsidRDefault="00DE4287" w:rsidP="001B5529">
      <w:pPr>
        <w:spacing w:after="80"/>
        <w:ind w:firstLine="283"/>
        <w:jc w:val="both"/>
        <w:rPr>
          <w:rFonts w:cs="Times New Roman"/>
          <w:sz w:val="24"/>
          <w:szCs w:val="24"/>
        </w:rPr>
      </w:pPr>
    </w:p>
    <w:p w:rsidR="009524D6" w:rsidRPr="00F57D4B" w:rsidRDefault="002136EF" w:rsidP="001B5529">
      <w:pPr>
        <w:spacing w:after="80"/>
        <w:ind w:firstLine="283"/>
        <w:jc w:val="both"/>
        <w:rPr>
          <w:rFonts w:cs="Times New Roman"/>
          <w:sz w:val="24"/>
          <w:szCs w:val="24"/>
        </w:rPr>
      </w:pPr>
      <w:r w:rsidRPr="00F57D4B">
        <w:rPr>
          <w:rFonts w:cs="Times New Roman"/>
          <w:sz w:val="24"/>
          <w:szCs w:val="24"/>
        </w:rPr>
        <w:t xml:space="preserve">Kopš 2013.gada pieprasījums ES pakāpeniski palielinās. </w:t>
      </w:r>
      <w:r w:rsidR="00D44C30" w:rsidRPr="00F57D4B">
        <w:rPr>
          <w:rFonts w:cs="Times New Roman"/>
          <w:sz w:val="24"/>
          <w:szCs w:val="24"/>
        </w:rPr>
        <w:t xml:space="preserve">Eiropā </w:t>
      </w:r>
      <w:r w:rsidR="001B5529" w:rsidRPr="00F57D4B">
        <w:rPr>
          <w:rFonts w:cs="Times New Roman"/>
          <w:sz w:val="24"/>
          <w:szCs w:val="24"/>
        </w:rPr>
        <w:t xml:space="preserve">vairāk nekā 1/3 no tērauda pieprasījuma veido būvniecības nozare, kas </w:t>
      </w:r>
      <w:r w:rsidR="00000937" w:rsidRPr="00F57D4B">
        <w:rPr>
          <w:rFonts w:cs="Times New Roman"/>
          <w:sz w:val="24"/>
          <w:szCs w:val="24"/>
        </w:rPr>
        <w:t>2014.gad</w:t>
      </w:r>
      <w:r w:rsidR="00C61D3A" w:rsidRPr="00F57D4B">
        <w:rPr>
          <w:rFonts w:cs="Times New Roman"/>
          <w:sz w:val="24"/>
          <w:szCs w:val="24"/>
        </w:rPr>
        <w:t>ā</w:t>
      </w:r>
      <w:r w:rsidR="00000937" w:rsidRPr="00F57D4B">
        <w:rPr>
          <w:rFonts w:cs="Times New Roman"/>
          <w:sz w:val="24"/>
          <w:szCs w:val="24"/>
        </w:rPr>
        <w:t xml:space="preserve"> </w:t>
      </w:r>
      <w:r w:rsidR="007426C2" w:rsidRPr="00F57D4B">
        <w:rPr>
          <w:rFonts w:cs="Times New Roman"/>
          <w:sz w:val="24"/>
          <w:szCs w:val="24"/>
        </w:rPr>
        <w:t xml:space="preserve">kopumā </w:t>
      </w:r>
      <w:r w:rsidR="001B5529" w:rsidRPr="00F57D4B">
        <w:rPr>
          <w:rFonts w:cs="Times New Roman"/>
          <w:sz w:val="24"/>
          <w:szCs w:val="24"/>
        </w:rPr>
        <w:t>piedzīvo</w:t>
      </w:r>
      <w:r w:rsidR="00C61D3A" w:rsidRPr="00F57D4B">
        <w:rPr>
          <w:rFonts w:cs="Times New Roman"/>
          <w:sz w:val="24"/>
          <w:szCs w:val="24"/>
        </w:rPr>
        <w:t>ja</w:t>
      </w:r>
      <w:r w:rsidR="001B5529" w:rsidRPr="00F57D4B">
        <w:rPr>
          <w:rFonts w:cs="Times New Roman"/>
          <w:sz w:val="24"/>
          <w:szCs w:val="24"/>
        </w:rPr>
        <w:t xml:space="preserve"> </w:t>
      </w:r>
      <w:r w:rsidR="00000937" w:rsidRPr="00F57D4B">
        <w:rPr>
          <w:rFonts w:cs="Times New Roman"/>
          <w:sz w:val="24"/>
          <w:szCs w:val="24"/>
        </w:rPr>
        <w:t>nelielu kāpumu</w:t>
      </w:r>
      <w:r w:rsidR="009524D6" w:rsidRPr="00F57D4B">
        <w:rPr>
          <w:rFonts w:cs="Times New Roman"/>
          <w:sz w:val="24"/>
          <w:szCs w:val="24"/>
        </w:rPr>
        <w:t xml:space="preserve"> (par 1,</w:t>
      </w:r>
      <w:r w:rsidR="00B03322" w:rsidRPr="00F57D4B">
        <w:rPr>
          <w:rFonts w:cs="Times New Roman"/>
          <w:sz w:val="24"/>
          <w:szCs w:val="24"/>
        </w:rPr>
        <w:t>7</w:t>
      </w:r>
      <w:r w:rsidR="009524D6" w:rsidRPr="00F57D4B">
        <w:rPr>
          <w:rFonts w:cs="Times New Roman"/>
          <w:sz w:val="24"/>
          <w:szCs w:val="24"/>
        </w:rPr>
        <w:t>%)</w:t>
      </w:r>
      <w:r w:rsidR="001B5529" w:rsidRPr="00F57D4B">
        <w:rPr>
          <w:rFonts w:cs="Times New Roman"/>
          <w:sz w:val="24"/>
          <w:szCs w:val="24"/>
        </w:rPr>
        <w:t xml:space="preserve">. </w:t>
      </w:r>
      <w:r w:rsidR="009453F8" w:rsidRPr="00F57D4B">
        <w:rPr>
          <w:rFonts w:cs="Times New Roman"/>
          <w:sz w:val="24"/>
          <w:szCs w:val="24"/>
        </w:rPr>
        <w:t xml:space="preserve">Straujākais pieprasījuma pieaugums bija autobūves nozarē – par </w:t>
      </w:r>
      <w:r w:rsidR="00B03322" w:rsidRPr="00F57D4B">
        <w:rPr>
          <w:rFonts w:cs="Times New Roman"/>
          <w:sz w:val="24"/>
          <w:szCs w:val="24"/>
        </w:rPr>
        <w:t>4,9</w:t>
      </w:r>
      <w:r w:rsidR="009453F8" w:rsidRPr="00F57D4B">
        <w:rPr>
          <w:rFonts w:cs="Times New Roman"/>
          <w:sz w:val="24"/>
          <w:szCs w:val="24"/>
        </w:rPr>
        <w:t xml:space="preserve">%. </w:t>
      </w:r>
      <w:r w:rsidR="00B03322" w:rsidRPr="00F57D4B">
        <w:rPr>
          <w:rFonts w:cs="Times New Roman"/>
          <w:sz w:val="24"/>
          <w:szCs w:val="24"/>
        </w:rPr>
        <w:t>Arī m</w:t>
      </w:r>
      <w:r w:rsidR="009453F8" w:rsidRPr="00F57D4B">
        <w:rPr>
          <w:rFonts w:cs="Times New Roman"/>
          <w:sz w:val="24"/>
          <w:szCs w:val="24"/>
        </w:rPr>
        <w:t>ašīnbūves nozarē 2014.gadā bija vērojams neliels kāpums – par 1,</w:t>
      </w:r>
      <w:r w:rsidR="00B03322" w:rsidRPr="00F57D4B">
        <w:rPr>
          <w:rFonts w:cs="Times New Roman"/>
          <w:sz w:val="24"/>
          <w:szCs w:val="24"/>
        </w:rPr>
        <w:t>5</w:t>
      </w:r>
      <w:r w:rsidR="009453F8" w:rsidRPr="00F57D4B">
        <w:rPr>
          <w:rFonts w:cs="Times New Roman"/>
          <w:sz w:val="24"/>
          <w:szCs w:val="24"/>
        </w:rPr>
        <w:t xml:space="preserve">%, ko galvenokārt ietekmēja </w:t>
      </w:r>
      <w:r w:rsidR="00B03322" w:rsidRPr="00F57D4B">
        <w:rPr>
          <w:rFonts w:cs="Times New Roman"/>
          <w:sz w:val="24"/>
          <w:szCs w:val="24"/>
        </w:rPr>
        <w:t xml:space="preserve">ārējais </w:t>
      </w:r>
      <w:r w:rsidR="009453F8" w:rsidRPr="00F57D4B">
        <w:rPr>
          <w:rFonts w:cs="Times New Roman"/>
          <w:sz w:val="24"/>
          <w:szCs w:val="24"/>
        </w:rPr>
        <w:t>pieprasījum</w:t>
      </w:r>
      <w:r w:rsidR="00B03322" w:rsidRPr="00F57D4B">
        <w:rPr>
          <w:rFonts w:cs="Times New Roman"/>
          <w:sz w:val="24"/>
          <w:szCs w:val="24"/>
        </w:rPr>
        <w:t>s</w:t>
      </w:r>
      <w:r w:rsidR="009453F8" w:rsidRPr="00F57D4B">
        <w:rPr>
          <w:rFonts w:cs="Times New Roman"/>
          <w:sz w:val="24"/>
          <w:szCs w:val="24"/>
        </w:rPr>
        <w:t>.</w:t>
      </w:r>
      <w:r w:rsidR="004432FC" w:rsidRPr="00F57D4B">
        <w:rPr>
          <w:rFonts w:cs="Times New Roman"/>
          <w:sz w:val="24"/>
          <w:szCs w:val="24"/>
        </w:rPr>
        <w:t xml:space="preserve"> Cauruļvadu nozarē </w:t>
      </w:r>
      <w:r w:rsidR="00B03322" w:rsidRPr="00F57D4B">
        <w:rPr>
          <w:rFonts w:cs="Times New Roman"/>
          <w:sz w:val="24"/>
          <w:szCs w:val="24"/>
        </w:rPr>
        <w:t xml:space="preserve">pieprasījuma </w:t>
      </w:r>
      <w:r w:rsidR="004432FC" w:rsidRPr="00F57D4B">
        <w:rPr>
          <w:rFonts w:cs="Times New Roman"/>
          <w:sz w:val="24"/>
          <w:szCs w:val="24"/>
        </w:rPr>
        <w:t xml:space="preserve">pieaugums </w:t>
      </w:r>
      <w:r w:rsidR="00B03322" w:rsidRPr="00F57D4B">
        <w:rPr>
          <w:rFonts w:cs="Times New Roman"/>
          <w:sz w:val="24"/>
          <w:szCs w:val="24"/>
        </w:rPr>
        <w:t xml:space="preserve">2014.gadā </w:t>
      </w:r>
      <w:r w:rsidR="004432FC" w:rsidRPr="00F57D4B">
        <w:rPr>
          <w:rFonts w:cs="Times New Roman"/>
          <w:sz w:val="24"/>
          <w:szCs w:val="24"/>
        </w:rPr>
        <w:t xml:space="preserve">bija straujāks – par </w:t>
      </w:r>
      <w:r w:rsidR="00B03322" w:rsidRPr="00F57D4B">
        <w:rPr>
          <w:rFonts w:cs="Times New Roman"/>
          <w:sz w:val="24"/>
          <w:szCs w:val="24"/>
        </w:rPr>
        <w:t>3,9</w:t>
      </w:r>
      <w:r w:rsidR="00231192" w:rsidRPr="00F57D4B">
        <w:rPr>
          <w:rFonts w:cs="Times New Roman"/>
          <w:sz w:val="24"/>
          <w:szCs w:val="24"/>
        </w:rPr>
        <w:t xml:space="preserve">%. Tomēr 2015.gadā tērauda pieprasījums cauruļvadu nozarē ir zemāks nekā pērn. </w:t>
      </w:r>
      <w:r w:rsidR="00A2718E" w:rsidRPr="00F57D4B">
        <w:rPr>
          <w:rFonts w:cs="Times New Roman"/>
          <w:sz w:val="24"/>
          <w:szCs w:val="24"/>
        </w:rPr>
        <w:t>Metālizstrādājumu nozarē pieprasījuma pieaugums 2014.gadā bija 2,</w:t>
      </w:r>
      <w:r w:rsidR="00A65BE5" w:rsidRPr="00F57D4B">
        <w:rPr>
          <w:rFonts w:cs="Times New Roman"/>
          <w:sz w:val="24"/>
          <w:szCs w:val="24"/>
        </w:rPr>
        <w:t>5</w:t>
      </w:r>
      <w:r w:rsidR="00A2718E" w:rsidRPr="00F57D4B">
        <w:rPr>
          <w:rFonts w:cs="Times New Roman"/>
          <w:sz w:val="24"/>
          <w:szCs w:val="24"/>
        </w:rPr>
        <w:t>%</w:t>
      </w:r>
      <w:r w:rsidR="00104B0E" w:rsidRPr="00F57D4B">
        <w:rPr>
          <w:rFonts w:cs="Times New Roman"/>
          <w:sz w:val="24"/>
          <w:szCs w:val="24"/>
        </w:rPr>
        <w:t>, ko galvenokārt ietekmēja zemākas izmaksas saistībā ar zemām enerģijas cenām</w:t>
      </w:r>
      <w:r w:rsidR="00A2718E" w:rsidRPr="00F57D4B">
        <w:rPr>
          <w:rFonts w:cs="Times New Roman"/>
          <w:sz w:val="24"/>
          <w:szCs w:val="24"/>
        </w:rPr>
        <w:t>.</w:t>
      </w:r>
    </w:p>
    <w:p w:rsidR="00911DD7" w:rsidRPr="00F57D4B" w:rsidRDefault="001B5529" w:rsidP="001B5529">
      <w:pPr>
        <w:spacing w:after="80"/>
        <w:ind w:firstLine="283"/>
        <w:jc w:val="both"/>
        <w:rPr>
          <w:rFonts w:cs="Times New Roman"/>
          <w:sz w:val="24"/>
          <w:szCs w:val="24"/>
        </w:rPr>
      </w:pPr>
      <w:r w:rsidRPr="00F57D4B">
        <w:rPr>
          <w:rFonts w:cs="Times New Roman"/>
          <w:sz w:val="24"/>
          <w:szCs w:val="24"/>
        </w:rPr>
        <w:t xml:space="preserve">Saskaņā ar EUROFER </w:t>
      </w:r>
      <w:r w:rsidRPr="00F57D4B">
        <w:rPr>
          <w:rFonts w:cs="Times New Roman"/>
          <w:b/>
          <w:sz w:val="24"/>
          <w:szCs w:val="24"/>
        </w:rPr>
        <w:t>prognozēm</w:t>
      </w:r>
      <w:r w:rsidRPr="00F57D4B">
        <w:rPr>
          <w:rFonts w:cs="Times New Roman"/>
          <w:sz w:val="24"/>
          <w:szCs w:val="24"/>
        </w:rPr>
        <w:t xml:space="preserve"> 201</w:t>
      </w:r>
      <w:r w:rsidR="00000937" w:rsidRPr="00F57D4B">
        <w:rPr>
          <w:rFonts w:cs="Times New Roman"/>
          <w:sz w:val="24"/>
          <w:szCs w:val="24"/>
        </w:rPr>
        <w:t>5</w:t>
      </w:r>
      <w:r w:rsidRPr="00F57D4B">
        <w:rPr>
          <w:rFonts w:cs="Times New Roman"/>
          <w:sz w:val="24"/>
          <w:szCs w:val="24"/>
        </w:rPr>
        <w:t xml:space="preserve">.gadā </w:t>
      </w:r>
      <w:r w:rsidR="009524D6" w:rsidRPr="00F57D4B">
        <w:rPr>
          <w:rFonts w:cs="Times New Roman"/>
          <w:sz w:val="24"/>
          <w:szCs w:val="24"/>
        </w:rPr>
        <w:t xml:space="preserve">un 2016.gadā </w:t>
      </w:r>
      <w:r w:rsidRPr="00F57D4B">
        <w:rPr>
          <w:rFonts w:cs="Times New Roman"/>
          <w:sz w:val="24"/>
          <w:szCs w:val="24"/>
        </w:rPr>
        <w:t xml:space="preserve">pieprasījums būs </w:t>
      </w:r>
      <w:r w:rsidR="00000937" w:rsidRPr="00F57D4B">
        <w:rPr>
          <w:rFonts w:cs="Times New Roman"/>
          <w:sz w:val="24"/>
          <w:szCs w:val="24"/>
        </w:rPr>
        <w:t xml:space="preserve">augstāks </w:t>
      </w:r>
      <w:r w:rsidRPr="00F57D4B">
        <w:rPr>
          <w:rFonts w:cs="Times New Roman"/>
          <w:sz w:val="24"/>
          <w:szCs w:val="24"/>
        </w:rPr>
        <w:t>nekā 201</w:t>
      </w:r>
      <w:r w:rsidR="00000937" w:rsidRPr="00F57D4B">
        <w:rPr>
          <w:rFonts w:cs="Times New Roman"/>
          <w:sz w:val="24"/>
          <w:szCs w:val="24"/>
        </w:rPr>
        <w:t>4</w:t>
      </w:r>
      <w:r w:rsidRPr="00F57D4B">
        <w:rPr>
          <w:rFonts w:cs="Times New Roman"/>
          <w:sz w:val="24"/>
          <w:szCs w:val="24"/>
        </w:rPr>
        <w:t>.gadā</w:t>
      </w:r>
      <w:r w:rsidR="00000937" w:rsidRPr="00F57D4B">
        <w:rPr>
          <w:rFonts w:cs="Times New Roman"/>
          <w:sz w:val="24"/>
          <w:szCs w:val="24"/>
        </w:rPr>
        <w:t xml:space="preserve"> visās galvenajās tērauda izmantošanas nozarēs</w:t>
      </w:r>
      <w:r w:rsidR="00DF4B79" w:rsidRPr="00F57D4B">
        <w:rPr>
          <w:rFonts w:cs="Times New Roman"/>
          <w:sz w:val="24"/>
          <w:szCs w:val="24"/>
        </w:rPr>
        <w:t xml:space="preserve"> (izņemot cauruļvadu nozarē 2015.gadā)</w:t>
      </w:r>
      <w:r w:rsidRPr="00F57D4B">
        <w:rPr>
          <w:rFonts w:cs="Times New Roman"/>
          <w:sz w:val="24"/>
          <w:szCs w:val="24"/>
        </w:rPr>
        <w:t xml:space="preserve">. </w:t>
      </w:r>
      <w:r w:rsidR="0007065B">
        <w:rPr>
          <w:rFonts w:cs="Times New Roman"/>
          <w:sz w:val="24"/>
          <w:szCs w:val="24"/>
        </w:rPr>
        <w:t xml:space="preserve">Taču vienlaikus kopējais pieprasījums ievērojami atpaliek no 2011.gada līmeņa. </w:t>
      </w:r>
      <w:r w:rsidR="00DF4B79" w:rsidRPr="00F57D4B">
        <w:rPr>
          <w:rFonts w:cs="Times New Roman"/>
          <w:sz w:val="24"/>
          <w:szCs w:val="24"/>
        </w:rPr>
        <w:t>Straujākais</w:t>
      </w:r>
      <w:r w:rsidR="00000937" w:rsidRPr="00F57D4B">
        <w:rPr>
          <w:rFonts w:cs="Times New Roman"/>
          <w:sz w:val="24"/>
          <w:szCs w:val="24"/>
        </w:rPr>
        <w:t xml:space="preserve"> kāpums 2015.gadā tiek prognozēts autobūves nozarē</w:t>
      </w:r>
      <w:r w:rsidR="009524D6" w:rsidRPr="00F57D4B">
        <w:rPr>
          <w:rFonts w:cs="Times New Roman"/>
          <w:sz w:val="24"/>
          <w:szCs w:val="24"/>
        </w:rPr>
        <w:t xml:space="preserve">, kas </w:t>
      </w:r>
      <w:r w:rsidR="00EC7AD7" w:rsidRPr="00F57D4B">
        <w:rPr>
          <w:rFonts w:cs="Times New Roman"/>
          <w:sz w:val="24"/>
          <w:szCs w:val="24"/>
        </w:rPr>
        <w:t>2015.</w:t>
      </w:r>
      <w:r w:rsidR="009524D6" w:rsidRPr="00F57D4B">
        <w:rPr>
          <w:rFonts w:cs="Times New Roman"/>
          <w:sz w:val="24"/>
          <w:szCs w:val="24"/>
        </w:rPr>
        <w:t xml:space="preserve">gadu jau sākusi </w:t>
      </w:r>
      <w:r w:rsidR="008E15F4" w:rsidRPr="00F57D4B">
        <w:rPr>
          <w:rFonts w:cs="Times New Roman"/>
          <w:sz w:val="24"/>
          <w:szCs w:val="24"/>
        </w:rPr>
        <w:t>ar strauju kāpumu vieglo pasažieru transporta tirdzniecībā visās ES lielākajās valstīs</w:t>
      </w:r>
      <w:r w:rsidRPr="00F57D4B">
        <w:rPr>
          <w:rFonts w:cs="Times New Roman"/>
          <w:sz w:val="24"/>
          <w:szCs w:val="24"/>
        </w:rPr>
        <w:t>.</w:t>
      </w:r>
      <w:r w:rsidR="008E15F4" w:rsidRPr="00F57D4B">
        <w:rPr>
          <w:rFonts w:cs="Times New Roman"/>
          <w:sz w:val="24"/>
          <w:szCs w:val="24"/>
        </w:rPr>
        <w:t xml:space="preserve"> ES transporta tirgus izaugsmi 2015.un 2016.gadā nodrošinās zemo naftas cenu ietekme uz rīcībā esošajiem ienākumiem, kā arī situācijas uzlabošanās darba tirgū. </w:t>
      </w:r>
      <w:r w:rsidR="00DF4B79" w:rsidRPr="00F57D4B">
        <w:rPr>
          <w:rFonts w:cs="Times New Roman"/>
          <w:sz w:val="24"/>
          <w:szCs w:val="24"/>
        </w:rPr>
        <w:t>Arī b</w:t>
      </w:r>
      <w:r w:rsidR="00ED6A15" w:rsidRPr="00F57D4B">
        <w:rPr>
          <w:rFonts w:cs="Times New Roman"/>
          <w:sz w:val="24"/>
          <w:szCs w:val="24"/>
        </w:rPr>
        <w:t xml:space="preserve">ūvniecības nozarē </w:t>
      </w:r>
      <w:r w:rsidR="009524D6" w:rsidRPr="00F57D4B">
        <w:rPr>
          <w:rFonts w:cs="Times New Roman"/>
          <w:sz w:val="24"/>
          <w:szCs w:val="24"/>
        </w:rPr>
        <w:t>2015.gadā pieprasījums</w:t>
      </w:r>
      <w:r w:rsidR="00ED6A15" w:rsidRPr="00F57D4B">
        <w:rPr>
          <w:rFonts w:cs="Times New Roman"/>
          <w:sz w:val="24"/>
          <w:szCs w:val="24"/>
        </w:rPr>
        <w:t xml:space="preserve"> </w:t>
      </w:r>
      <w:r w:rsidR="00DF4B79" w:rsidRPr="00F57D4B">
        <w:rPr>
          <w:rFonts w:cs="Times New Roman"/>
          <w:sz w:val="24"/>
          <w:szCs w:val="24"/>
        </w:rPr>
        <w:t xml:space="preserve">nedaudz </w:t>
      </w:r>
      <w:r w:rsidR="00ED6A15" w:rsidRPr="00F57D4B">
        <w:rPr>
          <w:rFonts w:cs="Times New Roman"/>
          <w:sz w:val="24"/>
          <w:szCs w:val="24"/>
        </w:rPr>
        <w:t xml:space="preserve">pieaugs, </w:t>
      </w:r>
      <w:r w:rsidR="009524D6" w:rsidRPr="00F57D4B">
        <w:rPr>
          <w:rFonts w:cs="Times New Roman"/>
          <w:sz w:val="24"/>
          <w:szCs w:val="24"/>
        </w:rPr>
        <w:t>ko galvenokārt nodrošinās dzīvojam</w:t>
      </w:r>
      <w:r w:rsidR="00EC7AD7" w:rsidRPr="00F57D4B">
        <w:rPr>
          <w:rFonts w:cs="Times New Roman"/>
          <w:sz w:val="24"/>
          <w:szCs w:val="24"/>
        </w:rPr>
        <w:t>o</w:t>
      </w:r>
      <w:r w:rsidR="009524D6" w:rsidRPr="00F57D4B">
        <w:rPr>
          <w:rFonts w:cs="Times New Roman"/>
          <w:sz w:val="24"/>
          <w:szCs w:val="24"/>
        </w:rPr>
        <w:t xml:space="preserve"> </w:t>
      </w:r>
      <w:r w:rsidR="00EC7AD7" w:rsidRPr="00F57D4B">
        <w:rPr>
          <w:rFonts w:cs="Times New Roman"/>
          <w:sz w:val="24"/>
          <w:szCs w:val="24"/>
        </w:rPr>
        <w:t>ēku celtniecības apjomu kāpums</w:t>
      </w:r>
      <w:r w:rsidR="009524D6" w:rsidRPr="00F57D4B">
        <w:rPr>
          <w:rFonts w:cs="Times New Roman"/>
          <w:sz w:val="24"/>
          <w:szCs w:val="24"/>
        </w:rPr>
        <w:t xml:space="preserve">, bet 2016.gadā izaugsme </w:t>
      </w:r>
      <w:r w:rsidR="00EC7AD7" w:rsidRPr="00F57D4B">
        <w:rPr>
          <w:rFonts w:cs="Times New Roman"/>
          <w:sz w:val="24"/>
          <w:szCs w:val="24"/>
        </w:rPr>
        <w:t>būs straujāka</w:t>
      </w:r>
      <w:r w:rsidR="009524D6" w:rsidRPr="00F57D4B">
        <w:rPr>
          <w:rFonts w:cs="Times New Roman"/>
          <w:sz w:val="24"/>
          <w:szCs w:val="24"/>
        </w:rPr>
        <w:t xml:space="preserve">. </w:t>
      </w:r>
      <w:r w:rsidR="009453F8" w:rsidRPr="00F57D4B">
        <w:rPr>
          <w:rFonts w:cs="Times New Roman"/>
          <w:sz w:val="24"/>
          <w:szCs w:val="24"/>
        </w:rPr>
        <w:t>M</w:t>
      </w:r>
      <w:r w:rsidR="00ED6A15" w:rsidRPr="00F57D4B">
        <w:rPr>
          <w:rFonts w:cs="Times New Roman"/>
          <w:sz w:val="24"/>
          <w:szCs w:val="24"/>
        </w:rPr>
        <w:t xml:space="preserve">ašīnbūves nozarē </w:t>
      </w:r>
      <w:r w:rsidR="009453F8" w:rsidRPr="00F57D4B">
        <w:rPr>
          <w:rFonts w:cs="Times New Roman"/>
          <w:sz w:val="24"/>
          <w:szCs w:val="24"/>
        </w:rPr>
        <w:t xml:space="preserve">2015.gadā pieprasījums </w:t>
      </w:r>
      <w:r w:rsidR="00DF4B79" w:rsidRPr="00F57D4B">
        <w:rPr>
          <w:rFonts w:cs="Times New Roman"/>
          <w:sz w:val="24"/>
          <w:szCs w:val="24"/>
        </w:rPr>
        <w:t>praktiski saglabāsies iepriekšējā gada līmenī</w:t>
      </w:r>
      <w:r w:rsidR="00ED6A15" w:rsidRPr="00F57D4B">
        <w:rPr>
          <w:rFonts w:cs="Times New Roman"/>
          <w:sz w:val="24"/>
          <w:szCs w:val="24"/>
        </w:rPr>
        <w:t>,</w:t>
      </w:r>
      <w:r w:rsidR="004432FC" w:rsidRPr="00F57D4B">
        <w:rPr>
          <w:rFonts w:cs="Times New Roman"/>
          <w:sz w:val="24"/>
          <w:szCs w:val="24"/>
        </w:rPr>
        <w:t xml:space="preserve"> savukārt uzlabojoties uzņēmējdarbības </w:t>
      </w:r>
      <w:r w:rsidR="00EC7AD7" w:rsidRPr="00F57D4B">
        <w:rPr>
          <w:rFonts w:cs="Times New Roman"/>
          <w:sz w:val="24"/>
          <w:szCs w:val="24"/>
        </w:rPr>
        <w:t>aktivitātēm</w:t>
      </w:r>
      <w:r w:rsidR="004432FC" w:rsidRPr="00F57D4B">
        <w:rPr>
          <w:rFonts w:cs="Times New Roman"/>
          <w:sz w:val="24"/>
          <w:szCs w:val="24"/>
        </w:rPr>
        <w:t xml:space="preserve"> 2016.gadā sagaidāms </w:t>
      </w:r>
      <w:r w:rsidR="00DF4B79" w:rsidRPr="00F57D4B">
        <w:rPr>
          <w:rFonts w:cs="Times New Roman"/>
          <w:sz w:val="24"/>
          <w:szCs w:val="24"/>
        </w:rPr>
        <w:t xml:space="preserve">jau </w:t>
      </w:r>
      <w:r w:rsidR="004432FC" w:rsidRPr="00F57D4B">
        <w:rPr>
          <w:rFonts w:cs="Times New Roman"/>
          <w:sz w:val="24"/>
          <w:szCs w:val="24"/>
        </w:rPr>
        <w:t>straujāks kāpums.</w:t>
      </w:r>
      <w:r w:rsidR="00ED6A15" w:rsidRPr="00F57D4B">
        <w:rPr>
          <w:rFonts w:cs="Times New Roman"/>
          <w:sz w:val="24"/>
          <w:szCs w:val="24"/>
        </w:rPr>
        <w:t xml:space="preserve"> </w:t>
      </w:r>
      <w:r w:rsidR="004432FC" w:rsidRPr="00F57D4B">
        <w:rPr>
          <w:rFonts w:cs="Times New Roman"/>
          <w:sz w:val="24"/>
          <w:szCs w:val="24"/>
        </w:rPr>
        <w:t>Galvenie faktori perspektīvām mašīnbūves nozarē ir konfidence</w:t>
      </w:r>
      <w:r w:rsidR="00EC7AD7" w:rsidRPr="00F57D4B">
        <w:rPr>
          <w:rFonts w:cs="Times New Roman"/>
          <w:sz w:val="24"/>
          <w:szCs w:val="24"/>
        </w:rPr>
        <w:t>s uzlabošanās</w:t>
      </w:r>
      <w:r w:rsidR="004432FC" w:rsidRPr="00F57D4B">
        <w:rPr>
          <w:rFonts w:cs="Times New Roman"/>
          <w:sz w:val="24"/>
          <w:szCs w:val="24"/>
        </w:rPr>
        <w:t xml:space="preserve">, </w:t>
      </w:r>
      <w:r w:rsidR="00EC7AD7" w:rsidRPr="00F57D4B">
        <w:rPr>
          <w:rFonts w:cs="Times New Roman"/>
          <w:sz w:val="24"/>
          <w:szCs w:val="24"/>
        </w:rPr>
        <w:t xml:space="preserve">zemās </w:t>
      </w:r>
      <w:r w:rsidR="004432FC" w:rsidRPr="00F57D4B">
        <w:rPr>
          <w:rFonts w:cs="Times New Roman"/>
          <w:sz w:val="24"/>
          <w:szCs w:val="24"/>
        </w:rPr>
        <w:t>izmaksas un finanšu pieejamība</w:t>
      </w:r>
      <w:r w:rsidR="00EC7AD7" w:rsidRPr="00F57D4B">
        <w:rPr>
          <w:rFonts w:cs="Times New Roman"/>
          <w:sz w:val="24"/>
          <w:szCs w:val="24"/>
        </w:rPr>
        <w:t>s uzlabošanās</w:t>
      </w:r>
      <w:r w:rsidR="004432FC" w:rsidRPr="00F57D4B">
        <w:rPr>
          <w:rFonts w:cs="Times New Roman"/>
          <w:sz w:val="24"/>
          <w:szCs w:val="24"/>
        </w:rPr>
        <w:t xml:space="preserve">. </w:t>
      </w:r>
      <w:r w:rsidR="00302024" w:rsidRPr="00F57D4B">
        <w:rPr>
          <w:rFonts w:cs="Times New Roman"/>
          <w:sz w:val="24"/>
          <w:szCs w:val="24"/>
        </w:rPr>
        <w:t>Cauruļvadu nozarē turpmākās perspektīvas ir vāj</w:t>
      </w:r>
      <w:r w:rsidR="00EC7AD7" w:rsidRPr="00F57D4B">
        <w:rPr>
          <w:rFonts w:cs="Times New Roman"/>
          <w:sz w:val="24"/>
          <w:szCs w:val="24"/>
        </w:rPr>
        <w:t>āk</w:t>
      </w:r>
      <w:r w:rsidR="00302024" w:rsidRPr="00F57D4B">
        <w:rPr>
          <w:rFonts w:cs="Times New Roman"/>
          <w:sz w:val="24"/>
          <w:szCs w:val="24"/>
        </w:rPr>
        <w:t xml:space="preserve">as, kas saistītas ar </w:t>
      </w:r>
      <w:r w:rsidR="00EC7AD7" w:rsidRPr="00F57D4B">
        <w:rPr>
          <w:rFonts w:cs="Times New Roman"/>
          <w:sz w:val="24"/>
          <w:szCs w:val="24"/>
        </w:rPr>
        <w:t>mazāku</w:t>
      </w:r>
      <w:r w:rsidR="00302024" w:rsidRPr="00F57D4B">
        <w:rPr>
          <w:rFonts w:cs="Times New Roman"/>
          <w:sz w:val="24"/>
          <w:szCs w:val="24"/>
        </w:rPr>
        <w:t xml:space="preserve"> cauruļvadu izstrādājumu pieprasījumu naftas eksportētājvalstīs. </w:t>
      </w:r>
      <w:r w:rsidR="00A2718E" w:rsidRPr="00F57D4B">
        <w:rPr>
          <w:rFonts w:cs="Times New Roman"/>
          <w:sz w:val="24"/>
          <w:szCs w:val="24"/>
        </w:rPr>
        <w:t xml:space="preserve">Straujš naftas cenu kritums ir izraisījis investīciju kritumu naftas un gāzes uzņēmumos. </w:t>
      </w:r>
      <w:r w:rsidR="00302024" w:rsidRPr="00F57D4B">
        <w:rPr>
          <w:rFonts w:cs="Times New Roman"/>
          <w:sz w:val="24"/>
          <w:szCs w:val="24"/>
        </w:rPr>
        <w:t xml:space="preserve">Tikmēr </w:t>
      </w:r>
      <w:r w:rsidR="00A2718E" w:rsidRPr="00F57D4B">
        <w:rPr>
          <w:rFonts w:cs="Times New Roman"/>
          <w:sz w:val="24"/>
          <w:szCs w:val="24"/>
        </w:rPr>
        <w:t xml:space="preserve">saglabāsies mazo cauruļvadu pieprasījums būvniecības, autobūves un metālizstrādājumu nozarēs, kas 2015.gadā </w:t>
      </w:r>
      <w:r w:rsidR="006F3154" w:rsidRPr="00F57D4B">
        <w:rPr>
          <w:rFonts w:cs="Times New Roman"/>
          <w:sz w:val="24"/>
          <w:szCs w:val="24"/>
        </w:rPr>
        <w:t>nedaudz kompensēs pieprasījuma mazināšanos nozarē.</w:t>
      </w:r>
      <w:r w:rsidR="00A2718E" w:rsidRPr="00F57D4B">
        <w:rPr>
          <w:rFonts w:cs="Times New Roman"/>
          <w:sz w:val="24"/>
          <w:szCs w:val="24"/>
        </w:rPr>
        <w:t xml:space="preserve"> 2016.gadā</w:t>
      </w:r>
      <w:r w:rsidR="0007065B">
        <w:rPr>
          <w:rFonts w:cs="Times New Roman"/>
          <w:sz w:val="24"/>
          <w:szCs w:val="24"/>
        </w:rPr>
        <w:t>,</w:t>
      </w:r>
      <w:r w:rsidR="00A2718E" w:rsidRPr="00F57D4B">
        <w:rPr>
          <w:rFonts w:cs="Times New Roman"/>
          <w:sz w:val="24"/>
          <w:szCs w:val="24"/>
        </w:rPr>
        <w:t xml:space="preserve"> </w:t>
      </w:r>
      <w:r w:rsidR="006F3154" w:rsidRPr="00F57D4B">
        <w:rPr>
          <w:rFonts w:cs="Times New Roman"/>
          <w:sz w:val="24"/>
          <w:szCs w:val="24"/>
        </w:rPr>
        <w:t>izzūdot bāzes efektam</w:t>
      </w:r>
      <w:r w:rsidR="0007065B">
        <w:rPr>
          <w:rFonts w:cs="Times New Roman"/>
          <w:sz w:val="24"/>
          <w:szCs w:val="24"/>
        </w:rPr>
        <w:t>,</w:t>
      </w:r>
      <w:r w:rsidR="006F3154" w:rsidRPr="00F57D4B">
        <w:rPr>
          <w:rFonts w:cs="Times New Roman"/>
          <w:sz w:val="24"/>
          <w:szCs w:val="24"/>
        </w:rPr>
        <w:t xml:space="preserve"> pieprasījums cauruļvadu nozarē pieaugs</w:t>
      </w:r>
      <w:r w:rsidR="00A2718E" w:rsidRPr="00F57D4B">
        <w:rPr>
          <w:rFonts w:cs="Times New Roman"/>
          <w:sz w:val="24"/>
          <w:szCs w:val="24"/>
        </w:rPr>
        <w:t>. M</w:t>
      </w:r>
      <w:r w:rsidR="00ED6A15" w:rsidRPr="00F57D4B">
        <w:rPr>
          <w:rFonts w:cs="Times New Roman"/>
          <w:sz w:val="24"/>
          <w:szCs w:val="24"/>
        </w:rPr>
        <w:t>etālizstrādājum</w:t>
      </w:r>
      <w:r w:rsidR="00A2718E" w:rsidRPr="00F57D4B">
        <w:rPr>
          <w:rFonts w:cs="Times New Roman"/>
          <w:sz w:val="24"/>
          <w:szCs w:val="24"/>
        </w:rPr>
        <w:t>u nozarē pieprasījumam</w:t>
      </w:r>
      <w:r w:rsidR="00ED6A15" w:rsidRPr="00F57D4B">
        <w:rPr>
          <w:rFonts w:cs="Times New Roman"/>
          <w:sz w:val="24"/>
          <w:szCs w:val="24"/>
        </w:rPr>
        <w:t xml:space="preserve"> </w:t>
      </w:r>
      <w:r w:rsidR="00A2718E" w:rsidRPr="00F57D4B">
        <w:rPr>
          <w:rFonts w:cs="Times New Roman"/>
          <w:sz w:val="24"/>
          <w:szCs w:val="24"/>
        </w:rPr>
        <w:t>2015.gad</w:t>
      </w:r>
      <w:r w:rsidR="006F3154" w:rsidRPr="00F57D4B">
        <w:rPr>
          <w:rFonts w:cs="Times New Roman"/>
          <w:sz w:val="24"/>
          <w:szCs w:val="24"/>
        </w:rPr>
        <w:t xml:space="preserve">a otrajā pusē uzlabosies, kas kopumā gadā nodrošinās stabilu pieaugumu. Arī  </w:t>
      </w:r>
      <w:r w:rsidR="00A2718E" w:rsidRPr="00F57D4B">
        <w:rPr>
          <w:rFonts w:cs="Times New Roman"/>
          <w:sz w:val="24"/>
          <w:szCs w:val="24"/>
        </w:rPr>
        <w:t>2016.gad</w:t>
      </w:r>
      <w:r w:rsidR="006F3154" w:rsidRPr="00F57D4B">
        <w:rPr>
          <w:rFonts w:cs="Times New Roman"/>
          <w:sz w:val="24"/>
          <w:szCs w:val="24"/>
        </w:rPr>
        <w:t>s tiek iezīmēts pozitīvi</w:t>
      </w:r>
      <w:r w:rsidR="00104B0E" w:rsidRPr="00F57D4B">
        <w:rPr>
          <w:rFonts w:cs="Times New Roman"/>
          <w:sz w:val="24"/>
          <w:szCs w:val="24"/>
        </w:rPr>
        <w:t xml:space="preserve">. Vājais </w:t>
      </w:r>
      <w:r w:rsidR="00F60846" w:rsidRPr="00F57D4B">
        <w:rPr>
          <w:rFonts w:cs="Times New Roman"/>
          <w:sz w:val="24"/>
          <w:szCs w:val="24"/>
        </w:rPr>
        <w:t>eiro</w:t>
      </w:r>
      <w:r w:rsidR="00104B0E" w:rsidRPr="00F57D4B">
        <w:rPr>
          <w:rFonts w:cs="Times New Roman"/>
          <w:sz w:val="24"/>
          <w:szCs w:val="24"/>
        </w:rPr>
        <w:t xml:space="preserve"> kurss </w:t>
      </w:r>
      <w:r w:rsidR="00EC7AD7" w:rsidRPr="00F57D4B">
        <w:rPr>
          <w:rFonts w:cs="Times New Roman"/>
          <w:sz w:val="24"/>
          <w:szCs w:val="24"/>
        </w:rPr>
        <w:t xml:space="preserve">attiecībā pret ASV dolāru </w:t>
      </w:r>
      <w:r w:rsidR="00104B0E" w:rsidRPr="00F57D4B">
        <w:rPr>
          <w:rFonts w:cs="Times New Roman"/>
          <w:sz w:val="24"/>
          <w:szCs w:val="24"/>
        </w:rPr>
        <w:t xml:space="preserve">palielinās eksporta iespējas, savukārt zemās enerģijas izmaksas stimulēs iekšzemes pieprasījumu. 2015.gadā pieprasījuma pieaugumu </w:t>
      </w:r>
      <w:r w:rsidR="00F60846" w:rsidRPr="00F57D4B">
        <w:rPr>
          <w:rFonts w:cs="Times New Roman"/>
          <w:sz w:val="24"/>
          <w:szCs w:val="24"/>
        </w:rPr>
        <w:t xml:space="preserve">vairāk </w:t>
      </w:r>
      <w:r w:rsidR="00104B0E" w:rsidRPr="00F57D4B">
        <w:rPr>
          <w:rFonts w:cs="Times New Roman"/>
          <w:sz w:val="24"/>
          <w:szCs w:val="24"/>
        </w:rPr>
        <w:t xml:space="preserve">ietekmēs privātais patēriņš, bet 2016.gadā </w:t>
      </w:r>
      <w:r w:rsidR="00F60846" w:rsidRPr="00F57D4B">
        <w:rPr>
          <w:rFonts w:cs="Times New Roman"/>
          <w:sz w:val="24"/>
          <w:szCs w:val="24"/>
        </w:rPr>
        <w:t>–</w:t>
      </w:r>
      <w:r w:rsidR="00104B0E" w:rsidRPr="00F57D4B">
        <w:rPr>
          <w:rFonts w:cs="Times New Roman"/>
          <w:sz w:val="24"/>
          <w:szCs w:val="24"/>
        </w:rPr>
        <w:t xml:space="preserve"> investīciju kāpums.</w:t>
      </w:r>
    </w:p>
    <w:p w:rsidR="00DE4287" w:rsidRPr="00F57D4B" w:rsidRDefault="00DE4287" w:rsidP="001B5529">
      <w:pPr>
        <w:spacing w:after="80"/>
        <w:ind w:firstLine="283"/>
        <w:jc w:val="both"/>
        <w:rPr>
          <w:rFonts w:cs="Times New Roman"/>
          <w:sz w:val="24"/>
          <w:szCs w:val="24"/>
        </w:rPr>
      </w:pPr>
    </w:p>
    <w:p w:rsidR="00E34851" w:rsidRPr="00F57D4B" w:rsidRDefault="00ED6A15" w:rsidP="00F60846">
      <w:pPr>
        <w:pStyle w:val="BodyTextIndent2"/>
        <w:keepNext/>
        <w:spacing w:after="60" w:line="240" w:lineRule="auto"/>
        <w:ind w:left="0"/>
        <w:jc w:val="center"/>
        <w:rPr>
          <w:b/>
          <w:lang w:val="lv-LV"/>
        </w:rPr>
      </w:pPr>
      <w:r w:rsidRPr="00F57D4B">
        <w:rPr>
          <w:bCs/>
          <w:lang w:val="lv-LV"/>
        </w:rPr>
        <w:lastRenderedPageBreak/>
        <w:t>3</w:t>
      </w:r>
      <w:r w:rsidR="00E34851" w:rsidRPr="00F57D4B">
        <w:rPr>
          <w:bCs/>
          <w:lang w:val="lv-LV"/>
        </w:rPr>
        <w:t>.attēls.</w:t>
      </w:r>
      <w:r w:rsidR="00E34851" w:rsidRPr="00F57D4B">
        <w:rPr>
          <w:b/>
          <w:bCs/>
          <w:lang w:val="lv-LV"/>
        </w:rPr>
        <w:t> </w:t>
      </w:r>
      <w:r w:rsidR="00F60846" w:rsidRPr="00F57D4B">
        <w:rPr>
          <w:b/>
          <w:bCs/>
          <w:lang w:val="lv-LV"/>
        </w:rPr>
        <w:t>ES galveno tērauda izstrādājumu izmantojošo nozaru attīstība</w:t>
      </w:r>
    </w:p>
    <w:tbl>
      <w:tblPr>
        <w:tblStyle w:val="MediumList1-Accent4"/>
        <w:tblW w:w="5001" w:type="pct"/>
        <w:jc w:val="center"/>
        <w:tblLook w:val="0400" w:firstRow="0" w:lastRow="0" w:firstColumn="0" w:lastColumn="0" w:noHBand="0" w:noVBand="1"/>
      </w:tblPr>
      <w:tblGrid>
        <w:gridCol w:w="4536"/>
        <w:gridCol w:w="4537"/>
      </w:tblGrid>
      <w:tr w:rsidR="00063463" w:rsidRPr="00074235" w:rsidTr="00F60846">
        <w:trPr>
          <w:cnfStyle w:val="000000100000" w:firstRow="0" w:lastRow="0" w:firstColumn="0" w:lastColumn="0" w:oddVBand="0" w:evenVBand="0" w:oddHBand="1" w:evenHBand="0" w:firstRowFirstColumn="0" w:firstRowLastColumn="0" w:lastRowFirstColumn="0" w:lastRowLastColumn="0"/>
          <w:jc w:val="center"/>
        </w:trPr>
        <w:tc>
          <w:tcPr>
            <w:tcW w:w="2500" w:type="pct"/>
            <w:tcBorders>
              <w:top w:val="single" w:sz="8" w:space="0" w:color="8064A2" w:themeColor="accent4"/>
              <w:left w:val="nil"/>
              <w:bottom w:val="single" w:sz="8" w:space="0" w:color="8064A2" w:themeColor="accent4"/>
              <w:right w:val="nil"/>
            </w:tcBorders>
            <w:vAlign w:val="center"/>
          </w:tcPr>
          <w:p w:rsidR="00063463" w:rsidRPr="00074235" w:rsidRDefault="00F60846" w:rsidP="00F60846">
            <w:pPr>
              <w:tabs>
                <w:tab w:val="center" w:pos="2424"/>
              </w:tabs>
              <w:spacing w:before="60" w:after="60"/>
              <w:jc w:val="center"/>
              <w:rPr>
                <w:sz w:val="20"/>
                <w:szCs w:val="18"/>
              </w:rPr>
            </w:pPr>
            <w:r>
              <w:rPr>
                <w:sz w:val="20"/>
                <w:szCs w:val="18"/>
              </w:rPr>
              <w:t>N</w:t>
            </w:r>
            <w:r w:rsidR="00063463" w:rsidRPr="00074235">
              <w:rPr>
                <w:sz w:val="20"/>
                <w:szCs w:val="18"/>
              </w:rPr>
              <w:t>ozar</w:t>
            </w:r>
            <w:r>
              <w:rPr>
                <w:sz w:val="20"/>
                <w:szCs w:val="18"/>
              </w:rPr>
              <w:t xml:space="preserve">u struktūra </w:t>
            </w:r>
            <w:r w:rsidR="00063463" w:rsidRPr="00074235">
              <w:rPr>
                <w:sz w:val="20"/>
                <w:szCs w:val="18"/>
              </w:rPr>
              <w:t>201</w:t>
            </w:r>
            <w:r w:rsidR="00DB2FCA" w:rsidRPr="00074235">
              <w:rPr>
                <w:sz w:val="20"/>
                <w:szCs w:val="18"/>
              </w:rPr>
              <w:t>4</w:t>
            </w:r>
            <w:r w:rsidR="00063463" w:rsidRPr="00074235">
              <w:rPr>
                <w:sz w:val="20"/>
                <w:szCs w:val="18"/>
              </w:rPr>
              <w:t>.g</w:t>
            </w:r>
            <w:r>
              <w:rPr>
                <w:sz w:val="20"/>
                <w:szCs w:val="18"/>
              </w:rPr>
              <w:t>adā</w:t>
            </w:r>
            <w:r w:rsidR="00063463" w:rsidRPr="00074235">
              <w:rPr>
                <w:sz w:val="20"/>
                <w:szCs w:val="18"/>
              </w:rPr>
              <w:t>, %</w:t>
            </w:r>
          </w:p>
        </w:tc>
        <w:tc>
          <w:tcPr>
            <w:tcW w:w="2500" w:type="pct"/>
            <w:tcBorders>
              <w:top w:val="single" w:sz="8" w:space="0" w:color="8064A2" w:themeColor="accent4"/>
              <w:left w:val="nil"/>
              <w:bottom w:val="single" w:sz="8" w:space="0" w:color="8064A2" w:themeColor="accent4"/>
              <w:right w:val="nil"/>
            </w:tcBorders>
            <w:vAlign w:val="center"/>
            <w:hideMark/>
          </w:tcPr>
          <w:p w:rsidR="00063463" w:rsidRPr="00074235" w:rsidRDefault="00F60846" w:rsidP="00F60846">
            <w:pPr>
              <w:tabs>
                <w:tab w:val="center" w:pos="2424"/>
              </w:tabs>
              <w:spacing w:before="60" w:after="60"/>
              <w:jc w:val="center"/>
              <w:rPr>
                <w:sz w:val="20"/>
                <w:szCs w:val="18"/>
              </w:rPr>
            </w:pPr>
            <w:r>
              <w:rPr>
                <w:sz w:val="20"/>
                <w:szCs w:val="18"/>
              </w:rPr>
              <w:t xml:space="preserve">Nozaru attīstība </w:t>
            </w:r>
            <w:r w:rsidR="00063463" w:rsidRPr="00074235">
              <w:rPr>
                <w:sz w:val="20"/>
                <w:szCs w:val="18"/>
              </w:rPr>
              <w:t>201</w:t>
            </w:r>
            <w:r w:rsidR="00DB2FCA" w:rsidRPr="00074235">
              <w:rPr>
                <w:sz w:val="20"/>
                <w:szCs w:val="18"/>
              </w:rPr>
              <w:t>4.gad</w:t>
            </w:r>
            <w:r>
              <w:rPr>
                <w:sz w:val="20"/>
                <w:szCs w:val="18"/>
              </w:rPr>
              <w:t>ā, pieaugums %</w:t>
            </w:r>
          </w:p>
        </w:tc>
      </w:tr>
      <w:tr w:rsidR="00063463" w:rsidTr="00063463">
        <w:trPr>
          <w:jc w:val="center"/>
        </w:trPr>
        <w:tc>
          <w:tcPr>
            <w:tcW w:w="2500" w:type="pct"/>
            <w:tcBorders>
              <w:top w:val="single" w:sz="8" w:space="0" w:color="8064A2" w:themeColor="accent4"/>
              <w:left w:val="nil"/>
              <w:bottom w:val="single" w:sz="8" w:space="0" w:color="8064A2" w:themeColor="accent4"/>
              <w:right w:val="nil"/>
            </w:tcBorders>
          </w:tcPr>
          <w:p w:rsidR="00063463" w:rsidRDefault="00063463" w:rsidP="00286174">
            <w:pPr>
              <w:tabs>
                <w:tab w:val="center" w:pos="2424"/>
              </w:tabs>
              <w:spacing w:before="20" w:after="20"/>
              <w:jc w:val="center"/>
              <w:rPr>
                <w:sz w:val="18"/>
                <w:szCs w:val="18"/>
              </w:rPr>
            </w:pPr>
            <w:r>
              <w:rPr>
                <w:rFonts w:ascii="Garamond" w:hAnsi="Garamond"/>
                <w:noProof/>
                <w:sz w:val="18"/>
                <w:szCs w:val="18"/>
                <w:lang w:eastAsia="lv-LV"/>
              </w:rPr>
              <w:drawing>
                <wp:inline distT="0" distB="0" distL="0" distR="0" wp14:anchorId="52BCAD52" wp14:editId="2B51FC54">
                  <wp:extent cx="2619375" cy="20955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500" w:type="pct"/>
            <w:tcBorders>
              <w:top w:val="single" w:sz="8" w:space="0" w:color="8064A2" w:themeColor="accent4"/>
              <w:left w:val="nil"/>
              <w:bottom w:val="single" w:sz="8" w:space="0" w:color="8064A2" w:themeColor="accent4"/>
              <w:right w:val="nil"/>
            </w:tcBorders>
            <w:hideMark/>
          </w:tcPr>
          <w:p w:rsidR="00063463" w:rsidRDefault="00063463" w:rsidP="00286174">
            <w:pPr>
              <w:tabs>
                <w:tab w:val="center" w:pos="2424"/>
              </w:tabs>
              <w:spacing w:before="20" w:after="20"/>
              <w:jc w:val="center"/>
              <w:rPr>
                <w:sz w:val="18"/>
                <w:szCs w:val="18"/>
              </w:rPr>
            </w:pPr>
            <w:r>
              <w:rPr>
                <w:rFonts w:ascii="Garamond" w:hAnsi="Garamond"/>
                <w:noProof/>
                <w:sz w:val="18"/>
                <w:szCs w:val="18"/>
                <w:lang w:eastAsia="lv-LV"/>
              </w:rPr>
              <w:drawing>
                <wp:inline distT="0" distB="0" distL="0" distR="0" wp14:anchorId="0349FEAE" wp14:editId="48BC1CB9">
                  <wp:extent cx="2533650" cy="209550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F60846" w:rsidRDefault="00E34851" w:rsidP="00F60846">
      <w:pPr>
        <w:spacing w:before="120"/>
        <w:ind w:left="709" w:hanging="709"/>
        <w:rPr>
          <w:rFonts w:cs="Times New Roman"/>
          <w:sz w:val="20"/>
          <w:szCs w:val="20"/>
          <w:lang w:val="en"/>
        </w:rPr>
      </w:pPr>
      <w:proofErr w:type="spellStart"/>
      <w:r w:rsidRPr="00E34851">
        <w:rPr>
          <w:rFonts w:cs="Times New Roman"/>
          <w:sz w:val="20"/>
          <w:szCs w:val="20"/>
          <w:lang w:val="en"/>
        </w:rPr>
        <w:t>Avots</w:t>
      </w:r>
      <w:proofErr w:type="spellEnd"/>
      <w:r w:rsidRPr="00E34851">
        <w:rPr>
          <w:rFonts w:cs="Times New Roman"/>
          <w:sz w:val="20"/>
          <w:szCs w:val="20"/>
          <w:lang w:val="en"/>
        </w:rPr>
        <w:t>:</w:t>
      </w:r>
      <w:r w:rsidR="00F60846">
        <w:rPr>
          <w:rFonts w:cs="Times New Roman"/>
          <w:sz w:val="20"/>
          <w:szCs w:val="20"/>
          <w:lang w:val="en"/>
        </w:rPr>
        <w:tab/>
      </w:r>
      <w:r w:rsidR="00F60846" w:rsidRPr="00BC32CF">
        <w:rPr>
          <w:rFonts w:cs="Times New Roman"/>
          <w:i/>
          <w:sz w:val="20"/>
          <w:szCs w:val="20"/>
          <w:lang w:val="en-GB"/>
        </w:rPr>
        <w:t>Economic and Steel Market Outlook 2015-2016, Q4-2015 Report from EUROREF’s Economic Committee</w:t>
      </w:r>
    </w:p>
    <w:p w:rsidR="00DE4287" w:rsidRPr="00F57D4B" w:rsidRDefault="00DE4287">
      <w:pPr>
        <w:rPr>
          <w:b/>
          <w:sz w:val="24"/>
          <w:szCs w:val="24"/>
          <w:u w:val="single"/>
        </w:rPr>
      </w:pPr>
    </w:p>
    <w:p w:rsidR="00063463" w:rsidRPr="00F57D4B" w:rsidRDefault="002136EF" w:rsidP="00E22DC1">
      <w:pPr>
        <w:jc w:val="center"/>
        <w:rPr>
          <w:b/>
          <w:sz w:val="24"/>
          <w:szCs w:val="24"/>
          <w:u w:val="single"/>
        </w:rPr>
      </w:pPr>
      <w:r w:rsidRPr="00F57D4B">
        <w:rPr>
          <w:b/>
          <w:sz w:val="24"/>
          <w:szCs w:val="24"/>
          <w:u w:val="single"/>
        </w:rPr>
        <w:t xml:space="preserve">3. </w:t>
      </w:r>
      <w:r w:rsidR="002535E7" w:rsidRPr="00F57D4B">
        <w:rPr>
          <w:b/>
          <w:sz w:val="24"/>
          <w:szCs w:val="24"/>
          <w:u w:val="single"/>
        </w:rPr>
        <w:t>ES</w:t>
      </w:r>
      <w:r w:rsidR="00063463" w:rsidRPr="00F57D4B">
        <w:rPr>
          <w:b/>
          <w:sz w:val="24"/>
          <w:szCs w:val="24"/>
          <w:u w:val="single"/>
        </w:rPr>
        <w:t xml:space="preserve"> tērauda ražošanas izaicinājumi</w:t>
      </w:r>
    </w:p>
    <w:p w:rsidR="00E34851" w:rsidRPr="00F57D4B" w:rsidRDefault="00E34851" w:rsidP="00911DD7">
      <w:pPr>
        <w:spacing w:after="80"/>
        <w:jc w:val="both"/>
        <w:rPr>
          <w:rFonts w:cs="Times New Roman"/>
          <w:sz w:val="24"/>
          <w:szCs w:val="24"/>
        </w:rPr>
      </w:pPr>
    </w:p>
    <w:p w:rsidR="00BB4BBC" w:rsidRPr="00F57D4B" w:rsidRDefault="00BB4BBC" w:rsidP="00E22DC1">
      <w:pPr>
        <w:pStyle w:val="ListParagraph"/>
        <w:numPr>
          <w:ilvl w:val="0"/>
          <w:numId w:val="2"/>
        </w:numPr>
        <w:autoSpaceDE w:val="0"/>
        <w:autoSpaceDN w:val="0"/>
        <w:adjustRightInd w:val="0"/>
        <w:spacing w:after="100" w:line="240" w:lineRule="auto"/>
        <w:ind w:left="142" w:hanging="357"/>
        <w:rPr>
          <w:rFonts w:ascii="Times New Roman" w:hAnsi="Times New Roman" w:cs="Times New Roman"/>
          <w:b/>
          <w:color w:val="000000"/>
          <w:sz w:val="24"/>
          <w:szCs w:val="24"/>
        </w:rPr>
      </w:pPr>
      <w:r w:rsidRPr="00F57D4B">
        <w:rPr>
          <w:rFonts w:ascii="Times New Roman" w:hAnsi="Times New Roman" w:cs="Times New Roman"/>
          <w:b/>
          <w:color w:val="000000"/>
          <w:sz w:val="24"/>
          <w:szCs w:val="24"/>
        </w:rPr>
        <w:t xml:space="preserve">Pasaules tērauda ražošana un patēriņš koncentrējas </w:t>
      </w:r>
      <w:proofErr w:type="spellStart"/>
      <w:r w:rsidRPr="00F57D4B">
        <w:rPr>
          <w:rFonts w:ascii="Times New Roman" w:hAnsi="Times New Roman" w:cs="Times New Roman"/>
          <w:b/>
          <w:color w:val="000000"/>
          <w:sz w:val="24"/>
          <w:szCs w:val="24"/>
        </w:rPr>
        <w:t>Austrumāzijā</w:t>
      </w:r>
      <w:proofErr w:type="spellEnd"/>
      <w:r w:rsidRPr="00F57D4B">
        <w:rPr>
          <w:rFonts w:ascii="Times New Roman" w:hAnsi="Times New Roman" w:cs="Times New Roman"/>
          <w:b/>
          <w:color w:val="000000"/>
          <w:sz w:val="24"/>
          <w:szCs w:val="24"/>
        </w:rPr>
        <w:t xml:space="preserve">. </w:t>
      </w:r>
    </w:p>
    <w:p w:rsidR="00B26169" w:rsidRPr="00F57D4B" w:rsidRDefault="00B26169" w:rsidP="00E22DC1">
      <w:pPr>
        <w:autoSpaceDE w:val="0"/>
        <w:autoSpaceDN w:val="0"/>
        <w:adjustRightInd w:val="0"/>
        <w:ind w:left="142"/>
        <w:jc w:val="both"/>
        <w:rPr>
          <w:rFonts w:cs="Times New Roman"/>
          <w:color w:val="000000"/>
          <w:sz w:val="24"/>
          <w:szCs w:val="24"/>
        </w:rPr>
      </w:pPr>
      <w:r w:rsidRPr="00F57D4B">
        <w:rPr>
          <w:rFonts w:cs="Times New Roman"/>
          <w:color w:val="000000"/>
          <w:sz w:val="24"/>
          <w:szCs w:val="24"/>
        </w:rPr>
        <w:t xml:space="preserve">Ķīna, Japāna, Indija un Dienvidkoreja saražo </w:t>
      </w:r>
      <w:r w:rsidR="00BE29AB" w:rsidRPr="00F57D4B">
        <w:rPr>
          <w:rFonts w:cs="Times New Roman"/>
          <w:color w:val="000000"/>
          <w:sz w:val="24"/>
          <w:szCs w:val="24"/>
        </w:rPr>
        <w:t>65</w:t>
      </w:r>
      <w:r w:rsidRPr="00F57D4B">
        <w:rPr>
          <w:rFonts w:cs="Times New Roman"/>
          <w:color w:val="000000"/>
          <w:sz w:val="24"/>
          <w:szCs w:val="24"/>
        </w:rPr>
        <w:t xml:space="preserve">% no visa pasaules tērauda. </w:t>
      </w:r>
      <w:r w:rsidR="00BB4BBC" w:rsidRPr="00F57D4B">
        <w:rPr>
          <w:rFonts w:cs="Times New Roman"/>
          <w:color w:val="000000"/>
          <w:sz w:val="24"/>
          <w:szCs w:val="24"/>
        </w:rPr>
        <w:t>Pašlaik ES ir relatīvi spēcīgas pozīcijas augstas kvalitātes produktu segmentā, vienlaikus konkurenti uzlabo tehnoloģijas un ES tērauda ražotāji saskaras ar risku zaudēt kontroli globālajā tirgū pat ar kvalitatīviem produktiem.</w:t>
      </w:r>
    </w:p>
    <w:p w:rsidR="00F57D4B" w:rsidRPr="00F57D4B" w:rsidRDefault="00F57D4B" w:rsidP="00E22DC1">
      <w:pPr>
        <w:autoSpaceDE w:val="0"/>
        <w:autoSpaceDN w:val="0"/>
        <w:adjustRightInd w:val="0"/>
        <w:ind w:left="142"/>
        <w:jc w:val="both"/>
        <w:rPr>
          <w:rFonts w:cs="Times New Roman"/>
          <w:color w:val="000000"/>
          <w:sz w:val="24"/>
          <w:szCs w:val="24"/>
        </w:rPr>
      </w:pPr>
    </w:p>
    <w:p w:rsidR="00BB4BBC" w:rsidRPr="00F57D4B" w:rsidRDefault="00BB4BBC" w:rsidP="00E22DC1">
      <w:pPr>
        <w:pStyle w:val="ListParagraph"/>
        <w:numPr>
          <w:ilvl w:val="0"/>
          <w:numId w:val="2"/>
        </w:numPr>
        <w:autoSpaceDE w:val="0"/>
        <w:autoSpaceDN w:val="0"/>
        <w:adjustRightInd w:val="0"/>
        <w:spacing w:after="100" w:line="240" w:lineRule="auto"/>
        <w:ind w:left="142" w:hanging="357"/>
        <w:rPr>
          <w:rFonts w:ascii="Times New Roman" w:hAnsi="Times New Roman" w:cs="Times New Roman"/>
          <w:b/>
          <w:color w:val="000000"/>
          <w:sz w:val="24"/>
          <w:szCs w:val="24"/>
        </w:rPr>
      </w:pPr>
      <w:r w:rsidRPr="00F57D4B">
        <w:rPr>
          <w:rFonts w:ascii="Times New Roman" w:hAnsi="Times New Roman" w:cs="Times New Roman"/>
          <w:b/>
          <w:color w:val="000000"/>
          <w:sz w:val="24"/>
          <w:szCs w:val="24"/>
        </w:rPr>
        <w:t>Nesabalansēts izejvielu pieprasījums un piedāvājums</w:t>
      </w:r>
    </w:p>
    <w:p w:rsidR="00EB6152" w:rsidRPr="00F57D4B" w:rsidRDefault="00EB6152" w:rsidP="00E22DC1">
      <w:pPr>
        <w:autoSpaceDE w:val="0"/>
        <w:autoSpaceDN w:val="0"/>
        <w:ind w:left="142"/>
        <w:jc w:val="both"/>
        <w:rPr>
          <w:rFonts w:cs="Times New Roman"/>
          <w:color w:val="000000"/>
          <w:sz w:val="24"/>
          <w:szCs w:val="24"/>
        </w:rPr>
      </w:pPr>
      <w:r w:rsidRPr="00F57D4B">
        <w:rPr>
          <w:rFonts w:cs="Times New Roman"/>
          <w:color w:val="000000"/>
          <w:sz w:val="24"/>
          <w:szCs w:val="24"/>
        </w:rPr>
        <w:t xml:space="preserve">Līdz ar Ķīnas ienākšanu pasaules tērauda arēnā un strauji pieaugot Ķīnas tērauda patēriņam, kapacitātei un ražošanai, tērauda ražošanas nosacījumi piedzīvo globālas pārmaiņas. Strauji augošais Ķīnas pieprasījums pēc tērauda rada pieprasījuma un piedāvājuma neatbilstību pēc dzelzsrūdas. </w:t>
      </w:r>
    </w:p>
    <w:p w:rsidR="00EB6152" w:rsidRPr="00F57D4B" w:rsidRDefault="00EB6152" w:rsidP="00E22DC1">
      <w:pPr>
        <w:autoSpaceDE w:val="0"/>
        <w:autoSpaceDN w:val="0"/>
        <w:ind w:left="142"/>
        <w:jc w:val="both"/>
        <w:rPr>
          <w:rFonts w:cs="Times New Roman"/>
          <w:color w:val="000000"/>
          <w:sz w:val="24"/>
          <w:szCs w:val="24"/>
        </w:rPr>
      </w:pPr>
      <w:r w:rsidRPr="00F57D4B">
        <w:rPr>
          <w:rFonts w:cs="Times New Roman"/>
          <w:color w:val="000000"/>
          <w:sz w:val="24"/>
          <w:szCs w:val="24"/>
        </w:rPr>
        <w:t xml:space="preserve">Ķīnas radītais pieprasījums pēc tērauda, ir veicinājis pieprasījumu pēc izejmateriāliem un esošais izejmateriālu piedāvājuma un pieprasījuma nesabalansētība ievērojami ietekmē ES rūpniecību, jo tā ir ļoti atkarīga no izejmateriālu importa. Valstis ārpus ES ar labāku pieeju izejmateriāliem un enerģijai ir konkurētspējīgākas, piemēram, transporta izmaksu ziņā. </w:t>
      </w:r>
    </w:p>
    <w:p w:rsidR="00EB6152" w:rsidRPr="00F57D4B" w:rsidRDefault="00EB6152" w:rsidP="00E22DC1">
      <w:pPr>
        <w:autoSpaceDE w:val="0"/>
        <w:autoSpaceDN w:val="0"/>
        <w:ind w:left="142"/>
        <w:jc w:val="both"/>
        <w:rPr>
          <w:rFonts w:cs="Times New Roman"/>
          <w:color w:val="000000"/>
          <w:sz w:val="24"/>
          <w:szCs w:val="24"/>
        </w:rPr>
      </w:pPr>
      <w:r w:rsidRPr="00F57D4B">
        <w:rPr>
          <w:rFonts w:cs="Times New Roman"/>
          <w:color w:val="000000"/>
          <w:sz w:val="24"/>
          <w:szCs w:val="24"/>
        </w:rPr>
        <w:t>Izejmateriālu pieejamība ir galvenais jautājums nosakot nākotnes investīciju sadali, ar valstīm, kas piedāvā labākus nosacījumus. Nākotnes scenārijs varētu būt tāds, ka galven</w:t>
      </w:r>
      <w:r w:rsidR="00F96E6E" w:rsidRPr="00F57D4B">
        <w:rPr>
          <w:rFonts w:cs="Times New Roman"/>
          <w:color w:val="000000"/>
          <w:sz w:val="24"/>
          <w:szCs w:val="24"/>
        </w:rPr>
        <w:t>ie</w:t>
      </w:r>
      <w:r w:rsidRPr="00F57D4B">
        <w:rPr>
          <w:rFonts w:cs="Times New Roman"/>
          <w:color w:val="000000"/>
          <w:sz w:val="24"/>
          <w:szCs w:val="24"/>
        </w:rPr>
        <w:t xml:space="preserve"> tērauda ražotāji būs izvietoti ārpus ES, ar labu pieeju izejmateriāliem.</w:t>
      </w:r>
    </w:p>
    <w:p w:rsidR="00F57D4B" w:rsidRPr="00F57D4B" w:rsidRDefault="00F57D4B" w:rsidP="00E22DC1">
      <w:pPr>
        <w:autoSpaceDE w:val="0"/>
        <w:autoSpaceDN w:val="0"/>
        <w:ind w:left="142"/>
        <w:jc w:val="both"/>
        <w:rPr>
          <w:rFonts w:cs="Times New Roman"/>
          <w:color w:val="000000"/>
          <w:sz w:val="24"/>
          <w:szCs w:val="24"/>
        </w:rPr>
      </w:pPr>
    </w:p>
    <w:p w:rsidR="00E34851" w:rsidRPr="00F57D4B" w:rsidRDefault="00BB4BBC" w:rsidP="00E22DC1">
      <w:pPr>
        <w:pStyle w:val="ListParagraph"/>
        <w:numPr>
          <w:ilvl w:val="0"/>
          <w:numId w:val="2"/>
        </w:numPr>
        <w:autoSpaceDE w:val="0"/>
        <w:autoSpaceDN w:val="0"/>
        <w:adjustRightInd w:val="0"/>
        <w:spacing w:after="100" w:line="240" w:lineRule="auto"/>
        <w:ind w:left="142" w:hanging="357"/>
        <w:rPr>
          <w:rFonts w:ascii="Times New Roman" w:hAnsi="Times New Roman" w:cs="Times New Roman"/>
          <w:b/>
          <w:color w:val="000000"/>
          <w:sz w:val="24"/>
          <w:szCs w:val="24"/>
        </w:rPr>
      </w:pPr>
      <w:r w:rsidRPr="00F57D4B">
        <w:rPr>
          <w:rFonts w:ascii="Times New Roman" w:hAnsi="Times New Roman" w:cs="Times New Roman"/>
          <w:b/>
          <w:color w:val="000000"/>
          <w:sz w:val="24"/>
          <w:szCs w:val="24"/>
        </w:rPr>
        <w:t>Negodprātīga tirdzniecības politika</w:t>
      </w:r>
    </w:p>
    <w:p w:rsidR="004342BF" w:rsidRPr="00F57D4B" w:rsidRDefault="004342BF" w:rsidP="00E22DC1">
      <w:pPr>
        <w:autoSpaceDE w:val="0"/>
        <w:autoSpaceDN w:val="0"/>
        <w:ind w:left="142"/>
        <w:jc w:val="both"/>
        <w:rPr>
          <w:rFonts w:cs="Times New Roman"/>
          <w:color w:val="000000"/>
          <w:sz w:val="24"/>
          <w:szCs w:val="24"/>
        </w:rPr>
      </w:pPr>
      <w:r w:rsidRPr="00F57D4B">
        <w:rPr>
          <w:rFonts w:cs="Times New Roman"/>
          <w:color w:val="000000"/>
          <w:sz w:val="24"/>
          <w:szCs w:val="24"/>
        </w:rPr>
        <w:t>Kamēr tirgus pieejamība</w:t>
      </w:r>
      <w:r w:rsidR="005D2C26">
        <w:rPr>
          <w:rFonts w:cs="Times New Roman"/>
          <w:color w:val="000000"/>
          <w:sz w:val="24"/>
          <w:szCs w:val="24"/>
        </w:rPr>
        <w:t>s</w:t>
      </w:r>
      <w:r w:rsidRPr="00F57D4B">
        <w:rPr>
          <w:rFonts w:cs="Times New Roman"/>
          <w:color w:val="000000"/>
          <w:sz w:val="24"/>
          <w:szCs w:val="24"/>
        </w:rPr>
        <w:t xml:space="preserve"> tarifi kļūst nenozīmīgāki, ne-tarifu barjeras kļūst arvien nozīmīgākas. Ne-tarifa barjeras ietver, piemēram, noteikumus, standartus, ierobežojumus valsts iepirkumos, subsīdijas, eksporta un investīciju ierobežojumus un nosacījumus un tirdzniecības veicināšanas jautājumus. </w:t>
      </w:r>
    </w:p>
    <w:p w:rsidR="004342BF" w:rsidRPr="00F57D4B" w:rsidRDefault="004342BF" w:rsidP="00E22DC1">
      <w:pPr>
        <w:autoSpaceDE w:val="0"/>
        <w:autoSpaceDN w:val="0"/>
        <w:ind w:left="142"/>
        <w:jc w:val="both"/>
        <w:rPr>
          <w:rFonts w:cs="Times New Roman"/>
          <w:color w:val="000000"/>
          <w:sz w:val="24"/>
          <w:szCs w:val="24"/>
        </w:rPr>
      </w:pPr>
      <w:r w:rsidRPr="00F57D4B">
        <w:rPr>
          <w:rFonts w:cs="Times New Roman"/>
          <w:color w:val="000000"/>
          <w:sz w:val="24"/>
          <w:szCs w:val="24"/>
        </w:rPr>
        <w:t xml:space="preserve">Tirdzniecības aizsardzības instrumenti ietver antidempinga un </w:t>
      </w:r>
      <w:proofErr w:type="spellStart"/>
      <w:r w:rsidRPr="00F57D4B">
        <w:rPr>
          <w:rFonts w:cs="Times New Roman"/>
          <w:color w:val="000000"/>
          <w:sz w:val="24"/>
          <w:szCs w:val="24"/>
        </w:rPr>
        <w:t>antisubsīdiju</w:t>
      </w:r>
      <w:proofErr w:type="spellEnd"/>
      <w:r w:rsidRPr="00F57D4B">
        <w:rPr>
          <w:rFonts w:cs="Times New Roman"/>
          <w:color w:val="000000"/>
          <w:sz w:val="24"/>
          <w:szCs w:val="24"/>
        </w:rPr>
        <w:t xml:space="preserve"> aktivitātes, kas tiek izmantoti ļoti selektīvi un pēc kārtīgas izpētes. Piemēram, ES tērauda nozarē ir ierosinājusi 3 antidempinga lietas pret Ķīnu, kad tā nesen pārpludināja ES tirgu ar Ķīnas tēraudu. Ierosinātas arī 2 antidempinga lietas. Nevienlīdzīgi </w:t>
      </w:r>
      <w:r w:rsidR="005D2C26">
        <w:rPr>
          <w:rFonts w:cs="Times New Roman"/>
          <w:color w:val="000000"/>
          <w:sz w:val="24"/>
          <w:szCs w:val="24"/>
        </w:rPr>
        <w:t>konkurences</w:t>
      </w:r>
      <w:r w:rsidRPr="00F57D4B">
        <w:rPr>
          <w:rFonts w:cs="Times New Roman"/>
          <w:color w:val="000000"/>
          <w:sz w:val="24"/>
          <w:szCs w:val="24"/>
        </w:rPr>
        <w:t xml:space="preserve"> noteikumi nostāda </w:t>
      </w:r>
      <w:r w:rsidRPr="00F57D4B">
        <w:rPr>
          <w:rFonts w:cs="Times New Roman"/>
          <w:color w:val="000000"/>
          <w:sz w:val="24"/>
          <w:szCs w:val="24"/>
        </w:rPr>
        <w:lastRenderedPageBreak/>
        <w:t>ES neizdevīgā stāvoklī. Pēdējos gad</w:t>
      </w:r>
      <w:r w:rsidR="005D2C26">
        <w:rPr>
          <w:rFonts w:cs="Times New Roman"/>
          <w:color w:val="000000"/>
          <w:sz w:val="24"/>
          <w:szCs w:val="24"/>
        </w:rPr>
        <w:t>os ES attiecībās ar Ķīnu</w:t>
      </w:r>
      <w:r w:rsidRPr="00F57D4B">
        <w:rPr>
          <w:rFonts w:cs="Times New Roman"/>
          <w:color w:val="000000"/>
          <w:sz w:val="24"/>
          <w:szCs w:val="24"/>
        </w:rPr>
        <w:t xml:space="preserve"> ir ieņēmusi vairāk konfrontējošu pozīciju. Šajā sakarā ES-Ķīnas Tērauda Dialogs ir plānots kā palīgs, lai identificētu problēmas, kas ir saistītas ar Ķīnas tērauda ražošanu un eksportu uz ES.</w:t>
      </w:r>
    </w:p>
    <w:p w:rsidR="00F57D4B" w:rsidRPr="00F57D4B" w:rsidRDefault="00F57D4B" w:rsidP="00E22DC1">
      <w:pPr>
        <w:autoSpaceDE w:val="0"/>
        <w:autoSpaceDN w:val="0"/>
        <w:ind w:left="142"/>
        <w:jc w:val="both"/>
        <w:rPr>
          <w:rFonts w:cs="Times New Roman"/>
          <w:color w:val="000000"/>
          <w:sz w:val="24"/>
          <w:szCs w:val="24"/>
        </w:rPr>
      </w:pPr>
    </w:p>
    <w:p w:rsidR="00BB4BBC" w:rsidRPr="00F57D4B" w:rsidRDefault="00BB4BBC" w:rsidP="00E22DC1">
      <w:pPr>
        <w:pStyle w:val="ListParagraph"/>
        <w:numPr>
          <w:ilvl w:val="0"/>
          <w:numId w:val="2"/>
        </w:numPr>
        <w:autoSpaceDE w:val="0"/>
        <w:autoSpaceDN w:val="0"/>
        <w:adjustRightInd w:val="0"/>
        <w:spacing w:after="100" w:line="240" w:lineRule="auto"/>
        <w:ind w:left="142" w:hanging="357"/>
        <w:rPr>
          <w:rFonts w:ascii="Times New Roman" w:hAnsi="Times New Roman" w:cs="Times New Roman"/>
          <w:b/>
          <w:color w:val="000000"/>
          <w:sz w:val="24"/>
          <w:szCs w:val="24"/>
        </w:rPr>
      </w:pPr>
      <w:r w:rsidRPr="00F57D4B">
        <w:rPr>
          <w:rFonts w:ascii="Times New Roman" w:hAnsi="Times New Roman" w:cs="Times New Roman"/>
          <w:b/>
          <w:color w:val="000000"/>
          <w:sz w:val="24"/>
          <w:szCs w:val="24"/>
        </w:rPr>
        <w:t>Nesamērīgs vides prasību regulējums</w:t>
      </w:r>
    </w:p>
    <w:p w:rsidR="004342BF" w:rsidRPr="00F57D4B" w:rsidRDefault="004342BF" w:rsidP="00E22DC1">
      <w:pPr>
        <w:autoSpaceDE w:val="0"/>
        <w:autoSpaceDN w:val="0"/>
        <w:ind w:left="142"/>
        <w:jc w:val="both"/>
        <w:rPr>
          <w:rFonts w:cs="Times New Roman"/>
          <w:color w:val="000000"/>
          <w:sz w:val="24"/>
          <w:szCs w:val="24"/>
        </w:rPr>
      </w:pPr>
      <w:r w:rsidRPr="00F57D4B">
        <w:rPr>
          <w:rFonts w:cs="Times New Roman"/>
          <w:color w:val="000000"/>
          <w:sz w:val="24"/>
          <w:szCs w:val="24"/>
        </w:rPr>
        <w:t xml:space="preserve">Vides prasību regulējums un ilgtspējīga attīstība ir galvenie konkurētspējas jautājumi. Šajā sakarā </w:t>
      </w:r>
      <w:r w:rsidR="005D2C26">
        <w:rPr>
          <w:rFonts w:cs="Times New Roman"/>
          <w:color w:val="000000"/>
          <w:sz w:val="24"/>
          <w:szCs w:val="24"/>
        </w:rPr>
        <w:t>notiek karstas</w:t>
      </w:r>
      <w:r w:rsidRPr="00F57D4B">
        <w:rPr>
          <w:rFonts w:cs="Times New Roman"/>
          <w:color w:val="000000"/>
          <w:sz w:val="24"/>
          <w:szCs w:val="24"/>
        </w:rPr>
        <w:t xml:space="preserve"> debates par Emisijas kvotu tirdzniecības sistēmu (</w:t>
      </w:r>
      <w:proofErr w:type="spellStart"/>
      <w:r w:rsidRPr="00F57D4B">
        <w:rPr>
          <w:rFonts w:cs="Times New Roman"/>
          <w:i/>
          <w:color w:val="000000"/>
          <w:sz w:val="24"/>
          <w:szCs w:val="24"/>
        </w:rPr>
        <w:t>Emission</w:t>
      </w:r>
      <w:proofErr w:type="spellEnd"/>
      <w:r w:rsidRPr="00F57D4B">
        <w:rPr>
          <w:rFonts w:cs="Times New Roman"/>
          <w:i/>
          <w:color w:val="000000"/>
          <w:sz w:val="24"/>
          <w:szCs w:val="24"/>
        </w:rPr>
        <w:t xml:space="preserve"> </w:t>
      </w:r>
      <w:proofErr w:type="spellStart"/>
      <w:r w:rsidRPr="00F57D4B">
        <w:rPr>
          <w:rFonts w:cs="Times New Roman"/>
          <w:i/>
          <w:color w:val="000000"/>
          <w:sz w:val="24"/>
          <w:szCs w:val="24"/>
        </w:rPr>
        <w:t>Trading</w:t>
      </w:r>
      <w:proofErr w:type="spellEnd"/>
      <w:r w:rsidRPr="00F57D4B">
        <w:rPr>
          <w:rFonts w:cs="Times New Roman"/>
          <w:i/>
          <w:color w:val="000000"/>
          <w:sz w:val="24"/>
          <w:szCs w:val="24"/>
        </w:rPr>
        <w:t xml:space="preserve"> </w:t>
      </w:r>
      <w:proofErr w:type="spellStart"/>
      <w:r w:rsidRPr="00F57D4B">
        <w:rPr>
          <w:rFonts w:cs="Times New Roman"/>
          <w:i/>
          <w:color w:val="000000"/>
          <w:sz w:val="24"/>
          <w:szCs w:val="24"/>
        </w:rPr>
        <w:t>Scheme</w:t>
      </w:r>
      <w:proofErr w:type="spellEnd"/>
      <w:r w:rsidRPr="00F57D4B">
        <w:rPr>
          <w:rFonts w:cs="Times New Roman"/>
          <w:color w:val="000000"/>
          <w:sz w:val="24"/>
          <w:szCs w:val="24"/>
        </w:rPr>
        <w:t xml:space="preserve"> </w:t>
      </w:r>
      <w:r w:rsidR="005D2C26">
        <w:rPr>
          <w:rFonts w:cs="Times New Roman"/>
          <w:color w:val="000000"/>
          <w:sz w:val="24"/>
          <w:szCs w:val="24"/>
        </w:rPr>
        <w:t>–</w:t>
      </w:r>
      <w:r w:rsidRPr="00F57D4B">
        <w:rPr>
          <w:rFonts w:cs="Times New Roman"/>
          <w:color w:val="000000"/>
          <w:sz w:val="24"/>
          <w:szCs w:val="24"/>
        </w:rPr>
        <w:t xml:space="preserve"> ETS)</w:t>
      </w:r>
      <w:r w:rsidR="005D2C26">
        <w:rPr>
          <w:rFonts w:cs="Times New Roman"/>
          <w:color w:val="000000"/>
          <w:sz w:val="24"/>
          <w:szCs w:val="24"/>
        </w:rPr>
        <w:t>, kuras m</w:t>
      </w:r>
      <w:r w:rsidRPr="00F57D4B">
        <w:rPr>
          <w:rFonts w:cs="Times New Roman"/>
          <w:color w:val="000000"/>
          <w:sz w:val="24"/>
          <w:szCs w:val="24"/>
        </w:rPr>
        <w:t>ērķis ir jautājumu par Eiropas klimata politiku novirzīt Eiropas līmenī, kas paredz Nacionālo emisiju kvotu sadales plānu atcelšanu.</w:t>
      </w:r>
    </w:p>
    <w:p w:rsidR="004342BF" w:rsidRPr="00F57D4B" w:rsidRDefault="004342BF" w:rsidP="00E22DC1">
      <w:pPr>
        <w:autoSpaceDE w:val="0"/>
        <w:autoSpaceDN w:val="0"/>
        <w:ind w:left="142"/>
        <w:jc w:val="both"/>
        <w:rPr>
          <w:rFonts w:cs="Times New Roman"/>
          <w:color w:val="000000"/>
          <w:sz w:val="24"/>
          <w:szCs w:val="24"/>
        </w:rPr>
      </w:pPr>
      <w:r w:rsidRPr="00F57D4B">
        <w:rPr>
          <w:rFonts w:cs="Times New Roman"/>
          <w:color w:val="000000"/>
          <w:sz w:val="24"/>
          <w:szCs w:val="24"/>
        </w:rPr>
        <w:t xml:space="preserve">Tērauda nozares konkurētspējas jautājums, kas saistīts ar ETS ir globāls – kamēr Eiropas tērauda nozare ir spiesta uzņemties papildus izmaksas dēļ obligātās emisijas kvotu tirdzniecības sistēmas, daudzās citās tēraudu ražojošās valstīs ETS samazinājumi ir galvenokārt brīvprātīgi un tāpēc nav salīdzināmi. Tas nostāda ES ražotājus nevienlīdzīgā situācijā ar globāliem konkurentiem. </w:t>
      </w:r>
    </w:p>
    <w:p w:rsidR="00F57D4B" w:rsidRPr="00F57D4B" w:rsidRDefault="00F57D4B">
      <w:pPr>
        <w:rPr>
          <w:rFonts w:cs="Times New Roman"/>
          <w:color w:val="000000"/>
          <w:sz w:val="24"/>
          <w:szCs w:val="24"/>
        </w:rPr>
      </w:pPr>
    </w:p>
    <w:p w:rsidR="00E34851" w:rsidRPr="00F57D4B" w:rsidRDefault="00A52B04" w:rsidP="00E22DC1">
      <w:pPr>
        <w:pStyle w:val="ListParagraph"/>
        <w:numPr>
          <w:ilvl w:val="0"/>
          <w:numId w:val="2"/>
        </w:numPr>
        <w:autoSpaceDE w:val="0"/>
        <w:autoSpaceDN w:val="0"/>
        <w:adjustRightInd w:val="0"/>
        <w:spacing w:after="100" w:line="240" w:lineRule="auto"/>
        <w:ind w:left="142" w:hanging="357"/>
        <w:rPr>
          <w:rFonts w:ascii="Times New Roman" w:hAnsi="Times New Roman" w:cs="Times New Roman"/>
          <w:b/>
          <w:color w:val="000000"/>
          <w:sz w:val="24"/>
          <w:szCs w:val="24"/>
        </w:rPr>
      </w:pPr>
      <w:r w:rsidRPr="00F57D4B">
        <w:rPr>
          <w:rFonts w:ascii="Times New Roman" w:hAnsi="Times New Roman" w:cs="Times New Roman"/>
          <w:b/>
          <w:color w:val="000000"/>
          <w:sz w:val="24"/>
          <w:szCs w:val="24"/>
        </w:rPr>
        <w:t>Atbilstoši kvalificēta darbaspēka trūkums nākotnē</w:t>
      </w:r>
    </w:p>
    <w:p w:rsidR="004342BF" w:rsidRPr="00F57D4B" w:rsidRDefault="004342BF" w:rsidP="00E22DC1">
      <w:pPr>
        <w:autoSpaceDE w:val="0"/>
        <w:autoSpaceDN w:val="0"/>
        <w:ind w:left="142"/>
        <w:jc w:val="both"/>
        <w:rPr>
          <w:rFonts w:cs="Times New Roman"/>
          <w:color w:val="000000"/>
          <w:sz w:val="24"/>
          <w:szCs w:val="24"/>
        </w:rPr>
      </w:pPr>
      <w:r w:rsidRPr="00F57D4B">
        <w:rPr>
          <w:rFonts w:cs="Times New Roman"/>
          <w:color w:val="000000"/>
          <w:sz w:val="24"/>
          <w:szCs w:val="24"/>
        </w:rPr>
        <w:t xml:space="preserve">Profesiju struktūra tērauda nozarē pēc pārstrukturēšanās ir mainījusies un darbaspēks sastāv lielā mērā no tehniķiem, inženieriem un menedžeriem. Arī tērauda nozare saskaras ar darbaspēka trūkumu. Pieaugs pieprasījums pēc augsti kvalificētiem darbiniekiem. Tas rada nopietnu izaicinājumu tērauda nozarē, jo samazinās darbaspēks daudzās Eiropas valstīs. Šajā nozarē strādā galvenokārt gados veci cilvēki un viņu pensionēšanās tuvākajos gados var radīt problēmas nozarē. </w:t>
      </w:r>
    </w:p>
    <w:p w:rsidR="00C70267" w:rsidRPr="00F57D4B" w:rsidRDefault="00C70267" w:rsidP="002136EF">
      <w:pPr>
        <w:rPr>
          <w:b/>
          <w:sz w:val="24"/>
          <w:szCs w:val="24"/>
        </w:rPr>
      </w:pPr>
    </w:p>
    <w:p w:rsidR="00A52B04" w:rsidRPr="00F57D4B" w:rsidRDefault="002136EF" w:rsidP="00E22DC1">
      <w:pPr>
        <w:jc w:val="center"/>
        <w:rPr>
          <w:b/>
          <w:sz w:val="24"/>
          <w:szCs w:val="24"/>
          <w:u w:val="single"/>
        </w:rPr>
      </w:pPr>
      <w:r w:rsidRPr="00F57D4B">
        <w:rPr>
          <w:b/>
          <w:sz w:val="24"/>
          <w:szCs w:val="24"/>
          <w:u w:val="single"/>
        </w:rPr>
        <w:t xml:space="preserve">4. </w:t>
      </w:r>
      <w:r w:rsidR="00A52B04" w:rsidRPr="00F57D4B">
        <w:rPr>
          <w:b/>
          <w:sz w:val="24"/>
          <w:szCs w:val="24"/>
          <w:u w:val="single"/>
        </w:rPr>
        <w:t>Tērauda ražošanas izmaks</w:t>
      </w:r>
      <w:r w:rsidR="0007065B">
        <w:rPr>
          <w:b/>
          <w:sz w:val="24"/>
          <w:szCs w:val="24"/>
          <w:u w:val="single"/>
        </w:rPr>
        <w:t>u struktūra</w:t>
      </w:r>
    </w:p>
    <w:p w:rsidR="00A52B04" w:rsidRPr="00F57D4B" w:rsidRDefault="00A52B04">
      <w:pPr>
        <w:rPr>
          <w:rFonts w:cs="Times New Roman"/>
          <w:sz w:val="24"/>
          <w:szCs w:val="24"/>
        </w:rPr>
      </w:pPr>
    </w:p>
    <w:p w:rsidR="00A52B04" w:rsidRPr="00F57D4B" w:rsidRDefault="00A52B04">
      <w:pPr>
        <w:rPr>
          <w:rFonts w:cs="Times New Roman"/>
          <w:sz w:val="24"/>
          <w:szCs w:val="24"/>
        </w:rPr>
      </w:pPr>
      <w:r w:rsidRPr="00F57D4B">
        <w:rPr>
          <w:rFonts w:cs="Times New Roman"/>
          <w:sz w:val="24"/>
          <w:szCs w:val="24"/>
        </w:rPr>
        <w:t>Tērauda ražošanā lielāko daļu no izmaksām veido izejmateriāli, transports un enerģija.</w:t>
      </w:r>
    </w:p>
    <w:p w:rsidR="00C70267" w:rsidRPr="00F57D4B" w:rsidRDefault="002535E7" w:rsidP="002535E7">
      <w:pPr>
        <w:pStyle w:val="ListParagraph"/>
        <w:spacing w:after="0" w:line="240" w:lineRule="auto"/>
        <w:ind w:left="0" w:firstLine="426"/>
        <w:jc w:val="both"/>
        <w:rPr>
          <w:rFonts w:ascii="Times New Roman" w:hAnsi="Times New Roman" w:cs="Times New Roman"/>
          <w:sz w:val="24"/>
          <w:szCs w:val="24"/>
        </w:rPr>
      </w:pPr>
      <w:r w:rsidRPr="00F57D4B">
        <w:rPr>
          <w:rFonts w:ascii="Times New Roman" w:hAnsi="Times New Roman" w:cs="Times New Roman"/>
          <w:sz w:val="24"/>
          <w:szCs w:val="24"/>
        </w:rPr>
        <w:t xml:space="preserve">Tērauda ražošanā lielāko daļu no izmaksām veido izejmateriāli (atkarībā no tērauda ražošanas tehnoloģijas no 40-75% no kopējām izmaksām), transports (2-20% no kopējām izmaksām) un enerģija (7-13% no kopējām izmaksām). </w:t>
      </w:r>
    </w:p>
    <w:p w:rsidR="002535E7" w:rsidRPr="00F57D4B" w:rsidRDefault="00C70267" w:rsidP="002535E7">
      <w:pPr>
        <w:pStyle w:val="ListParagraph"/>
        <w:spacing w:after="0" w:line="240" w:lineRule="auto"/>
        <w:ind w:left="0" w:firstLine="426"/>
        <w:jc w:val="both"/>
        <w:rPr>
          <w:rFonts w:ascii="Times New Roman" w:hAnsi="Times New Roman" w:cs="Times New Roman"/>
          <w:sz w:val="24"/>
          <w:szCs w:val="24"/>
        </w:rPr>
      </w:pPr>
      <w:r w:rsidRPr="00F57D4B">
        <w:rPr>
          <w:rFonts w:ascii="Times New Roman" w:hAnsi="Times New Roman" w:cs="Times New Roman"/>
          <w:sz w:val="24"/>
          <w:szCs w:val="24"/>
        </w:rPr>
        <w:t>Eiropas tērauda rūpniecība saskaras ar lielu konkurenci attiecībā uz piekļuvi izejmateriāliem. Strauji augot pieprasījumam jaunattīstības valstīs Ķīnā, Indijā, Brazīlijā u.c. strauji pieauga arī pasaules dzels rūdas cenas 2010.-2013.gadā. Kāpumu ierobežoja vājāks pieprasījums pēc metālizstrādājumiem globālās krīzes iespaidā. Taču kopš 2014.gada dzelzs rūdas cenām vērojams kritums gan saistībā ar jaunattīstības valstu pieauguma palēnināšanos, gan pasaules naftas un gāzes cenu kritumu.</w:t>
      </w:r>
    </w:p>
    <w:p w:rsidR="002535E7" w:rsidRDefault="002535E7" w:rsidP="002535E7">
      <w:pPr>
        <w:pStyle w:val="ListParagraph"/>
        <w:ind w:left="0"/>
        <w:jc w:val="center"/>
        <w:rPr>
          <w:rFonts w:ascii="Times New Roman" w:hAnsi="Times New Roman" w:cs="Times New Roman"/>
          <w:bCs/>
          <w:sz w:val="24"/>
          <w:szCs w:val="24"/>
        </w:rPr>
      </w:pPr>
    </w:p>
    <w:tbl>
      <w:tblPr>
        <w:tblStyle w:val="MediumList1-Accent4"/>
        <w:tblW w:w="0" w:type="auto"/>
        <w:jc w:val="center"/>
        <w:tblLayout w:type="fixed"/>
        <w:tblLook w:val="0400" w:firstRow="0" w:lastRow="0" w:firstColumn="0" w:lastColumn="0" w:noHBand="0" w:noVBand="1"/>
      </w:tblPr>
      <w:tblGrid>
        <w:gridCol w:w="4082"/>
        <w:gridCol w:w="1701"/>
        <w:gridCol w:w="1701"/>
      </w:tblGrid>
      <w:tr w:rsidR="005D2C26" w:rsidRPr="00074235" w:rsidTr="005D2C26">
        <w:trPr>
          <w:cnfStyle w:val="000000100000" w:firstRow="0" w:lastRow="0" w:firstColumn="0" w:lastColumn="0" w:oddVBand="0" w:evenVBand="0" w:oddHBand="1" w:evenHBand="0" w:firstRowFirstColumn="0" w:firstRowLastColumn="0" w:lastRowFirstColumn="0" w:lastRowLastColumn="0"/>
          <w:jc w:val="center"/>
        </w:trPr>
        <w:tc>
          <w:tcPr>
            <w:tcW w:w="4082" w:type="dxa"/>
            <w:tcBorders>
              <w:top w:val="single" w:sz="8" w:space="0" w:color="8064A2" w:themeColor="accent4"/>
              <w:left w:val="nil"/>
              <w:bottom w:val="single" w:sz="8" w:space="0" w:color="8064A2" w:themeColor="accent4"/>
              <w:right w:val="nil"/>
            </w:tcBorders>
            <w:vAlign w:val="center"/>
          </w:tcPr>
          <w:p w:rsidR="005D2C26" w:rsidRPr="00074235" w:rsidRDefault="005D2C26" w:rsidP="007F6774">
            <w:pPr>
              <w:tabs>
                <w:tab w:val="center" w:pos="2424"/>
              </w:tabs>
              <w:spacing w:before="60" w:after="60"/>
              <w:jc w:val="center"/>
              <w:rPr>
                <w:sz w:val="20"/>
                <w:szCs w:val="18"/>
              </w:rPr>
            </w:pPr>
          </w:p>
        </w:tc>
        <w:tc>
          <w:tcPr>
            <w:tcW w:w="1701" w:type="dxa"/>
            <w:tcBorders>
              <w:top w:val="single" w:sz="8" w:space="0" w:color="8064A2" w:themeColor="accent4"/>
              <w:left w:val="nil"/>
              <w:bottom w:val="single" w:sz="8" w:space="0" w:color="8064A2" w:themeColor="accent4"/>
              <w:right w:val="nil"/>
            </w:tcBorders>
            <w:vAlign w:val="center"/>
            <w:hideMark/>
          </w:tcPr>
          <w:p w:rsidR="005D2C26" w:rsidRPr="00074235" w:rsidRDefault="005D2C26" w:rsidP="007F6774">
            <w:pPr>
              <w:tabs>
                <w:tab w:val="center" w:pos="2424"/>
              </w:tabs>
              <w:spacing w:before="60" w:after="60"/>
              <w:jc w:val="center"/>
              <w:rPr>
                <w:sz w:val="20"/>
                <w:szCs w:val="18"/>
              </w:rPr>
            </w:pPr>
            <w:r w:rsidRPr="005D2C26">
              <w:rPr>
                <w:sz w:val="20"/>
                <w:szCs w:val="18"/>
              </w:rPr>
              <w:t>Tērauda ražošana domnas krāsnīs</w:t>
            </w:r>
          </w:p>
        </w:tc>
        <w:tc>
          <w:tcPr>
            <w:tcW w:w="1701" w:type="dxa"/>
            <w:tcBorders>
              <w:top w:val="single" w:sz="8" w:space="0" w:color="8064A2" w:themeColor="accent4"/>
              <w:left w:val="nil"/>
              <w:bottom w:val="single" w:sz="8" w:space="0" w:color="8064A2" w:themeColor="accent4"/>
              <w:right w:val="nil"/>
            </w:tcBorders>
          </w:tcPr>
          <w:p w:rsidR="005D2C26" w:rsidRPr="005D2C26" w:rsidRDefault="005D2C26" w:rsidP="005D2C26">
            <w:pPr>
              <w:tabs>
                <w:tab w:val="center" w:pos="2424"/>
              </w:tabs>
              <w:spacing w:before="60" w:after="60"/>
              <w:jc w:val="center"/>
              <w:rPr>
                <w:sz w:val="20"/>
                <w:szCs w:val="18"/>
              </w:rPr>
            </w:pPr>
            <w:r w:rsidRPr="005D2C26">
              <w:rPr>
                <w:sz w:val="20"/>
                <w:szCs w:val="18"/>
              </w:rPr>
              <w:t xml:space="preserve">Tērauda ražošana </w:t>
            </w:r>
            <w:r>
              <w:rPr>
                <w:sz w:val="20"/>
                <w:szCs w:val="18"/>
              </w:rPr>
              <w:t>elektriskā loka</w:t>
            </w:r>
            <w:r w:rsidRPr="005D2C26">
              <w:rPr>
                <w:sz w:val="20"/>
                <w:szCs w:val="18"/>
              </w:rPr>
              <w:t xml:space="preserve"> krāsnīs</w:t>
            </w:r>
          </w:p>
        </w:tc>
      </w:tr>
      <w:tr w:rsidR="005D2C26" w:rsidTr="00A8391C">
        <w:trPr>
          <w:jc w:val="center"/>
        </w:trPr>
        <w:tc>
          <w:tcPr>
            <w:tcW w:w="4082" w:type="dxa"/>
            <w:tcBorders>
              <w:top w:val="single" w:sz="8" w:space="0" w:color="8064A2" w:themeColor="accent4"/>
              <w:left w:val="nil"/>
              <w:bottom w:val="single" w:sz="8" w:space="0" w:color="8064A2" w:themeColor="accent4"/>
              <w:right w:val="nil"/>
            </w:tcBorders>
          </w:tcPr>
          <w:p w:rsidR="005D2C26" w:rsidRPr="005D2C26" w:rsidRDefault="005D2C26" w:rsidP="005D2C26">
            <w:pPr>
              <w:tabs>
                <w:tab w:val="center" w:pos="2424"/>
              </w:tabs>
              <w:spacing w:before="60" w:after="60"/>
              <w:rPr>
                <w:sz w:val="18"/>
                <w:szCs w:val="18"/>
              </w:rPr>
            </w:pPr>
            <w:r w:rsidRPr="005D2C26">
              <w:rPr>
                <w:sz w:val="18"/>
                <w:szCs w:val="18"/>
              </w:rPr>
              <w:t>Izejmateriāli (rūda/metāllūžņi)</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38,7</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75,1</w:t>
            </w:r>
          </w:p>
        </w:tc>
      </w:tr>
      <w:tr w:rsidR="005D2C26" w:rsidTr="00A8391C">
        <w:trPr>
          <w:cnfStyle w:val="000000100000" w:firstRow="0" w:lastRow="0" w:firstColumn="0" w:lastColumn="0" w:oddVBand="0" w:evenVBand="0" w:oddHBand="1" w:evenHBand="0" w:firstRowFirstColumn="0" w:firstRowLastColumn="0" w:lastRowFirstColumn="0" w:lastRowLastColumn="0"/>
          <w:jc w:val="center"/>
        </w:trPr>
        <w:tc>
          <w:tcPr>
            <w:tcW w:w="4082" w:type="dxa"/>
            <w:tcBorders>
              <w:top w:val="single" w:sz="8" w:space="0" w:color="8064A2" w:themeColor="accent4"/>
              <w:left w:val="nil"/>
              <w:bottom w:val="single" w:sz="8" w:space="0" w:color="8064A2" w:themeColor="accent4"/>
              <w:right w:val="nil"/>
            </w:tcBorders>
          </w:tcPr>
          <w:p w:rsidR="005D2C26" w:rsidRPr="005D2C26" w:rsidRDefault="005D2C26" w:rsidP="005D2C26">
            <w:pPr>
              <w:tabs>
                <w:tab w:val="center" w:pos="2424"/>
              </w:tabs>
              <w:spacing w:before="60" w:after="60"/>
              <w:rPr>
                <w:sz w:val="18"/>
                <w:szCs w:val="18"/>
              </w:rPr>
            </w:pPr>
            <w:r w:rsidRPr="005D2C26">
              <w:rPr>
                <w:sz w:val="18"/>
                <w:szCs w:val="18"/>
              </w:rPr>
              <w:t>Transportēšanas izmaksas</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19,0</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2,1</w:t>
            </w:r>
          </w:p>
        </w:tc>
      </w:tr>
      <w:tr w:rsidR="005D2C26" w:rsidTr="00A8391C">
        <w:trPr>
          <w:jc w:val="center"/>
        </w:trPr>
        <w:tc>
          <w:tcPr>
            <w:tcW w:w="4082" w:type="dxa"/>
            <w:tcBorders>
              <w:top w:val="single" w:sz="8" w:space="0" w:color="8064A2" w:themeColor="accent4"/>
              <w:left w:val="nil"/>
              <w:bottom w:val="single" w:sz="8" w:space="0" w:color="8064A2" w:themeColor="accent4"/>
              <w:right w:val="nil"/>
            </w:tcBorders>
          </w:tcPr>
          <w:p w:rsidR="005D2C26" w:rsidRPr="005D2C26" w:rsidRDefault="005D2C26" w:rsidP="005D2C26">
            <w:pPr>
              <w:tabs>
                <w:tab w:val="center" w:pos="2424"/>
              </w:tabs>
              <w:spacing w:before="60" w:after="60"/>
              <w:rPr>
                <w:sz w:val="18"/>
                <w:szCs w:val="18"/>
              </w:rPr>
            </w:pPr>
            <w:r w:rsidRPr="005D2C26">
              <w:rPr>
                <w:sz w:val="18"/>
                <w:szCs w:val="18"/>
              </w:rPr>
              <w:t>Enerģija (akmeņogles/dabasgāze/elektroenerģija/…)</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13,1</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7,4</w:t>
            </w:r>
          </w:p>
        </w:tc>
      </w:tr>
      <w:tr w:rsidR="005D2C26" w:rsidTr="00A8391C">
        <w:trPr>
          <w:cnfStyle w:val="000000100000" w:firstRow="0" w:lastRow="0" w:firstColumn="0" w:lastColumn="0" w:oddVBand="0" w:evenVBand="0" w:oddHBand="1" w:evenHBand="0" w:firstRowFirstColumn="0" w:firstRowLastColumn="0" w:lastRowFirstColumn="0" w:lastRowLastColumn="0"/>
          <w:jc w:val="center"/>
        </w:trPr>
        <w:tc>
          <w:tcPr>
            <w:tcW w:w="4082" w:type="dxa"/>
            <w:tcBorders>
              <w:top w:val="single" w:sz="8" w:space="0" w:color="8064A2" w:themeColor="accent4"/>
              <w:left w:val="nil"/>
              <w:bottom w:val="single" w:sz="8" w:space="0" w:color="8064A2" w:themeColor="accent4"/>
              <w:right w:val="nil"/>
            </w:tcBorders>
          </w:tcPr>
          <w:p w:rsidR="005D2C26" w:rsidRPr="005D2C26" w:rsidRDefault="005D2C26" w:rsidP="005D2C26">
            <w:pPr>
              <w:tabs>
                <w:tab w:val="center" w:pos="2424"/>
              </w:tabs>
              <w:spacing w:before="60" w:after="60"/>
              <w:ind w:left="177"/>
              <w:rPr>
                <w:sz w:val="18"/>
                <w:szCs w:val="18"/>
              </w:rPr>
            </w:pPr>
            <w:r w:rsidRPr="005D2C26">
              <w:rPr>
                <w:sz w:val="18"/>
                <w:szCs w:val="18"/>
              </w:rPr>
              <w:t>t.sk. elektroenerģija</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2,5</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6,3</w:t>
            </w:r>
          </w:p>
        </w:tc>
      </w:tr>
      <w:tr w:rsidR="005D2C26" w:rsidTr="00A8391C">
        <w:trPr>
          <w:jc w:val="center"/>
        </w:trPr>
        <w:tc>
          <w:tcPr>
            <w:tcW w:w="4082" w:type="dxa"/>
            <w:tcBorders>
              <w:top w:val="single" w:sz="8" w:space="0" w:color="8064A2" w:themeColor="accent4"/>
              <w:left w:val="nil"/>
              <w:bottom w:val="single" w:sz="8" w:space="0" w:color="8064A2" w:themeColor="accent4"/>
              <w:right w:val="nil"/>
            </w:tcBorders>
          </w:tcPr>
          <w:p w:rsidR="005D2C26" w:rsidRPr="005D2C26" w:rsidRDefault="005D2C26" w:rsidP="005D2C26">
            <w:pPr>
              <w:tabs>
                <w:tab w:val="center" w:pos="2424"/>
              </w:tabs>
              <w:spacing w:before="60" w:after="60"/>
              <w:rPr>
                <w:sz w:val="18"/>
                <w:szCs w:val="18"/>
              </w:rPr>
            </w:pPr>
            <w:r w:rsidRPr="005D2C26">
              <w:rPr>
                <w:sz w:val="18"/>
                <w:szCs w:val="18"/>
              </w:rPr>
              <w:t>Darbaspēks</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4,2</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2,7</w:t>
            </w:r>
          </w:p>
        </w:tc>
      </w:tr>
      <w:tr w:rsidR="005D2C26" w:rsidTr="00A8391C">
        <w:trPr>
          <w:cnfStyle w:val="000000100000" w:firstRow="0" w:lastRow="0" w:firstColumn="0" w:lastColumn="0" w:oddVBand="0" w:evenVBand="0" w:oddHBand="1" w:evenHBand="0" w:firstRowFirstColumn="0" w:firstRowLastColumn="0" w:lastRowFirstColumn="0" w:lastRowLastColumn="0"/>
          <w:jc w:val="center"/>
        </w:trPr>
        <w:tc>
          <w:tcPr>
            <w:tcW w:w="4082" w:type="dxa"/>
            <w:tcBorders>
              <w:top w:val="single" w:sz="8" w:space="0" w:color="8064A2" w:themeColor="accent4"/>
              <w:left w:val="nil"/>
              <w:bottom w:val="single" w:sz="8" w:space="0" w:color="8064A2" w:themeColor="accent4"/>
              <w:right w:val="nil"/>
            </w:tcBorders>
          </w:tcPr>
          <w:p w:rsidR="005D2C26" w:rsidRPr="005D2C26" w:rsidRDefault="005D2C26" w:rsidP="005D2C26">
            <w:pPr>
              <w:tabs>
                <w:tab w:val="center" w:pos="2424"/>
              </w:tabs>
              <w:spacing w:before="60" w:after="60"/>
              <w:rPr>
                <w:sz w:val="18"/>
                <w:szCs w:val="18"/>
              </w:rPr>
            </w:pPr>
            <w:r w:rsidRPr="005D2C26">
              <w:rPr>
                <w:sz w:val="18"/>
                <w:szCs w:val="18"/>
              </w:rPr>
              <w:t>Pārējās izmaksas</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25,0</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color w:val="000000"/>
                <w:sz w:val="18"/>
                <w:szCs w:val="18"/>
                <w:lang w:eastAsia="lv-LV"/>
              </w:rPr>
            </w:pPr>
            <w:r w:rsidRPr="005D2C26">
              <w:rPr>
                <w:rFonts w:eastAsia="Times New Roman"/>
                <w:color w:val="000000"/>
                <w:sz w:val="18"/>
                <w:szCs w:val="18"/>
                <w:lang w:eastAsia="lv-LV"/>
              </w:rPr>
              <w:t>12,7</w:t>
            </w:r>
          </w:p>
        </w:tc>
      </w:tr>
      <w:tr w:rsidR="005D2C26" w:rsidTr="00A8391C">
        <w:trPr>
          <w:jc w:val="center"/>
        </w:trPr>
        <w:tc>
          <w:tcPr>
            <w:tcW w:w="4082" w:type="dxa"/>
            <w:tcBorders>
              <w:top w:val="single" w:sz="8" w:space="0" w:color="8064A2" w:themeColor="accent4"/>
              <w:left w:val="nil"/>
              <w:bottom w:val="single" w:sz="8" w:space="0" w:color="8064A2" w:themeColor="accent4"/>
              <w:right w:val="nil"/>
            </w:tcBorders>
          </w:tcPr>
          <w:p w:rsidR="005D2C26" w:rsidRDefault="005D2C26" w:rsidP="005D2C26">
            <w:pPr>
              <w:tabs>
                <w:tab w:val="center" w:pos="2424"/>
              </w:tabs>
              <w:spacing w:before="60" w:after="60"/>
              <w:rPr>
                <w:sz w:val="18"/>
                <w:szCs w:val="18"/>
              </w:rPr>
            </w:pPr>
            <w:r w:rsidRPr="005D2C26">
              <w:rPr>
                <w:sz w:val="18"/>
                <w:szCs w:val="18"/>
              </w:rPr>
              <w:lastRenderedPageBreak/>
              <w:t>Kopā</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b/>
                <w:bCs/>
                <w:color w:val="000000"/>
                <w:sz w:val="18"/>
                <w:szCs w:val="18"/>
                <w:lang w:eastAsia="lv-LV"/>
              </w:rPr>
            </w:pPr>
            <w:r w:rsidRPr="005D2C26">
              <w:rPr>
                <w:rFonts w:eastAsia="Times New Roman"/>
                <w:b/>
                <w:bCs/>
                <w:color w:val="000000"/>
                <w:sz w:val="18"/>
                <w:szCs w:val="18"/>
                <w:lang w:eastAsia="lv-LV"/>
              </w:rPr>
              <w:t>100,0</w:t>
            </w:r>
          </w:p>
        </w:tc>
        <w:tc>
          <w:tcPr>
            <w:tcW w:w="1701" w:type="dxa"/>
            <w:tcBorders>
              <w:top w:val="single" w:sz="8" w:space="0" w:color="8064A2" w:themeColor="accent4"/>
              <w:left w:val="nil"/>
              <w:bottom w:val="single" w:sz="8" w:space="0" w:color="8064A2" w:themeColor="accent4"/>
              <w:right w:val="nil"/>
            </w:tcBorders>
            <w:vAlign w:val="bottom"/>
          </w:tcPr>
          <w:p w:rsidR="005D2C26" w:rsidRPr="005D2C26" w:rsidRDefault="005D2C26" w:rsidP="005D2C26">
            <w:pPr>
              <w:tabs>
                <w:tab w:val="decimal" w:pos="829"/>
              </w:tabs>
              <w:spacing w:before="60" w:after="60"/>
              <w:rPr>
                <w:rFonts w:eastAsia="Times New Roman"/>
                <w:b/>
                <w:bCs/>
                <w:color w:val="000000"/>
                <w:sz w:val="18"/>
                <w:szCs w:val="18"/>
                <w:lang w:eastAsia="lv-LV"/>
              </w:rPr>
            </w:pPr>
            <w:r w:rsidRPr="005D2C26">
              <w:rPr>
                <w:rFonts w:eastAsia="Times New Roman"/>
                <w:b/>
                <w:bCs/>
                <w:color w:val="000000"/>
                <w:sz w:val="18"/>
                <w:szCs w:val="18"/>
                <w:lang w:eastAsia="lv-LV"/>
              </w:rPr>
              <w:t>100,0</w:t>
            </w:r>
          </w:p>
        </w:tc>
      </w:tr>
    </w:tbl>
    <w:p w:rsidR="002535E7" w:rsidRPr="005D2C26" w:rsidRDefault="002535E7" w:rsidP="005D2C26">
      <w:pPr>
        <w:spacing w:before="120"/>
        <w:ind w:left="992"/>
        <w:rPr>
          <w:rFonts w:cs="Times New Roman"/>
          <w:sz w:val="20"/>
          <w:lang w:val="en"/>
        </w:rPr>
      </w:pPr>
      <w:proofErr w:type="spellStart"/>
      <w:r w:rsidRPr="005D2C26">
        <w:rPr>
          <w:rFonts w:cs="Times New Roman"/>
          <w:sz w:val="20"/>
          <w:lang w:val="en"/>
        </w:rPr>
        <w:t>Avots</w:t>
      </w:r>
      <w:proofErr w:type="spellEnd"/>
      <w:r w:rsidRPr="005D2C26">
        <w:rPr>
          <w:rFonts w:cs="Times New Roman"/>
          <w:sz w:val="20"/>
          <w:lang w:val="en"/>
        </w:rPr>
        <w:t xml:space="preserve">: </w:t>
      </w:r>
      <w:r w:rsidRPr="005D2C26">
        <w:rPr>
          <w:rFonts w:cs="Times New Roman"/>
          <w:i/>
          <w:sz w:val="20"/>
          <w:lang w:val="en"/>
        </w:rPr>
        <w:t>Study on the Competitiveness of the European Steel Sector</w:t>
      </w:r>
    </w:p>
    <w:p w:rsidR="002535E7" w:rsidRPr="00F57D4B" w:rsidRDefault="002535E7" w:rsidP="002535E7">
      <w:pPr>
        <w:pStyle w:val="ListParagraph"/>
        <w:jc w:val="both"/>
        <w:rPr>
          <w:rFonts w:ascii="Times New Roman" w:hAnsi="Times New Roman" w:cs="Times New Roman"/>
          <w:sz w:val="24"/>
          <w:szCs w:val="24"/>
        </w:rPr>
      </w:pPr>
    </w:p>
    <w:p w:rsidR="00C70267" w:rsidRPr="00F57D4B" w:rsidRDefault="00C70267" w:rsidP="00C70267">
      <w:pPr>
        <w:pStyle w:val="ListParagraph"/>
        <w:spacing w:line="240" w:lineRule="auto"/>
        <w:ind w:left="0" w:firstLine="426"/>
        <w:jc w:val="both"/>
        <w:rPr>
          <w:rFonts w:ascii="Times New Roman" w:hAnsi="Times New Roman" w:cs="Times New Roman"/>
          <w:sz w:val="24"/>
          <w:szCs w:val="24"/>
        </w:rPr>
      </w:pPr>
      <w:r w:rsidRPr="00F57D4B">
        <w:rPr>
          <w:rFonts w:ascii="Times New Roman" w:hAnsi="Times New Roman" w:cs="Times New Roman"/>
          <w:sz w:val="24"/>
          <w:szCs w:val="24"/>
        </w:rPr>
        <w:t>Tērauda ražošanas nozares izmaksas veido arī energoresursu cenu dinamika pasaulē. No visa akmeņogļu patēriņa 95% tiek izlietoti metālu ražošanā. Otrs nozīmīgākais energoresursu veids ir dabasgāze, kuras īpatsvars pēdējos gados ir ievērojami pieaudzis. Trešais izplatītākais energoresursu veids metālu ražošanā ir elektroenerģija.</w:t>
      </w:r>
    </w:p>
    <w:p w:rsidR="00D266F9" w:rsidRDefault="00D266F9" w:rsidP="002535E7">
      <w:pPr>
        <w:pStyle w:val="ListParagraph"/>
        <w:ind w:left="0"/>
        <w:jc w:val="center"/>
        <w:rPr>
          <w:rFonts w:ascii="Times New Roman" w:hAnsi="Times New Roman" w:cs="Times New Roman"/>
          <w:bCs/>
          <w:sz w:val="24"/>
          <w:szCs w:val="24"/>
        </w:rPr>
      </w:pPr>
    </w:p>
    <w:p w:rsidR="002535E7" w:rsidRPr="00F57D4B" w:rsidRDefault="00104B0E" w:rsidP="00D266F9">
      <w:pPr>
        <w:pStyle w:val="ListParagraph"/>
        <w:spacing w:after="60" w:line="240" w:lineRule="auto"/>
        <w:ind w:left="0"/>
        <w:contextualSpacing w:val="0"/>
        <w:jc w:val="center"/>
        <w:rPr>
          <w:rFonts w:ascii="Times New Roman" w:hAnsi="Times New Roman" w:cs="Times New Roman"/>
          <w:b/>
          <w:bCs/>
          <w:sz w:val="24"/>
          <w:szCs w:val="24"/>
        </w:rPr>
      </w:pPr>
      <w:r w:rsidRPr="00F57D4B">
        <w:rPr>
          <w:rFonts w:ascii="Times New Roman" w:hAnsi="Times New Roman" w:cs="Times New Roman"/>
          <w:bCs/>
          <w:sz w:val="24"/>
          <w:szCs w:val="24"/>
        </w:rPr>
        <w:t>4</w:t>
      </w:r>
      <w:r w:rsidR="002535E7" w:rsidRPr="00F57D4B">
        <w:rPr>
          <w:rFonts w:ascii="Times New Roman" w:hAnsi="Times New Roman" w:cs="Times New Roman"/>
          <w:bCs/>
          <w:sz w:val="24"/>
          <w:szCs w:val="24"/>
        </w:rPr>
        <w:t>.attēls.</w:t>
      </w:r>
      <w:r w:rsidR="002535E7" w:rsidRPr="00F57D4B">
        <w:rPr>
          <w:rFonts w:ascii="Times New Roman" w:hAnsi="Times New Roman" w:cs="Times New Roman"/>
          <w:b/>
          <w:bCs/>
          <w:sz w:val="24"/>
          <w:szCs w:val="24"/>
        </w:rPr>
        <w:t> Resursu cenu dinamika pasaulē</w:t>
      </w:r>
    </w:p>
    <w:tbl>
      <w:tblPr>
        <w:tblStyle w:val="MediumList1-Accent4"/>
        <w:tblW w:w="5000" w:type="pct"/>
        <w:jc w:val="center"/>
        <w:tblLook w:val="0400" w:firstRow="0" w:lastRow="0" w:firstColumn="0" w:lastColumn="0" w:noHBand="0" w:noVBand="1"/>
      </w:tblPr>
      <w:tblGrid>
        <w:gridCol w:w="4535"/>
        <w:gridCol w:w="4536"/>
      </w:tblGrid>
      <w:tr w:rsidR="002535E7" w:rsidRPr="00D266F9" w:rsidTr="00F74C51">
        <w:trPr>
          <w:cnfStyle w:val="000000100000" w:firstRow="0" w:lastRow="0" w:firstColumn="0" w:lastColumn="0" w:oddVBand="0" w:evenVBand="0" w:oddHBand="1" w:evenHBand="0" w:firstRowFirstColumn="0" w:firstRowLastColumn="0" w:lastRowFirstColumn="0" w:lastRowLastColumn="0"/>
          <w:jc w:val="center"/>
        </w:trPr>
        <w:tc>
          <w:tcPr>
            <w:tcW w:w="2500" w:type="pct"/>
            <w:tcBorders>
              <w:top w:val="single" w:sz="8" w:space="0" w:color="8064A2" w:themeColor="accent4"/>
              <w:left w:val="nil"/>
              <w:bottom w:val="single" w:sz="8" w:space="0" w:color="8064A2" w:themeColor="accent4"/>
              <w:right w:val="nil"/>
            </w:tcBorders>
            <w:hideMark/>
          </w:tcPr>
          <w:p w:rsidR="002535E7" w:rsidRPr="00D266F9" w:rsidRDefault="002535E7" w:rsidP="00D266F9">
            <w:pPr>
              <w:pStyle w:val="ListParagraph"/>
              <w:spacing w:before="60" w:after="60" w:line="240" w:lineRule="auto"/>
              <w:contextualSpacing w:val="0"/>
              <w:jc w:val="center"/>
              <w:rPr>
                <w:rFonts w:ascii="Times New Roman" w:hAnsi="Times New Roman"/>
                <w:sz w:val="20"/>
                <w:szCs w:val="20"/>
              </w:rPr>
            </w:pPr>
            <w:r w:rsidRPr="00D266F9">
              <w:rPr>
                <w:rFonts w:ascii="Times New Roman" w:hAnsi="Times New Roman"/>
                <w:sz w:val="20"/>
                <w:szCs w:val="20"/>
              </w:rPr>
              <w:t>Dzelzs rūdas cenas</w:t>
            </w:r>
            <w:r w:rsidR="00D266F9">
              <w:rPr>
                <w:rFonts w:ascii="Times New Roman" w:hAnsi="Times New Roman"/>
                <w:sz w:val="20"/>
                <w:szCs w:val="20"/>
              </w:rPr>
              <w:br/>
            </w:r>
            <w:r w:rsidRPr="00D266F9">
              <w:rPr>
                <w:rFonts w:ascii="Times New Roman" w:hAnsi="Times New Roman"/>
                <w:sz w:val="20"/>
                <w:szCs w:val="20"/>
              </w:rPr>
              <w:t>200</w:t>
            </w:r>
            <w:r w:rsidR="00107A1D" w:rsidRPr="00D266F9">
              <w:rPr>
                <w:rFonts w:ascii="Times New Roman" w:hAnsi="Times New Roman"/>
                <w:sz w:val="20"/>
                <w:szCs w:val="20"/>
              </w:rPr>
              <w:t>7</w:t>
            </w:r>
            <w:r w:rsidRPr="00D266F9">
              <w:rPr>
                <w:rFonts w:ascii="Times New Roman" w:hAnsi="Times New Roman"/>
                <w:sz w:val="20"/>
                <w:szCs w:val="20"/>
              </w:rPr>
              <w:t>.g. decembris = 100</w:t>
            </w:r>
          </w:p>
        </w:tc>
        <w:tc>
          <w:tcPr>
            <w:tcW w:w="2500" w:type="pct"/>
            <w:tcBorders>
              <w:top w:val="single" w:sz="8" w:space="0" w:color="8064A2" w:themeColor="accent4"/>
              <w:left w:val="nil"/>
              <w:bottom w:val="single" w:sz="8" w:space="0" w:color="8064A2" w:themeColor="accent4"/>
              <w:right w:val="nil"/>
            </w:tcBorders>
            <w:hideMark/>
          </w:tcPr>
          <w:p w:rsidR="002535E7" w:rsidRPr="00D266F9" w:rsidRDefault="002535E7" w:rsidP="00D266F9">
            <w:pPr>
              <w:pStyle w:val="ListParagraph"/>
              <w:spacing w:before="60" w:after="60" w:line="240" w:lineRule="auto"/>
              <w:contextualSpacing w:val="0"/>
              <w:jc w:val="center"/>
              <w:rPr>
                <w:rFonts w:ascii="Times New Roman" w:hAnsi="Times New Roman"/>
                <w:sz w:val="20"/>
                <w:szCs w:val="20"/>
              </w:rPr>
            </w:pPr>
            <w:r w:rsidRPr="00D266F9">
              <w:rPr>
                <w:rFonts w:ascii="Times New Roman" w:hAnsi="Times New Roman"/>
                <w:sz w:val="20"/>
                <w:szCs w:val="20"/>
              </w:rPr>
              <w:t>Akmeņogļu cenas</w:t>
            </w:r>
            <w:r w:rsidR="00D266F9">
              <w:rPr>
                <w:rFonts w:ascii="Times New Roman" w:hAnsi="Times New Roman"/>
                <w:sz w:val="20"/>
                <w:szCs w:val="20"/>
              </w:rPr>
              <w:br/>
            </w:r>
            <w:r w:rsidRPr="00D266F9">
              <w:rPr>
                <w:rFonts w:ascii="Times New Roman" w:hAnsi="Times New Roman"/>
                <w:sz w:val="20"/>
                <w:szCs w:val="20"/>
              </w:rPr>
              <w:t>200</w:t>
            </w:r>
            <w:r w:rsidR="00107A1D" w:rsidRPr="00D266F9">
              <w:rPr>
                <w:rFonts w:ascii="Times New Roman" w:hAnsi="Times New Roman"/>
                <w:sz w:val="20"/>
                <w:szCs w:val="20"/>
              </w:rPr>
              <w:t>7</w:t>
            </w:r>
            <w:r w:rsidRPr="00D266F9">
              <w:rPr>
                <w:rFonts w:ascii="Times New Roman" w:hAnsi="Times New Roman"/>
                <w:sz w:val="20"/>
                <w:szCs w:val="20"/>
              </w:rPr>
              <w:t>.g. decembris = 100</w:t>
            </w:r>
          </w:p>
        </w:tc>
      </w:tr>
      <w:tr w:rsidR="002535E7" w:rsidRPr="00D266F9" w:rsidTr="00F74C51">
        <w:trPr>
          <w:jc w:val="center"/>
        </w:trPr>
        <w:tc>
          <w:tcPr>
            <w:tcW w:w="2500" w:type="pct"/>
            <w:tcBorders>
              <w:top w:val="single" w:sz="8" w:space="0" w:color="8064A2" w:themeColor="accent4"/>
              <w:left w:val="nil"/>
              <w:bottom w:val="single" w:sz="8" w:space="0" w:color="8064A2" w:themeColor="accent4"/>
              <w:right w:val="nil"/>
            </w:tcBorders>
            <w:hideMark/>
          </w:tcPr>
          <w:p w:rsidR="002535E7" w:rsidRPr="00D266F9" w:rsidRDefault="002535E7" w:rsidP="00D266F9">
            <w:pPr>
              <w:pStyle w:val="ListParagraph"/>
              <w:spacing w:before="60" w:after="60" w:line="240" w:lineRule="auto"/>
              <w:ind w:left="0"/>
              <w:contextualSpacing w:val="0"/>
              <w:jc w:val="center"/>
              <w:rPr>
                <w:sz w:val="20"/>
                <w:szCs w:val="20"/>
              </w:rPr>
            </w:pPr>
            <w:r w:rsidRPr="00D266F9">
              <w:rPr>
                <w:noProof/>
                <w:sz w:val="20"/>
                <w:szCs w:val="20"/>
                <w:lang w:eastAsia="lv-LV"/>
              </w:rPr>
              <w:drawing>
                <wp:inline distT="0" distB="0" distL="0" distR="0" wp14:anchorId="09DEDBB8" wp14:editId="459FE401">
                  <wp:extent cx="2685535" cy="1952367"/>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500" w:type="pct"/>
            <w:tcBorders>
              <w:top w:val="single" w:sz="8" w:space="0" w:color="8064A2" w:themeColor="accent4"/>
              <w:left w:val="nil"/>
              <w:bottom w:val="single" w:sz="8" w:space="0" w:color="8064A2" w:themeColor="accent4"/>
              <w:right w:val="nil"/>
            </w:tcBorders>
            <w:hideMark/>
          </w:tcPr>
          <w:p w:rsidR="002535E7" w:rsidRPr="00D266F9" w:rsidRDefault="002535E7" w:rsidP="00D266F9">
            <w:pPr>
              <w:pStyle w:val="ListParagraph"/>
              <w:spacing w:before="60" w:after="60" w:line="240" w:lineRule="auto"/>
              <w:ind w:left="0"/>
              <w:contextualSpacing w:val="0"/>
              <w:jc w:val="center"/>
              <w:rPr>
                <w:sz w:val="20"/>
                <w:szCs w:val="20"/>
              </w:rPr>
            </w:pPr>
            <w:r w:rsidRPr="00D266F9">
              <w:rPr>
                <w:noProof/>
                <w:sz w:val="20"/>
                <w:szCs w:val="20"/>
                <w:lang w:eastAsia="lv-LV"/>
              </w:rPr>
              <w:drawing>
                <wp:inline distT="0" distB="0" distL="0" distR="0" wp14:anchorId="21FAE31D" wp14:editId="30E7A6D4">
                  <wp:extent cx="2685536" cy="1993556"/>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2535E7" w:rsidRPr="00D266F9" w:rsidRDefault="002535E7" w:rsidP="00D266F9">
      <w:pPr>
        <w:pStyle w:val="ListParagraph"/>
        <w:spacing w:before="120" w:after="0" w:line="240" w:lineRule="auto"/>
        <w:contextualSpacing w:val="0"/>
        <w:rPr>
          <w:rFonts w:ascii="Times New Roman" w:hAnsi="Times New Roman" w:cs="Times New Roman"/>
          <w:sz w:val="20"/>
          <w:szCs w:val="20"/>
        </w:rPr>
      </w:pPr>
      <w:r w:rsidRPr="00D266F9">
        <w:rPr>
          <w:rFonts w:ascii="Times New Roman" w:hAnsi="Times New Roman" w:cs="Times New Roman"/>
          <w:sz w:val="20"/>
          <w:szCs w:val="20"/>
        </w:rPr>
        <w:t xml:space="preserve">Avots: </w:t>
      </w:r>
      <w:r w:rsidRPr="00D266F9">
        <w:rPr>
          <w:rFonts w:ascii="Times New Roman" w:hAnsi="Times New Roman" w:cs="Times New Roman"/>
          <w:i/>
          <w:sz w:val="20"/>
          <w:szCs w:val="20"/>
        </w:rPr>
        <w:t>IndexMundi.com</w:t>
      </w:r>
    </w:p>
    <w:p w:rsidR="00E22DC1" w:rsidRPr="00F57D4B" w:rsidRDefault="00E22DC1" w:rsidP="00E22DC1">
      <w:pPr>
        <w:pStyle w:val="ListParagraph"/>
        <w:spacing w:line="240" w:lineRule="auto"/>
        <w:ind w:left="0" w:firstLine="426"/>
        <w:jc w:val="both"/>
        <w:rPr>
          <w:rFonts w:ascii="Times New Roman" w:hAnsi="Times New Roman" w:cs="Times New Roman"/>
          <w:sz w:val="24"/>
          <w:szCs w:val="24"/>
        </w:rPr>
      </w:pPr>
    </w:p>
    <w:p w:rsidR="00E22DC1" w:rsidRPr="00F57D4B" w:rsidRDefault="00E22DC1" w:rsidP="00E22DC1">
      <w:pPr>
        <w:pStyle w:val="ListParagraph"/>
        <w:spacing w:line="240" w:lineRule="auto"/>
        <w:ind w:left="0" w:firstLine="426"/>
        <w:jc w:val="both"/>
        <w:rPr>
          <w:rFonts w:ascii="Times New Roman" w:hAnsi="Times New Roman" w:cs="Times New Roman"/>
          <w:sz w:val="24"/>
          <w:szCs w:val="24"/>
        </w:rPr>
      </w:pPr>
      <w:r w:rsidRPr="00F57D4B">
        <w:rPr>
          <w:rFonts w:ascii="Times New Roman" w:hAnsi="Times New Roman" w:cs="Times New Roman"/>
          <w:sz w:val="24"/>
          <w:szCs w:val="24"/>
        </w:rPr>
        <w:t xml:space="preserve">Tāpat kā izejmateriāliem, arī energoresursiem cenas 2010.-2013. gados ievērojami pieauga pie tam Eiropā saglabājās ļoti liela atkarība no energoresursu importa. Kopš 2014.gada energoresursu cenām bija vērojams straujš kritums saistībā ar </w:t>
      </w:r>
      <w:r w:rsidR="0007065B">
        <w:rPr>
          <w:rFonts w:ascii="Times New Roman" w:hAnsi="Times New Roman" w:cs="Times New Roman"/>
          <w:sz w:val="24"/>
          <w:szCs w:val="24"/>
        </w:rPr>
        <w:t xml:space="preserve">pasaules </w:t>
      </w:r>
      <w:r w:rsidRPr="00F57D4B">
        <w:rPr>
          <w:rFonts w:ascii="Times New Roman" w:hAnsi="Times New Roman" w:cs="Times New Roman"/>
          <w:sz w:val="24"/>
          <w:szCs w:val="24"/>
        </w:rPr>
        <w:t>naftas cenu samazināšanos, kas labvēlīgi ietekmē tērauda ražošanu, izņemot naftas un gāzes nozarēs.</w:t>
      </w:r>
    </w:p>
    <w:p w:rsidR="00E22DC1" w:rsidRPr="00F57D4B" w:rsidRDefault="00E22DC1" w:rsidP="00E22DC1">
      <w:pPr>
        <w:pStyle w:val="ListParagraph"/>
        <w:spacing w:line="240" w:lineRule="auto"/>
        <w:ind w:left="0" w:firstLine="426"/>
        <w:jc w:val="both"/>
        <w:rPr>
          <w:rFonts w:ascii="Times New Roman" w:hAnsi="Times New Roman" w:cs="Times New Roman"/>
          <w:sz w:val="24"/>
          <w:szCs w:val="24"/>
        </w:rPr>
      </w:pPr>
      <w:r w:rsidRPr="00F57D4B">
        <w:rPr>
          <w:rFonts w:ascii="Times New Roman" w:hAnsi="Times New Roman" w:cs="Times New Roman"/>
          <w:sz w:val="24"/>
          <w:szCs w:val="24"/>
        </w:rPr>
        <w:t>Kā vēl viens ražošanas izmaksu faktors ir darbaspēks (2-5% no kopējām izmaksām), kas jaunattīstības valstīs ir ievērojami zemākas.</w:t>
      </w:r>
    </w:p>
    <w:p w:rsidR="002535E7" w:rsidRPr="00F57D4B" w:rsidRDefault="002535E7" w:rsidP="002535E7">
      <w:pPr>
        <w:pStyle w:val="ListParagraph"/>
        <w:rPr>
          <w:rFonts w:ascii="Times New Roman" w:hAnsi="Times New Roman" w:cs="Times New Roman"/>
          <w:sz w:val="24"/>
          <w:szCs w:val="24"/>
        </w:rPr>
      </w:pPr>
    </w:p>
    <w:p w:rsidR="00E22DC1" w:rsidRPr="00F57D4B" w:rsidRDefault="00E22DC1" w:rsidP="002535E7">
      <w:pPr>
        <w:pStyle w:val="ListParagraph"/>
        <w:rPr>
          <w:rFonts w:ascii="Times New Roman" w:hAnsi="Times New Roman" w:cs="Times New Roman"/>
          <w:sz w:val="24"/>
          <w:szCs w:val="24"/>
        </w:rPr>
      </w:pPr>
    </w:p>
    <w:p w:rsidR="00063463" w:rsidRPr="00F57D4B" w:rsidRDefault="00EC7AD7" w:rsidP="00E22DC1">
      <w:pPr>
        <w:jc w:val="center"/>
        <w:rPr>
          <w:b/>
          <w:sz w:val="24"/>
          <w:szCs w:val="24"/>
          <w:u w:val="single"/>
        </w:rPr>
      </w:pPr>
      <w:r w:rsidRPr="00F57D4B">
        <w:rPr>
          <w:b/>
          <w:sz w:val="24"/>
          <w:szCs w:val="24"/>
          <w:u w:val="single"/>
        </w:rPr>
        <w:t xml:space="preserve">5. </w:t>
      </w:r>
      <w:r w:rsidR="002535E7" w:rsidRPr="00F57D4B">
        <w:rPr>
          <w:b/>
          <w:sz w:val="24"/>
          <w:szCs w:val="24"/>
          <w:u w:val="single"/>
        </w:rPr>
        <w:t>M</w:t>
      </w:r>
      <w:r w:rsidR="00063463" w:rsidRPr="00F57D4B">
        <w:rPr>
          <w:b/>
          <w:sz w:val="24"/>
          <w:szCs w:val="24"/>
          <w:u w:val="single"/>
        </w:rPr>
        <w:t xml:space="preserve">etālizstrādājumu eksports </w:t>
      </w:r>
      <w:r w:rsidR="00D9029E" w:rsidRPr="00F57D4B">
        <w:rPr>
          <w:b/>
          <w:sz w:val="24"/>
          <w:szCs w:val="24"/>
          <w:u w:val="single"/>
        </w:rPr>
        <w:t>un imports</w:t>
      </w:r>
    </w:p>
    <w:p w:rsidR="00063463" w:rsidRPr="00F57D4B" w:rsidRDefault="00063463" w:rsidP="00063463">
      <w:pPr>
        <w:jc w:val="center"/>
        <w:rPr>
          <w:b/>
          <w:sz w:val="24"/>
          <w:szCs w:val="24"/>
        </w:rPr>
      </w:pPr>
    </w:p>
    <w:p w:rsidR="001B5529" w:rsidRPr="00F57D4B" w:rsidRDefault="00B427A1" w:rsidP="00B427A1">
      <w:pPr>
        <w:pStyle w:val="BodyTextIndent2"/>
        <w:keepNext/>
        <w:spacing w:after="60" w:line="240" w:lineRule="auto"/>
        <w:ind w:left="0" w:firstLine="283"/>
        <w:jc w:val="both"/>
        <w:rPr>
          <w:lang w:val="lv-LV"/>
        </w:rPr>
      </w:pPr>
      <w:r w:rsidRPr="00F57D4B">
        <w:rPr>
          <w:lang w:val="lv-LV"/>
        </w:rPr>
        <w:t>ES-2</w:t>
      </w:r>
      <w:r w:rsidR="00DA64E8" w:rsidRPr="00F57D4B">
        <w:rPr>
          <w:lang w:val="lv-LV"/>
        </w:rPr>
        <w:t>8</w:t>
      </w:r>
      <w:r w:rsidRPr="00F57D4B">
        <w:rPr>
          <w:lang w:val="lv-LV"/>
        </w:rPr>
        <w:t xml:space="preserve"> valstu metālu eksports uz trešajām valstīm 201</w:t>
      </w:r>
      <w:r w:rsidR="00DA64E8" w:rsidRPr="00F57D4B">
        <w:rPr>
          <w:lang w:val="lv-LV"/>
        </w:rPr>
        <w:t>4</w:t>
      </w:r>
      <w:r w:rsidRPr="00F57D4B">
        <w:rPr>
          <w:lang w:val="lv-LV"/>
        </w:rPr>
        <w:t>.gadā bija 10</w:t>
      </w:r>
      <w:r w:rsidR="00DA64E8" w:rsidRPr="00F57D4B">
        <w:rPr>
          <w:lang w:val="lv-LV"/>
        </w:rPr>
        <w:t>6</w:t>
      </w:r>
      <w:r w:rsidRPr="00F57D4B">
        <w:rPr>
          <w:lang w:val="lv-LV"/>
        </w:rPr>
        <w:t xml:space="preserve"> milja</w:t>
      </w:r>
      <w:r w:rsidR="00565B58" w:rsidRPr="00F57D4B">
        <w:rPr>
          <w:lang w:val="lv-LV"/>
        </w:rPr>
        <w:t>rdu</w:t>
      </w:r>
      <w:r w:rsidRPr="00F57D4B">
        <w:rPr>
          <w:lang w:val="lv-LV"/>
        </w:rPr>
        <w:t xml:space="preserve"> EUR vērtībā. </w:t>
      </w:r>
      <w:r w:rsidR="0020350C" w:rsidRPr="00F57D4B">
        <w:rPr>
          <w:lang w:val="lv-LV"/>
        </w:rPr>
        <w:t>Imports no trešajām valstīm bija 94 miljardu EUR vērtībā.</w:t>
      </w:r>
    </w:p>
    <w:p w:rsidR="00B427A1" w:rsidRPr="00F57D4B" w:rsidRDefault="00B427A1" w:rsidP="00B427A1">
      <w:pPr>
        <w:pStyle w:val="BodyTextIndent2"/>
        <w:keepNext/>
        <w:spacing w:after="60" w:line="240" w:lineRule="auto"/>
        <w:ind w:left="0"/>
        <w:jc w:val="both"/>
        <w:rPr>
          <w:bCs/>
          <w:lang w:val="lv-LV"/>
        </w:rPr>
      </w:pPr>
    </w:p>
    <w:p w:rsidR="001B5529" w:rsidRDefault="007163AC" w:rsidP="001B5529">
      <w:pPr>
        <w:pStyle w:val="BodyTextIndent2"/>
        <w:keepNext/>
        <w:spacing w:after="60" w:line="240" w:lineRule="auto"/>
        <w:jc w:val="center"/>
        <w:rPr>
          <w:bCs/>
          <w:lang w:val="lv-LV"/>
        </w:rPr>
      </w:pPr>
      <w:r w:rsidRPr="00F57D4B">
        <w:rPr>
          <w:bCs/>
          <w:lang w:val="lv-LV"/>
        </w:rPr>
        <w:t>2</w:t>
      </w:r>
      <w:r w:rsidR="001B5529" w:rsidRPr="00F57D4B">
        <w:rPr>
          <w:bCs/>
          <w:lang w:val="lv-LV"/>
        </w:rPr>
        <w:t>.tabula.</w:t>
      </w:r>
      <w:r w:rsidR="001B5529" w:rsidRPr="00F57D4B">
        <w:rPr>
          <w:b/>
          <w:bCs/>
          <w:lang w:val="lv-LV"/>
        </w:rPr>
        <w:t xml:space="preserve"> ES metālu eksports </w:t>
      </w:r>
      <w:r w:rsidR="00ED6A15" w:rsidRPr="00F57D4B">
        <w:rPr>
          <w:b/>
          <w:bCs/>
          <w:lang w:val="lv-LV"/>
        </w:rPr>
        <w:t xml:space="preserve">un </w:t>
      </w:r>
      <w:r w:rsidR="00001611" w:rsidRPr="00F57D4B">
        <w:rPr>
          <w:b/>
          <w:bCs/>
          <w:lang w:val="lv-LV"/>
        </w:rPr>
        <w:t>imp</w:t>
      </w:r>
      <w:r w:rsidR="00ED6A15" w:rsidRPr="00F57D4B">
        <w:rPr>
          <w:b/>
          <w:bCs/>
          <w:lang w:val="lv-LV"/>
        </w:rPr>
        <w:t>orts</w:t>
      </w:r>
      <w:r w:rsidR="001B5529" w:rsidRPr="00F57D4B">
        <w:rPr>
          <w:b/>
          <w:bCs/>
          <w:lang w:val="lv-LV"/>
        </w:rPr>
        <w:t>,</w:t>
      </w:r>
      <w:r w:rsidR="001B5529" w:rsidRPr="00F57D4B">
        <w:rPr>
          <w:bCs/>
          <w:lang w:val="lv-LV"/>
        </w:rPr>
        <w:t xml:space="preserve"> </w:t>
      </w:r>
      <w:proofErr w:type="spellStart"/>
      <w:r w:rsidR="001B5529" w:rsidRPr="00F57D4B">
        <w:rPr>
          <w:bCs/>
          <w:lang w:val="lv-LV"/>
        </w:rPr>
        <w:t>milj</w:t>
      </w:r>
      <w:r w:rsidR="00FA2A03">
        <w:rPr>
          <w:bCs/>
          <w:lang w:val="lv-LV"/>
        </w:rPr>
        <w:t>rd</w:t>
      </w:r>
      <w:proofErr w:type="spellEnd"/>
      <w:r w:rsidR="001B5529" w:rsidRPr="00F57D4B">
        <w:rPr>
          <w:bCs/>
          <w:lang w:val="lv-LV"/>
        </w:rPr>
        <w:t>. EUR</w:t>
      </w:r>
    </w:p>
    <w:tbl>
      <w:tblPr>
        <w:tblStyle w:val="MediumList1-Accent4"/>
        <w:tblW w:w="0" w:type="auto"/>
        <w:jc w:val="center"/>
        <w:tblLayout w:type="fixed"/>
        <w:tblLook w:val="0400" w:firstRow="0" w:lastRow="0" w:firstColumn="0" w:lastColumn="0" w:noHBand="0" w:noVBand="1"/>
      </w:tblPr>
      <w:tblGrid>
        <w:gridCol w:w="1134"/>
        <w:gridCol w:w="1134"/>
        <w:gridCol w:w="1134"/>
        <w:gridCol w:w="1134"/>
        <w:gridCol w:w="1134"/>
        <w:gridCol w:w="1134"/>
        <w:gridCol w:w="1134"/>
        <w:gridCol w:w="1134"/>
      </w:tblGrid>
      <w:tr w:rsidR="00A97EFA" w:rsidRPr="00074235" w:rsidTr="00A97EFA">
        <w:trPr>
          <w:cnfStyle w:val="000000100000" w:firstRow="0" w:lastRow="0" w:firstColumn="0" w:lastColumn="0" w:oddVBand="0" w:evenVBand="0" w:oddHBand="1" w:evenHBand="0" w:firstRowFirstColumn="0" w:firstRowLastColumn="0" w:lastRowFirstColumn="0" w:lastRowLastColumn="0"/>
          <w:jc w:val="center"/>
        </w:trPr>
        <w:tc>
          <w:tcPr>
            <w:tcW w:w="1134" w:type="dxa"/>
            <w:tcBorders>
              <w:top w:val="single" w:sz="8" w:space="0" w:color="8064A2" w:themeColor="accent4"/>
              <w:left w:val="nil"/>
              <w:bottom w:val="single" w:sz="8" w:space="0" w:color="8064A2" w:themeColor="accent4"/>
              <w:right w:val="nil"/>
            </w:tcBorders>
            <w:vAlign w:val="center"/>
          </w:tcPr>
          <w:p w:rsidR="00A97EFA" w:rsidRPr="00074235" w:rsidRDefault="00A97EFA" w:rsidP="007F6774">
            <w:pPr>
              <w:tabs>
                <w:tab w:val="center" w:pos="2424"/>
              </w:tabs>
              <w:spacing w:before="60" w:after="60"/>
              <w:jc w:val="center"/>
              <w:rPr>
                <w:sz w:val="20"/>
                <w:szCs w:val="18"/>
              </w:rPr>
            </w:pPr>
          </w:p>
        </w:tc>
        <w:tc>
          <w:tcPr>
            <w:tcW w:w="1134" w:type="dxa"/>
            <w:tcBorders>
              <w:top w:val="single" w:sz="8" w:space="0" w:color="8064A2" w:themeColor="accent4"/>
              <w:left w:val="nil"/>
              <w:bottom w:val="single" w:sz="8" w:space="0" w:color="8064A2" w:themeColor="accent4"/>
              <w:right w:val="nil"/>
            </w:tcBorders>
            <w:vAlign w:val="center"/>
          </w:tcPr>
          <w:p w:rsidR="00A97EFA" w:rsidRPr="00074235" w:rsidRDefault="00A97EFA" w:rsidP="007F6774">
            <w:pPr>
              <w:tabs>
                <w:tab w:val="center" w:pos="2424"/>
              </w:tabs>
              <w:spacing w:before="60" w:after="60"/>
              <w:jc w:val="center"/>
              <w:rPr>
                <w:sz w:val="20"/>
                <w:szCs w:val="18"/>
              </w:rPr>
            </w:pPr>
            <w:r>
              <w:rPr>
                <w:sz w:val="20"/>
                <w:szCs w:val="18"/>
              </w:rPr>
              <w:t>2009</w:t>
            </w:r>
          </w:p>
        </w:tc>
        <w:tc>
          <w:tcPr>
            <w:tcW w:w="1134" w:type="dxa"/>
            <w:tcBorders>
              <w:top w:val="single" w:sz="8" w:space="0" w:color="8064A2" w:themeColor="accent4"/>
              <w:left w:val="nil"/>
              <w:bottom w:val="single" w:sz="8" w:space="0" w:color="8064A2" w:themeColor="accent4"/>
              <w:right w:val="nil"/>
            </w:tcBorders>
          </w:tcPr>
          <w:p w:rsidR="00A97EFA" w:rsidRPr="005D2C26" w:rsidRDefault="00A97EFA" w:rsidP="007F6774">
            <w:pPr>
              <w:tabs>
                <w:tab w:val="center" w:pos="2424"/>
              </w:tabs>
              <w:spacing w:before="60" w:after="60"/>
              <w:jc w:val="center"/>
              <w:rPr>
                <w:sz w:val="20"/>
                <w:szCs w:val="18"/>
              </w:rPr>
            </w:pPr>
            <w:r>
              <w:rPr>
                <w:sz w:val="20"/>
                <w:szCs w:val="18"/>
              </w:rPr>
              <w:t>2010</w:t>
            </w:r>
          </w:p>
        </w:tc>
        <w:tc>
          <w:tcPr>
            <w:tcW w:w="1134" w:type="dxa"/>
            <w:tcBorders>
              <w:top w:val="single" w:sz="8" w:space="0" w:color="8064A2" w:themeColor="accent4"/>
              <w:left w:val="nil"/>
              <w:bottom w:val="single" w:sz="8" w:space="0" w:color="8064A2" w:themeColor="accent4"/>
              <w:right w:val="nil"/>
            </w:tcBorders>
          </w:tcPr>
          <w:p w:rsidR="00A97EFA" w:rsidRPr="005D2C26" w:rsidRDefault="00A97EFA" w:rsidP="007F6774">
            <w:pPr>
              <w:tabs>
                <w:tab w:val="center" w:pos="2424"/>
              </w:tabs>
              <w:spacing w:before="60" w:after="60"/>
              <w:jc w:val="center"/>
              <w:rPr>
                <w:sz w:val="20"/>
                <w:szCs w:val="18"/>
              </w:rPr>
            </w:pPr>
            <w:r>
              <w:rPr>
                <w:sz w:val="20"/>
                <w:szCs w:val="18"/>
              </w:rPr>
              <w:t>2011</w:t>
            </w:r>
          </w:p>
        </w:tc>
        <w:tc>
          <w:tcPr>
            <w:tcW w:w="1134" w:type="dxa"/>
            <w:tcBorders>
              <w:top w:val="single" w:sz="8" w:space="0" w:color="8064A2" w:themeColor="accent4"/>
              <w:left w:val="nil"/>
              <w:bottom w:val="single" w:sz="8" w:space="0" w:color="8064A2" w:themeColor="accent4"/>
              <w:right w:val="nil"/>
            </w:tcBorders>
          </w:tcPr>
          <w:p w:rsidR="00A97EFA" w:rsidRPr="005D2C26" w:rsidRDefault="00A97EFA" w:rsidP="007F6774">
            <w:pPr>
              <w:tabs>
                <w:tab w:val="center" w:pos="2424"/>
              </w:tabs>
              <w:spacing w:before="60" w:after="60"/>
              <w:jc w:val="center"/>
              <w:rPr>
                <w:sz w:val="20"/>
                <w:szCs w:val="18"/>
              </w:rPr>
            </w:pPr>
            <w:r>
              <w:rPr>
                <w:sz w:val="20"/>
                <w:szCs w:val="18"/>
              </w:rPr>
              <w:t>2012</w:t>
            </w:r>
          </w:p>
        </w:tc>
        <w:tc>
          <w:tcPr>
            <w:tcW w:w="1134" w:type="dxa"/>
            <w:tcBorders>
              <w:top w:val="single" w:sz="8" w:space="0" w:color="8064A2" w:themeColor="accent4"/>
              <w:left w:val="nil"/>
              <w:bottom w:val="single" w:sz="8" w:space="0" w:color="8064A2" w:themeColor="accent4"/>
              <w:right w:val="nil"/>
            </w:tcBorders>
          </w:tcPr>
          <w:p w:rsidR="00A97EFA" w:rsidRPr="005D2C26" w:rsidRDefault="00A97EFA" w:rsidP="007F6774">
            <w:pPr>
              <w:tabs>
                <w:tab w:val="center" w:pos="2424"/>
              </w:tabs>
              <w:spacing w:before="60" w:after="60"/>
              <w:jc w:val="center"/>
              <w:rPr>
                <w:sz w:val="20"/>
                <w:szCs w:val="18"/>
              </w:rPr>
            </w:pPr>
            <w:r>
              <w:rPr>
                <w:sz w:val="20"/>
                <w:szCs w:val="18"/>
              </w:rPr>
              <w:t>2013</w:t>
            </w:r>
          </w:p>
        </w:tc>
        <w:tc>
          <w:tcPr>
            <w:tcW w:w="1134" w:type="dxa"/>
            <w:tcBorders>
              <w:top w:val="single" w:sz="8" w:space="0" w:color="8064A2" w:themeColor="accent4"/>
              <w:left w:val="nil"/>
              <w:bottom w:val="single" w:sz="8" w:space="0" w:color="8064A2" w:themeColor="accent4"/>
              <w:right w:val="nil"/>
            </w:tcBorders>
          </w:tcPr>
          <w:p w:rsidR="00A97EFA" w:rsidRPr="005D2C26" w:rsidRDefault="00A97EFA" w:rsidP="007F6774">
            <w:pPr>
              <w:tabs>
                <w:tab w:val="center" w:pos="2424"/>
              </w:tabs>
              <w:spacing w:before="60" w:after="60"/>
              <w:jc w:val="center"/>
              <w:rPr>
                <w:sz w:val="20"/>
                <w:szCs w:val="18"/>
              </w:rPr>
            </w:pPr>
            <w:r>
              <w:rPr>
                <w:sz w:val="20"/>
                <w:szCs w:val="18"/>
              </w:rPr>
              <w:t>2014</w:t>
            </w:r>
          </w:p>
        </w:tc>
        <w:tc>
          <w:tcPr>
            <w:tcW w:w="1134" w:type="dxa"/>
            <w:tcBorders>
              <w:top w:val="single" w:sz="8" w:space="0" w:color="8064A2" w:themeColor="accent4"/>
              <w:left w:val="nil"/>
              <w:bottom w:val="single" w:sz="8" w:space="0" w:color="8064A2" w:themeColor="accent4"/>
              <w:right w:val="nil"/>
            </w:tcBorders>
          </w:tcPr>
          <w:p w:rsidR="00A97EFA" w:rsidRDefault="00A97EFA" w:rsidP="007F6774">
            <w:pPr>
              <w:tabs>
                <w:tab w:val="center" w:pos="2424"/>
              </w:tabs>
              <w:spacing w:before="60" w:after="60"/>
              <w:jc w:val="center"/>
              <w:rPr>
                <w:sz w:val="20"/>
                <w:szCs w:val="18"/>
              </w:rPr>
            </w:pPr>
            <w:r>
              <w:rPr>
                <w:sz w:val="20"/>
                <w:szCs w:val="18"/>
              </w:rPr>
              <w:t>2015 I-VII</w:t>
            </w:r>
          </w:p>
        </w:tc>
      </w:tr>
      <w:tr w:rsidR="00A97EFA" w:rsidTr="00A97EFA">
        <w:trPr>
          <w:jc w:val="center"/>
        </w:trPr>
        <w:tc>
          <w:tcPr>
            <w:tcW w:w="1134" w:type="dxa"/>
            <w:tcBorders>
              <w:top w:val="single" w:sz="8" w:space="0" w:color="8064A2" w:themeColor="accent4"/>
              <w:left w:val="nil"/>
              <w:bottom w:val="single" w:sz="8" w:space="0" w:color="8064A2" w:themeColor="accent4"/>
              <w:right w:val="nil"/>
            </w:tcBorders>
          </w:tcPr>
          <w:p w:rsidR="00A97EFA" w:rsidRPr="005D2C26" w:rsidRDefault="00A97EFA" w:rsidP="007F6774">
            <w:pPr>
              <w:tabs>
                <w:tab w:val="center" w:pos="2424"/>
              </w:tabs>
              <w:spacing w:before="60" w:after="60"/>
              <w:rPr>
                <w:sz w:val="18"/>
                <w:szCs w:val="18"/>
              </w:rPr>
            </w:pPr>
            <w:r>
              <w:rPr>
                <w:sz w:val="18"/>
                <w:szCs w:val="18"/>
              </w:rPr>
              <w:t>Eksports</w:t>
            </w:r>
          </w:p>
        </w:tc>
        <w:tc>
          <w:tcPr>
            <w:tcW w:w="1134" w:type="dxa"/>
            <w:tcBorders>
              <w:top w:val="single" w:sz="8" w:space="0" w:color="8064A2" w:themeColor="accent4"/>
              <w:left w:val="nil"/>
              <w:bottom w:val="single" w:sz="8" w:space="0" w:color="8064A2" w:themeColor="accent4"/>
              <w:right w:val="nil"/>
            </w:tcBorders>
            <w:vAlign w:val="bottom"/>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76,3</w:t>
            </w:r>
          </w:p>
        </w:tc>
        <w:tc>
          <w:tcPr>
            <w:tcW w:w="1134" w:type="dxa"/>
            <w:tcBorders>
              <w:top w:val="single" w:sz="8" w:space="0" w:color="8064A2" w:themeColor="accent4"/>
              <w:left w:val="nil"/>
              <w:bottom w:val="single" w:sz="8" w:space="0" w:color="8064A2" w:themeColor="accent4"/>
              <w:right w:val="nil"/>
            </w:tcBorders>
            <w:vAlign w:val="bottom"/>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94,2</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108,4</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113,6</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107,2</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106,2</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62,9</w:t>
            </w:r>
          </w:p>
        </w:tc>
      </w:tr>
      <w:tr w:rsidR="00A97EFA" w:rsidTr="00A97EFA">
        <w:trPr>
          <w:cnfStyle w:val="000000100000" w:firstRow="0" w:lastRow="0" w:firstColumn="0" w:lastColumn="0" w:oddVBand="0" w:evenVBand="0" w:oddHBand="1" w:evenHBand="0" w:firstRowFirstColumn="0" w:firstRowLastColumn="0" w:lastRowFirstColumn="0" w:lastRowLastColumn="0"/>
          <w:jc w:val="center"/>
        </w:trPr>
        <w:tc>
          <w:tcPr>
            <w:tcW w:w="1134" w:type="dxa"/>
            <w:tcBorders>
              <w:top w:val="single" w:sz="8" w:space="0" w:color="8064A2" w:themeColor="accent4"/>
              <w:left w:val="nil"/>
              <w:bottom w:val="single" w:sz="8" w:space="0" w:color="8064A2" w:themeColor="accent4"/>
              <w:right w:val="nil"/>
            </w:tcBorders>
          </w:tcPr>
          <w:p w:rsidR="00A97EFA" w:rsidRPr="005D2C26" w:rsidRDefault="00A97EFA" w:rsidP="007F6774">
            <w:pPr>
              <w:tabs>
                <w:tab w:val="center" w:pos="2424"/>
              </w:tabs>
              <w:spacing w:before="60" w:after="60"/>
              <w:rPr>
                <w:sz w:val="18"/>
                <w:szCs w:val="18"/>
              </w:rPr>
            </w:pPr>
            <w:r>
              <w:rPr>
                <w:sz w:val="18"/>
                <w:szCs w:val="18"/>
              </w:rPr>
              <w:t>Imports</w:t>
            </w:r>
          </w:p>
        </w:tc>
        <w:tc>
          <w:tcPr>
            <w:tcW w:w="1134" w:type="dxa"/>
            <w:tcBorders>
              <w:top w:val="single" w:sz="8" w:space="0" w:color="8064A2" w:themeColor="accent4"/>
              <w:left w:val="nil"/>
              <w:bottom w:val="single" w:sz="8" w:space="0" w:color="8064A2" w:themeColor="accent4"/>
              <w:right w:val="nil"/>
            </w:tcBorders>
            <w:vAlign w:val="bottom"/>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60,9</w:t>
            </w:r>
          </w:p>
        </w:tc>
        <w:tc>
          <w:tcPr>
            <w:tcW w:w="1134" w:type="dxa"/>
            <w:tcBorders>
              <w:top w:val="single" w:sz="8" w:space="0" w:color="8064A2" w:themeColor="accent4"/>
              <w:left w:val="nil"/>
              <w:bottom w:val="single" w:sz="8" w:space="0" w:color="8064A2" w:themeColor="accent4"/>
              <w:right w:val="nil"/>
            </w:tcBorders>
            <w:vAlign w:val="bottom"/>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88,2</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105,8</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93,7</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88,4</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94,0</w:t>
            </w:r>
          </w:p>
        </w:tc>
        <w:tc>
          <w:tcPr>
            <w:tcW w:w="1134" w:type="dxa"/>
            <w:tcBorders>
              <w:top w:val="single" w:sz="8" w:space="0" w:color="8064A2" w:themeColor="accent4"/>
              <w:left w:val="nil"/>
              <w:bottom w:val="single" w:sz="8" w:space="0" w:color="8064A2" w:themeColor="accent4"/>
              <w:right w:val="nil"/>
            </w:tcBorders>
          </w:tcPr>
          <w:p w:rsidR="00A97EFA" w:rsidRPr="005D2C26" w:rsidRDefault="00FA2A03" w:rsidP="007F6774">
            <w:pPr>
              <w:tabs>
                <w:tab w:val="decimal" w:pos="829"/>
              </w:tabs>
              <w:spacing w:before="60" w:after="60"/>
              <w:rPr>
                <w:rFonts w:eastAsia="Times New Roman"/>
                <w:color w:val="000000"/>
                <w:sz w:val="18"/>
                <w:szCs w:val="18"/>
                <w:lang w:eastAsia="lv-LV"/>
              </w:rPr>
            </w:pPr>
            <w:r>
              <w:rPr>
                <w:rFonts w:eastAsia="Times New Roman"/>
                <w:color w:val="000000"/>
                <w:sz w:val="18"/>
                <w:szCs w:val="18"/>
                <w:lang w:eastAsia="lv-LV"/>
              </w:rPr>
              <w:t>61,5</w:t>
            </w:r>
          </w:p>
        </w:tc>
      </w:tr>
    </w:tbl>
    <w:p w:rsidR="00A97EFA" w:rsidRDefault="00A97EFA" w:rsidP="00A97EFA">
      <w:pPr>
        <w:spacing w:before="120"/>
        <w:jc w:val="both"/>
        <w:rPr>
          <w:rFonts w:cs="Times New Roman"/>
          <w:sz w:val="20"/>
          <w:szCs w:val="20"/>
        </w:rPr>
      </w:pPr>
      <w:r w:rsidRPr="001B5529">
        <w:rPr>
          <w:rFonts w:cs="Times New Roman"/>
          <w:sz w:val="20"/>
          <w:szCs w:val="20"/>
        </w:rPr>
        <w:t xml:space="preserve">Avots: </w:t>
      </w:r>
      <w:proofErr w:type="spellStart"/>
      <w:r w:rsidRPr="00A97EFA">
        <w:rPr>
          <w:rFonts w:cs="Times New Roman"/>
          <w:i/>
          <w:sz w:val="20"/>
          <w:szCs w:val="20"/>
        </w:rPr>
        <w:t>Eurostat</w:t>
      </w:r>
      <w:proofErr w:type="spellEnd"/>
    </w:p>
    <w:p w:rsidR="00104B0E" w:rsidRPr="00E22DC1" w:rsidRDefault="00104B0E" w:rsidP="00E11C49">
      <w:pPr>
        <w:spacing w:after="80"/>
        <w:jc w:val="both"/>
        <w:rPr>
          <w:rFonts w:cs="Times New Roman"/>
          <w:sz w:val="2"/>
          <w:szCs w:val="20"/>
        </w:rPr>
      </w:pPr>
    </w:p>
    <w:p w:rsidR="00FA2A03" w:rsidRDefault="00FA2A03" w:rsidP="00104B0E">
      <w:pPr>
        <w:spacing w:after="80"/>
        <w:ind w:firstLine="283"/>
        <w:jc w:val="both"/>
        <w:rPr>
          <w:rFonts w:cs="Times New Roman"/>
          <w:sz w:val="24"/>
          <w:szCs w:val="24"/>
        </w:rPr>
      </w:pPr>
    </w:p>
    <w:p w:rsidR="00DA64E8" w:rsidRPr="00F57D4B" w:rsidRDefault="00104B0E" w:rsidP="00104B0E">
      <w:pPr>
        <w:spacing w:after="80"/>
        <w:ind w:firstLine="283"/>
        <w:jc w:val="both"/>
        <w:rPr>
          <w:rFonts w:cs="Times New Roman"/>
          <w:sz w:val="24"/>
          <w:szCs w:val="24"/>
        </w:rPr>
      </w:pPr>
      <w:r w:rsidRPr="00F57D4B">
        <w:rPr>
          <w:rFonts w:cs="Times New Roman"/>
          <w:sz w:val="24"/>
          <w:szCs w:val="24"/>
        </w:rPr>
        <w:t>Jāatzīmē, ka 2014.gadā metālizstrādājumu eksports ES iekšējā tirgū bija 263,6 miljardu EUR apmērā. Tas nozīmē, ka tirdzniecība uz trešajām valstīm bija vien 40% apmērā no ES iekšējās tirdzniecības.</w:t>
      </w:r>
      <w:r w:rsidR="003A33E0" w:rsidRPr="00F57D4B">
        <w:rPr>
          <w:rFonts w:cs="Times New Roman"/>
          <w:sz w:val="24"/>
          <w:szCs w:val="24"/>
        </w:rPr>
        <w:t xml:space="preserve"> Galvenie ES-28 eksporta tirgi (metāliem un metālizstrādājumiem) ir ASV, Ķīna, Turcija, Šveice  un Krievija.</w:t>
      </w:r>
    </w:p>
    <w:p w:rsidR="003A33E0" w:rsidRPr="0007065B" w:rsidRDefault="003A33E0" w:rsidP="0007065B">
      <w:pPr>
        <w:spacing w:after="80"/>
        <w:ind w:firstLine="283"/>
        <w:jc w:val="both"/>
        <w:rPr>
          <w:rFonts w:cs="Times New Roman"/>
          <w:sz w:val="24"/>
          <w:szCs w:val="24"/>
        </w:rPr>
      </w:pPr>
      <w:r w:rsidRPr="0007065B">
        <w:rPr>
          <w:rFonts w:cs="Times New Roman"/>
          <w:sz w:val="24"/>
          <w:szCs w:val="24"/>
        </w:rPr>
        <w:t>2014.gadā metālu imports ES pieauga par 6,</w:t>
      </w:r>
      <w:r w:rsidR="00FA2A03" w:rsidRPr="0007065B">
        <w:rPr>
          <w:rFonts w:cs="Times New Roman"/>
          <w:sz w:val="24"/>
          <w:szCs w:val="24"/>
        </w:rPr>
        <w:t>3</w:t>
      </w:r>
      <w:r w:rsidRPr="0007065B">
        <w:rPr>
          <w:rFonts w:cs="Times New Roman"/>
          <w:sz w:val="24"/>
          <w:szCs w:val="24"/>
        </w:rPr>
        <w:t xml:space="preserve">%. Tā kā eksporta </w:t>
      </w:r>
      <w:r w:rsidR="00FA2A03" w:rsidRPr="0007065B">
        <w:rPr>
          <w:rFonts w:cs="Times New Roman"/>
          <w:sz w:val="24"/>
          <w:szCs w:val="24"/>
        </w:rPr>
        <w:t>vērtība šajā periodā samazinājās</w:t>
      </w:r>
      <w:r w:rsidRPr="0007065B">
        <w:rPr>
          <w:rFonts w:cs="Times New Roman"/>
          <w:sz w:val="24"/>
          <w:szCs w:val="24"/>
        </w:rPr>
        <w:t>, tirdzniecības pārpalikums saruka no 18,8 milj</w:t>
      </w:r>
      <w:r w:rsidR="00551B80" w:rsidRPr="0007065B">
        <w:rPr>
          <w:rFonts w:cs="Times New Roman"/>
          <w:sz w:val="24"/>
          <w:szCs w:val="24"/>
        </w:rPr>
        <w:t>ardiem</w:t>
      </w:r>
      <w:r w:rsidRPr="0007065B">
        <w:rPr>
          <w:rFonts w:cs="Times New Roman"/>
          <w:sz w:val="24"/>
          <w:szCs w:val="24"/>
        </w:rPr>
        <w:t xml:space="preserve"> EUR 2013.gadā līdz 12,</w:t>
      </w:r>
      <w:r w:rsidR="00FA2A03" w:rsidRPr="0007065B">
        <w:rPr>
          <w:rFonts w:cs="Times New Roman"/>
          <w:sz w:val="24"/>
          <w:szCs w:val="24"/>
        </w:rPr>
        <w:t>2 </w:t>
      </w:r>
      <w:r w:rsidRPr="0007065B">
        <w:rPr>
          <w:rFonts w:cs="Times New Roman"/>
          <w:sz w:val="24"/>
          <w:szCs w:val="24"/>
        </w:rPr>
        <w:t>milj</w:t>
      </w:r>
      <w:r w:rsidR="00551B80" w:rsidRPr="0007065B">
        <w:rPr>
          <w:rFonts w:cs="Times New Roman"/>
          <w:sz w:val="24"/>
          <w:szCs w:val="24"/>
        </w:rPr>
        <w:t>ardiem</w:t>
      </w:r>
      <w:r w:rsidRPr="0007065B">
        <w:rPr>
          <w:rFonts w:cs="Times New Roman"/>
          <w:sz w:val="24"/>
          <w:szCs w:val="24"/>
        </w:rPr>
        <w:t xml:space="preserve"> EUR 2014.gadā.</w:t>
      </w:r>
    </w:p>
    <w:p w:rsidR="00FA2A03" w:rsidRPr="0007065B" w:rsidRDefault="0007065B" w:rsidP="0007065B">
      <w:pPr>
        <w:spacing w:after="80"/>
        <w:ind w:firstLine="283"/>
        <w:jc w:val="both"/>
        <w:rPr>
          <w:rFonts w:cs="Times New Roman"/>
          <w:sz w:val="24"/>
          <w:szCs w:val="24"/>
        </w:rPr>
      </w:pPr>
      <w:r w:rsidRPr="0007065B">
        <w:rPr>
          <w:rFonts w:cs="Times New Roman"/>
          <w:sz w:val="24"/>
          <w:szCs w:val="24"/>
        </w:rPr>
        <w:t xml:space="preserve">Jāatzīmē ka strauji sarūkot rubļa kursam </w:t>
      </w:r>
      <w:r>
        <w:rPr>
          <w:rFonts w:cs="Times New Roman"/>
          <w:sz w:val="24"/>
          <w:szCs w:val="24"/>
        </w:rPr>
        <w:t xml:space="preserve">2015.gadā </w:t>
      </w:r>
      <w:r w:rsidRPr="0007065B">
        <w:rPr>
          <w:rFonts w:cs="Times New Roman"/>
          <w:sz w:val="24"/>
          <w:szCs w:val="24"/>
        </w:rPr>
        <w:t xml:space="preserve">ir </w:t>
      </w:r>
      <w:r>
        <w:rPr>
          <w:rFonts w:cs="Times New Roman"/>
          <w:sz w:val="24"/>
          <w:szCs w:val="24"/>
        </w:rPr>
        <w:t xml:space="preserve">ievērojami </w:t>
      </w:r>
      <w:r w:rsidRPr="0007065B">
        <w:rPr>
          <w:rFonts w:cs="Times New Roman"/>
          <w:sz w:val="24"/>
          <w:szCs w:val="24"/>
        </w:rPr>
        <w:t xml:space="preserve">samazinājies metālu eksports uz Krieviju, savukārt imports ir </w:t>
      </w:r>
      <w:r>
        <w:rPr>
          <w:rFonts w:cs="Times New Roman"/>
          <w:sz w:val="24"/>
          <w:szCs w:val="24"/>
        </w:rPr>
        <w:t>pie</w:t>
      </w:r>
      <w:r w:rsidRPr="0007065B">
        <w:rPr>
          <w:rFonts w:cs="Times New Roman"/>
          <w:sz w:val="24"/>
          <w:szCs w:val="24"/>
        </w:rPr>
        <w:t>audzis.</w:t>
      </w:r>
    </w:p>
    <w:p w:rsidR="0007065B" w:rsidRDefault="0007065B" w:rsidP="00FA2A03">
      <w:pPr>
        <w:pStyle w:val="BodyTextIndent2"/>
        <w:spacing w:after="60" w:line="240" w:lineRule="auto"/>
        <w:ind w:left="0" w:firstLine="283"/>
        <w:jc w:val="both"/>
        <w:rPr>
          <w:lang w:val="lv-LV"/>
        </w:rPr>
      </w:pPr>
    </w:p>
    <w:p w:rsidR="0020350C" w:rsidRPr="00F57D4B" w:rsidRDefault="0020350C" w:rsidP="00FA2A03">
      <w:pPr>
        <w:pStyle w:val="BodyTextIndent2"/>
        <w:spacing w:after="60" w:line="240" w:lineRule="auto"/>
        <w:ind w:left="0" w:firstLine="283"/>
        <w:jc w:val="both"/>
        <w:rPr>
          <w:lang w:val="lv-LV"/>
        </w:rPr>
      </w:pPr>
      <w:r w:rsidRPr="00F57D4B">
        <w:rPr>
          <w:lang w:val="lv-LV"/>
        </w:rPr>
        <w:t xml:space="preserve">Latvijas metālu eksports 2014.gadā bija </w:t>
      </w:r>
      <w:r w:rsidR="000C7773" w:rsidRPr="00F57D4B">
        <w:rPr>
          <w:lang w:val="lv-LV"/>
        </w:rPr>
        <w:t>92</w:t>
      </w:r>
      <w:r w:rsidR="005D04AE">
        <w:rPr>
          <w:lang w:val="lv-LV"/>
        </w:rPr>
        <w:t>5</w:t>
      </w:r>
      <w:r w:rsidRPr="00F57D4B">
        <w:rPr>
          <w:lang w:val="lv-LV"/>
        </w:rPr>
        <w:t xml:space="preserve"> milj</w:t>
      </w:r>
      <w:r w:rsidR="000C7773" w:rsidRPr="00F57D4B">
        <w:rPr>
          <w:lang w:val="lv-LV"/>
        </w:rPr>
        <w:t>.</w:t>
      </w:r>
      <w:r w:rsidRPr="00F57D4B">
        <w:rPr>
          <w:lang w:val="lv-LV"/>
        </w:rPr>
        <w:t xml:space="preserve"> EUR vērtībā, bet metālu imports bija 1</w:t>
      </w:r>
      <w:r w:rsidR="000C7773" w:rsidRPr="00F57D4B">
        <w:rPr>
          <w:lang w:val="lv-LV"/>
        </w:rPr>
        <w:t>04</w:t>
      </w:r>
      <w:r w:rsidR="005D04AE">
        <w:rPr>
          <w:lang w:val="lv-LV"/>
        </w:rPr>
        <w:t>4</w:t>
      </w:r>
      <w:r w:rsidRPr="00F57D4B">
        <w:rPr>
          <w:lang w:val="lv-LV"/>
        </w:rPr>
        <w:t xml:space="preserve"> milj</w:t>
      </w:r>
      <w:r w:rsidR="000C7773" w:rsidRPr="00F57D4B">
        <w:rPr>
          <w:lang w:val="lv-LV"/>
        </w:rPr>
        <w:t>.</w:t>
      </w:r>
      <w:r w:rsidRPr="00F57D4B">
        <w:rPr>
          <w:lang w:val="lv-LV"/>
        </w:rPr>
        <w:t xml:space="preserve"> EUR vērtībā. </w:t>
      </w:r>
      <w:r w:rsidR="003A33E0" w:rsidRPr="00F57D4B">
        <w:rPr>
          <w:lang w:val="lv-LV"/>
        </w:rPr>
        <w:t>Salīdzinot ar 2013.gadu, gan eksports, gan imports samazinājās attiecīgi par 1</w:t>
      </w:r>
      <w:r w:rsidR="005D04AE">
        <w:rPr>
          <w:lang w:val="lv-LV"/>
        </w:rPr>
        <w:t>2</w:t>
      </w:r>
      <w:r w:rsidR="003A33E0" w:rsidRPr="00F57D4B">
        <w:rPr>
          <w:lang w:val="lv-LV"/>
        </w:rPr>
        <w:t>% un 4,</w:t>
      </w:r>
      <w:r w:rsidR="005D04AE">
        <w:rPr>
          <w:lang w:val="lv-LV"/>
        </w:rPr>
        <w:t>5</w:t>
      </w:r>
      <w:r w:rsidR="003A33E0" w:rsidRPr="00F57D4B">
        <w:rPr>
          <w:lang w:val="lv-LV"/>
        </w:rPr>
        <w:t xml:space="preserve">%. </w:t>
      </w:r>
      <w:r w:rsidR="00551B80" w:rsidRPr="00F57D4B">
        <w:rPr>
          <w:lang w:val="lv-LV"/>
        </w:rPr>
        <w:t>Tirdzniecības deficīts pieauga no 4</w:t>
      </w:r>
      <w:r w:rsidR="005D04AE">
        <w:rPr>
          <w:lang w:val="lv-LV"/>
        </w:rPr>
        <w:t>1,8</w:t>
      </w:r>
      <w:r w:rsidR="00551B80" w:rsidRPr="00F57D4B">
        <w:rPr>
          <w:lang w:val="lv-LV"/>
        </w:rPr>
        <w:t xml:space="preserve"> milj. EUR 2013.gadā līdz 1</w:t>
      </w:r>
      <w:r w:rsidR="005D04AE">
        <w:rPr>
          <w:lang w:val="lv-LV"/>
        </w:rPr>
        <w:t>19,</w:t>
      </w:r>
      <w:r w:rsidR="00551B80" w:rsidRPr="00F57D4B">
        <w:rPr>
          <w:lang w:val="lv-LV"/>
        </w:rPr>
        <w:t>2 milj. EUR 2014.gadā.</w:t>
      </w:r>
      <w:r w:rsidR="00C30D57" w:rsidRPr="00F57D4B">
        <w:rPr>
          <w:lang w:val="lv-LV"/>
        </w:rPr>
        <w:t xml:space="preserve"> Melnajiem metāliem 2014.gadā eksports un imports samazinājās attiecīgi par 13,</w:t>
      </w:r>
      <w:r w:rsidR="005D04AE">
        <w:rPr>
          <w:lang w:val="lv-LV"/>
        </w:rPr>
        <w:t>5</w:t>
      </w:r>
      <w:r w:rsidR="00C30D57" w:rsidRPr="00F57D4B">
        <w:rPr>
          <w:lang w:val="lv-LV"/>
        </w:rPr>
        <w:t xml:space="preserve">% un </w:t>
      </w:r>
      <w:r w:rsidR="005D04AE">
        <w:rPr>
          <w:lang w:val="lv-LV"/>
        </w:rPr>
        <w:t>4,2</w:t>
      </w:r>
      <w:r w:rsidR="00C30D57" w:rsidRPr="00F57D4B">
        <w:rPr>
          <w:lang w:val="lv-LV"/>
        </w:rPr>
        <w:t>%, bet metāllūžņiem samazinājās attiecīgi par 1,</w:t>
      </w:r>
      <w:r w:rsidR="006A229E">
        <w:rPr>
          <w:lang w:val="lv-LV"/>
        </w:rPr>
        <w:t>8</w:t>
      </w:r>
      <w:r w:rsidR="00C30D57" w:rsidRPr="00F57D4B">
        <w:rPr>
          <w:lang w:val="lv-LV"/>
        </w:rPr>
        <w:t>% un 35,</w:t>
      </w:r>
      <w:r w:rsidR="006A229E">
        <w:rPr>
          <w:lang w:val="lv-LV"/>
        </w:rPr>
        <w:t>6</w:t>
      </w:r>
      <w:r w:rsidR="00C30D57" w:rsidRPr="00F57D4B">
        <w:rPr>
          <w:lang w:val="lv-LV"/>
        </w:rPr>
        <w:t>%.</w:t>
      </w:r>
    </w:p>
    <w:p w:rsidR="00C30D57" w:rsidRDefault="00C30D57" w:rsidP="00FA2A03">
      <w:pPr>
        <w:pStyle w:val="BodyTextIndent2"/>
        <w:spacing w:after="60" w:line="240" w:lineRule="auto"/>
        <w:ind w:left="0" w:firstLine="283"/>
        <w:jc w:val="both"/>
        <w:rPr>
          <w:lang w:val="lv-LV"/>
        </w:rPr>
      </w:pPr>
      <w:r w:rsidRPr="00F57D4B">
        <w:rPr>
          <w:lang w:val="lv-LV"/>
        </w:rPr>
        <w:t xml:space="preserve">2015.gada </w:t>
      </w:r>
      <w:r w:rsidR="006A229E">
        <w:rPr>
          <w:lang w:val="lv-LV"/>
        </w:rPr>
        <w:t>janvārī-augustā</w:t>
      </w:r>
      <w:r w:rsidRPr="00F57D4B">
        <w:rPr>
          <w:lang w:val="lv-LV"/>
        </w:rPr>
        <w:t xml:space="preserve"> </w:t>
      </w:r>
      <w:r w:rsidR="00E54466" w:rsidRPr="00F57D4B">
        <w:rPr>
          <w:lang w:val="lv-LV"/>
        </w:rPr>
        <w:t xml:space="preserve">metālu </w:t>
      </w:r>
      <w:r w:rsidRPr="00F57D4B">
        <w:rPr>
          <w:lang w:val="lv-LV"/>
        </w:rPr>
        <w:t xml:space="preserve">eksports bija </w:t>
      </w:r>
      <w:r w:rsidR="006A229E">
        <w:rPr>
          <w:lang w:val="lv-LV"/>
        </w:rPr>
        <w:t>616,1</w:t>
      </w:r>
      <w:r w:rsidRPr="00F57D4B">
        <w:rPr>
          <w:lang w:val="lv-LV"/>
        </w:rPr>
        <w:t xml:space="preserve"> milj</w:t>
      </w:r>
      <w:r w:rsidR="000C7773" w:rsidRPr="00F57D4B">
        <w:rPr>
          <w:lang w:val="lv-LV"/>
        </w:rPr>
        <w:t>.</w:t>
      </w:r>
      <w:r w:rsidRPr="00F57D4B">
        <w:rPr>
          <w:lang w:val="lv-LV"/>
        </w:rPr>
        <w:t xml:space="preserve"> EUR vērtībā, bet metālu imports </w:t>
      </w:r>
      <w:r w:rsidR="00E54466" w:rsidRPr="00F57D4B">
        <w:rPr>
          <w:lang w:val="lv-LV"/>
        </w:rPr>
        <w:t>–</w:t>
      </w:r>
      <w:r w:rsidRPr="00F57D4B">
        <w:rPr>
          <w:lang w:val="lv-LV"/>
        </w:rPr>
        <w:t xml:space="preserve"> </w:t>
      </w:r>
      <w:r w:rsidR="006A229E">
        <w:rPr>
          <w:lang w:val="lv-LV"/>
        </w:rPr>
        <w:t>700</w:t>
      </w:r>
      <w:r w:rsidRPr="00F57D4B">
        <w:rPr>
          <w:lang w:val="lv-LV"/>
        </w:rPr>
        <w:t xml:space="preserve"> milj</w:t>
      </w:r>
      <w:r w:rsidR="000C7773" w:rsidRPr="00F57D4B">
        <w:rPr>
          <w:lang w:val="lv-LV"/>
        </w:rPr>
        <w:t>.</w:t>
      </w:r>
      <w:r w:rsidRPr="00F57D4B">
        <w:rPr>
          <w:lang w:val="lv-LV"/>
        </w:rPr>
        <w:t xml:space="preserve"> EUR vērtībā.</w:t>
      </w:r>
      <w:r w:rsidR="00074235" w:rsidRPr="00F57D4B">
        <w:rPr>
          <w:lang w:val="lv-LV"/>
        </w:rPr>
        <w:t xml:space="preserve"> Salīdzinot ar 2014.</w:t>
      </w:r>
      <w:r w:rsidRPr="00F57D4B">
        <w:rPr>
          <w:lang w:val="lv-LV"/>
        </w:rPr>
        <w:t xml:space="preserve">gada </w:t>
      </w:r>
      <w:r w:rsidR="006A229E">
        <w:rPr>
          <w:lang w:val="lv-LV"/>
        </w:rPr>
        <w:t>astoņiem mēnešiem</w:t>
      </w:r>
      <w:r w:rsidRPr="00F57D4B">
        <w:rPr>
          <w:lang w:val="lv-LV"/>
        </w:rPr>
        <w:t xml:space="preserve">, kopējais metālu eksports </w:t>
      </w:r>
      <w:r w:rsidR="000C7773" w:rsidRPr="00F57D4B">
        <w:rPr>
          <w:lang w:val="lv-LV"/>
        </w:rPr>
        <w:t xml:space="preserve">un imports samazinājās, attiecīgi par </w:t>
      </w:r>
      <w:r w:rsidR="006A229E">
        <w:rPr>
          <w:lang w:val="lv-LV"/>
        </w:rPr>
        <w:t>4,1</w:t>
      </w:r>
      <w:r w:rsidR="000C7773" w:rsidRPr="00F57D4B">
        <w:rPr>
          <w:lang w:val="lv-LV"/>
        </w:rPr>
        <w:t xml:space="preserve">% un </w:t>
      </w:r>
      <w:r w:rsidR="006A229E">
        <w:rPr>
          <w:lang w:val="lv-LV"/>
        </w:rPr>
        <w:t>0,3</w:t>
      </w:r>
      <w:r w:rsidR="000C7773" w:rsidRPr="00F57D4B">
        <w:rPr>
          <w:lang w:val="lv-LV"/>
        </w:rPr>
        <w:t xml:space="preserve">%. Šajā periodā melnajiem metāliem eksports </w:t>
      </w:r>
      <w:r w:rsidR="006A229E">
        <w:rPr>
          <w:lang w:val="lv-LV"/>
        </w:rPr>
        <w:t>samazinājās</w:t>
      </w:r>
      <w:r w:rsidR="000C7773" w:rsidRPr="00F57D4B">
        <w:rPr>
          <w:lang w:val="lv-LV"/>
        </w:rPr>
        <w:t xml:space="preserve"> par </w:t>
      </w:r>
      <w:r w:rsidR="006A229E">
        <w:rPr>
          <w:lang w:val="lv-LV"/>
        </w:rPr>
        <w:t>0,2</w:t>
      </w:r>
      <w:r w:rsidR="000C7773" w:rsidRPr="00F57D4B">
        <w:rPr>
          <w:lang w:val="lv-LV"/>
        </w:rPr>
        <w:t xml:space="preserve">%, bet imports </w:t>
      </w:r>
      <w:r w:rsidR="006A229E">
        <w:rPr>
          <w:lang w:val="lv-LV"/>
        </w:rPr>
        <w:t>palika nemainīgs</w:t>
      </w:r>
      <w:r w:rsidR="000C7773" w:rsidRPr="00F57D4B">
        <w:rPr>
          <w:lang w:val="lv-LV"/>
        </w:rPr>
        <w:t xml:space="preserve">, </w:t>
      </w:r>
      <w:r w:rsidR="006A229E">
        <w:rPr>
          <w:lang w:val="lv-LV"/>
        </w:rPr>
        <w:t>savukārt</w:t>
      </w:r>
      <w:r w:rsidR="000C7773" w:rsidRPr="00F57D4B">
        <w:rPr>
          <w:lang w:val="lv-LV"/>
        </w:rPr>
        <w:t xml:space="preserve"> metāllūžņ</w:t>
      </w:r>
      <w:r w:rsidR="006A229E">
        <w:rPr>
          <w:lang w:val="lv-LV"/>
        </w:rPr>
        <w:t>u</w:t>
      </w:r>
      <w:r w:rsidR="000C7773" w:rsidRPr="00F57D4B">
        <w:rPr>
          <w:lang w:val="lv-LV"/>
        </w:rPr>
        <w:t xml:space="preserve"> eksports </w:t>
      </w:r>
      <w:r w:rsidR="00C045C2">
        <w:rPr>
          <w:lang w:val="lv-LV"/>
        </w:rPr>
        <w:t xml:space="preserve">un imports </w:t>
      </w:r>
      <w:r w:rsidR="006A229E">
        <w:rPr>
          <w:lang w:val="lv-LV"/>
        </w:rPr>
        <w:t>samazinājās</w:t>
      </w:r>
      <w:r w:rsidR="000C7773" w:rsidRPr="00F57D4B">
        <w:rPr>
          <w:lang w:val="lv-LV"/>
        </w:rPr>
        <w:t xml:space="preserve"> par </w:t>
      </w:r>
      <w:r w:rsidR="00C045C2">
        <w:rPr>
          <w:lang w:val="lv-LV"/>
        </w:rPr>
        <w:t xml:space="preserve">attiecīgi </w:t>
      </w:r>
      <w:r w:rsidR="006A229E">
        <w:rPr>
          <w:lang w:val="lv-LV"/>
        </w:rPr>
        <w:t>28,7</w:t>
      </w:r>
      <w:r w:rsidR="000C7773" w:rsidRPr="00F57D4B">
        <w:rPr>
          <w:lang w:val="lv-LV"/>
        </w:rPr>
        <w:t>%</w:t>
      </w:r>
      <w:r w:rsidR="00C045C2">
        <w:rPr>
          <w:lang w:val="lv-LV"/>
        </w:rPr>
        <w:t xml:space="preserve"> un</w:t>
      </w:r>
      <w:r w:rsidR="000C7773" w:rsidRPr="00F57D4B">
        <w:rPr>
          <w:lang w:val="lv-LV"/>
        </w:rPr>
        <w:t xml:space="preserve"> </w:t>
      </w:r>
      <w:r w:rsidR="006A229E">
        <w:rPr>
          <w:lang w:val="lv-LV"/>
        </w:rPr>
        <w:t>29,7</w:t>
      </w:r>
      <w:r w:rsidR="000C7773" w:rsidRPr="00F57D4B">
        <w:rPr>
          <w:lang w:val="lv-LV"/>
        </w:rPr>
        <w:t>%.</w:t>
      </w:r>
      <w:r w:rsidR="00AC0BFC" w:rsidRPr="00AC0BFC">
        <w:rPr>
          <w:lang w:val="lv-LV"/>
        </w:rPr>
        <w:t xml:space="preserve"> </w:t>
      </w:r>
      <w:r w:rsidR="00AC0BFC">
        <w:rPr>
          <w:lang w:val="lv-LV"/>
        </w:rPr>
        <w:t>Šos samazinājumus noteica zemās metālu cenas pasaules tirgū. Vienlaikus gan eksportētie, gan arī importētie metāli apjomi tonnās šajā periodā pat nedaudz ir pieauguši.</w:t>
      </w:r>
    </w:p>
    <w:p w:rsidR="00FA2A03" w:rsidRPr="00F57D4B" w:rsidRDefault="00FA2A03" w:rsidP="00FA2A03">
      <w:pPr>
        <w:pStyle w:val="BodyTextIndent2"/>
        <w:spacing w:after="60" w:line="240" w:lineRule="auto"/>
        <w:ind w:left="0" w:firstLine="283"/>
        <w:jc w:val="both"/>
        <w:rPr>
          <w:lang w:val="lv-LV"/>
        </w:rPr>
      </w:pPr>
    </w:p>
    <w:p w:rsidR="001B32EE" w:rsidRPr="00F57D4B" w:rsidRDefault="001B32EE" w:rsidP="00FA2A03">
      <w:pPr>
        <w:pStyle w:val="BodyTextIndent2"/>
        <w:spacing w:after="60" w:line="240" w:lineRule="auto"/>
        <w:jc w:val="center"/>
        <w:rPr>
          <w:b/>
          <w:lang w:val="lv-LV"/>
        </w:rPr>
      </w:pPr>
      <w:r w:rsidRPr="00F57D4B">
        <w:rPr>
          <w:bCs/>
          <w:lang w:val="lv-LV"/>
        </w:rPr>
        <w:t xml:space="preserve">6.attēls </w:t>
      </w:r>
      <w:r w:rsidRPr="00F57D4B">
        <w:rPr>
          <w:b/>
          <w:bCs/>
          <w:lang w:val="lv-LV"/>
        </w:rPr>
        <w:t>Latvijas metālu eksports un imports,</w:t>
      </w:r>
      <w:r w:rsidRPr="00F57D4B">
        <w:rPr>
          <w:bCs/>
          <w:lang w:val="lv-LV"/>
        </w:rPr>
        <w:t xml:space="preserve"> milj. EUR</w:t>
      </w:r>
    </w:p>
    <w:tbl>
      <w:tblPr>
        <w:tblStyle w:val="MediumList1-Accent4"/>
        <w:tblW w:w="3296" w:type="pct"/>
        <w:jc w:val="center"/>
        <w:tblBorders>
          <w:top w:val="none" w:sz="0" w:space="0" w:color="auto"/>
          <w:bottom w:val="none" w:sz="0" w:space="0" w:color="auto"/>
        </w:tblBorders>
        <w:tblLook w:val="0400" w:firstRow="0" w:lastRow="0" w:firstColumn="0" w:lastColumn="0" w:noHBand="0" w:noVBand="1"/>
      </w:tblPr>
      <w:tblGrid>
        <w:gridCol w:w="6495"/>
      </w:tblGrid>
      <w:tr w:rsidR="001B32EE" w:rsidTr="0001717A">
        <w:trPr>
          <w:cnfStyle w:val="000000100000" w:firstRow="0" w:lastRow="0" w:firstColumn="0" w:lastColumn="0" w:oddVBand="0" w:evenVBand="0" w:oddHBand="1" w:evenHBand="0" w:firstRowFirstColumn="0" w:firstRowLastColumn="0" w:lastRowFirstColumn="0" w:lastRowLastColumn="0"/>
          <w:jc w:val="center"/>
        </w:trPr>
        <w:tc>
          <w:tcPr>
            <w:tcW w:w="5000" w:type="pct"/>
            <w:shd w:val="clear" w:color="auto" w:fill="auto"/>
            <w:hideMark/>
          </w:tcPr>
          <w:p w:rsidR="001B32EE" w:rsidRDefault="001B32EE" w:rsidP="0001717A">
            <w:pPr>
              <w:tabs>
                <w:tab w:val="center" w:pos="2424"/>
              </w:tabs>
              <w:spacing w:before="20" w:after="20"/>
              <w:jc w:val="center"/>
              <w:rPr>
                <w:sz w:val="18"/>
                <w:szCs w:val="18"/>
              </w:rPr>
            </w:pPr>
            <w:r w:rsidRPr="001327D8">
              <w:rPr>
                <w:rFonts w:ascii="Garamond" w:hAnsi="Garamond"/>
                <w:noProof/>
                <w:sz w:val="18"/>
                <w:szCs w:val="18"/>
                <w:lang w:eastAsia="lv-LV"/>
              </w:rPr>
              <w:lastRenderedPageBreak/>
              <w:drawing>
                <wp:inline distT="0" distB="0" distL="0" distR="0" wp14:anchorId="7269881C" wp14:editId="559789BD">
                  <wp:extent cx="3987209" cy="2094614"/>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1B32EE" w:rsidRPr="001B5529" w:rsidRDefault="001B32EE" w:rsidP="00C045C2">
      <w:pPr>
        <w:spacing w:after="80"/>
        <w:ind w:left="2127"/>
        <w:jc w:val="both"/>
        <w:rPr>
          <w:rFonts w:cs="Times New Roman"/>
          <w:sz w:val="20"/>
          <w:szCs w:val="20"/>
        </w:rPr>
      </w:pPr>
      <w:r w:rsidRPr="001B5529">
        <w:rPr>
          <w:rFonts w:cs="Times New Roman"/>
          <w:sz w:val="20"/>
          <w:szCs w:val="20"/>
        </w:rPr>
        <w:t xml:space="preserve">Avots: </w:t>
      </w:r>
      <w:r>
        <w:rPr>
          <w:rFonts w:cs="Times New Roman"/>
          <w:sz w:val="20"/>
          <w:szCs w:val="20"/>
        </w:rPr>
        <w:t>CSP</w:t>
      </w:r>
    </w:p>
    <w:p w:rsidR="00123316" w:rsidRPr="00F57D4B" w:rsidRDefault="00123316" w:rsidP="00123316">
      <w:pPr>
        <w:rPr>
          <w:b/>
          <w:sz w:val="24"/>
          <w:szCs w:val="24"/>
        </w:rPr>
      </w:pPr>
    </w:p>
    <w:p w:rsidR="00123316" w:rsidRPr="00F57D4B" w:rsidRDefault="00123316" w:rsidP="00E22DC1">
      <w:pPr>
        <w:jc w:val="center"/>
        <w:rPr>
          <w:b/>
          <w:sz w:val="24"/>
          <w:szCs w:val="24"/>
          <w:u w:val="single"/>
        </w:rPr>
      </w:pPr>
      <w:r w:rsidRPr="00F57D4B">
        <w:rPr>
          <w:b/>
          <w:sz w:val="24"/>
          <w:szCs w:val="24"/>
          <w:u w:val="single"/>
        </w:rPr>
        <w:t>6. Tendences Latvijas metāllūžņu tirgū</w:t>
      </w:r>
    </w:p>
    <w:p w:rsidR="00E11C49" w:rsidRPr="00F57D4B" w:rsidRDefault="00E11C49" w:rsidP="00565B58">
      <w:pPr>
        <w:spacing w:after="80"/>
        <w:ind w:firstLine="426"/>
        <w:jc w:val="both"/>
        <w:rPr>
          <w:rFonts w:cs="Times New Roman"/>
          <w:sz w:val="24"/>
          <w:szCs w:val="24"/>
        </w:rPr>
      </w:pPr>
    </w:p>
    <w:p w:rsidR="00932EE9" w:rsidRPr="00F57D4B" w:rsidRDefault="00932EE9" w:rsidP="00565B58">
      <w:pPr>
        <w:spacing w:after="80"/>
        <w:ind w:firstLine="426"/>
        <w:jc w:val="both"/>
        <w:rPr>
          <w:rFonts w:cs="Times New Roman"/>
          <w:sz w:val="24"/>
          <w:szCs w:val="24"/>
        </w:rPr>
      </w:pPr>
      <w:r w:rsidRPr="00F57D4B">
        <w:rPr>
          <w:rFonts w:cs="Times New Roman"/>
          <w:sz w:val="24"/>
          <w:szCs w:val="24"/>
        </w:rPr>
        <w:t xml:space="preserve">Latvija ir neliels </w:t>
      </w:r>
      <w:r w:rsidR="00AC3F3E" w:rsidRPr="00F57D4B">
        <w:rPr>
          <w:rFonts w:cs="Times New Roman"/>
          <w:sz w:val="24"/>
          <w:szCs w:val="24"/>
        </w:rPr>
        <w:t>metāl</w:t>
      </w:r>
      <w:r w:rsidRPr="00F57D4B">
        <w:rPr>
          <w:rFonts w:cs="Times New Roman"/>
          <w:sz w:val="24"/>
          <w:szCs w:val="24"/>
        </w:rPr>
        <w:t>lūžņu tirgus un to iepirkuma cenas nosaka pasaules tirgus tendences. Latvijā metāllūžņu tirgū cenas atkarīgas no metālu biržas cenām, kam seko līdzi arī vietējie lūžņu iepircēji.</w:t>
      </w:r>
      <w:r w:rsidRPr="00F57D4B">
        <w:rPr>
          <w:sz w:val="24"/>
          <w:szCs w:val="24"/>
        </w:rPr>
        <w:t xml:space="preserve"> </w:t>
      </w:r>
      <w:r w:rsidRPr="00F57D4B">
        <w:rPr>
          <w:rFonts w:cs="Times New Roman"/>
          <w:sz w:val="24"/>
          <w:szCs w:val="24"/>
        </w:rPr>
        <w:t xml:space="preserve">Piemēram 2008. gada vidū tērauda </w:t>
      </w:r>
      <w:proofErr w:type="spellStart"/>
      <w:r w:rsidRPr="00F57D4B">
        <w:rPr>
          <w:rFonts w:cs="Times New Roman"/>
          <w:sz w:val="24"/>
          <w:szCs w:val="24"/>
        </w:rPr>
        <w:t>gabarītlūžņu</w:t>
      </w:r>
      <w:proofErr w:type="spellEnd"/>
      <w:r w:rsidRPr="00F57D4B">
        <w:rPr>
          <w:rFonts w:cs="Times New Roman"/>
          <w:sz w:val="24"/>
          <w:szCs w:val="24"/>
        </w:rPr>
        <w:t xml:space="preserve"> iepirkuma cena sasniedza 350 eiro par tonnu, bet jau septembrī tā bija vairs tikai ap 100 eiro par tonnu. Ap 2011. gada sākumu cenas atkal bija pieaugušas, sasniedzot 170-185 eiro par tonnu. 2014. gada beigās cenas svārstījās 195-205 eiro par tonnu robežās. Šobrīd cenas ir </w:t>
      </w:r>
      <w:r w:rsidR="003037CB">
        <w:rPr>
          <w:rFonts w:cs="Times New Roman"/>
          <w:sz w:val="24"/>
          <w:szCs w:val="24"/>
        </w:rPr>
        <w:t>samazinājušās</w:t>
      </w:r>
      <w:r w:rsidRPr="00F57D4B">
        <w:rPr>
          <w:rFonts w:cs="Times New Roman"/>
          <w:sz w:val="24"/>
          <w:szCs w:val="24"/>
        </w:rPr>
        <w:t xml:space="preserve">, </w:t>
      </w:r>
      <w:r w:rsidR="003037CB">
        <w:rPr>
          <w:rFonts w:cs="Times New Roman"/>
          <w:sz w:val="24"/>
          <w:szCs w:val="24"/>
        </w:rPr>
        <w:t>nedaudz pārsniedzot</w:t>
      </w:r>
      <w:r w:rsidRPr="00F57D4B">
        <w:rPr>
          <w:rFonts w:cs="Times New Roman"/>
          <w:sz w:val="24"/>
          <w:szCs w:val="24"/>
        </w:rPr>
        <w:t xml:space="preserve"> </w:t>
      </w:r>
      <w:r w:rsidR="003037CB">
        <w:rPr>
          <w:rFonts w:cs="Times New Roman"/>
          <w:sz w:val="24"/>
          <w:szCs w:val="24"/>
        </w:rPr>
        <w:t>10</w:t>
      </w:r>
      <w:r w:rsidRPr="00F57D4B">
        <w:rPr>
          <w:rFonts w:cs="Times New Roman"/>
          <w:sz w:val="24"/>
          <w:szCs w:val="24"/>
        </w:rPr>
        <w:t>0 eiro par tonnu</w:t>
      </w:r>
      <w:r w:rsidR="003037CB">
        <w:rPr>
          <w:rFonts w:cs="Times New Roman"/>
          <w:sz w:val="24"/>
          <w:szCs w:val="24"/>
        </w:rPr>
        <w:t xml:space="preserve"> robežu</w:t>
      </w:r>
      <w:r w:rsidRPr="00F57D4B">
        <w:rPr>
          <w:rFonts w:cs="Times New Roman"/>
          <w:sz w:val="24"/>
          <w:szCs w:val="24"/>
        </w:rPr>
        <w:t xml:space="preserve">. </w:t>
      </w:r>
      <w:r w:rsidR="0074186C" w:rsidRPr="00F57D4B">
        <w:rPr>
          <w:rFonts w:cs="Times New Roman"/>
          <w:sz w:val="24"/>
          <w:szCs w:val="24"/>
        </w:rPr>
        <w:t xml:space="preserve">2013.gadā Latvijas lielākie uzņēmumi metāllūžņu tirgū aptuveni 45% no kopējā metāllūžņu iepirkuma apjoma iepērk Latvijā. Lielākā daļa metāllūžņu tiek eksportēta, 90% no eksporta kravām nosūtot uz Turciju. Eiropas tirgus ir bez attīstības tendences, samazinās gan nodarbināto skaits metāla nozarē, gan produkcijas apjoms. Savukārt Āzijas tirgū piepildās ekspertu pirms vairākiem gadiem izteiktie brīdinājumi par burbuļa veidošanos rūpniecībā, tāpēc arī uz Āziju izejvielu eksportam ir tendence samazināties. </w:t>
      </w:r>
    </w:p>
    <w:p w:rsidR="003037CB" w:rsidRDefault="003037CB" w:rsidP="003037CB">
      <w:pPr>
        <w:pStyle w:val="BodyTextIndent2"/>
        <w:keepNext/>
        <w:spacing w:after="60" w:line="240" w:lineRule="auto"/>
        <w:jc w:val="center"/>
        <w:rPr>
          <w:bCs/>
          <w:lang w:val="lv-LV"/>
        </w:rPr>
      </w:pPr>
      <w:bookmarkStart w:id="0" w:name="_GoBack"/>
      <w:bookmarkEnd w:id="0"/>
      <w:r>
        <w:rPr>
          <w:bCs/>
          <w:lang w:val="lv-LV"/>
        </w:rPr>
        <w:t>3</w:t>
      </w:r>
      <w:r w:rsidRPr="00F57D4B">
        <w:rPr>
          <w:bCs/>
          <w:lang w:val="lv-LV"/>
        </w:rPr>
        <w:t>.tabula.</w:t>
      </w:r>
      <w:r w:rsidRPr="00F57D4B">
        <w:rPr>
          <w:b/>
          <w:bCs/>
          <w:lang w:val="lv-LV"/>
        </w:rPr>
        <w:t> Melno metāllūžņu (</w:t>
      </w:r>
      <w:r>
        <w:rPr>
          <w:b/>
          <w:bCs/>
          <w:lang w:val="lv-LV"/>
        </w:rPr>
        <w:t>3</w:t>
      </w:r>
      <w:r w:rsidRPr="00F57D4B">
        <w:rPr>
          <w:b/>
          <w:bCs/>
          <w:lang w:val="lv-LV"/>
        </w:rPr>
        <w:t xml:space="preserve">A </w:t>
      </w:r>
      <w:proofErr w:type="spellStart"/>
      <w:r w:rsidRPr="00F57D4B">
        <w:rPr>
          <w:b/>
          <w:bCs/>
          <w:lang w:val="lv-LV"/>
        </w:rPr>
        <w:t>gabarītlūžņi</w:t>
      </w:r>
      <w:proofErr w:type="spellEnd"/>
      <w:r w:rsidRPr="00F57D4B">
        <w:rPr>
          <w:b/>
          <w:bCs/>
          <w:lang w:val="lv-LV"/>
        </w:rPr>
        <w:t>) iepirkuma cenas Latvijā,</w:t>
      </w:r>
      <w:r w:rsidRPr="00074235">
        <w:rPr>
          <w:bCs/>
          <w:sz w:val="26"/>
          <w:szCs w:val="26"/>
          <w:lang w:val="lv-LV"/>
        </w:rPr>
        <w:t xml:space="preserve"> EUR/tonna</w:t>
      </w:r>
    </w:p>
    <w:tbl>
      <w:tblPr>
        <w:tblStyle w:val="MediumList1-Accent4"/>
        <w:tblW w:w="0" w:type="auto"/>
        <w:jc w:val="center"/>
        <w:tblLayout w:type="fixed"/>
        <w:tblLook w:val="0400" w:firstRow="0" w:lastRow="0" w:firstColumn="0" w:lastColumn="0" w:noHBand="0" w:noVBand="1"/>
      </w:tblPr>
      <w:tblGrid>
        <w:gridCol w:w="1701"/>
        <w:gridCol w:w="567"/>
      </w:tblGrid>
      <w:tr w:rsidR="003037CB" w:rsidRPr="00074235" w:rsidTr="003037CB">
        <w:trPr>
          <w:cnfStyle w:val="000000100000" w:firstRow="0" w:lastRow="0" w:firstColumn="0" w:lastColumn="0" w:oddVBand="0" w:evenVBand="0" w:oddHBand="1" w:evenHBand="0" w:firstRowFirstColumn="0" w:firstRowLastColumn="0" w:lastRowFirstColumn="0" w:lastRowLastColumn="0"/>
          <w:jc w:val="center"/>
        </w:trPr>
        <w:tc>
          <w:tcPr>
            <w:tcW w:w="1701" w:type="dxa"/>
            <w:tcBorders>
              <w:top w:val="single" w:sz="8" w:space="0" w:color="8064A2" w:themeColor="accent4"/>
              <w:left w:val="nil"/>
              <w:bottom w:val="single" w:sz="8" w:space="0" w:color="8064A2" w:themeColor="accent4"/>
              <w:right w:val="nil"/>
            </w:tcBorders>
            <w:vAlign w:val="center"/>
          </w:tcPr>
          <w:p w:rsidR="003037CB" w:rsidRPr="00074235" w:rsidRDefault="003037CB" w:rsidP="007F6774">
            <w:pPr>
              <w:tabs>
                <w:tab w:val="center" w:pos="2424"/>
              </w:tabs>
              <w:spacing w:before="60" w:after="60"/>
              <w:jc w:val="center"/>
              <w:rPr>
                <w:sz w:val="20"/>
                <w:szCs w:val="18"/>
              </w:rPr>
            </w:pPr>
          </w:p>
        </w:tc>
        <w:tc>
          <w:tcPr>
            <w:tcW w:w="567" w:type="dxa"/>
            <w:tcBorders>
              <w:top w:val="single" w:sz="8" w:space="0" w:color="8064A2" w:themeColor="accent4"/>
              <w:left w:val="nil"/>
              <w:bottom w:val="single" w:sz="8" w:space="0" w:color="8064A2" w:themeColor="accent4"/>
              <w:right w:val="nil"/>
            </w:tcBorders>
            <w:vAlign w:val="center"/>
          </w:tcPr>
          <w:p w:rsidR="003037CB" w:rsidRPr="00074235" w:rsidRDefault="003037CB" w:rsidP="007F6774">
            <w:pPr>
              <w:tabs>
                <w:tab w:val="center" w:pos="2424"/>
              </w:tabs>
              <w:spacing w:before="60" w:after="60"/>
              <w:jc w:val="center"/>
              <w:rPr>
                <w:sz w:val="20"/>
                <w:szCs w:val="18"/>
              </w:rPr>
            </w:pPr>
          </w:p>
        </w:tc>
      </w:tr>
      <w:tr w:rsidR="003037CB" w:rsidTr="003037CB">
        <w:trPr>
          <w:jc w:val="center"/>
        </w:trPr>
        <w:tc>
          <w:tcPr>
            <w:tcW w:w="1701" w:type="dxa"/>
            <w:tcBorders>
              <w:top w:val="single" w:sz="8" w:space="0" w:color="8064A2" w:themeColor="accent4"/>
              <w:left w:val="nil"/>
              <w:bottom w:val="single" w:sz="8" w:space="0" w:color="8064A2" w:themeColor="accent4"/>
              <w:right w:val="nil"/>
            </w:tcBorders>
          </w:tcPr>
          <w:p w:rsidR="003037CB" w:rsidRPr="005D2C26" w:rsidRDefault="003037CB" w:rsidP="007F6774">
            <w:pPr>
              <w:tabs>
                <w:tab w:val="center" w:pos="2424"/>
              </w:tabs>
              <w:spacing w:before="60" w:after="60"/>
              <w:rPr>
                <w:sz w:val="18"/>
                <w:szCs w:val="18"/>
              </w:rPr>
            </w:pPr>
            <w:r>
              <w:rPr>
                <w:sz w:val="18"/>
                <w:szCs w:val="18"/>
              </w:rPr>
              <w:t>Jūnijs 2008</w:t>
            </w:r>
          </w:p>
        </w:tc>
        <w:tc>
          <w:tcPr>
            <w:tcW w:w="567" w:type="dxa"/>
            <w:tcBorders>
              <w:top w:val="single" w:sz="8" w:space="0" w:color="8064A2" w:themeColor="accent4"/>
              <w:left w:val="nil"/>
              <w:bottom w:val="single" w:sz="8" w:space="0" w:color="8064A2" w:themeColor="accent4"/>
              <w:right w:val="nil"/>
            </w:tcBorders>
            <w:vAlign w:val="bottom"/>
          </w:tcPr>
          <w:p w:rsidR="003037CB" w:rsidRPr="005D2C26"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349</w:t>
            </w:r>
          </w:p>
        </w:tc>
      </w:tr>
      <w:tr w:rsidR="003037CB" w:rsidTr="003037CB">
        <w:trPr>
          <w:cnfStyle w:val="000000100000" w:firstRow="0" w:lastRow="0" w:firstColumn="0" w:lastColumn="0" w:oddVBand="0" w:evenVBand="0" w:oddHBand="1" w:evenHBand="0" w:firstRowFirstColumn="0" w:firstRowLastColumn="0" w:lastRowFirstColumn="0" w:lastRowLastColumn="0"/>
          <w:jc w:val="center"/>
        </w:trPr>
        <w:tc>
          <w:tcPr>
            <w:tcW w:w="1701" w:type="dxa"/>
            <w:tcBorders>
              <w:top w:val="single" w:sz="8" w:space="0" w:color="8064A2" w:themeColor="accent4"/>
              <w:left w:val="nil"/>
              <w:bottom w:val="single" w:sz="8" w:space="0" w:color="8064A2" w:themeColor="accent4"/>
              <w:right w:val="nil"/>
            </w:tcBorders>
          </w:tcPr>
          <w:p w:rsidR="003037CB" w:rsidRPr="005D2C26" w:rsidRDefault="003037CB" w:rsidP="007F6774">
            <w:pPr>
              <w:tabs>
                <w:tab w:val="center" w:pos="2424"/>
              </w:tabs>
              <w:spacing w:before="60" w:after="60"/>
              <w:rPr>
                <w:sz w:val="18"/>
                <w:szCs w:val="18"/>
              </w:rPr>
            </w:pPr>
            <w:r>
              <w:rPr>
                <w:sz w:val="18"/>
                <w:szCs w:val="18"/>
              </w:rPr>
              <w:t>Septembris 2008</w:t>
            </w:r>
          </w:p>
        </w:tc>
        <w:tc>
          <w:tcPr>
            <w:tcW w:w="567" w:type="dxa"/>
            <w:tcBorders>
              <w:top w:val="single" w:sz="8" w:space="0" w:color="8064A2" w:themeColor="accent4"/>
              <w:left w:val="nil"/>
              <w:bottom w:val="single" w:sz="8" w:space="0" w:color="8064A2" w:themeColor="accent4"/>
              <w:right w:val="nil"/>
            </w:tcBorders>
            <w:vAlign w:val="bottom"/>
          </w:tcPr>
          <w:p w:rsidR="003037CB" w:rsidRPr="005D2C26"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100</w:t>
            </w:r>
          </w:p>
        </w:tc>
      </w:tr>
      <w:tr w:rsidR="003037CB" w:rsidTr="003037CB">
        <w:trPr>
          <w:jc w:val="center"/>
        </w:trPr>
        <w:tc>
          <w:tcPr>
            <w:tcW w:w="1701" w:type="dxa"/>
            <w:tcBorders>
              <w:top w:val="single" w:sz="8" w:space="0" w:color="8064A2" w:themeColor="accent4"/>
              <w:left w:val="nil"/>
              <w:bottom w:val="single" w:sz="8" w:space="0" w:color="8064A2" w:themeColor="accent4"/>
              <w:right w:val="nil"/>
            </w:tcBorders>
          </w:tcPr>
          <w:p w:rsidR="003037CB" w:rsidRDefault="003037CB" w:rsidP="007F6774">
            <w:pPr>
              <w:tabs>
                <w:tab w:val="center" w:pos="2424"/>
              </w:tabs>
              <w:spacing w:before="60" w:after="60"/>
              <w:rPr>
                <w:sz w:val="18"/>
                <w:szCs w:val="18"/>
              </w:rPr>
            </w:pPr>
            <w:r>
              <w:rPr>
                <w:sz w:val="18"/>
                <w:szCs w:val="18"/>
              </w:rPr>
              <w:t>Janvāris 2011</w:t>
            </w:r>
          </w:p>
        </w:tc>
        <w:tc>
          <w:tcPr>
            <w:tcW w:w="567" w:type="dxa"/>
            <w:tcBorders>
              <w:top w:val="single" w:sz="8" w:space="0" w:color="8064A2" w:themeColor="accent4"/>
              <w:left w:val="nil"/>
              <w:bottom w:val="single" w:sz="8" w:space="0" w:color="8064A2" w:themeColor="accent4"/>
              <w:right w:val="nil"/>
            </w:tcBorders>
            <w:vAlign w:val="bottom"/>
          </w:tcPr>
          <w:p w:rsidR="003037CB"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180</w:t>
            </w:r>
          </w:p>
        </w:tc>
      </w:tr>
      <w:tr w:rsidR="003037CB" w:rsidTr="003037CB">
        <w:trPr>
          <w:cnfStyle w:val="000000100000" w:firstRow="0" w:lastRow="0" w:firstColumn="0" w:lastColumn="0" w:oddVBand="0" w:evenVBand="0" w:oddHBand="1" w:evenHBand="0" w:firstRowFirstColumn="0" w:firstRowLastColumn="0" w:lastRowFirstColumn="0" w:lastRowLastColumn="0"/>
          <w:jc w:val="center"/>
        </w:trPr>
        <w:tc>
          <w:tcPr>
            <w:tcW w:w="1701" w:type="dxa"/>
            <w:tcBorders>
              <w:top w:val="single" w:sz="8" w:space="0" w:color="8064A2" w:themeColor="accent4"/>
              <w:left w:val="nil"/>
              <w:bottom w:val="single" w:sz="8" w:space="0" w:color="8064A2" w:themeColor="accent4"/>
              <w:right w:val="nil"/>
            </w:tcBorders>
          </w:tcPr>
          <w:p w:rsidR="003037CB" w:rsidRDefault="003037CB" w:rsidP="007F6774">
            <w:pPr>
              <w:tabs>
                <w:tab w:val="center" w:pos="2424"/>
              </w:tabs>
              <w:spacing w:before="60" w:after="60"/>
              <w:rPr>
                <w:sz w:val="18"/>
                <w:szCs w:val="18"/>
              </w:rPr>
            </w:pPr>
            <w:r>
              <w:rPr>
                <w:sz w:val="18"/>
                <w:szCs w:val="18"/>
              </w:rPr>
              <w:t>Februāris 2013</w:t>
            </w:r>
          </w:p>
        </w:tc>
        <w:tc>
          <w:tcPr>
            <w:tcW w:w="567" w:type="dxa"/>
            <w:tcBorders>
              <w:top w:val="single" w:sz="8" w:space="0" w:color="8064A2" w:themeColor="accent4"/>
              <w:left w:val="nil"/>
              <w:bottom w:val="single" w:sz="8" w:space="0" w:color="8064A2" w:themeColor="accent4"/>
              <w:right w:val="nil"/>
            </w:tcBorders>
            <w:vAlign w:val="bottom"/>
          </w:tcPr>
          <w:p w:rsidR="003037CB"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175</w:t>
            </w:r>
          </w:p>
        </w:tc>
      </w:tr>
      <w:tr w:rsidR="003037CB" w:rsidTr="003037CB">
        <w:trPr>
          <w:jc w:val="center"/>
        </w:trPr>
        <w:tc>
          <w:tcPr>
            <w:tcW w:w="1701" w:type="dxa"/>
            <w:tcBorders>
              <w:top w:val="single" w:sz="8" w:space="0" w:color="8064A2" w:themeColor="accent4"/>
              <w:left w:val="nil"/>
              <w:bottom w:val="single" w:sz="8" w:space="0" w:color="8064A2" w:themeColor="accent4"/>
              <w:right w:val="nil"/>
            </w:tcBorders>
          </w:tcPr>
          <w:p w:rsidR="003037CB" w:rsidRDefault="003037CB" w:rsidP="007F6774">
            <w:pPr>
              <w:tabs>
                <w:tab w:val="center" w:pos="2424"/>
              </w:tabs>
              <w:spacing w:before="60" w:after="60"/>
              <w:rPr>
                <w:sz w:val="18"/>
                <w:szCs w:val="18"/>
              </w:rPr>
            </w:pPr>
            <w:r>
              <w:rPr>
                <w:sz w:val="18"/>
                <w:szCs w:val="18"/>
              </w:rPr>
              <w:t>Oktobris 2014</w:t>
            </w:r>
          </w:p>
        </w:tc>
        <w:tc>
          <w:tcPr>
            <w:tcW w:w="567" w:type="dxa"/>
            <w:tcBorders>
              <w:top w:val="single" w:sz="8" w:space="0" w:color="8064A2" w:themeColor="accent4"/>
              <w:left w:val="nil"/>
              <w:bottom w:val="single" w:sz="8" w:space="0" w:color="8064A2" w:themeColor="accent4"/>
              <w:right w:val="nil"/>
            </w:tcBorders>
            <w:vAlign w:val="bottom"/>
          </w:tcPr>
          <w:p w:rsidR="003037CB"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205</w:t>
            </w:r>
          </w:p>
        </w:tc>
      </w:tr>
      <w:tr w:rsidR="003037CB" w:rsidTr="003037CB">
        <w:trPr>
          <w:cnfStyle w:val="000000100000" w:firstRow="0" w:lastRow="0" w:firstColumn="0" w:lastColumn="0" w:oddVBand="0" w:evenVBand="0" w:oddHBand="1" w:evenHBand="0" w:firstRowFirstColumn="0" w:firstRowLastColumn="0" w:lastRowFirstColumn="0" w:lastRowLastColumn="0"/>
          <w:jc w:val="center"/>
        </w:trPr>
        <w:tc>
          <w:tcPr>
            <w:tcW w:w="1701" w:type="dxa"/>
            <w:tcBorders>
              <w:top w:val="single" w:sz="8" w:space="0" w:color="8064A2" w:themeColor="accent4"/>
              <w:left w:val="nil"/>
              <w:bottom w:val="single" w:sz="8" w:space="0" w:color="8064A2" w:themeColor="accent4"/>
              <w:right w:val="nil"/>
            </w:tcBorders>
          </w:tcPr>
          <w:p w:rsidR="003037CB" w:rsidRDefault="003037CB" w:rsidP="007F6774">
            <w:pPr>
              <w:tabs>
                <w:tab w:val="center" w:pos="2424"/>
              </w:tabs>
              <w:spacing w:before="60" w:after="60"/>
              <w:rPr>
                <w:sz w:val="18"/>
                <w:szCs w:val="18"/>
              </w:rPr>
            </w:pPr>
            <w:r>
              <w:rPr>
                <w:sz w:val="18"/>
                <w:szCs w:val="18"/>
              </w:rPr>
              <w:t>Novembris 2014</w:t>
            </w:r>
          </w:p>
        </w:tc>
        <w:tc>
          <w:tcPr>
            <w:tcW w:w="567" w:type="dxa"/>
            <w:tcBorders>
              <w:top w:val="single" w:sz="8" w:space="0" w:color="8064A2" w:themeColor="accent4"/>
              <w:left w:val="nil"/>
              <w:bottom w:val="single" w:sz="8" w:space="0" w:color="8064A2" w:themeColor="accent4"/>
              <w:right w:val="nil"/>
            </w:tcBorders>
            <w:vAlign w:val="bottom"/>
          </w:tcPr>
          <w:p w:rsidR="003037CB"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195</w:t>
            </w:r>
          </w:p>
        </w:tc>
      </w:tr>
      <w:tr w:rsidR="003037CB" w:rsidTr="003037CB">
        <w:trPr>
          <w:jc w:val="center"/>
        </w:trPr>
        <w:tc>
          <w:tcPr>
            <w:tcW w:w="1701" w:type="dxa"/>
            <w:tcBorders>
              <w:top w:val="single" w:sz="8" w:space="0" w:color="8064A2" w:themeColor="accent4"/>
              <w:left w:val="nil"/>
              <w:bottom w:val="single" w:sz="8" w:space="0" w:color="8064A2" w:themeColor="accent4"/>
              <w:right w:val="nil"/>
            </w:tcBorders>
          </w:tcPr>
          <w:p w:rsidR="003037CB" w:rsidRDefault="003037CB" w:rsidP="007F6774">
            <w:pPr>
              <w:tabs>
                <w:tab w:val="center" w:pos="2424"/>
              </w:tabs>
              <w:spacing w:before="60" w:after="60"/>
              <w:rPr>
                <w:sz w:val="18"/>
                <w:szCs w:val="18"/>
              </w:rPr>
            </w:pPr>
            <w:r>
              <w:rPr>
                <w:sz w:val="18"/>
                <w:szCs w:val="18"/>
              </w:rPr>
              <w:t>Maijs 2015</w:t>
            </w:r>
          </w:p>
        </w:tc>
        <w:tc>
          <w:tcPr>
            <w:tcW w:w="567" w:type="dxa"/>
            <w:tcBorders>
              <w:top w:val="single" w:sz="8" w:space="0" w:color="8064A2" w:themeColor="accent4"/>
              <w:left w:val="nil"/>
              <w:bottom w:val="single" w:sz="8" w:space="0" w:color="8064A2" w:themeColor="accent4"/>
              <w:right w:val="nil"/>
            </w:tcBorders>
            <w:vAlign w:val="bottom"/>
          </w:tcPr>
          <w:p w:rsidR="003037CB"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210</w:t>
            </w:r>
          </w:p>
        </w:tc>
      </w:tr>
      <w:tr w:rsidR="003037CB" w:rsidTr="003037CB">
        <w:trPr>
          <w:cnfStyle w:val="000000100000" w:firstRow="0" w:lastRow="0" w:firstColumn="0" w:lastColumn="0" w:oddVBand="0" w:evenVBand="0" w:oddHBand="1" w:evenHBand="0" w:firstRowFirstColumn="0" w:firstRowLastColumn="0" w:lastRowFirstColumn="0" w:lastRowLastColumn="0"/>
          <w:jc w:val="center"/>
        </w:trPr>
        <w:tc>
          <w:tcPr>
            <w:tcW w:w="1701" w:type="dxa"/>
            <w:tcBorders>
              <w:top w:val="single" w:sz="8" w:space="0" w:color="8064A2" w:themeColor="accent4"/>
              <w:left w:val="nil"/>
              <w:bottom w:val="single" w:sz="8" w:space="0" w:color="8064A2" w:themeColor="accent4"/>
              <w:right w:val="nil"/>
            </w:tcBorders>
          </w:tcPr>
          <w:p w:rsidR="003037CB" w:rsidRDefault="003037CB" w:rsidP="007F6774">
            <w:pPr>
              <w:tabs>
                <w:tab w:val="center" w:pos="2424"/>
              </w:tabs>
              <w:spacing w:before="60" w:after="60"/>
              <w:rPr>
                <w:sz w:val="18"/>
                <w:szCs w:val="18"/>
              </w:rPr>
            </w:pPr>
            <w:r>
              <w:rPr>
                <w:sz w:val="18"/>
                <w:szCs w:val="18"/>
              </w:rPr>
              <w:t>Oktobris 2015</w:t>
            </w:r>
          </w:p>
        </w:tc>
        <w:tc>
          <w:tcPr>
            <w:tcW w:w="567" w:type="dxa"/>
            <w:tcBorders>
              <w:top w:val="single" w:sz="8" w:space="0" w:color="8064A2" w:themeColor="accent4"/>
              <w:left w:val="nil"/>
              <w:bottom w:val="single" w:sz="8" w:space="0" w:color="8064A2" w:themeColor="accent4"/>
              <w:right w:val="nil"/>
            </w:tcBorders>
            <w:vAlign w:val="bottom"/>
          </w:tcPr>
          <w:p w:rsidR="003037CB" w:rsidRDefault="003037CB" w:rsidP="003037CB">
            <w:pPr>
              <w:spacing w:before="60" w:after="60"/>
              <w:jc w:val="right"/>
              <w:rPr>
                <w:rFonts w:eastAsia="Times New Roman"/>
                <w:color w:val="000000"/>
                <w:sz w:val="18"/>
                <w:szCs w:val="18"/>
                <w:lang w:eastAsia="lv-LV"/>
              </w:rPr>
            </w:pPr>
            <w:r>
              <w:rPr>
                <w:rFonts w:eastAsia="Times New Roman"/>
                <w:color w:val="000000"/>
                <w:sz w:val="18"/>
                <w:szCs w:val="18"/>
                <w:lang w:eastAsia="lv-LV"/>
              </w:rPr>
              <w:t>105</w:t>
            </w:r>
          </w:p>
        </w:tc>
      </w:tr>
    </w:tbl>
    <w:p w:rsidR="00932EE9" w:rsidRPr="00D44C30" w:rsidRDefault="00932EE9" w:rsidP="003037CB">
      <w:pPr>
        <w:pStyle w:val="BodyTextIndent2"/>
        <w:keepNext/>
        <w:spacing w:after="60" w:line="240" w:lineRule="auto"/>
        <w:jc w:val="center"/>
        <w:rPr>
          <w:sz w:val="26"/>
          <w:szCs w:val="26"/>
        </w:rPr>
      </w:pPr>
    </w:p>
    <w:sectPr w:rsidR="00932EE9" w:rsidRPr="00D44C30" w:rsidSect="00E22DC1">
      <w:footerReference w:type="default" r:id="rId17"/>
      <w:pgSz w:w="11906" w:h="16838" w:code="9"/>
      <w:pgMar w:top="993" w:right="113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E4" w:rsidRDefault="000121E4" w:rsidP="00CA05C9">
      <w:r>
        <w:separator/>
      </w:r>
    </w:p>
  </w:endnote>
  <w:endnote w:type="continuationSeparator" w:id="0">
    <w:p w:rsidR="000121E4" w:rsidRDefault="000121E4" w:rsidP="00CA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D8" w:rsidRDefault="00B61AD8" w:rsidP="00B61AD8">
    <w:pPr>
      <w:pStyle w:val="Header"/>
    </w:pPr>
  </w:p>
  <w:p w:rsidR="00B61AD8" w:rsidRPr="00F57D4B" w:rsidRDefault="00B61AD8" w:rsidP="00B61AD8">
    <w:pPr>
      <w:rPr>
        <w:b/>
      </w:rPr>
    </w:pPr>
    <w:proofErr w:type="spellStart"/>
    <w:r>
      <w:rPr>
        <w:sz w:val="20"/>
        <w:szCs w:val="20"/>
      </w:rPr>
      <w:t>EM_Zino_</w:t>
    </w:r>
    <w:r>
      <w:rPr>
        <w:sz w:val="20"/>
        <w:szCs w:val="20"/>
      </w:rPr>
      <w:t>pielik</w:t>
    </w:r>
    <w:proofErr w:type="spellEnd"/>
    <w:r>
      <w:rPr>
        <w:sz w:val="20"/>
        <w:szCs w:val="20"/>
      </w:rPr>
      <w:t xml:space="preserve"> </w:t>
    </w:r>
    <w:r>
      <w:rPr>
        <w:sz w:val="20"/>
        <w:szCs w:val="20"/>
      </w:rPr>
      <w:t>021115</w:t>
    </w:r>
    <w:r>
      <w:rPr>
        <w:sz w:val="20"/>
        <w:szCs w:val="20"/>
      </w:rPr>
      <w:t>_COMPET</w:t>
    </w:r>
    <w:r w:rsidRPr="009555C7">
      <w:rPr>
        <w:sz w:val="20"/>
        <w:szCs w:val="20"/>
      </w:rPr>
      <w:t>;</w:t>
    </w:r>
    <w:r>
      <w:rPr>
        <w:sz w:val="20"/>
        <w:szCs w:val="20"/>
      </w:rPr>
      <w:t xml:space="preserve"> </w:t>
    </w:r>
    <w:r>
      <w:rPr>
        <w:sz w:val="20"/>
        <w:szCs w:val="20"/>
      </w:rPr>
      <w:t xml:space="preserve">Pielikums Nr.1 </w:t>
    </w:r>
    <w:r w:rsidRPr="00B61AD8">
      <w:rPr>
        <w:sz w:val="20"/>
        <w:szCs w:val="20"/>
      </w:rPr>
      <w:t>Tērauda ražošanas nozares attīstības tendences</w:t>
    </w:r>
  </w:p>
  <w:p w:rsidR="00B61AD8" w:rsidRPr="009555C7" w:rsidRDefault="00B61AD8" w:rsidP="00B61AD8">
    <w:pPr>
      <w:pStyle w:val="Footer"/>
      <w:spacing w:before="60"/>
      <w:jc w:val="both"/>
      <w:rPr>
        <w:sz w:val="20"/>
        <w:szCs w:val="20"/>
      </w:rPr>
    </w:pPr>
  </w:p>
  <w:p w:rsidR="00B61AD8" w:rsidRDefault="00B61AD8">
    <w:pPr>
      <w:pStyle w:val="Footer"/>
    </w:pPr>
  </w:p>
  <w:p w:rsidR="00044299" w:rsidRDefault="00044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E4" w:rsidRDefault="000121E4" w:rsidP="00CA05C9">
      <w:r>
        <w:separator/>
      </w:r>
    </w:p>
  </w:footnote>
  <w:footnote w:type="continuationSeparator" w:id="0">
    <w:p w:rsidR="000121E4" w:rsidRDefault="000121E4" w:rsidP="00CA05C9">
      <w:r>
        <w:continuationSeparator/>
      </w:r>
    </w:p>
  </w:footnote>
  <w:footnote w:id="1">
    <w:p w:rsidR="00EB7D46" w:rsidRDefault="00EB7D46">
      <w:pPr>
        <w:pStyle w:val="FootnoteText"/>
      </w:pPr>
      <w:r>
        <w:rPr>
          <w:rStyle w:val="FootnoteReference"/>
        </w:rPr>
        <w:footnoteRef/>
      </w:r>
      <w:r>
        <w:t xml:space="preserve"> </w:t>
      </w:r>
      <w:proofErr w:type="spellStart"/>
      <w:r w:rsidRPr="00EB7D46">
        <w:rPr>
          <w:i/>
        </w:rPr>
        <w:t>Worldsteel</w:t>
      </w:r>
      <w:proofErr w:type="spellEnd"/>
      <w:r w:rsidRPr="00EB7D46">
        <w:rPr>
          <w:i/>
        </w:rPr>
        <w:t xml:space="preserve"> </w:t>
      </w:r>
      <w:proofErr w:type="spellStart"/>
      <w:r w:rsidRPr="00EB7D46">
        <w:rPr>
          <w:i/>
        </w:rPr>
        <w:t>Short</w:t>
      </w:r>
      <w:proofErr w:type="spellEnd"/>
      <w:r w:rsidRPr="00EB7D46">
        <w:rPr>
          <w:i/>
        </w:rPr>
        <w:t xml:space="preserve"> </w:t>
      </w:r>
      <w:proofErr w:type="spellStart"/>
      <w:r w:rsidRPr="00EB7D46">
        <w:rPr>
          <w:i/>
        </w:rPr>
        <w:t>Range</w:t>
      </w:r>
      <w:proofErr w:type="spellEnd"/>
      <w:r w:rsidRPr="00EB7D46">
        <w:rPr>
          <w:i/>
        </w:rPr>
        <w:t xml:space="preserve"> Outlook 2015-2016</w:t>
      </w:r>
      <w:r w:rsidR="00CC1E7D">
        <w:rPr>
          <w:i/>
        </w:rPr>
        <w:t xml:space="preserve">, </w:t>
      </w:r>
      <w:proofErr w:type="spellStart"/>
      <w:r w:rsidR="00CC1E7D">
        <w:rPr>
          <w:i/>
        </w:rPr>
        <w:t>October</w:t>
      </w:r>
      <w:proofErr w:type="spellEnd"/>
      <w:r w:rsidR="00CC1E7D">
        <w:rPr>
          <w:i/>
        </w:rPr>
        <w:t xml:space="preserve"> 2015</w:t>
      </w:r>
      <w:r w:rsidRPr="00EB7D46">
        <w:rPr>
          <w:i/>
        </w:rPr>
        <w:t>;</w:t>
      </w:r>
      <w:r>
        <w:t xml:space="preserve"> </w:t>
      </w:r>
      <w:r w:rsidRPr="00DE4287">
        <w:rPr>
          <w:rFonts w:cs="Times New Roman"/>
          <w:i/>
          <w:lang w:val="en-GB"/>
        </w:rPr>
        <w:t>World Steel Association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D0A"/>
    <w:multiLevelType w:val="hybridMultilevel"/>
    <w:tmpl w:val="AED6F6A0"/>
    <w:lvl w:ilvl="0" w:tplc="CAB40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1D5B20"/>
    <w:multiLevelType w:val="hybridMultilevel"/>
    <w:tmpl w:val="8F204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487FE7"/>
    <w:multiLevelType w:val="hybridMultilevel"/>
    <w:tmpl w:val="C73E277C"/>
    <w:lvl w:ilvl="0" w:tplc="31C84C9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57730EC3"/>
    <w:multiLevelType w:val="hybridMultilevel"/>
    <w:tmpl w:val="E110C1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F35A89"/>
    <w:multiLevelType w:val="hybridMultilevel"/>
    <w:tmpl w:val="1FE0473E"/>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AD80F16"/>
    <w:multiLevelType w:val="hybridMultilevel"/>
    <w:tmpl w:val="624A1958"/>
    <w:lvl w:ilvl="0" w:tplc="CF3A75E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CD4720"/>
    <w:multiLevelType w:val="hybridMultilevel"/>
    <w:tmpl w:val="89F296CC"/>
    <w:lvl w:ilvl="0" w:tplc="E450748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11"/>
    <w:rsid w:val="00000937"/>
    <w:rsid w:val="00001611"/>
    <w:rsid w:val="000121E4"/>
    <w:rsid w:val="0003612A"/>
    <w:rsid w:val="00044299"/>
    <w:rsid w:val="00050981"/>
    <w:rsid w:val="00063463"/>
    <w:rsid w:val="000671C9"/>
    <w:rsid w:val="0007065B"/>
    <w:rsid w:val="00074235"/>
    <w:rsid w:val="000C7773"/>
    <w:rsid w:val="000E3848"/>
    <w:rsid w:val="00104B0E"/>
    <w:rsid w:val="00107A1D"/>
    <w:rsid w:val="00123316"/>
    <w:rsid w:val="001327D8"/>
    <w:rsid w:val="001B32EE"/>
    <w:rsid w:val="001B5529"/>
    <w:rsid w:val="0020350C"/>
    <w:rsid w:val="002136EF"/>
    <w:rsid w:val="00225A60"/>
    <w:rsid w:val="00231192"/>
    <w:rsid w:val="002535E7"/>
    <w:rsid w:val="00266A96"/>
    <w:rsid w:val="002C13E0"/>
    <w:rsid w:val="002E5EF7"/>
    <w:rsid w:val="00302024"/>
    <w:rsid w:val="003037CB"/>
    <w:rsid w:val="003A33E0"/>
    <w:rsid w:val="003C0D9B"/>
    <w:rsid w:val="003C7ADF"/>
    <w:rsid w:val="004342BF"/>
    <w:rsid w:val="004432FC"/>
    <w:rsid w:val="004529E2"/>
    <w:rsid w:val="004C6DD8"/>
    <w:rsid w:val="00503771"/>
    <w:rsid w:val="005104F7"/>
    <w:rsid w:val="0052647A"/>
    <w:rsid w:val="00550026"/>
    <w:rsid w:val="00551B80"/>
    <w:rsid w:val="00565B58"/>
    <w:rsid w:val="00574766"/>
    <w:rsid w:val="00577E6D"/>
    <w:rsid w:val="005D04AE"/>
    <w:rsid w:val="005D2C26"/>
    <w:rsid w:val="006410DB"/>
    <w:rsid w:val="006A229E"/>
    <w:rsid w:val="006E609A"/>
    <w:rsid w:val="006F3154"/>
    <w:rsid w:val="00700B16"/>
    <w:rsid w:val="007163AC"/>
    <w:rsid w:val="00724645"/>
    <w:rsid w:val="0074186C"/>
    <w:rsid w:val="007426C2"/>
    <w:rsid w:val="00880694"/>
    <w:rsid w:val="008C688D"/>
    <w:rsid w:val="008E15F4"/>
    <w:rsid w:val="00911DD7"/>
    <w:rsid w:val="0092700F"/>
    <w:rsid w:val="00932EE9"/>
    <w:rsid w:val="009453F8"/>
    <w:rsid w:val="009524D6"/>
    <w:rsid w:val="00A2718E"/>
    <w:rsid w:val="00A52B04"/>
    <w:rsid w:val="00A65BE5"/>
    <w:rsid w:val="00A97EFA"/>
    <w:rsid w:val="00AC0BFC"/>
    <w:rsid w:val="00AC3F3E"/>
    <w:rsid w:val="00AC6D80"/>
    <w:rsid w:val="00AF1962"/>
    <w:rsid w:val="00B03322"/>
    <w:rsid w:val="00B26169"/>
    <w:rsid w:val="00B427A1"/>
    <w:rsid w:val="00B61AD8"/>
    <w:rsid w:val="00B6682C"/>
    <w:rsid w:val="00BB4BBC"/>
    <w:rsid w:val="00BC32CF"/>
    <w:rsid w:val="00BE29AB"/>
    <w:rsid w:val="00BE3758"/>
    <w:rsid w:val="00BE4A57"/>
    <w:rsid w:val="00C045C2"/>
    <w:rsid w:val="00C16802"/>
    <w:rsid w:val="00C30D57"/>
    <w:rsid w:val="00C33D40"/>
    <w:rsid w:val="00C61D3A"/>
    <w:rsid w:val="00C70267"/>
    <w:rsid w:val="00CA05C9"/>
    <w:rsid w:val="00CC1E7D"/>
    <w:rsid w:val="00CD27B7"/>
    <w:rsid w:val="00D266F9"/>
    <w:rsid w:val="00D44C30"/>
    <w:rsid w:val="00D54090"/>
    <w:rsid w:val="00D623AA"/>
    <w:rsid w:val="00D9029E"/>
    <w:rsid w:val="00DA5F68"/>
    <w:rsid w:val="00DA64E8"/>
    <w:rsid w:val="00DB2FCA"/>
    <w:rsid w:val="00DC5E92"/>
    <w:rsid w:val="00DE4287"/>
    <w:rsid w:val="00DF4B79"/>
    <w:rsid w:val="00E014C1"/>
    <w:rsid w:val="00E11C49"/>
    <w:rsid w:val="00E16C11"/>
    <w:rsid w:val="00E22DC1"/>
    <w:rsid w:val="00E34851"/>
    <w:rsid w:val="00E54466"/>
    <w:rsid w:val="00EB6152"/>
    <w:rsid w:val="00EB7D46"/>
    <w:rsid w:val="00EC7AD7"/>
    <w:rsid w:val="00ED6A15"/>
    <w:rsid w:val="00F20F7A"/>
    <w:rsid w:val="00F57D4B"/>
    <w:rsid w:val="00F60846"/>
    <w:rsid w:val="00F96E6E"/>
    <w:rsid w:val="00FA2A03"/>
    <w:rsid w:val="00FD1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EBBAC-BFA6-4AA9-8B4F-8666697A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E9"/>
  </w:style>
  <w:style w:type="paragraph" w:styleId="Heading3">
    <w:name w:val="heading 3"/>
    <w:basedOn w:val="Normal"/>
    <w:link w:val="Heading3Char"/>
    <w:uiPriority w:val="9"/>
    <w:qFormat/>
    <w:rsid w:val="00911DD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E16C11"/>
    <w:pPr>
      <w:spacing w:after="120" w:line="480" w:lineRule="auto"/>
      <w:ind w:left="283"/>
    </w:pPr>
    <w:rPr>
      <w:rFonts w:eastAsia="Times New Roman" w:cs="Times New Roman"/>
      <w:sz w:val="24"/>
      <w:szCs w:val="24"/>
      <w:lang w:val="en-GB"/>
    </w:rPr>
  </w:style>
  <w:style w:type="character" w:customStyle="1" w:styleId="BodyTextIndent2Char">
    <w:name w:val="Body Text Indent 2 Char"/>
    <w:basedOn w:val="DefaultParagraphFont"/>
    <w:link w:val="BodyTextIndent2"/>
    <w:rsid w:val="00E16C11"/>
    <w:rPr>
      <w:rFonts w:eastAsia="Times New Roman" w:cs="Times New Roman"/>
      <w:sz w:val="24"/>
      <w:szCs w:val="24"/>
      <w:lang w:val="en-GB"/>
    </w:rPr>
  </w:style>
  <w:style w:type="table" w:styleId="MediumList1-Accent4">
    <w:name w:val="Medium List 1 Accent 4"/>
    <w:basedOn w:val="TableNormal"/>
    <w:uiPriority w:val="65"/>
    <w:rsid w:val="00E16C11"/>
    <w:rPr>
      <w:rFonts w:cs="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BalloonText">
    <w:name w:val="Balloon Text"/>
    <w:basedOn w:val="Normal"/>
    <w:link w:val="BalloonTextChar"/>
    <w:uiPriority w:val="99"/>
    <w:semiHidden/>
    <w:unhideWhenUsed/>
    <w:rsid w:val="00E16C11"/>
    <w:rPr>
      <w:rFonts w:ascii="Tahoma" w:hAnsi="Tahoma" w:cs="Tahoma"/>
      <w:sz w:val="16"/>
      <w:szCs w:val="16"/>
    </w:rPr>
  </w:style>
  <w:style w:type="character" w:customStyle="1" w:styleId="BalloonTextChar">
    <w:name w:val="Balloon Text Char"/>
    <w:basedOn w:val="DefaultParagraphFont"/>
    <w:link w:val="BalloonText"/>
    <w:uiPriority w:val="99"/>
    <w:semiHidden/>
    <w:rsid w:val="00E16C11"/>
    <w:rPr>
      <w:rFonts w:ascii="Tahoma" w:hAnsi="Tahoma" w:cs="Tahoma"/>
      <w:sz w:val="16"/>
      <w:szCs w:val="16"/>
    </w:rPr>
  </w:style>
  <w:style w:type="character" w:customStyle="1" w:styleId="Heading3Char">
    <w:name w:val="Heading 3 Char"/>
    <w:basedOn w:val="DefaultParagraphFont"/>
    <w:link w:val="Heading3"/>
    <w:uiPriority w:val="9"/>
    <w:rsid w:val="00911DD7"/>
    <w:rPr>
      <w:rFonts w:eastAsia="Times New Roman" w:cs="Times New Roman"/>
      <w:b/>
      <w:bCs/>
      <w:sz w:val="27"/>
      <w:szCs w:val="27"/>
      <w:lang w:eastAsia="lv-LV"/>
    </w:rPr>
  </w:style>
  <w:style w:type="paragraph" w:styleId="NormalWeb">
    <w:name w:val="Normal (Web)"/>
    <w:basedOn w:val="Normal"/>
    <w:uiPriority w:val="99"/>
    <w:semiHidden/>
    <w:unhideWhenUsed/>
    <w:rsid w:val="00911DD7"/>
    <w:pPr>
      <w:spacing w:before="100" w:beforeAutospacing="1" w:after="240"/>
    </w:pPr>
    <w:rPr>
      <w:rFonts w:eastAsia="Times New Roman" w:cs="Times New Roman"/>
      <w:sz w:val="24"/>
      <w:szCs w:val="24"/>
      <w:lang w:eastAsia="lv-LV"/>
    </w:rPr>
  </w:style>
  <w:style w:type="character" w:styleId="Strong">
    <w:name w:val="Strong"/>
    <w:basedOn w:val="DefaultParagraphFont"/>
    <w:uiPriority w:val="22"/>
    <w:qFormat/>
    <w:rsid w:val="00911DD7"/>
    <w:rPr>
      <w:b/>
      <w:bCs/>
    </w:rPr>
  </w:style>
  <w:style w:type="paragraph" w:styleId="ListParagraph">
    <w:name w:val="List Paragraph"/>
    <w:basedOn w:val="Normal"/>
    <w:uiPriority w:val="34"/>
    <w:qFormat/>
    <w:rsid w:val="00E34851"/>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E34851"/>
    <w:rPr>
      <w:color w:val="0000FF" w:themeColor="hyperlink"/>
      <w:u w:val="single"/>
    </w:rPr>
  </w:style>
  <w:style w:type="character" w:customStyle="1" w:styleId="hps">
    <w:name w:val="hps"/>
    <w:basedOn w:val="DefaultParagraphFont"/>
    <w:rsid w:val="00B26169"/>
  </w:style>
  <w:style w:type="character" w:styleId="FollowedHyperlink">
    <w:name w:val="FollowedHyperlink"/>
    <w:basedOn w:val="DefaultParagraphFont"/>
    <w:uiPriority w:val="99"/>
    <w:semiHidden/>
    <w:unhideWhenUsed/>
    <w:rsid w:val="002535E7"/>
    <w:rPr>
      <w:color w:val="800080" w:themeColor="followedHyperlink"/>
      <w:u w:val="single"/>
    </w:rPr>
  </w:style>
  <w:style w:type="paragraph" w:styleId="FootnoteText">
    <w:name w:val="footnote text"/>
    <w:basedOn w:val="Normal"/>
    <w:link w:val="FootnoteTextChar"/>
    <w:uiPriority w:val="99"/>
    <w:semiHidden/>
    <w:unhideWhenUsed/>
    <w:rsid w:val="00CA05C9"/>
    <w:rPr>
      <w:sz w:val="20"/>
      <w:szCs w:val="20"/>
    </w:rPr>
  </w:style>
  <w:style w:type="character" w:customStyle="1" w:styleId="FootnoteTextChar">
    <w:name w:val="Footnote Text Char"/>
    <w:basedOn w:val="DefaultParagraphFont"/>
    <w:link w:val="FootnoteText"/>
    <w:uiPriority w:val="99"/>
    <w:semiHidden/>
    <w:rsid w:val="00CA05C9"/>
    <w:rPr>
      <w:sz w:val="20"/>
      <w:szCs w:val="20"/>
    </w:rPr>
  </w:style>
  <w:style w:type="character" w:styleId="FootnoteReference">
    <w:name w:val="footnote reference"/>
    <w:basedOn w:val="DefaultParagraphFont"/>
    <w:uiPriority w:val="99"/>
    <w:semiHidden/>
    <w:unhideWhenUsed/>
    <w:rsid w:val="00CA05C9"/>
    <w:rPr>
      <w:vertAlign w:val="superscript"/>
    </w:rPr>
  </w:style>
  <w:style w:type="paragraph" w:styleId="Header">
    <w:name w:val="header"/>
    <w:basedOn w:val="Normal"/>
    <w:link w:val="HeaderChar"/>
    <w:uiPriority w:val="99"/>
    <w:unhideWhenUsed/>
    <w:rsid w:val="00044299"/>
    <w:pPr>
      <w:tabs>
        <w:tab w:val="center" w:pos="4153"/>
        <w:tab w:val="right" w:pos="8306"/>
      </w:tabs>
    </w:pPr>
  </w:style>
  <w:style w:type="character" w:customStyle="1" w:styleId="HeaderChar">
    <w:name w:val="Header Char"/>
    <w:basedOn w:val="DefaultParagraphFont"/>
    <w:link w:val="Header"/>
    <w:uiPriority w:val="99"/>
    <w:rsid w:val="00044299"/>
  </w:style>
  <w:style w:type="paragraph" w:styleId="Footer">
    <w:name w:val="footer"/>
    <w:basedOn w:val="Normal"/>
    <w:link w:val="FooterChar"/>
    <w:uiPriority w:val="99"/>
    <w:unhideWhenUsed/>
    <w:rsid w:val="00044299"/>
    <w:pPr>
      <w:tabs>
        <w:tab w:val="center" w:pos="4153"/>
        <w:tab w:val="right" w:pos="8306"/>
      </w:tabs>
    </w:pPr>
  </w:style>
  <w:style w:type="character" w:customStyle="1" w:styleId="FooterChar">
    <w:name w:val="Footer Char"/>
    <w:basedOn w:val="DefaultParagraphFont"/>
    <w:link w:val="Footer"/>
    <w:uiPriority w:val="99"/>
    <w:rsid w:val="0004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339">
      <w:bodyDiv w:val="1"/>
      <w:marLeft w:val="0"/>
      <w:marRight w:val="0"/>
      <w:marTop w:val="0"/>
      <w:marBottom w:val="0"/>
      <w:divBdr>
        <w:top w:val="none" w:sz="0" w:space="0" w:color="auto"/>
        <w:left w:val="none" w:sz="0" w:space="0" w:color="auto"/>
        <w:bottom w:val="none" w:sz="0" w:space="0" w:color="auto"/>
        <w:right w:val="none" w:sz="0" w:space="0" w:color="auto"/>
      </w:divBdr>
    </w:div>
    <w:div w:id="558250413">
      <w:bodyDiv w:val="1"/>
      <w:marLeft w:val="0"/>
      <w:marRight w:val="0"/>
      <w:marTop w:val="0"/>
      <w:marBottom w:val="0"/>
      <w:divBdr>
        <w:top w:val="none" w:sz="0" w:space="0" w:color="auto"/>
        <w:left w:val="none" w:sz="0" w:space="0" w:color="auto"/>
        <w:bottom w:val="none" w:sz="0" w:space="0" w:color="auto"/>
        <w:right w:val="none" w:sz="0" w:space="0" w:color="auto"/>
      </w:divBdr>
    </w:div>
    <w:div w:id="572399744">
      <w:bodyDiv w:val="1"/>
      <w:marLeft w:val="0"/>
      <w:marRight w:val="0"/>
      <w:marTop w:val="0"/>
      <w:marBottom w:val="0"/>
      <w:divBdr>
        <w:top w:val="none" w:sz="0" w:space="0" w:color="auto"/>
        <w:left w:val="none" w:sz="0" w:space="0" w:color="auto"/>
        <w:bottom w:val="none" w:sz="0" w:space="0" w:color="auto"/>
        <w:right w:val="none" w:sz="0" w:space="0" w:color="auto"/>
      </w:divBdr>
    </w:div>
    <w:div w:id="1187020060">
      <w:bodyDiv w:val="1"/>
      <w:marLeft w:val="0"/>
      <w:marRight w:val="0"/>
      <w:marTop w:val="0"/>
      <w:marBottom w:val="0"/>
      <w:divBdr>
        <w:top w:val="none" w:sz="0" w:space="0" w:color="auto"/>
        <w:left w:val="none" w:sz="0" w:space="0" w:color="auto"/>
        <w:bottom w:val="none" w:sz="0" w:space="0" w:color="auto"/>
        <w:right w:val="none" w:sz="0" w:space="0" w:color="auto"/>
      </w:divBdr>
    </w:div>
    <w:div w:id="1273440515">
      <w:bodyDiv w:val="1"/>
      <w:marLeft w:val="0"/>
      <w:marRight w:val="0"/>
      <w:marTop w:val="0"/>
      <w:marBottom w:val="0"/>
      <w:divBdr>
        <w:top w:val="none" w:sz="0" w:space="0" w:color="auto"/>
        <w:left w:val="none" w:sz="0" w:space="0" w:color="auto"/>
        <w:bottom w:val="none" w:sz="0" w:space="0" w:color="auto"/>
        <w:right w:val="none" w:sz="0" w:space="0" w:color="auto"/>
      </w:divBdr>
    </w:div>
    <w:div w:id="1407535449">
      <w:bodyDiv w:val="1"/>
      <w:marLeft w:val="0"/>
      <w:marRight w:val="0"/>
      <w:marTop w:val="0"/>
      <w:marBottom w:val="0"/>
      <w:divBdr>
        <w:top w:val="none" w:sz="0" w:space="0" w:color="auto"/>
        <w:left w:val="none" w:sz="0" w:space="0" w:color="auto"/>
        <w:bottom w:val="none" w:sz="0" w:space="0" w:color="auto"/>
        <w:right w:val="none" w:sz="0" w:space="0" w:color="auto"/>
      </w:divBdr>
    </w:div>
    <w:div w:id="1710911129">
      <w:bodyDiv w:val="1"/>
      <w:marLeft w:val="0"/>
      <w:marRight w:val="0"/>
      <w:marTop w:val="240"/>
      <w:marBottom w:val="240"/>
      <w:divBdr>
        <w:top w:val="single" w:sz="6" w:space="0" w:color="808080"/>
        <w:left w:val="single" w:sz="6" w:space="0" w:color="808080"/>
        <w:bottom w:val="single" w:sz="6" w:space="0" w:color="808080"/>
        <w:right w:val="single" w:sz="6" w:space="0" w:color="808080"/>
      </w:divBdr>
      <w:divsChild>
        <w:div w:id="1211843561">
          <w:marLeft w:val="0"/>
          <w:marRight w:val="0"/>
          <w:marTop w:val="0"/>
          <w:marBottom w:val="0"/>
          <w:divBdr>
            <w:top w:val="none" w:sz="0" w:space="0" w:color="auto"/>
            <w:left w:val="none" w:sz="0" w:space="0" w:color="auto"/>
            <w:bottom w:val="none" w:sz="0" w:space="0" w:color="auto"/>
            <w:right w:val="none" w:sz="0" w:space="0" w:color="auto"/>
          </w:divBdr>
          <w:divsChild>
            <w:div w:id="715154511">
              <w:marLeft w:val="1"/>
              <w:marRight w:val="0"/>
              <w:marTop w:val="1"/>
              <w:marBottom w:val="1"/>
              <w:divBdr>
                <w:top w:val="none" w:sz="0" w:space="0" w:color="auto"/>
                <w:left w:val="none" w:sz="0" w:space="0" w:color="auto"/>
                <w:bottom w:val="none" w:sz="0" w:space="0" w:color="auto"/>
                <w:right w:val="none" w:sz="0" w:space="0" w:color="auto"/>
              </w:divBdr>
            </w:div>
          </w:divsChild>
        </w:div>
      </w:divsChild>
    </w:div>
    <w:div w:id="1797328791">
      <w:bodyDiv w:val="1"/>
      <w:marLeft w:val="0"/>
      <w:marRight w:val="0"/>
      <w:marTop w:val="0"/>
      <w:marBottom w:val="0"/>
      <w:divBdr>
        <w:top w:val="none" w:sz="0" w:space="0" w:color="auto"/>
        <w:left w:val="none" w:sz="0" w:space="0" w:color="auto"/>
        <w:bottom w:val="none" w:sz="0" w:space="0" w:color="auto"/>
        <w:right w:val="none" w:sz="0" w:space="0" w:color="auto"/>
      </w:divBdr>
    </w:div>
    <w:div w:id="1924794391">
      <w:bodyDiv w:val="1"/>
      <w:marLeft w:val="0"/>
      <w:marRight w:val="0"/>
      <w:marTop w:val="0"/>
      <w:marBottom w:val="0"/>
      <w:divBdr>
        <w:top w:val="none" w:sz="0" w:space="0" w:color="auto"/>
        <w:left w:val="none" w:sz="0" w:space="0" w:color="auto"/>
        <w:bottom w:val="none" w:sz="0" w:space="0" w:color="auto"/>
        <w:right w:val="none" w:sz="0" w:space="0" w:color="auto"/>
      </w:divBdr>
    </w:div>
    <w:div w:id="20641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4742609264846"/>
          <c:y val="0.18269467531464137"/>
          <c:w val="0.59835722222220356"/>
          <c:h val="0.59933947302523549"/>
        </c:manualLayout>
      </c:layout>
      <c:pieChart>
        <c:varyColors val="1"/>
        <c:ser>
          <c:idx val="0"/>
          <c:order val="0"/>
          <c:spPr>
            <a:ln w="3175">
              <a:solidFill>
                <a:schemeClr val="tx1"/>
              </a:solidFill>
            </a:ln>
          </c:spPr>
          <c:dPt>
            <c:idx val="0"/>
            <c:bubble3D val="0"/>
            <c:spPr>
              <a:solidFill>
                <a:schemeClr val="accent4">
                  <a:lumMod val="75000"/>
                </a:schemeClr>
              </a:solidFill>
              <a:ln w="3175">
                <a:solidFill>
                  <a:schemeClr val="tx1"/>
                </a:solidFill>
              </a:ln>
            </c:spPr>
          </c:dPt>
          <c:dPt>
            <c:idx val="1"/>
            <c:bubble3D val="0"/>
            <c:spPr>
              <a:solidFill>
                <a:schemeClr val="bg1">
                  <a:lumMod val="65000"/>
                </a:schemeClr>
              </a:solidFill>
              <a:ln w="3175">
                <a:solidFill>
                  <a:schemeClr val="tx1"/>
                </a:solidFill>
              </a:ln>
            </c:spPr>
          </c:dPt>
          <c:dPt>
            <c:idx val="2"/>
            <c:bubble3D val="0"/>
            <c:spPr>
              <a:solidFill>
                <a:schemeClr val="accent3">
                  <a:lumMod val="75000"/>
                </a:schemeClr>
              </a:solidFill>
              <a:ln w="3175">
                <a:solidFill>
                  <a:schemeClr val="tx1"/>
                </a:solidFill>
              </a:ln>
            </c:spPr>
          </c:dPt>
          <c:dPt>
            <c:idx val="3"/>
            <c:bubble3D val="0"/>
            <c:spPr>
              <a:solidFill>
                <a:schemeClr val="bg1">
                  <a:lumMod val="75000"/>
                </a:schemeClr>
              </a:solidFill>
              <a:ln w="3175">
                <a:solidFill>
                  <a:schemeClr val="tx1"/>
                </a:solidFill>
              </a:ln>
            </c:spPr>
          </c:dPt>
          <c:dPt>
            <c:idx val="4"/>
            <c:bubble3D val="0"/>
            <c:spPr>
              <a:solidFill>
                <a:schemeClr val="accent6">
                  <a:lumMod val="75000"/>
                </a:schemeClr>
              </a:solidFill>
              <a:ln w="3175">
                <a:solidFill>
                  <a:schemeClr val="tx1"/>
                </a:solidFill>
              </a:ln>
            </c:spPr>
          </c:dPt>
          <c:dPt>
            <c:idx val="5"/>
            <c:bubble3D val="0"/>
            <c:spPr>
              <a:solidFill>
                <a:schemeClr val="bg1"/>
              </a:solidFill>
              <a:ln w="3175">
                <a:solidFill>
                  <a:schemeClr val="tx1"/>
                </a:solidFill>
              </a:ln>
            </c:spPr>
          </c:dPt>
          <c:dLbls>
            <c:dLbl>
              <c:idx val="0"/>
              <c:layout>
                <c:manualLayout>
                  <c:x val="-5.3053209798378909E-2"/>
                  <c:y val="-5.407409180235449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2.4014125507038894E-2"/>
                  <c:y val="-9.445382963493199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3.7733616631254428E-2"/>
                  <c:y val="-1.496778811739438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4.2328042328042423E-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3.0400381770460512E-2"/>
                  <c:y val="6.99751849200668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2.528459706976037E-2"/>
                  <c:y val="-6.4289836110912289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Sheet1!$A$2:$A$9</c:f>
              <c:strCache>
                <c:ptCount val="8"/>
                <c:pt idx="0">
                  <c:v>ES-28</c:v>
                </c:pt>
                <c:pt idx="1">
                  <c:v>Pārējā Eiropa</c:v>
                </c:pt>
                <c:pt idx="2">
                  <c:v>NVS</c:v>
                </c:pt>
                <c:pt idx="3">
                  <c:v>ASV, Kanāda, Meksika</c:v>
                </c:pt>
                <c:pt idx="4">
                  <c:v>Ķīna</c:v>
                </c:pt>
                <c:pt idx="5">
                  <c:v>Japāna</c:v>
                </c:pt>
                <c:pt idx="6">
                  <c:v>Pārējā Āzija</c:v>
                </c:pt>
                <c:pt idx="7">
                  <c:v>Pārējās valstis</c:v>
                </c:pt>
              </c:strCache>
            </c:strRef>
          </c:cat>
          <c:val>
            <c:numRef>
              <c:f>Sheet1!$B$2:$B$9</c:f>
              <c:numCache>
                <c:formatCode>0.000</c:formatCode>
                <c:ptCount val="8"/>
                <c:pt idx="0">
                  <c:v>17.8</c:v>
                </c:pt>
                <c:pt idx="1">
                  <c:v>2.1</c:v>
                </c:pt>
                <c:pt idx="2">
                  <c:v>3.9</c:v>
                </c:pt>
                <c:pt idx="3">
                  <c:v>15.4</c:v>
                </c:pt>
                <c:pt idx="4">
                  <c:v>28.3</c:v>
                </c:pt>
                <c:pt idx="5">
                  <c:v>7.9</c:v>
                </c:pt>
                <c:pt idx="6">
                  <c:v>15.5</c:v>
                </c:pt>
                <c:pt idx="7">
                  <c:v>9</c:v>
                </c:pt>
              </c:numCache>
            </c:numRef>
          </c:val>
        </c:ser>
        <c:dLbls>
          <c:showLegendKey val="0"/>
          <c:showVal val="1"/>
          <c:showCatName val="0"/>
          <c:showSerName val="0"/>
          <c:showPercent val="0"/>
          <c:showBubbleSize val="0"/>
          <c:showLeaderLines val="0"/>
        </c:dLbls>
        <c:firstSliceAng val="9"/>
      </c:pieChart>
    </c:plotArea>
    <c:plotVisOnly val="1"/>
    <c:dispBlanksAs val="zero"/>
    <c:showDLblsOverMax val="0"/>
  </c:chart>
  <c:spPr>
    <a:noFill/>
    <a:ln>
      <a:noFill/>
    </a:ln>
  </c:spPr>
  <c:txPr>
    <a:bodyPr/>
    <a:lstStyle/>
    <a:p>
      <a:pPr>
        <a:defRPr sz="800">
          <a:latin typeface="Garamond"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4742609264846"/>
          <c:y val="0.18269467531464137"/>
          <c:w val="0.59835722222220356"/>
          <c:h val="0.59933947302523549"/>
        </c:manualLayout>
      </c:layout>
      <c:pieChart>
        <c:varyColors val="1"/>
        <c:ser>
          <c:idx val="0"/>
          <c:order val="0"/>
          <c:spPr>
            <a:ln w="3175">
              <a:solidFill>
                <a:schemeClr val="tx1"/>
              </a:solidFill>
            </a:ln>
          </c:spPr>
          <c:dPt>
            <c:idx val="0"/>
            <c:bubble3D val="0"/>
            <c:spPr>
              <a:solidFill>
                <a:schemeClr val="accent4">
                  <a:lumMod val="75000"/>
                </a:schemeClr>
              </a:solidFill>
              <a:ln w="3175">
                <a:solidFill>
                  <a:schemeClr val="tx1"/>
                </a:solidFill>
              </a:ln>
            </c:spPr>
          </c:dPt>
          <c:dPt>
            <c:idx val="1"/>
            <c:bubble3D val="0"/>
            <c:spPr>
              <a:solidFill>
                <a:schemeClr val="bg1">
                  <a:lumMod val="65000"/>
                </a:schemeClr>
              </a:solidFill>
              <a:ln w="3175">
                <a:solidFill>
                  <a:schemeClr val="tx1"/>
                </a:solidFill>
              </a:ln>
            </c:spPr>
          </c:dPt>
          <c:dPt>
            <c:idx val="2"/>
            <c:bubble3D val="0"/>
            <c:spPr>
              <a:solidFill>
                <a:schemeClr val="accent3">
                  <a:lumMod val="75000"/>
                </a:schemeClr>
              </a:solidFill>
              <a:ln w="3175">
                <a:solidFill>
                  <a:schemeClr val="tx1"/>
                </a:solidFill>
              </a:ln>
            </c:spPr>
          </c:dPt>
          <c:dPt>
            <c:idx val="3"/>
            <c:bubble3D val="0"/>
            <c:spPr>
              <a:solidFill>
                <a:schemeClr val="bg1">
                  <a:lumMod val="75000"/>
                </a:schemeClr>
              </a:solidFill>
              <a:ln w="3175">
                <a:solidFill>
                  <a:schemeClr val="tx1"/>
                </a:solidFill>
              </a:ln>
            </c:spPr>
          </c:dPt>
          <c:dPt>
            <c:idx val="4"/>
            <c:bubble3D val="0"/>
            <c:spPr>
              <a:solidFill>
                <a:schemeClr val="accent6">
                  <a:lumMod val="75000"/>
                </a:schemeClr>
              </a:solidFill>
              <a:ln w="3175">
                <a:solidFill>
                  <a:schemeClr val="tx1"/>
                </a:solidFill>
              </a:ln>
            </c:spPr>
          </c:dPt>
          <c:dPt>
            <c:idx val="5"/>
            <c:bubble3D val="0"/>
            <c:spPr>
              <a:solidFill>
                <a:schemeClr val="bg1"/>
              </a:solidFill>
              <a:ln w="3175">
                <a:solidFill>
                  <a:schemeClr val="tx1"/>
                </a:solidFill>
              </a:ln>
            </c:spPr>
          </c:dPt>
          <c:dLbls>
            <c:dLbl>
              <c:idx val="0"/>
              <c:layout>
                <c:manualLayout>
                  <c:x val="-5.8890147225368061E-2"/>
                  <c:y val="-2.701789935832488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2480181200453006E-2"/>
                  <c:y val="3.377237419790611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2.2650056625141562E-2"/>
                  <c:y val="8.105369807497467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Sheet1!$A$2:$A$9</c:f>
              <c:strCache>
                <c:ptCount val="8"/>
                <c:pt idx="0">
                  <c:v>ES-28</c:v>
                </c:pt>
                <c:pt idx="1">
                  <c:v>Pārējā Eiropa</c:v>
                </c:pt>
                <c:pt idx="2">
                  <c:v>NVS</c:v>
                </c:pt>
                <c:pt idx="3">
                  <c:v>ASV, Kanāda, Meksika</c:v>
                </c:pt>
                <c:pt idx="4">
                  <c:v>Ķīna</c:v>
                </c:pt>
                <c:pt idx="5">
                  <c:v>Japāna</c:v>
                </c:pt>
                <c:pt idx="6">
                  <c:v>Pārējā Āzija</c:v>
                </c:pt>
                <c:pt idx="7">
                  <c:v>Pārējās valstis</c:v>
                </c:pt>
              </c:strCache>
            </c:strRef>
          </c:cat>
          <c:val>
            <c:numRef>
              <c:f>Sheet1!$B$2:$B$9</c:f>
              <c:numCache>
                <c:formatCode>0.0</c:formatCode>
                <c:ptCount val="8"/>
                <c:pt idx="0">
                  <c:v>9.6</c:v>
                </c:pt>
                <c:pt idx="1">
                  <c:v>2.4</c:v>
                </c:pt>
                <c:pt idx="2">
                  <c:v>3.7</c:v>
                </c:pt>
                <c:pt idx="3">
                  <c:v>9.4</c:v>
                </c:pt>
                <c:pt idx="4">
                  <c:v>46.2</c:v>
                </c:pt>
                <c:pt idx="5">
                  <c:v>4.4000000000000004</c:v>
                </c:pt>
                <c:pt idx="6">
                  <c:v>15</c:v>
                </c:pt>
                <c:pt idx="7">
                  <c:v>9.4</c:v>
                </c:pt>
              </c:numCache>
            </c:numRef>
          </c:val>
        </c:ser>
        <c:dLbls>
          <c:showLegendKey val="0"/>
          <c:showVal val="0"/>
          <c:showCatName val="0"/>
          <c:showSerName val="0"/>
          <c:showPercent val="0"/>
          <c:showBubbleSize val="0"/>
          <c:showLeaderLines val="0"/>
        </c:dLbls>
        <c:firstSliceAng val="9"/>
      </c:pieChart>
    </c:plotArea>
    <c:plotVisOnly val="1"/>
    <c:dispBlanksAs val="zero"/>
    <c:showDLblsOverMax val="0"/>
  </c:chart>
  <c:spPr>
    <a:noFill/>
    <a:ln>
      <a:noFill/>
    </a:ln>
  </c:spPr>
  <c:txPr>
    <a:bodyPr/>
    <a:lstStyle/>
    <a:p>
      <a:pPr>
        <a:defRPr sz="800">
          <a:latin typeface="Garamond"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4728997290229"/>
          <c:y val="2.2536324786326518E-2"/>
          <c:w val="0.85252777613324648"/>
          <c:h val="0.86198711524695781"/>
        </c:manualLayout>
      </c:layout>
      <c:barChart>
        <c:barDir val="col"/>
        <c:grouping val="clustered"/>
        <c:varyColors val="0"/>
        <c:ser>
          <c:idx val="1"/>
          <c:order val="0"/>
          <c:tx>
            <c:strRef>
              <c:f>Sheet1!$C$5</c:f>
              <c:strCache>
                <c:ptCount val="1"/>
                <c:pt idx="0">
                  <c:v>mt</c:v>
                </c:pt>
              </c:strCache>
            </c:strRef>
          </c:tx>
          <c:spPr>
            <a:ln w="9525">
              <a:solidFill>
                <a:sysClr val="windowText" lastClr="000000"/>
              </a:solidFill>
              <a:prstDash val="solid"/>
            </a:ln>
          </c:spPr>
          <c:invertIfNegative val="0"/>
          <c:cat>
            <c:numRef>
              <c:f>Sheet1!$B$6:$B$11</c:f>
              <c:numCache>
                <c:formatCode>General</c:formatCode>
                <c:ptCount val="6"/>
                <c:pt idx="0">
                  <c:v>2011</c:v>
                </c:pt>
                <c:pt idx="1">
                  <c:v>2012</c:v>
                </c:pt>
                <c:pt idx="2">
                  <c:v>2013</c:v>
                </c:pt>
                <c:pt idx="3">
                  <c:v>2014</c:v>
                </c:pt>
                <c:pt idx="4">
                  <c:v>2015</c:v>
                </c:pt>
                <c:pt idx="5">
                  <c:v>2016</c:v>
                </c:pt>
              </c:numCache>
            </c:numRef>
          </c:cat>
          <c:val>
            <c:numRef>
              <c:f>Sheet1!$C$6:$C$11</c:f>
              <c:numCache>
                <c:formatCode>General</c:formatCode>
                <c:ptCount val="6"/>
                <c:pt idx="0">
                  <c:v>158</c:v>
                </c:pt>
                <c:pt idx="1">
                  <c:v>141</c:v>
                </c:pt>
                <c:pt idx="2">
                  <c:v>141</c:v>
                </c:pt>
                <c:pt idx="3">
                  <c:v>146</c:v>
                </c:pt>
                <c:pt idx="4">
                  <c:v>149</c:v>
                </c:pt>
                <c:pt idx="5">
                  <c:v>151</c:v>
                </c:pt>
              </c:numCache>
            </c:numRef>
          </c:val>
        </c:ser>
        <c:dLbls>
          <c:showLegendKey val="0"/>
          <c:showVal val="0"/>
          <c:showCatName val="0"/>
          <c:showSerName val="0"/>
          <c:showPercent val="0"/>
          <c:showBubbleSize val="0"/>
        </c:dLbls>
        <c:gapWidth val="50"/>
        <c:axId val="355173088"/>
        <c:axId val="355173480"/>
      </c:barChart>
      <c:catAx>
        <c:axId val="355173088"/>
        <c:scaling>
          <c:orientation val="minMax"/>
        </c:scaling>
        <c:delete val="0"/>
        <c:axPos val="b"/>
        <c:numFmt formatCode="General" sourceLinked="1"/>
        <c:majorTickMark val="out"/>
        <c:minorTickMark val="none"/>
        <c:tickLblPos val="nextTo"/>
        <c:spPr>
          <a:solidFill>
            <a:sysClr val="window" lastClr="FFFFFF"/>
          </a:solidFill>
          <a:ln w="3175">
            <a:solidFill>
              <a:sysClr val="window" lastClr="FFFFFF">
                <a:lumMod val="50000"/>
              </a:sysClr>
            </a:solidFill>
            <a:prstDash val="solid"/>
          </a:ln>
        </c:spPr>
        <c:txPr>
          <a:bodyPr rot="0" vert="horz"/>
          <a:lstStyle/>
          <a:p>
            <a:pPr>
              <a:defRPr lang="lv-LV" sz="800" b="0" i="0" u="none" strike="noStrike" baseline="0">
                <a:solidFill>
                  <a:srgbClr val="000000"/>
                </a:solidFill>
                <a:latin typeface="Garamond" pitchFamily="18" charset="0"/>
                <a:ea typeface="Times New Roman"/>
                <a:cs typeface="Arial" pitchFamily="34" charset="0"/>
              </a:defRPr>
            </a:pPr>
            <a:endParaRPr lang="lv-LV"/>
          </a:p>
        </c:txPr>
        <c:crossAx val="355173480"/>
        <c:crosses val="autoZero"/>
        <c:auto val="1"/>
        <c:lblAlgn val="ctr"/>
        <c:lblOffset val="0"/>
        <c:noMultiLvlLbl val="1"/>
      </c:catAx>
      <c:valAx>
        <c:axId val="355173480"/>
        <c:scaling>
          <c:orientation val="minMax"/>
          <c:max val="160"/>
          <c:min val="120"/>
        </c:scaling>
        <c:delete val="0"/>
        <c:axPos val="l"/>
        <c:numFmt formatCode="0" sourceLinked="0"/>
        <c:majorTickMark val="out"/>
        <c:minorTickMark val="none"/>
        <c:tickLblPos val="nextTo"/>
        <c:spPr>
          <a:ln w="3175">
            <a:solidFill>
              <a:sysClr val="window" lastClr="FFFFFF">
                <a:lumMod val="50000"/>
              </a:sysClr>
            </a:solidFill>
          </a:ln>
        </c:spPr>
        <c:txPr>
          <a:bodyPr rot="0" vert="horz"/>
          <a:lstStyle/>
          <a:p>
            <a:pPr>
              <a:defRPr lang="lv-LV" sz="800" b="0" i="0" u="none" strike="noStrike" baseline="0">
                <a:solidFill>
                  <a:srgbClr val="000000"/>
                </a:solidFill>
                <a:latin typeface="Garamond" pitchFamily="18" charset="0"/>
                <a:ea typeface="Times New Roman"/>
                <a:cs typeface="Arial" pitchFamily="34" charset="0"/>
              </a:defRPr>
            </a:pPr>
            <a:endParaRPr lang="lv-LV"/>
          </a:p>
        </c:txPr>
        <c:crossAx val="355173088"/>
        <c:crosses val="autoZero"/>
        <c:crossBetween val="between"/>
        <c:majorUnit val="10"/>
        <c:minorUnit val="10"/>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127757111371203E-2"/>
          <c:y val="0.21066895613604467"/>
          <c:w val="0.9053714391464287"/>
          <c:h val="0.70590183826756825"/>
        </c:manualLayout>
      </c:layout>
      <c:barChart>
        <c:barDir val="col"/>
        <c:grouping val="clustered"/>
        <c:varyColors val="0"/>
        <c:ser>
          <c:idx val="1"/>
          <c:order val="0"/>
          <c:tx>
            <c:strRef>
              <c:f>Sheet1!$B$1</c:f>
              <c:strCache>
                <c:ptCount val="1"/>
                <c:pt idx="0">
                  <c:v>Reālais patēriņš milj.t/m (labā ass)</c:v>
                </c:pt>
              </c:strCache>
            </c:strRef>
          </c:tx>
          <c:spPr>
            <a:solidFill>
              <a:srgbClr val="4F81BD"/>
            </a:solidFill>
            <a:ln w="9525">
              <a:solidFill>
                <a:sysClr val="windowText" lastClr="000000"/>
              </a:solidFill>
              <a:prstDash val="solid"/>
            </a:ln>
          </c:spPr>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0.0</c:formatCode>
                <c:ptCount val="9"/>
                <c:pt idx="0">
                  <c:v>15</c:v>
                </c:pt>
                <c:pt idx="1">
                  <c:v>11.5</c:v>
                </c:pt>
                <c:pt idx="2">
                  <c:v>12.1</c:v>
                </c:pt>
                <c:pt idx="3">
                  <c:v>12.8</c:v>
                </c:pt>
                <c:pt idx="4">
                  <c:v>12.2</c:v>
                </c:pt>
                <c:pt idx="5">
                  <c:v>11.8</c:v>
                </c:pt>
                <c:pt idx="6">
                  <c:v>12.1</c:v>
                </c:pt>
                <c:pt idx="7">
                  <c:v>12.3</c:v>
                </c:pt>
                <c:pt idx="8">
                  <c:v>12.57</c:v>
                </c:pt>
              </c:numCache>
            </c:numRef>
          </c:val>
        </c:ser>
        <c:ser>
          <c:idx val="0"/>
          <c:order val="1"/>
          <c:tx>
            <c:strRef>
              <c:f>Sheet1!$C$1</c:f>
              <c:strCache>
                <c:ptCount val="1"/>
                <c:pt idx="0">
                  <c:v>Patēriņš, kopā ar krājumiem* milj.t/m (labā ass)</c:v>
                </c:pt>
              </c:strCache>
            </c:strRef>
          </c:tx>
          <c:spPr>
            <a:solidFill>
              <a:srgbClr val="F79646">
                <a:lumMod val="40000"/>
                <a:lumOff val="60000"/>
              </a:srgbClr>
            </a:solidFill>
            <a:ln>
              <a:solidFill>
                <a:sysClr val="windowText" lastClr="000000"/>
              </a:solidFill>
            </a:ln>
          </c:spPr>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15.6</c:v>
                </c:pt>
                <c:pt idx="1">
                  <c:v>10.199999999999999</c:v>
                </c:pt>
                <c:pt idx="2">
                  <c:v>12.4</c:v>
                </c:pt>
                <c:pt idx="3">
                  <c:v>13.2</c:v>
                </c:pt>
                <c:pt idx="4">
                  <c:v>11.7</c:v>
                </c:pt>
                <c:pt idx="5">
                  <c:v>11.7</c:v>
                </c:pt>
                <c:pt idx="6">
                  <c:v>12.2</c:v>
                </c:pt>
                <c:pt idx="7">
                  <c:v>12.4</c:v>
                </c:pt>
                <c:pt idx="8">
                  <c:v>12.64</c:v>
                </c:pt>
              </c:numCache>
            </c:numRef>
          </c:val>
        </c:ser>
        <c:dLbls>
          <c:showLegendKey val="0"/>
          <c:showVal val="0"/>
          <c:showCatName val="0"/>
          <c:showSerName val="0"/>
          <c:showPercent val="0"/>
          <c:showBubbleSize val="0"/>
        </c:dLbls>
        <c:gapWidth val="20"/>
        <c:axId val="499327960"/>
        <c:axId val="355174656"/>
      </c:barChart>
      <c:lineChart>
        <c:grouping val="standard"/>
        <c:varyColors val="0"/>
        <c:ser>
          <c:idx val="2"/>
          <c:order val="2"/>
          <c:tx>
            <c:strRef>
              <c:f>Sheet1!$D$1</c:f>
              <c:strCache>
                <c:ptCount val="1"/>
                <c:pt idx="0">
                  <c:v>Reālais patēriņš, izmaiņas % (kreisā ass)</c:v>
                </c:pt>
              </c:strCache>
            </c:strRef>
          </c:tx>
          <c:spPr>
            <a:ln w="34925">
              <a:solidFill>
                <a:srgbClr val="002060"/>
              </a:solidFill>
            </a:ln>
          </c:spPr>
          <c:marker>
            <c:symbol val="none"/>
          </c:marker>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0</c:formatCode>
                <c:ptCount val="9"/>
                <c:pt idx="0">
                  <c:v>-6</c:v>
                </c:pt>
                <c:pt idx="1">
                  <c:v>-24</c:v>
                </c:pt>
                <c:pt idx="2">
                  <c:v>5.2173913043478137</c:v>
                </c:pt>
                <c:pt idx="3">
                  <c:v>5.7851239669421517</c:v>
                </c:pt>
                <c:pt idx="4">
                  <c:v>-4.6875000000000142</c:v>
                </c:pt>
                <c:pt idx="5">
                  <c:v>-3.2786885245901516</c:v>
                </c:pt>
                <c:pt idx="6">
                  <c:v>2.5423728813559308</c:v>
                </c:pt>
                <c:pt idx="7">
                  <c:v>1.6528925619834922</c:v>
                </c:pt>
                <c:pt idx="8">
                  <c:v>2.1951219512195195</c:v>
                </c:pt>
              </c:numCache>
            </c:numRef>
          </c:val>
          <c:smooth val="0"/>
        </c:ser>
        <c:ser>
          <c:idx val="3"/>
          <c:order val="3"/>
          <c:tx>
            <c:strRef>
              <c:f>Sheet1!$E$1</c:f>
              <c:strCache>
                <c:ptCount val="1"/>
                <c:pt idx="0">
                  <c:v>Patēriņš kopā ar krājumiem*, izmaiņas % (kreisā ass)</c:v>
                </c:pt>
              </c:strCache>
            </c:strRef>
          </c:tx>
          <c:spPr>
            <a:ln>
              <a:solidFill>
                <a:srgbClr val="F79646">
                  <a:lumMod val="75000"/>
                </a:srgbClr>
              </a:solidFill>
            </a:ln>
          </c:spPr>
          <c:marker>
            <c:symbol val="none"/>
          </c:marker>
          <c:dLbls>
            <c:dLbl>
              <c:idx val="1"/>
              <c:layout>
                <c:manualLayout>
                  <c:x val="-5.5711020008239964E-2"/>
                  <c:y val="4.765070755672685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0251852413348752E-2"/>
                  <c:y val="-1.588356918557564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928413357168879E-2"/>
                  <c:y val="-4.37716147861771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1254138407580772E-2"/>
                  <c:y val="6.67109905794175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069720367527792E-2"/>
                  <c:y val="-4.1297279882496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351181213998397E-2"/>
                  <c:y val="-5.11150765838169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Sheet1!$E$2:$E$10</c:f>
              <c:numCache>
                <c:formatCode>0</c:formatCode>
                <c:ptCount val="9"/>
                <c:pt idx="0">
                  <c:v>-8.3333333333333428</c:v>
                </c:pt>
                <c:pt idx="1">
                  <c:v>-34.615384615384613</c:v>
                </c:pt>
                <c:pt idx="2">
                  <c:v>21.568627450980401</c:v>
                </c:pt>
                <c:pt idx="3">
                  <c:v>6.4516129032257936</c:v>
                </c:pt>
                <c:pt idx="4">
                  <c:v>-11.36363636363636</c:v>
                </c:pt>
                <c:pt idx="5">
                  <c:v>0</c:v>
                </c:pt>
                <c:pt idx="6">
                  <c:v>4.2735042735042867</c:v>
                </c:pt>
                <c:pt idx="7">
                  <c:v>1.6393442622950829</c:v>
                </c:pt>
                <c:pt idx="8">
                  <c:v>1.9354838709677296</c:v>
                </c:pt>
              </c:numCache>
            </c:numRef>
          </c:val>
          <c:smooth val="0"/>
        </c:ser>
        <c:dLbls>
          <c:showLegendKey val="0"/>
          <c:showVal val="0"/>
          <c:showCatName val="0"/>
          <c:showSerName val="0"/>
          <c:showPercent val="0"/>
          <c:showBubbleSize val="0"/>
        </c:dLbls>
        <c:marker val="1"/>
        <c:smooth val="0"/>
        <c:axId val="357393696"/>
        <c:axId val="355174264"/>
      </c:lineChart>
      <c:catAx>
        <c:axId val="357393696"/>
        <c:scaling>
          <c:orientation val="minMax"/>
        </c:scaling>
        <c:delete val="0"/>
        <c:axPos val="b"/>
        <c:numFmt formatCode="General" sourceLinked="1"/>
        <c:majorTickMark val="out"/>
        <c:minorTickMark val="none"/>
        <c:tickLblPos val="low"/>
        <c:spPr>
          <a:solidFill>
            <a:sysClr val="window" lastClr="FFFFFF"/>
          </a:solidFill>
          <a:ln w="3175">
            <a:noFill/>
            <a:prstDash val="solid"/>
          </a:ln>
        </c:spPr>
        <c:txPr>
          <a:bodyPr rot="0" vert="horz"/>
          <a:lstStyle/>
          <a:p>
            <a:pPr>
              <a:defRPr/>
            </a:pPr>
            <a:endParaRPr lang="lv-LV"/>
          </a:p>
        </c:txPr>
        <c:crossAx val="355174264"/>
        <c:crosses val="autoZero"/>
        <c:auto val="1"/>
        <c:lblAlgn val="ctr"/>
        <c:lblOffset val="0"/>
        <c:noMultiLvlLbl val="1"/>
      </c:catAx>
      <c:valAx>
        <c:axId val="355174264"/>
        <c:scaling>
          <c:orientation val="minMax"/>
          <c:max val="40"/>
          <c:min val="-160"/>
        </c:scaling>
        <c:delete val="0"/>
        <c:axPos val="l"/>
        <c:numFmt formatCode="0" sourceLinked="0"/>
        <c:majorTickMark val="out"/>
        <c:minorTickMark val="none"/>
        <c:tickLblPos val="nextTo"/>
        <c:spPr>
          <a:ln w="3175">
            <a:solidFill>
              <a:sysClr val="window" lastClr="FFFFFF">
                <a:lumMod val="50000"/>
              </a:sysClr>
            </a:solidFill>
          </a:ln>
        </c:spPr>
        <c:txPr>
          <a:bodyPr rot="0" vert="horz"/>
          <a:lstStyle/>
          <a:p>
            <a:pPr>
              <a:defRPr/>
            </a:pPr>
            <a:endParaRPr lang="lv-LV"/>
          </a:p>
        </c:txPr>
        <c:crossAx val="357393696"/>
        <c:crosses val="autoZero"/>
        <c:crossBetween val="between"/>
        <c:majorUnit val="40"/>
      </c:valAx>
      <c:valAx>
        <c:axId val="355174656"/>
        <c:scaling>
          <c:orientation val="minMax"/>
          <c:max val="18"/>
          <c:min val="8"/>
        </c:scaling>
        <c:delete val="0"/>
        <c:axPos val="r"/>
        <c:numFmt formatCode="0" sourceLinked="0"/>
        <c:majorTickMark val="out"/>
        <c:minorTickMark val="none"/>
        <c:tickLblPos val="nextTo"/>
        <c:crossAx val="499327960"/>
        <c:crosses val="max"/>
        <c:crossBetween val="between"/>
        <c:majorUnit val="2"/>
      </c:valAx>
      <c:catAx>
        <c:axId val="499327960"/>
        <c:scaling>
          <c:orientation val="minMax"/>
        </c:scaling>
        <c:delete val="1"/>
        <c:axPos val="b"/>
        <c:numFmt formatCode="General" sourceLinked="1"/>
        <c:majorTickMark val="out"/>
        <c:minorTickMark val="none"/>
        <c:tickLblPos val="nextTo"/>
        <c:crossAx val="355174656"/>
        <c:crosses val="autoZero"/>
        <c:auto val="1"/>
        <c:lblAlgn val="ctr"/>
        <c:lblOffset val="100"/>
        <c:noMultiLvlLbl val="0"/>
      </c:catAx>
      <c:spPr>
        <a:noFill/>
        <a:ln w="25400">
          <a:noFill/>
        </a:ln>
      </c:spPr>
    </c:plotArea>
    <c:legend>
      <c:legendPos val="l"/>
      <c:layout>
        <c:manualLayout>
          <c:xMode val="edge"/>
          <c:yMode val="edge"/>
          <c:x val="0.1036994010694061"/>
          <c:y val="1.5966754155730533E-3"/>
          <c:w val="0.81984863447464595"/>
          <c:h val="0.23398162729658792"/>
        </c:manualLayout>
      </c:layout>
      <c:overlay val="1"/>
      <c:txPr>
        <a:bodyPr/>
        <a:lstStyle/>
        <a:p>
          <a:pPr>
            <a:defRPr>
              <a:latin typeface="Arial Narrow" pitchFamily="34" charset="0"/>
            </a:defRPr>
          </a:pPr>
          <a:endParaRPr lang="lv-LV"/>
        </a:p>
      </c:txPr>
    </c:legend>
    <c:plotVisOnly val="1"/>
    <c:dispBlanksAs val="gap"/>
    <c:showDLblsOverMax val="0"/>
  </c:chart>
  <c:spPr>
    <a:noFill/>
    <a:ln>
      <a:noFill/>
    </a:ln>
  </c:spPr>
  <c:txPr>
    <a:bodyPr/>
    <a:lstStyle/>
    <a:p>
      <a:pPr>
        <a:defRPr sz="800" b="0" i="0" u="none" strike="noStrike" baseline="0">
          <a:solidFill>
            <a:srgbClr val="000000"/>
          </a:solidFill>
          <a:latin typeface="Garamond" pitchFamily="18" charset="0"/>
          <a:ea typeface="Arial"/>
          <a:cs typeface="Arial"/>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1524742609264846"/>
          <c:y val="0.18269467531464137"/>
          <c:w val="0.59835722222220356"/>
          <c:h val="0.59933947302523549"/>
        </c:manualLayout>
      </c:layout>
      <c:pieChart>
        <c:varyColors val="1"/>
        <c:ser>
          <c:idx val="0"/>
          <c:order val="0"/>
          <c:spPr>
            <a:ln w="3175">
              <a:solidFill>
                <a:schemeClr val="tx1"/>
              </a:solidFill>
            </a:ln>
          </c:spPr>
          <c:dPt>
            <c:idx val="0"/>
            <c:bubble3D val="0"/>
            <c:spPr>
              <a:solidFill>
                <a:schemeClr val="accent4">
                  <a:lumMod val="75000"/>
                </a:schemeClr>
              </a:solidFill>
              <a:ln w="3175">
                <a:solidFill>
                  <a:schemeClr val="tx1"/>
                </a:solidFill>
              </a:ln>
            </c:spPr>
          </c:dPt>
          <c:dPt>
            <c:idx val="1"/>
            <c:bubble3D val="0"/>
            <c:spPr>
              <a:solidFill>
                <a:schemeClr val="bg1">
                  <a:lumMod val="65000"/>
                </a:schemeClr>
              </a:solidFill>
              <a:ln w="3175">
                <a:solidFill>
                  <a:schemeClr val="tx1"/>
                </a:solidFill>
              </a:ln>
            </c:spPr>
          </c:dPt>
          <c:dPt>
            <c:idx val="2"/>
            <c:bubble3D val="0"/>
            <c:spPr>
              <a:solidFill>
                <a:schemeClr val="accent3">
                  <a:lumMod val="75000"/>
                </a:schemeClr>
              </a:solidFill>
              <a:ln w="3175">
                <a:solidFill>
                  <a:schemeClr val="tx1"/>
                </a:solidFill>
              </a:ln>
            </c:spPr>
          </c:dPt>
          <c:dPt>
            <c:idx val="3"/>
            <c:bubble3D val="0"/>
            <c:spPr>
              <a:solidFill>
                <a:schemeClr val="bg1">
                  <a:lumMod val="75000"/>
                </a:schemeClr>
              </a:solidFill>
              <a:ln w="3175">
                <a:solidFill>
                  <a:schemeClr val="tx1"/>
                </a:solidFill>
              </a:ln>
            </c:spPr>
          </c:dPt>
          <c:dPt>
            <c:idx val="4"/>
            <c:bubble3D val="0"/>
            <c:spPr>
              <a:solidFill>
                <a:schemeClr val="accent6">
                  <a:lumMod val="75000"/>
                </a:schemeClr>
              </a:solidFill>
              <a:ln w="3175">
                <a:solidFill>
                  <a:schemeClr val="tx1"/>
                </a:solidFill>
              </a:ln>
            </c:spPr>
          </c:dPt>
          <c:dPt>
            <c:idx val="5"/>
            <c:bubble3D val="0"/>
            <c:spPr>
              <a:solidFill>
                <a:schemeClr val="bg1"/>
              </a:solidFill>
              <a:ln w="3175">
                <a:solidFill>
                  <a:schemeClr val="tx1"/>
                </a:solidFill>
              </a:ln>
            </c:spPr>
          </c:dPt>
          <c:dLbls>
            <c:dLbl>
              <c:idx val="0"/>
              <c:layout>
                <c:manualLayout>
                  <c:x val="-3.935687760388288E-2"/>
                  <c:y val="-0.1391439854779149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2.4376954221957611E-2"/>
                  <c:y val="2.707388981549794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9.7925428833361408E-4"/>
                  <c:y val="5.79486310906205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2.5419459954596133E-2"/>
                  <c:y val="-4.7845562180571066E-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4.2186427154530901E-2"/>
                  <c:y val="6.99750916003287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2.5376784281330229E-4"/>
                  <c:y val="-4.2834696453399865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Sheet1!$B$2:$B$7</c:f>
              <c:strCache>
                <c:ptCount val="6"/>
                <c:pt idx="0">
                  <c:v>Būvniecība</c:v>
                </c:pt>
                <c:pt idx="1">
                  <c:v>Mašīnbūve</c:v>
                </c:pt>
                <c:pt idx="2">
                  <c:v>Autobūve</c:v>
                </c:pt>
                <c:pt idx="3">
                  <c:v>Cauruļvadi</c:v>
                </c:pt>
                <c:pt idx="4">
                  <c:v>Metālizstrādājumi</c:v>
                </c:pt>
                <c:pt idx="5">
                  <c:v>Pārējās nozares</c:v>
                </c:pt>
              </c:strCache>
            </c:strRef>
          </c:cat>
          <c:val>
            <c:numRef>
              <c:f>Sheet1!$C$2:$C$7</c:f>
              <c:numCache>
                <c:formatCode>General</c:formatCode>
                <c:ptCount val="6"/>
                <c:pt idx="0">
                  <c:v>35</c:v>
                </c:pt>
                <c:pt idx="1">
                  <c:v>14</c:v>
                </c:pt>
                <c:pt idx="2">
                  <c:v>18</c:v>
                </c:pt>
                <c:pt idx="3">
                  <c:v>13</c:v>
                </c:pt>
                <c:pt idx="4">
                  <c:v>14</c:v>
                </c:pt>
                <c:pt idx="5">
                  <c:v>6</c:v>
                </c:pt>
              </c:numCache>
            </c:numRef>
          </c:val>
        </c:ser>
        <c:dLbls>
          <c:showLegendKey val="0"/>
          <c:showVal val="1"/>
          <c:showCatName val="0"/>
          <c:showSerName val="0"/>
          <c:showPercent val="0"/>
          <c:showBubbleSize val="0"/>
          <c:showLeaderLines val="0"/>
        </c:dLbls>
        <c:firstSliceAng val="9"/>
      </c:pieChart>
    </c:plotArea>
    <c:plotVisOnly val="1"/>
    <c:dispBlanksAs val="zero"/>
    <c:showDLblsOverMax val="0"/>
  </c:chart>
  <c:spPr>
    <a:noFill/>
    <a:ln>
      <a:noFill/>
    </a:ln>
  </c:spPr>
  <c:txPr>
    <a:bodyPr/>
    <a:lstStyle/>
    <a:p>
      <a:pPr>
        <a:defRPr sz="800">
          <a:latin typeface="Garamond"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4728997290229"/>
          <c:y val="2.2536324786326518E-2"/>
          <c:w val="0.85252777613324648"/>
          <c:h val="0.86198711524695781"/>
        </c:manualLayout>
      </c:layout>
      <c:barChart>
        <c:barDir val="col"/>
        <c:grouping val="clustered"/>
        <c:varyColors val="0"/>
        <c:ser>
          <c:idx val="1"/>
          <c:order val="0"/>
          <c:tx>
            <c:strRef>
              <c:f>Sheet1!$C$14</c:f>
              <c:strCache>
                <c:ptCount val="1"/>
                <c:pt idx="0">
                  <c:v>a</c:v>
                </c:pt>
              </c:strCache>
            </c:strRef>
          </c:tx>
          <c:spPr>
            <a:solidFill>
              <a:srgbClr val="EEECE1">
                <a:lumMod val="50000"/>
              </a:srgbClr>
            </a:solidFill>
            <a:ln w="9525">
              <a:solidFill>
                <a:sysClr val="windowText" lastClr="000000"/>
              </a:solidFill>
              <a:prstDash val="solid"/>
            </a:ln>
          </c:spPr>
          <c:invertIfNegative val="0"/>
          <c:cat>
            <c:strRef>
              <c:f>Sheet1!$B$15:$B$19</c:f>
              <c:strCache>
                <c:ptCount val="5"/>
                <c:pt idx="0">
                  <c:v>Būvniecība</c:v>
                </c:pt>
                <c:pt idx="1">
                  <c:v>Mašīnbūve</c:v>
                </c:pt>
                <c:pt idx="2">
                  <c:v>Autobūve</c:v>
                </c:pt>
                <c:pt idx="3">
                  <c:v>Cauruļvadi</c:v>
                </c:pt>
                <c:pt idx="4">
                  <c:v>Metālizstrādājumi</c:v>
                </c:pt>
              </c:strCache>
            </c:strRef>
          </c:cat>
          <c:val>
            <c:numRef>
              <c:f>Sheet1!$C$15:$C$19</c:f>
              <c:numCache>
                <c:formatCode>General</c:formatCode>
                <c:ptCount val="5"/>
                <c:pt idx="0">
                  <c:v>1.7</c:v>
                </c:pt>
                <c:pt idx="1">
                  <c:v>1.5</c:v>
                </c:pt>
                <c:pt idx="2">
                  <c:v>4.9000000000000004</c:v>
                </c:pt>
                <c:pt idx="3">
                  <c:v>3.9</c:v>
                </c:pt>
                <c:pt idx="4">
                  <c:v>2.5</c:v>
                </c:pt>
              </c:numCache>
            </c:numRef>
          </c:val>
        </c:ser>
        <c:dLbls>
          <c:showLegendKey val="0"/>
          <c:showVal val="0"/>
          <c:showCatName val="0"/>
          <c:showSerName val="0"/>
          <c:showPercent val="0"/>
          <c:showBubbleSize val="0"/>
        </c:dLbls>
        <c:gapWidth val="50"/>
        <c:axId val="499329136"/>
        <c:axId val="499329528"/>
      </c:barChart>
      <c:catAx>
        <c:axId val="499329136"/>
        <c:scaling>
          <c:orientation val="minMax"/>
        </c:scaling>
        <c:delete val="0"/>
        <c:axPos val="b"/>
        <c:numFmt formatCode="General" sourceLinked="1"/>
        <c:majorTickMark val="out"/>
        <c:minorTickMark val="none"/>
        <c:tickLblPos val="nextTo"/>
        <c:spPr>
          <a:solidFill>
            <a:sysClr val="window" lastClr="FFFFFF"/>
          </a:solidFill>
          <a:ln w="3175">
            <a:solidFill>
              <a:sysClr val="window" lastClr="FFFFFF">
                <a:lumMod val="50000"/>
              </a:sysClr>
            </a:solidFill>
            <a:prstDash val="solid"/>
          </a:ln>
        </c:spPr>
        <c:txPr>
          <a:bodyPr rot="-5400000" vert="horz"/>
          <a:lstStyle/>
          <a:p>
            <a:pPr>
              <a:defRPr lang="lv-LV" sz="800" b="0" i="0" u="none" strike="noStrike" baseline="0">
                <a:solidFill>
                  <a:srgbClr val="000000"/>
                </a:solidFill>
                <a:latin typeface="Garamond" pitchFamily="18" charset="0"/>
                <a:ea typeface="Times New Roman"/>
                <a:cs typeface="Arial" pitchFamily="34" charset="0"/>
              </a:defRPr>
            </a:pPr>
            <a:endParaRPr lang="lv-LV"/>
          </a:p>
        </c:txPr>
        <c:crossAx val="499329528"/>
        <c:crosses val="autoZero"/>
        <c:auto val="1"/>
        <c:lblAlgn val="ctr"/>
        <c:lblOffset val="0"/>
        <c:noMultiLvlLbl val="1"/>
      </c:catAx>
      <c:valAx>
        <c:axId val="499329528"/>
        <c:scaling>
          <c:orientation val="minMax"/>
          <c:max val="5"/>
        </c:scaling>
        <c:delete val="0"/>
        <c:axPos val="l"/>
        <c:numFmt formatCode="0" sourceLinked="0"/>
        <c:majorTickMark val="out"/>
        <c:minorTickMark val="none"/>
        <c:tickLblPos val="nextTo"/>
        <c:spPr>
          <a:ln w="3175">
            <a:solidFill>
              <a:sysClr val="window" lastClr="FFFFFF">
                <a:lumMod val="50000"/>
              </a:sysClr>
            </a:solidFill>
          </a:ln>
        </c:spPr>
        <c:txPr>
          <a:bodyPr rot="0" vert="horz"/>
          <a:lstStyle/>
          <a:p>
            <a:pPr>
              <a:defRPr lang="lv-LV" sz="800" b="0" i="0" u="none" strike="noStrike" baseline="0">
                <a:solidFill>
                  <a:srgbClr val="000000"/>
                </a:solidFill>
                <a:latin typeface="Garamond" pitchFamily="18" charset="0"/>
                <a:ea typeface="Times New Roman"/>
                <a:cs typeface="Arial" pitchFamily="34" charset="0"/>
              </a:defRPr>
            </a:pPr>
            <a:endParaRPr lang="lv-LV"/>
          </a:p>
        </c:txPr>
        <c:crossAx val="499329136"/>
        <c:crosses val="autoZero"/>
        <c:crossBetween val="between"/>
        <c:majorUnit val="1"/>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4728997290229"/>
          <c:y val="2.2536324786326518E-2"/>
          <c:w val="0.85252777613324648"/>
          <c:h val="0.86198711524695781"/>
        </c:manualLayout>
      </c:layout>
      <c:lineChart>
        <c:grouping val="standard"/>
        <c:varyColors val="0"/>
        <c:ser>
          <c:idx val="1"/>
          <c:order val="0"/>
          <c:spPr>
            <a:ln w="19050">
              <a:solidFill>
                <a:srgbClr val="C00000"/>
              </a:solidFill>
              <a:prstDash val="solid"/>
            </a:ln>
          </c:spPr>
          <c:marker>
            <c:symbol val="none"/>
          </c:marker>
          <c:cat>
            <c:multiLvlStrRef>
              <c:f>Sheet1!$D$3:$E$95</c:f>
              <c:multiLvlStrCache>
                <c:ptCount val="9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lvl>
                <c:lvl>
                  <c:pt idx="0">
                    <c:v>2008</c:v>
                  </c:pt>
                  <c:pt idx="12">
                    <c:v>2009</c:v>
                  </c:pt>
                  <c:pt idx="24">
                    <c:v>2010</c:v>
                  </c:pt>
                  <c:pt idx="36">
                    <c:v>2011</c:v>
                  </c:pt>
                  <c:pt idx="48">
                    <c:v>2012</c:v>
                  </c:pt>
                  <c:pt idx="60">
                    <c:v>2013</c:v>
                  </c:pt>
                  <c:pt idx="72">
                    <c:v>2014</c:v>
                  </c:pt>
                  <c:pt idx="84">
                    <c:v>2015</c:v>
                  </c:pt>
                </c:lvl>
              </c:multiLvlStrCache>
            </c:multiLvlStrRef>
          </c:cat>
          <c:val>
            <c:numRef>
              <c:f>Sheet1!$F$3:$F$95</c:f>
              <c:numCache>
                <c:formatCode>General</c:formatCode>
                <c:ptCount val="93"/>
                <c:pt idx="0">
                  <c:v>163.99999999999997</c:v>
                </c:pt>
                <c:pt idx="1">
                  <c:v>163.99999999999997</c:v>
                </c:pt>
                <c:pt idx="2">
                  <c:v>155.99999999999997</c:v>
                </c:pt>
                <c:pt idx="3">
                  <c:v>155.99999999999997</c:v>
                </c:pt>
                <c:pt idx="4">
                  <c:v>155.99999999999997</c:v>
                </c:pt>
                <c:pt idx="5">
                  <c:v>155.99999999999997</c:v>
                </c:pt>
                <c:pt idx="6">
                  <c:v>155.99999999999997</c:v>
                </c:pt>
                <c:pt idx="7">
                  <c:v>163.99999999999994</c:v>
                </c:pt>
                <c:pt idx="8">
                  <c:v>167.99999999999994</c:v>
                </c:pt>
                <c:pt idx="9">
                  <c:v>183.99999999999994</c:v>
                </c:pt>
                <c:pt idx="10">
                  <c:v>191.99999999999994</c:v>
                </c:pt>
                <c:pt idx="11">
                  <c:v>207.99999999999997</c:v>
                </c:pt>
                <c:pt idx="12">
                  <c:v>219.99999999999997</c:v>
                </c:pt>
                <c:pt idx="13">
                  <c:v>235.99999999999991</c:v>
                </c:pt>
                <c:pt idx="14">
                  <c:v>195.99999999999991</c:v>
                </c:pt>
                <c:pt idx="15">
                  <c:v>179.99999999999991</c:v>
                </c:pt>
                <c:pt idx="16">
                  <c:v>183.99999999999989</c:v>
                </c:pt>
                <c:pt idx="17">
                  <c:v>203.99999999999989</c:v>
                </c:pt>
                <c:pt idx="18">
                  <c:v>239.99999999999989</c:v>
                </c:pt>
                <c:pt idx="19">
                  <c:v>271.99999999999994</c:v>
                </c:pt>
                <c:pt idx="20">
                  <c:v>219.99999999999997</c:v>
                </c:pt>
                <c:pt idx="21">
                  <c:v>235.99999999999991</c:v>
                </c:pt>
                <c:pt idx="22">
                  <c:v>267.99999999999994</c:v>
                </c:pt>
                <c:pt idx="23">
                  <c:v>287.99999999999994</c:v>
                </c:pt>
                <c:pt idx="24">
                  <c:v>351.99999999999994</c:v>
                </c:pt>
                <c:pt idx="25">
                  <c:v>371.99999999999994</c:v>
                </c:pt>
                <c:pt idx="26">
                  <c:v>411.99999999999989</c:v>
                </c:pt>
                <c:pt idx="27">
                  <c:v>515.99999999999989</c:v>
                </c:pt>
                <c:pt idx="28">
                  <c:v>511.99999999999989</c:v>
                </c:pt>
                <c:pt idx="29">
                  <c:v>471.99999999999983</c:v>
                </c:pt>
                <c:pt idx="30">
                  <c:v>395.99999999999989</c:v>
                </c:pt>
                <c:pt idx="31">
                  <c:v>451.99999999999977</c:v>
                </c:pt>
                <c:pt idx="32">
                  <c:v>431.99999999999983</c:v>
                </c:pt>
                <c:pt idx="33">
                  <c:v>427.99999999999977</c:v>
                </c:pt>
                <c:pt idx="34">
                  <c:v>467.99999999999966</c:v>
                </c:pt>
                <c:pt idx="35">
                  <c:v>507.99999999999972</c:v>
                </c:pt>
                <c:pt idx="36">
                  <c:v>535.99999999999977</c:v>
                </c:pt>
                <c:pt idx="37">
                  <c:v>547.99999999999977</c:v>
                </c:pt>
                <c:pt idx="38">
                  <c:v>483.99999999999977</c:v>
                </c:pt>
                <c:pt idx="39">
                  <c:v>495.99999999999972</c:v>
                </c:pt>
                <c:pt idx="40">
                  <c:v>491.99999999999972</c:v>
                </c:pt>
                <c:pt idx="41">
                  <c:v>475.99999999999972</c:v>
                </c:pt>
                <c:pt idx="42">
                  <c:v>483.99999999999966</c:v>
                </c:pt>
                <c:pt idx="43">
                  <c:v>495.9999999999996</c:v>
                </c:pt>
                <c:pt idx="44">
                  <c:v>515.99999999999955</c:v>
                </c:pt>
                <c:pt idx="45">
                  <c:v>439.99999999999966</c:v>
                </c:pt>
                <c:pt idx="46">
                  <c:v>399.99999999999966</c:v>
                </c:pt>
                <c:pt idx="47">
                  <c:v>415.99999999999966</c:v>
                </c:pt>
                <c:pt idx="48">
                  <c:v>435.99999999999966</c:v>
                </c:pt>
                <c:pt idx="49">
                  <c:v>423.99999999999966</c:v>
                </c:pt>
                <c:pt idx="50">
                  <c:v>439.99999999999966</c:v>
                </c:pt>
                <c:pt idx="51">
                  <c:v>447.99999999999972</c:v>
                </c:pt>
                <c:pt idx="52">
                  <c:v>423.99999999999972</c:v>
                </c:pt>
                <c:pt idx="53">
                  <c:v>427.99999999999977</c:v>
                </c:pt>
                <c:pt idx="54">
                  <c:v>415.99999999999977</c:v>
                </c:pt>
                <c:pt idx="55">
                  <c:v>347.99999999999977</c:v>
                </c:pt>
                <c:pt idx="56">
                  <c:v>307.99999999999983</c:v>
                </c:pt>
                <c:pt idx="57">
                  <c:v>351.99999999999977</c:v>
                </c:pt>
                <c:pt idx="58">
                  <c:v>375.99999999999972</c:v>
                </c:pt>
                <c:pt idx="59">
                  <c:v>391.99999999999972</c:v>
                </c:pt>
                <c:pt idx="60">
                  <c:v>451.9999999999996</c:v>
                </c:pt>
                <c:pt idx="61">
                  <c:v>463.9999999999996</c:v>
                </c:pt>
                <c:pt idx="62">
                  <c:v>431.99999999999966</c:v>
                </c:pt>
                <c:pt idx="63">
                  <c:v>419.99999999999966</c:v>
                </c:pt>
                <c:pt idx="64">
                  <c:v>383.9999999999996</c:v>
                </c:pt>
                <c:pt idx="65">
                  <c:v>347.99999999999966</c:v>
                </c:pt>
                <c:pt idx="66">
                  <c:v>387.99999999999966</c:v>
                </c:pt>
                <c:pt idx="67">
                  <c:v>411.99999999999966</c:v>
                </c:pt>
                <c:pt idx="68">
                  <c:v>399.99999999999966</c:v>
                </c:pt>
                <c:pt idx="69">
                  <c:v>387.99999999999966</c:v>
                </c:pt>
                <c:pt idx="70">
                  <c:v>403.99999999999966</c:v>
                </c:pt>
                <c:pt idx="71">
                  <c:v>395.9999999999996</c:v>
                </c:pt>
                <c:pt idx="72">
                  <c:v>375.9999999999996</c:v>
                </c:pt>
                <c:pt idx="73" formatCode="0">
                  <c:v>356.19044645644669</c:v>
                </c:pt>
                <c:pt idx="74" formatCode="0">
                  <c:v>328.19294411489187</c:v>
                </c:pt>
                <c:pt idx="75" formatCode="0">
                  <c:v>336.263502965969</c:v>
                </c:pt>
                <c:pt idx="76" formatCode="0">
                  <c:v>295.11832656884138</c:v>
                </c:pt>
                <c:pt idx="77" formatCode="0">
                  <c:v>272.16859194505122</c:v>
                </c:pt>
                <c:pt idx="78" formatCode="0">
                  <c:v>281.64783015922546</c:v>
                </c:pt>
                <c:pt idx="79" formatCode="0">
                  <c:v>271.84576959100815</c:v>
                </c:pt>
                <c:pt idx="80" formatCode="0">
                  <c:v>241.44177333749585</c:v>
                </c:pt>
                <c:pt idx="81" formatCode="0">
                  <c:v>235.04402123009655</c:v>
                </c:pt>
                <c:pt idx="82" formatCode="0">
                  <c:v>214.61817046518863</c:v>
                </c:pt>
                <c:pt idx="83" formatCode="0">
                  <c:v>201.91070871058358</c:v>
                </c:pt>
                <c:pt idx="84" formatCode="0">
                  <c:v>197.77271308148588</c:v>
                </c:pt>
                <c:pt idx="85" formatCode="0">
                  <c:v>183.9793943178268</c:v>
                </c:pt>
                <c:pt idx="86" formatCode="0">
                  <c:v>167.10458944739287</c:v>
                </c:pt>
                <c:pt idx="87" formatCode="0">
                  <c:v>150.11239463003415</c:v>
                </c:pt>
                <c:pt idx="88" formatCode="0">
                  <c:v>176.75991258195418</c:v>
                </c:pt>
                <c:pt idx="89" formatCode="0">
                  <c:v>182.80549484857923</c:v>
                </c:pt>
                <c:pt idx="90" formatCode="0">
                  <c:v>151.13955666562578</c:v>
                </c:pt>
                <c:pt idx="91" formatCode="0">
                  <c:v>162.52638151732728</c:v>
                </c:pt>
                <c:pt idx="92" formatCode="0">
                  <c:v>165.60786762410217</c:v>
                </c:pt>
              </c:numCache>
            </c:numRef>
          </c:val>
          <c:smooth val="0"/>
        </c:ser>
        <c:dLbls>
          <c:showLegendKey val="0"/>
          <c:showVal val="0"/>
          <c:showCatName val="0"/>
          <c:showSerName val="0"/>
          <c:showPercent val="0"/>
          <c:showBubbleSize val="0"/>
        </c:dLbls>
        <c:smooth val="0"/>
        <c:axId val="499331488"/>
        <c:axId val="499331880"/>
      </c:lineChart>
      <c:catAx>
        <c:axId val="499331488"/>
        <c:scaling>
          <c:orientation val="minMax"/>
        </c:scaling>
        <c:delete val="0"/>
        <c:axPos val="b"/>
        <c:numFmt formatCode="General" sourceLinked="1"/>
        <c:majorTickMark val="out"/>
        <c:minorTickMark val="none"/>
        <c:tickLblPos val="nextTo"/>
        <c:spPr>
          <a:solidFill>
            <a:sysClr val="window" lastClr="FFFFFF"/>
          </a:solidFill>
          <a:ln w="3175">
            <a:solidFill>
              <a:sysClr val="window" lastClr="FFFFFF">
                <a:lumMod val="50000"/>
              </a:sysClr>
            </a:solidFill>
            <a:prstDash val="solid"/>
          </a:ln>
        </c:spPr>
        <c:txPr>
          <a:bodyPr rot="0" vert="horz"/>
          <a:lstStyle/>
          <a:p>
            <a:pPr>
              <a:defRPr/>
            </a:pPr>
            <a:endParaRPr lang="lv-LV"/>
          </a:p>
        </c:txPr>
        <c:crossAx val="499331880"/>
        <c:crosses val="autoZero"/>
        <c:auto val="1"/>
        <c:lblAlgn val="ctr"/>
        <c:lblOffset val="0"/>
        <c:tickLblSkip val="6"/>
        <c:tickMarkSkip val="1"/>
        <c:noMultiLvlLbl val="1"/>
      </c:catAx>
      <c:valAx>
        <c:axId val="499331880"/>
        <c:scaling>
          <c:orientation val="minMax"/>
          <c:min val="100"/>
        </c:scaling>
        <c:delete val="0"/>
        <c:axPos val="l"/>
        <c:numFmt formatCode="0" sourceLinked="0"/>
        <c:majorTickMark val="out"/>
        <c:minorTickMark val="none"/>
        <c:tickLblPos val="nextTo"/>
        <c:spPr>
          <a:ln w="3175">
            <a:solidFill>
              <a:sysClr val="window" lastClr="FFFFFF">
                <a:lumMod val="50000"/>
              </a:sysClr>
            </a:solidFill>
          </a:ln>
        </c:spPr>
        <c:txPr>
          <a:bodyPr rot="0" vert="horz"/>
          <a:lstStyle/>
          <a:p>
            <a:pPr>
              <a:defRPr/>
            </a:pPr>
            <a:endParaRPr lang="lv-LV"/>
          </a:p>
        </c:txPr>
        <c:crossAx val="499331488"/>
        <c:crosses val="autoZero"/>
        <c:crossBetween val="between"/>
        <c:majorUnit val="100"/>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Garamond" panose="02020404030301010803" pitchFamily="18" charset="0"/>
          <a:ea typeface="Arial"/>
          <a:cs typeface="Arial"/>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4728997290229"/>
          <c:y val="2.2536324786326518E-2"/>
          <c:w val="0.85252777613324648"/>
          <c:h val="0.86198711524695781"/>
        </c:manualLayout>
      </c:layout>
      <c:lineChart>
        <c:grouping val="standard"/>
        <c:varyColors val="0"/>
        <c:ser>
          <c:idx val="1"/>
          <c:order val="0"/>
          <c:spPr>
            <a:ln w="19050">
              <a:solidFill>
                <a:srgbClr val="C00000"/>
              </a:solidFill>
              <a:prstDash val="solid"/>
            </a:ln>
          </c:spPr>
          <c:marker>
            <c:symbol val="none"/>
          </c:marker>
          <c:cat>
            <c:multiLvlStrRef>
              <c:f>Sheet1!$D$3:$E$95</c:f>
              <c:multiLvlStrCache>
                <c:ptCount val="9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lvl>
                <c:lvl>
                  <c:pt idx="0">
                    <c:v>2008</c:v>
                  </c:pt>
                  <c:pt idx="12">
                    <c:v>2009</c:v>
                  </c:pt>
                  <c:pt idx="24">
                    <c:v>2010</c:v>
                  </c:pt>
                  <c:pt idx="36">
                    <c:v>2011</c:v>
                  </c:pt>
                  <c:pt idx="48">
                    <c:v>2012</c:v>
                  </c:pt>
                  <c:pt idx="60">
                    <c:v>2013</c:v>
                  </c:pt>
                  <c:pt idx="72">
                    <c:v>2014</c:v>
                  </c:pt>
                  <c:pt idx="84">
                    <c:v>2015</c:v>
                  </c:pt>
                </c:lvl>
              </c:multiLvlStrCache>
            </c:multiLvlStrRef>
          </c:cat>
          <c:val>
            <c:numRef>
              <c:f>Sheet1!$F$3:$F$95</c:f>
              <c:numCache>
                <c:formatCode>General</c:formatCode>
                <c:ptCount val="93"/>
                <c:pt idx="0">
                  <c:v>99.805738194859543</c:v>
                </c:pt>
                <c:pt idx="1">
                  <c:v>143.32038254632397</c:v>
                </c:pt>
                <c:pt idx="2">
                  <c:v>121.96652719665273</c:v>
                </c:pt>
                <c:pt idx="3">
                  <c:v>125.04482964734014</c:v>
                </c:pt>
                <c:pt idx="4">
                  <c:v>137.08906156604903</c:v>
                </c:pt>
                <c:pt idx="5">
                  <c:v>164.46503287507477</c:v>
                </c:pt>
                <c:pt idx="6">
                  <c:v>182.75552898983864</c:v>
                </c:pt>
                <c:pt idx="7">
                  <c:v>169.42618051404665</c:v>
                </c:pt>
                <c:pt idx="8">
                  <c:v>167.16975493126125</c:v>
                </c:pt>
                <c:pt idx="9">
                  <c:v>129.96114763897194</c:v>
                </c:pt>
                <c:pt idx="10">
                  <c:v>116.01912731619848</c:v>
                </c:pt>
                <c:pt idx="11">
                  <c:v>93.843395098625237</c:v>
                </c:pt>
                <c:pt idx="12">
                  <c:v>96.7872086072923</c:v>
                </c:pt>
                <c:pt idx="13">
                  <c:v>94.396294082486577</c:v>
                </c:pt>
                <c:pt idx="14">
                  <c:v>74.910340705319825</c:v>
                </c:pt>
                <c:pt idx="15">
                  <c:v>77.166766288105237</c:v>
                </c:pt>
                <c:pt idx="16">
                  <c:v>75.672444710101644</c:v>
                </c:pt>
                <c:pt idx="17">
                  <c:v>81.545128511655733</c:v>
                </c:pt>
                <c:pt idx="18">
                  <c:v>83.876270173341325</c:v>
                </c:pt>
                <c:pt idx="19">
                  <c:v>81.365809922295313</c:v>
                </c:pt>
                <c:pt idx="20">
                  <c:v>74.372384937238536</c:v>
                </c:pt>
                <c:pt idx="21">
                  <c:v>76.808129109384382</c:v>
                </c:pt>
                <c:pt idx="22">
                  <c:v>84.593544530783078</c:v>
                </c:pt>
                <c:pt idx="23">
                  <c:v>91.078900179318651</c:v>
                </c:pt>
                <c:pt idx="24">
                  <c:v>108.83144052600126</c:v>
                </c:pt>
                <c:pt idx="25">
                  <c:v>110.20621637776456</c:v>
                </c:pt>
                <c:pt idx="26">
                  <c:v>111.37178720860737</c:v>
                </c:pt>
                <c:pt idx="27">
                  <c:v>119.62044231918718</c:v>
                </c:pt>
                <c:pt idx="28">
                  <c:v>127.51046025104611</c:v>
                </c:pt>
                <c:pt idx="29">
                  <c:v>128.78063359234918</c:v>
                </c:pt>
                <c:pt idx="30">
                  <c:v>120.38254632396901</c:v>
                </c:pt>
                <c:pt idx="31">
                  <c:v>111.5062761506277</c:v>
                </c:pt>
                <c:pt idx="32">
                  <c:v>116.24327555289908</c:v>
                </c:pt>
                <c:pt idx="33">
                  <c:v>112.28332337118958</c:v>
                </c:pt>
                <c:pt idx="34">
                  <c:v>124.94022713687995</c:v>
                </c:pt>
                <c:pt idx="35">
                  <c:v>143.27555289898396</c:v>
                </c:pt>
                <c:pt idx="36">
                  <c:v>158.80155409444123</c:v>
                </c:pt>
                <c:pt idx="37">
                  <c:v>150.59772863120153</c:v>
                </c:pt>
                <c:pt idx="38">
                  <c:v>144.26180514046632</c:v>
                </c:pt>
                <c:pt idx="39">
                  <c:v>135.83383144052607</c:v>
                </c:pt>
                <c:pt idx="40">
                  <c:v>132.91990436341908</c:v>
                </c:pt>
                <c:pt idx="41">
                  <c:v>133.65212193664084</c:v>
                </c:pt>
                <c:pt idx="42">
                  <c:v>135.66945606694571</c:v>
                </c:pt>
                <c:pt idx="43">
                  <c:v>134.10041841004195</c:v>
                </c:pt>
                <c:pt idx="44">
                  <c:v>143.33532576210413</c:v>
                </c:pt>
                <c:pt idx="45">
                  <c:v>139.46503287507483</c:v>
                </c:pt>
                <c:pt idx="46">
                  <c:v>134.14524805738205</c:v>
                </c:pt>
                <c:pt idx="47">
                  <c:v>135.56485355648547</c:v>
                </c:pt>
                <c:pt idx="48">
                  <c:v>144.39629408248666</c:v>
                </c:pt>
                <c:pt idx="49">
                  <c:v>141.72145845786028</c:v>
                </c:pt>
                <c:pt idx="50">
                  <c:v>130.33472803347294</c:v>
                </c:pt>
                <c:pt idx="51">
                  <c:v>126.01613867304258</c:v>
                </c:pt>
                <c:pt idx="52">
                  <c:v>119.91930663478794</c:v>
                </c:pt>
                <c:pt idx="53">
                  <c:v>111.4465032875076</c:v>
                </c:pt>
                <c:pt idx="54">
                  <c:v>115.09264793783635</c:v>
                </c:pt>
                <c:pt idx="55">
                  <c:v>117.51344889420216</c:v>
                </c:pt>
                <c:pt idx="56">
                  <c:v>110.66945606694573</c:v>
                </c:pt>
                <c:pt idx="57">
                  <c:v>101.00119545726251</c:v>
                </c:pt>
                <c:pt idx="58">
                  <c:v>107.27734608487758</c:v>
                </c:pt>
                <c:pt idx="59">
                  <c:v>113.43395098625234</c:v>
                </c:pt>
                <c:pt idx="60">
                  <c:v>111.80514046622842</c:v>
                </c:pt>
                <c:pt idx="61">
                  <c:v>113.7925881649732</c:v>
                </c:pt>
                <c:pt idx="62">
                  <c:v>112.37298266586978</c:v>
                </c:pt>
                <c:pt idx="63">
                  <c:v>107.87507471607898</c:v>
                </c:pt>
                <c:pt idx="64">
                  <c:v>108.17393903167971</c:v>
                </c:pt>
                <c:pt idx="65">
                  <c:v>100.47818290496122</c:v>
                </c:pt>
                <c:pt idx="66">
                  <c:v>94.545726240286982</c:v>
                </c:pt>
                <c:pt idx="67">
                  <c:v>92.58816497310228</c:v>
                </c:pt>
                <c:pt idx="68">
                  <c:v>93.066347878063439</c:v>
                </c:pt>
                <c:pt idx="69">
                  <c:v>93.230723251643838</c:v>
                </c:pt>
                <c:pt idx="70">
                  <c:v>97.683801554094529</c:v>
                </c:pt>
                <c:pt idx="71">
                  <c:v>98.565451285116637</c:v>
                </c:pt>
                <c:pt idx="72">
                  <c:v>95.995218170950466</c:v>
                </c:pt>
                <c:pt idx="73">
                  <c:v>89.737524397226565</c:v>
                </c:pt>
                <c:pt idx="74">
                  <c:v>86.268346796355075</c:v>
                </c:pt>
                <c:pt idx="75">
                  <c:v>85.653555829112022</c:v>
                </c:pt>
                <c:pt idx="76">
                  <c:v>86.674547971140669</c:v>
                </c:pt>
                <c:pt idx="77">
                  <c:v>84.083643180616392</c:v>
                </c:pt>
                <c:pt idx="78">
                  <c:v>80.866969012719721</c:v>
                </c:pt>
                <c:pt idx="79">
                  <c:v>81.086537215306535</c:v>
                </c:pt>
                <c:pt idx="80">
                  <c:v>77.562467563788346</c:v>
                </c:pt>
                <c:pt idx="81">
                  <c:v>74.938627542876048</c:v>
                </c:pt>
                <c:pt idx="82">
                  <c:v>73.577304686837849</c:v>
                </c:pt>
                <c:pt idx="83">
                  <c:v>73.445563765285769</c:v>
                </c:pt>
                <c:pt idx="84">
                  <c:v>73.05034100062953</c:v>
                </c:pt>
                <c:pt idx="85">
                  <c:v>72.226960240929017</c:v>
                </c:pt>
                <c:pt idx="86">
                  <c:v>70.711939643080058</c:v>
                </c:pt>
                <c:pt idx="87">
                  <c:v>68.000272341133041</c:v>
                </c:pt>
                <c:pt idx="88">
                  <c:v>71.041291946960271</c:v>
                </c:pt>
                <c:pt idx="89">
                  <c:v>69.207897455360467</c:v>
                </c:pt>
                <c:pt idx="90">
                  <c:v>69.548228169370006</c:v>
                </c:pt>
                <c:pt idx="91">
                  <c:v>68.900501971738919</c:v>
                </c:pt>
                <c:pt idx="92">
                  <c:v>63.707713980561017</c:v>
                </c:pt>
              </c:numCache>
            </c:numRef>
          </c:val>
          <c:smooth val="0"/>
        </c:ser>
        <c:dLbls>
          <c:showLegendKey val="0"/>
          <c:showVal val="0"/>
          <c:showCatName val="0"/>
          <c:showSerName val="0"/>
          <c:showPercent val="0"/>
          <c:showBubbleSize val="0"/>
        </c:dLbls>
        <c:smooth val="0"/>
        <c:axId val="499333840"/>
        <c:axId val="499334232"/>
      </c:lineChart>
      <c:catAx>
        <c:axId val="499333840"/>
        <c:scaling>
          <c:orientation val="minMax"/>
        </c:scaling>
        <c:delete val="0"/>
        <c:axPos val="b"/>
        <c:numFmt formatCode="General" sourceLinked="1"/>
        <c:majorTickMark val="out"/>
        <c:minorTickMark val="none"/>
        <c:tickLblPos val="nextTo"/>
        <c:spPr>
          <a:solidFill>
            <a:sysClr val="window" lastClr="FFFFFF"/>
          </a:solidFill>
          <a:ln w="3175">
            <a:solidFill>
              <a:sysClr val="window" lastClr="FFFFFF">
                <a:lumMod val="50000"/>
              </a:sysClr>
            </a:solidFill>
            <a:prstDash val="solid"/>
          </a:ln>
        </c:spPr>
        <c:txPr>
          <a:bodyPr rot="0" vert="horz"/>
          <a:lstStyle/>
          <a:p>
            <a:pPr>
              <a:defRPr/>
            </a:pPr>
            <a:endParaRPr lang="lv-LV"/>
          </a:p>
        </c:txPr>
        <c:crossAx val="499334232"/>
        <c:crosses val="autoZero"/>
        <c:auto val="1"/>
        <c:lblAlgn val="ctr"/>
        <c:lblOffset val="0"/>
        <c:tickLblSkip val="6"/>
        <c:noMultiLvlLbl val="1"/>
      </c:catAx>
      <c:valAx>
        <c:axId val="499334232"/>
        <c:scaling>
          <c:orientation val="minMax"/>
          <c:min val="50"/>
        </c:scaling>
        <c:delete val="0"/>
        <c:axPos val="l"/>
        <c:numFmt formatCode="0" sourceLinked="0"/>
        <c:majorTickMark val="out"/>
        <c:minorTickMark val="none"/>
        <c:tickLblPos val="nextTo"/>
        <c:spPr>
          <a:ln w="3175">
            <a:solidFill>
              <a:sysClr val="window" lastClr="FFFFFF">
                <a:lumMod val="50000"/>
              </a:sysClr>
            </a:solidFill>
          </a:ln>
        </c:spPr>
        <c:txPr>
          <a:bodyPr rot="0" vert="horz"/>
          <a:lstStyle/>
          <a:p>
            <a:pPr>
              <a:defRPr/>
            </a:pPr>
            <a:endParaRPr lang="lv-LV"/>
          </a:p>
        </c:txPr>
        <c:crossAx val="499333840"/>
        <c:crosses val="autoZero"/>
        <c:crossBetween val="between"/>
        <c:majorUnit val="30"/>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Garamond" panose="02020404030301010803" pitchFamily="18" charset="0"/>
          <a:ea typeface="Arial"/>
          <a:cs typeface="Arial"/>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4728997290229"/>
          <c:y val="2.2536324786326518E-2"/>
          <c:w val="0.85252777613324648"/>
          <c:h val="0.86198711524695781"/>
        </c:manualLayout>
      </c:layout>
      <c:lineChart>
        <c:grouping val="standard"/>
        <c:varyColors val="0"/>
        <c:ser>
          <c:idx val="1"/>
          <c:order val="0"/>
          <c:tx>
            <c:strRef>
              <c:f>Sheet1!$A$2</c:f>
              <c:strCache>
                <c:ptCount val="1"/>
                <c:pt idx="0">
                  <c:v>eksports</c:v>
                </c:pt>
              </c:strCache>
            </c:strRef>
          </c:tx>
          <c:spPr>
            <a:ln w="25400">
              <a:solidFill>
                <a:srgbClr val="C00000"/>
              </a:solidFill>
              <a:prstDash val="solid"/>
            </a:ln>
          </c:spPr>
          <c:marker>
            <c:symbol val="none"/>
          </c:marker>
          <c:cat>
            <c:numRef>
              <c:f>Sheet1!$B$1:$K$1</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Sheet1!$B$2:$K$2</c:f>
              <c:numCache>
                <c:formatCode>0.0</c:formatCode>
                <c:ptCount val="10"/>
                <c:pt idx="0">
                  <c:v>539.76526100000001</c:v>
                </c:pt>
                <c:pt idx="1">
                  <c:v>694.49322199999995</c:v>
                </c:pt>
                <c:pt idx="2">
                  <c:v>839.07564000000002</c:v>
                </c:pt>
                <c:pt idx="3">
                  <c:v>1051.3382489999999</c:v>
                </c:pt>
                <c:pt idx="4">
                  <c:v>637.164041</c:v>
                </c:pt>
                <c:pt idx="5">
                  <c:v>924.847443</c:v>
                </c:pt>
                <c:pt idx="6">
                  <c:v>1235.067914</c:v>
                </c:pt>
                <c:pt idx="7">
                  <c:v>1381.037102</c:v>
                </c:pt>
                <c:pt idx="8">
                  <c:v>1051.7204810000001</c:v>
                </c:pt>
                <c:pt idx="9">
                  <c:v>925.168813</c:v>
                </c:pt>
              </c:numCache>
            </c:numRef>
          </c:val>
          <c:smooth val="0"/>
        </c:ser>
        <c:ser>
          <c:idx val="0"/>
          <c:order val="1"/>
          <c:tx>
            <c:strRef>
              <c:f>Sheet1!$A$3</c:f>
              <c:strCache>
                <c:ptCount val="1"/>
                <c:pt idx="0">
                  <c:v>imports</c:v>
                </c:pt>
              </c:strCache>
            </c:strRef>
          </c:tx>
          <c:spPr>
            <a:ln w="25400">
              <a:solidFill>
                <a:srgbClr val="4F81BD">
                  <a:shade val="95000"/>
                  <a:satMod val="105000"/>
                </a:srgbClr>
              </a:solidFill>
              <a:prstDash val="sysDash"/>
            </a:ln>
          </c:spPr>
          <c:marker>
            <c:symbol val="none"/>
          </c:marker>
          <c:cat>
            <c:numRef>
              <c:f>Sheet1!$B$1:$K$1</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Sheet1!$B$3:$K$3</c:f>
              <c:numCache>
                <c:formatCode>0.0</c:formatCode>
                <c:ptCount val="10"/>
                <c:pt idx="0">
                  <c:v>636.83074399999998</c:v>
                </c:pt>
                <c:pt idx="1">
                  <c:v>863.23461899999995</c:v>
                </c:pt>
                <c:pt idx="2">
                  <c:v>1064.079389</c:v>
                </c:pt>
                <c:pt idx="3">
                  <c:v>1102.9692190000001</c:v>
                </c:pt>
                <c:pt idx="4">
                  <c:v>540.19251699999995</c:v>
                </c:pt>
                <c:pt idx="5">
                  <c:v>971.82485099999997</c:v>
                </c:pt>
                <c:pt idx="6">
                  <c:v>1200.4296280000001</c:v>
                </c:pt>
                <c:pt idx="7">
                  <c:v>1303.6491109999999</c:v>
                </c:pt>
                <c:pt idx="8">
                  <c:v>1093.505539</c:v>
                </c:pt>
                <c:pt idx="9">
                  <c:v>1044.4071100000001</c:v>
                </c:pt>
              </c:numCache>
            </c:numRef>
          </c:val>
          <c:smooth val="0"/>
        </c:ser>
        <c:dLbls>
          <c:showLegendKey val="0"/>
          <c:showVal val="0"/>
          <c:showCatName val="0"/>
          <c:showSerName val="0"/>
          <c:showPercent val="0"/>
          <c:showBubbleSize val="0"/>
        </c:dLbls>
        <c:smooth val="0"/>
        <c:axId val="499335016"/>
        <c:axId val="499335408"/>
      </c:lineChart>
      <c:catAx>
        <c:axId val="499335016"/>
        <c:scaling>
          <c:orientation val="minMax"/>
        </c:scaling>
        <c:delete val="0"/>
        <c:axPos val="b"/>
        <c:numFmt formatCode="0" sourceLinked="1"/>
        <c:majorTickMark val="out"/>
        <c:minorTickMark val="none"/>
        <c:tickLblPos val="nextTo"/>
        <c:spPr>
          <a:solidFill>
            <a:sysClr val="window" lastClr="FFFFFF"/>
          </a:solidFill>
          <a:ln w="3175">
            <a:solidFill>
              <a:sysClr val="window" lastClr="FFFFFF">
                <a:lumMod val="50000"/>
              </a:sysClr>
            </a:solidFill>
            <a:prstDash val="solid"/>
          </a:ln>
        </c:spPr>
        <c:txPr>
          <a:bodyPr rot="0" vert="horz"/>
          <a:lstStyle/>
          <a:p>
            <a:pPr>
              <a:defRPr/>
            </a:pPr>
            <a:endParaRPr lang="lv-LV"/>
          </a:p>
        </c:txPr>
        <c:crossAx val="499335408"/>
        <c:crosses val="autoZero"/>
        <c:auto val="1"/>
        <c:lblAlgn val="ctr"/>
        <c:lblOffset val="0"/>
        <c:tickLblSkip val="1"/>
        <c:noMultiLvlLbl val="1"/>
      </c:catAx>
      <c:valAx>
        <c:axId val="499335408"/>
        <c:scaling>
          <c:orientation val="minMax"/>
          <c:max val="1400"/>
          <c:min val="400"/>
        </c:scaling>
        <c:delete val="0"/>
        <c:axPos val="l"/>
        <c:numFmt formatCode="0" sourceLinked="0"/>
        <c:majorTickMark val="out"/>
        <c:minorTickMark val="none"/>
        <c:tickLblPos val="nextTo"/>
        <c:spPr>
          <a:ln w="3175">
            <a:solidFill>
              <a:sysClr val="window" lastClr="FFFFFF">
                <a:lumMod val="50000"/>
              </a:sysClr>
            </a:solidFill>
          </a:ln>
        </c:spPr>
        <c:txPr>
          <a:bodyPr rot="0" vert="horz"/>
          <a:lstStyle/>
          <a:p>
            <a:pPr>
              <a:defRPr/>
            </a:pPr>
            <a:endParaRPr lang="lv-LV"/>
          </a:p>
        </c:txPr>
        <c:crossAx val="499335016"/>
        <c:crosses val="autoZero"/>
        <c:crossBetween val="between"/>
        <c:majorUnit val="200"/>
      </c:valAx>
      <c:spPr>
        <a:noFill/>
        <a:ln w="25400">
          <a:noFill/>
        </a:ln>
      </c:spPr>
    </c:plotArea>
    <c:legend>
      <c:legendPos val="r"/>
      <c:layout>
        <c:manualLayout>
          <c:xMode val="edge"/>
          <c:yMode val="edge"/>
          <c:x val="0.64789042148380849"/>
          <c:y val="0.54347803249881821"/>
          <c:w val="0.22860501407067615"/>
          <c:h val="0.18002266766096284"/>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Garamond" panose="02020404030301010803" pitchFamily="18" charset="0"/>
          <a:ea typeface="Arial"/>
          <a:cs typeface="Arial"/>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B5CA-B6B1-4781-9734-68A79E1C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8287</Words>
  <Characters>4724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Salmiņš</dc:creator>
  <cp:lastModifiedBy>Māra Rone</cp:lastModifiedBy>
  <cp:revision>4</cp:revision>
  <cp:lastPrinted>2015-11-03T07:22:00Z</cp:lastPrinted>
  <dcterms:created xsi:type="dcterms:W3CDTF">2015-11-03T07:12:00Z</dcterms:created>
  <dcterms:modified xsi:type="dcterms:W3CDTF">2015-11-03T07:22:00Z</dcterms:modified>
</cp:coreProperties>
</file>