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FB" w:rsidRPr="005E34A9" w:rsidRDefault="00F74912" w:rsidP="00F42203">
      <w:pPr>
        <w:pStyle w:val="ListParagraph"/>
        <w:tabs>
          <w:tab w:val="left" w:pos="9072"/>
        </w:tabs>
        <w:ind w:left="0"/>
        <w:jc w:val="center"/>
        <w:rPr>
          <w:b/>
          <w:sz w:val="28"/>
          <w:szCs w:val="28"/>
        </w:rPr>
      </w:pPr>
      <w:r w:rsidRPr="005E34A9">
        <w:rPr>
          <w:b/>
          <w:sz w:val="28"/>
          <w:szCs w:val="28"/>
        </w:rPr>
        <w:t>Mini</w:t>
      </w:r>
      <w:r w:rsidR="00A31820" w:rsidRPr="005E34A9">
        <w:rPr>
          <w:b/>
          <w:sz w:val="28"/>
          <w:szCs w:val="28"/>
        </w:rPr>
        <w:t>stru kabineta noteikumu projekta</w:t>
      </w:r>
      <w:r w:rsidR="007756FB" w:rsidRPr="005E34A9">
        <w:rPr>
          <w:b/>
          <w:sz w:val="28"/>
          <w:szCs w:val="28"/>
        </w:rPr>
        <w:t xml:space="preserve"> </w:t>
      </w:r>
      <w:r w:rsidR="00F42203" w:rsidRPr="005E34A9">
        <w:rPr>
          <w:b/>
          <w:sz w:val="28"/>
          <w:szCs w:val="28"/>
        </w:rPr>
        <w:t>„</w:t>
      </w:r>
      <w:r w:rsidR="00A60DD7" w:rsidRPr="005E34A9">
        <w:rPr>
          <w:b/>
          <w:sz w:val="28"/>
          <w:szCs w:val="28"/>
        </w:rPr>
        <w:t>Grozījum</w:t>
      </w:r>
      <w:r w:rsidR="007D75D3" w:rsidRPr="005E34A9">
        <w:rPr>
          <w:b/>
          <w:sz w:val="28"/>
          <w:szCs w:val="28"/>
        </w:rPr>
        <w:t>s</w:t>
      </w:r>
      <w:r w:rsidR="00A60DD7" w:rsidRPr="005E34A9">
        <w:rPr>
          <w:b/>
          <w:sz w:val="28"/>
          <w:szCs w:val="28"/>
        </w:rPr>
        <w:t xml:space="preserve"> Ministru kabineta 2013.gada 17.decembra noteikumos Nr.1502 „Noteikumi par dabasgāzes apriti un akcīzes nodokļa piemērošanas kārtību”</w:t>
      </w:r>
      <w:r w:rsidR="00F42203" w:rsidRPr="005E34A9">
        <w:rPr>
          <w:b/>
          <w:sz w:val="28"/>
          <w:szCs w:val="28"/>
        </w:rPr>
        <w:t>”</w:t>
      </w:r>
      <w:r w:rsidR="007756FB" w:rsidRPr="005E34A9">
        <w:rPr>
          <w:b/>
          <w:sz w:val="28"/>
          <w:szCs w:val="28"/>
        </w:rPr>
        <w:t xml:space="preserve"> sākotnējās ietekmes novērtējuma ziņojums (anotācija)</w:t>
      </w:r>
    </w:p>
    <w:p w:rsidR="008961E6" w:rsidRPr="005E34A9" w:rsidRDefault="008961E6" w:rsidP="00032C63">
      <w:pPr>
        <w:spacing w:line="270" w:lineRule="atLeast"/>
        <w:jc w:val="both"/>
        <w:rPr>
          <w:rStyle w:val="apple-style-span"/>
          <w:color w:val="000000"/>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415"/>
      </w:tblGrid>
      <w:tr w:rsidR="00032C63" w:rsidRPr="005E34A9" w:rsidTr="00A60DD7">
        <w:trPr>
          <w:trHeight w:val="427"/>
        </w:trPr>
        <w:tc>
          <w:tcPr>
            <w:tcW w:w="9209" w:type="dxa"/>
            <w:gridSpan w:val="3"/>
            <w:hideMark/>
          </w:tcPr>
          <w:p w:rsidR="00032C63" w:rsidRPr="005E34A9" w:rsidRDefault="000A08DD" w:rsidP="000A08DD">
            <w:pPr>
              <w:ind w:left="1080"/>
              <w:jc w:val="center"/>
              <w:rPr>
                <w:b/>
                <w:bCs/>
              </w:rPr>
            </w:pPr>
            <w:r w:rsidRPr="005E34A9">
              <w:rPr>
                <w:b/>
                <w:bCs/>
              </w:rPr>
              <w:t xml:space="preserve">I. </w:t>
            </w:r>
            <w:r w:rsidR="00032C63" w:rsidRPr="005E34A9">
              <w:rPr>
                <w:b/>
                <w:bCs/>
              </w:rPr>
              <w:t>Tiesību akta projekta izstrādes nepieciešamība</w:t>
            </w:r>
          </w:p>
        </w:tc>
      </w:tr>
      <w:tr w:rsidR="009F107E" w:rsidRPr="005E34A9" w:rsidTr="00A60DD7">
        <w:tc>
          <w:tcPr>
            <w:tcW w:w="496" w:type="dxa"/>
            <w:hideMark/>
          </w:tcPr>
          <w:p w:rsidR="00032C63" w:rsidRPr="005E34A9" w:rsidRDefault="00032C63" w:rsidP="00032C63">
            <w:r w:rsidRPr="005E34A9">
              <w:t>1.</w:t>
            </w:r>
          </w:p>
        </w:tc>
        <w:tc>
          <w:tcPr>
            <w:tcW w:w="3298" w:type="dxa"/>
            <w:hideMark/>
          </w:tcPr>
          <w:p w:rsidR="00032C63" w:rsidRPr="005E34A9" w:rsidRDefault="00032C63" w:rsidP="00032C63">
            <w:r w:rsidRPr="005E34A9">
              <w:t>Pamatojums</w:t>
            </w:r>
          </w:p>
        </w:tc>
        <w:tc>
          <w:tcPr>
            <w:tcW w:w="5415" w:type="dxa"/>
            <w:hideMark/>
          </w:tcPr>
          <w:p w:rsidR="00032C63" w:rsidRPr="00DB49A6" w:rsidRDefault="00F021A9" w:rsidP="00286829">
            <w:pPr>
              <w:jc w:val="both"/>
              <w:rPr>
                <w:highlight w:val="yellow"/>
              </w:rPr>
            </w:pPr>
            <w:r w:rsidRPr="001A2B87">
              <w:t xml:space="preserve">Valsts kontroles </w:t>
            </w:r>
            <w:r w:rsidR="00286829" w:rsidRPr="001A2B87">
              <w:t xml:space="preserve">2014.gada 15.septembra </w:t>
            </w:r>
            <w:r w:rsidRPr="001A2B87">
              <w:t>revīzijas</w:t>
            </w:r>
            <w:r w:rsidR="00286829" w:rsidRPr="001A2B87">
              <w:t xml:space="preserve"> ziņojuma</w:t>
            </w:r>
            <w:r w:rsidRPr="001A2B87">
              <w:t xml:space="preserve"> Nr.5.1-2-32-1/2013 </w:t>
            </w:r>
            <w:r w:rsidR="00286829" w:rsidRPr="001A2B87">
              <w:t>341</w:t>
            </w:r>
            <w:r w:rsidRPr="001A2B87">
              <w:t>.2.ieteikums</w:t>
            </w:r>
            <w:r w:rsidR="007D75D3" w:rsidRPr="001A2B87">
              <w:t>.</w:t>
            </w:r>
          </w:p>
        </w:tc>
      </w:tr>
      <w:tr w:rsidR="009F107E" w:rsidRPr="005E34A9" w:rsidTr="00A60DD7">
        <w:tc>
          <w:tcPr>
            <w:tcW w:w="496" w:type="dxa"/>
            <w:hideMark/>
          </w:tcPr>
          <w:p w:rsidR="00032C63" w:rsidRPr="005E34A9" w:rsidRDefault="00032C63" w:rsidP="00032C63">
            <w:r w:rsidRPr="005E34A9">
              <w:t>2.</w:t>
            </w:r>
          </w:p>
        </w:tc>
        <w:tc>
          <w:tcPr>
            <w:tcW w:w="3298" w:type="dxa"/>
            <w:hideMark/>
          </w:tcPr>
          <w:p w:rsidR="00032C63" w:rsidRPr="005E34A9" w:rsidRDefault="003169F1" w:rsidP="003169F1">
            <w:pPr>
              <w:jc w:val="both"/>
            </w:pPr>
            <w:r w:rsidRPr="005E34A9">
              <w:rPr>
                <w:color w:val="000000"/>
              </w:rPr>
              <w:t>Pašreizējā situācija un problēmas, kuru risināšanai tiesību akta projekts izstrādāts, tiesiskā regulējuma mērķis un būtība</w:t>
            </w:r>
          </w:p>
        </w:tc>
        <w:tc>
          <w:tcPr>
            <w:tcW w:w="5415" w:type="dxa"/>
          </w:tcPr>
          <w:p w:rsidR="00F021A9" w:rsidRPr="005E34A9" w:rsidRDefault="00A31820" w:rsidP="00F021A9">
            <w:pPr>
              <w:ind w:left="-21" w:hanging="21"/>
              <w:jc w:val="both"/>
            </w:pPr>
            <w:r w:rsidRPr="005E34A9">
              <w:rPr>
                <w:color w:val="000000"/>
                <w:kern w:val="1"/>
                <w:lang w:eastAsia="ar-SA"/>
              </w:rPr>
              <w:t xml:space="preserve">Šobrīd </w:t>
            </w:r>
            <w:r w:rsidR="00FC5093" w:rsidRPr="005E34A9">
              <w:rPr>
                <w:color w:val="000000"/>
                <w:kern w:val="1"/>
                <w:lang w:eastAsia="ar-SA"/>
              </w:rPr>
              <w:t>atbilstoši likuma “Par akcīzes nodokli” (turpmāk – likums) 6.</w:t>
            </w:r>
            <w:r w:rsidR="00FC5093" w:rsidRPr="005E34A9">
              <w:rPr>
                <w:color w:val="000000"/>
                <w:kern w:val="1"/>
                <w:vertAlign w:val="superscript"/>
                <w:lang w:eastAsia="ar-SA"/>
              </w:rPr>
              <w:t>1</w:t>
            </w:r>
            <w:r w:rsidR="00FC5093" w:rsidRPr="005E34A9">
              <w:rPr>
                <w:color w:val="000000"/>
                <w:kern w:val="1"/>
                <w:lang w:eastAsia="ar-SA"/>
              </w:rPr>
              <w:t xml:space="preserve"> panta pirmajai daļai ar akcīzes nodokli apliekama galalietotājiem piegādātā dabasgāze, kas atbilst Kombinētās nomenklatūras kodiem 2711 11 00 un 2711 21 00, izņemot šajā likumā noteiktos gadījumus.</w:t>
            </w:r>
          </w:p>
          <w:p w:rsidR="001568DB" w:rsidRPr="005E34A9" w:rsidRDefault="00FC5093" w:rsidP="005938F2">
            <w:pPr>
              <w:pStyle w:val="NormalWeb"/>
              <w:tabs>
                <w:tab w:val="left" w:pos="0"/>
              </w:tabs>
              <w:spacing w:before="0" w:beforeAutospacing="0" w:after="0" w:afterAutospacing="0"/>
              <w:jc w:val="both"/>
            </w:pPr>
            <w:r w:rsidRPr="005E34A9">
              <w:t>Savukārt likuma 6.</w:t>
            </w:r>
            <w:r w:rsidRPr="005E34A9">
              <w:rPr>
                <w:vertAlign w:val="superscript"/>
              </w:rPr>
              <w:t>1</w:t>
            </w:r>
            <w:r w:rsidRPr="005E34A9">
              <w:t xml:space="preserve"> panta otrajā daļā ir </w:t>
            </w:r>
            <w:r w:rsidR="005938F2" w:rsidRPr="005E34A9">
              <w:t>minēti gadījumi</w:t>
            </w:r>
            <w:r w:rsidRPr="005E34A9">
              <w:t>, kuros Ministru kabineta noteiktajā kārtībā ar nodokli neapliek dabasgāzi.</w:t>
            </w:r>
          </w:p>
          <w:p w:rsidR="00814379" w:rsidRPr="005E34A9" w:rsidRDefault="00814379" w:rsidP="005938F2">
            <w:pPr>
              <w:pStyle w:val="NormalWeb"/>
              <w:tabs>
                <w:tab w:val="left" w:pos="0"/>
              </w:tabs>
              <w:spacing w:before="0" w:beforeAutospacing="0" w:after="0" w:afterAutospacing="0"/>
              <w:jc w:val="both"/>
            </w:pPr>
            <w:r w:rsidRPr="005E34A9">
              <w:t>Likuma 15.</w:t>
            </w:r>
            <w:r w:rsidRPr="005E34A9">
              <w:rPr>
                <w:vertAlign w:val="superscript"/>
              </w:rPr>
              <w:t>1</w:t>
            </w:r>
            <w:r w:rsidRPr="005E34A9">
              <w:t xml:space="preserve"> panta pirmās daļas 3.punktā ir noteikta samazinātā akcīzes nodokļa likme (5,65 </w:t>
            </w:r>
            <w:proofErr w:type="spellStart"/>
            <w:r w:rsidRPr="005E34A9">
              <w:t>euro</w:t>
            </w:r>
            <w:proofErr w:type="spellEnd"/>
            <w:r w:rsidRPr="005E34A9">
              <w:t xml:space="preserve"> par 1000 m</w:t>
            </w:r>
            <w:r w:rsidRPr="005E34A9">
              <w:rPr>
                <w:vertAlign w:val="superscript"/>
              </w:rPr>
              <w:t>3</w:t>
            </w:r>
            <w:r w:rsidRPr="005E34A9">
              <w:t>) dabasgāzei, ja to</w:t>
            </w:r>
            <w:r w:rsidRPr="005E34A9">
              <w:rPr>
                <w:rFonts w:ascii="Arial" w:hAnsi="Arial" w:cs="Arial"/>
              </w:rPr>
              <w:t xml:space="preserve"> </w:t>
            </w:r>
            <w:r w:rsidRPr="005E34A9">
              <w:t>izmanto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w:t>
            </w:r>
          </w:p>
          <w:p w:rsidR="005938F2" w:rsidRPr="005E34A9" w:rsidRDefault="005938F2" w:rsidP="005B4925">
            <w:pPr>
              <w:pStyle w:val="NormalWeb"/>
              <w:tabs>
                <w:tab w:val="left" w:pos="0"/>
              </w:tabs>
              <w:spacing w:before="0" w:beforeAutospacing="0" w:after="0" w:afterAutospacing="0"/>
              <w:jc w:val="both"/>
            </w:pPr>
            <w:r w:rsidRPr="005E34A9">
              <w:t>Ņemot vērā likuma 6.</w:t>
            </w:r>
            <w:r w:rsidRPr="005E34A9">
              <w:rPr>
                <w:vertAlign w:val="superscript"/>
              </w:rPr>
              <w:t>1</w:t>
            </w:r>
            <w:r w:rsidRPr="005E34A9">
              <w:t xml:space="preserve"> panta otrajā daļā </w:t>
            </w:r>
            <w:r w:rsidR="00814379" w:rsidRPr="005E34A9">
              <w:t>un 15.</w:t>
            </w:r>
            <w:r w:rsidR="00814379" w:rsidRPr="005E34A9">
              <w:rPr>
                <w:vertAlign w:val="superscript"/>
              </w:rPr>
              <w:t>1</w:t>
            </w:r>
            <w:r w:rsidR="00814379" w:rsidRPr="005E34A9">
              <w:t xml:space="preserve"> panta ceturtajā daļā </w:t>
            </w:r>
            <w:r w:rsidRPr="005E34A9">
              <w:t>noteikto deleģējumu ir pieņemti Ministru kabineta 2013.gada 17.decembra noteikumi Nr.1502 “Noteikumi par dabasgāzes apriti un akcīzes nodokļa piemērošanas kārtību”</w:t>
            </w:r>
            <w:r w:rsidR="005B4925" w:rsidRPr="005E34A9">
              <w:t xml:space="preserve"> (turpmāk – MK noteikumi Nr.1502)</w:t>
            </w:r>
            <w:r w:rsidRPr="005E34A9">
              <w:t>.</w:t>
            </w:r>
          </w:p>
          <w:p w:rsidR="00E45360" w:rsidRPr="005E34A9" w:rsidRDefault="00E45360" w:rsidP="00E45360">
            <w:pPr>
              <w:pStyle w:val="NormalWeb"/>
              <w:tabs>
                <w:tab w:val="left" w:pos="0"/>
              </w:tabs>
              <w:spacing w:before="0" w:beforeAutospacing="0" w:after="0" w:afterAutospacing="0"/>
              <w:jc w:val="both"/>
            </w:pPr>
            <w:r w:rsidRPr="005E34A9">
              <w:t>Šobrīd praksē persona, kas izmanto dabasgāzi ar akcīzes nodokļa atbrīvojumu vai ar samazināto akcīzes nodokļa likmi, ne visos gadījumos ir tiešais dabasgāzes galalietotājs likuma un MK noteikumu Nr.1502 izpratnē.</w:t>
            </w:r>
          </w:p>
          <w:p w:rsidR="00286829" w:rsidRDefault="0003353A" w:rsidP="00A24912">
            <w:pPr>
              <w:pStyle w:val="NormalWeb"/>
              <w:tabs>
                <w:tab w:val="left" w:pos="0"/>
              </w:tabs>
              <w:spacing w:before="0" w:beforeAutospacing="0" w:after="0" w:afterAutospacing="0"/>
              <w:jc w:val="both"/>
            </w:pPr>
            <w:r w:rsidRPr="005E34A9">
              <w:t>Tādējādi</w:t>
            </w:r>
            <w:r w:rsidR="00E45360" w:rsidRPr="005E34A9">
              <w:t xml:space="preserve"> </w:t>
            </w:r>
            <w:r w:rsidR="00286829">
              <w:t>Ministru kabinetā noteikumu projektā ir ietverts jauns termins – starpnieks, t.i., persona</w:t>
            </w:r>
            <w:r w:rsidR="00286829" w:rsidRPr="00286829">
              <w:t>, kas ieved vai saņem dabasgāzi un saskaņā ar līgumu veic dabasgāzes pārveidi attiecīgajā enerģijas veidā izmantošanai šo noteikumu 3.4., 3.5.apakšpunktā un 4.punktā noteiktajiem mērķiem</w:t>
            </w:r>
            <w:r w:rsidR="00286829">
              <w:t>.</w:t>
            </w:r>
          </w:p>
          <w:p w:rsidR="00286829" w:rsidRDefault="00286829" w:rsidP="00A24912">
            <w:pPr>
              <w:pStyle w:val="NormalWeb"/>
              <w:tabs>
                <w:tab w:val="left" w:pos="0"/>
              </w:tabs>
              <w:spacing w:before="0" w:beforeAutospacing="0" w:after="0" w:afterAutospacing="0"/>
              <w:jc w:val="both"/>
            </w:pPr>
            <w:r>
              <w:t xml:space="preserve">Šajā gadījumā uz starpnieku attieksies tie paši nosacījumi, kas uz dabasgāzes galalietotāju, kā arī starpniekam tiek paredzēts noteikt atbildību par dabasgāzes piegādātajam paziņoto un faktiski izlietoto dabasgāzi </w:t>
            </w:r>
            <w:r w:rsidR="00DB49A6" w:rsidRPr="00DB49A6">
              <w:t xml:space="preserve">atbilstoši MK noteikumu Nr.1502 3.4., 3.5.apakšpunktā un 4.punktā </w:t>
            </w:r>
            <w:proofErr w:type="spellStart"/>
            <w:r w:rsidR="00DB49A6" w:rsidRPr="00DB49A6">
              <w:t>noteikajiem</w:t>
            </w:r>
            <w:proofErr w:type="spellEnd"/>
            <w:r w:rsidR="00DB49A6" w:rsidRPr="00DB49A6">
              <w:t xml:space="preserve"> mērķiem. </w:t>
            </w:r>
          </w:p>
          <w:p w:rsidR="001640DA" w:rsidRPr="00E368BA" w:rsidRDefault="001640DA" w:rsidP="00A24912">
            <w:pPr>
              <w:pStyle w:val="NormalWeb"/>
              <w:tabs>
                <w:tab w:val="left" w:pos="0"/>
              </w:tabs>
              <w:spacing w:before="0" w:beforeAutospacing="0" w:after="0" w:afterAutospacing="0"/>
              <w:jc w:val="both"/>
            </w:pPr>
            <w:r w:rsidRPr="00E368BA">
              <w:lastRenderedPageBreak/>
              <w:t>Tādējādi uz starpnieku šo noteikumu izpratnē attieksies noteikumu 6., 8., 9., 10., 11., 12., 13., 14., 15., 17. un 18.punkts</w:t>
            </w:r>
            <w:r w:rsidR="00E87921" w:rsidRPr="00E368BA">
              <w:t>, kā arī 20.</w:t>
            </w:r>
            <w:r w:rsidR="00E87921" w:rsidRPr="00E368BA">
              <w:rPr>
                <w:vertAlign w:val="superscript"/>
              </w:rPr>
              <w:t>1</w:t>
            </w:r>
            <w:r w:rsidR="00E87921" w:rsidRPr="00E368BA">
              <w:t xml:space="preserve"> punkts, ar kuru tiek papildināti MK noteikumi Nr.1502</w:t>
            </w:r>
            <w:r w:rsidRPr="00E368BA">
              <w:t>.</w:t>
            </w:r>
          </w:p>
          <w:p w:rsidR="002C07EF" w:rsidRPr="005E34A9" w:rsidRDefault="00996626" w:rsidP="00A24912">
            <w:pPr>
              <w:pStyle w:val="NormalWeb"/>
              <w:tabs>
                <w:tab w:val="left" w:pos="0"/>
              </w:tabs>
              <w:spacing w:before="0" w:beforeAutospacing="0" w:after="0" w:afterAutospacing="0"/>
              <w:jc w:val="both"/>
            </w:pPr>
            <w:r>
              <w:t>Līdz ar to</w:t>
            </w:r>
            <w:r w:rsidR="005E34A9" w:rsidRPr="005E34A9">
              <w:t xml:space="preserve"> Ministru kabineta noteikumu projekts nodrošinās skaidrus akcīzes nodokļa atbrīvojumu un atvieglojumu piemērošanas nosacījumus gan gadījumos, kad persona saņem dabasgāzi kā galalietotājs, gan gadījumos, kad persona nesaņem dabasgāzi tieši, bet saņem dabasgāzes pārveides procesā iegūto atbilstošo enerģiju</w:t>
            </w:r>
            <w:r w:rsidR="00DB49A6">
              <w:t xml:space="preserve"> no starpnieka izmantošanai </w:t>
            </w:r>
            <w:r w:rsidR="00DB49A6" w:rsidRPr="00DB49A6">
              <w:t xml:space="preserve">MK noteikumu Nr.1502 3.4., 3.5.apakšpunktā un 4.punktā </w:t>
            </w:r>
            <w:proofErr w:type="spellStart"/>
            <w:r w:rsidR="00DB49A6" w:rsidRPr="00DB49A6">
              <w:t>noteikajiem</w:t>
            </w:r>
            <w:proofErr w:type="spellEnd"/>
            <w:r w:rsidR="00DB49A6" w:rsidRPr="00DB49A6">
              <w:t xml:space="preserve"> mērķiem</w:t>
            </w:r>
            <w:r w:rsidR="005E34A9" w:rsidRPr="005E34A9">
              <w:t>.</w:t>
            </w:r>
          </w:p>
        </w:tc>
      </w:tr>
      <w:tr w:rsidR="009F107E" w:rsidRPr="005E34A9" w:rsidTr="00A60DD7">
        <w:tc>
          <w:tcPr>
            <w:tcW w:w="496" w:type="dxa"/>
            <w:hideMark/>
          </w:tcPr>
          <w:p w:rsidR="00032C63" w:rsidRPr="005E34A9" w:rsidRDefault="00431C1A" w:rsidP="00032C63">
            <w:r w:rsidRPr="005E34A9">
              <w:lastRenderedPageBreak/>
              <w:t>3.</w:t>
            </w:r>
          </w:p>
        </w:tc>
        <w:tc>
          <w:tcPr>
            <w:tcW w:w="3298" w:type="dxa"/>
            <w:hideMark/>
          </w:tcPr>
          <w:p w:rsidR="00032C63" w:rsidRPr="005E34A9" w:rsidRDefault="00431C1A" w:rsidP="00032C63">
            <w:r w:rsidRPr="005E34A9">
              <w:rPr>
                <w:color w:val="000000"/>
              </w:rPr>
              <w:t>Projekta izstrādē iesaistītās institūcijas</w:t>
            </w:r>
          </w:p>
        </w:tc>
        <w:tc>
          <w:tcPr>
            <w:tcW w:w="5415" w:type="dxa"/>
          </w:tcPr>
          <w:p w:rsidR="00032C63" w:rsidRPr="005E34A9" w:rsidRDefault="00F74912" w:rsidP="00461717">
            <w:pPr>
              <w:jc w:val="both"/>
            </w:pPr>
            <w:r w:rsidRPr="005E34A9">
              <w:t>Finanšu ministrij</w:t>
            </w:r>
            <w:r w:rsidR="00461717" w:rsidRPr="005E34A9">
              <w:t>a</w:t>
            </w:r>
            <w:r w:rsidRPr="005E34A9">
              <w:t xml:space="preserve"> un Valsts ieņēmumu dienests.</w:t>
            </w:r>
          </w:p>
        </w:tc>
      </w:tr>
      <w:tr w:rsidR="009F107E" w:rsidRPr="005E34A9" w:rsidTr="00A60DD7">
        <w:tc>
          <w:tcPr>
            <w:tcW w:w="496" w:type="dxa"/>
            <w:hideMark/>
          </w:tcPr>
          <w:p w:rsidR="00032C63" w:rsidRPr="005E34A9" w:rsidRDefault="00431C1A" w:rsidP="00032C63">
            <w:r w:rsidRPr="005E34A9">
              <w:t>4.</w:t>
            </w:r>
          </w:p>
        </w:tc>
        <w:tc>
          <w:tcPr>
            <w:tcW w:w="3298" w:type="dxa"/>
            <w:hideMark/>
          </w:tcPr>
          <w:p w:rsidR="00032C63" w:rsidRPr="005E34A9" w:rsidRDefault="00032C63" w:rsidP="00032C63">
            <w:r w:rsidRPr="005E34A9">
              <w:t>Cita informācija</w:t>
            </w:r>
          </w:p>
        </w:tc>
        <w:tc>
          <w:tcPr>
            <w:tcW w:w="5415" w:type="dxa"/>
          </w:tcPr>
          <w:p w:rsidR="00032C63" w:rsidRPr="005E34A9" w:rsidRDefault="00F74912" w:rsidP="0060078A">
            <w:pPr>
              <w:jc w:val="both"/>
            </w:pPr>
            <w:r w:rsidRPr="005E34A9">
              <w:t>Nav</w:t>
            </w:r>
          </w:p>
        </w:tc>
      </w:tr>
    </w:tbl>
    <w:p w:rsidR="00032C63" w:rsidRPr="005E34A9" w:rsidRDefault="00032C63" w:rsidP="00032C63">
      <w:pPr>
        <w:spacing w:line="270" w:lineRule="atLeast"/>
        <w:jc w:val="both"/>
        <w:rPr>
          <w:rStyle w:val="apple-style-span"/>
          <w:color w:val="000000"/>
        </w:rPr>
      </w:pPr>
    </w:p>
    <w:tbl>
      <w:tblPr>
        <w:tblW w:w="5067"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1"/>
        <w:gridCol w:w="3373"/>
        <w:gridCol w:w="5342"/>
      </w:tblGrid>
      <w:tr w:rsidR="00032C63" w:rsidRPr="005E34A9" w:rsidTr="005938F2">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32C63" w:rsidRPr="005E34A9" w:rsidRDefault="00032C63" w:rsidP="00032C63">
            <w:pPr>
              <w:pStyle w:val="NormalWeb"/>
              <w:jc w:val="center"/>
              <w:rPr>
                <w:b/>
                <w:bCs/>
              </w:rPr>
            </w:pPr>
            <w:r w:rsidRPr="005E34A9">
              <w:rPr>
                <w:b/>
                <w:bCs/>
              </w:rPr>
              <w:t>II. Tiesību akta projekta ietekme uz sabiedrību</w:t>
            </w:r>
            <w:r w:rsidR="00431C1A" w:rsidRPr="005E34A9">
              <w:rPr>
                <w:b/>
                <w:bCs/>
              </w:rPr>
              <w:t>, tautsaimniecības attīstību un administratīvo slogu</w:t>
            </w:r>
          </w:p>
        </w:tc>
      </w:tr>
      <w:tr w:rsidR="00032C63" w:rsidRPr="005E34A9" w:rsidTr="005938F2">
        <w:tc>
          <w:tcPr>
            <w:tcW w:w="251" w:type="pct"/>
            <w:tcBorders>
              <w:top w:val="outset" w:sz="6" w:space="0" w:color="000000"/>
              <w:left w:val="outset" w:sz="6" w:space="0" w:color="000000"/>
              <w:bottom w:val="outset" w:sz="6" w:space="0" w:color="000000"/>
              <w:right w:val="outset" w:sz="6" w:space="0" w:color="000000"/>
            </w:tcBorders>
          </w:tcPr>
          <w:p w:rsidR="00032C63" w:rsidRPr="005E34A9" w:rsidRDefault="00032C63" w:rsidP="00032C63">
            <w:pPr>
              <w:pStyle w:val="NormalWeb"/>
            </w:pPr>
            <w:r w:rsidRPr="005E34A9">
              <w:t>1.</w:t>
            </w:r>
          </w:p>
        </w:tc>
        <w:tc>
          <w:tcPr>
            <w:tcW w:w="1838" w:type="pct"/>
            <w:tcBorders>
              <w:top w:val="outset" w:sz="6" w:space="0" w:color="000000"/>
              <w:left w:val="outset" w:sz="6" w:space="0" w:color="000000"/>
              <w:bottom w:val="outset" w:sz="6" w:space="0" w:color="000000"/>
              <w:right w:val="outset" w:sz="6" w:space="0" w:color="000000"/>
            </w:tcBorders>
          </w:tcPr>
          <w:p w:rsidR="00032C63" w:rsidRPr="005E34A9" w:rsidRDefault="00032C63" w:rsidP="00431C1A">
            <w:pPr>
              <w:pStyle w:val="NormalWeb"/>
            </w:pPr>
            <w:r w:rsidRPr="005E34A9">
              <w:t xml:space="preserve">Sabiedrības </w:t>
            </w:r>
            <w:proofErr w:type="spellStart"/>
            <w:r w:rsidRPr="005E34A9">
              <w:t>mērķgrupa</w:t>
            </w:r>
            <w:r w:rsidR="00431C1A" w:rsidRPr="005E34A9">
              <w:t>s</w:t>
            </w:r>
            <w:proofErr w:type="spellEnd"/>
            <w:r w:rsidR="00431C1A" w:rsidRPr="005E34A9">
              <w:t>, kuras tiesiskais regulējums ietekmē vai varētu ietekmēt</w:t>
            </w:r>
          </w:p>
        </w:tc>
        <w:tc>
          <w:tcPr>
            <w:tcW w:w="2911" w:type="pct"/>
            <w:tcBorders>
              <w:top w:val="outset" w:sz="6" w:space="0" w:color="000000"/>
              <w:left w:val="outset" w:sz="6" w:space="0" w:color="000000"/>
              <w:bottom w:val="outset" w:sz="6" w:space="0" w:color="000000"/>
              <w:right w:val="outset" w:sz="6" w:space="0" w:color="000000"/>
            </w:tcBorders>
          </w:tcPr>
          <w:p w:rsidR="004E4573" w:rsidRPr="005E34A9" w:rsidRDefault="00F021A9" w:rsidP="007D75D3">
            <w:pPr>
              <w:suppressAutoHyphens/>
              <w:ind w:right="112"/>
              <w:jc w:val="both"/>
              <w:rPr>
                <w:kern w:val="1"/>
              </w:rPr>
            </w:pPr>
            <w:r w:rsidRPr="005E34A9">
              <w:rPr>
                <w:kern w:val="1"/>
              </w:rPr>
              <w:t xml:space="preserve">Izstrādātais Ministru kabineta noteikumu projekts ir attiecināms uz personām, kas </w:t>
            </w:r>
            <w:r w:rsidR="00814379" w:rsidRPr="005E34A9">
              <w:rPr>
                <w:kern w:val="1"/>
              </w:rPr>
              <w:t>kā galalietotāji saņem</w:t>
            </w:r>
            <w:r w:rsidRPr="005E34A9">
              <w:rPr>
                <w:kern w:val="1"/>
              </w:rPr>
              <w:t xml:space="preserve"> dabasgāzi, </w:t>
            </w:r>
            <w:r w:rsidR="00814379" w:rsidRPr="005E34A9">
              <w:rPr>
                <w:kern w:val="1"/>
              </w:rPr>
              <w:t xml:space="preserve">to </w:t>
            </w:r>
            <w:r w:rsidR="007D75D3" w:rsidRPr="005E34A9">
              <w:rPr>
                <w:kern w:val="1"/>
              </w:rPr>
              <w:t>saskaņā ar līgumu pārveido</w:t>
            </w:r>
            <w:r w:rsidR="00814379" w:rsidRPr="005E34A9">
              <w:rPr>
                <w:kern w:val="1"/>
              </w:rPr>
              <w:t xml:space="preserve"> </w:t>
            </w:r>
            <w:r w:rsidR="005B4925" w:rsidRPr="005E34A9">
              <w:rPr>
                <w:kern w:val="1"/>
              </w:rPr>
              <w:t xml:space="preserve">un iegūto </w:t>
            </w:r>
            <w:r w:rsidR="007D75D3" w:rsidRPr="005E34A9">
              <w:rPr>
                <w:kern w:val="1"/>
              </w:rPr>
              <w:t>attiecīgo enerģijas veidu</w:t>
            </w:r>
            <w:r w:rsidR="00CE3984">
              <w:rPr>
                <w:kern w:val="1"/>
              </w:rPr>
              <w:t xml:space="preserve"> kā starpnieki</w:t>
            </w:r>
            <w:r w:rsidR="005B4925" w:rsidRPr="005E34A9">
              <w:rPr>
                <w:kern w:val="1"/>
              </w:rPr>
              <w:t xml:space="preserve"> piegādā personām</w:t>
            </w:r>
            <w:r w:rsidR="007D75D3" w:rsidRPr="005E34A9">
              <w:rPr>
                <w:kern w:val="1"/>
              </w:rPr>
              <w:t xml:space="preserve"> izmantošanai</w:t>
            </w:r>
            <w:r w:rsidR="005B4925" w:rsidRPr="005E34A9">
              <w:rPr>
                <w:kern w:val="1"/>
              </w:rPr>
              <w:t xml:space="preserve"> MK noteikumu Nr.1502 3.4., 3.5.apakšpunktā un 4.punktā </w:t>
            </w:r>
            <w:r w:rsidR="002C07EF" w:rsidRPr="005E34A9">
              <w:rPr>
                <w:kern w:val="1"/>
              </w:rPr>
              <w:t>noteikta</w:t>
            </w:r>
            <w:r w:rsidR="005B4925" w:rsidRPr="005E34A9">
              <w:rPr>
                <w:kern w:val="1"/>
              </w:rPr>
              <w:t>jiem mērķiem.</w:t>
            </w:r>
          </w:p>
          <w:p w:rsidR="0003353A" w:rsidRPr="005E34A9" w:rsidRDefault="0003353A" w:rsidP="002C07EF">
            <w:pPr>
              <w:suppressAutoHyphens/>
              <w:ind w:right="112"/>
              <w:jc w:val="both"/>
            </w:pPr>
            <w:r w:rsidRPr="005E34A9">
              <w:rPr>
                <w:kern w:val="1"/>
              </w:rPr>
              <w:t>Ministru kabineta noteikumu projekts ir attiecināms arī uz personām, kas izmanto dabasgāzes pārveides procesā iegūto at</w:t>
            </w:r>
            <w:r w:rsidR="002C07EF" w:rsidRPr="005E34A9">
              <w:rPr>
                <w:kern w:val="1"/>
              </w:rPr>
              <w:t>bilstošo</w:t>
            </w:r>
            <w:r w:rsidRPr="005E34A9">
              <w:rPr>
                <w:kern w:val="1"/>
              </w:rPr>
              <w:t xml:space="preserve"> enerģijas veidu</w:t>
            </w:r>
            <w:r w:rsidR="002C07EF" w:rsidRPr="005E34A9">
              <w:rPr>
                <w:kern w:val="1"/>
              </w:rPr>
              <w:t xml:space="preserve"> MK noteikumu Nr.1502 3.4., 3.5.apakšpunktā un 4.punktā noteiktajiem mērķiem.</w:t>
            </w:r>
          </w:p>
        </w:tc>
      </w:tr>
      <w:tr w:rsidR="00032C63" w:rsidRPr="005E34A9" w:rsidTr="005938F2">
        <w:tc>
          <w:tcPr>
            <w:tcW w:w="251" w:type="pct"/>
            <w:tcBorders>
              <w:top w:val="outset" w:sz="6" w:space="0" w:color="000000"/>
              <w:left w:val="outset" w:sz="6" w:space="0" w:color="000000"/>
              <w:bottom w:val="outset" w:sz="6" w:space="0" w:color="000000"/>
              <w:right w:val="outset" w:sz="6" w:space="0" w:color="000000"/>
            </w:tcBorders>
          </w:tcPr>
          <w:p w:rsidR="00032C63" w:rsidRPr="005E34A9" w:rsidRDefault="00032C63" w:rsidP="00032C63">
            <w:pPr>
              <w:pStyle w:val="NormalWeb"/>
            </w:pPr>
            <w:r w:rsidRPr="005E34A9">
              <w:t>2.</w:t>
            </w:r>
          </w:p>
        </w:tc>
        <w:tc>
          <w:tcPr>
            <w:tcW w:w="1838" w:type="pct"/>
            <w:tcBorders>
              <w:top w:val="outset" w:sz="6" w:space="0" w:color="000000"/>
              <w:left w:val="outset" w:sz="6" w:space="0" w:color="000000"/>
              <w:bottom w:val="outset" w:sz="6" w:space="0" w:color="000000"/>
              <w:right w:val="outset" w:sz="6" w:space="0" w:color="000000"/>
            </w:tcBorders>
          </w:tcPr>
          <w:p w:rsidR="00032C63" w:rsidRPr="005E34A9" w:rsidRDefault="00431C1A" w:rsidP="00431C1A">
            <w:pPr>
              <w:pStyle w:val="NormalWeb"/>
              <w:jc w:val="both"/>
            </w:pPr>
            <w:r w:rsidRPr="005E34A9">
              <w:t>Tiesiskā regulējuma ietekme uz tautsaimniecību un administratīvo slogu</w:t>
            </w:r>
          </w:p>
        </w:tc>
        <w:tc>
          <w:tcPr>
            <w:tcW w:w="2911" w:type="pct"/>
            <w:tcBorders>
              <w:top w:val="outset" w:sz="6" w:space="0" w:color="000000"/>
              <w:left w:val="outset" w:sz="6" w:space="0" w:color="000000"/>
              <w:bottom w:val="outset" w:sz="6" w:space="0" w:color="000000"/>
              <w:right w:val="outset" w:sz="6" w:space="0" w:color="000000"/>
            </w:tcBorders>
          </w:tcPr>
          <w:p w:rsidR="005A4596" w:rsidRPr="005E34A9" w:rsidRDefault="00CD1B85" w:rsidP="002C07EF">
            <w:pPr>
              <w:ind w:right="113"/>
              <w:jc w:val="both"/>
              <w:rPr>
                <w:kern w:val="1"/>
              </w:rPr>
            </w:pPr>
            <w:r w:rsidRPr="005E34A9">
              <w:rPr>
                <w:kern w:val="1"/>
              </w:rPr>
              <w:t>Komersanti, kas saņem dabasgāzi kā galalietotāji un</w:t>
            </w:r>
            <w:r w:rsidR="006D7CAB" w:rsidRPr="005E34A9">
              <w:rPr>
                <w:kern w:val="1"/>
              </w:rPr>
              <w:t xml:space="preserve"> saskaņā ar līgumu veic dabasgāzes pārveidi </w:t>
            </w:r>
            <w:r w:rsidRPr="005E34A9">
              <w:rPr>
                <w:kern w:val="1"/>
              </w:rPr>
              <w:t xml:space="preserve">(izmantojot kā kurināmo) </w:t>
            </w:r>
            <w:r w:rsidR="006D7CAB" w:rsidRPr="005E34A9">
              <w:rPr>
                <w:kern w:val="1"/>
              </w:rPr>
              <w:t>attiecīgajā enerģijas veidā,</w:t>
            </w:r>
            <w:r w:rsidR="00CE3984">
              <w:rPr>
                <w:kern w:val="1"/>
              </w:rPr>
              <w:t xml:space="preserve"> un kā starpnieki</w:t>
            </w:r>
            <w:r w:rsidR="006D7CAB" w:rsidRPr="005E34A9">
              <w:rPr>
                <w:kern w:val="1"/>
              </w:rPr>
              <w:t xml:space="preserve"> </w:t>
            </w:r>
            <w:r w:rsidRPr="005E34A9">
              <w:rPr>
                <w:kern w:val="1"/>
              </w:rPr>
              <w:t xml:space="preserve">piegādā </w:t>
            </w:r>
            <w:r w:rsidR="002C07EF" w:rsidRPr="005E34A9">
              <w:rPr>
                <w:kern w:val="1"/>
              </w:rPr>
              <w:t>personām</w:t>
            </w:r>
            <w:r w:rsidRPr="005E34A9">
              <w:rPr>
                <w:kern w:val="1"/>
              </w:rPr>
              <w:t xml:space="preserve">, kuri dabasgāzes </w:t>
            </w:r>
            <w:r w:rsidR="006D7CAB" w:rsidRPr="005E34A9">
              <w:rPr>
                <w:kern w:val="1"/>
              </w:rPr>
              <w:t>pārveides procesā iegūto at</w:t>
            </w:r>
            <w:r w:rsidR="002C07EF" w:rsidRPr="005E34A9">
              <w:rPr>
                <w:kern w:val="1"/>
              </w:rPr>
              <w:t>bilstošo</w:t>
            </w:r>
            <w:r w:rsidR="006D7CAB" w:rsidRPr="005E34A9">
              <w:rPr>
                <w:kern w:val="1"/>
              </w:rPr>
              <w:t xml:space="preserve"> enerģijas veidu</w:t>
            </w:r>
            <w:r w:rsidRPr="005E34A9">
              <w:rPr>
                <w:kern w:val="1"/>
              </w:rPr>
              <w:t xml:space="preserve"> izmanto MK noteikumu Nr.1502 3.4., 3.5.apakšpunktā un 4.punktā </w:t>
            </w:r>
            <w:r w:rsidR="002C07EF" w:rsidRPr="005E34A9">
              <w:rPr>
                <w:kern w:val="1"/>
              </w:rPr>
              <w:t>noteikta</w:t>
            </w:r>
            <w:r w:rsidRPr="005E34A9">
              <w:rPr>
                <w:kern w:val="1"/>
              </w:rPr>
              <w:t>jiem mērķiem, varēs piemērot attiecīgi akcīzes nodokļa atbrīvojumu vai samazinātu akcīzes nodokļa likmi dabasgāzei</w:t>
            </w:r>
            <w:r w:rsidR="00EC42A9" w:rsidRPr="005E34A9">
              <w:rPr>
                <w:kern w:val="1"/>
              </w:rPr>
              <w:t xml:space="preserve"> izmantošanai kā kurināmo</w:t>
            </w:r>
            <w:r w:rsidRPr="005E34A9">
              <w:rPr>
                <w:kern w:val="1"/>
              </w:rPr>
              <w:t>.</w:t>
            </w:r>
          </w:p>
        </w:tc>
      </w:tr>
      <w:tr w:rsidR="00032C63" w:rsidRPr="005E34A9" w:rsidTr="005938F2">
        <w:tc>
          <w:tcPr>
            <w:tcW w:w="251" w:type="pct"/>
            <w:tcBorders>
              <w:top w:val="outset" w:sz="6" w:space="0" w:color="000000"/>
              <w:left w:val="outset" w:sz="6" w:space="0" w:color="000000"/>
              <w:bottom w:val="outset" w:sz="6" w:space="0" w:color="000000"/>
              <w:right w:val="outset" w:sz="6" w:space="0" w:color="000000"/>
            </w:tcBorders>
          </w:tcPr>
          <w:p w:rsidR="00032C63" w:rsidRPr="005E34A9" w:rsidRDefault="00032C63" w:rsidP="00032C63">
            <w:pPr>
              <w:pStyle w:val="NormalWeb"/>
            </w:pPr>
            <w:r w:rsidRPr="005E34A9">
              <w:t>3.</w:t>
            </w:r>
          </w:p>
        </w:tc>
        <w:tc>
          <w:tcPr>
            <w:tcW w:w="1838" w:type="pct"/>
            <w:tcBorders>
              <w:top w:val="outset" w:sz="6" w:space="0" w:color="000000"/>
              <w:left w:val="outset" w:sz="6" w:space="0" w:color="000000"/>
              <w:bottom w:val="outset" w:sz="6" w:space="0" w:color="000000"/>
              <w:right w:val="outset" w:sz="6" w:space="0" w:color="000000"/>
            </w:tcBorders>
          </w:tcPr>
          <w:p w:rsidR="00032C63" w:rsidRPr="005E34A9" w:rsidRDefault="00431C1A" w:rsidP="00032C63">
            <w:pPr>
              <w:pStyle w:val="NormalWeb"/>
            </w:pPr>
            <w:r w:rsidRPr="005E34A9">
              <w:t>Administratīvo izmaksu monetārs novērtējums</w:t>
            </w:r>
          </w:p>
        </w:tc>
        <w:tc>
          <w:tcPr>
            <w:tcW w:w="2911" w:type="pct"/>
            <w:tcBorders>
              <w:top w:val="outset" w:sz="6" w:space="0" w:color="000000"/>
              <w:left w:val="outset" w:sz="6" w:space="0" w:color="000000"/>
              <w:bottom w:val="outset" w:sz="6" w:space="0" w:color="000000"/>
              <w:right w:val="outset" w:sz="6" w:space="0" w:color="000000"/>
            </w:tcBorders>
          </w:tcPr>
          <w:p w:rsidR="00C84851" w:rsidRPr="005E34A9" w:rsidRDefault="000D4077" w:rsidP="009245FE">
            <w:pPr>
              <w:pStyle w:val="NormalWeb"/>
              <w:spacing w:before="0" w:beforeAutospacing="0" w:after="0" w:afterAutospacing="0"/>
              <w:ind w:firstLine="110"/>
              <w:jc w:val="both"/>
            </w:pPr>
            <w:r w:rsidRPr="005E34A9">
              <w:t>Projekts šo jomu neskar</w:t>
            </w:r>
            <w:r w:rsidR="00013FC3" w:rsidRPr="005E34A9">
              <w:t>.</w:t>
            </w:r>
          </w:p>
          <w:p w:rsidR="00032C63" w:rsidRPr="005E34A9" w:rsidRDefault="00032C63" w:rsidP="00C84851">
            <w:pPr>
              <w:jc w:val="center"/>
            </w:pPr>
          </w:p>
        </w:tc>
      </w:tr>
      <w:tr w:rsidR="00032C63" w:rsidRPr="005E34A9" w:rsidTr="005938F2">
        <w:tc>
          <w:tcPr>
            <w:tcW w:w="251" w:type="pct"/>
            <w:tcBorders>
              <w:top w:val="outset" w:sz="6" w:space="0" w:color="000000"/>
              <w:left w:val="outset" w:sz="6" w:space="0" w:color="000000"/>
              <w:bottom w:val="outset" w:sz="6" w:space="0" w:color="000000"/>
              <w:right w:val="outset" w:sz="6" w:space="0" w:color="000000"/>
            </w:tcBorders>
          </w:tcPr>
          <w:p w:rsidR="00032C63" w:rsidRPr="005E34A9" w:rsidRDefault="00431C1A" w:rsidP="00032C63">
            <w:pPr>
              <w:pStyle w:val="NormalWeb"/>
            </w:pPr>
            <w:r w:rsidRPr="005E34A9">
              <w:t>4</w:t>
            </w:r>
            <w:r w:rsidR="00032C63" w:rsidRPr="005E34A9">
              <w:t>.</w:t>
            </w:r>
          </w:p>
        </w:tc>
        <w:tc>
          <w:tcPr>
            <w:tcW w:w="1838" w:type="pct"/>
            <w:tcBorders>
              <w:top w:val="outset" w:sz="6" w:space="0" w:color="000000"/>
              <w:left w:val="outset" w:sz="6" w:space="0" w:color="000000"/>
              <w:bottom w:val="outset" w:sz="6" w:space="0" w:color="000000"/>
              <w:right w:val="outset" w:sz="6" w:space="0" w:color="000000"/>
            </w:tcBorders>
          </w:tcPr>
          <w:p w:rsidR="00032C63" w:rsidRPr="005E34A9" w:rsidRDefault="00032C63" w:rsidP="00032C63">
            <w:pPr>
              <w:pStyle w:val="NormalWeb"/>
            </w:pPr>
            <w:r w:rsidRPr="005E34A9">
              <w:t>Cita informācija</w:t>
            </w:r>
          </w:p>
        </w:tc>
        <w:tc>
          <w:tcPr>
            <w:tcW w:w="2911" w:type="pct"/>
            <w:tcBorders>
              <w:top w:val="outset" w:sz="6" w:space="0" w:color="000000"/>
              <w:left w:val="outset" w:sz="6" w:space="0" w:color="000000"/>
              <w:bottom w:val="outset" w:sz="6" w:space="0" w:color="000000"/>
              <w:right w:val="outset" w:sz="6" w:space="0" w:color="000000"/>
            </w:tcBorders>
          </w:tcPr>
          <w:p w:rsidR="00032C63" w:rsidRPr="005E34A9" w:rsidRDefault="00032C63" w:rsidP="00032C63">
            <w:pPr>
              <w:pStyle w:val="NormalWeb"/>
            </w:pPr>
            <w:r w:rsidRPr="005E34A9">
              <w:t>Nav</w:t>
            </w:r>
          </w:p>
        </w:tc>
      </w:tr>
    </w:tbl>
    <w:p w:rsidR="00032C63" w:rsidRPr="005E34A9" w:rsidRDefault="00032C63" w:rsidP="00032C63"/>
    <w:p w:rsidR="00834B18" w:rsidRPr="005E34A9" w:rsidRDefault="00834B18" w:rsidP="00032C63"/>
    <w:tbl>
      <w:tblPr>
        <w:tblW w:w="5124"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64"/>
        <w:gridCol w:w="3794"/>
        <w:gridCol w:w="4922"/>
      </w:tblGrid>
      <w:tr w:rsidR="00032C63" w:rsidRPr="005E34A9" w:rsidTr="00954AE0">
        <w:tc>
          <w:tcPr>
            <w:tcW w:w="5000" w:type="pct"/>
            <w:gridSpan w:val="3"/>
            <w:tcBorders>
              <w:top w:val="single" w:sz="6" w:space="0" w:color="auto"/>
              <w:left w:val="single" w:sz="6" w:space="0" w:color="auto"/>
              <w:bottom w:val="single" w:sz="6" w:space="0" w:color="auto"/>
              <w:right w:val="single" w:sz="6" w:space="0" w:color="auto"/>
            </w:tcBorders>
            <w:hideMark/>
          </w:tcPr>
          <w:p w:rsidR="00032C63" w:rsidRPr="005E34A9" w:rsidRDefault="00032C63" w:rsidP="00EF06E7">
            <w:pPr>
              <w:spacing w:before="100" w:beforeAutospacing="1" w:after="100" w:afterAutospacing="1"/>
              <w:jc w:val="center"/>
              <w:rPr>
                <w:b/>
                <w:bCs/>
              </w:rPr>
            </w:pPr>
            <w:r w:rsidRPr="005E34A9">
              <w:rPr>
                <w:b/>
                <w:bCs/>
              </w:rPr>
              <w:t>V</w:t>
            </w:r>
            <w:r w:rsidR="00EF06E7" w:rsidRPr="005E34A9">
              <w:rPr>
                <w:b/>
                <w:bCs/>
              </w:rPr>
              <w:t>I</w:t>
            </w:r>
            <w:r w:rsidRPr="005E34A9">
              <w:rPr>
                <w:b/>
                <w:bCs/>
              </w:rPr>
              <w:t xml:space="preserve">. </w:t>
            </w:r>
            <w:r w:rsidR="00EF06E7" w:rsidRPr="005E34A9">
              <w:rPr>
                <w:b/>
                <w:bCs/>
              </w:rPr>
              <w:t>Sabiedrības līdzdalība un komunikācijas aktivitātes</w:t>
            </w:r>
          </w:p>
        </w:tc>
      </w:tr>
      <w:tr w:rsidR="008D06E4" w:rsidRPr="005E34A9" w:rsidTr="00C119BF">
        <w:tc>
          <w:tcPr>
            <w:tcW w:w="304" w:type="pct"/>
            <w:tcBorders>
              <w:top w:val="single" w:sz="6" w:space="0" w:color="auto"/>
              <w:left w:val="single" w:sz="6" w:space="0" w:color="auto"/>
              <w:bottom w:val="single" w:sz="6" w:space="0" w:color="auto"/>
              <w:right w:val="single" w:sz="4" w:space="0" w:color="auto"/>
            </w:tcBorders>
          </w:tcPr>
          <w:p w:rsidR="008D06E4" w:rsidRPr="005E34A9" w:rsidRDefault="008D06E4" w:rsidP="00032C63">
            <w:pPr>
              <w:spacing w:before="100" w:beforeAutospacing="1" w:after="100" w:afterAutospacing="1"/>
              <w:jc w:val="center"/>
              <w:rPr>
                <w:bCs/>
              </w:rPr>
            </w:pPr>
            <w:r w:rsidRPr="005E34A9">
              <w:rPr>
                <w:bCs/>
              </w:rPr>
              <w:t>1.</w:t>
            </w:r>
          </w:p>
        </w:tc>
        <w:tc>
          <w:tcPr>
            <w:tcW w:w="2044" w:type="pct"/>
            <w:tcBorders>
              <w:top w:val="single" w:sz="6" w:space="0" w:color="auto"/>
              <w:left w:val="single" w:sz="4" w:space="0" w:color="auto"/>
              <w:bottom w:val="single" w:sz="6" w:space="0" w:color="auto"/>
              <w:right w:val="single" w:sz="4" w:space="0" w:color="auto"/>
            </w:tcBorders>
          </w:tcPr>
          <w:p w:rsidR="008D06E4" w:rsidRPr="005E34A9" w:rsidRDefault="00EF06E7" w:rsidP="00EF06E7">
            <w:pPr>
              <w:spacing w:before="100" w:beforeAutospacing="1" w:after="100" w:afterAutospacing="1"/>
              <w:rPr>
                <w:bCs/>
              </w:rPr>
            </w:pPr>
            <w:r w:rsidRPr="005E34A9">
              <w:rPr>
                <w:bCs/>
              </w:rPr>
              <w:t>Plānotās sabiedrības līdzdalības un komunikācijas aktivitātes saistībā ar projektu</w:t>
            </w:r>
          </w:p>
        </w:tc>
        <w:tc>
          <w:tcPr>
            <w:tcW w:w="2652" w:type="pct"/>
            <w:tcBorders>
              <w:top w:val="single" w:sz="6" w:space="0" w:color="auto"/>
              <w:left w:val="single" w:sz="4" w:space="0" w:color="auto"/>
              <w:bottom w:val="single" w:sz="6" w:space="0" w:color="auto"/>
              <w:right w:val="single" w:sz="6" w:space="0" w:color="auto"/>
            </w:tcBorders>
          </w:tcPr>
          <w:p w:rsidR="002716A4" w:rsidRPr="005E34A9" w:rsidRDefault="006F4216" w:rsidP="00286829">
            <w:pPr>
              <w:ind w:right="113"/>
              <w:jc w:val="both"/>
            </w:pPr>
            <w:r w:rsidRPr="001A2B87">
              <w:t xml:space="preserve">Sabiedrība par </w:t>
            </w:r>
            <w:r w:rsidR="00013FC3" w:rsidRPr="001A2B87">
              <w:t xml:space="preserve">noteikumu </w:t>
            </w:r>
            <w:r w:rsidRPr="001A2B87">
              <w:t>projekta izstrād</w:t>
            </w:r>
            <w:r w:rsidR="00013FC3" w:rsidRPr="001A2B87">
              <w:t>i</w:t>
            </w:r>
            <w:r w:rsidR="00286829" w:rsidRPr="001A2B87">
              <w:t xml:space="preserve"> ir informēta.</w:t>
            </w:r>
            <w:r w:rsidRPr="001A2B87">
              <w:t xml:space="preserve"> </w:t>
            </w:r>
            <w:r w:rsidR="00286829" w:rsidRPr="001A2B87">
              <w:t xml:space="preserve">Finanšu ministrijas interneta mājas </w:t>
            </w:r>
            <w:r w:rsidR="00286829" w:rsidRPr="001A2B87">
              <w:lastRenderedPageBreak/>
              <w:t xml:space="preserve">lapā  sadaļā “Sabiedrības </w:t>
            </w:r>
            <w:proofErr w:type="spellStart"/>
            <w:r w:rsidR="00286829" w:rsidRPr="001A2B87">
              <w:t>līdzdalība”ir</w:t>
            </w:r>
            <w:proofErr w:type="spellEnd"/>
            <w:r w:rsidR="00286829" w:rsidRPr="001A2B87">
              <w:t xml:space="preserve"> ievietota </w:t>
            </w:r>
            <w:r w:rsidRPr="001A2B87">
              <w:t>informācij</w:t>
            </w:r>
            <w:r w:rsidR="00286829" w:rsidRPr="001A2B87">
              <w:t>a par noteikumu projekta izstrādi.</w:t>
            </w:r>
          </w:p>
        </w:tc>
      </w:tr>
      <w:tr w:rsidR="008D06E4" w:rsidRPr="005E34A9" w:rsidTr="00C119BF">
        <w:tc>
          <w:tcPr>
            <w:tcW w:w="304" w:type="pct"/>
            <w:tcBorders>
              <w:top w:val="single" w:sz="6" w:space="0" w:color="auto"/>
              <w:left w:val="single" w:sz="6" w:space="0" w:color="auto"/>
              <w:bottom w:val="single" w:sz="6" w:space="0" w:color="auto"/>
              <w:right w:val="single" w:sz="4" w:space="0" w:color="auto"/>
            </w:tcBorders>
          </w:tcPr>
          <w:p w:rsidR="008D06E4" w:rsidRPr="005E34A9" w:rsidRDefault="0085794A" w:rsidP="00AA1306">
            <w:pPr>
              <w:spacing w:before="100" w:beforeAutospacing="1" w:after="100" w:afterAutospacing="1"/>
              <w:jc w:val="center"/>
              <w:rPr>
                <w:bCs/>
                <w:color w:val="000000"/>
              </w:rPr>
            </w:pPr>
            <w:r w:rsidRPr="005E34A9">
              <w:rPr>
                <w:bCs/>
                <w:color w:val="000000"/>
              </w:rPr>
              <w:lastRenderedPageBreak/>
              <w:t>2.</w:t>
            </w:r>
          </w:p>
        </w:tc>
        <w:tc>
          <w:tcPr>
            <w:tcW w:w="2044" w:type="pct"/>
            <w:tcBorders>
              <w:top w:val="single" w:sz="6" w:space="0" w:color="auto"/>
              <w:left w:val="single" w:sz="4" w:space="0" w:color="auto"/>
              <w:bottom w:val="single" w:sz="6" w:space="0" w:color="auto"/>
              <w:right w:val="single" w:sz="4" w:space="0" w:color="auto"/>
            </w:tcBorders>
          </w:tcPr>
          <w:p w:rsidR="008D06E4" w:rsidRPr="005E34A9" w:rsidRDefault="00EF06E7" w:rsidP="00EF06E7">
            <w:pPr>
              <w:spacing w:before="100" w:beforeAutospacing="1" w:after="100" w:afterAutospacing="1"/>
              <w:rPr>
                <w:bCs/>
                <w:color w:val="000000"/>
              </w:rPr>
            </w:pPr>
            <w:r w:rsidRPr="005E34A9">
              <w:rPr>
                <w:bCs/>
                <w:color w:val="000000"/>
              </w:rPr>
              <w:t>Sabiedrības līdzdalība projekta izstrādē</w:t>
            </w:r>
          </w:p>
        </w:tc>
        <w:tc>
          <w:tcPr>
            <w:tcW w:w="2652" w:type="pct"/>
            <w:tcBorders>
              <w:top w:val="single" w:sz="6" w:space="0" w:color="auto"/>
              <w:left w:val="single" w:sz="4" w:space="0" w:color="auto"/>
              <w:bottom w:val="single" w:sz="6" w:space="0" w:color="auto"/>
              <w:right w:val="single" w:sz="6" w:space="0" w:color="auto"/>
            </w:tcBorders>
          </w:tcPr>
          <w:p w:rsidR="008D06E4" w:rsidRPr="005E34A9" w:rsidRDefault="00514FD1" w:rsidP="00EF26C4">
            <w:pPr>
              <w:spacing w:before="100" w:beforeAutospacing="1" w:after="100" w:afterAutospacing="1"/>
              <w:ind w:right="113"/>
              <w:jc w:val="both"/>
              <w:rPr>
                <w:b/>
                <w:bCs/>
              </w:rPr>
            </w:pPr>
            <w:r w:rsidRPr="005E34A9">
              <w:rPr>
                <w:rStyle w:val="BodyText1"/>
                <w:sz w:val="24"/>
                <w:szCs w:val="24"/>
              </w:rPr>
              <w:t>Nav attiecināms.</w:t>
            </w:r>
            <w:r w:rsidR="003A13FC" w:rsidRPr="005E34A9">
              <w:rPr>
                <w:rStyle w:val="BodyText1"/>
                <w:sz w:val="24"/>
                <w:szCs w:val="24"/>
              </w:rPr>
              <w:t xml:space="preserve"> </w:t>
            </w:r>
          </w:p>
        </w:tc>
      </w:tr>
      <w:tr w:rsidR="00EF06E7" w:rsidRPr="005E34A9" w:rsidTr="00CA6027">
        <w:tc>
          <w:tcPr>
            <w:tcW w:w="304" w:type="pct"/>
            <w:tcBorders>
              <w:top w:val="single" w:sz="6" w:space="0" w:color="auto"/>
              <w:left w:val="single" w:sz="6" w:space="0" w:color="auto"/>
              <w:bottom w:val="outset" w:sz="6" w:space="0" w:color="000000"/>
              <w:right w:val="single" w:sz="4" w:space="0" w:color="auto"/>
            </w:tcBorders>
          </w:tcPr>
          <w:p w:rsidR="00EF06E7" w:rsidRPr="005E34A9" w:rsidRDefault="00EF06E7" w:rsidP="00AA1306">
            <w:pPr>
              <w:spacing w:before="100" w:beforeAutospacing="1" w:after="100" w:afterAutospacing="1"/>
              <w:jc w:val="center"/>
              <w:rPr>
                <w:bCs/>
                <w:color w:val="000000"/>
              </w:rPr>
            </w:pPr>
            <w:r w:rsidRPr="005E34A9">
              <w:rPr>
                <w:bCs/>
                <w:color w:val="000000"/>
              </w:rPr>
              <w:t>3.</w:t>
            </w:r>
          </w:p>
        </w:tc>
        <w:tc>
          <w:tcPr>
            <w:tcW w:w="2044" w:type="pct"/>
            <w:tcBorders>
              <w:top w:val="single" w:sz="6" w:space="0" w:color="auto"/>
              <w:left w:val="single" w:sz="4" w:space="0" w:color="auto"/>
              <w:bottom w:val="outset" w:sz="6" w:space="0" w:color="000000"/>
              <w:right w:val="single" w:sz="4" w:space="0" w:color="auto"/>
            </w:tcBorders>
          </w:tcPr>
          <w:p w:rsidR="00EF06E7" w:rsidRPr="005E34A9" w:rsidRDefault="00EF06E7" w:rsidP="00EF06E7">
            <w:pPr>
              <w:spacing w:before="100" w:beforeAutospacing="1" w:after="100" w:afterAutospacing="1"/>
              <w:rPr>
                <w:bCs/>
                <w:color w:val="000000"/>
              </w:rPr>
            </w:pPr>
            <w:r w:rsidRPr="005E34A9">
              <w:rPr>
                <w:bCs/>
                <w:color w:val="000000"/>
              </w:rPr>
              <w:t>Sabiedrības līdzdalības rezultāti</w:t>
            </w:r>
          </w:p>
        </w:tc>
        <w:tc>
          <w:tcPr>
            <w:tcW w:w="2652" w:type="pct"/>
            <w:tcBorders>
              <w:top w:val="single" w:sz="6" w:space="0" w:color="auto"/>
              <w:left w:val="single" w:sz="4" w:space="0" w:color="auto"/>
              <w:bottom w:val="outset" w:sz="6" w:space="0" w:color="000000"/>
              <w:right w:val="single" w:sz="6" w:space="0" w:color="auto"/>
            </w:tcBorders>
          </w:tcPr>
          <w:p w:rsidR="004F0874" w:rsidRPr="005E34A9" w:rsidRDefault="00514FD1" w:rsidP="00145B6F">
            <w:pPr>
              <w:spacing w:before="100" w:beforeAutospacing="1" w:after="100" w:afterAutospacing="1"/>
              <w:ind w:right="113"/>
              <w:jc w:val="both"/>
            </w:pPr>
            <w:r w:rsidRPr="005E34A9">
              <w:t>Nav attiecināms.</w:t>
            </w:r>
          </w:p>
        </w:tc>
      </w:tr>
      <w:tr w:rsidR="00BC24BC" w:rsidRPr="005E34A9" w:rsidTr="00CA6027">
        <w:tc>
          <w:tcPr>
            <w:tcW w:w="304" w:type="pct"/>
            <w:tcBorders>
              <w:top w:val="single" w:sz="6" w:space="0" w:color="auto"/>
              <w:left w:val="single" w:sz="6" w:space="0" w:color="auto"/>
              <w:bottom w:val="outset" w:sz="6" w:space="0" w:color="000000"/>
              <w:right w:val="single" w:sz="4" w:space="0" w:color="auto"/>
            </w:tcBorders>
          </w:tcPr>
          <w:p w:rsidR="00BC24BC" w:rsidRPr="005E34A9" w:rsidRDefault="00EF06E7" w:rsidP="00AA1306">
            <w:pPr>
              <w:spacing w:before="100" w:beforeAutospacing="1" w:after="100" w:afterAutospacing="1"/>
              <w:jc w:val="center"/>
              <w:rPr>
                <w:bCs/>
                <w:color w:val="000000"/>
              </w:rPr>
            </w:pPr>
            <w:r w:rsidRPr="005E34A9">
              <w:rPr>
                <w:bCs/>
                <w:color w:val="000000"/>
              </w:rPr>
              <w:t>4</w:t>
            </w:r>
            <w:r w:rsidR="00BC24BC" w:rsidRPr="005E34A9">
              <w:rPr>
                <w:bCs/>
                <w:color w:val="000000"/>
              </w:rPr>
              <w:t>.</w:t>
            </w:r>
          </w:p>
        </w:tc>
        <w:tc>
          <w:tcPr>
            <w:tcW w:w="2044" w:type="pct"/>
            <w:tcBorders>
              <w:top w:val="single" w:sz="6" w:space="0" w:color="auto"/>
              <w:left w:val="single" w:sz="4" w:space="0" w:color="auto"/>
              <w:bottom w:val="outset" w:sz="6" w:space="0" w:color="000000"/>
              <w:right w:val="single" w:sz="4" w:space="0" w:color="auto"/>
            </w:tcBorders>
          </w:tcPr>
          <w:p w:rsidR="00BC24BC" w:rsidRPr="005E34A9" w:rsidRDefault="00BC24BC" w:rsidP="00EF06E7">
            <w:pPr>
              <w:spacing w:before="100" w:beforeAutospacing="1" w:after="100" w:afterAutospacing="1"/>
              <w:rPr>
                <w:bCs/>
                <w:color w:val="000000"/>
              </w:rPr>
            </w:pPr>
            <w:r w:rsidRPr="005E34A9">
              <w:rPr>
                <w:bCs/>
                <w:color w:val="000000"/>
              </w:rPr>
              <w:t>Cita informācija</w:t>
            </w:r>
          </w:p>
        </w:tc>
        <w:tc>
          <w:tcPr>
            <w:tcW w:w="2652" w:type="pct"/>
            <w:tcBorders>
              <w:top w:val="single" w:sz="6" w:space="0" w:color="auto"/>
              <w:left w:val="single" w:sz="4" w:space="0" w:color="auto"/>
              <w:bottom w:val="outset" w:sz="6" w:space="0" w:color="000000"/>
              <w:right w:val="single" w:sz="6" w:space="0" w:color="auto"/>
            </w:tcBorders>
          </w:tcPr>
          <w:p w:rsidR="00BC24BC" w:rsidRPr="005E34A9" w:rsidRDefault="00BC24BC" w:rsidP="00EF06E7">
            <w:pPr>
              <w:spacing w:before="100" w:beforeAutospacing="1" w:after="100" w:afterAutospacing="1"/>
            </w:pPr>
            <w:r w:rsidRPr="005E34A9">
              <w:t>Nav</w:t>
            </w:r>
          </w:p>
        </w:tc>
      </w:tr>
    </w:tbl>
    <w:p w:rsidR="00032C63" w:rsidRPr="005E34A9" w:rsidRDefault="00032C63" w:rsidP="00032C63">
      <w:r w:rsidRPr="005E34A9">
        <w:t> </w:t>
      </w: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4"/>
        <w:gridCol w:w="3771"/>
        <w:gridCol w:w="4923"/>
      </w:tblGrid>
      <w:tr w:rsidR="00032C63" w:rsidRPr="005E34A9" w:rsidTr="00EF26C4">
        <w:tc>
          <w:tcPr>
            <w:tcW w:w="5000" w:type="pct"/>
            <w:gridSpan w:val="3"/>
            <w:tcBorders>
              <w:top w:val="outset" w:sz="6" w:space="0" w:color="000000"/>
              <w:left w:val="outset" w:sz="6" w:space="0" w:color="000000"/>
              <w:bottom w:val="outset" w:sz="6" w:space="0" w:color="000000"/>
              <w:right w:val="outset" w:sz="6" w:space="0" w:color="000000"/>
            </w:tcBorders>
            <w:hideMark/>
          </w:tcPr>
          <w:p w:rsidR="00032C63" w:rsidRPr="005E34A9" w:rsidRDefault="00032C63" w:rsidP="00032C63">
            <w:pPr>
              <w:spacing w:before="100" w:beforeAutospacing="1" w:after="100" w:afterAutospacing="1"/>
              <w:jc w:val="center"/>
              <w:rPr>
                <w:b/>
                <w:bCs/>
              </w:rPr>
            </w:pPr>
            <w:r w:rsidRPr="005E34A9">
              <w:rPr>
                <w:b/>
                <w:bCs/>
              </w:rPr>
              <w:t>VII. Tiesību akta projekta izpildes nodrošināšana un tās ietekme uz institūcijām</w:t>
            </w:r>
          </w:p>
        </w:tc>
      </w:tr>
      <w:tr w:rsidR="00032C63" w:rsidRPr="005E34A9" w:rsidTr="00EF26C4">
        <w:tc>
          <w:tcPr>
            <w:tcW w:w="315" w:type="pct"/>
            <w:tcBorders>
              <w:top w:val="outset" w:sz="6" w:space="0" w:color="000000"/>
              <w:left w:val="outset" w:sz="6" w:space="0" w:color="000000"/>
              <w:bottom w:val="outset" w:sz="6" w:space="0" w:color="000000"/>
              <w:right w:val="single" w:sz="4" w:space="0" w:color="auto"/>
            </w:tcBorders>
          </w:tcPr>
          <w:p w:rsidR="00032C63" w:rsidRPr="005E34A9" w:rsidRDefault="00032C63" w:rsidP="00032C63">
            <w:pPr>
              <w:spacing w:before="100" w:beforeAutospacing="1" w:after="100" w:afterAutospacing="1"/>
              <w:jc w:val="center"/>
            </w:pPr>
            <w:r w:rsidRPr="005E34A9">
              <w:t>1.</w:t>
            </w:r>
          </w:p>
        </w:tc>
        <w:tc>
          <w:tcPr>
            <w:tcW w:w="2032" w:type="pct"/>
            <w:tcBorders>
              <w:top w:val="outset" w:sz="6" w:space="0" w:color="000000"/>
              <w:left w:val="single" w:sz="4" w:space="0" w:color="auto"/>
              <w:bottom w:val="outset" w:sz="6" w:space="0" w:color="000000"/>
              <w:right w:val="single" w:sz="4" w:space="0" w:color="auto"/>
            </w:tcBorders>
          </w:tcPr>
          <w:p w:rsidR="00032C63" w:rsidRPr="005E34A9" w:rsidRDefault="00032C63" w:rsidP="00032C63">
            <w:pPr>
              <w:spacing w:before="100" w:beforeAutospacing="1" w:after="100" w:afterAutospacing="1"/>
            </w:pPr>
            <w:r w:rsidRPr="005E34A9">
              <w:t>Projekta izpildē iesaistītās institūcijas</w:t>
            </w:r>
          </w:p>
        </w:tc>
        <w:tc>
          <w:tcPr>
            <w:tcW w:w="2653" w:type="pct"/>
            <w:tcBorders>
              <w:top w:val="outset" w:sz="6" w:space="0" w:color="000000"/>
              <w:left w:val="single" w:sz="4" w:space="0" w:color="auto"/>
              <w:bottom w:val="outset" w:sz="6" w:space="0" w:color="000000"/>
              <w:right w:val="outset" w:sz="6" w:space="0" w:color="000000"/>
            </w:tcBorders>
          </w:tcPr>
          <w:p w:rsidR="00032C63" w:rsidRPr="005E34A9" w:rsidRDefault="00032C63" w:rsidP="00EF26C4">
            <w:pPr>
              <w:spacing w:before="100" w:beforeAutospacing="1" w:after="100" w:afterAutospacing="1"/>
              <w:ind w:right="138"/>
              <w:jc w:val="both"/>
            </w:pPr>
            <w:r w:rsidRPr="005E34A9">
              <w:t xml:space="preserve">Normatīvā akta izpildi nodrošinās </w:t>
            </w:r>
            <w:r w:rsidR="003D59A1" w:rsidRPr="005E34A9">
              <w:t xml:space="preserve">Valsts ieņēmumu </w:t>
            </w:r>
            <w:r w:rsidR="003233AA" w:rsidRPr="005E34A9">
              <w:t>dienests</w:t>
            </w:r>
            <w:r w:rsidR="00BF2451" w:rsidRPr="005E34A9">
              <w:t xml:space="preserve"> savu funkciju ietvaros</w:t>
            </w:r>
            <w:r w:rsidR="007D62E2" w:rsidRPr="005E34A9">
              <w:t>.</w:t>
            </w:r>
          </w:p>
        </w:tc>
      </w:tr>
      <w:tr w:rsidR="00032C63" w:rsidRPr="005E34A9" w:rsidTr="00F021A9">
        <w:tc>
          <w:tcPr>
            <w:tcW w:w="315" w:type="pct"/>
            <w:tcBorders>
              <w:top w:val="outset" w:sz="6" w:space="0" w:color="000000"/>
              <w:left w:val="outset" w:sz="6" w:space="0" w:color="000000"/>
              <w:bottom w:val="outset" w:sz="6" w:space="0" w:color="000000"/>
              <w:right w:val="single" w:sz="4" w:space="0" w:color="auto"/>
            </w:tcBorders>
          </w:tcPr>
          <w:p w:rsidR="00032C63" w:rsidRPr="005E34A9" w:rsidRDefault="00032C63" w:rsidP="00032C63">
            <w:pPr>
              <w:spacing w:before="100" w:beforeAutospacing="1" w:after="100" w:afterAutospacing="1"/>
              <w:jc w:val="center"/>
            </w:pPr>
            <w:r w:rsidRPr="005E34A9">
              <w:t>2.</w:t>
            </w:r>
          </w:p>
        </w:tc>
        <w:tc>
          <w:tcPr>
            <w:tcW w:w="2032" w:type="pct"/>
            <w:tcBorders>
              <w:top w:val="outset" w:sz="6" w:space="0" w:color="000000"/>
              <w:left w:val="single" w:sz="4" w:space="0" w:color="auto"/>
              <w:bottom w:val="outset" w:sz="6" w:space="0" w:color="000000"/>
              <w:right w:val="single" w:sz="4" w:space="0" w:color="auto"/>
            </w:tcBorders>
          </w:tcPr>
          <w:p w:rsidR="00032C63" w:rsidRPr="005E34A9" w:rsidRDefault="00FF735C" w:rsidP="000C52A7">
            <w:pPr>
              <w:jc w:val="both"/>
            </w:pPr>
            <w:r w:rsidRPr="005E34A9">
              <w:t>Projekta izpildes ietekme uz pārvaldes funkcijām un institucionālo struktūru.</w:t>
            </w:r>
            <w:r w:rsidR="000C52A7" w:rsidRPr="005E34A9">
              <w:t xml:space="preserve"> </w:t>
            </w:r>
            <w:r w:rsidRPr="005E34A9">
              <w:t>Jaunu institūciju izveide, esošo institūciju likvidācija vai reorganizācija, to ietekme uz institūcijas cilvēkresursiem</w:t>
            </w:r>
          </w:p>
        </w:tc>
        <w:tc>
          <w:tcPr>
            <w:tcW w:w="2653" w:type="pct"/>
            <w:tcBorders>
              <w:top w:val="outset" w:sz="6" w:space="0" w:color="000000"/>
              <w:left w:val="single" w:sz="4" w:space="0" w:color="auto"/>
              <w:bottom w:val="outset" w:sz="6" w:space="0" w:color="000000"/>
              <w:right w:val="outset" w:sz="6" w:space="0" w:color="000000"/>
            </w:tcBorders>
          </w:tcPr>
          <w:p w:rsidR="00032C63" w:rsidRPr="005E34A9" w:rsidRDefault="007756FB" w:rsidP="003233AA">
            <w:pPr>
              <w:spacing w:before="100" w:beforeAutospacing="1" w:after="100" w:afterAutospacing="1"/>
              <w:jc w:val="both"/>
            </w:pPr>
            <w:r w:rsidRPr="005E34A9">
              <w:t>Projekt</w:t>
            </w:r>
            <w:r w:rsidR="003233AA" w:rsidRPr="005E34A9">
              <w:t>s šo jomu neskar.</w:t>
            </w:r>
          </w:p>
        </w:tc>
      </w:tr>
      <w:tr w:rsidR="00032C63" w:rsidRPr="005E34A9" w:rsidTr="00F021A9">
        <w:tc>
          <w:tcPr>
            <w:tcW w:w="315" w:type="pct"/>
            <w:tcBorders>
              <w:top w:val="outset" w:sz="6" w:space="0" w:color="000000"/>
              <w:left w:val="outset" w:sz="6" w:space="0" w:color="000000"/>
              <w:bottom w:val="single" w:sz="4" w:space="0" w:color="auto"/>
              <w:right w:val="single" w:sz="4" w:space="0" w:color="auto"/>
            </w:tcBorders>
          </w:tcPr>
          <w:p w:rsidR="00032C63" w:rsidRPr="005E34A9" w:rsidRDefault="00032C63" w:rsidP="00032C63">
            <w:pPr>
              <w:spacing w:before="100" w:beforeAutospacing="1" w:after="100" w:afterAutospacing="1"/>
              <w:jc w:val="center"/>
            </w:pPr>
            <w:r w:rsidRPr="005E34A9">
              <w:t>3.</w:t>
            </w:r>
          </w:p>
        </w:tc>
        <w:tc>
          <w:tcPr>
            <w:tcW w:w="2032" w:type="pct"/>
            <w:tcBorders>
              <w:top w:val="outset" w:sz="6" w:space="0" w:color="000000"/>
              <w:left w:val="single" w:sz="4" w:space="0" w:color="auto"/>
              <w:bottom w:val="single" w:sz="4" w:space="0" w:color="auto"/>
              <w:right w:val="single" w:sz="4" w:space="0" w:color="auto"/>
            </w:tcBorders>
          </w:tcPr>
          <w:p w:rsidR="00032C63" w:rsidRPr="005E34A9" w:rsidRDefault="00FF735C" w:rsidP="00FF735C">
            <w:pPr>
              <w:jc w:val="both"/>
            </w:pPr>
            <w:r w:rsidRPr="005E34A9">
              <w:t>Cita informācija</w:t>
            </w:r>
          </w:p>
        </w:tc>
        <w:tc>
          <w:tcPr>
            <w:tcW w:w="2653" w:type="pct"/>
            <w:tcBorders>
              <w:top w:val="outset" w:sz="6" w:space="0" w:color="000000"/>
              <w:left w:val="single" w:sz="4" w:space="0" w:color="auto"/>
              <w:bottom w:val="single" w:sz="4" w:space="0" w:color="auto"/>
              <w:right w:val="outset" w:sz="6" w:space="0" w:color="000000"/>
            </w:tcBorders>
          </w:tcPr>
          <w:p w:rsidR="00032C63" w:rsidRPr="005E34A9" w:rsidRDefault="00FF735C" w:rsidP="00032C63">
            <w:pPr>
              <w:spacing w:before="100" w:beforeAutospacing="1" w:after="100" w:afterAutospacing="1"/>
              <w:jc w:val="both"/>
            </w:pPr>
            <w:r w:rsidRPr="005E34A9">
              <w:t>Nav</w:t>
            </w:r>
          </w:p>
        </w:tc>
      </w:tr>
      <w:tr w:rsidR="0082105B" w:rsidRPr="005E34A9" w:rsidTr="00F021A9">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07"/>
        </w:trPr>
        <w:tc>
          <w:tcPr>
            <w:tcW w:w="5000" w:type="pct"/>
            <w:gridSpan w:val="3"/>
            <w:tcBorders>
              <w:top w:val="single" w:sz="4" w:space="0" w:color="auto"/>
            </w:tcBorders>
          </w:tcPr>
          <w:p w:rsidR="0082105B" w:rsidRPr="005E34A9" w:rsidRDefault="0082105B" w:rsidP="00032C63">
            <w:pPr>
              <w:jc w:val="both"/>
              <w:rPr>
                <w:lang w:eastAsia="en-US"/>
              </w:rPr>
            </w:pPr>
          </w:p>
          <w:p w:rsidR="00444671" w:rsidRPr="005E34A9" w:rsidRDefault="00444671" w:rsidP="00032C63">
            <w:pPr>
              <w:rPr>
                <w:lang w:eastAsia="en-US"/>
              </w:rPr>
            </w:pPr>
          </w:p>
          <w:p w:rsidR="00F021A9" w:rsidRPr="005E34A9" w:rsidRDefault="00F021A9" w:rsidP="00032C63">
            <w:pPr>
              <w:rPr>
                <w:lang w:eastAsia="en-US"/>
              </w:rPr>
            </w:pPr>
          </w:p>
          <w:p w:rsidR="0082105B" w:rsidRPr="005E34A9" w:rsidRDefault="00F62C17" w:rsidP="00032C63">
            <w:pPr>
              <w:rPr>
                <w:lang w:eastAsia="en-US"/>
              </w:rPr>
            </w:pPr>
            <w:r w:rsidRPr="005E34A9">
              <w:rPr>
                <w:lang w:eastAsia="en-US"/>
              </w:rPr>
              <w:t>Anotācijas III</w:t>
            </w:r>
            <w:r w:rsidR="00F021A9" w:rsidRPr="005E34A9">
              <w:rPr>
                <w:lang w:eastAsia="en-US"/>
              </w:rPr>
              <w:t xml:space="preserve">, IV un </w:t>
            </w:r>
            <w:r w:rsidRPr="005E34A9">
              <w:rPr>
                <w:lang w:eastAsia="en-US"/>
              </w:rPr>
              <w:t>V</w:t>
            </w:r>
            <w:r w:rsidR="0082105B" w:rsidRPr="005E34A9">
              <w:rPr>
                <w:lang w:eastAsia="en-US"/>
              </w:rPr>
              <w:t xml:space="preserve"> sadaļa – projekts šīs jomas neskar.</w:t>
            </w:r>
          </w:p>
        </w:tc>
      </w:tr>
      <w:tr w:rsidR="00032C63" w:rsidRPr="005E34A9" w:rsidTr="00EF26C4">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1134"/>
        </w:trPr>
        <w:tc>
          <w:tcPr>
            <w:tcW w:w="2347" w:type="pct"/>
            <w:gridSpan w:val="2"/>
          </w:tcPr>
          <w:p w:rsidR="00444671" w:rsidRPr="005E34A9" w:rsidRDefault="00444671" w:rsidP="007756FB">
            <w:pPr>
              <w:jc w:val="both"/>
              <w:rPr>
                <w:sz w:val="28"/>
                <w:szCs w:val="28"/>
              </w:rPr>
            </w:pPr>
          </w:p>
          <w:p w:rsidR="00444671" w:rsidRPr="005E34A9" w:rsidRDefault="00444671" w:rsidP="007756FB">
            <w:pPr>
              <w:jc w:val="both"/>
              <w:rPr>
                <w:sz w:val="28"/>
                <w:szCs w:val="28"/>
              </w:rPr>
            </w:pPr>
          </w:p>
          <w:p w:rsidR="00E3321E" w:rsidRPr="00E3321E" w:rsidRDefault="00E3321E" w:rsidP="00E3321E">
            <w:pPr>
              <w:jc w:val="both"/>
              <w:rPr>
                <w:sz w:val="28"/>
                <w:szCs w:val="28"/>
              </w:rPr>
            </w:pPr>
            <w:r w:rsidRPr="00E3321E">
              <w:rPr>
                <w:sz w:val="28"/>
                <w:szCs w:val="28"/>
              </w:rPr>
              <w:t xml:space="preserve">Finanšu ministra vietā -                                                                                                 </w:t>
            </w:r>
          </w:p>
          <w:p w:rsidR="00032C63" w:rsidRPr="005E34A9" w:rsidRDefault="00E3321E" w:rsidP="00E3321E">
            <w:pPr>
              <w:jc w:val="both"/>
              <w:rPr>
                <w:sz w:val="28"/>
                <w:szCs w:val="28"/>
              </w:rPr>
            </w:pPr>
            <w:r w:rsidRPr="00E3321E">
              <w:rPr>
                <w:sz w:val="28"/>
                <w:szCs w:val="28"/>
              </w:rPr>
              <w:t>ekonomikas ministre</w:t>
            </w:r>
            <w:r w:rsidRPr="00E3321E">
              <w:rPr>
                <w:sz w:val="28"/>
                <w:szCs w:val="28"/>
              </w:rPr>
              <w:tab/>
            </w:r>
            <w:r w:rsidRPr="00E3321E">
              <w:rPr>
                <w:sz w:val="28"/>
                <w:szCs w:val="28"/>
              </w:rPr>
              <w:tab/>
            </w:r>
            <w:r w:rsidRPr="00E3321E">
              <w:rPr>
                <w:sz w:val="28"/>
                <w:szCs w:val="28"/>
              </w:rPr>
              <w:tab/>
            </w:r>
            <w:r w:rsidRPr="00E3321E">
              <w:rPr>
                <w:sz w:val="28"/>
                <w:szCs w:val="28"/>
              </w:rPr>
              <w:tab/>
            </w:r>
            <w:r w:rsidRPr="00E3321E">
              <w:rPr>
                <w:sz w:val="28"/>
                <w:szCs w:val="28"/>
              </w:rPr>
              <w:tab/>
            </w:r>
            <w:r w:rsidRPr="00E3321E">
              <w:rPr>
                <w:sz w:val="28"/>
                <w:szCs w:val="28"/>
              </w:rPr>
              <w:tab/>
              <w:t xml:space="preserve"> </w:t>
            </w:r>
          </w:p>
        </w:tc>
        <w:tc>
          <w:tcPr>
            <w:tcW w:w="2653" w:type="pct"/>
          </w:tcPr>
          <w:p w:rsidR="00851C23" w:rsidRPr="005E34A9" w:rsidRDefault="00851C23" w:rsidP="00851C23">
            <w:pPr>
              <w:rPr>
                <w:sz w:val="28"/>
                <w:szCs w:val="28"/>
              </w:rPr>
            </w:pPr>
          </w:p>
          <w:p w:rsidR="00851C23" w:rsidRPr="005E34A9" w:rsidRDefault="00851C23" w:rsidP="00851C23">
            <w:pPr>
              <w:rPr>
                <w:sz w:val="28"/>
                <w:szCs w:val="28"/>
              </w:rPr>
            </w:pPr>
          </w:p>
          <w:p w:rsidR="00E3321E" w:rsidRDefault="00E3321E" w:rsidP="00E3321E">
            <w:pPr>
              <w:jc w:val="right"/>
              <w:rPr>
                <w:sz w:val="28"/>
                <w:szCs w:val="28"/>
              </w:rPr>
            </w:pPr>
          </w:p>
          <w:p w:rsidR="00032C63" w:rsidRPr="005E34A9" w:rsidRDefault="00E3321E" w:rsidP="00E3321E">
            <w:pPr>
              <w:jc w:val="right"/>
              <w:rPr>
                <w:sz w:val="28"/>
                <w:szCs w:val="28"/>
              </w:rPr>
            </w:pPr>
            <w:r w:rsidRPr="00E3321E">
              <w:rPr>
                <w:sz w:val="28"/>
                <w:szCs w:val="28"/>
              </w:rPr>
              <w:t>Dana Reizniece-Ozola</w:t>
            </w:r>
          </w:p>
        </w:tc>
      </w:tr>
    </w:tbl>
    <w:p w:rsidR="00444671" w:rsidRPr="005E34A9" w:rsidRDefault="00444671" w:rsidP="007756FB">
      <w:pPr>
        <w:rPr>
          <w:sz w:val="20"/>
          <w:szCs w:val="20"/>
        </w:rPr>
      </w:pPr>
    </w:p>
    <w:p w:rsidR="00444671" w:rsidRPr="005E34A9" w:rsidRDefault="00444671" w:rsidP="007756FB">
      <w:pPr>
        <w:rPr>
          <w:sz w:val="20"/>
          <w:szCs w:val="20"/>
        </w:rPr>
      </w:pPr>
    </w:p>
    <w:p w:rsidR="00C372FF" w:rsidRPr="005E34A9" w:rsidRDefault="00E8327F" w:rsidP="007756FB">
      <w:pPr>
        <w:rPr>
          <w:sz w:val="20"/>
          <w:szCs w:val="20"/>
        </w:rPr>
      </w:pPr>
      <w:r>
        <w:rPr>
          <w:sz w:val="20"/>
          <w:szCs w:val="20"/>
        </w:rPr>
        <w:t>06</w:t>
      </w:r>
      <w:r w:rsidR="00DB49A6">
        <w:rPr>
          <w:sz w:val="20"/>
          <w:szCs w:val="20"/>
        </w:rPr>
        <w:t>.</w:t>
      </w:r>
      <w:r>
        <w:rPr>
          <w:sz w:val="20"/>
          <w:szCs w:val="20"/>
        </w:rPr>
        <w:t>10</w:t>
      </w:r>
      <w:r w:rsidR="0079351C" w:rsidRPr="005E34A9">
        <w:rPr>
          <w:sz w:val="20"/>
          <w:szCs w:val="20"/>
        </w:rPr>
        <w:t>.2015</w:t>
      </w:r>
      <w:r w:rsidR="00A60DD7" w:rsidRPr="005E34A9">
        <w:rPr>
          <w:sz w:val="20"/>
          <w:szCs w:val="20"/>
        </w:rPr>
        <w:t>.</w:t>
      </w:r>
    </w:p>
    <w:p w:rsidR="00514FD1" w:rsidRPr="005E34A9" w:rsidRDefault="00514FD1" w:rsidP="00A60DD7">
      <w:pPr>
        <w:suppressAutoHyphens/>
        <w:rPr>
          <w:sz w:val="20"/>
          <w:szCs w:val="20"/>
        </w:rPr>
      </w:pPr>
      <w:r w:rsidRPr="005E34A9">
        <w:rPr>
          <w:sz w:val="20"/>
          <w:szCs w:val="20"/>
        </w:rPr>
        <w:fldChar w:fldCharType="begin"/>
      </w:r>
      <w:r w:rsidRPr="005E34A9">
        <w:rPr>
          <w:sz w:val="20"/>
          <w:szCs w:val="20"/>
        </w:rPr>
        <w:instrText xml:space="preserve"> NUMWORDS   \* MERGEFORMAT </w:instrText>
      </w:r>
      <w:r w:rsidRPr="005E34A9">
        <w:rPr>
          <w:sz w:val="20"/>
          <w:szCs w:val="20"/>
        </w:rPr>
        <w:fldChar w:fldCharType="separate"/>
      </w:r>
      <w:r w:rsidR="00E8327F">
        <w:rPr>
          <w:noProof/>
          <w:sz w:val="20"/>
          <w:szCs w:val="20"/>
        </w:rPr>
        <w:t>694</w:t>
      </w:r>
      <w:r w:rsidRPr="005E34A9">
        <w:rPr>
          <w:sz w:val="20"/>
          <w:szCs w:val="20"/>
        </w:rPr>
        <w:fldChar w:fldCharType="end"/>
      </w:r>
    </w:p>
    <w:p w:rsidR="00A60DD7" w:rsidRPr="005E34A9" w:rsidRDefault="00A60DD7" w:rsidP="00A60DD7">
      <w:pPr>
        <w:suppressAutoHyphens/>
        <w:rPr>
          <w:kern w:val="1"/>
          <w:sz w:val="20"/>
          <w:szCs w:val="20"/>
          <w:lang w:eastAsia="ar-SA"/>
        </w:rPr>
      </w:pPr>
      <w:bookmarkStart w:id="0" w:name="_GoBack"/>
      <w:proofErr w:type="spellStart"/>
      <w:r w:rsidRPr="005E34A9">
        <w:rPr>
          <w:kern w:val="1"/>
          <w:sz w:val="20"/>
          <w:szCs w:val="20"/>
          <w:lang w:eastAsia="ar-SA"/>
        </w:rPr>
        <w:t>J.Lukss</w:t>
      </w:r>
      <w:proofErr w:type="spellEnd"/>
      <w:r w:rsidRPr="005E34A9">
        <w:rPr>
          <w:kern w:val="1"/>
          <w:sz w:val="20"/>
          <w:szCs w:val="20"/>
          <w:lang w:eastAsia="ar-SA"/>
        </w:rPr>
        <w:t xml:space="preserve">, </w:t>
      </w:r>
      <w:r w:rsidRPr="005E34A9">
        <w:rPr>
          <w:rFonts w:eastAsia="Courier New"/>
          <w:kern w:val="1"/>
          <w:sz w:val="20"/>
          <w:szCs w:val="20"/>
          <w:lang w:eastAsia="ar-SA"/>
        </w:rPr>
        <w:t>67083846</w:t>
      </w:r>
    </w:p>
    <w:p w:rsidR="00A60DD7" w:rsidRPr="005E34A9" w:rsidRDefault="00DE4E20" w:rsidP="00A60DD7">
      <w:pPr>
        <w:rPr>
          <w:rFonts w:eastAsia="Calibri"/>
          <w:sz w:val="28"/>
          <w:szCs w:val="22"/>
          <w:lang w:eastAsia="en-US"/>
        </w:rPr>
      </w:pPr>
      <w:hyperlink r:id="rId8" w:history="1">
        <w:r w:rsidR="00A60DD7" w:rsidRPr="005E34A9">
          <w:rPr>
            <w:rFonts w:eastAsia="Calibri"/>
            <w:color w:val="0000FF"/>
            <w:sz w:val="20"/>
            <w:szCs w:val="20"/>
            <w:u w:val="single"/>
            <w:lang w:eastAsia="en-US"/>
          </w:rPr>
          <w:t>Juris.Lukss@fm.gov.lv</w:t>
        </w:r>
      </w:hyperlink>
    </w:p>
    <w:bookmarkEnd w:id="0"/>
    <w:p w:rsidR="007756FB" w:rsidRPr="005E34A9" w:rsidRDefault="007756FB" w:rsidP="00A60DD7">
      <w:pPr>
        <w:pStyle w:val="ListParagraph"/>
        <w:ind w:left="0"/>
        <w:jc w:val="both"/>
        <w:rPr>
          <w:sz w:val="20"/>
          <w:szCs w:val="20"/>
        </w:rPr>
      </w:pPr>
    </w:p>
    <w:sectPr w:rsidR="007756FB" w:rsidRPr="005E34A9" w:rsidSect="00C41059">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E20" w:rsidRDefault="00DE4E20">
      <w:r>
        <w:separator/>
      </w:r>
    </w:p>
  </w:endnote>
  <w:endnote w:type="continuationSeparator" w:id="0">
    <w:p w:rsidR="00DE4E20" w:rsidRDefault="00DE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5C" w:rsidRDefault="00CC0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Pr="00A95C1E" w:rsidRDefault="00E627AD" w:rsidP="00F64CE6">
    <w:pPr>
      <w:pStyle w:val="naislab"/>
      <w:jc w:val="both"/>
      <w:rPr>
        <w:sz w:val="20"/>
        <w:szCs w:val="20"/>
      </w:rPr>
    </w:pPr>
    <w:r w:rsidRPr="00F64CE6">
      <w:rPr>
        <w:sz w:val="20"/>
        <w:szCs w:val="20"/>
      </w:rPr>
      <w:fldChar w:fldCharType="begin"/>
    </w:r>
    <w:r w:rsidRPr="00F64CE6">
      <w:rPr>
        <w:sz w:val="20"/>
        <w:szCs w:val="20"/>
      </w:rPr>
      <w:instrText xml:space="preserve"> FILENAME   \* MERGEFORMAT </w:instrText>
    </w:r>
    <w:r w:rsidRPr="00F64CE6">
      <w:rPr>
        <w:sz w:val="20"/>
        <w:szCs w:val="20"/>
      </w:rPr>
      <w:fldChar w:fldCharType="separate"/>
    </w:r>
    <w:r w:rsidR="00CC025C">
      <w:rPr>
        <w:noProof/>
        <w:sz w:val="20"/>
        <w:szCs w:val="20"/>
      </w:rPr>
      <w:t>FMAnot_061015_mk_1502_dg.docx</w:t>
    </w:r>
    <w:r w:rsidRPr="00F64CE6">
      <w:rPr>
        <w:sz w:val="20"/>
        <w:szCs w:val="20"/>
      </w:rPr>
      <w:fldChar w:fldCharType="end"/>
    </w:r>
    <w:r w:rsidRPr="00F64CE6">
      <w:rPr>
        <w:sz w:val="20"/>
        <w:szCs w:val="20"/>
      </w:rPr>
      <w:t xml:space="preserve">; </w:t>
    </w:r>
    <w:r w:rsidR="00BB2B35" w:rsidRPr="00591160">
      <w:rPr>
        <w:sz w:val="20"/>
        <w:szCs w:val="20"/>
      </w:rPr>
      <w:t xml:space="preserve">Ministru kabineta noteikumu projekta </w:t>
    </w:r>
    <w:r w:rsidR="00A60DD7" w:rsidRPr="00A60DD7">
      <w:rPr>
        <w:sz w:val="20"/>
        <w:szCs w:val="28"/>
      </w:rPr>
      <w:t>„</w:t>
    </w:r>
    <w:r w:rsidR="00A60DD7" w:rsidRPr="00A60DD7">
      <w:rPr>
        <w:sz w:val="20"/>
        <w:szCs w:val="20"/>
      </w:rPr>
      <w:t>Grozījumi Ministru kabineta 2013.gada 17.decembra noteikumos Nr.1502 „Noteikumi par dabasgāzes apriti un akcīzes nodokļa piemērošanas kārtību””</w:t>
    </w:r>
    <w:r w:rsidR="00A60DD7">
      <w:rPr>
        <w:sz w:val="20"/>
        <w:szCs w:val="20"/>
      </w:rPr>
      <w:t xml:space="preserve"> </w:t>
    </w:r>
    <w:r w:rsidR="00BB2B35" w:rsidRPr="00591160">
      <w:rPr>
        <w:sz w:val="20"/>
        <w:szCs w:val="20"/>
      </w:rPr>
      <w:t>sākotnējās ietekmes novērtējuma ziņojums</w:t>
    </w:r>
    <w:r w:rsidR="00591160">
      <w:rPr>
        <w:sz w:val="20"/>
        <w:szCs w:val="20"/>
      </w:rPr>
      <w:t xml:space="preserve"> </w:t>
    </w:r>
    <w:r>
      <w:rPr>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Pr="003169F1" w:rsidRDefault="00C92FA7" w:rsidP="00C92FA7">
    <w:pPr>
      <w:pStyle w:val="naislab"/>
      <w:jc w:val="both"/>
    </w:pPr>
    <w:r w:rsidRPr="00A95C1E">
      <w:rPr>
        <w:sz w:val="20"/>
        <w:szCs w:val="18"/>
      </w:rPr>
      <w:fldChar w:fldCharType="begin"/>
    </w:r>
    <w:r w:rsidRPr="00A95C1E">
      <w:rPr>
        <w:sz w:val="20"/>
        <w:szCs w:val="18"/>
      </w:rPr>
      <w:instrText xml:space="preserve"> FILENAME   \* MERGEFORMAT </w:instrText>
    </w:r>
    <w:r w:rsidRPr="00A95C1E">
      <w:rPr>
        <w:sz w:val="20"/>
        <w:szCs w:val="18"/>
      </w:rPr>
      <w:fldChar w:fldCharType="separate"/>
    </w:r>
    <w:r w:rsidR="00CC025C">
      <w:rPr>
        <w:noProof/>
        <w:sz w:val="20"/>
        <w:szCs w:val="18"/>
      </w:rPr>
      <w:t>FMAnot_061015_mk_1502_dg.docx</w:t>
    </w:r>
    <w:r w:rsidRPr="00A95C1E">
      <w:rPr>
        <w:sz w:val="20"/>
        <w:szCs w:val="18"/>
      </w:rPr>
      <w:fldChar w:fldCharType="end"/>
    </w:r>
    <w:r w:rsidR="003169F1" w:rsidRPr="00A95C1E">
      <w:rPr>
        <w:sz w:val="20"/>
        <w:szCs w:val="18"/>
      </w:rPr>
      <w:t xml:space="preserve">; </w:t>
    </w:r>
    <w:r w:rsidR="00BB2B35" w:rsidRPr="00A95C1E">
      <w:rPr>
        <w:sz w:val="20"/>
        <w:szCs w:val="18"/>
      </w:rPr>
      <w:t xml:space="preserve">Ministru kabineta noteikumu projekta </w:t>
    </w:r>
    <w:r w:rsidR="00A60DD7" w:rsidRPr="00A60DD7">
      <w:rPr>
        <w:sz w:val="20"/>
        <w:szCs w:val="18"/>
      </w:rPr>
      <w:t>„Grozījumi Ministru kabineta 2013.gada 17.decembra noteikumos Nr.1502 „Noteikumi par dabasgāzes apriti un akcīzes nodokļa piemērošanas kārtību””</w:t>
    </w:r>
    <w:r w:rsidR="00BB2B35" w:rsidRPr="00A95C1E">
      <w:rPr>
        <w:sz w:val="20"/>
        <w:szCs w:val="18"/>
      </w:rPr>
      <w:t xml:space="preserve"> sākotnējās ietekmes novērtējuma ziņojums</w:t>
    </w:r>
    <w:r w:rsidR="00BB2B35" w:rsidRPr="00A95C1E">
      <w:rPr>
        <w:sz w:val="20"/>
        <w:szCs w:val="20"/>
      </w:rPr>
      <w:t xml:space="preserve"> </w:t>
    </w:r>
    <w:r w:rsidR="008909C6">
      <w:rPr>
        <w:sz w:val="20"/>
        <w:szCs w:val="20"/>
      </w:rPr>
      <w:t>(anotācija</w:t>
    </w:r>
    <w:r w:rsidR="003233AA">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E20" w:rsidRDefault="00DE4E20">
      <w:r>
        <w:separator/>
      </w:r>
    </w:p>
  </w:footnote>
  <w:footnote w:type="continuationSeparator" w:id="0">
    <w:p w:rsidR="00DE4E20" w:rsidRDefault="00DE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344">
      <w:rPr>
        <w:rStyle w:val="PageNumber"/>
        <w:noProof/>
      </w:rPr>
      <w:t>3</w:t>
    </w:r>
    <w:r>
      <w:rPr>
        <w:rStyle w:val="PageNumber"/>
      </w:rPr>
      <w:fldChar w:fldCharType="end"/>
    </w:r>
  </w:p>
  <w:p w:rsidR="009D5827" w:rsidRDefault="009D5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25C" w:rsidRDefault="00CC0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23E2313"/>
    <w:multiLevelType w:val="hybridMultilevel"/>
    <w:tmpl w:val="CC42B868"/>
    <w:lvl w:ilvl="0" w:tplc="485EC5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D55466"/>
    <w:multiLevelType w:val="hybridMultilevel"/>
    <w:tmpl w:val="874E5F7A"/>
    <w:lvl w:ilvl="0" w:tplc="9760C1DC">
      <w:start w:val="1"/>
      <w:numFmt w:val="decimal"/>
      <w:lvlText w:val="%1)"/>
      <w:lvlJc w:val="left"/>
      <w:pPr>
        <w:ind w:left="470" w:hanging="360"/>
      </w:pPr>
      <w:rPr>
        <w:rFonts w:hint="default"/>
        <w:color w:val="auto"/>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5">
    <w:nsid w:val="37113DA6"/>
    <w:multiLevelType w:val="hybridMultilevel"/>
    <w:tmpl w:val="4470F150"/>
    <w:lvl w:ilvl="0" w:tplc="AF68B2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48421A"/>
    <w:multiLevelType w:val="hybridMultilevel"/>
    <w:tmpl w:val="987444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3"/>
  </w:num>
  <w:num w:numId="3">
    <w:abstractNumId w:val="8"/>
  </w:num>
  <w:num w:numId="4">
    <w:abstractNumId w:val="10"/>
  </w:num>
  <w:num w:numId="5">
    <w:abstractNumId w:val="7"/>
  </w:num>
  <w:num w:numId="6">
    <w:abstractNumId w:val="11"/>
  </w:num>
  <w:num w:numId="7">
    <w:abstractNumId w:val="1"/>
  </w:num>
  <w:num w:numId="8">
    <w:abstractNumId w:val="0"/>
  </w:num>
  <w:num w:numId="9">
    <w:abstractNumId w:val="9"/>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2215"/>
    <w:rsid w:val="000112BE"/>
    <w:rsid w:val="00013FC3"/>
    <w:rsid w:val="000165BC"/>
    <w:rsid w:val="0002259A"/>
    <w:rsid w:val="00024D4A"/>
    <w:rsid w:val="00031CE5"/>
    <w:rsid w:val="00032C63"/>
    <w:rsid w:val="0003353A"/>
    <w:rsid w:val="00044C08"/>
    <w:rsid w:val="00045E7D"/>
    <w:rsid w:val="0004797F"/>
    <w:rsid w:val="00066329"/>
    <w:rsid w:val="00070294"/>
    <w:rsid w:val="00075879"/>
    <w:rsid w:val="000804CB"/>
    <w:rsid w:val="00081DAB"/>
    <w:rsid w:val="00082620"/>
    <w:rsid w:val="0008296A"/>
    <w:rsid w:val="00082C5B"/>
    <w:rsid w:val="00084990"/>
    <w:rsid w:val="0009087B"/>
    <w:rsid w:val="00093490"/>
    <w:rsid w:val="00097625"/>
    <w:rsid w:val="00097AD2"/>
    <w:rsid w:val="000A08DD"/>
    <w:rsid w:val="000A2622"/>
    <w:rsid w:val="000A3646"/>
    <w:rsid w:val="000A3930"/>
    <w:rsid w:val="000A5B5A"/>
    <w:rsid w:val="000B0183"/>
    <w:rsid w:val="000B3304"/>
    <w:rsid w:val="000B54C5"/>
    <w:rsid w:val="000B6BEE"/>
    <w:rsid w:val="000C52A7"/>
    <w:rsid w:val="000D4077"/>
    <w:rsid w:val="000D4E09"/>
    <w:rsid w:val="000E06A4"/>
    <w:rsid w:val="000E0F2D"/>
    <w:rsid w:val="000E2FBE"/>
    <w:rsid w:val="000E3625"/>
    <w:rsid w:val="000E3B72"/>
    <w:rsid w:val="000F148C"/>
    <w:rsid w:val="000F66D3"/>
    <w:rsid w:val="000F7CD5"/>
    <w:rsid w:val="001012AA"/>
    <w:rsid w:val="001054AA"/>
    <w:rsid w:val="00107126"/>
    <w:rsid w:val="0011196B"/>
    <w:rsid w:val="001126DB"/>
    <w:rsid w:val="001166D1"/>
    <w:rsid w:val="00116D0F"/>
    <w:rsid w:val="00121706"/>
    <w:rsid w:val="00122AB3"/>
    <w:rsid w:val="0013216F"/>
    <w:rsid w:val="001331D4"/>
    <w:rsid w:val="00134C95"/>
    <w:rsid w:val="00142AB7"/>
    <w:rsid w:val="001433EC"/>
    <w:rsid w:val="00145B6F"/>
    <w:rsid w:val="001478FB"/>
    <w:rsid w:val="00154F91"/>
    <w:rsid w:val="001568DB"/>
    <w:rsid w:val="001623C7"/>
    <w:rsid w:val="001640DA"/>
    <w:rsid w:val="00164AB4"/>
    <w:rsid w:val="00170AC9"/>
    <w:rsid w:val="00170E3F"/>
    <w:rsid w:val="00173D2A"/>
    <w:rsid w:val="00180C78"/>
    <w:rsid w:val="00180D6E"/>
    <w:rsid w:val="0018771A"/>
    <w:rsid w:val="00196892"/>
    <w:rsid w:val="001A0D5C"/>
    <w:rsid w:val="001A2B87"/>
    <w:rsid w:val="001A5F1A"/>
    <w:rsid w:val="001B1F9A"/>
    <w:rsid w:val="001B4146"/>
    <w:rsid w:val="001B54D2"/>
    <w:rsid w:val="001B6E27"/>
    <w:rsid w:val="001B7188"/>
    <w:rsid w:val="001C6DAE"/>
    <w:rsid w:val="001C7060"/>
    <w:rsid w:val="001D1059"/>
    <w:rsid w:val="001D637E"/>
    <w:rsid w:val="001D73D4"/>
    <w:rsid w:val="001E7B85"/>
    <w:rsid w:val="001F040F"/>
    <w:rsid w:val="001F23CC"/>
    <w:rsid w:val="001F414D"/>
    <w:rsid w:val="001F74F1"/>
    <w:rsid w:val="0021058A"/>
    <w:rsid w:val="002268EF"/>
    <w:rsid w:val="00231E45"/>
    <w:rsid w:val="0023256A"/>
    <w:rsid w:val="00232C65"/>
    <w:rsid w:val="00244450"/>
    <w:rsid w:val="002469CD"/>
    <w:rsid w:val="00246D9C"/>
    <w:rsid w:val="002512C6"/>
    <w:rsid w:val="00253E23"/>
    <w:rsid w:val="00254C34"/>
    <w:rsid w:val="00256793"/>
    <w:rsid w:val="00267711"/>
    <w:rsid w:val="002716A4"/>
    <w:rsid w:val="00271A80"/>
    <w:rsid w:val="0027384B"/>
    <w:rsid w:val="002766FA"/>
    <w:rsid w:val="0028039B"/>
    <w:rsid w:val="002829BB"/>
    <w:rsid w:val="00286829"/>
    <w:rsid w:val="002911BC"/>
    <w:rsid w:val="002913D0"/>
    <w:rsid w:val="002937A4"/>
    <w:rsid w:val="00294287"/>
    <w:rsid w:val="00294A3C"/>
    <w:rsid w:val="00296449"/>
    <w:rsid w:val="002A58D6"/>
    <w:rsid w:val="002B01EB"/>
    <w:rsid w:val="002B458F"/>
    <w:rsid w:val="002B7CC7"/>
    <w:rsid w:val="002C07EF"/>
    <w:rsid w:val="002C2088"/>
    <w:rsid w:val="002C2FE3"/>
    <w:rsid w:val="002C4D8E"/>
    <w:rsid w:val="002D7D23"/>
    <w:rsid w:val="002E1C54"/>
    <w:rsid w:val="002E7FE8"/>
    <w:rsid w:val="002F033B"/>
    <w:rsid w:val="002F4C6B"/>
    <w:rsid w:val="00311E75"/>
    <w:rsid w:val="0031278B"/>
    <w:rsid w:val="00315E5C"/>
    <w:rsid w:val="003169F1"/>
    <w:rsid w:val="003233AA"/>
    <w:rsid w:val="00324A5D"/>
    <w:rsid w:val="0033273F"/>
    <w:rsid w:val="00341D41"/>
    <w:rsid w:val="0034223F"/>
    <w:rsid w:val="00343F57"/>
    <w:rsid w:val="00344A45"/>
    <w:rsid w:val="00350F82"/>
    <w:rsid w:val="00352217"/>
    <w:rsid w:val="003522C3"/>
    <w:rsid w:val="0035359B"/>
    <w:rsid w:val="003537C1"/>
    <w:rsid w:val="00353D75"/>
    <w:rsid w:val="00357B1C"/>
    <w:rsid w:val="00362A1B"/>
    <w:rsid w:val="003644CA"/>
    <w:rsid w:val="00364A42"/>
    <w:rsid w:val="00365AF2"/>
    <w:rsid w:val="00370F7F"/>
    <w:rsid w:val="0037109E"/>
    <w:rsid w:val="00377E32"/>
    <w:rsid w:val="003804CD"/>
    <w:rsid w:val="003865B1"/>
    <w:rsid w:val="00387B30"/>
    <w:rsid w:val="00395A8D"/>
    <w:rsid w:val="003A13FC"/>
    <w:rsid w:val="003A6756"/>
    <w:rsid w:val="003B0C03"/>
    <w:rsid w:val="003C2949"/>
    <w:rsid w:val="003C370C"/>
    <w:rsid w:val="003C642A"/>
    <w:rsid w:val="003D0F05"/>
    <w:rsid w:val="003D35D3"/>
    <w:rsid w:val="003D59A1"/>
    <w:rsid w:val="003D6415"/>
    <w:rsid w:val="003D6F11"/>
    <w:rsid w:val="003D7939"/>
    <w:rsid w:val="003E20DD"/>
    <w:rsid w:val="003E4C04"/>
    <w:rsid w:val="003E51BF"/>
    <w:rsid w:val="003E5902"/>
    <w:rsid w:val="003F352F"/>
    <w:rsid w:val="003F6A7A"/>
    <w:rsid w:val="004005ED"/>
    <w:rsid w:val="00402F38"/>
    <w:rsid w:val="004032BD"/>
    <w:rsid w:val="0042422B"/>
    <w:rsid w:val="00431878"/>
    <w:rsid w:val="00431C1A"/>
    <w:rsid w:val="00434021"/>
    <w:rsid w:val="0043493E"/>
    <w:rsid w:val="00436FB2"/>
    <w:rsid w:val="004402AD"/>
    <w:rsid w:val="004439DE"/>
    <w:rsid w:val="00444671"/>
    <w:rsid w:val="00445C00"/>
    <w:rsid w:val="004513BB"/>
    <w:rsid w:val="004516F7"/>
    <w:rsid w:val="00461717"/>
    <w:rsid w:val="00463BB0"/>
    <w:rsid w:val="00473899"/>
    <w:rsid w:val="004768D8"/>
    <w:rsid w:val="004800A1"/>
    <w:rsid w:val="00483499"/>
    <w:rsid w:val="0048441E"/>
    <w:rsid w:val="004933D4"/>
    <w:rsid w:val="00493932"/>
    <w:rsid w:val="00495216"/>
    <w:rsid w:val="004969A9"/>
    <w:rsid w:val="004A4673"/>
    <w:rsid w:val="004B1783"/>
    <w:rsid w:val="004B365D"/>
    <w:rsid w:val="004B4386"/>
    <w:rsid w:val="004C7E64"/>
    <w:rsid w:val="004D0F9A"/>
    <w:rsid w:val="004D42EC"/>
    <w:rsid w:val="004D47A4"/>
    <w:rsid w:val="004E00F8"/>
    <w:rsid w:val="004E4573"/>
    <w:rsid w:val="004E4E8D"/>
    <w:rsid w:val="004E683A"/>
    <w:rsid w:val="004F0874"/>
    <w:rsid w:val="004F1B4F"/>
    <w:rsid w:val="004F1F73"/>
    <w:rsid w:val="004F56AF"/>
    <w:rsid w:val="004F5A89"/>
    <w:rsid w:val="004F7B81"/>
    <w:rsid w:val="0050448A"/>
    <w:rsid w:val="005103BA"/>
    <w:rsid w:val="00510E4C"/>
    <w:rsid w:val="00514FD1"/>
    <w:rsid w:val="005212CF"/>
    <w:rsid w:val="00521B58"/>
    <w:rsid w:val="00532675"/>
    <w:rsid w:val="00535025"/>
    <w:rsid w:val="00540CB2"/>
    <w:rsid w:val="0054309A"/>
    <w:rsid w:val="00543451"/>
    <w:rsid w:val="00550CA5"/>
    <w:rsid w:val="00551342"/>
    <w:rsid w:val="005524C9"/>
    <w:rsid w:val="005563DA"/>
    <w:rsid w:val="00572925"/>
    <w:rsid w:val="00582A5C"/>
    <w:rsid w:val="00586838"/>
    <w:rsid w:val="00591160"/>
    <w:rsid w:val="00592CAE"/>
    <w:rsid w:val="005938F2"/>
    <w:rsid w:val="005A020D"/>
    <w:rsid w:val="005A4596"/>
    <w:rsid w:val="005A7A3D"/>
    <w:rsid w:val="005B0766"/>
    <w:rsid w:val="005B3362"/>
    <w:rsid w:val="005B4925"/>
    <w:rsid w:val="005B6855"/>
    <w:rsid w:val="005C1766"/>
    <w:rsid w:val="005E34A9"/>
    <w:rsid w:val="005E4124"/>
    <w:rsid w:val="005E4B46"/>
    <w:rsid w:val="005F6915"/>
    <w:rsid w:val="005F734D"/>
    <w:rsid w:val="0060078A"/>
    <w:rsid w:val="00604115"/>
    <w:rsid w:val="00605425"/>
    <w:rsid w:val="0061786F"/>
    <w:rsid w:val="00621AD7"/>
    <w:rsid w:val="00621E39"/>
    <w:rsid w:val="006356BF"/>
    <w:rsid w:val="0063734B"/>
    <w:rsid w:val="00637EDA"/>
    <w:rsid w:val="006411DC"/>
    <w:rsid w:val="00643EAB"/>
    <w:rsid w:val="00655DCE"/>
    <w:rsid w:val="006578B7"/>
    <w:rsid w:val="00657AE9"/>
    <w:rsid w:val="00657D42"/>
    <w:rsid w:val="006624E8"/>
    <w:rsid w:val="0066723D"/>
    <w:rsid w:val="0067240C"/>
    <w:rsid w:val="00673945"/>
    <w:rsid w:val="00684766"/>
    <w:rsid w:val="006924F7"/>
    <w:rsid w:val="00694740"/>
    <w:rsid w:val="006A0A29"/>
    <w:rsid w:val="006B1B31"/>
    <w:rsid w:val="006B3695"/>
    <w:rsid w:val="006D0FF2"/>
    <w:rsid w:val="006D6325"/>
    <w:rsid w:val="006D7CAB"/>
    <w:rsid w:val="006E5E7F"/>
    <w:rsid w:val="006E68D1"/>
    <w:rsid w:val="006F02EA"/>
    <w:rsid w:val="006F3FEE"/>
    <w:rsid w:val="006F4216"/>
    <w:rsid w:val="006F5B85"/>
    <w:rsid w:val="00702067"/>
    <w:rsid w:val="0070418E"/>
    <w:rsid w:val="00705019"/>
    <w:rsid w:val="00705178"/>
    <w:rsid w:val="0070771B"/>
    <w:rsid w:val="00707786"/>
    <w:rsid w:val="007118F7"/>
    <w:rsid w:val="00713669"/>
    <w:rsid w:val="007246EC"/>
    <w:rsid w:val="0072701D"/>
    <w:rsid w:val="00730595"/>
    <w:rsid w:val="00733D77"/>
    <w:rsid w:val="0073486C"/>
    <w:rsid w:val="00735EF4"/>
    <w:rsid w:val="00743410"/>
    <w:rsid w:val="007444DF"/>
    <w:rsid w:val="0074457B"/>
    <w:rsid w:val="00754EAE"/>
    <w:rsid w:val="0075561B"/>
    <w:rsid w:val="00760EA6"/>
    <w:rsid w:val="0076494E"/>
    <w:rsid w:val="007738B2"/>
    <w:rsid w:val="00774496"/>
    <w:rsid w:val="00774CA6"/>
    <w:rsid w:val="007756FB"/>
    <w:rsid w:val="0078381A"/>
    <w:rsid w:val="00785F87"/>
    <w:rsid w:val="00792AE4"/>
    <w:rsid w:val="0079351C"/>
    <w:rsid w:val="00795B3B"/>
    <w:rsid w:val="007961CD"/>
    <w:rsid w:val="007A5561"/>
    <w:rsid w:val="007A6B20"/>
    <w:rsid w:val="007A6DAC"/>
    <w:rsid w:val="007B342F"/>
    <w:rsid w:val="007C08CC"/>
    <w:rsid w:val="007C17D7"/>
    <w:rsid w:val="007D24F4"/>
    <w:rsid w:val="007D62E2"/>
    <w:rsid w:val="007D75D3"/>
    <w:rsid w:val="007E7AF1"/>
    <w:rsid w:val="007F599B"/>
    <w:rsid w:val="008017E8"/>
    <w:rsid w:val="0080364A"/>
    <w:rsid w:val="0081367E"/>
    <w:rsid w:val="00814379"/>
    <w:rsid w:val="008203B4"/>
    <w:rsid w:val="0082105B"/>
    <w:rsid w:val="008220A2"/>
    <w:rsid w:val="00822CC1"/>
    <w:rsid w:val="0082301E"/>
    <w:rsid w:val="00827512"/>
    <w:rsid w:val="00827BAC"/>
    <w:rsid w:val="00831E79"/>
    <w:rsid w:val="0083438F"/>
    <w:rsid w:val="00834B18"/>
    <w:rsid w:val="00837F94"/>
    <w:rsid w:val="008441C4"/>
    <w:rsid w:val="00845953"/>
    <w:rsid w:val="00851C23"/>
    <w:rsid w:val="00854E39"/>
    <w:rsid w:val="00855E24"/>
    <w:rsid w:val="0085794A"/>
    <w:rsid w:val="00863DD7"/>
    <w:rsid w:val="00864BA4"/>
    <w:rsid w:val="00875895"/>
    <w:rsid w:val="008762B3"/>
    <w:rsid w:val="00880387"/>
    <w:rsid w:val="0088407F"/>
    <w:rsid w:val="008909C6"/>
    <w:rsid w:val="008923F1"/>
    <w:rsid w:val="008961E6"/>
    <w:rsid w:val="008970F4"/>
    <w:rsid w:val="008A0DC5"/>
    <w:rsid w:val="008B234A"/>
    <w:rsid w:val="008B2749"/>
    <w:rsid w:val="008B451C"/>
    <w:rsid w:val="008D06E4"/>
    <w:rsid w:val="008D4CB3"/>
    <w:rsid w:val="008E2D18"/>
    <w:rsid w:val="008F040F"/>
    <w:rsid w:val="008F0CCE"/>
    <w:rsid w:val="008F5185"/>
    <w:rsid w:val="008F7DF2"/>
    <w:rsid w:val="00901ACB"/>
    <w:rsid w:val="00906DD8"/>
    <w:rsid w:val="00910384"/>
    <w:rsid w:val="0091278B"/>
    <w:rsid w:val="009245FE"/>
    <w:rsid w:val="00925F42"/>
    <w:rsid w:val="009332FA"/>
    <w:rsid w:val="00934026"/>
    <w:rsid w:val="00937E4E"/>
    <w:rsid w:val="0094385F"/>
    <w:rsid w:val="00950320"/>
    <w:rsid w:val="009518E6"/>
    <w:rsid w:val="009525A0"/>
    <w:rsid w:val="00952DDD"/>
    <w:rsid w:val="00954AE0"/>
    <w:rsid w:val="00954D03"/>
    <w:rsid w:val="009553B5"/>
    <w:rsid w:val="00956C90"/>
    <w:rsid w:val="00956F17"/>
    <w:rsid w:val="0095714B"/>
    <w:rsid w:val="00957F74"/>
    <w:rsid w:val="009628B0"/>
    <w:rsid w:val="00963204"/>
    <w:rsid w:val="00964AE8"/>
    <w:rsid w:val="009674B6"/>
    <w:rsid w:val="00972E0E"/>
    <w:rsid w:val="00976EF6"/>
    <w:rsid w:val="00977898"/>
    <w:rsid w:val="00977DD4"/>
    <w:rsid w:val="00981B9B"/>
    <w:rsid w:val="00990ED9"/>
    <w:rsid w:val="009920E0"/>
    <w:rsid w:val="00994A1A"/>
    <w:rsid w:val="00996626"/>
    <w:rsid w:val="009A1F3D"/>
    <w:rsid w:val="009A549F"/>
    <w:rsid w:val="009C26F8"/>
    <w:rsid w:val="009C4D94"/>
    <w:rsid w:val="009D5827"/>
    <w:rsid w:val="009F107E"/>
    <w:rsid w:val="009F1159"/>
    <w:rsid w:val="009F2EC3"/>
    <w:rsid w:val="009F30F5"/>
    <w:rsid w:val="009F3CE6"/>
    <w:rsid w:val="009F4626"/>
    <w:rsid w:val="00A00266"/>
    <w:rsid w:val="00A03163"/>
    <w:rsid w:val="00A1123B"/>
    <w:rsid w:val="00A112ED"/>
    <w:rsid w:val="00A119B1"/>
    <w:rsid w:val="00A24912"/>
    <w:rsid w:val="00A2668A"/>
    <w:rsid w:val="00A27B8B"/>
    <w:rsid w:val="00A31820"/>
    <w:rsid w:val="00A3208E"/>
    <w:rsid w:val="00A36353"/>
    <w:rsid w:val="00A421FA"/>
    <w:rsid w:val="00A44C40"/>
    <w:rsid w:val="00A54408"/>
    <w:rsid w:val="00A60DD7"/>
    <w:rsid w:val="00A643E2"/>
    <w:rsid w:val="00A678E9"/>
    <w:rsid w:val="00A67DCC"/>
    <w:rsid w:val="00A70A89"/>
    <w:rsid w:val="00A7372C"/>
    <w:rsid w:val="00A866B7"/>
    <w:rsid w:val="00A95C1E"/>
    <w:rsid w:val="00AA0344"/>
    <w:rsid w:val="00AA06B8"/>
    <w:rsid w:val="00AA0BFA"/>
    <w:rsid w:val="00AA1306"/>
    <w:rsid w:val="00AA24CF"/>
    <w:rsid w:val="00AA2FB9"/>
    <w:rsid w:val="00AB01EB"/>
    <w:rsid w:val="00AB062A"/>
    <w:rsid w:val="00AB25B1"/>
    <w:rsid w:val="00AB4549"/>
    <w:rsid w:val="00AB57C7"/>
    <w:rsid w:val="00AC2D30"/>
    <w:rsid w:val="00AC3A50"/>
    <w:rsid w:val="00AD0074"/>
    <w:rsid w:val="00AD1C9F"/>
    <w:rsid w:val="00AD1EAE"/>
    <w:rsid w:val="00AD457D"/>
    <w:rsid w:val="00AD45E2"/>
    <w:rsid w:val="00AD5974"/>
    <w:rsid w:val="00AD769C"/>
    <w:rsid w:val="00AE27B2"/>
    <w:rsid w:val="00AE3F15"/>
    <w:rsid w:val="00AE4E30"/>
    <w:rsid w:val="00AF4308"/>
    <w:rsid w:val="00B003FF"/>
    <w:rsid w:val="00B00DC0"/>
    <w:rsid w:val="00B10012"/>
    <w:rsid w:val="00B102E6"/>
    <w:rsid w:val="00B11710"/>
    <w:rsid w:val="00B30032"/>
    <w:rsid w:val="00B31952"/>
    <w:rsid w:val="00B32A57"/>
    <w:rsid w:val="00B347FF"/>
    <w:rsid w:val="00B37458"/>
    <w:rsid w:val="00B40EA4"/>
    <w:rsid w:val="00B42F15"/>
    <w:rsid w:val="00B50153"/>
    <w:rsid w:val="00B51F10"/>
    <w:rsid w:val="00B52EEC"/>
    <w:rsid w:val="00B61681"/>
    <w:rsid w:val="00B66F81"/>
    <w:rsid w:val="00B701BB"/>
    <w:rsid w:val="00B71218"/>
    <w:rsid w:val="00B77EC5"/>
    <w:rsid w:val="00B80745"/>
    <w:rsid w:val="00B86095"/>
    <w:rsid w:val="00B86A28"/>
    <w:rsid w:val="00B94BFC"/>
    <w:rsid w:val="00BA079A"/>
    <w:rsid w:val="00BA1299"/>
    <w:rsid w:val="00BA7295"/>
    <w:rsid w:val="00BA79D6"/>
    <w:rsid w:val="00BB060F"/>
    <w:rsid w:val="00BB2B35"/>
    <w:rsid w:val="00BB4655"/>
    <w:rsid w:val="00BC24BC"/>
    <w:rsid w:val="00BC32A1"/>
    <w:rsid w:val="00BC4218"/>
    <w:rsid w:val="00BD568B"/>
    <w:rsid w:val="00BF2451"/>
    <w:rsid w:val="00BF7E8F"/>
    <w:rsid w:val="00C03A87"/>
    <w:rsid w:val="00C03C7B"/>
    <w:rsid w:val="00C119BF"/>
    <w:rsid w:val="00C1653F"/>
    <w:rsid w:val="00C20A48"/>
    <w:rsid w:val="00C21036"/>
    <w:rsid w:val="00C21E38"/>
    <w:rsid w:val="00C2458E"/>
    <w:rsid w:val="00C248C3"/>
    <w:rsid w:val="00C36BFE"/>
    <w:rsid w:val="00C372FF"/>
    <w:rsid w:val="00C41059"/>
    <w:rsid w:val="00C453A0"/>
    <w:rsid w:val="00C47067"/>
    <w:rsid w:val="00C4730A"/>
    <w:rsid w:val="00C57691"/>
    <w:rsid w:val="00C62126"/>
    <w:rsid w:val="00C70D26"/>
    <w:rsid w:val="00C733FB"/>
    <w:rsid w:val="00C74583"/>
    <w:rsid w:val="00C80266"/>
    <w:rsid w:val="00C837B1"/>
    <w:rsid w:val="00C84851"/>
    <w:rsid w:val="00C8599E"/>
    <w:rsid w:val="00C86AC2"/>
    <w:rsid w:val="00C87E1E"/>
    <w:rsid w:val="00C92FA7"/>
    <w:rsid w:val="00C93D4E"/>
    <w:rsid w:val="00C95215"/>
    <w:rsid w:val="00CA23A1"/>
    <w:rsid w:val="00CA3FFA"/>
    <w:rsid w:val="00CA6027"/>
    <w:rsid w:val="00CB3C74"/>
    <w:rsid w:val="00CC025C"/>
    <w:rsid w:val="00CC2DFB"/>
    <w:rsid w:val="00CD136A"/>
    <w:rsid w:val="00CD1A98"/>
    <w:rsid w:val="00CD1B85"/>
    <w:rsid w:val="00CE34C4"/>
    <w:rsid w:val="00CE3984"/>
    <w:rsid w:val="00CE761F"/>
    <w:rsid w:val="00CF1EE8"/>
    <w:rsid w:val="00CF49E6"/>
    <w:rsid w:val="00CF7A66"/>
    <w:rsid w:val="00D00299"/>
    <w:rsid w:val="00D02168"/>
    <w:rsid w:val="00D06610"/>
    <w:rsid w:val="00D11204"/>
    <w:rsid w:val="00D14FA6"/>
    <w:rsid w:val="00D206CA"/>
    <w:rsid w:val="00D24DB6"/>
    <w:rsid w:val="00D2637D"/>
    <w:rsid w:val="00D26D28"/>
    <w:rsid w:val="00D3032B"/>
    <w:rsid w:val="00D33103"/>
    <w:rsid w:val="00D33476"/>
    <w:rsid w:val="00D36D69"/>
    <w:rsid w:val="00D46934"/>
    <w:rsid w:val="00D47457"/>
    <w:rsid w:val="00D55D45"/>
    <w:rsid w:val="00D62E82"/>
    <w:rsid w:val="00D62F75"/>
    <w:rsid w:val="00D71F63"/>
    <w:rsid w:val="00D722A3"/>
    <w:rsid w:val="00D874C6"/>
    <w:rsid w:val="00D90902"/>
    <w:rsid w:val="00DA236D"/>
    <w:rsid w:val="00DA3CD8"/>
    <w:rsid w:val="00DB2728"/>
    <w:rsid w:val="00DB3D37"/>
    <w:rsid w:val="00DB49A6"/>
    <w:rsid w:val="00DB67FF"/>
    <w:rsid w:val="00DC4987"/>
    <w:rsid w:val="00DD6A07"/>
    <w:rsid w:val="00DE0521"/>
    <w:rsid w:val="00DE0625"/>
    <w:rsid w:val="00DE2ECC"/>
    <w:rsid w:val="00DE3D90"/>
    <w:rsid w:val="00DE4E20"/>
    <w:rsid w:val="00DE773A"/>
    <w:rsid w:val="00DF626B"/>
    <w:rsid w:val="00E066A7"/>
    <w:rsid w:val="00E158EC"/>
    <w:rsid w:val="00E20C1A"/>
    <w:rsid w:val="00E23302"/>
    <w:rsid w:val="00E316DA"/>
    <w:rsid w:val="00E33008"/>
    <w:rsid w:val="00E3321E"/>
    <w:rsid w:val="00E341B5"/>
    <w:rsid w:val="00E368BA"/>
    <w:rsid w:val="00E44A3C"/>
    <w:rsid w:val="00E45360"/>
    <w:rsid w:val="00E516D0"/>
    <w:rsid w:val="00E51879"/>
    <w:rsid w:val="00E55A14"/>
    <w:rsid w:val="00E56650"/>
    <w:rsid w:val="00E60D8F"/>
    <w:rsid w:val="00E627AD"/>
    <w:rsid w:val="00E62C49"/>
    <w:rsid w:val="00E63872"/>
    <w:rsid w:val="00E6688C"/>
    <w:rsid w:val="00E74D8B"/>
    <w:rsid w:val="00E76A80"/>
    <w:rsid w:val="00E80500"/>
    <w:rsid w:val="00E814DC"/>
    <w:rsid w:val="00E8327F"/>
    <w:rsid w:val="00E87921"/>
    <w:rsid w:val="00E94902"/>
    <w:rsid w:val="00E97224"/>
    <w:rsid w:val="00EA0699"/>
    <w:rsid w:val="00EA1287"/>
    <w:rsid w:val="00EA545A"/>
    <w:rsid w:val="00EA5FA1"/>
    <w:rsid w:val="00EA7488"/>
    <w:rsid w:val="00EA7F8E"/>
    <w:rsid w:val="00EB1818"/>
    <w:rsid w:val="00EB56E4"/>
    <w:rsid w:val="00EC42A9"/>
    <w:rsid w:val="00EC433B"/>
    <w:rsid w:val="00EC49BB"/>
    <w:rsid w:val="00EC5D32"/>
    <w:rsid w:val="00EC7CDB"/>
    <w:rsid w:val="00EE12D0"/>
    <w:rsid w:val="00EF06E7"/>
    <w:rsid w:val="00EF0B31"/>
    <w:rsid w:val="00EF26C4"/>
    <w:rsid w:val="00EF64F1"/>
    <w:rsid w:val="00F021A9"/>
    <w:rsid w:val="00F02BE8"/>
    <w:rsid w:val="00F0480D"/>
    <w:rsid w:val="00F06673"/>
    <w:rsid w:val="00F0773C"/>
    <w:rsid w:val="00F114FB"/>
    <w:rsid w:val="00F12373"/>
    <w:rsid w:val="00F2425A"/>
    <w:rsid w:val="00F40050"/>
    <w:rsid w:val="00F42203"/>
    <w:rsid w:val="00F43911"/>
    <w:rsid w:val="00F50E37"/>
    <w:rsid w:val="00F62C17"/>
    <w:rsid w:val="00F64CE6"/>
    <w:rsid w:val="00F65706"/>
    <w:rsid w:val="00F65A41"/>
    <w:rsid w:val="00F67A98"/>
    <w:rsid w:val="00F74912"/>
    <w:rsid w:val="00F74B9D"/>
    <w:rsid w:val="00F779A3"/>
    <w:rsid w:val="00F811A1"/>
    <w:rsid w:val="00F9585D"/>
    <w:rsid w:val="00F95EFC"/>
    <w:rsid w:val="00FA1AAC"/>
    <w:rsid w:val="00FA1ADB"/>
    <w:rsid w:val="00FA4363"/>
    <w:rsid w:val="00FA6191"/>
    <w:rsid w:val="00FA728C"/>
    <w:rsid w:val="00FB003B"/>
    <w:rsid w:val="00FC5093"/>
    <w:rsid w:val="00FD0B0A"/>
    <w:rsid w:val="00FD13B6"/>
    <w:rsid w:val="00FD6F89"/>
    <w:rsid w:val="00FE11F0"/>
    <w:rsid w:val="00FE396F"/>
    <w:rsid w:val="00FE6664"/>
    <w:rsid w:val="00FE779F"/>
    <w:rsid w:val="00FF2D35"/>
    <w:rsid w:val="00FF593A"/>
    <w:rsid w:val="00FF67C4"/>
    <w:rsid w:val="00FF735C"/>
    <w:rsid w:val="00FF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964CE7-7E49-4E13-8FD0-8B518919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301735299">
      <w:bodyDiv w:val="1"/>
      <w:marLeft w:val="0"/>
      <w:marRight w:val="0"/>
      <w:marTop w:val="0"/>
      <w:marBottom w:val="0"/>
      <w:divBdr>
        <w:top w:val="none" w:sz="0" w:space="0" w:color="auto"/>
        <w:left w:val="none" w:sz="0" w:space="0" w:color="auto"/>
        <w:bottom w:val="none" w:sz="0" w:space="0" w:color="auto"/>
        <w:right w:val="none" w:sz="0" w:space="0" w:color="auto"/>
      </w:divBdr>
      <w:divsChild>
        <w:div w:id="1999531793">
          <w:marLeft w:val="0"/>
          <w:marRight w:val="0"/>
          <w:marTop w:val="0"/>
          <w:marBottom w:val="0"/>
          <w:divBdr>
            <w:top w:val="none" w:sz="0" w:space="0" w:color="auto"/>
            <w:left w:val="none" w:sz="0" w:space="0" w:color="auto"/>
            <w:bottom w:val="none" w:sz="0" w:space="0" w:color="auto"/>
            <w:right w:val="none" w:sz="0" w:space="0" w:color="auto"/>
          </w:divBdr>
          <w:divsChild>
            <w:div w:id="496073459">
              <w:marLeft w:val="3225"/>
              <w:marRight w:val="0"/>
              <w:marTop w:val="0"/>
              <w:marBottom w:val="0"/>
              <w:divBdr>
                <w:top w:val="none" w:sz="0" w:space="0" w:color="auto"/>
                <w:left w:val="none" w:sz="0" w:space="0" w:color="auto"/>
                <w:bottom w:val="none" w:sz="0" w:space="0" w:color="auto"/>
                <w:right w:val="none" w:sz="0" w:space="0" w:color="auto"/>
              </w:divBdr>
              <w:divsChild>
                <w:div w:id="1620994343">
                  <w:marLeft w:val="90"/>
                  <w:marRight w:val="0"/>
                  <w:marTop w:val="0"/>
                  <w:marBottom w:val="0"/>
                  <w:divBdr>
                    <w:top w:val="single" w:sz="6" w:space="0" w:color="EEEEEE"/>
                    <w:left w:val="none" w:sz="0" w:space="0" w:color="auto"/>
                    <w:bottom w:val="none" w:sz="0" w:space="0" w:color="auto"/>
                    <w:right w:val="none" w:sz="0" w:space="0" w:color="auto"/>
                  </w:divBdr>
                  <w:divsChild>
                    <w:div w:id="1620599564">
                      <w:marLeft w:val="0"/>
                      <w:marRight w:val="0"/>
                      <w:marTop w:val="0"/>
                      <w:marBottom w:val="0"/>
                      <w:divBdr>
                        <w:top w:val="none" w:sz="0" w:space="0" w:color="auto"/>
                        <w:left w:val="none" w:sz="0" w:space="0" w:color="auto"/>
                        <w:bottom w:val="none" w:sz="0" w:space="0" w:color="auto"/>
                        <w:right w:val="none" w:sz="0" w:space="0" w:color="auto"/>
                      </w:divBdr>
                      <w:divsChild>
                        <w:div w:id="1828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910429388">
      <w:bodyDiv w:val="1"/>
      <w:marLeft w:val="0"/>
      <w:marRight w:val="0"/>
      <w:marTop w:val="0"/>
      <w:marBottom w:val="0"/>
      <w:divBdr>
        <w:top w:val="none" w:sz="0" w:space="0" w:color="auto"/>
        <w:left w:val="none" w:sz="0" w:space="0" w:color="auto"/>
        <w:bottom w:val="none" w:sz="0" w:space="0" w:color="auto"/>
        <w:right w:val="none" w:sz="0" w:space="0" w:color="auto"/>
      </w:divBdr>
      <w:divsChild>
        <w:div w:id="1582789078">
          <w:marLeft w:val="0"/>
          <w:marRight w:val="0"/>
          <w:marTop w:val="0"/>
          <w:marBottom w:val="0"/>
          <w:divBdr>
            <w:top w:val="none" w:sz="0" w:space="0" w:color="auto"/>
            <w:left w:val="none" w:sz="0" w:space="0" w:color="auto"/>
            <w:bottom w:val="none" w:sz="0" w:space="0" w:color="auto"/>
            <w:right w:val="none" w:sz="0" w:space="0" w:color="auto"/>
          </w:divBdr>
          <w:divsChild>
            <w:div w:id="1664621479">
              <w:marLeft w:val="0"/>
              <w:marRight w:val="0"/>
              <w:marTop w:val="0"/>
              <w:marBottom w:val="0"/>
              <w:divBdr>
                <w:top w:val="none" w:sz="0" w:space="0" w:color="auto"/>
                <w:left w:val="none" w:sz="0" w:space="0" w:color="auto"/>
                <w:bottom w:val="none" w:sz="0" w:space="0" w:color="auto"/>
                <w:right w:val="none" w:sz="0" w:space="0" w:color="auto"/>
              </w:divBdr>
              <w:divsChild>
                <w:div w:id="1899122696">
                  <w:marLeft w:val="0"/>
                  <w:marRight w:val="0"/>
                  <w:marTop w:val="0"/>
                  <w:marBottom w:val="0"/>
                  <w:divBdr>
                    <w:top w:val="none" w:sz="0" w:space="0" w:color="auto"/>
                    <w:left w:val="none" w:sz="0" w:space="0" w:color="auto"/>
                    <w:bottom w:val="none" w:sz="0" w:space="0" w:color="auto"/>
                    <w:right w:val="none" w:sz="0" w:space="0" w:color="auto"/>
                  </w:divBdr>
                  <w:divsChild>
                    <w:div w:id="1073160727">
                      <w:marLeft w:val="0"/>
                      <w:marRight w:val="0"/>
                      <w:marTop w:val="0"/>
                      <w:marBottom w:val="0"/>
                      <w:divBdr>
                        <w:top w:val="none" w:sz="0" w:space="0" w:color="auto"/>
                        <w:left w:val="none" w:sz="0" w:space="0" w:color="auto"/>
                        <w:bottom w:val="none" w:sz="0" w:space="0" w:color="auto"/>
                        <w:right w:val="none" w:sz="0" w:space="0" w:color="auto"/>
                      </w:divBdr>
                      <w:divsChild>
                        <w:div w:id="1948348204">
                          <w:marLeft w:val="0"/>
                          <w:marRight w:val="0"/>
                          <w:marTop w:val="0"/>
                          <w:marBottom w:val="0"/>
                          <w:divBdr>
                            <w:top w:val="none" w:sz="0" w:space="0" w:color="auto"/>
                            <w:left w:val="none" w:sz="0" w:space="0" w:color="auto"/>
                            <w:bottom w:val="none" w:sz="0" w:space="0" w:color="auto"/>
                            <w:right w:val="none" w:sz="0" w:space="0" w:color="auto"/>
                          </w:divBdr>
                          <w:divsChild>
                            <w:div w:id="1520437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Lukss@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9EE5-C1EF-4300-94BE-FDB1A542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3696</Words>
  <Characters>2107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Nr.1502 "Noteikumi par dabasgāzes apriti un akcīzes nodokļa piemērošanas kārtība"” sākotnējās ietekmes novērtējuma ziņojums (anotācija)</vt:lpstr>
    </vt:vector>
  </TitlesOfParts>
  <Manager>G.Pužule</Manager>
  <Company>Finanšu ministrija</Company>
  <LinksUpToDate>false</LinksUpToDate>
  <CharactersWithSpaces>5792</CharactersWithSpaces>
  <SharedDoc>false</SharedDoc>
  <HLinks>
    <vt:vector size="24" baseType="variant">
      <vt:variant>
        <vt:i4>2818062</vt:i4>
      </vt:variant>
      <vt:variant>
        <vt:i4>9</vt:i4>
      </vt:variant>
      <vt:variant>
        <vt:i4>0</vt:i4>
      </vt:variant>
      <vt:variant>
        <vt:i4>5</vt:i4>
      </vt:variant>
      <vt:variant>
        <vt:lpwstr>mailto:Ella.Hartmane@fm.gov.lv</vt:lpwstr>
      </vt:variant>
      <vt:variant>
        <vt:lpwstr/>
      </vt:variant>
      <vt:variant>
        <vt:i4>2293887</vt:i4>
      </vt:variant>
      <vt:variant>
        <vt:i4>6</vt:i4>
      </vt:variant>
      <vt:variant>
        <vt:i4>0</vt:i4>
      </vt:variant>
      <vt:variant>
        <vt:i4>5</vt:i4>
      </vt:variant>
      <vt:variant>
        <vt:lpwstr>http://eur-lex.europa.eu/LexUriServ/LexUriServ.do?uri=CELEX:31987R2658:LV:HTML</vt:lpwstr>
      </vt:variant>
      <vt:variant>
        <vt:lpwstr/>
      </vt:variant>
      <vt:variant>
        <vt:i4>2293887</vt:i4>
      </vt:variant>
      <vt:variant>
        <vt:i4>3</vt:i4>
      </vt:variant>
      <vt:variant>
        <vt:i4>0</vt:i4>
      </vt:variant>
      <vt:variant>
        <vt:i4>5</vt:i4>
      </vt:variant>
      <vt:variant>
        <vt:lpwstr>http://eur-lex.europa.eu/LexUriServ/LexUriServ.do?uri=CELEX:31987R2658:LV:HTML</vt:lpwstr>
      </vt:variant>
      <vt:variant>
        <vt:lpwstr/>
      </vt:variant>
      <vt:variant>
        <vt:i4>2293887</vt:i4>
      </vt:variant>
      <vt:variant>
        <vt:i4>0</vt:i4>
      </vt:variant>
      <vt:variant>
        <vt:i4>0</vt:i4>
      </vt:variant>
      <vt:variant>
        <vt:i4>5</vt:i4>
      </vt:variant>
      <vt:variant>
        <vt:lpwstr>http://eur-lex.europa.eu/LexUriServ/LexUriServ.do?uri=CELEX:31987R2658:LV:HTML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Nr.1502 "Noteikumi par dabasgāzes apriti un akcīzes nodokļa piemērošanas kārtība"” sākotnējās ietekmes novērtējuma ziņojums (anotācija)</dc:title>
  <dc:subject>Anotācija</dc:subject>
  <dc:creator>juris.lukss@fm.gov.lv</dc:creator>
  <cp:keywords/>
  <dc:description>J.Lukss, 67083846
Juris.Lukss@fm.gov.lv</dc:description>
  <cp:lastModifiedBy>Finanšu ministrija</cp:lastModifiedBy>
  <cp:revision>11</cp:revision>
  <cp:lastPrinted>2015-05-28T09:10:00Z</cp:lastPrinted>
  <dcterms:created xsi:type="dcterms:W3CDTF">2015-09-15T07:05:00Z</dcterms:created>
  <dcterms:modified xsi:type="dcterms:W3CDTF">2015-10-08T13:08:00Z</dcterms:modified>
</cp:coreProperties>
</file>