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AC3" w:rsidRPr="00BA19E0" w:rsidRDefault="002C0AC3" w:rsidP="006E2EFB">
      <w:pPr>
        <w:jc w:val="center"/>
        <w:rPr>
          <w:b/>
          <w:bCs/>
        </w:rPr>
      </w:pPr>
      <w:bookmarkStart w:id="0" w:name="_GoBack"/>
      <w:bookmarkEnd w:id="0"/>
      <w:r w:rsidRPr="00CF7CB3">
        <w:rPr>
          <w:sz w:val="28"/>
          <w:szCs w:val="28"/>
        </w:rPr>
        <w:t xml:space="preserve">Ministru kabineta rīkojuma </w:t>
      </w:r>
      <w:r w:rsidR="00914553">
        <w:rPr>
          <w:sz w:val="28"/>
          <w:szCs w:val="28"/>
        </w:rPr>
        <w:t>“</w:t>
      </w:r>
      <w:r w:rsidR="00813890" w:rsidRPr="00813890">
        <w:rPr>
          <w:sz w:val="28"/>
          <w:szCs w:val="28"/>
        </w:rPr>
        <w:t>Par atļauju Finanšu ministrijai (Valsts ieņēmumu dienestam) uzņemties saistības un īstenot projektus un pasākumus Eiropas Komisijas tieši administrētajās programmās”</w:t>
      </w:r>
      <w:r w:rsidR="00813890">
        <w:rPr>
          <w:sz w:val="28"/>
          <w:szCs w:val="28"/>
        </w:rPr>
        <w:t xml:space="preserve"> </w:t>
      </w:r>
      <w:r w:rsidRPr="00CF7CB3">
        <w:rPr>
          <w:sz w:val="28"/>
          <w:szCs w:val="28"/>
        </w:rPr>
        <w:t xml:space="preserve">sākotnējās ietekmes novērtējuma </w:t>
      </w:r>
      <w:smartTag w:uri="schemas-tilde-lv/tildestengine" w:element="veidnes">
        <w:smartTagPr>
          <w:attr w:name="text" w:val="ziņojums"/>
          <w:attr w:name="baseform" w:val="ziņojums"/>
          <w:attr w:name="id" w:val="-1"/>
        </w:smartTagPr>
        <w:r w:rsidRPr="00CF7CB3">
          <w:rPr>
            <w:sz w:val="28"/>
            <w:szCs w:val="28"/>
          </w:rPr>
          <w:t>ziņojums</w:t>
        </w:r>
      </w:smartTag>
      <w:r w:rsidRPr="00CF7CB3">
        <w:rPr>
          <w:sz w:val="28"/>
          <w:szCs w:val="28"/>
        </w:rPr>
        <w:t xml:space="preserve"> (anotācija)</w:t>
      </w:r>
    </w:p>
    <w:p w:rsidR="00F631B6" w:rsidRPr="00E74ED5" w:rsidRDefault="00F631B6" w:rsidP="00D90273">
      <w:pPr>
        <w:jc w:val="center"/>
        <w:rPr>
          <w:sz w:val="28"/>
          <w:szCs w:val="28"/>
        </w:rPr>
      </w:pPr>
    </w:p>
    <w:tbl>
      <w:tblPr>
        <w:tblpPr w:leftFromText="180" w:rightFromText="180" w:vertAnchor="text" w:horzAnchor="margin" w:tblpXSpec="center" w:tblpY="116"/>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4"/>
        <w:gridCol w:w="2278"/>
        <w:gridCol w:w="6969"/>
      </w:tblGrid>
      <w:tr w:rsidR="0095561D" w:rsidRPr="0062008E" w:rsidTr="003B0E20">
        <w:tc>
          <w:tcPr>
            <w:tcW w:w="9781" w:type="dxa"/>
            <w:gridSpan w:val="3"/>
            <w:tcBorders>
              <w:top w:val="single" w:sz="6" w:space="0" w:color="auto"/>
              <w:left w:val="single" w:sz="6" w:space="0" w:color="auto"/>
              <w:bottom w:val="single" w:sz="6" w:space="0" w:color="auto"/>
              <w:right w:val="single" w:sz="6" w:space="0" w:color="auto"/>
            </w:tcBorders>
            <w:vAlign w:val="center"/>
          </w:tcPr>
          <w:p w:rsidR="0095561D" w:rsidRPr="0062008E" w:rsidRDefault="0095561D" w:rsidP="006A554A">
            <w:pPr>
              <w:jc w:val="center"/>
              <w:rPr>
                <w:b/>
                <w:color w:val="000000"/>
              </w:rPr>
            </w:pPr>
            <w:r w:rsidRPr="0062008E">
              <w:rPr>
                <w:b/>
                <w:color w:val="000000"/>
              </w:rPr>
              <w:t xml:space="preserve">I.Tiesību akta projekta izstrādes nepieciešamība </w:t>
            </w:r>
          </w:p>
        </w:tc>
      </w:tr>
      <w:tr w:rsidR="0095561D" w:rsidRPr="0062008E" w:rsidTr="003B0E2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534" w:type="dxa"/>
            <w:tcBorders>
              <w:top w:val="outset" w:sz="6" w:space="0" w:color="auto"/>
              <w:left w:val="outset" w:sz="6" w:space="0" w:color="auto"/>
              <w:bottom w:val="outset" w:sz="6" w:space="0" w:color="auto"/>
              <w:right w:val="outset" w:sz="6" w:space="0" w:color="auto"/>
            </w:tcBorders>
          </w:tcPr>
          <w:p w:rsidR="0095561D" w:rsidRPr="0062008E" w:rsidRDefault="0095561D" w:rsidP="00F070A9">
            <w:pPr>
              <w:pStyle w:val="naisf"/>
              <w:spacing w:before="0" w:after="0"/>
              <w:ind w:firstLine="0"/>
            </w:pPr>
            <w:r w:rsidRPr="0062008E">
              <w:t>1.</w:t>
            </w:r>
          </w:p>
        </w:tc>
        <w:tc>
          <w:tcPr>
            <w:tcW w:w="2278" w:type="dxa"/>
            <w:tcBorders>
              <w:top w:val="outset" w:sz="6" w:space="0" w:color="auto"/>
              <w:left w:val="outset" w:sz="6" w:space="0" w:color="auto"/>
              <w:bottom w:val="outset" w:sz="6" w:space="0" w:color="auto"/>
              <w:right w:val="outset" w:sz="6" w:space="0" w:color="auto"/>
            </w:tcBorders>
          </w:tcPr>
          <w:p w:rsidR="0095561D" w:rsidRPr="0062008E" w:rsidRDefault="0095561D" w:rsidP="00F070A9">
            <w:pPr>
              <w:pStyle w:val="naisf"/>
              <w:spacing w:before="0" w:after="0"/>
              <w:ind w:firstLine="0"/>
            </w:pPr>
            <w:r w:rsidRPr="0062008E">
              <w:t>Pamatojums</w:t>
            </w:r>
          </w:p>
        </w:tc>
        <w:tc>
          <w:tcPr>
            <w:tcW w:w="6969" w:type="dxa"/>
            <w:tcBorders>
              <w:top w:val="outset" w:sz="6" w:space="0" w:color="auto"/>
              <w:left w:val="outset" w:sz="6" w:space="0" w:color="auto"/>
              <w:bottom w:val="outset" w:sz="6" w:space="0" w:color="auto"/>
              <w:right w:val="outset" w:sz="6" w:space="0" w:color="auto"/>
            </w:tcBorders>
          </w:tcPr>
          <w:p w:rsidR="00063ABD" w:rsidRDefault="00063ABD" w:rsidP="0091419C">
            <w:pPr>
              <w:pStyle w:val="Heading2"/>
              <w:ind w:firstLine="595"/>
              <w:jc w:val="both"/>
              <w:rPr>
                <w:sz w:val="24"/>
                <w:szCs w:val="24"/>
              </w:rPr>
            </w:pPr>
            <w:r>
              <w:rPr>
                <w:sz w:val="24"/>
                <w:szCs w:val="24"/>
              </w:rPr>
              <w:t>Likum</w:t>
            </w:r>
            <w:r w:rsidR="00F070A9">
              <w:rPr>
                <w:sz w:val="24"/>
                <w:szCs w:val="24"/>
              </w:rPr>
              <w:t>a</w:t>
            </w:r>
            <w:r>
              <w:rPr>
                <w:sz w:val="24"/>
                <w:szCs w:val="24"/>
              </w:rPr>
              <w:t xml:space="preserve"> </w:t>
            </w:r>
            <w:r w:rsidR="00914553">
              <w:rPr>
                <w:sz w:val="24"/>
                <w:szCs w:val="24"/>
              </w:rPr>
              <w:t>“</w:t>
            </w:r>
            <w:r>
              <w:rPr>
                <w:sz w:val="24"/>
                <w:szCs w:val="24"/>
              </w:rPr>
              <w:t>Par budžetu un finanšu vadību</w:t>
            </w:r>
            <w:r w:rsidR="00F43D22">
              <w:rPr>
                <w:sz w:val="24"/>
                <w:szCs w:val="24"/>
              </w:rPr>
              <w:t>” 24.panta trešajā daļā noteiktais, ka b</w:t>
            </w:r>
            <w:r w:rsidR="00F43D22" w:rsidRPr="00F43D22">
              <w:rPr>
                <w:sz w:val="24"/>
                <w:szCs w:val="24"/>
              </w:rPr>
              <w:t>udžeta iestādes var uzņemties papildu valsts budžeta ilgtermiņa saistības vienīgi Eiropas Savienības politikas instrumentu un pārējās ārvalstu finanšu palīdzības līdzfinansētos projektos un pasākumos, ja pieņemts attiecīgs Ministru kabineta lēmums.</w:t>
            </w:r>
          </w:p>
          <w:p w:rsidR="007D359F" w:rsidRPr="00A177D5" w:rsidRDefault="006D27AE" w:rsidP="0091419C">
            <w:pPr>
              <w:pStyle w:val="Heading2"/>
              <w:ind w:firstLine="595"/>
              <w:jc w:val="both"/>
              <w:rPr>
                <w:sz w:val="24"/>
                <w:szCs w:val="24"/>
              </w:rPr>
            </w:pPr>
            <w:r>
              <w:rPr>
                <w:sz w:val="24"/>
                <w:szCs w:val="24"/>
              </w:rPr>
              <w:t>M</w:t>
            </w:r>
            <w:r w:rsidRPr="006D27AE">
              <w:rPr>
                <w:sz w:val="24"/>
                <w:szCs w:val="24"/>
              </w:rPr>
              <w:t xml:space="preserve">inistru kabineta 2012.gada 31.jūlija noteikumu Nr.523 </w:t>
            </w:r>
            <w:r w:rsidR="00914553">
              <w:rPr>
                <w:sz w:val="24"/>
                <w:szCs w:val="24"/>
              </w:rPr>
              <w:t>“</w:t>
            </w:r>
            <w:r w:rsidRPr="006D27AE">
              <w:rPr>
                <w:sz w:val="24"/>
                <w:szCs w:val="24"/>
              </w:rPr>
              <w:t>Noteikumi par budžeta pieprasījumu izstrādāšanas un iesniegšanas pamatprincipiem” 34.5.apakšpunktā noteikt</w:t>
            </w:r>
            <w:r>
              <w:rPr>
                <w:sz w:val="24"/>
                <w:szCs w:val="24"/>
              </w:rPr>
              <w:t>ais</w:t>
            </w:r>
            <w:r w:rsidRPr="006D27AE">
              <w:rPr>
                <w:sz w:val="24"/>
                <w:szCs w:val="24"/>
              </w:rPr>
              <w:t>, ka Eiropas Savienības politiku instrumentu un pārējās ārvalstu finanšu palīdzības līdzfinansētiem un finansētiem projektiem un pasākumiem, kuriem maksājumu veikšana ir paredzēta, tikai sākot ar n+1 gadu un turpmākajos gados, nepieciešams Ministru kabineta lēmums par tiesībām uzņemties jaunas valsts budžeta ilgtermiņa saistības, izņemot gadījumus, ja šādas tiesības paredzētas normatīvajā aktā vai tiesību aktā par attiecīgā Eiropas Savienības politiku instrumentu un pārējās ārvalstu finanšu palīdzības līdzfinansēto projektu un pasākumu īstenošanu.</w:t>
            </w:r>
          </w:p>
        </w:tc>
      </w:tr>
      <w:tr w:rsidR="0095561D" w:rsidRPr="0062008E" w:rsidTr="003B0E20">
        <w:trPr>
          <w:trHeight w:val="347"/>
        </w:trPr>
        <w:tc>
          <w:tcPr>
            <w:tcW w:w="534" w:type="dxa"/>
            <w:tcBorders>
              <w:top w:val="single" w:sz="6" w:space="0" w:color="auto"/>
              <w:left w:val="single" w:sz="6" w:space="0" w:color="auto"/>
              <w:bottom w:val="single" w:sz="6" w:space="0" w:color="auto"/>
              <w:right w:val="single" w:sz="6" w:space="0" w:color="auto"/>
            </w:tcBorders>
          </w:tcPr>
          <w:p w:rsidR="0095561D" w:rsidRPr="0062008E" w:rsidRDefault="0095561D" w:rsidP="008E5615">
            <w:pPr>
              <w:spacing w:before="100" w:beforeAutospacing="1" w:after="100" w:afterAutospacing="1"/>
              <w:rPr>
                <w:color w:val="000000"/>
              </w:rPr>
            </w:pPr>
            <w:r w:rsidRPr="0062008E">
              <w:rPr>
                <w:color w:val="000000"/>
              </w:rPr>
              <w:t>2.</w:t>
            </w:r>
          </w:p>
        </w:tc>
        <w:tc>
          <w:tcPr>
            <w:tcW w:w="2278" w:type="dxa"/>
            <w:tcBorders>
              <w:top w:val="single" w:sz="6" w:space="0" w:color="auto"/>
              <w:left w:val="single" w:sz="6" w:space="0" w:color="auto"/>
              <w:bottom w:val="single" w:sz="6" w:space="0" w:color="auto"/>
              <w:right w:val="single" w:sz="6" w:space="0" w:color="auto"/>
            </w:tcBorders>
          </w:tcPr>
          <w:p w:rsidR="0095561D" w:rsidRPr="0062008E" w:rsidRDefault="0095561D" w:rsidP="008E5615">
            <w:pPr>
              <w:spacing w:before="100" w:beforeAutospacing="1" w:after="100" w:afterAutospacing="1"/>
              <w:rPr>
                <w:color w:val="000000"/>
                <w:lang w:eastAsia="en-US"/>
              </w:rPr>
            </w:pPr>
            <w:r w:rsidRPr="0062008E">
              <w:rPr>
                <w:color w:val="000000"/>
              </w:rPr>
              <w:t>Pašreizējā situācija un problēmas</w:t>
            </w:r>
            <w:r w:rsidR="00546D03">
              <w:rPr>
                <w:color w:val="000000"/>
              </w:rPr>
              <w:t>, kuru risināšanai tiesību akta projekts izstrādāts, tiesiskā regulējuma mērķis un būtība</w:t>
            </w:r>
          </w:p>
          <w:p w:rsidR="0095561D" w:rsidRPr="0062008E" w:rsidRDefault="0095561D" w:rsidP="008E5615">
            <w:pPr>
              <w:spacing w:before="100" w:beforeAutospacing="1" w:after="100" w:afterAutospacing="1"/>
              <w:rPr>
                <w:color w:val="000000"/>
              </w:rPr>
            </w:pPr>
          </w:p>
        </w:tc>
        <w:tc>
          <w:tcPr>
            <w:tcW w:w="6969" w:type="dxa"/>
            <w:tcBorders>
              <w:top w:val="single" w:sz="6" w:space="0" w:color="auto"/>
              <w:left w:val="single" w:sz="6" w:space="0" w:color="auto"/>
              <w:bottom w:val="single" w:sz="6" w:space="0" w:color="auto"/>
              <w:right w:val="single" w:sz="6" w:space="0" w:color="auto"/>
            </w:tcBorders>
          </w:tcPr>
          <w:p w:rsidR="00063D40" w:rsidRPr="00063D40" w:rsidRDefault="003A6508" w:rsidP="00FA0084">
            <w:pPr>
              <w:ind w:firstLine="666"/>
              <w:jc w:val="both"/>
              <w:rPr>
                <w:bCs/>
              </w:rPr>
            </w:pPr>
            <w:r>
              <w:rPr>
                <w:bCs/>
              </w:rPr>
              <w:t>Valsts ieņēmumu dienests (turpmāk – VID)</w:t>
            </w:r>
            <w:r w:rsidRPr="00063D40">
              <w:rPr>
                <w:bCs/>
              </w:rPr>
              <w:t xml:space="preserve"> </w:t>
            </w:r>
            <w:r w:rsidR="00063D40" w:rsidRPr="00063D40">
              <w:rPr>
                <w:bCs/>
              </w:rPr>
              <w:t xml:space="preserve">atbilstoši tā pamatfunkcijām </w:t>
            </w:r>
            <w:r w:rsidR="00063D40">
              <w:rPr>
                <w:bCs/>
              </w:rPr>
              <w:t xml:space="preserve">iesniedz projektu </w:t>
            </w:r>
            <w:r w:rsidR="00063D40" w:rsidRPr="00063D40">
              <w:rPr>
                <w:bCs/>
              </w:rPr>
              <w:t>pieteik</w:t>
            </w:r>
            <w:r w:rsidR="00063D40">
              <w:rPr>
                <w:bCs/>
              </w:rPr>
              <w:t xml:space="preserve">umus </w:t>
            </w:r>
            <w:r w:rsidR="00063D40" w:rsidRPr="00063D40">
              <w:rPr>
                <w:bCs/>
              </w:rPr>
              <w:t>vai piedal</w:t>
            </w:r>
            <w:r w:rsidR="00063D40">
              <w:rPr>
                <w:bCs/>
              </w:rPr>
              <w:t>ā</w:t>
            </w:r>
            <w:r w:rsidR="00063D40" w:rsidRPr="00063D40">
              <w:rPr>
                <w:bCs/>
              </w:rPr>
              <w:t>s kā sadarbības partneris citu institūciju</w:t>
            </w:r>
            <w:r w:rsidR="00063D40">
              <w:rPr>
                <w:bCs/>
              </w:rPr>
              <w:t xml:space="preserve"> </w:t>
            </w:r>
            <w:r w:rsidR="00063D40" w:rsidRPr="00063D40">
              <w:rPr>
                <w:bCs/>
              </w:rPr>
              <w:t>vai citu valstu iestāžu pieteiktajos projektos pa</w:t>
            </w:r>
            <w:r w:rsidR="00641069">
              <w:rPr>
                <w:bCs/>
              </w:rPr>
              <w:t>redzēto pasākumu īstenošanā šādā</w:t>
            </w:r>
            <w:r w:rsidR="00063D40" w:rsidRPr="00063D40">
              <w:rPr>
                <w:bCs/>
              </w:rPr>
              <w:t xml:space="preserve"> Eiropa</w:t>
            </w:r>
            <w:r w:rsidR="00641069">
              <w:rPr>
                <w:bCs/>
              </w:rPr>
              <w:t xml:space="preserve">s Komisijas </w:t>
            </w:r>
            <w:r>
              <w:rPr>
                <w:bCs/>
              </w:rPr>
              <w:t xml:space="preserve">(turpmāk – EK) </w:t>
            </w:r>
            <w:r w:rsidR="00641069">
              <w:rPr>
                <w:bCs/>
              </w:rPr>
              <w:t>tieši administrētajā programmā</w:t>
            </w:r>
            <w:r w:rsidR="00914553">
              <w:rPr>
                <w:bCs/>
              </w:rPr>
              <w:t xml:space="preserve"> – </w:t>
            </w:r>
            <w:r w:rsidR="00063D40" w:rsidRPr="00063D40">
              <w:rPr>
                <w:bCs/>
              </w:rPr>
              <w:t>Eiropas Biroja krāpšanas apkarošanai (</w:t>
            </w:r>
            <w:r w:rsidR="00063D40" w:rsidRPr="0091419C">
              <w:rPr>
                <w:bCs/>
                <w:i/>
              </w:rPr>
              <w:t>OLAF</w:t>
            </w:r>
            <w:r w:rsidR="00063D40" w:rsidRPr="00063D40">
              <w:rPr>
                <w:bCs/>
              </w:rPr>
              <w:t xml:space="preserve">) programma </w:t>
            </w:r>
            <w:r w:rsidR="00622379">
              <w:rPr>
                <w:bCs/>
              </w:rPr>
              <w:t>“</w:t>
            </w:r>
            <w:proofErr w:type="spellStart"/>
            <w:r w:rsidR="00063D40" w:rsidRPr="00063D40">
              <w:rPr>
                <w:bCs/>
              </w:rPr>
              <w:t>Hercule</w:t>
            </w:r>
            <w:proofErr w:type="spellEnd"/>
            <w:r w:rsidR="00063D40" w:rsidRPr="00063D40">
              <w:rPr>
                <w:bCs/>
              </w:rPr>
              <w:t xml:space="preserve"> III”.</w:t>
            </w:r>
          </w:p>
          <w:p w:rsidR="00A86B18" w:rsidRDefault="00063D40" w:rsidP="00063D40">
            <w:pPr>
              <w:ind w:firstLine="666"/>
              <w:jc w:val="both"/>
              <w:rPr>
                <w:bCs/>
              </w:rPr>
            </w:pPr>
            <w:r w:rsidRPr="00063D40">
              <w:rPr>
                <w:bCs/>
              </w:rPr>
              <w:t xml:space="preserve">Pēc projektu apstiprināšanas nepieciešamais valsts budžeta finansējums </w:t>
            </w:r>
            <w:r>
              <w:rPr>
                <w:bCs/>
              </w:rPr>
              <w:t xml:space="preserve">jāpieprasa </w:t>
            </w:r>
            <w:r w:rsidRPr="00063D40">
              <w:rPr>
                <w:bCs/>
              </w:rPr>
              <w:t>atbilstoši Ministru kabineta 2010.gada 18.maija noteik</w:t>
            </w:r>
            <w:r w:rsidR="00622379">
              <w:rPr>
                <w:bCs/>
              </w:rPr>
              <w:t>umiem Nr.464 “Noteikumi par 74.</w:t>
            </w:r>
            <w:r w:rsidRPr="00063D40">
              <w:rPr>
                <w:bCs/>
              </w:rPr>
              <w:t xml:space="preserve">resora </w:t>
            </w:r>
            <w:r w:rsidR="00622379">
              <w:rPr>
                <w:bCs/>
              </w:rPr>
              <w:t>“</w:t>
            </w:r>
            <w:r w:rsidRPr="00063D40">
              <w:rPr>
                <w:bCs/>
              </w:rPr>
              <w:t>Gadskārtējā valsts budžeta izpildes procesā pārdalītais finansējums” 80.00.00</w:t>
            </w:r>
            <w:r w:rsidR="00622379">
              <w:rPr>
                <w:bCs/>
              </w:rPr>
              <w:t> </w:t>
            </w:r>
            <w:r w:rsidRPr="00063D40">
              <w:rPr>
                <w:bCs/>
              </w:rPr>
              <w:t>programmā plānoto līdzekļu pārdales kārtību Eiropas Savienības politiku instrumentu un pārējās ārvalstu finanšu palīdzības līdzfinansēto projektu un pasākumu īstenošanai”.</w:t>
            </w:r>
          </w:p>
          <w:p w:rsidR="00063D40" w:rsidRDefault="00063D40" w:rsidP="00063D40">
            <w:pPr>
              <w:ind w:firstLine="666"/>
              <w:jc w:val="both"/>
              <w:rPr>
                <w:bCs/>
              </w:rPr>
            </w:pPr>
            <w:r w:rsidRPr="00063D40">
              <w:rPr>
                <w:bCs/>
              </w:rPr>
              <w:t>Eiropas Biroja krāpšanas apkarošanai (</w:t>
            </w:r>
            <w:r w:rsidRPr="0091419C">
              <w:rPr>
                <w:bCs/>
                <w:i/>
              </w:rPr>
              <w:t>OLAF</w:t>
            </w:r>
            <w:r w:rsidRPr="00063D40">
              <w:rPr>
                <w:bCs/>
              </w:rPr>
              <w:t xml:space="preserve">) programma </w:t>
            </w:r>
            <w:r w:rsidR="00914553">
              <w:rPr>
                <w:bCs/>
              </w:rPr>
              <w:t>“</w:t>
            </w:r>
            <w:proofErr w:type="spellStart"/>
            <w:r w:rsidRPr="00063D40">
              <w:rPr>
                <w:bCs/>
              </w:rPr>
              <w:t>Hercule</w:t>
            </w:r>
            <w:proofErr w:type="spellEnd"/>
            <w:r w:rsidRPr="00063D40">
              <w:rPr>
                <w:bCs/>
              </w:rPr>
              <w:t xml:space="preserve"> III”</w:t>
            </w:r>
            <w:r>
              <w:rPr>
                <w:bCs/>
              </w:rPr>
              <w:t xml:space="preserve"> </w:t>
            </w:r>
            <w:r w:rsidRPr="00063D40">
              <w:rPr>
                <w:bCs/>
              </w:rPr>
              <w:t xml:space="preserve">ir paredzēta cīņai pret krāpšanu, korupciju un citām nelikumīgām darbībām, kas kaitē </w:t>
            </w:r>
            <w:r w:rsidR="003A6508">
              <w:rPr>
                <w:bCs/>
              </w:rPr>
              <w:t>Eiropas Savienības (turpmāk – ES)</w:t>
            </w:r>
            <w:r w:rsidR="003A6508" w:rsidRPr="00063D40">
              <w:rPr>
                <w:bCs/>
              </w:rPr>
              <w:t xml:space="preserve"> </w:t>
            </w:r>
            <w:r w:rsidRPr="00063D40">
              <w:rPr>
                <w:bCs/>
              </w:rPr>
              <w:t xml:space="preserve">finansiālajām interesēm. Tā jo īpaši ir vērsta uz </w:t>
            </w:r>
            <w:r w:rsidR="003A6508">
              <w:rPr>
                <w:bCs/>
              </w:rPr>
              <w:t>EK</w:t>
            </w:r>
            <w:r w:rsidRPr="00063D40">
              <w:rPr>
                <w:bCs/>
              </w:rPr>
              <w:t xml:space="preserve">, </w:t>
            </w:r>
            <w:r w:rsidR="003A6508">
              <w:rPr>
                <w:bCs/>
              </w:rPr>
              <w:t xml:space="preserve">ES </w:t>
            </w:r>
            <w:r w:rsidRPr="00063D40">
              <w:rPr>
                <w:bCs/>
              </w:rPr>
              <w:t xml:space="preserve">dalībvalstu kompetento iestāžu un citu Eiropas iestāžu un struktūru sadarbību. </w:t>
            </w:r>
            <w:r w:rsidR="00914553">
              <w:rPr>
                <w:bCs/>
              </w:rPr>
              <w:t>“</w:t>
            </w:r>
            <w:proofErr w:type="spellStart"/>
            <w:r w:rsidRPr="00063D40">
              <w:rPr>
                <w:bCs/>
              </w:rPr>
              <w:t>Hercule</w:t>
            </w:r>
            <w:proofErr w:type="spellEnd"/>
            <w:r w:rsidRPr="00063D40">
              <w:rPr>
                <w:bCs/>
              </w:rPr>
              <w:t xml:space="preserve"> III” programmā paredzētie pasākumi ietver tehniskā un darbības atbalsta nodrošināšanu dalībvalstu tiesībaizsardzības iestādēm cīņā pret robežu nelegālu šķērsošanu un profesionālās apmācības pasākumus.</w:t>
            </w:r>
          </w:p>
          <w:p w:rsidR="00502B5B" w:rsidRPr="00502B5B" w:rsidRDefault="00502B5B" w:rsidP="00502B5B">
            <w:pPr>
              <w:ind w:firstLine="666"/>
              <w:jc w:val="both"/>
              <w:rPr>
                <w:bCs/>
              </w:rPr>
            </w:pPr>
            <w:r w:rsidRPr="00502B5B">
              <w:rPr>
                <w:bCs/>
              </w:rPr>
              <w:t xml:space="preserve">VID programmā </w:t>
            </w:r>
            <w:r w:rsidR="00622379">
              <w:rPr>
                <w:bCs/>
              </w:rPr>
              <w:t>“</w:t>
            </w:r>
            <w:proofErr w:type="spellStart"/>
            <w:r w:rsidR="0033076F">
              <w:rPr>
                <w:bCs/>
              </w:rPr>
              <w:t>Hercule</w:t>
            </w:r>
            <w:proofErr w:type="spellEnd"/>
            <w:r w:rsidR="0033076F">
              <w:rPr>
                <w:bCs/>
              </w:rPr>
              <w:t xml:space="preserve"> III” </w:t>
            </w:r>
            <w:r w:rsidRPr="00502B5B">
              <w:rPr>
                <w:bCs/>
              </w:rPr>
              <w:t>plāno piedalīties saskaņā ar Eiropas Parlamenta un Padomes 2014.gada 26.februāra Regulā (ES)  Nr.</w:t>
            </w:r>
            <w:r w:rsidR="00622379">
              <w:rPr>
                <w:bCs/>
              </w:rPr>
              <w:t> </w:t>
            </w:r>
            <w:r w:rsidRPr="00502B5B">
              <w:rPr>
                <w:bCs/>
              </w:rPr>
              <w:t xml:space="preserve">250/2014, ar ko izveido programmu darbību veicināšanai Eiropas Savienības finanšu interešu aizsardzības jomā (programma </w:t>
            </w:r>
            <w:proofErr w:type="spellStart"/>
            <w:r w:rsidRPr="00502B5B">
              <w:rPr>
                <w:bCs/>
              </w:rPr>
              <w:t>Hercule</w:t>
            </w:r>
            <w:proofErr w:type="spellEnd"/>
            <w:r w:rsidRPr="00502B5B">
              <w:rPr>
                <w:bCs/>
              </w:rPr>
              <w:t xml:space="preserve"> </w:t>
            </w:r>
            <w:r w:rsidRPr="00502B5B">
              <w:rPr>
                <w:bCs/>
              </w:rPr>
              <w:lastRenderedPageBreak/>
              <w:t>III) un atceļ Lēmumu Nr.804/2004/EK, noteikto.</w:t>
            </w:r>
          </w:p>
          <w:p w:rsidR="00502B5B" w:rsidRDefault="00622379" w:rsidP="00502B5B">
            <w:pPr>
              <w:ind w:firstLine="666"/>
              <w:jc w:val="both"/>
              <w:rPr>
                <w:bCs/>
              </w:rPr>
            </w:pPr>
            <w:r>
              <w:rPr>
                <w:bCs/>
              </w:rPr>
              <w:t>“</w:t>
            </w:r>
            <w:proofErr w:type="spellStart"/>
            <w:r w:rsidR="00502B5B" w:rsidRPr="00502B5B">
              <w:rPr>
                <w:bCs/>
              </w:rPr>
              <w:t>Hercule</w:t>
            </w:r>
            <w:proofErr w:type="spellEnd"/>
            <w:r w:rsidR="00502B5B" w:rsidRPr="00502B5B">
              <w:rPr>
                <w:bCs/>
              </w:rPr>
              <w:t xml:space="preserve"> III” programmā dalībvalstis var pieteikties uz finansējumu no 80</w:t>
            </w:r>
            <w:r w:rsidR="00914553">
              <w:rPr>
                <w:bCs/>
              </w:rPr>
              <w:t> </w:t>
            </w:r>
            <w:r w:rsidR="00502B5B" w:rsidRPr="00502B5B">
              <w:rPr>
                <w:bCs/>
              </w:rPr>
              <w:t>% līdz pat 90</w:t>
            </w:r>
            <w:r w:rsidR="00914553">
              <w:rPr>
                <w:bCs/>
              </w:rPr>
              <w:t> </w:t>
            </w:r>
            <w:r w:rsidR="00502B5B" w:rsidRPr="00502B5B">
              <w:rPr>
                <w:bCs/>
              </w:rPr>
              <w:t>% apmērā no kopējām izmaksām, ja projekts ir saistīts ar muitas un tiesībaizsardzības iestāžu tehnisko un operatīvo spēju paplašināšanu.</w:t>
            </w:r>
          </w:p>
          <w:p w:rsidR="00502B5B" w:rsidRPr="00502B5B" w:rsidRDefault="00502B5B" w:rsidP="00502B5B">
            <w:pPr>
              <w:ind w:firstLine="666"/>
              <w:jc w:val="both"/>
              <w:rPr>
                <w:bCs/>
              </w:rPr>
            </w:pPr>
            <w:r w:rsidRPr="00502B5B">
              <w:rPr>
                <w:bCs/>
              </w:rPr>
              <w:t>Pašreizējā periodā Eiropas Biroja krāpšanas apkarošanai (</w:t>
            </w:r>
            <w:r w:rsidRPr="0091419C">
              <w:rPr>
                <w:bCs/>
                <w:i/>
              </w:rPr>
              <w:t>OLAF</w:t>
            </w:r>
            <w:r w:rsidRPr="00502B5B">
              <w:rPr>
                <w:bCs/>
              </w:rPr>
              <w:t xml:space="preserve">) programmas </w:t>
            </w:r>
            <w:r w:rsidR="00622379">
              <w:rPr>
                <w:bCs/>
              </w:rPr>
              <w:t>“</w:t>
            </w:r>
            <w:proofErr w:type="spellStart"/>
            <w:r w:rsidRPr="00502B5B">
              <w:rPr>
                <w:bCs/>
              </w:rPr>
              <w:t>Hercule</w:t>
            </w:r>
            <w:proofErr w:type="spellEnd"/>
            <w:r w:rsidRPr="00502B5B">
              <w:rPr>
                <w:bCs/>
              </w:rPr>
              <w:t xml:space="preserve"> III” ietvaros VID </w:t>
            </w:r>
            <w:r>
              <w:rPr>
                <w:bCs/>
              </w:rPr>
              <w:t>ir ie</w:t>
            </w:r>
            <w:r w:rsidRPr="00502B5B">
              <w:rPr>
                <w:bCs/>
              </w:rPr>
              <w:t>plāno</w:t>
            </w:r>
            <w:r>
              <w:rPr>
                <w:bCs/>
              </w:rPr>
              <w:t>jis</w:t>
            </w:r>
            <w:r w:rsidR="004C5369">
              <w:rPr>
                <w:bCs/>
              </w:rPr>
              <w:t xml:space="preserve"> īstenot </w:t>
            </w:r>
            <w:r w:rsidR="003A6508">
              <w:rPr>
                <w:bCs/>
              </w:rPr>
              <w:t>trīs</w:t>
            </w:r>
            <w:r w:rsidR="003A6508" w:rsidRPr="00502B5B">
              <w:rPr>
                <w:bCs/>
              </w:rPr>
              <w:t xml:space="preserve"> </w:t>
            </w:r>
            <w:r w:rsidRPr="00502B5B">
              <w:rPr>
                <w:bCs/>
              </w:rPr>
              <w:t>projektus</w:t>
            </w:r>
            <w:r w:rsidR="00914553">
              <w:rPr>
                <w:bCs/>
              </w:rPr>
              <w:t>, t.i.:</w:t>
            </w:r>
          </w:p>
          <w:p w:rsidR="00890042" w:rsidRDefault="00502B5B" w:rsidP="00890042">
            <w:pPr>
              <w:ind w:firstLine="666"/>
              <w:jc w:val="both"/>
              <w:rPr>
                <w:bCs/>
              </w:rPr>
            </w:pPr>
            <w:r w:rsidRPr="00502B5B">
              <w:rPr>
                <w:bCs/>
              </w:rPr>
              <w:t>1</w:t>
            </w:r>
            <w:r w:rsidR="00BB2A5C">
              <w:rPr>
                <w:bCs/>
              </w:rPr>
              <w:t>)</w:t>
            </w:r>
            <w:r w:rsidR="00914553">
              <w:rPr>
                <w:bCs/>
              </w:rPr>
              <w:t xml:space="preserve"> </w:t>
            </w:r>
            <w:r w:rsidRPr="00502B5B">
              <w:rPr>
                <w:bCs/>
                <w:u w:val="single"/>
              </w:rPr>
              <w:t xml:space="preserve">Baltijas valstu kopīgs projekts </w:t>
            </w:r>
            <w:r w:rsidR="00914553">
              <w:rPr>
                <w:bCs/>
                <w:u w:val="single"/>
              </w:rPr>
              <w:t>“</w:t>
            </w:r>
            <w:r w:rsidRPr="00502B5B">
              <w:rPr>
                <w:bCs/>
                <w:u w:val="single"/>
              </w:rPr>
              <w:t>Eiropas Savienības finanšu interešu aizsardzības stiprināšana, sekmējot cīņu pret krāpšanu: kopīga datu apmaiņas tīkla starp Baltijas valstu muitas dienestu skenēšanas iekārtām izveide”</w:t>
            </w:r>
            <w:r w:rsidRPr="00502B5B">
              <w:rPr>
                <w:bCs/>
              </w:rPr>
              <w:t>. Eiropas Birojs krāpšanas apkarošanai (</w:t>
            </w:r>
            <w:r w:rsidRPr="0091419C">
              <w:rPr>
                <w:bCs/>
                <w:i/>
              </w:rPr>
              <w:t>OLAF</w:t>
            </w:r>
            <w:r w:rsidRPr="00502B5B">
              <w:rPr>
                <w:bCs/>
              </w:rPr>
              <w:t>) 2015.gada aprīlī apstiprināja 2014.gada jūlijā Lietuvas Finanšu ministrijas Muitas departamenta iesniegto projekta pieteikumu, atbalstot ideju par vienota skenēšanas attēlu datu apmaiņas tīkla izveidi Baltijas valstīs, lai sekmētu muitas iestāžu cīņu ar kontrabandu uz ES ārējās robežas, tādējādi stiprinot ES vienotā tirgus un sabiedrības aizsardzību.</w:t>
            </w:r>
            <w:r>
              <w:rPr>
                <w:bCs/>
              </w:rPr>
              <w:t xml:space="preserve"> </w:t>
            </w:r>
            <w:r w:rsidRPr="00502B5B">
              <w:rPr>
                <w:bCs/>
              </w:rPr>
              <w:t xml:space="preserve">Projekta plānotais ieviešanas laiks </w:t>
            </w:r>
            <w:r w:rsidR="005D1A72">
              <w:rPr>
                <w:bCs/>
              </w:rPr>
              <w:t xml:space="preserve">saskaņā ar granta līgumā </w:t>
            </w:r>
            <w:r w:rsidR="005D1A72" w:rsidRPr="0091419C">
              <w:rPr>
                <w:bCs/>
                <w:i/>
              </w:rPr>
              <w:t>OLAF</w:t>
            </w:r>
            <w:r w:rsidR="005D1A72" w:rsidRPr="005D1A72">
              <w:rPr>
                <w:bCs/>
              </w:rPr>
              <w:t xml:space="preserve">/2015/D1/024 </w:t>
            </w:r>
            <w:r w:rsidR="005D1A72">
              <w:rPr>
                <w:bCs/>
              </w:rPr>
              <w:t xml:space="preserve">noteikto ir </w:t>
            </w:r>
            <w:r w:rsidRPr="00502B5B">
              <w:rPr>
                <w:bCs/>
              </w:rPr>
              <w:t xml:space="preserve">2015.gada augusts–2016.gada novembris. </w:t>
            </w:r>
            <w:r>
              <w:rPr>
                <w:bCs/>
              </w:rPr>
              <w:t>P</w:t>
            </w:r>
            <w:r w:rsidRPr="00502B5B">
              <w:rPr>
                <w:bCs/>
              </w:rPr>
              <w:t>rojekta īstenotāji ir Lietuvas Republikas Finanšu ministrijas Muitas departaments (projekta pieteicējs), Latvijas Republikas Valsts ieņēmumu dienests (sadarbības partneris) un Igaunijas Republikas Finanšu ministrijas Nodokļu un muitas pārvalde (sadarbības partneris).</w:t>
            </w:r>
            <w:r w:rsidR="009A3C76">
              <w:rPr>
                <w:bCs/>
              </w:rPr>
              <w:t xml:space="preserve"> </w:t>
            </w:r>
            <w:r w:rsidRPr="00502B5B">
              <w:rPr>
                <w:bCs/>
              </w:rPr>
              <w:t>Latvijas daļa no kopējā plānotā projekta budžeta ir 36,6</w:t>
            </w:r>
            <w:r w:rsidR="00914553">
              <w:rPr>
                <w:bCs/>
              </w:rPr>
              <w:t> </w:t>
            </w:r>
            <w:r w:rsidRPr="00502B5B">
              <w:rPr>
                <w:bCs/>
              </w:rPr>
              <w:t>% jeb 1</w:t>
            </w:r>
            <w:r w:rsidR="00622379">
              <w:rPr>
                <w:bCs/>
              </w:rPr>
              <w:t> </w:t>
            </w:r>
            <w:r w:rsidRPr="00502B5B">
              <w:rPr>
                <w:bCs/>
              </w:rPr>
              <w:t>016</w:t>
            </w:r>
            <w:r w:rsidR="00622379">
              <w:rPr>
                <w:bCs/>
              </w:rPr>
              <w:t> </w:t>
            </w:r>
            <w:r w:rsidRPr="00502B5B">
              <w:rPr>
                <w:bCs/>
              </w:rPr>
              <w:t>200</w:t>
            </w:r>
            <w:r w:rsidR="00622379">
              <w:rPr>
                <w:bCs/>
              </w:rPr>
              <w:t> </w:t>
            </w:r>
            <w:proofErr w:type="spellStart"/>
            <w:r w:rsidR="005C311D" w:rsidRPr="005C311D">
              <w:rPr>
                <w:bCs/>
                <w:i/>
              </w:rPr>
              <w:t>euro</w:t>
            </w:r>
            <w:proofErr w:type="spellEnd"/>
            <w:r w:rsidRPr="00502B5B">
              <w:rPr>
                <w:bCs/>
              </w:rPr>
              <w:t>, tai skaitā 80</w:t>
            </w:r>
            <w:r w:rsidR="00914553">
              <w:rPr>
                <w:bCs/>
              </w:rPr>
              <w:t> </w:t>
            </w:r>
            <w:r w:rsidRPr="00502B5B">
              <w:rPr>
                <w:bCs/>
              </w:rPr>
              <w:t>% jeb 812</w:t>
            </w:r>
            <w:r w:rsidR="00914553">
              <w:rPr>
                <w:bCs/>
              </w:rPr>
              <w:t> </w:t>
            </w:r>
            <w:r w:rsidRPr="00502B5B">
              <w:rPr>
                <w:bCs/>
              </w:rPr>
              <w:t>960</w:t>
            </w:r>
            <w:r w:rsidR="00914553">
              <w:rPr>
                <w:bCs/>
              </w:rPr>
              <w:t> </w:t>
            </w:r>
            <w:proofErr w:type="spellStart"/>
            <w:r w:rsidR="005C311D" w:rsidRPr="005C311D">
              <w:rPr>
                <w:bCs/>
                <w:i/>
              </w:rPr>
              <w:t>euro</w:t>
            </w:r>
            <w:proofErr w:type="spellEnd"/>
            <w:r w:rsidRPr="00502B5B">
              <w:rPr>
                <w:bCs/>
              </w:rPr>
              <w:t xml:space="preserve"> sedz Eiropas Komisija un 20</w:t>
            </w:r>
            <w:r w:rsidR="00914553">
              <w:rPr>
                <w:bCs/>
              </w:rPr>
              <w:t> </w:t>
            </w:r>
            <w:r w:rsidRPr="00502B5B">
              <w:rPr>
                <w:bCs/>
              </w:rPr>
              <w:t>% jeb</w:t>
            </w:r>
            <w:r>
              <w:rPr>
                <w:bCs/>
              </w:rPr>
              <w:t xml:space="preserve"> </w:t>
            </w:r>
            <w:r w:rsidRPr="00502B5B">
              <w:rPr>
                <w:bCs/>
              </w:rPr>
              <w:t>203</w:t>
            </w:r>
            <w:r w:rsidR="00622379">
              <w:rPr>
                <w:bCs/>
              </w:rPr>
              <w:t> </w:t>
            </w:r>
            <w:r w:rsidRPr="00502B5B">
              <w:rPr>
                <w:bCs/>
              </w:rPr>
              <w:t>240</w:t>
            </w:r>
            <w:r w:rsidR="00622379">
              <w:rPr>
                <w:bCs/>
              </w:rPr>
              <w:t> </w:t>
            </w:r>
            <w:proofErr w:type="spellStart"/>
            <w:r w:rsidR="005C311D" w:rsidRPr="005C311D">
              <w:rPr>
                <w:bCs/>
                <w:i/>
              </w:rPr>
              <w:t>euro</w:t>
            </w:r>
            <w:proofErr w:type="spellEnd"/>
            <w:r w:rsidRPr="00502B5B">
              <w:rPr>
                <w:bCs/>
              </w:rPr>
              <w:t xml:space="preserve"> nodrošina nacionālais līdzfinansējums. </w:t>
            </w:r>
            <w:r w:rsidR="00914553">
              <w:rPr>
                <w:bCs/>
              </w:rPr>
              <w:t>Jāņem vērā</w:t>
            </w:r>
            <w:r w:rsidRPr="00502B5B">
              <w:rPr>
                <w:bCs/>
              </w:rPr>
              <w:t>, ka Latvijai pievienotās vērtības nodoklis jāmaksā par visu projekta budžetu, kas ir 213</w:t>
            </w:r>
            <w:r w:rsidR="00622379">
              <w:rPr>
                <w:bCs/>
              </w:rPr>
              <w:t> </w:t>
            </w:r>
            <w:r w:rsidRPr="00502B5B">
              <w:rPr>
                <w:bCs/>
              </w:rPr>
              <w:t>402</w:t>
            </w:r>
            <w:r w:rsidR="00622379">
              <w:rPr>
                <w:bCs/>
              </w:rPr>
              <w:t> </w:t>
            </w:r>
            <w:proofErr w:type="spellStart"/>
            <w:r w:rsidR="005C311D" w:rsidRPr="005C311D">
              <w:rPr>
                <w:bCs/>
                <w:i/>
              </w:rPr>
              <w:t>euro</w:t>
            </w:r>
            <w:proofErr w:type="spellEnd"/>
            <w:r w:rsidR="00FE6401">
              <w:rPr>
                <w:bCs/>
              </w:rPr>
              <w:t>.</w:t>
            </w:r>
            <w:r w:rsidRPr="00502B5B">
              <w:rPr>
                <w:bCs/>
              </w:rPr>
              <w:t xml:space="preserve"> Latvijas nacionālais līdzfinansējums kopā ir 416</w:t>
            </w:r>
            <w:r w:rsidR="00622379">
              <w:rPr>
                <w:bCs/>
              </w:rPr>
              <w:t> </w:t>
            </w:r>
            <w:r w:rsidRPr="00502B5B">
              <w:rPr>
                <w:bCs/>
              </w:rPr>
              <w:t>642</w:t>
            </w:r>
            <w:r w:rsidR="00622379">
              <w:rPr>
                <w:bCs/>
              </w:rPr>
              <w:t> </w:t>
            </w:r>
            <w:proofErr w:type="spellStart"/>
            <w:r w:rsidR="005C311D" w:rsidRPr="005C311D">
              <w:rPr>
                <w:bCs/>
                <w:i/>
              </w:rPr>
              <w:t>euro</w:t>
            </w:r>
            <w:proofErr w:type="spellEnd"/>
            <w:r w:rsidRPr="00502B5B">
              <w:rPr>
                <w:bCs/>
              </w:rPr>
              <w:t xml:space="preserve">. </w:t>
            </w:r>
            <w:r w:rsidR="00412547">
              <w:rPr>
                <w:bCs/>
              </w:rPr>
              <w:t>F</w:t>
            </w:r>
            <w:r w:rsidR="00890042">
              <w:rPr>
                <w:bCs/>
              </w:rPr>
              <w:t xml:space="preserve">inansējums no valsts budžeta </w:t>
            </w:r>
            <w:proofErr w:type="spellStart"/>
            <w:r w:rsidR="00890042">
              <w:rPr>
                <w:bCs/>
              </w:rPr>
              <w:t>priekšfinansējuma</w:t>
            </w:r>
            <w:proofErr w:type="spellEnd"/>
            <w:r w:rsidR="00890042">
              <w:rPr>
                <w:bCs/>
              </w:rPr>
              <w:t xml:space="preserve"> nodrošināšanai </w:t>
            </w:r>
            <w:r w:rsidR="00412547">
              <w:rPr>
                <w:bCs/>
              </w:rPr>
              <w:t>nebūs nepieciešams</w:t>
            </w:r>
            <w:r w:rsidR="00890042">
              <w:rPr>
                <w:bCs/>
              </w:rPr>
              <w:t xml:space="preserve">. </w:t>
            </w:r>
            <w:r w:rsidR="00412547">
              <w:rPr>
                <w:bCs/>
              </w:rPr>
              <w:t xml:space="preserve">VID piedalīsies projektā kā projekta partneris, savukārt projekta pieteicējs un EK finansējuma saņēmējs ir Lietuvas Finanšu ministrijas Muitas departaments, </w:t>
            </w:r>
            <w:r w:rsidR="007A51F5">
              <w:rPr>
                <w:bCs/>
              </w:rPr>
              <w:t>kurš</w:t>
            </w:r>
            <w:r w:rsidR="00412547">
              <w:rPr>
                <w:bCs/>
              </w:rPr>
              <w:t xml:space="preserve"> </w:t>
            </w:r>
            <w:r w:rsidR="00DC1E47">
              <w:rPr>
                <w:bCs/>
              </w:rPr>
              <w:t>s</w:t>
            </w:r>
            <w:r w:rsidR="00412547">
              <w:rPr>
                <w:bCs/>
              </w:rPr>
              <w:t>amaksās visus ar projektu saistītos rēķinus</w:t>
            </w:r>
            <w:r w:rsidR="00914553">
              <w:rPr>
                <w:bCs/>
              </w:rPr>
              <w:t xml:space="preserve">, </w:t>
            </w:r>
            <w:r w:rsidR="00BF27BE">
              <w:rPr>
                <w:bCs/>
              </w:rPr>
              <w:t>tai skaitā arī</w:t>
            </w:r>
            <w:r w:rsidR="00412547">
              <w:rPr>
                <w:bCs/>
              </w:rPr>
              <w:t xml:space="preserve"> par Latvijā veiktiem darbiem un Latvijā uzstādīto aprīkojumu</w:t>
            </w:r>
            <w:r w:rsidR="00CB368E">
              <w:rPr>
                <w:bCs/>
              </w:rPr>
              <w:t xml:space="preserve">. Noslēdzoties projektam, </w:t>
            </w:r>
            <w:r w:rsidR="00412547" w:rsidRPr="00412547">
              <w:rPr>
                <w:bCs/>
              </w:rPr>
              <w:t>Lietuvas Finanšu ministrijas Muitas departaments</w:t>
            </w:r>
            <w:r w:rsidR="00412547">
              <w:rPr>
                <w:bCs/>
              </w:rPr>
              <w:t xml:space="preserve"> nosūtīs V</w:t>
            </w:r>
            <w:r w:rsidR="008379FE">
              <w:rPr>
                <w:bCs/>
              </w:rPr>
              <w:t>ID</w:t>
            </w:r>
            <w:r w:rsidR="00D83F31">
              <w:rPr>
                <w:bCs/>
              </w:rPr>
              <w:t xml:space="preserve"> </w:t>
            </w:r>
            <w:r w:rsidR="00412547">
              <w:rPr>
                <w:bCs/>
              </w:rPr>
              <w:t>līdzfinansējuma maksājuma pieprasījumu.</w:t>
            </w:r>
          </w:p>
          <w:p w:rsidR="00502B5B" w:rsidRDefault="00502B5B" w:rsidP="00502B5B">
            <w:pPr>
              <w:ind w:firstLine="666"/>
              <w:jc w:val="both"/>
              <w:rPr>
                <w:bCs/>
              </w:rPr>
            </w:pPr>
            <w:r w:rsidRPr="00502B5B">
              <w:rPr>
                <w:bCs/>
              </w:rPr>
              <w:t xml:space="preserve">Īstenojot projektu, paredzēta programmnodrošinājuma izstrāde, lai nodrošinātu kravu skeneru sasaisti ar centrālo serveri un to savstarpēju sasaisti ar pārējo Baltijas valstu skeneriem, datortehnikas un licenču iegāde un trīs gadu uzturēšana, kā arī muitas amatpersonu apmācības moduļa izveide, </w:t>
            </w:r>
            <w:r w:rsidR="00914553">
              <w:rPr>
                <w:bCs/>
              </w:rPr>
              <w:t>kurā ietilpst</w:t>
            </w:r>
            <w:r w:rsidRPr="00502B5B">
              <w:rPr>
                <w:bCs/>
              </w:rPr>
              <w:t xml:space="preserve"> programmnodrošinājuma </w:t>
            </w:r>
            <w:r w:rsidR="00914553" w:rsidRPr="00502B5B">
              <w:rPr>
                <w:bCs/>
              </w:rPr>
              <w:t>iegād</w:t>
            </w:r>
            <w:r w:rsidR="00914553">
              <w:rPr>
                <w:bCs/>
              </w:rPr>
              <w:t>e</w:t>
            </w:r>
            <w:r w:rsidR="00914553" w:rsidRPr="00502B5B">
              <w:rPr>
                <w:bCs/>
              </w:rPr>
              <w:t xml:space="preserve"> </w:t>
            </w:r>
            <w:r w:rsidRPr="00502B5B">
              <w:rPr>
                <w:bCs/>
              </w:rPr>
              <w:t>un mācību klases aprīkošana ar datortehniku.</w:t>
            </w:r>
          </w:p>
          <w:p w:rsidR="00914553" w:rsidRPr="00502B5B" w:rsidRDefault="00914553" w:rsidP="00502B5B">
            <w:pPr>
              <w:ind w:firstLine="666"/>
              <w:jc w:val="both"/>
              <w:rPr>
                <w:bCs/>
              </w:rPr>
            </w:pPr>
          </w:p>
          <w:p w:rsidR="00502B5B" w:rsidRPr="00502B5B" w:rsidRDefault="00DC1E47" w:rsidP="00502B5B">
            <w:pPr>
              <w:ind w:firstLine="666"/>
              <w:jc w:val="both"/>
              <w:rPr>
                <w:bCs/>
              </w:rPr>
            </w:pPr>
            <w:r>
              <w:rPr>
                <w:bCs/>
              </w:rPr>
              <w:t>Īsteno</w:t>
            </w:r>
            <w:r w:rsidR="00502B5B" w:rsidRPr="00502B5B">
              <w:rPr>
                <w:bCs/>
              </w:rPr>
              <w:t>jot minēto projektu, plānots sasniegt šādus mērķus:</w:t>
            </w:r>
          </w:p>
          <w:p w:rsidR="00502B5B" w:rsidRPr="00502B5B" w:rsidRDefault="00502B5B" w:rsidP="00502B5B">
            <w:pPr>
              <w:ind w:firstLine="666"/>
              <w:jc w:val="both"/>
              <w:rPr>
                <w:bCs/>
              </w:rPr>
            </w:pPr>
            <w:r w:rsidRPr="00502B5B">
              <w:rPr>
                <w:bCs/>
              </w:rPr>
              <w:t>- būtiski uzlabot skenēto attēlu analīzes iespējas, t.i., tiks nodrošināta iespēja pēc noteiktiem kritērijiem atlasīt iepriekš skenētos attēlus jebkurā no Baltijas valstīm un salīdzināt tos ar veikto skenējumu;</w:t>
            </w:r>
          </w:p>
          <w:p w:rsidR="00502B5B" w:rsidRDefault="00502B5B" w:rsidP="00502B5B">
            <w:pPr>
              <w:ind w:firstLine="666"/>
              <w:jc w:val="both"/>
              <w:rPr>
                <w:bCs/>
              </w:rPr>
            </w:pPr>
            <w:r w:rsidRPr="00502B5B">
              <w:rPr>
                <w:bCs/>
              </w:rPr>
              <w:t>- izveidot apmācību moduli, t.i., tiks nodrošināta iespēja visās Baltijas valstīs skenēto attēlu izmanto</w:t>
            </w:r>
            <w:r w:rsidR="00DC1E47">
              <w:rPr>
                <w:bCs/>
              </w:rPr>
              <w:t>t</w:t>
            </w:r>
            <w:r w:rsidRPr="00502B5B">
              <w:rPr>
                <w:bCs/>
              </w:rPr>
              <w:t xml:space="preserve"> apmācību veikšanai</w:t>
            </w:r>
            <w:r w:rsidR="00AD2F86">
              <w:rPr>
                <w:bCs/>
              </w:rPr>
              <w:t>;</w:t>
            </w:r>
          </w:p>
          <w:p w:rsidR="004D3C97" w:rsidRDefault="00B1568F" w:rsidP="004C5369">
            <w:pPr>
              <w:ind w:firstLine="666"/>
              <w:jc w:val="both"/>
              <w:rPr>
                <w:bCs/>
              </w:rPr>
            </w:pPr>
            <w:r>
              <w:rPr>
                <w:bCs/>
              </w:rPr>
              <w:lastRenderedPageBreak/>
              <w:t>2</w:t>
            </w:r>
            <w:r w:rsidR="00BB2A5C">
              <w:rPr>
                <w:bCs/>
              </w:rPr>
              <w:t>)</w:t>
            </w:r>
            <w:r w:rsidR="00DE7655">
              <w:t xml:space="preserve"> </w:t>
            </w:r>
            <w:r w:rsidR="00914553">
              <w:rPr>
                <w:u w:val="single"/>
              </w:rPr>
              <w:t>p</w:t>
            </w:r>
            <w:r w:rsidR="00914553" w:rsidRPr="005368FE">
              <w:rPr>
                <w:bCs/>
                <w:u w:val="single"/>
              </w:rPr>
              <w:t xml:space="preserve">rojekts </w:t>
            </w:r>
            <w:r w:rsidR="00622379" w:rsidRPr="00622379">
              <w:rPr>
                <w:bCs/>
                <w:u w:val="single"/>
              </w:rPr>
              <w:t>“</w:t>
            </w:r>
            <w:r w:rsidR="00DE7655" w:rsidRPr="005368FE">
              <w:rPr>
                <w:bCs/>
                <w:u w:val="single"/>
              </w:rPr>
              <w:t>Seminārs par PVN krāpšanas atklāšanu un novēršanu”</w:t>
            </w:r>
            <w:r w:rsidR="005A618B">
              <w:rPr>
                <w:bCs/>
              </w:rPr>
              <w:t>, kura g</w:t>
            </w:r>
            <w:r w:rsidR="00A92083">
              <w:rPr>
                <w:bCs/>
              </w:rPr>
              <w:t xml:space="preserve">ranta līgums </w:t>
            </w:r>
            <w:r w:rsidR="00B74FF8" w:rsidRPr="0091419C">
              <w:rPr>
                <w:bCs/>
                <w:i/>
              </w:rPr>
              <w:t>OLAF</w:t>
            </w:r>
            <w:r w:rsidR="00B74FF8" w:rsidRPr="00DE7655">
              <w:rPr>
                <w:bCs/>
              </w:rPr>
              <w:t>/2015/D1/023</w:t>
            </w:r>
            <w:r w:rsidR="005A618B">
              <w:rPr>
                <w:bCs/>
              </w:rPr>
              <w:t xml:space="preserve"> ir parakstīts 2015.gada 21.aprīlī.</w:t>
            </w:r>
            <w:r w:rsidR="001F56D8">
              <w:rPr>
                <w:bCs/>
              </w:rPr>
              <w:t xml:space="preserve"> Projekta </w:t>
            </w:r>
            <w:r w:rsidR="00DE7655" w:rsidRPr="00DE7655">
              <w:rPr>
                <w:bCs/>
              </w:rPr>
              <w:t xml:space="preserve">mērķis ir pilnveidot VID darbinieku zināšanas un izpratni par </w:t>
            </w:r>
            <w:r w:rsidR="00BF4C93">
              <w:rPr>
                <w:bCs/>
              </w:rPr>
              <w:t>pievienotās vērtības nodokļa</w:t>
            </w:r>
            <w:r w:rsidR="00DE7655" w:rsidRPr="00DE7655">
              <w:rPr>
                <w:bCs/>
              </w:rPr>
              <w:t xml:space="preserve"> sistēmu un tās aizsardzības mehānismu un metodēm, iegūt starptautiska līmeņa zināšanas un apgūt labāko praksi, lai paaugstinātu efektivitāti cīņā ar PVN krāpšanos.</w:t>
            </w:r>
            <w:r w:rsidR="00B046E8">
              <w:rPr>
                <w:bCs/>
              </w:rPr>
              <w:t xml:space="preserve"> Projekta ietvaros paredzēts divos semināros apmācīt 50 VID darbiniekus. Seminārus vadīs starptautiska līmeņa eksperti</w:t>
            </w:r>
            <w:r w:rsidR="00F91879">
              <w:rPr>
                <w:bCs/>
              </w:rPr>
              <w:t xml:space="preserve"> </w:t>
            </w:r>
            <w:r w:rsidR="00F070A9">
              <w:rPr>
                <w:bCs/>
              </w:rPr>
              <w:t xml:space="preserve">– </w:t>
            </w:r>
            <w:r w:rsidR="00F91879">
              <w:rPr>
                <w:bCs/>
              </w:rPr>
              <w:t>Fransuā Trešo</w:t>
            </w:r>
            <w:r w:rsidR="00B046E8">
              <w:rPr>
                <w:bCs/>
              </w:rPr>
              <w:t xml:space="preserve"> </w:t>
            </w:r>
            <w:r w:rsidR="00F91879" w:rsidRPr="00F070A9">
              <w:rPr>
                <w:bCs/>
              </w:rPr>
              <w:t>(</w:t>
            </w:r>
            <w:proofErr w:type="spellStart"/>
            <w:r w:rsidR="002344AE" w:rsidRPr="00F070A9">
              <w:rPr>
                <w:bCs/>
                <w:i/>
              </w:rPr>
              <w:t>François</w:t>
            </w:r>
            <w:proofErr w:type="spellEnd"/>
            <w:r w:rsidR="002344AE" w:rsidRPr="00F070A9">
              <w:rPr>
                <w:bCs/>
                <w:i/>
              </w:rPr>
              <w:t xml:space="preserve"> </w:t>
            </w:r>
            <w:proofErr w:type="spellStart"/>
            <w:r w:rsidR="002344AE" w:rsidRPr="00F070A9">
              <w:rPr>
                <w:bCs/>
                <w:i/>
              </w:rPr>
              <w:t>Trechot</w:t>
            </w:r>
            <w:proofErr w:type="spellEnd"/>
            <w:r w:rsidR="00F070A9" w:rsidRPr="0091419C">
              <w:rPr>
                <w:bCs/>
              </w:rPr>
              <w:t>) no</w:t>
            </w:r>
            <w:r w:rsidR="002344AE" w:rsidRPr="00F070A9">
              <w:rPr>
                <w:bCs/>
              </w:rPr>
              <w:t xml:space="preserve"> Francija</w:t>
            </w:r>
            <w:r w:rsidR="00F070A9" w:rsidRPr="0091419C">
              <w:rPr>
                <w:bCs/>
              </w:rPr>
              <w:t>s</w:t>
            </w:r>
            <w:r w:rsidR="002344AE" w:rsidRPr="00F070A9">
              <w:rPr>
                <w:bCs/>
              </w:rPr>
              <w:t>,</w:t>
            </w:r>
            <w:r w:rsidR="00F070A9" w:rsidRPr="0091419C">
              <w:rPr>
                <w:bCs/>
              </w:rPr>
              <w:t xml:space="preserve"> </w:t>
            </w:r>
            <w:proofErr w:type="spellStart"/>
            <w:r w:rsidR="00F070A9" w:rsidRPr="0091419C">
              <w:rPr>
                <w:bCs/>
              </w:rPr>
              <w:t>Dominiks</w:t>
            </w:r>
            <w:proofErr w:type="spellEnd"/>
            <w:r w:rsidR="00F070A9" w:rsidRPr="0091419C">
              <w:rPr>
                <w:bCs/>
              </w:rPr>
              <w:t xml:space="preserve"> </w:t>
            </w:r>
            <w:proofErr w:type="spellStart"/>
            <w:r w:rsidR="00F070A9" w:rsidRPr="0091419C">
              <w:rPr>
                <w:bCs/>
              </w:rPr>
              <w:t>Drīsens</w:t>
            </w:r>
            <w:proofErr w:type="spellEnd"/>
            <w:r w:rsidR="002344AE" w:rsidRPr="00F070A9">
              <w:rPr>
                <w:bCs/>
              </w:rPr>
              <w:t xml:space="preserve"> </w:t>
            </w:r>
            <w:r w:rsidR="00F070A9" w:rsidRPr="0091419C">
              <w:rPr>
                <w:bCs/>
              </w:rPr>
              <w:t>(</w:t>
            </w:r>
            <w:proofErr w:type="spellStart"/>
            <w:r w:rsidR="002344AE" w:rsidRPr="00F070A9">
              <w:rPr>
                <w:bCs/>
                <w:i/>
              </w:rPr>
              <w:t>Dominique</w:t>
            </w:r>
            <w:proofErr w:type="spellEnd"/>
            <w:r w:rsidR="002344AE" w:rsidRPr="00F070A9">
              <w:rPr>
                <w:bCs/>
                <w:i/>
              </w:rPr>
              <w:t xml:space="preserve"> </w:t>
            </w:r>
            <w:proofErr w:type="spellStart"/>
            <w:r w:rsidR="002344AE" w:rsidRPr="00F070A9">
              <w:rPr>
                <w:bCs/>
                <w:i/>
              </w:rPr>
              <w:t>Driesen</w:t>
            </w:r>
            <w:proofErr w:type="spellEnd"/>
            <w:r w:rsidR="00F070A9" w:rsidRPr="0091419C">
              <w:rPr>
                <w:bCs/>
                <w:i/>
              </w:rPr>
              <w:t xml:space="preserve">) </w:t>
            </w:r>
            <w:r w:rsidR="00F070A9" w:rsidRPr="0091419C">
              <w:rPr>
                <w:bCs/>
              </w:rPr>
              <w:t>no</w:t>
            </w:r>
            <w:r w:rsidR="002344AE" w:rsidRPr="00F070A9">
              <w:rPr>
                <w:bCs/>
              </w:rPr>
              <w:t xml:space="preserve"> Beļģija</w:t>
            </w:r>
            <w:r w:rsidR="00F070A9" w:rsidRPr="0091419C">
              <w:rPr>
                <w:bCs/>
              </w:rPr>
              <w:t>s</w:t>
            </w:r>
            <w:r w:rsidR="002344AE" w:rsidRPr="00F070A9">
              <w:rPr>
                <w:bCs/>
              </w:rPr>
              <w:t>,</w:t>
            </w:r>
            <w:r w:rsidR="00F070A9">
              <w:rPr>
                <w:bCs/>
              </w:rPr>
              <w:t xml:space="preserve"> </w:t>
            </w:r>
            <w:proofErr w:type="spellStart"/>
            <w:r w:rsidR="00F070A9">
              <w:rPr>
                <w:bCs/>
              </w:rPr>
              <w:t>Reino</w:t>
            </w:r>
            <w:proofErr w:type="spellEnd"/>
            <w:r w:rsidR="00F070A9">
              <w:rPr>
                <w:bCs/>
              </w:rPr>
              <w:t xml:space="preserve"> </w:t>
            </w:r>
            <w:proofErr w:type="spellStart"/>
            <w:r w:rsidR="00F070A9">
              <w:rPr>
                <w:bCs/>
              </w:rPr>
              <w:t>Nilsens</w:t>
            </w:r>
            <w:proofErr w:type="spellEnd"/>
            <w:r w:rsidR="002344AE" w:rsidRPr="00F070A9">
              <w:rPr>
                <w:bCs/>
              </w:rPr>
              <w:t xml:space="preserve"> </w:t>
            </w:r>
            <w:r w:rsidR="00F070A9" w:rsidRPr="0091419C">
              <w:rPr>
                <w:bCs/>
              </w:rPr>
              <w:t>(</w:t>
            </w:r>
            <w:proofErr w:type="spellStart"/>
            <w:r w:rsidR="002344AE" w:rsidRPr="00F070A9">
              <w:rPr>
                <w:bCs/>
                <w:i/>
              </w:rPr>
              <w:t>Reino</w:t>
            </w:r>
            <w:proofErr w:type="spellEnd"/>
            <w:r w:rsidR="002344AE" w:rsidRPr="00F070A9">
              <w:rPr>
                <w:bCs/>
                <w:i/>
              </w:rPr>
              <w:t xml:space="preserve"> </w:t>
            </w:r>
            <w:proofErr w:type="spellStart"/>
            <w:r w:rsidR="002344AE" w:rsidRPr="00F070A9">
              <w:rPr>
                <w:bCs/>
                <w:i/>
              </w:rPr>
              <w:t>Nielsen</w:t>
            </w:r>
            <w:proofErr w:type="spellEnd"/>
            <w:r w:rsidR="00F070A9" w:rsidRPr="0091419C">
              <w:rPr>
                <w:bCs/>
              </w:rPr>
              <w:t>)</w:t>
            </w:r>
            <w:r w:rsidR="002344AE" w:rsidRPr="00F070A9">
              <w:rPr>
                <w:bCs/>
              </w:rPr>
              <w:t xml:space="preserve"> </w:t>
            </w:r>
            <w:r w:rsidR="00F070A9" w:rsidRPr="0091419C">
              <w:rPr>
                <w:bCs/>
              </w:rPr>
              <w:t xml:space="preserve">no </w:t>
            </w:r>
            <w:r w:rsidR="002344AE" w:rsidRPr="00F070A9">
              <w:rPr>
                <w:bCs/>
              </w:rPr>
              <w:t>Dānija</w:t>
            </w:r>
            <w:r w:rsidR="00F070A9" w:rsidRPr="0091419C">
              <w:rPr>
                <w:bCs/>
              </w:rPr>
              <w:t>s</w:t>
            </w:r>
            <w:r w:rsidR="002344AE" w:rsidRPr="00F070A9">
              <w:rPr>
                <w:bCs/>
              </w:rPr>
              <w:t xml:space="preserve"> un </w:t>
            </w:r>
            <w:r w:rsidR="00F070A9" w:rsidRPr="0091419C">
              <w:rPr>
                <w:bCs/>
              </w:rPr>
              <w:t>(</w:t>
            </w:r>
            <w:proofErr w:type="spellStart"/>
            <w:r w:rsidR="002344AE" w:rsidRPr="00F070A9">
              <w:rPr>
                <w:bCs/>
                <w:i/>
              </w:rPr>
              <w:t>Morten</w:t>
            </w:r>
            <w:proofErr w:type="spellEnd"/>
            <w:r w:rsidR="002344AE" w:rsidRPr="00F070A9">
              <w:rPr>
                <w:bCs/>
                <w:i/>
              </w:rPr>
              <w:t xml:space="preserve"> </w:t>
            </w:r>
            <w:proofErr w:type="spellStart"/>
            <w:r w:rsidR="002344AE" w:rsidRPr="00F070A9">
              <w:rPr>
                <w:bCs/>
                <w:i/>
              </w:rPr>
              <w:t>Morch</w:t>
            </w:r>
            <w:proofErr w:type="spellEnd"/>
            <w:r w:rsidR="002344AE" w:rsidRPr="00F070A9">
              <w:rPr>
                <w:bCs/>
                <w:i/>
              </w:rPr>
              <w:t xml:space="preserve"> </w:t>
            </w:r>
            <w:proofErr w:type="spellStart"/>
            <w:r w:rsidR="002344AE" w:rsidRPr="00F070A9">
              <w:rPr>
                <w:bCs/>
                <w:i/>
              </w:rPr>
              <w:t>Sorensen</w:t>
            </w:r>
            <w:proofErr w:type="spellEnd"/>
            <w:r w:rsidR="00F070A9" w:rsidRPr="0091419C">
              <w:rPr>
                <w:bCs/>
              </w:rPr>
              <w:t>)</w:t>
            </w:r>
            <w:r w:rsidR="002344AE" w:rsidRPr="00F070A9">
              <w:rPr>
                <w:bCs/>
              </w:rPr>
              <w:t xml:space="preserve"> </w:t>
            </w:r>
            <w:r w:rsidR="00F070A9" w:rsidRPr="0091419C">
              <w:rPr>
                <w:bCs/>
              </w:rPr>
              <w:t xml:space="preserve">no </w:t>
            </w:r>
            <w:r w:rsidR="002344AE" w:rsidRPr="00F070A9">
              <w:rPr>
                <w:bCs/>
              </w:rPr>
              <w:t>Dānija</w:t>
            </w:r>
            <w:r w:rsidR="00F070A9" w:rsidRPr="0091419C">
              <w:rPr>
                <w:bCs/>
              </w:rPr>
              <w:t>s</w:t>
            </w:r>
            <w:r w:rsidR="002344AE" w:rsidRPr="00F070A9">
              <w:rPr>
                <w:bCs/>
              </w:rPr>
              <w:t xml:space="preserve">, kā arī </w:t>
            </w:r>
            <w:r w:rsidR="005C311D" w:rsidRPr="00F070A9">
              <w:rPr>
                <w:bCs/>
                <w:i/>
              </w:rPr>
              <w:t>EURO</w:t>
            </w:r>
            <w:r w:rsidR="002344AE" w:rsidRPr="0091419C">
              <w:rPr>
                <w:bCs/>
                <w:i/>
              </w:rPr>
              <w:t>POL</w:t>
            </w:r>
            <w:r w:rsidR="002344AE" w:rsidRPr="00F070A9">
              <w:rPr>
                <w:bCs/>
              </w:rPr>
              <w:t xml:space="preserve"> eksperts</w:t>
            </w:r>
            <w:r w:rsidR="00F070A9">
              <w:rPr>
                <w:bCs/>
              </w:rPr>
              <w:t xml:space="preserve"> Kristofers Maikls </w:t>
            </w:r>
            <w:proofErr w:type="spellStart"/>
            <w:r w:rsidR="00F070A9">
              <w:rPr>
                <w:bCs/>
              </w:rPr>
              <w:t>Perimens</w:t>
            </w:r>
            <w:proofErr w:type="spellEnd"/>
            <w:r w:rsidR="00F070A9">
              <w:rPr>
                <w:bCs/>
              </w:rPr>
              <w:t xml:space="preserve"> (</w:t>
            </w:r>
            <w:proofErr w:type="spellStart"/>
            <w:r w:rsidR="002344AE" w:rsidRPr="00F070A9">
              <w:rPr>
                <w:bCs/>
                <w:i/>
              </w:rPr>
              <w:t>Christopher</w:t>
            </w:r>
            <w:proofErr w:type="spellEnd"/>
            <w:r w:rsidR="002344AE" w:rsidRPr="00F070A9">
              <w:rPr>
                <w:bCs/>
                <w:i/>
              </w:rPr>
              <w:t xml:space="preserve"> </w:t>
            </w:r>
            <w:proofErr w:type="spellStart"/>
            <w:r w:rsidR="002344AE" w:rsidRPr="00F070A9">
              <w:rPr>
                <w:bCs/>
                <w:i/>
              </w:rPr>
              <w:t>Michael</w:t>
            </w:r>
            <w:proofErr w:type="spellEnd"/>
            <w:r w:rsidR="002344AE" w:rsidRPr="00F070A9">
              <w:rPr>
                <w:bCs/>
                <w:i/>
              </w:rPr>
              <w:t xml:space="preserve"> </w:t>
            </w:r>
            <w:proofErr w:type="spellStart"/>
            <w:r w:rsidR="002344AE" w:rsidRPr="00F070A9">
              <w:rPr>
                <w:bCs/>
                <w:i/>
              </w:rPr>
              <w:t>Perryman</w:t>
            </w:r>
            <w:proofErr w:type="spellEnd"/>
            <w:r w:rsidR="00F070A9" w:rsidRPr="0091419C">
              <w:rPr>
                <w:bCs/>
              </w:rPr>
              <w:t>)</w:t>
            </w:r>
            <w:r w:rsidR="002344AE" w:rsidRPr="00F070A9">
              <w:rPr>
                <w:bCs/>
              </w:rPr>
              <w:t>.</w:t>
            </w:r>
            <w:r w:rsidR="004D3C97" w:rsidRPr="00F070A9">
              <w:rPr>
                <w:bCs/>
              </w:rPr>
              <w:t xml:space="preserve"> </w:t>
            </w:r>
            <w:r w:rsidR="003B72D4" w:rsidRPr="00F070A9">
              <w:rPr>
                <w:bCs/>
              </w:rPr>
              <w:t>Projekta ieviešanas laiks</w:t>
            </w:r>
            <w:r w:rsidR="005A618B" w:rsidRPr="00F070A9">
              <w:rPr>
                <w:bCs/>
              </w:rPr>
              <w:t xml:space="preserve"> saskaņā ar granta l</w:t>
            </w:r>
            <w:r w:rsidR="00A92083" w:rsidRPr="00F070A9">
              <w:rPr>
                <w:bCs/>
              </w:rPr>
              <w:t>īgumu</w:t>
            </w:r>
            <w:r w:rsidR="00A92083">
              <w:t xml:space="preserve"> </w:t>
            </w:r>
            <w:r w:rsidR="00A92083" w:rsidRPr="0091419C">
              <w:rPr>
                <w:bCs/>
                <w:i/>
              </w:rPr>
              <w:t>OLAF</w:t>
            </w:r>
            <w:r w:rsidR="00A92083" w:rsidRPr="00A92083">
              <w:rPr>
                <w:bCs/>
              </w:rPr>
              <w:t>/2015/D1/023</w:t>
            </w:r>
            <w:r w:rsidR="00A92083">
              <w:rPr>
                <w:bCs/>
              </w:rPr>
              <w:t xml:space="preserve"> ir no </w:t>
            </w:r>
            <w:r w:rsidR="003B72D4" w:rsidRPr="005A618B">
              <w:rPr>
                <w:bCs/>
              </w:rPr>
              <w:t>2015.gada</w:t>
            </w:r>
            <w:r w:rsidR="00A92083">
              <w:rPr>
                <w:bCs/>
              </w:rPr>
              <w:t xml:space="preserve"> 21.aprīļa līdz </w:t>
            </w:r>
            <w:r w:rsidR="003B72D4" w:rsidRPr="005A618B">
              <w:rPr>
                <w:bCs/>
              </w:rPr>
              <w:t>2015.gada</w:t>
            </w:r>
            <w:r w:rsidR="00CC0039">
              <w:rPr>
                <w:bCs/>
              </w:rPr>
              <w:t xml:space="preserve"> 7.oktobrim, </w:t>
            </w:r>
            <w:r w:rsidR="00CC0039" w:rsidRPr="00BF05D4">
              <w:rPr>
                <w:bCs/>
              </w:rPr>
              <w:t>kad tiek īstenota projekta pēdējā aktivitāte.</w:t>
            </w:r>
            <w:r w:rsidR="00A92083" w:rsidRPr="00BF05D4">
              <w:rPr>
                <w:bCs/>
              </w:rPr>
              <w:t xml:space="preserve"> </w:t>
            </w:r>
            <w:r w:rsidR="00C3471F" w:rsidRPr="00BF05D4">
              <w:t xml:space="preserve"> </w:t>
            </w:r>
            <w:r w:rsidR="00CC0039" w:rsidRPr="00BF05D4">
              <w:t xml:space="preserve">Tomēr faktiskais projekta noslēgums būs 2016.gada 1.ceturksnī, jo </w:t>
            </w:r>
            <w:r w:rsidR="00C3471F" w:rsidRPr="00BF05D4">
              <w:rPr>
                <w:bCs/>
              </w:rPr>
              <w:t>OLAF/2015/D1/023 granta līguma I.4.1.punktā “</w:t>
            </w:r>
            <w:proofErr w:type="spellStart"/>
            <w:r w:rsidR="00C3471F" w:rsidRPr="00BF05D4">
              <w:rPr>
                <w:bCs/>
                <w:i/>
              </w:rPr>
              <w:t>Reporting</w:t>
            </w:r>
            <w:proofErr w:type="spellEnd"/>
            <w:r w:rsidR="00C3471F" w:rsidRPr="00BF05D4">
              <w:rPr>
                <w:bCs/>
                <w:i/>
              </w:rPr>
              <w:t xml:space="preserve"> periods, </w:t>
            </w:r>
            <w:proofErr w:type="spellStart"/>
            <w:r w:rsidR="00C3471F" w:rsidRPr="00BF05D4">
              <w:rPr>
                <w:bCs/>
                <w:i/>
              </w:rPr>
              <w:t>payments</w:t>
            </w:r>
            <w:proofErr w:type="spellEnd"/>
            <w:r w:rsidR="00C3471F" w:rsidRPr="00BF05D4">
              <w:rPr>
                <w:bCs/>
                <w:i/>
              </w:rPr>
              <w:t xml:space="preserve"> </w:t>
            </w:r>
            <w:proofErr w:type="spellStart"/>
            <w:r w:rsidR="00C3471F" w:rsidRPr="00BF05D4">
              <w:rPr>
                <w:bCs/>
                <w:i/>
              </w:rPr>
              <w:t>and</w:t>
            </w:r>
            <w:proofErr w:type="spellEnd"/>
            <w:r w:rsidR="00C3471F" w:rsidRPr="00BF05D4">
              <w:rPr>
                <w:bCs/>
                <w:i/>
              </w:rPr>
              <w:t xml:space="preserve"> </w:t>
            </w:r>
            <w:proofErr w:type="spellStart"/>
            <w:r w:rsidR="00C3471F" w:rsidRPr="00BF05D4">
              <w:rPr>
                <w:bCs/>
                <w:i/>
              </w:rPr>
              <w:t>additional</w:t>
            </w:r>
            <w:proofErr w:type="spellEnd"/>
            <w:r w:rsidR="00C3471F" w:rsidRPr="00BF05D4">
              <w:rPr>
                <w:bCs/>
                <w:i/>
              </w:rPr>
              <w:t xml:space="preserve"> </w:t>
            </w:r>
            <w:proofErr w:type="spellStart"/>
            <w:r w:rsidR="00C3471F" w:rsidRPr="00BF05D4">
              <w:rPr>
                <w:bCs/>
                <w:i/>
              </w:rPr>
              <w:t>documents</w:t>
            </w:r>
            <w:proofErr w:type="spellEnd"/>
            <w:r w:rsidR="00C3471F" w:rsidRPr="00BF05D4">
              <w:rPr>
                <w:bCs/>
                <w:i/>
              </w:rPr>
              <w:t>”</w:t>
            </w:r>
            <w:r w:rsidR="00C3471F" w:rsidRPr="00BF05D4">
              <w:rPr>
                <w:bCs/>
              </w:rPr>
              <w:t xml:space="preserve"> noteikts, ka līdz ar līguma stāšanos spēkā saņēmējvalsts iestādei (VID) tiek pārskaitīts avansa finansējums 50% apmērā no kopējā granta finansējuma un atlikušais maksājums tiek pārskaitīts tikai pēc gala tehniskā ziņojuma un gala finanšu ziņojuma nosūtīšanas Eiropas Komisijai. Gala ziņojumi Eiropas Komisijai jānosūta 60 dienu laikā pēc projekta īstenošanas beigām, kas šī projekta gadījumā ir līdz  2016.gada 6.janvārim. </w:t>
            </w:r>
            <w:r w:rsidR="00697EE8" w:rsidRPr="00BF05D4">
              <w:t xml:space="preserve"> </w:t>
            </w:r>
            <w:r w:rsidR="00697EE8" w:rsidRPr="00BF05D4">
              <w:rPr>
                <w:bCs/>
              </w:rPr>
              <w:t xml:space="preserve">Savukārt OLAF/2015/D1/023 granta līguma I.4.2. punktā noteikts, ka termiņš, kurā Eiropas Komisijai jāveic atlikušais maksājums ir 60 dienas. </w:t>
            </w:r>
            <w:r w:rsidR="00C3471F" w:rsidRPr="00BF05D4">
              <w:rPr>
                <w:bCs/>
              </w:rPr>
              <w:t xml:space="preserve">Tādējādi pēdējais maksājums var tikt veikts </w:t>
            </w:r>
            <w:r w:rsidR="00697EE8" w:rsidRPr="00BF05D4">
              <w:rPr>
                <w:bCs/>
              </w:rPr>
              <w:t xml:space="preserve">ne agrāk kā </w:t>
            </w:r>
            <w:r w:rsidR="00C3471F" w:rsidRPr="00BF05D4">
              <w:rPr>
                <w:bCs/>
              </w:rPr>
              <w:t xml:space="preserve"> 2016.gad</w:t>
            </w:r>
            <w:r w:rsidR="00697EE8" w:rsidRPr="00BF05D4">
              <w:rPr>
                <w:bCs/>
              </w:rPr>
              <w:t>a 1.</w:t>
            </w:r>
            <w:r w:rsidR="003D5DDA" w:rsidRPr="00BF05D4">
              <w:rPr>
                <w:bCs/>
              </w:rPr>
              <w:t>c</w:t>
            </w:r>
            <w:r w:rsidR="00697EE8" w:rsidRPr="00BF05D4">
              <w:rPr>
                <w:bCs/>
              </w:rPr>
              <w:t>eturksnī</w:t>
            </w:r>
            <w:r w:rsidR="003D5DDA" w:rsidRPr="00BF05D4">
              <w:rPr>
                <w:bCs/>
              </w:rPr>
              <w:t xml:space="preserve"> un attiecīgi šis maksājums tiks ieplānots Finanšu ministrijas budžetā kā ārvalstu finanšu palīdzības atmaksa valsts pamatbudžetā.</w:t>
            </w:r>
            <w:r w:rsidR="00C3471F" w:rsidRPr="00C33AE3">
              <w:rPr>
                <w:bCs/>
              </w:rPr>
              <w:t xml:space="preserve"> </w:t>
            </w:r>
            <w:r w:rsidR="00A92083" w:rsidRPr="00C33AE3">
              <w:rPr>
                <w:bCs/>
              </w:rPr>
              <w:t>P</w:t>
            </w:r>
            <w:r w:rsidR="004D3C97" w:rsidRPr="00C33AE3">
              <w:rPr>
                <w:bCs/>
              </w:rPr>
              <w:t>rojekta kopējās plānotās izmaksas bez pievienotās vērtības nodokļa ir 30</w:t>
            </w:r>
            <w:r w:rsidR="00622379" w:rsidRPr="00C33AE3">
              <w:rPr>
                <w:bCs/>
              </w:rPr>
              <w:t> </w:t>
            </w:r>
            <w:r w:rsidR="004D3C97" w:rsidRPr="00C33AE3">
              <w:rPr>
                <w:bCs/>
              </w:rPr>
              <w:t>442</w:t>
            </w:r>
            <w:r w:rsidR="00622379" w:rsidRPr="00C33AE3">
              <w:rPr>
                <w:bCs/>
              </w:rPr>
              <w:t> </w:t>
            </w:r>
            <w:proofErr w:type="spellStart"/>
            <w:r w:rsidR="005C311D" w:rsidRPr="00C33AE3">
              <w:rPr>
                <w:bCs/>
                <w:i/>
              </w:rPr>
              <w:t>euro</w:t>
            </w:r>
            <w:proofErr w:type="spellEnd"/>
            <w:r w:rsidR="004D3C97" w:rsidRPr="00C33AE3">
              <w:rPr>
                <w:bCs/>
              </w:rPr>
              <w:t>, no kurām</w:t>
            </w:r>
            <w:r w:rsidR="004D3C97" w:rsidRPr="004D3C97">
              <w:rPr>
                <w:bCs/>
              </w:rPr>
              <w:t xml:space="preserve"> 80</w:t>
            </w:r>
            <w:r w:rsidR="00AD2F86">
              <w:rPr>
                <w:bCs/>
              </w:rPr>
              <w:t> </w:t>
            </w:r>
            <w:r w:rsidR="004D3C97" w:rsidRPr="004D3C97">
              <w:rPr>
                <w:bCs/>
              </w:rPr>
              <w:t xml:space="preserve">% jeb </w:t>
            </w:r>
            <w:r w:rsidR="004D3C97">
              <w:rPr>
                <w:bCs/>
              </w:rPr>
              <w:t>24 </w:t>
            </w:r>
            <w:r w:rsidR="00DF5BF4">
              <w:rPr>
                <w:bCs/>
              </w:rPr>
              <w:t>354</w:t>
            </w:r>
            <w:r w:rsidR="00DC1E47">
              <w:rPr>
                <w:bCs/>
              </w:rPr>
              <w:t> </w:t>
            </w:r>
            <w:proofErr w:type="spellStart"/>
            <w:r w:rsidR="005C311D" w:rsidRPr="005C311D">
              <w:rPr>
                <w:bCs/>
                <w:i/>
              </w:rPr>
              <w:t>euro</w:t>
            </w:r>
            <w:proofErr w:type="spellEnd"/>
            <w:r w:rsidR="004D3C97" w:rsidRPr="004D3C97">
              <w:rPr>
                <w:bCs/>
              </w:rPr>
              <w:t xml:space="preserve"> sedz Eiropas Komisija un 20</w:t>
            </w:r>
            <w:r w:rsidR="00AD2F86">
              <w:rPr>
                <w:bCs/>
              </w:rPr>
              <w:t> </w:t>
            </w:r>
            <w:r w:rsidR="004D3C97" w:rsidRPr="004D3C97">
              <w:rPr>
                <w:bCs/>
              </w:rPr>
              <w:t xml:space="preserve">% jeb </w:t>
            </w:r>
            <w:r w:rsidR="004D3C97">
              <w:rPr>
                <w:bCs/>
              </w:rPr>
              <w:t>6</w:t>
            </w:r>
            <w:r w:rsidR="00622379">
              <w:rPr>
                <w:bCs/>
              </w:rPr>
              <w:t> </w:t>
            </w:r>
            <w:r w:rsidR="004D3C97">
              <w:rPr>
                <w:bCs/>
              </w:rPr>
              <w:t>088</w:t>
            </w:r>
            <w:r w:rsidR="00622379">
              <w:rPr>
                <w:bCs/>
              </w:rPr>
              <w:t> </w:t>
            </w:r>
            <w:proofErr w:type="spellStart"/>
            <w:r w:rsidR="005C311D" w:rsidRPr="005C311D">
              <w:rPr>
                <w:bCs/>
                <w:i/>
              </w:rPr>
              <w:t>euro</w:t>
            </w:r>
            <w:proofErr w:type="spellEnd"/>
            <w:r w:rsidR="004D3C97" w:rsidRPr="004D3C97">
              <w:rPr>
                <w:bCs/>
              </w:rPr>
              <w:t xml:space="preserve"> nodrošina nacionālais līdzfinansējums. Ņemot vērā, ka Latvijai pievienotās vērtības nodoklis jāmaksā par visu projekta budžetu, kas ir</w:t>
            </w:r>
            <w:r w:rsidR="00622379">
              <w:rPr>
                <w:bCs/>
              </w:rPr>
              <w:t> </w:t>
            </w:r>
            <w:r w:rsidR="004D3C97">
              <w:rPr>
                <w:bCs/>
              </w:rPr>
              <w:t>5</w:t>
            </w:r>
            <w:r w:rsidR="00622379">
              <w:rPr>
                <w:bCs/>
              </w:rPr>
              <w:t> </w:t>
            </w:r>
            <w:r w:rsidR="004D3C97">
              <w:rPr>
                <w:bCs/>
              </w:rPr>
              <w:t>220</w:t>
            </w:r>
            <w:r w:rsidR="00622379">
              <w:rPr>
                <w:bCs/>
              </w:rPr>
              <w:t> </w:t>
            </w:r>
            <w:proofErr w:type="spellStart"/>
            <w:r w:rsidR="005C311D" w:rsidRPr="005C311D">
              <w:rPr>
                <w:bCs/>
                <w:i/>
              </w:rPr>
              <w:t>euro</w:t>
            </w:r>
            <w:proofErr w:type="spellEnd"/>
            <w:r w:rsidR="004D3C97" w:rsidRPr="004D3C97">
              <w:rPr>
                <w:bCs/>
              </w:rPr>
              <w:t>, Latvijas nacionālais līdzfinansējums kopā ir</w:t>
            </w:r>
            <w:r w:rsidR="00622379">
              <w:rPr>
                <w:bCs/>
              </w:rPr>
              <w:t> </w:t>
            </w:r>
            <w:r w:rsidR="004D3C97">
              <w:rPr>
                <w:bCs/>
              </w:rPr>
              <w:t>11</w:t>
            </w:r>
            <w:r w:rsidR="00622379">
              <w:rPr>
                <w:bCs/>
              </w:rPr>
              <w:t> </w:t>
            </w:r>
            <w:r w:rsidR="004D3C97">
              <w:rPr>
                <w:bCs/>
              </w:rPr>
              <w:t>308</w:t>
            </w:r>
            <w:r w:rsidR="00622379">
              <w:rPr>
                <w:bCs/>
              </w:rPr>
              <w:t> </w:t>
            </w:r>
            <w:proofErr w:type="spellStart"/>
            <w:r w:rsidR="005C311D" w:rsidRPr="005C311D">
              <w:rPr>
                <w:bCs/>
                <w:i/>
              </w:rPr>
              <w:t>euro</w:t>
            </w:r>
            <w:proofErr w:type="spellEnd"/>
            <w:r w:rsidR="004D3C97" w:rsidRPr="004D3C97">
              <w:rPr>
                <w:bCs/>
              </w:rPr>
              <w:t xml:space="preserve">. </w:t>
            </w:r>
          </w:p>
          <w:p w:rsidR="00DF5BF4" w:rsidRDefault="00DF5BF4" w:rsidP="00DF5BF4">
            <w:pPr>
              <w:ind w:firstLine="666"/>
              <w:jc w:val="both"/>
              <w:rPr>
                <w:bCs/>
              </w:rPr>
            </w:pPr>
            <w:r>
              <w:rPr>
                <w:bCs/>
              </w:rPr>
              <w:t xml:space="preserve">Papildus nepieciešams finansējums no valsts budžeta </w:t>
            </w:r>
            <w:proofErr w:type="spellStart"/>
            <w:r>
              <w:rPr>
                <w:bCs/>
              </w:rPr>
              <w:t>priekšfinansējuma</w:t>
            </w:r>
            <w:proofErr w:type="spellEnd"/>
            <w:r>
              <w:rPr>
                <w:bCs/>
              </w:rPr>
              <w:t xml:space="preserve"> nodrošināšanai (50</w:t>
            </w:r>
            <w:r w:rsidR="00AD2F86">
              <w:rPr>
                <w:bCs/>
              </w:rPr>
              <w:t> </w:t>
            </w:r>
            <w:r>
              <w:rPr>
                <w:bCs/>
              </w:rPr>
              <w:t>% no EK granta) 12</w:t>
            </w:r>
            <w:r w:rsidR="00622379">
              <w:rPr>
                <w:bCs/>
              </w:rPr>
              <w:t> </w:t>
            </w:r>
            <w:r>
              <w:rPr>
                <w:bCs/>
              </w:rPr>
              <w:t>177</w:t>
            </w:r>
            <w:r w:rsidR="00622379">
              <w:rPr>
                <w:bCs/>
              </w:rPr>
              <w:t> </w:t>
            </w:r>
            <w:proofErr w:type="spellStart"/>
            <w:r w:rsidR="005C311D" w:rsidRPr="005C311D">
              <w:rPr>
                <w:bCs/>
                <w:i/>
              </w:rPr>
              <w:t>euro</w:t>
            </w:r>
            <w:proofErr w:type="spellEnd"/>
            <w:r>
              <w:rPr>
                <w:bCs/>
              </w:rPr>
              <w:t xml:space="preserve"> apmērā. </w:t>
            </w:r>
            <w:proofErr w:type="spellStart"/>
            <w:r>
              <w:rPr>
                <w:bCs/>
              </w:rPr>
              <w:t>Priekšfinansējums</w:t>
            </w:r>
            <w:proofErr w:type="spellEnd"/>
            <w:r>
              <w:rPr>
                <w:bCs/>
              </w:rPr>
              <w:t xml:space="preserve"> kā gala maksājums tiks atmaksāts pēc noslēguma ziņojuma un finanšu pārskata saņemšanas un apstiprināšanas EK. </w:t>
            </w:r>
            <w:r w:rsidR="00AD2F86">
              <w:rPr>
                <w:bCs/>
              </w:rPr>
              <w:t>Tādējādi</w:t>
            </w:r>
            <w:r>
              <w:rPr>
                <w:bCs/>
              </w:rPr>
              <w:t xml:space="preserve"> kopējais valsts budžeta finansējuma apmērs projekta īstenošanai ir 23</w:t>
            </w:r>
            <w:r w:rsidR="00DC1E47">
              <w:rPr>
                <w:bCs/>
              </w:rPr>
              <w:t> </w:t>
            </w:r>
            <w:r>
              <w:rPr>
                <w:bCs/>
              </w:rPr>
              <w:t>485</w:t>
            </w:r>
            <w:r w:rsidR="00DC1E47">
              <w:rPr>
                <w:bCs/>
              </w:rPr>
              <w:t> </w:t>
            </w:r>
            <w:proofErr w:type="spellStart"/>
            <w:r w:rsidR="005C311D" w:rsidRPr="005C311D">
              <w:rPr>
                <w:bCs/>
                <w:i/>
              </w:rPr>
              <w:t>euro</w:t>
            </w:r>
            <w:proofErr w:type="spellEnd"/>
            <w:r w:rsidR="00B9537D">
              <w:rPr>
                <w:bCs/>
              </w:rPr>
              <w:t>.</w:t>
            </w:r>
          </w:p>
          <w:p w:rsidR="00A75432" w:rsidRPr="00A75432" w:rsidRDefault="00B1568F" w:rsidP="00A75432">
            <w:pPr>
              <w:ind w:firstLine="666"/>
              <w:jc w:val="both"/>
              <w:rPr>
                <w:bCs/>
                <w:u w:val="single"/>
              </w:rPr>
            </w:pPr>
            <w:r>
              <w:rPr>
                <w:bCs/>
              </w:rPr>
              <w:t>3</w:t>
            </w:r>
            <w:r w:rsidR="00BB2A5C">
              <w:rPr>
                <w:bCs/>
              </w:rPr>
              <w:t>)</w:t>
            </w:r>
            <w:r w:rsidR="00AD2F86">
              <w:rPr>
                <w:bCs/>
              </w:rPr>
              <w:t xml:space="preserve"> </w:t>
            </w:r>
            <w:r w:rsidR="00AD2F86">
              <w:rPr>
                <w:bCs/>
                <w:u w:val="single"/>
              </w:rPr>
              <w:t>p</w:t>
            </w:r>
            <w:r w:rsidR="00AD2F86" w:rsidRPr="00A75432">
              <w:rPr>
                <w:bCs/>
                <w:u w:val="single"/>
              </w:rPr>
              <w:t xml:space="preserve">rojekts </w:t>
            </w:r>
            <w:r w:rsidR="00AD2F86">
              <w:rPr>
                <w:bCs/>
                <w:u w:val="single"/>
              </w:rPr>
              <w:t>“</w:t>
            </w:r>
            <w:r w:rsidR="00A75432" w:rsidRPr="00A75432">
              <w:rPr>
                <w:bCs/>
                <w:u w:val="single"/>
              </w:rPr>
              <w:t>VID izmeklēšanas iestāžu tehniskās kapacitātes stiprināšana”.</w:t>
            </w:r>
          </w:p>
          <w:p w:rsidR="00A75432" w:rsidRPr="00A75432" w:rsidRDefault="00A75432" w:rsidP="00A75432">
            <w:pPr>
              <w:ind w:firstLine="666"/>
              <w:jc w:val="both"/>
              <w:rPr>
                <w:bCs/>
              </w:rPr>
            </w:pPr>
            <w:r w:rsidRPr="00A75432">
              <w:rPr>
                <w:bCs/>
              </w:rPr>
              <w:t>Projekta mērķis ir 2016.gadā nodrošināt VID noziedzīgu nodarījumu nodokļu un muitas lietu jomā izmeklēšanas struktūrvienības ar operatīvai darbībai un izmeklēšanas procesam nepieciešam</w:t>
            </w:r>
            <w:r w:rsidR="007353B9">
              <w:rPr>
                <w:bCs/>
              </w:rPr>
              <w:t>ā</w:t>
            </w:r>
            <w:r w:rsidRPr="00A75432">
              <w:rPr>
                <w:bCs/>
              </w:rPr>
              <w:t xml:space="preserve"> specifisk</w:t>
            </w:r>
            <w:r w:rsidR="007353B9">
              <w:rPr>
                <w:bCs/>
              </w:rPr>
              <w:t>ā</w:t>
            </w:r>
            <w:r w:rsidRPr="00A75432">
              <w:rPr>
                <w:bCs/>
              </w:rPr>
              <w:t xml:space="preserve"> aprīkojuma iegādi un veikt darbinieku apmācību.</w:t>
            </w:r>
          </w:p>
          <w:p w:rsidR="00A75432" w:rsidRPr="00A75432" w:rsidRDefault="00A75432" w:rsidP="00A75432">
            <w:pPr>
              <w:ind w:firstLine="666"/>
              <w:jc w:val="both"/>
              <w:rPr>
                <w:bCs/>
              </w:rPr>
            </w:pPr>
            <w:r w:rsidRPr="00A75432">
              <w:rPr>
                <w:bCs/>
              </w:rPr>
              <w:t xml:space="preserve">Projekta īstenošanās rezultātā uzlabosies VID izmeklēšanas iestāžu spējas nodrošināt specifiskas operatīvās un izmeklēšanas darbības, kā arī palielināsies nepieciešamās informācijas iegūšanas </w:t>
            </w:r>
            <w:r w:rsidRPr="00A75432">
              <w:rPr>
                <w:bCs/>
              </w:rPr>
              <w:lastRenderedPageBreak/>
              <w:t>ātrums un apjoms, kas ir būtisks priekšnoteikums</w:t>
            </w:r>
            <w:r w:rsidR="00AD2F86">
              <w:rPr>
                <w:bCs/>
              </w:rPr>
              <w:t>,</w:t>
            </w:r>
            <w:r w:rsidRPr="00A75432">
              <w:rPr>
                <w:bCs/>
              </w:rPr>
              <w:t xml:space="preserve"> apkarojot organizēto noziedzību.</w:t>
            </w:r>
          </w:p>
          <w:p w:rsidR="00A75432" w:rsidRPr="00A75432" w:rsidRDefault="00A75432" w:rsidP="00A75432">
            <w:pPr>
              <w:ind w:firstLine="666"/>
              <w:jc w:val="both"/>
              <w:rPr>
                <w:bCs/>
              </w:rPr>
            </w:pPr>
            <w:r w:rsidRPr="00A75432">
              <w:rPr>
                <w:bCs/>
              </w:rPr>
              <w:t xml:space="preserve">Projekta pieteikumu </w:t>
            </w:r>
            <w:r w:rsidRPr="0091419C">
              <w:rPr>
                <w:bCs/>
                <w:i/>
              </w:rPr>
              <w:t xml:space="preserve">OLAF </w:t>
            </w:r>
            <w:r w:rsidR="00F070A9" w:rsidRPr="0091419C">
              <w:rPr>
                <w:bCs/>
              </w:rPr>
              <w:t>“</w:t>
            </w:r>
            <w:proofErr w:type="spellStart"/>
            <w:r w:rsidRPr="00A75432">
              <w:rPr>
                <w:bCs/>
              </w:rPr>
              <w:t>Hercule</w:t>
            </w:r>
            <w:proofErr w:type="spellEnd"/>
            <w:r w:rsidRPr="00A75432">
              <w:rPr>
                <w:bCs/>
              </w:rPr>
              <w:t xml:space="preserve"> III</w:t>
            </w:r>
            <w:r w:rsidR="00F070A9">
              <w:rPr>
                <w:bCs/>
              </w:rPr>
              <w:t>”</w:t>
            </w:r>
            <w:r w:rsidRPr="00A75432">
              <w:rPr>
                <w:bCs/>
              </w:rPr>
              <w:t xml:space="preserve"> programmai </w:t>
            </w:r>
            <w:r w:rsidR="00622379">
              <w:rPr>
                <w:bCs/>
              </w:rPr>
              <w:t>“</w:t>
            </w:r>
            <w:r w:rsidRPr="00A75432">
              <w:rPr>
                <w:bCs/>
              </w:rPr>
              <w:t xml:space="preserve">Tehniskā palīdzība” </w:t>
            </w:r>
            <w:r w:rsidR="00C4402A" w:rsidRPr="00C4402A">
              <w:rPr>
                <w:bCs/>
              </w:rPr>
              <w:t xml:space="preserve">saskaņā ar </w:t>
            </w:r>
            <w:r w:rsidR="003A6508">
              <w:rPr>
                <w:bCs/>
              </w:rPr>
              <w:t>EK</w:t>
            </w:r>
            <w:r w:rsidR="00C4402A" w:rsidRPr="00C4402A">
              <w:rPr>
                <w:bCs/>
              </w:rPr>
              <w:t xml:space="preserve"> uzaicinājumā par pieteikumu iesniegšanu noteikto termiņu </w:t>
            </w:r>
            <w:r w:rsidR="00C4402A">
              <w:rPr>
                <w:bCs/>
              </w:rPr>
              <w:t xml:space="preserve">ir jāiesniedz līdz </w:t>
            </w:r>
            <w:r w:rsidRPr="00A75432">
              <w:rPr>
                <w:bCs/>
              </w:rPr>
              <w:t>2015.gad</w:t>
            </w:r>
            <w:r w:rsidR="00C4402A">
              <w:rPr>
                <w:bCs/>
              </w:rPr>
              <w:t>a 15.septembrim.</w:t>
            </w:r>
          </w:p>
          <w:p w:rsidR="00A75432" w:rsidRDefault="00A75432" w:rsidP="00A75432">
            <w:pPr>
              <w:ind w:firstLine="666"/>
              <w:jc w:val="both"/>
              <w:rPr>
                <w:bCs/>
              </w:rPr>
            </w:pPr>
            <w:r w:rsidRPr="00A75432">
              <w:rPr>
                <w:bCs/>
              </w:rPr>
              <w:t>Plānotā projekta kopējās provizoriskās izmaksas ir 1</w:t>
            </w:r>
            <w:r w:rsidR="00622379">
              <w:rPr>
                <w:bCs/>
              </w:rPr>
              <w:t> </w:t>
            </w:r>
            <w:r w:rsidRPr="00A75432">
              <w:rPr>
                <w:bCs/>
              </w:rPr>
              <w:t>100</w:t>
            </w:r>
            <w:r w:rsidR="00622379">
              <w:rPr>
                <w:bCs/>
              </w:rPr>
              <w:t> </w:t>
            </w:r>
            <w:r w:rsidRPr="00A75432">
              <w:rPr>
                <w:bCs/>
              </w:rPr>
              <w:t>000</w:t>
            </w:r>
            <w:r w:rsidR="00622379">
              <w:rPr>
                <w:bCs/>
              </w:rPr>
              <w:t> </w:t>
            </w:r>
            <w:proofErr w:type="spellStart"/>
            <w:r w:rsidR="005C311D" w:rsidRPr="005C311D">
              <w:rPr>
                <w:bCs/>
                <w:i/>
              </w:rPr>
              <w:t>euro</w:t>
            </w:r>
            <w:proofErr w:type="spellEnd"/>
            <w:r w:rsidRPr="00A75432">
              <w:rPr>
                <w:bCs/>
              </w:rPr>
              <w:t xml:space="preserve"> </w:t>
            </w:r>
            <w:r w:rsidR="00DC1E47">
              <w:rPr>
                <w:bCs/>
              </w:rPr>
              <w:t>–</w:t>
            </w:r>
            <w:r w:rsidRPr="00A75432">
              <w:rPr>
                <w:bCs/>
              </w:rPr>
              <w:t xml:space="preserve"> 80</w:t>
            </w:r>
            <w:r w:rsidR="00AD2F86">
              <w:rPr>
                <w:bCs/>
              </w:rPr>
              <w:t> </w:t>
            </w:r>
            <w:r w:rsidRPr="00A75432">
              <w:rPr>
                <w:bCs/>
              </w:rPr>
              <w:t>% jeb 880</w:t>
            </w:r>
            <w:r w:rsidR="00622379">
              <w:rPr>
                <w:bCs/>
              </w:rPr>
              <w:t> </w:t>
            </w:r>
            <w:r w:rsidRPr="00A75432">
              <w:rPr>
                <w:bCs/>
              </w:rPr>
              <w:t>000</w:t>
            </w:r>
            <w:r w:rsidR="00622379">
              <w:rPr>
                <w:bCs/>
              </w:rPr>
              <w:t> </w:t>
            </w:r>
            <w:proofErr w:type="spellStart"/>
            <w:r w:rsidR="00622379" w:rsidRPr="00622379">
              <w:rPr>
                <w:bCs/>
                <w:i/>
              </w:rPr>
              <w:t>euro</w:t>
            </w:r>
            <w:proofErr w:type="spellEnd"/>
            <w:r w:rsidR="00622379">
              <w:rPr>
                <w:bCs/>
              </w:rPr>
              <w:t xml:space="preserve"> </w:t>
            </w:r>
            <w:r w:rsidR="00DC1E47">
              <w:rPr>
                <w:bCs/>
              </w:rPr>
              <w:t xml:space="preserve">ir </w:t>
            </w:r>
            <w:r w:rsidR="00864424">
              <w:rPr>
                <w:bCs/>
              </w:rPr>
              <w:t>EK</w:t>
            </w:r>
            <w:r w:rsidRPr="00A75432">
              <w:rPr>
                <w:bCs/>
              </w:rPr>
              <w:t xml:space="preserve"> finansējums un 20</w:t>
            </w:r>
            <w:r w:rsidR="00AD2F86">
              <w:rPr>
                <w:bCs/>
              </w:rPr>
              <w:t> </w:t>
            </w:r>
            <w:r w:rsidRPr="00A75432">
              <w:rPr>
                <w:bCs/>
              </w:rPr>
              <w:t>% jeb 220</w:t>
            </w:r>
            <w:r w:rsidR="00622379">
              <w:rPr>
                <w:bCs/>
              </w:rPr>
              <w:t> </w:t>
            </w:r>
            <w:r w:rsidRPr="00A75432">
              <w:rPr>
                <w:bCs/>
              </w:rPr>
              <w:t>000</w:t>
            </w:r>
            <w:r w:rsidR="00622379">
              <w:rPr>
                <w:bCs/>
              </w:rPr>
              <w:t> </w:t>
            </w:r>
            <w:proofErr w:type="spellStart"/>
            <w:r w:rsidR="005C311D" w:rsidRPr="005C311D">
              <w:rPr>
                <w:bCs/>
                <w:i/>
              </w:rPr>
              <w:t>euro</w:t>
            </w:r>
            <w:proofErr w:type="spellEnd"/>
            <w:r w:rsidRPr="00A75432">
              <w:rPr>
                <w:bCs/>
              </w:rPr>
              <w:t xml:space="preserve"> jāsedz no nacionālā līdzfinansējuma. Ņemot vērā, ka Latvijai jāsedz arī pievienotās vērtības nodokļa maksājumi, kas </w:t>
            </w:r>
            <w:r w:rsidR="00BB2A5C">
              <w:rPr>
                <w:bCs/>
              </w:rPr>
              <w:t xml:space="preserve">no </w:t>
            </w:r>
            <w:r w:rsidRPr="00A75432">
              <w:rPr>
                <w:bCs/>
              </w:rPr>
              <w:t>visa provizoriskā budžeta būtu 231</w:t>
            </w:r>
            <w:r w:rsidR="00622379">
              <w:rPr>
                <w:bCs/>
              </w:rPr>
              <w:t> </w:t>
            </w:r>
            <w:r w:rsidRPr="00A75432">
              <w:rPr>
                <w:bCs/>
              </w:rPr>
              <w:t>000</w:t>
            </w:r>
            <w:r w:rsidR="00622379">
              <w:rPr>
                <w:bCs/>
              </w:rPr>
              <w:t> </w:t>
            </w:r>
            <w:proofErr w:type="spellStart"/>
            <w:r w:rsidR="005C311D" w:rsidRPr="005C311D">
              <w:rPr>
                <w:bCs/>
                <w:i/>
              </w:rPr>
              <w:t>euro</w:t>
            </w:r>
            <w:proofErr w:type="spellEnd"/>
            <w:r w:rsidRPr="00A75432">
              <w:rPr>
                <w:bCs/>
              </w:rPr>
              <w:t>, Latvijas kopējās projekta izmaks</w:t>
            </w:r>
            <w:r w:rsidR="00DC1E47">
              <w:rPr>
                <w:bCs/>
              </w:rPr>
              <w:t>a</w:t>
            </w:r>
            <w:r w:rsidRPr="00A75432">
              <w:rPr>
                <w:bCs/>
              </w:rPr>
              <w:t>s būtu 451</w:t>
            </w:r>
            <w:r w:rsidR="00622379">
              <w:rPr>
                <w:bCs/>
              </w:rPr>
              <w:t> </w:t>
            </w:r>
            <w:r w:rsidRPr="00A75432">
              <w:rPr>
                <w:bCs/>
              </w:rPr>
              <w:t>000</w:t>
            </w:r>
            <w:r w:rsidR="00622379">
              <w:rPr>
                <w:bCs/>
              </w:rPr>
              <w:t> </w:t>
            </w:r>
            <w:proofErr w:type="spellStart"/>
            <w:r w:rsidR="005C311D" w:rsidRPr="005C311D">
              <w:rPr>
                <w:bCs/>
                <w:i/>
              </w:rPr>
              <w:t>euro</w:t>
            </w:r>
            <w:proofErr w:type="spellEnd"/>
            <w:r w:rsidRPr="00A75432">
              <w:rPr>
                <w:bCs/>
              </w:rPr>
              <w:t xml:space="preserve">. </w:t>
            </w:r>
            <w:r w:rsidRPr="007353B9">
              <w:rPr>
                <w:bCs/>
              </w:rPr>
              <w:t xml:space="preserve">Paredzamais projekta īstenošanas laiks ir </w:t>
            </w:r>
            <w:r w:rsidR="00DF5BF4" w:rsidRPr="007353B9">
              <w:rPr>
                <w:bCs/>
              </w:rPr>
              <w:t>no</w:t>
            </w:r>
            <w:r w:rsidR="007353B9" w:rsidRPr="007353B9">
              <w:rPr>
                <w:bCs/>
              </w:rPr>
              <w:t xml:space="preserve"> 2016.gada aprīļa </w:t>
            </w:r>
            <w:r w:rsidRPr="007353B9">
              <w:rPr>
                <w:bCs/>
              </w:rPr>
              <w:t>līdz 2016.gada 31.decembrim.</w:t>
            </w:r>
          </w:p>
          <w:p w:rsidR="004C5369" w:rsidRPr="00836F85" w:rsidRDefault="00DF5BF4" w:rsidP="00AD2F86">
            <w:pPr>
              <w:ind w:firstLine="666"/>
              <w:jc w:val="both"/>
              <w:rPr>
                <w:bCs/>
              </w:rPr>
            </w:pPr>
            <w:r>
              <w:rPr>
                <w:bCs/>
              </w:rPr>
              <w:t xml:space="preserve">Papildus nepieciešams finansējums no valsts budžeta </w:t>
            </w:r>
            <w:proofErr w:type="spellStart"/>
            <w:r>
              <w:rPr>
                <w:bCs/>
              </w:rPr>
              <w:t>priekšfinansējuma</w:t>
            </w:r>
            <w:proofErr w:type="spellEnd"/>
            <w:r>
              <w:rPr>
                <w:bCs/>
              </w:rPr>
              <w:t xml:space="preserve"> nodrošināšanai (50</w:t>
            </w:r>
            <w:r w:rsidR="00AD2F86">
              <w:rPr>
                <w:bCs/>
              </w:rPr>
              <w:t> </w:t>
            </w:r>
            <w:r>
              <w:rPr>
                <w:bCs/>
              </w:rPr>
              <w:t>% no EK granta) 440</w:t>
            </w:r>
            <w:r w:rsidR="00622379">
              <w:rPr>
                <w:bCs/>
              </w:rPr>
              <w:t> </w:t>
            </w:r>
            <w:r>
              <w:rPr>
                <w:bCs/>
              </w:rPr>
              <w:t>000</w:t>
            </w:r>
            <w:r w:rsidR="00622379">
              <w:rPr>
                <w:bCs/>
              </w:rPr>
              <w:t> </w:t>
            </w:r>
            <w:proofErr w:type="spellStart"/>
            <w:r w:rsidR="005C311D" w:rsidRPr="005C311D">
              <w:rPr>
                <w:bCs/>
                <w:i/>
              </w:rPr>
              <w:t>euro</w:t>
            </w:r>
            <w:proofErr w:type="spellEnd"/>
            <w:r>
              <w:rPr>
                <w:bCs/>
              </w:rPr>
              <w:t xml:space="preserve"> apmērā. </w:t>
            </w:r>
            <w:proofErr w:type="spellStart"/>
            <w:r>
              <w:rPr>
                <w:bCs/>
              </w:rPr>
              <w:t>Priekšfinansējums</w:t>
            </w:r>
            <w:proofErr w:type="spellEnd"/>
            <w:r>
              <w:rPr>
                <w:bCs/>
              </w:rPr>
              <w:t xml:space="preserve"> kā gala maksājums tiks atmaksāts pēc noslēguma ziņojuma un finanšu pārskata saņemšanas un apstiprināšanas EK. </w:t>
            </w:r>
            <w:r w:rsidR="00AD2F86">
              <w:rPr>
                <w:bCs/>
              </w:rPr>
              <w:t>Tādējādi</w:t>
            </w:r>
            <w:r>
              <w:rPr>
                <w:bCs/>
              </w:rPr>
              <w:t xml:space="preserve"> kopējais valsts budžeta finansējuma apmērs projekta īstenošanai ir </w:t>
            </w:r>
            <w:r w:rsidR="00D67702">
              <w:rPr>
                <w:bCs/>
              </w:rPr>
              <w:t>891</w:t>
            </w:r>
            <w:r w:rsidR="00876965">
              <w:rPr>
                <w:bCs/>
              </w:rPr>
              <w:t> </w:t>
            </w:r>
            <w:r w:rsidR="00D67702">
              <w:rPr>
                <w:bCs/>
              </w:rPr>
              <w:t>000</w:t>
            </w:r>
            <w:r w:rsidR="00876965">
              <w:rPr>
                <w:bCs/>
              </w:rPr>
              <w:t> </w:t>
            </w:r>
            <w:proofErr w:type="spellStart"/>
            <w:r w:rsidR="005C311D" w:rsidRPr="005C311D">
              <w:rPr>
                <w:bCs/>
                <w:i/>
              </w:rPr>
              <w:t>euro</w:t>
            </w:r>
            <w:proofErr w:type="spellEnd"/>
            <w:r>
              <w:rPr>
                <w:bCs/>
              </w:rPr>
              <w:t>.</w:t>
            </w:r>
          </w:p>
        </w:tc>
      </w:tr>
      <w:tr w:rsidR="0095561D" w:rsidRPr="0062008E" w:rsidTr="003B0E20">
        <w:trPr>
          <w:trHeight w:val="286"/>
        </w:trPr>
        <w:tc>
          <w:tcPr>
            <w:tcW w:w="534" w:type="dxa"/>
            <w:tcBorders>
              <w:top w:val="single" w:sz="6" w:space="0" w:color="auto"/>
              <w:left w:val="single" w:sz="6" w:space="0" w:color="auto"/>
              <w:bottom w:val="single" w:sz="6" w:space="0" w:color="auto"/>
              <w:right w:val="single" w:sz="6" w:space="0" w:color="auto"/>
            </w:tcBorders>
          </w:tcPr>
          <w:p w:rsidR="0095561D" w:rsidRPr="0062008E" w:rsidRDefault="00546D03" w:rsidP="008E5615">
            <w:pPr>
              <w:tabs>
                <w:tab w:val="left" w:pos="720"/>
                <w:tab w:val="center" w:pos="4153"/>
                <w:tab w:val="right" w:pos="8306"/>
              </w:tabs>
              <w:spacing w:before="100" w:beforeAutospacing="1" w:after="100" w:afterAutospacing="1"/>
            </w:pPr>
            <w:r>
              <w:lastRenderedPageBreak/>
              <w:t>3</w:t>
            </w:r>
            <w:r w:rsidR="0095561D" w:rsidRPr="0062008E">
              <w:t>.</w:t>
            </w:r>
          </w:p>
        </w:tc>
        <w:tc>
          <w:tcPr>
            <w:tcW w:w="2278" w:type="dxa"/>
            <w:tcBorders>
              <w:top w:val="single" w:sz="6" w:space="0" w:color="auto"/>
              <w:left w:val="single" w:sz="6" w:space="0" w:color="auto"/>
              <w:bottom w:val="single" w:sz="6" w:space="0" w:color="auto"/>
              <w:right w:val="single" w:sz="6" w:space="0" w:color="auto"/>
            </w:tcBorders>
          </w:tcPr>
          <w:p w:rsidR="0095561D" w:rsidRPr="0062008E" w:rsidRDefault="0095561D" w:rsidP="008E5615">
            <w:pPr>
              <w:tabs>
                <w:tab w:val="left" w:pos="720"/>
                <w:tab w:val="center" w:pos="4153"/>
                <w:tab w:val="right" w:pos="8306"/>
              </w:tabs>
              <w:spacing w:before="100" w:beforeAutospacing="1" w:after="100" w:afterAutospacing="1"/>
            </w:pPr>
            <w:r w:rsidRPr="0062008E">
              <w:t xml:space="preserve">Projekta izstrādē iesaistītās institūcijas </w:t>
            </w:r>
          </w:p>
        </w:tc>
        <w:tc>
          <w:tcPr>
            <w:tcW w:w="6969" w:type="dxa"/>
            <w:tcBorders>
              <w:top w:val="single" w:sz="6" w:space="0" w:color="auto"/>
              <w:left w:val="single" w:sz="6" w:space="0" w:color="auto"/>
              <w:bottom w:val="single" w:sz="6" w:space="0" w:color="auto"/>
              <w:right w:val="single" w:sz="6" w:space="0" w:color="auto"/>
            </w:tcBorders>
          </w:tcPr>
          <w:p w:rsidR="007D359F" w:rsidRPr="0062008E" w:rsidRDefault="005826A8" w:rsidP="00876965">
            <w:pPr>
              <w:ind w:firstLine="23"/>
            </w:pPr>
            <w:r>
              <w:t>Finanšu ministrija (Valsts ieņēmumu dienests)</w:t>
            </w:r>
          </w:p>
        </w:tc>
      </w:tr>
      <w:tr w:rsidR="0095561D" w:rsidRPr="0062008E" w:rsidTr="003B0E20">
        <w:trPr>
          <w:trHeight w:val="276"/>
        </w:trPr>
        <w:tc>
          <w:tcPr>
            <w:tcW w:w="534" w:type="dxa"/>
            <w:tcBorders>
              <w:top w:val="single" w:sz="6" w:space="0" w:color="auto"/>
              <w:left w:val="single" w:sz="6" w:space="0" w:color="auto"/>
              <w:bottom w:val="single" w:sz="6" w:space="0" w:color="auto"/>
              <w:right w:val="single" w:sz="6" w:space="0" w:color="auto"/>
            </w:tcBorders>
          </w:tcPr>
          <w:p w:rsidR="0095561D" w:rsidRPr="0062008E" w:rsidRDefault="00A177D5" w:rsidP="008E5615">
            <w:pPr>
              <w:tabs>
                <w:tab w:val="left" w:pos="720"/>
                <w:tab w:val="center" w:pos="4153"/>
                <w:tab w:val="right" w:pos="8306"/>
              </w:tabs>
              <w:spacing w:before="100" w:beforeAutospacing="1" w:after="100" w:afterAutospacing="1"/>
            </w:pPr>
            <w:r>
              <w:t>4</w:t>
            </w:r>
            <w:r w:rsidR="0095561D" w:rsidRPr="0062008E">
              <w:t>.</w:t>
            </w:r>
          </w:p>
        </w:tc>
        <w:tc>
          <w:tcPr>
            <w:tcW w:w="2278" w:type="dxa"/>
            <w:tcBorders>
              <w:top w:val="single" w:sz="6" w:space="0" w:color="auto"/>
              <w:left w:val="single" w:sz="6" w:space="0" w:color="auto"/>
              <w:bottom w:val="single" w:sz="6" w:space="0" w:color="auto"/>
              <w:right w:val="single" w:sz="6" w:space="0" w:color="auto"/>
            </w:tcBorders>
          </w:tcPr>
          <w:p w:rsidR="0095561D" w:rsidRPr="0062008E" w:rsidRDefault="0095561D" w:rsidP="008E5615">
            <w:pPr>
              <w:tabs>
                <w:tab w:val="left" w:pos="720"/>
                <w:tab w:val="center" w:pos="4153"/>
                <w:tab w:val="right" w:pos="8306"/>
              </w:tabs>
              <w:spacing w:before="100" w:beforeAutospacing="1" w:after="100" w:afterAutospacing="1"/>
            </w:pPr>
            <w:r w:rsidRPr="0062008E">
              <w:t>Cita informācija</w:t>
            </w:r>
          </w:p>
        </w:tc>
        <w:tc>
          <w:tcPr>
            <w:tcW w:w="6969" w:type="dxa"/>
            <w:tcBorders>
              <w:top w:val="single" w:sz="6" w:space="0" w:color="auto"/>
              <w:left w:val="single" w:sz="6" w:space="0" w:color="auto"/>
              <w:bottom w:val="single" w:sz="6" w:space="0" w:color="auto"/>
              <w:right w:val="single" w:sz="6" w:space="0" w:color="auto"/>
            </w:tcBorders>
          </w:tcPr>
          <w:p w:rsidR="00B712F1" w:rsidRPr="0062008E" w:rsidRDefault="00FC17A0" w:rsidP="00876965">
            <w:pPr>
              <w:ind w:firstLine="23"/>
              <w:jc w:val="both"/>
            </w:pPr>
            <w:r>
              <w:t>Nav</w:t>
            </w:r>
          </w:p>
        </w:tc>
      </w:tr>
    </w:tbl>
    <w:p w:rsidR="003B0E20" w:rsidRDefault="003B0E20"/>
    <w:tbl>
      <w:tblPr>
        <w:tblW w:w="5434"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70"/>
        <w:gridCol w:w="3541"/>
        <w:gridCol w:w="5813"/>
      </w:tblGrid>
      <w:tr w:rsidR="003B0E20" w:rsidRPr="00740A24" w:rsidTr="0091419C">
        <w:tc>
          <w:tcPr>
            <w:tcW w:w="5000" w:type="pct"/>
            <w:gridSpan w:val="3"/>
            <w:tcBorders>
              <w:top w:val="outset" w:sz="6" w:space="0" w:color="auto"/>
              <w:bottom w:val="outset" w:sz="6" w:space="0" w:color="auto"/>
            </w:tcBorders>
          </w:tcPr>
          <w:p w:rsidR="003B0E20" w:rsidRPr="00740A24" w:rsidRDefault="003B0E20" w:rsidP="00622379">
            <w:pPr>
              <w:ind w:left="112" w:right="140"/>
              <w:jc w:val="both"/>
              <w:rPr>
                <w:szCs w:val="28"/>
              </w:rPr>
            </w:pPr>
            <w:r w:rsidRPr="0091419C">
              <w:rPr>
                <w:b/>
                <w:bCs/>
              </w:rPr>
              <w:t>II. Tiesību akta projekta ietekme uz sabiedrību, tautsaimniecības attīstību un administratīvo slogu</w:t>
            </w:r>
          </w:p>
        </w:tc>
      </w:tr>
      <w:tr w:rsidR="003B0E20" w:rsidRPr="00740A24" w:rsidTr="0091419C">
        <w:trPr>
          <w:trHeight w:val="516"/>
        </w:trPr>
        <w:tc>
          <w:tcPr>
            <w:tcW w:w="287" w:type="pct"/>
            <w:tcBorders>
              <w:top w:val="outset" w:sz="6" w:space="0" w:color="414142"/>
              <w:left w:val="outset" w:sz="6" w:space="0" w:color="414142"/>
              <w:bottom w:val="outset" w:sz="6" w:space="0" w:color="414142"/>
              <w:right w:val="outset" w:sz="6" w:space="0" w:color="414142"/>
            </w:tcBorders>
            <w:shd w:val="clear" w:color="auto" w:fill="FFFFFF"/>
          </w:tcPr>
          <w:p w:rsidR="003B0E20" w:rsidRPr="00485B53" w:rsidRDefault="003B0E20" w:rsidP="00622379">
            <w:pPr>
              <w:rPr>
                <w:bCs/>
              </w:rPr>
            </w:pPr>
            <w:r w:rsidRPr="00485B53">
              <w:rPr>
                <w:bCs/>
              </w:rPr>
              <w:t>1.</w:t>
            </w:r>
          </w:p>
        </w:tc>
        <w:tc>
          <w:tcPr>
            <w:tcW w:w="1784" w:type="pct"/>
            <w:tcBorders>
              <w:top w:val="outset" w:sz="6" w:space="0" w:color="414142"/>
              <w:left w:val="outset" w:sz="6" w:space="0" w:color="414142"/>
              <w:bottom w:val="outset" w:sz="6" w:space="0" w:color="414142"/>
              <w:right w:val="outset" w:sz="6" w:space="0" w:color="414142"/>
            </w:tcBorders>
            <w:shd w:val="clear" w:color="auto" w:fill="FFFFFF"/>
          </w:tcPr>
          <w:p w:rsidR="003B0E20" w:rsidRPr="00485B53" w:rsidRDefault="003B0E20" w:rsidP="00622379">
            <w:pPr>
              <w:rPr>
                <w:bCs/>
              </w:rPr>
            </w:pPr>
            <w:r w:rsidRPr="00485B53">
              <w:rPr>
                <w:bCs/>
              </w:rPr>
              <w:t xml:space="preserve">Sabiedrības </w:t>
            </w:r>
            <w:proofErr w:type="spellStart"/>
            <w:r w:rsidRPr="00485B53">
              <w:rPr>
                <w:bCs/>
              </w:rPr>
              <w:t>mērķgrupas</w:t>
            </w:r>
            <w:proofErr w:type="spellEnd"/>
            <w:r w:rsidRPr="00485B53">
              <w:rPr>
                <w:bCs/>
              </w:rPr>
              <w:t>, kuras tiesiskais regulējums ietekmē vai varētu ietekmēt</w:t>
            </w:r>
          </w:p>
        </w:tc>
        <w:tc>
          <w:tcPr>
            <w:tcW w:w="2929" w:type="pct"/>
            <w:tcBorders>
              <w:top w:val="outset" w:sz="6" w:space="0" w:color="414142"/>
              <w:left w:val="outset" w:sz="6" w:space="0" w:color="414142"/>
              <w:bottom w:val="outset" w:sz="6" w:space="0" w:color="414142"/>
              <w:right w:val="outset" w:sz="6" w:space="0" w:color="414142"/>
            </w:tcBorders>
            <w:shd w:val="clear" w:color="auto" w:fill="FFFFFF"/>
          </w:tcPr>
          <w:p w:rsidR="005C15F9" w:rsidRPr="00CB5C36" w:rsidRDefault="005C15F9" w:rsidP="0091419C">
            <w:pPr>
              <w:jc w:val="both"/>
              <w:rPr>
                <w:bCs/>
              </w:rPr>
            </w:pPr>
            <w:r w:rsidRPr="00CB5C36">
              <w:rPr>
                <w:bCs/>
              </w:rPr>
              <w:t>Valsts ieņēmumu dienests</w:t>
            </w:r>
          </w:p>
          <w:p w:rsidR="005C15F9" w:rsidRPr="00CB5C36" w:rsidRDefault="005C15F9" w:rsidP="0091419C">
            <w:pPr>
              <w:jc w:val="both"/>
              <w:rPr>
                <w:bCs/>
              </w:rPr>
            </w:pPr>
            <w:r w:rsidRPr="00CB5C36">
              <w:rPr>
                <w:bCs/>
              </w:rPr>
              <w:t>Visa sabiedrība</w:t>
            </w:r>
          </w:p>
          <w:p w:rsidR="005C15F9" w:rsidRPr="00CB5C36" w:rsidRDefault="005C15F9" w:rsidP="0091419C">
            <w:pPr>
              <w:jc w:val="both"/>
              <w:rPr>
                <w:bCs/>
              </w:rPr>
            </w:pPr>
            <w:r w:rsidRPr="00CB5C36">
              <w:rPr>
                <w:bCs/>
              </w:rPr>
              <w:t>Komersanti (kravu pārvadātāji)</w:t>
            </w:r>
          </w:p>
          <w:p w:rsidR="005C15F9" w:rsidRPr="00CB5C36" w:rsidRDefault="005C15F9" w:rsidP="0091419C">
            <w:pPr>
              <w:jc w:val="both"/>
              <w:rPr>
                <w:bCs/>
                <w:strike/>
              </w:rPr>
            </w:pPr>
          </w:p>
          <w:p w:rsidR="003B0E20" w:rsidRPr="00CB5C36" w:rsidRDefault="003B0E20" w:rsidP="0091419C">
            <w:pPr>
              <w:jc w:val="both"/>
              <w:rPr>
                <w:bCs/>
              </w:rPr>
            </w:pPr>
          </w:p>
        </w:tc>
      </w:tr>
      <w:tr w:rsidR="003B0E20" w:rsidRPr="00740A24" w:rsidTr="0091419C">
        <w:tc>
          <w:tcPr>
            <w:tcW w:w="287" w:type="pct"/>
            <w:tcBorders>
              <w:top w:val="outset" w:sz="6" w:space="0" w:color="414142"/>
              <w:left w:val="outset" w:sz="6" w:space="0" w:color="414142"/>
              <w:bottom w:val="outset" w:sz="6" w:space="0" w:color="414142"/>
              <w:right w:val="outset" w:sz="6" w:space="0" w:color="414142"/>
            </w:tcBorders>
            <w:shd w:val="clear" w:color="auto" w:fill="FFFFFF"/>
          </w:tcPr>
          <w:p w:rsidR="003B0E20" w:rsidRPr="00485B53" w:rsidRDefault="003B0E20" w:rsidP="00622379">
            <w:pPr>
              <w:rPr>
                <w:bCs/>
              </w:rPr>
            </w:pPr>
            <w:r w:rsidRPr="00485B53">
              <w:rPr>
                <w:bCs/>
              </w:rPr>
              <w:t>2.</w:t>
            </w:r>
          </w:p>
        </w:tc>
        <w:tc>
          <w:tcPr>
            <w:tcW w:w="1784" w:type="pct"/>
            <w:tcBorders>
              <w:top w:val="outset" w:sz="6" w:space="0" w:color="414142"/>
              <w:left w:val="outset" w:sz="6" w:space="0" w:color="414142"/>
              <w:bottom w:val="outset" w:sz="6" w:space="0" w:color="414142"/>
              <w:right w:val="outset" w:sz="6" w:space="0" w:color="414142"/>
            </w:tcBorders>
            <w:shd w:val="clear" w:color="auto" w:fill="FFFFFF"/>
          </w:tcPr>
          <w:p w:rsidR="003B0E20" w:rsidRPr="00485B53" w:rsidRDefault="003B0E20" w:rsidP="00622379">
            <w:pPr>
              <w:rPr>
                <w:bCs/>
              </w:rPr>
            </w:pPr>
            <w:r w:rsidRPr="00485B53">
              <w:rPr>
                <w:bCs/>
              </w:rPr>
              <w:t>Tiesiskā regulējuma ietekme uz tautsaimniecību un administratīvo slogu</w:t>
            </w:r>
          </w:p>
        </w:tc>
        <w:tc>
          <w:tcPr>
            <w:tcW w:w="2929" w:type="pct"/>
            <w:tcBorders>
              <w:top w:val="outset" w:sz="6" w:space="0" w:color="414142"/>
              <w:left w:val="outset" w:sz="6" w:space="0" w:color="414142"/>
              <w:bottom w:val="outset" w:sz="6" w:space="0" w:color="414142"/>
              <w:right w:val="outset" w:sz="6" w:space="0" w:color="414142"/>
            </w:tcBorders>
            <w:shd w:val="clear" w:color="auto" w:fill="FFFFFF"/>
          </w:tcPr>
          <w:p w:rsidR="005C15F9" w:rsidRPr="00CB5C36" w:rsidRDefault="005C15F9" w:rsidP="005C15F9">
            <w:pPr>
              <w:jc w:val="both"/>
              <w:rPr>
                <w:bCs/>
              </w:rPr>
            </w:pPr>
            <w:r w:rsidRPr="00CB5C36">
              <w:rPr>
                <w:bCs/>
              </w:rPr>
              <w:t xml:space="preserve">Projektu īstenošana nodrošinās sabiedrības aizsardzību, drošību un drošumu, kā arī veicinās efektīvus </w:t>
            </w:r>
            <w:r w:rsidRPr="00CB5C36">
              <w:rPr>
                <w:bCs/>
                <w:color w:val="000000" w:themeColor="text1"/>
              </w:rPr>
              <w:t xml:space="preserve">muitas iestāžu </w:t>
            </w:r>
            <w:r w:rsidRPr="00CB5C36">
              <w:rPr>
                <w:bCs/>
              </w:rPr>
              <w:t>kontroles pasākumus godīgas konkurences nodrošināšanai uzņēmējdarbībā un sabiedrības aizsardzībai.</w:t>
            </w:r>
          </w:p>
          <w:p w:rsidR="003B0E20" w:rsidRPr="00CB5C36" w:rsidRDefault="005C15F9" w:rsidP="005C15F9">
            <w:pPr>
              <w:rPr>
                <w:bCs/>
              </w:rPr>
            </w:pPr>
            <w:r w:rsidRPr="00CB5C36">
              <w:rPr>
                <w:bCs/>
              </w:rPr>
              <w:t>Ņemot vērā, ka projekti nozīmīgi ES finansiālo interešu un valsts budžeta ieņēmumu aizsardzībai, to īstenošana nodrošinās noziedzīgu nodarījumu apkarošanu, izvairīšanos no nodokļu nomaksas, samazinot nodokļu krāpšanu, kā arī pozitīvi ietekmēs iedzīvotāju paļāvību uz nodokļu sistēmas taisnīgumu un efektivitāti.</w:t>
            </w:r>
          </w:p>
        </w:tc>
      </w:tr>
      <w:tr w:rsidR="00D70B64" w:rsidRPr="00740A24" w:rsidTr="0091419C">
        <w:tc>
          <w:tcPr>
            <w:tcW w:w="287" w:type="pct"/>
            <w:tcBorders>
              <w:top w:val="outset" w:sz="6" w:space="0" w:color="414142"/>
              <w:left w:val="outset" w:sz="6" w:space="0" w:color="414142"/>
              <w:bottom w:val="outset" w:sz="6" w:space="0" w:color="414142"/>
              <w:right w:val="outset" w:sz="6" w:space="0" w:color="414142"/>
            </w:tcBorders>
            <w:shd w:val="clear" w:color="auto" w:fill="FFFFFF"/>
          </w:tcPr>
          <w:p w:rsidR="00D70B64" w:rsidRPr="00E857D6" w:rsidRDefault="00D70B64" w:rsidP="00622379">
            <w:pPr>
              <w:rPr>
                <w:bCs/>
              </w:rPr>
            </w:pPr>
            <w:r w:rsidRPr="00E857D6">
              <w:rPr>
                <w:bCs/>
              </w:rPr>
              <w:t>3.</w:t>
            </w:r>
          </w:p>
        </w:tc>
        <w:tc>
          <w:tcPr>
            <w:tcW w:w="1784" w:type="pct"/>
            <w:tcBorders>
              <w:top w:val="outset" w:sz="6" w:space="0" w:color="414142"/>
              <w:left w:val="outset" w:sz="6" w:space="0" w:color="414142"/>
              <w:bottom w:val="outset" w:sz="6" w:space="0" w:color="414142"/>
              <w:right w:val="outset" w:sz="6" w:space="0" w:color="414142"/>
            </w:tcBorders>
            <w:shd w:val="clear" w:color="auto" w:fill="FFFFFF"/>
          </w:tcPr>
          <w:p w:rsidR="00D70B64" w:rsidRPr="00E857D6" w:rsidRDefault="00D70B64" w:rsidP="00622379">
            <w:pPr>
              <w:rPr>
                <w:bCs/>
              </w:rPr>
            </w:pPr>
            <w:r w:rsidRPr="00E857D6">
              <w:rPr>
                <w:bCs/>
              </w:rPr>
              <w:t>Administratīvo izmaksu monetārs novērtējums</w:t>
            </w:r>
          </w:p>
        </w:tc>
        <w:tc>
          <w:tcPr>
            <w:tcW w:w="2929" w:type="pct"/>
            <w:tcBorders>
              <w:top w:val="outset" w:sz="6" w:space="0" w:color="414142"/>
              <w:left w:val="outset" w:sz="6" w:space="0" w:color="414142"/>
              <w:bottom w:val="outset" w:sz="6" w:space="0" w:color="414142"/>
              <w:right w:val="outset" w:sz="6" w:space="0" w:color="414142"/>
            </w:tcBorders>
            <w:shd w:val="clear" w:color="auto" w:fill="FFFFFF"/>
          </w:tcPr>
          <w:p w:rsidR="00D70B64" w:rsidRPr="00E857D6" w:rsidRDefault="00D70B64" w:rsidP="00622379">
            <w:pPr>
              <w:rPr>
                <w:bCs/>
              </w:rPr>
            </w:pPr>
            <w:r w:rsidRPr="00E857D6">
              <w:t>Projekts šo jomu neskar</w:t>
            </w:r>
          </w:p>
        </w:tc>
      </w:tr>
      <w:tr w:rsidR="003B0E20" w:rsidRPr="00740A24" w:rsidTr="0091419C">
        <w:tc>
          <w:tcPr>
            <w:tcW w:w="287" w:type="pct"/>
            <w:tcBorders>
              <w:top w:val="outset" w:sz="6" w:space="0" w:color="414142"/>
              <w:left w:val="outset" w:sz="6" w:space="0" w:color="414142"/>
              <w:bottom w:val="outset" w:sz="6" w:space="0" w:color="414142"/>
              <w:right w:val="outset" w:sz="6" w:space="0" w:color="414142"/>
            </w:tcBorders>
            <w:shd w:val="clear" w:color="auto" w:fill="FFFFFF"/>
          </w:tcPr>
          <w:p w:rsidR="003B0E20" w:rsidRPr="00485B53" w:rsidRDefault="00D70B64" w:rsidP="00622379">
            <w:pPr>
              <w:rPr>
                <w:bCs/>
              </w:rPr>
            </w:pPr>
            <w:r>
              <w:rPr>
                <w:bCs/>
              </w:rPr>
              <w:t>4</w:t>
            </w:r>
            <w:r w:rsidR="003B0E20" w:rsidRPr="00485B53">
              <w:rPr>
                <w:bCs/>
              </w:rPr>
              <w:t>.</w:t>
            </w:r>
          </w:p>
        </w:tc>
        <w:tc>
          <w:tcPr>
            <w:tcW w:w="1784" w:type="pct"/>
            <w:tcBorders>
              <w:top w:val="outset" w:sz="6" w:space="0" w:color="414142"/>
              <w:left w:val="outset" w:sz="6" w:space="0" w:color="414142"/>
              <w:bottom w:val="outset" w:sz="6" w:space="0" w:color="414142"/>
              <w:right w:val="outset" w:sz="6" w:space="0" w:color="414142"/>
            </w:tcBorders>
            <w:shd w:val="clear" w:color="auto" w:fill="FFFFFF"/>
          </w:tcPr>
          <w:p w:rsidR="003B0E20" w:rsidRPr="00485B53" w:rsidRDefault="003B0E20" w:rsidP="00622379">
            <w:pPr>
              <w:rPr>
                <w:bCs/>
              </w:rPr>
            </w:pPr>
            <w:r w:rsidRPr="00485B53">
              <w:rPr>
                <w:bCs/>
              </w:rPr>
              <w:t>Cita informācija</w:t>
            </w:r>
          </w:p>
        </w:tc>
        <w:tc>
          <w:tcPr>
            <w:tcW w:w="2929" w:type="pct"/>
            <w:tcBorders>
              <w:top w:val="outset" w:sz="6" w:space="0" w:color="414142"/>
              <w:left w:val="outset" w:sz="6" w:space="0" w:color="414142"/>
              <w:bottom w:val="outset" w:sz="6" w:space="0" w:color="414142"/>
              <w:right w:val="outset" w:sz="6" w:space="0" w:color="414142"/>
            </w:tcBorders>
            <w:shd w:val="clear" w:color="auto" w:fill="FFFFFF"/>
          </w:tcPr>
          <w:p w:rsidR="003B0E20" w:rsidRPr="00485B53" w:rsidRDefault="003B0E20" w:rsidP="00622379">
            <w:pPr>
              <w:rPr>
                <w:bCs/>
              </w:rPr>
            </w:pPr>
            <w:r w:rsidRPr="00485B53">
              <w:rPr>
                <w:bCs/>
              </w:rPr>
              <w:t>Nav</w:t>
            </w:r>
          </w:p>
        </w:tc>
      </w:tr>
    </w:tbl>
    <w:p w:rsidR="00A47726" w:rsidRDefault="00A47726" w:rsidP="003B0E20">
      <w:pPr>
        <w:jc w:val="both"/>
        <w:rPr>
          <w:color w:val="000000"/>
          <w:sz w:val="28"/>
          <w:szCs w:val="28"/>
          <w:lang w:eastAsia="en-US"/>
        </w:rPr>
      </w:pPr>
    </w:p>
    <w:tbl>
      <w:tblPr>
        <w:tblW w:w="5435"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24"/>
        <w:gridCol w:w="1376"/>
        <w:gridCol w:w="1691"/>
        <w:gridCol w:w="1282"/>
        <w:gridCol w:w="1282"/>
        <w:gridCol w:w="1570"/>
      </w:tblGrid>
      <w:tr w:rsidR="00A47726" w:rsidTr="0091419C">
        <w:tc>
          <w:tcPr>
            <w:tcW w:w="5000" w:type="pct"/>
            <w:gridSpan w:val="6"/>
            <w:tcBorders>
              <w:top w:val="outset" w:sz="6" w:space="0" w:color="000000"/>
              <w:left w:val="outset" w:sz="6" w:space="0" w:color="000000"/>
              <w:bottom w:val="outset" w:sz="6" w:space="0" w:color="000000"/>
              <w:right w:val="outset" w:sz="6" w:space="0" w:color="000000"/>
            </w:tcBorders>
          </w:tcPr>
          <w:p w:rsidR="00A47726" w:rsidRDefault="00A47726" w:rsidP="00A246D2">
            <w:pPr>
              <w:spacing w:before="100" w:beforeAutospacing="1" w:after="100" w:afterAutospacing="1"/>
              <w:jc w:val="center"/>
              <w:rPr>
                <w:b/>
                <w:bCs/>
              </w:rPr>
            </w:pPr>
            <w:r>
              <w:rPr>
                <w:b/>
                <w:bCs/>
              </w:rPr>
              <w:t>III. Tiesību akta projekta ietekme uz valsts budžetu un pašvaldību budžetiem</w:t>
            </w:r>
          </w:p>
        </w:tc>
      </w:tr>
      <w:tr w:rsidR="006F6CE7" w:rsidTr="0091419C">
        <w:tc>
          <w:tcPr>
            <w:tcW w:w="1372" w:type="pct"/>
            <w:vMerge w:val="restart"/>
            <w:tcBorders>
              <w:top w:val="outset" w:sz="6" w:space="0" w:color="000000"/>
              <w:left w:val="outset" w:sz="6" w:space="0" w:color="000000"/>
              <w:bottom w:val="outset" w:sz="6" w:space="0" w:color="000000"/>
              <w:right w:val="outset" w:sz="6" w:space="0" w:color="000000"/>
            </w:tcBorders>
            <w:vAlign w:val="center"/>
          </w:tcPr>
          <w:p w:rsidR="00A47726" w:rsidRDefault="00A47726" w:rsidP="00A246D2">
            <w:pPr>
              <w:spacing w:before="100" w:beforeAutospacing="1" w:after="100" w:afterAutospacing="1"/>
              <w:jc w:val="center"/>
              <w:rPr>
                <w:b/>
                <w:bCs/>
              </w:rPr>
            </w:pPr>
            <w:r>
              <w:rPr>
                <w:b/>
                <w:bCs/>
              </w:rPr>
              <w:t>Rādītāji</w:t>
            </w:r>
          </w:p>
        </w:tc>
        <w:tc>
          <w:tcPr>
            <w:tcW w:w="1545" w:type="pct"/>
            <w:gridSpan w:val="2"/>
            <w:vMerge w:val="restart"/>
            <w:tcBorders>
              <w:top w:val="outset" w:sz="6" w:space="0" w:color="000000"/>
              <w:left w:val="outset" w:sz="6" w:space="0" w:color="000000"/>
              <w:bottom w:val="outset" w:sz="6" w:space="0" w:color="000000"/>
              <w:right w:val="outset" w:sz="6" w:space="0" w:color="000000"/>
            </w:tcBorders>
            <w:vAlign w:val="center"/>
          </w:tcPr>
          <w:p w:rsidR="00A47726" w:rsidRDefault="00836F85" w:rsidP="00A246D2">
            <w:pPr>
              <w:spacing w:before="100" w:beforeAutospacing="1" w:after="100" w:afterAutospacing="1"/>
              <w:jc w:val="center"/>
              <w:rPr>
                <w:b/>
                <w:bCs/>
              </w:rPr>
            </w:pPr>
            <w:r>
              <w:rPr>
                <w:b/>
                <w:bCs/>
              </w:rPr>
              <w:t>2015</w:t>
            </w:r>
            <w:r w:rsidR="00A47726">
              <w:rPr>
                <w:b/>
                <w:bCs/>
              </w:rPr>
              <w:t>.gads</w:t>
            </w:r>
          </w:p>
        </w:tc>
        <w:tc>
          <w:tcPr>
            <w:tcW w:w="2083" w:type="pct"/>
            <w:gridSpan w:val="3"/>
            <w:tcBorders>
              <w:top w:val="outset" w:sz="6" w:space="0" w:color="000000"/>
              <w:left w:val="outset" w:sz="6" w:space="0" w:color="000000"/>
              <w:bottom w:val="outset" w:sz="6" w:space="0" w:color="000000"/>
              <w:right w:val="outset" w:sz="6" w:space="0" w:color="000000"/>
            </w:tcBorders>
            <w:vAlign w:val="center"/>
          </w:tcPr>
          <w:p w:rsidR="00A47726" w:rsidRDefault="00A47726" w:rsidP="00A246D2">
            <w:pPr>
              <w:spacing w:before="100" w:beforeAutospacing="1" w:after="100" w:afterAutospacing="1"/>
              <w:jc w:val="center"/>
            </w:pPr>
            <w:r>
              <w:t>T</w:t>
            </w:r>
            <w:r w:rsidR="008B04C7">
              <w:t>urpmākie trīs gadi (</w:t>
            </w:r>
            <w:proofErr w:type="spellStart"/>
            <w:r w:rsidR="005C311D" w:rsidRPr="005C311D">
              <w:rPr>
                <w:i/>
              </w:rPr>
              <w:t>euro</w:t>
            </w:r>
            <w:proofErr w:type="spellEnd"/>
            <w:r>
              <w:t>)</w:t>
            </w:r>
          </w:p>
        </w:tc>
      </w:tr>
      <w:tr w:rsidR="006F6CE7" w:rsidTr="0091419C">
        <w:tc>
          <w:tcPr>
            <w:tcW w:w="1372" w:type="pct"/>
            <w:vMerge/>
            <w:tcBorders>
              <w:top w:val="outset" w:sz="6" w:space="0" w:color="000000"/>
              <w:left w:val="outset" w:sz="6" w:space="0" w:color="000000"/>
              <w:bottom w:val="outset" w:sz="6" w:space="0" w:color="000000"/>
              <w:right w:val="outset" w:sz="6" w:space="0" w:color="000000"/>
            </w:tcBorders>
            <w:vAlign w:val="center"/>
          </w:tcPr>
          <w:p w:rsidR="00A47726" w:rsidRDefault="00A47726" w:rsidP="00A246D2">
            <w:pPr>
              <w:rPr>
                <w:b/>
                <w:bCs/>
              </w:rPr>
            </w:pPr>
          </w:p>
        </w:tc>
        <w:tc>
          <w:tcPr>
            <w:tcW w:w="1545" w:type="pct"/>
            <w:gridSpan w:val="2"/>
            <w:vMerge/>
            <w:tcBorders>
              <w:top w:val="outset" w:sz="6" w:space="0" w:color="000000"/>
              <w:left w:val="outset" w:sz="6" w:space="0" w:color="000000"/>
              <w:bottom w:val="outset" w:sz="6" w:space="0" w:color="000000"/>
              <w:right w:val="outset" w:sz="6" w:space="0" w:color="000000"/>
            </w:tcBorders>
            <w:vAlign w:val="center"/>
          </w:tcPr>
          <w:p w:rsidR="00A47726" w:rsidRDefault="00A47726" w:rsidP="00A246D2">
            <w:pPr>
              <w:rPr>
                <w:b/>
                <w:bCs/>
              </w:rPr>
            </w:pPr>
          </w:p>
        </w:tc>
        <w:tc>
          <w:tcPr>
            <w:tcW w:w="646" w:type="pct"/>
            <w:tcBorders>
              <w:top w:val="outset" w:sz="6" w:space="0" w:color="000000"/>
              <w:left w:val="outset" w:sz="6" w:space="0" w:color="000000"/>
              <w:bottom w:val="outset" w:sz="6" w:space="0" w:color="000000"/>
              <w:right w:val="outset" w:sz="6" w:space="0" w:color="000000"/>
            </w:tcBorders>
            <w:vAlign w:val="center"/>
          </w:tcPr>
          <w:p w:rsidR="00A47726" w:rsidRDefault="00F00D6A" w:rsidP="00A246D2">
            <w:pPr>
              <w:spacing w:before="100" w:beforeAutospacing="1" w:after="100" w:afterAutospacing="1"/>
              <w:jc w:val="center"/>
              <w:rPr>
                <w:b/>
                <w:bCs/>
              </w:rPr>
            </w:pPr>
            <w:r>
              <w:rPr>
                <w:b/>
                <w:bCs/>
              </w:rPr>
              <w:t>201</w:t>
            </w:r>
            <w:r w:rsidR="00836F85">
              <w:rPr>
                <w:b/>
                <w:bCs/>
              </w:rPr>
              <w:t>6</w:t>
            </w:r>
            <w:r w:rsidR="00F7148E">
              <w:rPr>
                <w:b/>
                <w:bCs/>
              </w:rPr>
              <w:t>.</w:t>
            </w:r>
          </w:p>
        </w:tc>
        <w:tc>
          <w:tcPr>
            <w:tcW w:w="646" w:type="pct"/>
            <w:tcBorders>
              <w:top w:val="outset" w:sz="6" w:space="0" w:color="000000"/>
              <w:left w:val="outset" w:sz="6" w:space="0" w:color="000000"/>
              <w:bottom w:val="outset" w:sz="6" w:space="0" w:color="000000"/>
              <w:right w:val="outset" w:sz="6" w:space="0" w:color="000000"/>
            </w:tcBorders>
            <w:vAlign w:val="center"/>
          </w:tcPr>
          <w:p w:rsidR="00A47726" w:rsidRDefault="00F00D6A" w:rsidP="00A246D2">
            <w:pPr>
              <w:spacing w:before="100" w:beforeAutospacing="1" w:after="100" w:afterAutospacing="1"/>
              <w:jc w:val="center"/>
              <w:rPr>
                <w:b/>
                <w:bCs/>
              </w:rPr>
            </w:pPr>
            <w:r>
              <w:rPr>
                <w:b/>
                <w:bCs/>
              </w:rPr>
              <w:t>201</w:t>
            </w:r>
            <w:r w:rsidR="00836F85">
              <w:rPr>
                <w:b/>
                <w:bCs/>
              </w:rPr>
              <w:t>7</w:t>
            </w:r>
            <w:r w:rsidR="00F7148E">
              <w:rPr>
                <w:b/>
                <w:bCs/>
              </w:rPr>
              <w:t>.</w:t>
            </w:r>
          </w:p>
        </w:tc>
        <w:tc>
          <w:tcPr>
            <w:tcW w:w="791" w:type="pct"/>
            <w:tcBorders>
              <w:top w:val="outset" w:sz="6" w:space="0" w:color="000000"/>
              <w:left w:val="outset" w:sz="6" w:space="0" w:color="000000"/>
              <w:bottom w:val="outset" w:sz="6" w:space="0" w:color="000000"/>
              <w:right w:val="outset" w:sz="6" w:space="0" w:color="000000"/>
            </w:tcBorders>
            <w:vAlign w:val="center"/>
          </w:tcPr>
          <w:p w:rsidR="00A47726" w:rsidRDefault="00F00D6A" w:rsidP="00A246D2">
            <w:pPr>
              <w:spacing w:before="100" w:beforeAutospacing="1" w:after="100" w:afterAutospacing="1"/>
              <w:jc w:val="center"/>
              <w:rPr>
                <w:b/>
                <w:bCs/>
              </w:rPr>
            </w:pPr>
            <w:r>
              <w:rPr>
                <w:b/>
                <w:bCs/>
              </w:rPr>
              <w:t>201</w:t>
            </w:r>
            <w:r w:rsidR="00836F85">
              <w:rPr>
                <w:b/>
                <w:bCs/>
              </w:rPr>
              <w:t>8</w:t>
            </w:r>
            <w:r w:rsidR="00F7148E">
              <w:rPr>
                <w:b/>
                <w:bCs/>
              </w:rPr>
              <w:t>.</w:t>
            </w:r>
          </w:p>
        </w:tc>
      </w:tr>
      <w:tr w:rsidR="006F6CE7" w:rsidTr="0091419C">
        <w:tc>
          <w:tcPr>
            <w:tcW w:w="1372" w:type="pct"/>
            <w:vMerge/>
            <w:tcBorders>
              <w:top w:val="outset" w:sz="6" w:space="0" w:color="000000"/>
              <w:left w:val="outset" w:sz="6" w:space="0" w:color="000000"/>
              <w:bottom w:val="outset" w:sz="6" w:space="0" w:color="000000"/>
              <w:right w:val="outset" w:sz="6" w:space="0" w:color="000000"/>
            </w:tcBorders>
            <w:vAlign w:val="center"/>
          </w:tcPr>
          <w:p w:rsidR="00A47726" w:rsidRDefault="00A47726" w:rsidP="00A246D2">
            <w:pPr>
              <w:rPr>
                <w:b/>
                <w:bCs/>
              </w:rPr>
            </w:pPr>
          </w:p>
        </w:tc>
        <w:tc>
          <w:tcPr>
            <w:tcW w:w="693" w:type="pct"/>
            <w:tcBorders>
              <w:top w:val="outset" w:sz="6" w:space="0" w:color="000000"/>
              <w:left w:val="outset" w:sz="6" w:space="0" w:color="000000"/>
              <w:bottom w:val="outset" w:sz="6" w:space="0" w:color="000000"/>
              <w:right w:val="outset" w:sz="6" w:space="0" w:color="000000"/>
            </w:tcBorders>
            <w:vAlign w:val="center"/>
          </w:tcPr>
          <w:p w:rsidR="00A47726" w:rsidRDefault="00546D03" w:rsidP="00A246D2">
            <w:pPr>
              <w:spacing w:before="100" w:beforeAutospacing="1" w:after="100" w:afterAutospacing="1"/>
              <w:jc w:val="center"/>
            </w:pPr>
            <w:r>
              <w:t>s</w:t>
            </w:r>
            <w:r w:rsidR="00A47726">
              <w:t xml:space="preserve">askaņā ar valsts </w:t>
            </w:r>
            <w:r w:rsidR="00A47726">
              <w:lastRenderedPageBreak/>
              <w:t>budžetu kārtējam gadam</w:t>
            </w:r>
          </w:p>
        </w:tc>
        <w:tc>
          <w:tcPr>
            <w:tcW w:w="852" w:type="pct"/>
            <w:tcBorders>
              <w:top w:val="outset" w:sz="6" w:space="0" w:color="000000"/>
              <w:left w:val="outset" w:sz="6" w:space="0" w:color="000000"/>
              <w:bottom w:val="outset" w:sz="6" w:space="0" w:color="000000"/>
              <w:right w:val="outset" w:sz="6" w:space="0" w:color="000000"/>
            </w:tcBorders>
            <w:vAlign w:val="center"/>
          </w:tcPr>
          <w:p w:rsidR="00A47726" w:rsidRDefault="00546D03" w:rsidP="00A246D2">
            <w:pPr>
              <w:spacing w:before="100" w:beforeAutospacing="1" w:after="100" w:afterAutospacing="1"/>
              <w:jc w:val="center"/>
            </w:pPr>
            <w:r>
              <w:lastRenderedPageBreak/>
              <w:t>i</w:t>
            </w:r>
            <w:r w:rsidR="00A47726">
              <w:t xml:space="preserve">zmaiņas kārtējā gadā, salīdzinot </w:t>
            </w:r>
            <w:r w:rsidR="00A47726">
              <w:lastRenderedPageBreak/>
              <w:t>ar budžetu kārtējam gadam</w:t>
            </w:r>
          </w:p>
        </w:tc>
        <w:tc>
          <w:tcPr>
            <w:tcW w:w="646" w:type="pct"/>
            <w:tcBorders>
              <w:top w:val="outset" w:sz="6" w:space="0" w:color="000000"/>
              <w:left w:val="outset" w:sz="6" w:space="0" w:color="000000"/>
              <w:bottom w:val="outset" w:sz="6" w:space="0" w:color="000000"/>
              <w:right w:val="outset" w:sz="6" w:space="0" w:color="000000"/>
            </w:tcBorders>
            <w:vAlign w:val="center"/>
          </w:tcPr>
          <w:p w:rsidR="00A47726" w:rsidRDefault="00546D03" w:rsidP="00A246D2">
            <w:pPr>
              <w:spacing w:before="100" w:beforeAutospacing="1" w:after="100" w:afterAutospacing="1"/>
              <w:jc w:val="center"/>
            </w:pPr>
            <w:r>
              <w:lastRenderedPageBreak/>
              <w:t>i</w:t>
            </w:r>
            <w:r w:rsidR="00A47726">
              <w:t xml:space="preserve">zmaiņas, salīdzinot ar </w:t>
            </w:r>
            <w:r w:rsidR="00A47726">
              <w:lastRenderedPageBreak/>
              <w:t>kārtējo (n) gadu</w:t>
            </w:r>
          </w:p>
        </w:tc>
        <w:tc>
          <w:tcPr>
            <w:tcW w:w="646" w:type="pct"/>
            <w:tcBorders>
              <w:top w:val="outset" w:sz="6" w:space="0" w:color="000000"/>
              <w:left w:val="outset" w:sz="6" w:space="0" w:color="000000"/>
              <w:bottom w:val="outset" w:sz="6" w:space="0" w:color="000000"/>
              <w:right w:val="outset" w:sz="6" w:space="0" w:color="000000"/>
            </w:tcBorders>
            <w:vAlign w:val="center"/>
          </w:tcPr>
          <w:p w:rsidR="00A47726" w:rsidRDefault="00546D03" w:rsidP="00A246D2">
            <w:pPr>
              <w:spacing w:before="100" w:beforeAutospacing="1" w:after="100" w:afterAutospacing="1"/>
              <w:jc w:val="center"/>
            </w:pPr>
            <w:r>
              <w:lastRenderedPageBreak/>
              <w:t>i</w:t>
            </w:r>
            <w:r w:rsidR="00A47726">
              <w:t xml:space="preserve">zmaiņas, salīdzinot ar </w:t>
            </w:r>
            <w:r w:rsidR="00A47726">
              <w:lastRenderedPageBreak/>
              <w:t>kārtējo (n) gadu</w:t>
            </w:r>
          </w:p>
        </w:tc>
        <w:tc>
          <w:tcPr>
            <w:tcW w:w="791" w:type="pct"/>
            <w:tcBorders>
              <w:top w:val="outset" w:sz="6" w:space="0" w:color="000000"/>
              <w:left w:val="outset" w:sz="6" w:space="0" w:color="000000"/>
              <w:bottom w:val="outset" w:sz="6" w:space="0" w:color="000000"/>
              <w:right w:val="outset" w:sz="6" w:space="0" w:color="000000"/>
            </w:tcBorders>
            <w:vAlign w:val="center"/>
          </w:tcPr>
          <w:p w:rsidR="00A47726" w:rsidRDefault="00546D03" w:rsidP="00A246D2">
            <w:pPr>
              <w:spacing w:before="100" w:beforeAutospacing="1" w:after="100" w:afterAutospacing="1"/>
              <w:jc w:val="center"/>
            </w:pPr>
            <w:r>
              <w:lastRenderedPageBreak/>
              <w:t>i</w:t>
            </w:r>
            <w:r w:rsidR="00A47726">
              <w:t xml:space="preserve">zmaiņas, salīdzinot ar </w:t>
            </w:r>
            <w:r w:rsidR="00A47726">
              <w:lastRenderedPageBreak/>
              <w:t>kārtējo (n) gadu</w:t>
            </w:r>
          </w:p>
        </w:tc>
      </w:tr>
      <w:tr w:rsidR="006F6CE7" w:rsidTr="0091419C">
        <w:tc>
          <w:tcPr>
            <w:tcW w:w="1372" w:type="pct"/>
            <w:tcBorders>
              <w:top w:val="outset" w:sz="6" w:space="0" w:color="000000"/>
              <w:left w:val="outset" w:sz="6" w:space="0" w:color="000000"/>
              <w:bottom w:val="outset" w:sz="6" w:space="0" w:color="000000"/>
              <w:right w:val="outset" w:sz="6" w:space="0" w:color="000000"/>
            </w:tcBorders>
            <w:vAlign w:val="center"/>
          </w:tcPr>
          <w:p w:rsidR="00A47726" w:rsidRDefault="00A47726" w:rsidP="00A246D2">
            <w:pPr>
              <w:spacing w:before="100" w:beforeAutospacing="1" w:after="100" w:afterAutospacing="1"/>
              <w:jc w:val="center"/>
            </w:pPr>
            <w:r>
              <w:lastRenderedPageBreak/>
              <w:t>1</w:t>
            </w:r>
          </w:p>
        </w:tc>
        <w:tc>
          <w:tcPr>
            <w:tcW w:w="693" w:type="pct"/>
            <w:tcBorders>
              <w:top w:val="outset" w:sz="6" w:space="0" w:color="000000"/>
              <w:left w:val="outset" w:sz="6" w:space="0" w:color="000000"/>
              <w:bottom w:val="outset" w:sz="6" w:space="0" w:color="000000"/>
              <w:right w:val="outset" w:sz="6" w:space="0" w:color="000000"/>
            </w:tcBorders>
            <w:vAlign w:val="center"/>
          </w:tcPr>
          <w:p w:rsidR="00A47726" w:rsidRDefault="00A47726" w:rsidP="0017641D">
            <w:pPr>
              <w:spacing w:before="100" w:beforeAutospacing="1" w:after="100" w:afterAutospacing="1"/>
              <w:jc w:val="center"/>
            </w:pPr>
            <w:r>
              <w:t>2</w:t>
            </w:r>
          </w:p>
        </w:tc>
        <w:tc>
          <w:tcPr>
            <w:tcW w:w="852" w:type="pct"/>
            <w:tcBorders>
              <w:top w:val="outset" w:sz="6" w:space="0" w:color="000000"/>
              <w:left w:val="outset" w:sz="6" w:space="0" w:color="000000"/>
              <w:bottom w:val="outset" w:sz="6" w:space="0" w:color="000000"/>
              <w:right w:val="outset" w:sz="6" w:space="0" w:color="000000"/>
            </w:tcBorders>
            <w:vAlign w:val="center"/>
          </w:tcPr>
          <w:p w:rsidR="00A47726" w:rsidRDefault="00A47726" w:rsidP="0017641D">
            <w:pPr>
              <w:spacing w:before="100" w:beforeAutospacing="1" w:after="100" w:afterAutospacing="1"/>
              <w:jc w:val="center"/>
            </w:pPr>
            <w:r>
              <w:t>3</w:t>
            </w:r>
          </w:p>
        </w:tc>
        <w:tc>
          <w:tcPr>
            <w:tcW w:w="646" w:type="pct"/>
            <w:tcBorders>
              <w:top w:val="outset" w:sz="6" w:space="0" w:color="000000"/>
              <w:left w:val="outset" w:sz="6" w:space="0" w:color="000000"/>
              <w:bottom w:val="outset" w:sz="6" w:space="0" w:color="000000"/>
              <w:right w:val="outset" w:sz="6" w:space="0" w:color="000000"/>
            </w:tcBorders>
            <w:vAlign w:val="center"/>
          </w:tcPr>
          <w:p w:rsidR="00A47726" w:rsidRDefault="00A47726" w:rsidP="00C84A6E">
            <w:pPr>
              <w:spacing w:before="100" w:beforeAutospacing="1" w:after="100" w:afterAutospacing="1"/>
              <w:jc w:val="center"/>
            </w:pPr>
            <w:r>
              <w:t>4</w:t>
            </w:r>
          </w:p>
        </w:tc>
        <w:tc>
          <w:tcPr>
            <w:tcW w:w="646" w:type="pct"/>
            <w:tcBorders>
              <w:top w:val="outset" w:sz="6" w:space="0" w:color="000000"/>
              <w:left w:val="outset" w:sz="6" w:space="0" w:color="000000"/>
              <w:bottom w:val="outset" w:sz="6" w:space="0" w:color="000000"/>
              <w:right w:val="outset" w:sz="6" w:space="0" w:color="000000"/>
            </w:tcBorders>
            <w:vAlign w:val="center"/>
          </w:tcPr>
          <w:p w:rsidR="00A47726" w:rsidRDefault="00A47726" w:rsidP="00C84A6E">
            <w:pPr>
              <w:spacing w:before="100" w:beforeAutospacing="1" w:after="100" w:afterAutospacing="1"/>
              <w:jc w:val="center"/>
            </w:pPr>
            <w:r>
              <w:t>5</w:t>
            </w:r>
          </w:p>
        </w:tc>
        <w:tc>
          <w:tcPr>
            <w:tcW w:w="791" w:type="pct"/>
            <w:tcBorders>
              <w:top w:val="outset" w:sz="6" w:space="0" w:color="000000"/>
              <w:left w:val="outset" w:sz="6" w:space="0" w:color="000000"/>
              <w:bottom w:val="outset" w:sz="6" w:space="0" w:color="000000"/>
              <w:right w:val="outset" w:sz="6" w:space="0" w:color="000000"/>
            </w:tcBorders>
            <w:vAlign w:val="center"/>
          </w:tcPr>
          <w:p w:rsidR="00A47726" w:rsidRDefault="00A47726" w:rsidP="00C84A6E">
            <w:pPr>
              <w:spacing w:before="100" w:beforeAutospacing="1" w:after="100" w:afterAutospacing="1"/>
              <w:jc w:val="center"/>
            </w:pPr>
            <w:r>
              <w:t>6</w:t>
            </w:r>
          </w:p>
        </w:tc>
      </w:tr>
      <w:tr w:rsidR="006F6CE7" w:rsidTr="0091419C">
        <w:tc>
          <w:tcPr>
            <w:tcW w:w="1372" w:type="pct"/>
            <w:tcBorders>
              <w:top w:val="outset" w:sz="6" w:space="0" w:color="000000"/>
              <w:left w:val="outset" w:sz="6" w:space="0" w:color="000000"/>
              <w:bottom w:val="outset" w:sz="6" w:space="0" w:color="000000"/>
              <w:right w:val="outset" w:sz="6" w:space="0" w:color="000000"/>
            </w:tcBorders>
          </w:tcPr>
          <w:p w:rsidR="00A47726" w:rsidRDefault="00A47726" w:rsidP="00A246D2">
            <w:pPr>
              <w:spacing w:before="100" w:beforeAutospacing="1" w:after="100" w:afterAutospacing="1"/>
            </w:pPr>
            <w:r>
              <w:t>1. Budžeta ieņēmumi:</w:t>
            </w:r>
          </w:p>
        </w:tc>
        <w:tc>
          <w:tcPr>
            <w:tcW w:w="693" w:type="pct"/>
            <w:vMerge w:val="restart"/>
            <w:tcBorders>
              <w:top w:val="outset" w:sz="6" w:space="0" w:color="000000"/>
              <w:left w:val="outset" w:sz="6" w:space="0" w:color="000000"/>
              <w:right w:val="outset" w:sz="6" w:space="0" w:color="000000"/>
            </w:tcBorders>
            <w:vAlign w:val="center"/>
          </w:tcPr>
          <w:p w:rsidR="00A47726" w:rsidRDefault="00B164B3" w:rsidP="00A246D2">
            <w:pPr>
              <w:jc w:val="center"/>
            </w:pPr>
            <w:r>
              <w:t>0</w:t>
            </w:r>
          </w:p>
        </w:tc>
        <w:tc>
          <w:tcPr>
            <w:tcW w:w="852" w:type="pct"/>
            <w:vMerge w:val="restart"/>
            <w:tcBorders>
              <w:top w:val="outset" w:sz="6" w:space="0" w:color="000000"/>
              <w:left w:val="outset" w:sz="6" w:space="0" w:color="000000"/>
              <w:right w:val="outset" w:sz="6" w:space="0" w:color="000000"/>
            </w:tcBorders>
            <w:vAlign w:val="center"/>
          </w:tcPr>
          <w:p w:rsidR="00A47726" w:rsidRDefault="00A56E77" w:rsidP="00C70ABD">
            <w:pPr>
              <w:jc w:val="center"/>
            </w:pPr>
            <w:r>
              <w:t>12</w:t>
            </w:r>
            <w:r w:rsidR="00C70ABD">
              <w:t> </w:t>
            </w:r>
            <w:r>
              <w:t>177</w:t>
            </w:r>
          </w:p>
        </w:tc>
        <w:tc>
          <w:tcPr>
            <w:tcW w:w="646" w:type="pct"/>
            <w:vMerge w:val="restart"/>
            <w:tcBorders>
              <w:top w:val="outset" w:sz="6" w:space="0" w:color="000000"/>
              <w:left w:val="outset" w:sz="6" w:space="0" w:color="000000"/>
              <w:right w:val="outset" w:sz="6" w:space="0" w:color="000000"/>
            </w:tcBorders>
            <w:vAlign w:val="center"/>
          </w:tcPr>
          <w:p w:rsidR="00A47726" w:rsidRDefault="006F6CE7" w:rsidP="00C70ABD">
            <w:pPr>
              <w:jc w:val="center"/>
            </w:pPr>
            <w:r>
              <w:t>1 265</w:t>
            </w:r>
            <w:r w:rsidR="00C70ABD">
              <w:t> </w:t>
            </w:r>
            <w:r>
              <w:t>137</w:t>
            </w:r>
          </w:p>
        </w:tc>
        <w:tc>
          <w:tcPr>
            <w:tcW w:w="646" w:type="pct"/>
            <w:vMerge w:val="restart"/>
            <w:tcBorders>
              <w:top w:val="outset" w:sz="6" w:space="0" w:color="000000"/>
              <w:left w:val="outset" w:sz="6" w:space="0" w:color="000000"/>
              <w:right w:val="outset" w:sz="6" w:space="0" w:color="000000"/>
            </w:tcBorders>
            <w:vAlign w:val="center"/>
          </w:tcPr>
          <w:p w:rsidR="00A47726" w:rsidRDefault="005975C5" w:rsidP="00C70ABD">
            <w:pPr>
              <w:jc w:val="center"/>
            </w:pPr>
            <w:r>
              <w:t>440</w:t>
            </w:r>
            <w:r w:rsidR="00C70ABD">
              <w:t> </w:t>
            </w:r>
            <w:r>
              <w:t>000</w:t>
            </w:r>
          </w:p>
        </w:tc>
        <w:tc>
          <w:tcPr>
            <w:tcW w:w="791" w:type="pct"/>
            <w:vMerge w:val="restart"/>
            <w:tcBorders>
              <w:top w:val="outset" w:sz="6" w:space="0" w:color="000000"/>
              <w:left w:val="outset" w:sz="6" w:space="0" w:color="000000"/>
              <w:right w:val="outset" w:sz="6" w:space="0" w:color="000000"/>
            </w:tcBorders>
            <w:vAlign w:val="center"/>
          </w:tcPr>
          <w:p w:rsidR="00A47726" w:rsidRDefault="00B164B3" w:rsidP="00A246D2">
            <w:pPr>
              <w:jc w:val="center"/>
            </w:pPr>
            <w:r>
              <w:t>0</w:t>
            </w:r>
          </w:p>
        </w:tc>
      </w:tr>
      <w:tr w:rsidR="006F6CE7" w:rsidTr="0091419C">
        <w:tc>
          <w:tcPr>
            <w:tcW w:w="1372" w:type="pct"/>
            <w:tcBorders>
              <w:top w:val="outset" w:sz="6" w:space="0" w:color="000000"/>
              <w:left w:val="outset" w:sz="6" w:space="0" w:color="000000"/>
              <w:bottom w:val="outset" w:sz="6" w:space="0" w:color="000000"/>
              <w:right w:val="outset" w:sz="6" w:space="0" w:color="000000"/>
            </w:tcBorders>
          </w:tcPr>
          <w:p w:rsidR="00A47726" w:rsidRDefault="00A47726" w:rsidP="00A246D2">
            <w:pPr>
              <w:spacing w:before="100" w:beforeAutospacing="1" w:after="100" w:afterAutospacing="1"/>
            </w:pPr>
            <w:r>
              <w:t>1.1. valsts pamatbudžets, tai sk</w:t>
            </w:r>
            <w:r w:rsidR="000B51B9">
              <w:t>aitā ieņēmumi no maksas pakalpo</w:t>
            </w:r>
            <w:r>
              <w:t>jumiem un citi pašu ieņēmumi</w:t>
            </w:r>
          </w:p>
        </w:tc>
        <w:tc>
          <w:tcPr>
            <w:tcW w:w="693" w:type="pct"/>
            <w:vMerge/>
            <w:tcBorders>
              <w:left w:val="outset" w:sz="6" w:space="0" w:color="000000"/>
              <w:right w:val="outset" w:sz="6" w:space="0" w:color="000000"/>
            </w:tcBorders>
            <w:vAlign w:val="center"/>
          </w:tcPr>
          <w:p w:rsidR="00A47726" w:rsidRDefault="00A47726" w:rsidP="00A246D2">
            <w:pPr>
              <w:jc w:val="center"/>
            </w:pPr>
          </w:p>
        </w:tc>
        <w:tc>
          <w:tcPr>
            <w:tcW w:w="852" w:type="pct"/>
            <w:vMerge/>
            <w:tcBorders>
              <w:left w:val="outset" w:sz="6" w:space="0" w:color="000000"/>
              <w:right w:val="outset" w:sz="6" w:space="0" w:color="000000"/>
            </w:tcBorders>
            <w:vAlign w:val="center"/>
          </w:tcPr>
          <w:p w:rsidR="00A47726" w:rsidRDefault="00A47726" w:rsidP="00A246D2">
            <w:pPr>
              <w:jc w:val="center"/>
            </w:pPr>
          </w:p>
        </w:tc>
        <w:tc>
          <w:tcPr>
            <w:tcW w:w="646" w:type="pct"/>
            <w:vMerge/>
            <w:tcBorders>
              <w:left w:val="outset" w:sz="6" w:space="0" w:color="000000"/>
              <w:right w:val="outset" w:sz="6" w:space="0" w:color="000000"/>
            </w:tcBorders>
            <w:vAlign w:val="center"/>
          </w:tcPr>
          <w:p w:rsidR="00A47726" w:rsidRDefault="00A47726" w:rsidP="00A246D2">
            <w:pPr>
              <w:jc w:val="center"/>
            </w:pPr>
          </w:p>
        </w:tc>
        <w:tc>
          <w:tcPr>
            <w:tcW w:w="646" w:type="pct"/>
            <w:vMerge/>
            <w:tcBorders>
              <w:left w:val="outset" w:sz="6" w:space="0" w:color="000000"/>
              <w:right w:val="outset" w:sz="6" w:space="0" w:color="000000"/>
            </w:tcBorders>
            <w:vAlign w:val="center"/>
          </w:tcPr>
          <w:p w:rsidR="00A47726" w:rsidRDefault="00A47726" w:rsidP="00A246D2">
            <w:pPr>
              <w:jc w:val="center"/>
            </w:pPr>
          </w:p>
        </w:tc>
        <w:tc>
          <w:tcPr>
            <w:tcW w:w="791" w:type="pct"/>
            <w:vMerge/>
            <w:tcBorders>
              <w:left w:val="outset" w:sz="6" w:space="0" w:color="000000"/>
              <w:right w:val="outset" w:sz="6" w:space="0" w:color="000000"/>
            </w:tcBorders>
            <w:vAlign w:val="center"/>
          </w:tcPr>
          <w:p w:rsidR="00A47726" w:rsidRDefault="00A47726" w:rsidP="00A246D2">
            <w:pPr>
              <w:jc w:val="center"/>
            </w:pPr>
          </w:p>
        </w:tc>
      </w:tr>
      <w:tr w:rsidR="006F6CE7" w:rsidTr="0091419C">
        <w:trPr>
          <w:trHeight w:val="395"/>
        </w:trPr>
        <w:tc>
          <w:tcPr>
            <w:tcW w:w="1372" w:type="pct"/>
            <w:tcBorders>
              <w:top w:val="outset" w:sz="6" w:space="0" w:color="000000"/>
              <w:left w:val="outset" w:sz="6" w:space="0" w:color="000000"/>
              <w:bottom w:val="outset" w:sz="6" w:space="0" w:color="000000"/>
              <w:right w:val="outset" w:sz="6" w:space="0" w:color="000000"/>
            </w:tcBorders>
          </w:tcPr>
          <w:p w:rsidR="00A47726" w:rsidRDefault="00A47726" w:rsidP="00A246D2">
            <w:pPr>
              <w:spacing w:before="100" w:beforeAutospacing="1" w:after="100" w:afterAutospacing="1"/>
            </w:pPr>
            <w:r>
              <w:t>1.2. valsts speciālais budžets</w:t>
            </w:r>
          </w:p>
        </w:tc>
        <w:tc>
          <w:tcPr>
            <w:tcW w:w="693" w:type="pct"/>
            <w:vMerge/>
            <w:tcBorders>
              <w:left w:val="outset" w:sz="6" w:space="0" w:color="000000"/>
              <w:right w:val="outset" w:sz="6" w:space="0" w:color="000000"/>
            </w:tcBorders>
            <w:vAlign w:val="center"/>
          </w:tcPr>
          <w:p w:rsidR="00A47726" w:rsidRDefault="00A47726" w:rsidP="00A246D2">
            <w:pPr>
              <w:jc w:val="center"/>
            </w:pPr>
          </w:p>
        </w:tc>
        <w:tc>
          <w:tcPr>
            <w:tcW w:w="852" w:type="pct"/>
            <w:vMerge/>
            <w:tcBorders>
              <w:left w:val="outset" w:sz="6" w:space="0" w:color="000000"/>
              <w:right w:val="outset" w:sz="6" w:space="0" w:color="000000"/>
            </w:tcBorders>
            <w:vAlign w:val="center"/>
          </w:tcPr>
          <w:p w:rsidR="00A47726" w:rsidRDefault="00A47726" w:rsidP="00A246D2">
            <w:pPr>
              <w:jc w:val="center"/>
            </w:pPr>
          </w:p>
        </w:tc>
        <w:tc>
          <w:tcPr>
            <w:tcW w:w="646" w:type="pct"/>
            <w:vMerge/>
            <w:tcBorders>
              <w:left w:val="outset" w:sz="6" w:space="0" w:color="000000"/>
              <w:right w:val="outset" w:sz="6" w:space="0" w:color="000000"/>
            </w:tcBorders>
            <w:vAlign w:val="center"/>
          </w:tcPr>
          <w:p w:rsidR="00A47726" w:rsidRDefault="00A47726" w:rsidP="00A246D2">
            <w:pPr>
              <w:jc w:val="center"/>
            </w:pPr>
          </w:p>
        </w:tc>
        <w:tc>
          <w:tcPr>
            <w:tcW w:w="646" w:type="pct"/>
            <w:vMerge/>
            <w:tcBorders>
              <w:left w:val="outset" w:sz="6" w:space="0" w:color="000000"/>
              <w:right w:val="outset" w:sz="6" w:space="0" w:color="000000"/>
            </w:tcBorders>
            <w:vAlign w:val="center"/>
          </w:tcPr>
          <w:p w:rsidR="00A47726" w:rsidRDefault="00A47726" w:rsidP="00A246D2">
            <w:pPr>
              <w:jc w:val="center"/>
            </w:pPr>
          </w:p>
        </w:tc>
        <w:tc>
          <w:tcPr>
            <w:tcW w:w="791" w:type="pct"/>
            <w:vMerge/>
            <w:tcBorders>
              <w:left w:val="outset" w:sz="6" w:space="0" w:color="000000"/>
              <w:right w:val="outset" w:sz="6" w:space="0" w:color="000000"/>
            </w:tcBorders>
            <w:vAlign w:val="center"/>
          </w:tcPr>
          <w:p w:rsidR="00A47726" w:rsidRDefault="00A47726" w:rsidP="00A246D2">
            <w:pPr>
              <w:jc w:val="center"/>
            </w:pPr>
          </w:p>
        </w:tc>
      </w:tr>
      <w:tr w:rsidR="006F6CE7" w:rsidTr="0091419C">
        <w:tc>
          <w:tcPr>
            <w:tcW w:w="1372" w:type="pct"/>
            <w:tcBorders>
              <w:top w:val="outset" w:sz="6" w:space="0" w:color="000000"/>
              <w:left w:val="outset" w:sz="6" w:space="0" w:color="000000"/>
              <w:bottom w:val="single" w:sz="4" w:space="0" w:color="auto"/>
              <w:right w:val="outset" w:sz="6" w:space="0" w:color="000000"/>
            </w:tcBorders>
          </w:tcPr>
          <w:p w:rsidR="00A47726" w:rsidRDefault="00A47726" w:rsidP="00A246D2">
            <w:pPr>
              <w:spacing w:before="100" w:beforeAutospacing="1" w:after="100" w:afterAutospacing="1"/>
            </w:pPr>
            <w:r>
              <w:t>1.3. pašvaldību budžets</w:t>
            </w:r>
          </w:p>
        </w:tc>
        <w:tc>
          <w:tcPr>
            <w:tcW w:w="693" w:type="pct"/>
            <w:vMerge/>
            <w:tcBorders>
              <w:left w:val="outset" w:sz="6" w:space="0" w:color="000000"/>
              <w:bottom w:val="single" w:sz="4" w:space="0" w:color="auto"/>
              <w:right w:val="outset" w:sz="6" w:space="0" w:color="000000"/>
            </w:tcBorders>
            <w:vAlign w:val="center"/>
          </w:tcPr>
          <w:p w:rsidR="00A47726" w:rsidRDefault="00A47726" w:rsidP="00A246D2">
            <w:pPr>
              <w:jc w:val="center"/>
            </w:pPr>
          </w:p>
        </w:tc>
        <w:tc>
          <w:tcPr>
            <w:tcW w:w="852" w:type="pct"/>
            <w:vMerge/>
            <w:tcBorders>
              <w:left w:val="outset" w:sz="6" w:space="0" w:color="000000"/>
              <w:bottom w:val="single" w:sz="4" w:space="0" w:color="auto"/>
              <w:right w:val="outset" w:sz="6" w:space="0" w:color="000000"/>
            </w:tcBorders>
            <w:vAlign w:val="center"/>
          </w:tcPr>
          <w:p w:rsidR="00A47726" w:rsidRDefault="00A47726" w:rsidP="00A246D2">
            <w:pPr>
              <w:jc w:val="center"/>
            </w:pPr>
          </w:p>
        </w:tc>
        <w:tc>
          <w:tcPr>
            <w:tcW w:w="646" w:type="pct"/>
            <w:vMerge/>
            <w:tcBorders>
              <w:left w:val="outset" w:sz="6" w:space="0" w:color="000000"/>
              <w:bottom w:val="single" w:sz="4" w:space="0" w:color="auto"/>
              <w:right w:val="outset" w:sz="6" w:space="0" w:color="000000"/>
            </w:tcBorders>
            <w:vAlign w:val="center"/>
          </w:tcPr>
          <w:p w:rsidR="00A47726" w:rsidRDefault="00A47726" w:rsidP="00A246D2">
            <w:pPr>
              <w:jc w:val="center"/>
            </w:pPr>
          </w:p>
        </w:tc>
        <w:tc>
          <w:tcPr>
            <w:tcW w:w="646" w:type="pct"/>
            <w:vMerge/>
            <w:tcBorders>
              <w:left w:val="outset" w:sz="6" w:space="0" w:color="000000"/>
              <w:bottom w:val="single" w:sz="4" w:space="0" w:color="auto"/>
              <w:right w:val="outset" w:sz="6" w:space="0" w:color="000000"/>
            </w:tcBorders>
            <w:vAlign w:val="center"/>
          </w:tcPr>
          <w:p w:rsidR="00A47726" w:rsidRDefault="00A47726" w:rsidP="00A246D2">
            <w:pPr>
              <w:jc w:val="center"/>
            </w:pPr>
          </w:p>
        </w:tc>
        <w:tc>
          <w:tcPr>
            <w:tcW w:w="791" w:type="pct"/>
            <w:vMerge/>
            <w:tcBorders>
              <w:left w:val="outset" w:sz="6" w:space="0" w:color="000000"/>
              <w:bottom w:val="single" w:sz="4" w:space="0" w:color="auto"/>
              <w:right w:val="outset" w:sz="6" w:space="0" w:color="000000"/>
            </w:tcBorders>
            <w:vAlign w:val="center"/>
          </w:tcPr>
          <w:p w:rsidR="00A47726" w:rsidRDefault="00A47726" w:rsidP="00A246D2">
            <w:pPr>
              <w:jc w:val="center"/>
            </w:pPr>
          </w:p>
        </w:tc>
      </w:tr>
      <w:tr w:rsidR="006F6CE7" w:rsidTr="0091419C">
        <w:tc>
          <w:tcPr>
            <w:tcW w:w="1372" w:type="pct"/>
            <w:tcBorders>
              <w:top w:val="single" w:sz="4" w:space="0" w:color="auto"/>
              <w:left w:val="single" w:sz="4" w:space="0" w:color="auto"/>
              <w:bottom w:val="single" w:sz="4" w:space="0" w:color="auto"/>
              <w:right w:val="single" w:sz="4" w:space="0" w:color="auto"/>
            </w:tcBorders>
          </w:tcPr>
          <w:p w:rsidR="00A56E77" w:rsidRPr="003B0E20" w:rsidRDefault="00A47726" w:rsidP="00A246D2">
            <w:pPr>
              <w:spacing w:before="100" w:beforeAutospacing="1" w:after="100" w:afterAutospacing="1"/>
            </w:pPr>
            <w:r>
              <w:t>2</w:t>
            </w:r>
            <w:r w:rsidRPr="005D1A72">
              <w:t>. Budžeta izdevumi:</w:t>
            </w:r>
          </w:p>
        </w:tc>
        <w:tc>
          <w:tcPr>
            <w:tcW w:w="693" w:type="pct"/>
            <w:tcBorders>
              <w:top w:val="single" w:sz="4" w:space="0" w:color="auto"/>
              <w:left w:val="single" w:sz="4" w:space="0" w:color="auto"/>
              <w:bottom w:val="single" w:sz="4" w:space="0" w:color="auto"/>
              <w:right w:val="single" w:sz="4" w:space="0" w:color="auto"/>
            </w:tcBorders>
            <w:vAlign w:val="center"/>
          </w:tcPr>
          <w:p w:rsidR="00A47726" w:rsidRDefault="00B164B3" w:rsidP="00A246D2">
            <w:pPr>
              <w:jc w:val="center"/>
            </w:pPr>
            <w:r>
              <w:t>0</w:t>
            </w:r>
          </w:p>
        </w:tc>
        <w:tc>
          <w:tcPr>
            <w:tcW w:w="852" w:type="pct"/>
            <w:tcBorders>
              <w:top w:val="single" w:sz="4" w:space="0" w:color="auto"/>
              <w:left w:val="single" w:sz="4" w:space="0" w:color="auto"/>
              <w:bottom w:val="single" w:sz="4" w:space="0" w:color="auto"/>
              <w:right w:val="single" w:sz="4" w:space="0" w:color="auto"/>
            </w:tcBorders>
            <w:vAlign w:val="center"/>
          </w:tcPr>
          <w:p w:rsidR="00A47726" w:rsidRDefault="003119C5" w:rsidP="00C70ABD">
            <w:pPr>
              <w:jc w:val="center"/>
            </w:pPr>
            <w:r>
              <w:t>35</w:t>
            </w:r>
            <w:r w:rsidR="00C70ABD">
              <w:t> </w:t>
            </w:r>
            <w:r>
              <w:t>662</w:t>
            </w:r>
          </w:p>
        </w:tc>
        <w:tc>
          <w:tcPr>
            <w:tcW w:w="646" w:type="pct"/>
            <w:tcBorders>
              <w:top w:val="single" w:sz="4" w:space="0" w:color="auto"/>
              <w:left w:val="single" w:sz="4" w:space="0" w:color="auto"/>
              <w:bottom w:val="single" w:sz="4" w:space="0" w:color="auto"/>
              <w:right w:val="single" w:sz="4" w:space="0" w:color="auto"/>
            </w:tcBorders>
            <w:vAlign w:val="center"/>
          </w:tcPr>
          <w:p w:rsidR="00A47726" w:rsidRDefault="006F6CE7" w:rsidP="00C70ABD">
            <w:pPr>
              <w:jc w:val="center"/>
            </w:pPr>
            <w:r>
              <w:t>2</w:t>
            </w:r>
            <w:r w:rsidR="00C70ABD">
              <w:t> </w:t>
            </w:r>
            <w:r>
              <w:t>572 779</w:t>
            </w:r>
          </w:p>
        </w:tc>
        <w:tc>
          <w:tcPr>
            <w:tcW w:w="646" w:type="pct"/>
            <w:tcBorders>
              <w:top w:val="single" w:sz="4" w:space="0" w:color="auto"/>
              <w:left w:val="single" w:sz="4" w:space="0" w:color="auto"/>
              <w:bottom w:val="single" w:sz="4" w:space="0" w:color="auto"/>
              <w:right w:val="single" w:sz="4" w:space="0" w:color="auto"/>
            </w:tcBorders>
            <w:vAlign w:val="center"/>
          </w:tcPr>
          <w:p w:rsidR="00A47726" w:rsidRDefault="00036C87" w:rsidP="0000216C">
            <w:pPr>
              <w:jc w:val="center"/>
            </w:pPr>
            <w:r>
              <w:t xml:space="preserve">0 </w:t>
            </w:r>
          </w:p>
        </w:tc>
        <w:tc>
          <w:tcPr>
            <w:tcW w:w="791" w:type="pct"/>
            <w:tcBorders>
              <w:top w:val="single" w:sz="4" w:space="0" w:color="auto"/>
              <w:left w:val="single" w:sz="4" w:space="0" w:color="auto"/>
              <w:bottom w:val="single" w:sz="4" w:space="0" w:color="auto"/>
              <w:right w:val="single" w:sz="4" w:space="0" w:color="auto"/>
            </w:tcBorders>
            <w:vAlign w:val="center"/>
          </w:tcPr>
          <w:p w:rsidR="00A47726" w:rsidRDefault="00A47726" w:rsidP="00A246D2">
            <w:pPr>
              <w:jc w:val="center"/>
            </w:pPr>
          </w:p>
        </w:tc>
      </w:tr>
      <w:tr w:rsidR="006F6CE7" w:rsidTr="0091419C">
        <w:tc>
          <w:tcPr>
            <w:tcW w:w="1372" w:type="pct"/>
            <w:tcBorders>
              <w:top w:val="single" w:sz="4" w:space="0" w:color="auto"/>
              <w:left w:val="single" w:sz="4" w:space="0" w:color="auto"/>
              <w:bottom w:val="single" w:sz="4" w:space="0" w:color="auto"/>
              <w:right w:val="single" w:sz="4" w:space="0" w:color="auto"/>
            </w:tcBorders>
          </w:tcPr>
          <w:p w:rsidR="00A56E77" w:rsidRDefault="00A47726" w:rsidP="00A246D2">
            <w:pPr>
              <w:spacing w:before="100" w:beforeAutospacing="1" w:after="100" w:afterAutospacing="1"/>
            </w:pPr>
            <w:r>
              <w:t>2.1. valsts pamatbudžets</w:t>
            </w:r>
          </w:p>
          <w:p w:rsidR="00A56E77" w:rsidRDefault="00A56E77" w:rsidP="00C70ABD">
            <w:pPr>
              <w:spacing w:before="100" w:beforeAutospacing="1" w:after="100" w:afterAutospacing="1"/>
            </w:pPr>
            <w:r>
              <w:rPr>
                <w:i/>
              </w:rPr>
              <w:t xml:space="preserve">Finanšu ministrijas (Valsts ieņēmumu dienesta) </w:t>
            </w:r>
            <w:r w:rsidRPr="00025C41">
              <w:rPr>
                <w:i/>
              </w:rPr>
              <w:t xml:space="preserve">apakšprogramma 73.08.00 </w:t>
            </w:r>
            <w:r w:rsidR="00C70ABD">
              <w:rPr>
                <w:i/>
              </w:rPr>
              <w:t>“</w:t>
            </w:r>
            <w:r w:rsidRPr="00025C41">
              <w:rPr>
                <w:i/>
              </w:rPr>
              <w:t>Valsts ieņēmumu dienesta īstenotie projekti finansiālo interešu aizsardzības jomā”</w:t>
            </w:r>
          </w:p>
        </w:tc>
        <w:tc>
          <w:tcPr>
            <w:tcW w:w="693" w:type="pct"/>
            <w:tcBorders>
              <w:top w:val="single" w:sz="4" w:space="0" w:color="auto"/>
              <w:left w:val="single" w:sz="4" w:space="0" w:color="auto"/>
              <w:bottom w:val="single" w:sz="4" w:space="0" w:color="auto"/>
              <w:right w:val="single" w:sz="4" w:space="0" w:color="auto"/>
            </w:tcBorders>
            <w:vAlign w:val="center"/>
          </w:tcPr>
          <w:p w:rsidR="00A47726" w:rsidRDefault="00B164B3" w:rsidP="00A246D2">
            <w:pPr>
              <w:spacing w:line="360" w:lineRule="auto"/>
              <w:jc w:val="center"/>
            </w:pPr>
            <w:r>
              <w:t>0</w:t>
            </w:r>
          </w:p>
        </w:tc>
        <w:tc>
          <w:tcPr>
            <w:tcW w:w="852" w:type="pct"/>
            <w:tcBorders>
              <w:top w:val="single" w:sz="4" w:space="0" w:color="auto"/>
              <w:left w:val="single" w:sz="4" w:space="0" w:color="auto"/>
              <w:bottom w:val="single" w:sz="4" w:space="0" w:color="auto"/>
              <w:right w:val="single" w:sz="4" w:space="0" w:color="auto"/>
            </w:tcBorders>
            <w:vAlign w:val="center"/>
          </w:tcPr>
          <w:p w:rsidR="00A47726" w:rsidRDefault="000E59FA" w:rsidP="00C70ABD">
            <w:pPr>
              <w:spacing w:line="360" w:lineRule="auto"/>
              <w:jc w:val="center"/>
            </w:pPr>
            <w:r>
              <w:t>35</w:t>
            </w:r>
            <w:r w:rsidR="00C70ABD">
              <w:t> </w:t>
            </w:r>
            <w:r>
              <w:t>662</w:t>
            </w:r>
          </w:p>
        </w:tc>
        <w:tc>
          <w:tcPr>
            <w:tcW w:w="646" w:type="pct"/>
            <w:tcBorders>
              <w:top w:val="single" w:sz="4" w:space="0" w:color="auto"/>
              <w:left w:val="single" w:sz="4" w:space="0" w:color="auto"/>
              <w:bottom w:val="single" w:sz="4" w:space="0" w:color="auto"/>
              <w:right w:val="single" w:sz="4" w:space="0" w:color="auto"/>
            </w:tcBorders>
            <w:vAlign w:val="center"/>
          </w:tcPr>
          <w:p w:rsidR="00A47726" w:rsidRDefault="006F6CE7" w:rsidP="00C70ABD">
            <w:pPr>
              <w:jc w:val="center"/>
            </w:pPr>
            <w:r>
              <w:t>2</w:t>
            </w:r>
            <w:r w:rsidR="00C70ABD">
              <w:t> </w:t>
            </w:r>
            <w:r>
              <w:t>572 779</w:t>
            </w:r>
          </w:p>
        </w:tc>
        <w:tc>
          <w:tcPr>
            <w:tcW w:w="646" w:type="pct"/>
            <w:tcBorders>
              <w:top w:val="single" w:sz="4" w:space="0" w:color="auto"/>
              <w:left w:val="single" w:sz="4" w:space="0" w:color="auto"/>
              <w:bottom w:val="single" w:sz="4" w:space="0" w:color="auto"/>
              <w:right w:val="single" w:sz="4" w:space="0" w:color="auto"/>
            </w:tcBorders>
            <w:vAlign w:val="center"/>
          </w:tcPr>
          <w:p w:rsidR="00A47726" w:rsidRDefault="00036C87" w:rsidP="00A246D2">
            <w:pPr>
              <w:jc w:val="center"/>
            </w:pPr>
            <w:r>
              <w:t>0</w:t>
            </w:r>
          </w:p>
        </w:tc>
        <w:tc>
          <w:tcPr>
            <w:tcW w:w="791" w:type="pct"/>
            <w:tcBorders>
              <w:top w:val="single" w:sz="4" w:space="0" w:color="auto"/>
              <w:left w:val="single" w:sz="4" w:space="0" w:color="auto"/>
              <w:bottom w:val="single" w:sz="4" w:space="0" w:color="auto"/>
              <w:right w:val="single" w:sz="4" w:space="0" w:color="auto"/>
            </w:tcBorders>
            <w:vAlign w:val="center"/>
          </w:tcPr>
          <w:p w:rsidR="00A47726" w:rsidRDefault="00A47726" w:rsidP="00A246D2">
            <w:pPr>
              <w:jc w:val="center"/>
            </w:pPr>
          </w:p>
        </w:tc>
      </w:tr>
      <w:tr w:rsidR="006F6CE7" w:rsidTr="0091419C">
        <w:tc>
          <w:tcPr>
            <w:tcW w:w="1372" w:type="pct"/>
            <w:tcBorders>
              <w:top w:val="single" w:sz="4" w:space="0" w:color="auto"/>
              <w:left w:val="single" w:sz="4" w:space="0" w:color="auto"/>
              <w:bottom w:val="single" w:sz="4" w:space="0" w:color="auto"/>
              <w:right w:val="single" w:sz="4" w:space="0" w:color="auto"/>
            </w:tcBorders>
          </w:tcPr>
          <w:p w:rsidR="00A47726" w:rsidRDefault="00A47726" w:rsidP="00A246D2">
            <w:pPr>
              <w:spacing w:before="100" w:beforeAutospacing="1" w:after="100" w:afterAutospacing="1"/>
            </w:pPr>
            <w:r>
              <w:t>2.2. valsts speciālais budžets</w:t>
            </w:r>
          </w:p>
        </w:tc>
        <w:tc>
          <w:tcPr>
            <w:tcW w:w="693" w:type="pct"/>
            <w:tcBorders>
              <w:top w:val="single" w:sz="4" w:space="0" w:color="auto"/>
              <w:left w:val="single" w:sz="4" w:space="0" w:color="auto"/>
              <w:bottom w:val="single" w:sz="4" w:space="0" w:color="auto"/>
              <w:right w:val="single" w:sz="4" w:space="0" w:color="auto"/>
            </w:tcBorders>
            <w:vAlign w:val="center"/>
          </w:tcPr>
          <w:p w:rsidR="00A47726" w:rsidRDefault="00A47726" w:rsidP="00A246D2">
            <w:pPr>
              <w:jc w:val="center"/>
            </w:pPr>
          </w:p>
        </w:tc>
        <w:tc>
          <w:tcPr>
            <w:tcW w:w="852" w:type="pct"/>
            <w:tcBorders>
              <w:top w:val="single" w:sz="4" w:space="0" w:color="auto"/>
              <w:left w:val="single" w:sz="4" w:space="0" w:color="auto"/>
              <w:bottom w:val="single" w:sz="4" w:space="0" w:color="auto"/>
              <w:right w:val="single" w:sz="4" w:space="0" w:color="auto"/>
            </w:tcBorders>
            <w:vAlign w:val="center"/>
          </w:tcPr>
          <w:p w:rsidR="00A47726" w:rsidRDefault="00A47726" w:rsidP="00A246D2">
            <w:pPr>
              <w:jc w:val="center"/>
            </w:pPr>
          </w:p>
        </w:tc>
        <w:tc>
          <w:tcPr>
            <w:tcW w:w="646" w:type="pct"/>
            <w:tcBorders>
              <w:top w:val="single" w:sz="4" w:space="0" w:color="auto"/>
              <w:left w:val="single" w:sz="4" w:space="0" w:color="auto"/>
              <w:bottom w:val="single" w:sz="4" w:space="0" w:color="auto"/>
              <w:right w:val="single" w:sz="4" w:space="0" w:color="auto"/>
            </w:tcBorders>
            <w:vAlign w:val="center"/>
          </w:tcPr>
          <w:p w:rsidR="00A47726" w:rsidRDefault="00A47726" w:rsidP="00A246D2">
            <w:pPr>
              <w:jc w:val="center"/>
            </w:pPr>
          </w:p>
        </w:tc>
        <w:tc>
          <w:tcPr>
            <w:tcW w:w="646" w:type="pct"/>
            <w:tcBorders>
              <w:top w:val="single" w:sz="4" w:space="0" w:color="auto"/>
              <w:left w:val="single" w:sz="4" w:space="0" w:color="auto"/>
              <w:bottom w:val="single" w:sz="4" w:space="0" w:color="auto"/>
              <w:right w:val="single" w:sz="4" w:space="0" w:color="auto"/>
            </w:tcBorders>
            <w:vAlign w:val="center"/>
          </w:tcPr>
          <w:p w:rsidR="00A47726" w:rsidRDefault="00A47726" w:rsidP="00A246D2">
            <w:pPr>
              <w:jc w:val="center"/>
            </w:pPr>
          </w:p>
        </w:tc>
        <w:tc>
          <w:tcPr>
            <w:tcW w:w="791" w:type="pct"/>
            <w:tcBorders>
              <w:top w:val="single" w:sz="4" w:space="0" w:color="auto"/>
              <w:left w:val="single" w:sz="4" w:space="0" w:color="auto"/>
              <w:bottom w:val="single" w:sz="4" w:space="0" w:color="auto"/>
              <w:right w:val="single" w:sz="4" w:space="0" w:color="auto"/>
            </w:tcBorders>
            <w:vAlign w:val="center"/>
          </w:tcPr>
          <w:p w:rsidR="00A47726" w:rsidRDefault="00A47726" w:rsidP="00A246D2">
            <w:pPr>
              <w:jc w:val="center"/>
            </w:pPr>
          </w:p>
        </w:tc>
      </w:tr>
      <w:tr w:rsidR="006F6CE7" w:rsidTr="0091419C">
        <w:tc>
          <w:tcPr>
            <w:tcW w:w="1372" w:type="pct"/>
            <w:tcBorders>
              <w:top w:val="single" w:sz="4" w:space="0" w:color="auto"/>
              <w:left w:val="single" w:sz="4" w:space="0" w:color="auto"/>
              <w:bottom w:val="single" w:sz="4" w:space="0" w:color="auto"/>
              <w:right w:val="single" w:sz="4" w:space="0" w:color="auto"/>
            </w:tcBorders>
          </w:tcPr>
          <w:p w:rsidR="00A47726" w:rsidRDefault="00A47726" w:rsidP="00A246D2">
            <w:pPr>
              <w:spacing w:before="100" w:beforeAutospacing="1" w:after="100" w:afterAutospacing="1"/>
            </w:pPr>
            <w:r>
              <w:t>2.3. pašvaldību budžets</w:t>
            </w:r>
          </w:p>
        </w:tc>
        <w:tc>
          <w:tcPr>
            <w:tcW w:w="693" w:type="pct"/>
            <w:tcBorders>
              <w:top w:val="single" w:sz="4" w:space="0" w:color="auto"/>
              <w:left w:val="single" w:sz="4" w:space="0" w:color="auto"/>
              <w:bottom w:val="single" w:sz="4" w:space="0" w:color="auto"/>
              <w:right w:val="single" w:sz="4" w:space="0" w:color="auto"/>
            </w:tcBorders>
            <w:vAlign w:val="center"/>
          </w:tcPr>
          <w:p w:rsidR="00A47726" w:rsidRDefault="00A47726" w:rsidP="00A246D2">
            <w:pPr>
              <w:spacing w:line="360" w:lineRule="auto"/>
              <w:jc w:val="center"/>
            </w:pPr>
          </w:p>
        </w:tc>
        <w:tc>
          <w:tcPr>
            <w:tcW w:w="852" w:type="pct"/>
            <w:tcBorders>
              <w:top w:val="single" w:sz="4" w:space="0" w:color="auto"/>
              <w:left w:val="single" w:sz="4" w:space="0" w:color="auto"/>
              <w:bottom w:val="single" w:sz="4" w:space="0" w:color="auto"/>
              <w:right w:val="single" w:sz="4" w:space="0" w:color="auto"/>
            </w:tcBorders>
            <w:vAlign w:val="center"/>
          </w:tcPr>
          <w:p w:rsidR="00A47726" w:rsidRDefault="00A47726" w:rsidP="00A246D2">
            <w:pPr>
              <w:jc w:val="center"/>
            </w:pPr>
          </w:p>
        </w:tc>
        <w:tc>
          <w:tcPr>
            <w:tcW w:w="646" w:type="pct"/>
            <w:tcBorders>
              <w:top w:val="single" w:sz="4" w:space="0" w:color="auto"/>
              <w:left w:val="single" w:sz="4" w:space="0" w:color="auto"/>
              <w:bottom w:val="single" w:sz="4" w:space="0" w:color="auto"/>
              <w:right w:val="single" w:sz="4" w:space="0" w:color="auto"/>
            </w:tcBorders>
            <w:vAlign w:val="center"/>
          </w:tcPr>
          <w:p w:rsidR="00A47726" w:rsidRDefault="00A47726" w:rsidP="00A246D2">
            <w:pPr>
              <w:jc w:val="center"/>
            </w:pPr>
          </w:p>
        </w:tc>
        <w:tc>
          <w:tcPr>
            <w:tcW w:w="646" w:type="pct"/>
            <w:tcBorders>
              <w:top w:val="single" w:sz="4" w:space="0" w:color="auto"/>
              <w:left w:val="single" w:sz="4" w:space="0" w:color="auto"/>
              <w:bottom w:val="single" w:sz="4" w:space="0" w:color="auto"/>
              <w:right w:val="single" w:sz="4" w:space="0" w:color="auto"/>
            </w:tcBorders>
            <w:vAlign w:val="center"/>
          </w:tcPr>
          <w:p w:rsidR="00A47726" w:rsidRDefault="00A47726" w:rsidP="00A246D2">
            <w:pPr>
              <w:jc w:val="center"/>
            </w:pPr>
          </w:p>
        </w:tc>
        <w:tc>
          <w:tcPr>
            <w:tcW w:w="791" w:type="pct"/>
            <w:tcBorders>
              <w:top w:val="single" w:sz="4" w:space="0" w:color="auto"/>
              <w:left w:val="single" w:sz="4" w:space="0" w:color="auto"/>
              <w:bottom w:val="single" w:sz="4" w:space="0" w:color="auto"/>
              <w:right w:val="single" w:sz="4" w:space="0" w:color="auto"/>
            </w:tcBorders>
            <w:vAlign w:val="center"/>
          </w:tcPr>
          <w:p w:rsidR="00A47726" w:rsidRDefault="00A47726" w:rsidP="00A246D2">
            <w:pPr>
              <w:jc w:val="center"/>
            </w:pPr>
          </w:p>
        </w:tc>
      </w:tr>
      <w:tr w:rsidR="006F6CE7" w:rsidTr="0091419C">
        <w:tc>
          <w:tcPr>
            <w:tcW w:w="1372" w:type="pct"/>
            <w:tcBorders>
              <w:top w:val="single" w:sz="4" w:space="0" w:color="auto"/>
              <w:left w:val="outset" w:sz="6" w:space="0" w:color="000000"/>
              <w:bottom w:val="outset" w:sz="6" w:space="0" w:color="000000"/>
              <w:right w:val="outset" w:sz="6" w:space="0" w:color="000000"/>
            </w:tcBorders>
          </w:tcPr>
          <w:p w:rsidR="00A47726" w:rsidRDefault="00A47726" w:rsidP="00A246D2">
            <w:pPr>
              <w:spacing w:before="100" w:beforeAutospacing="1" w:after="100" w:afterAutospacing="1"/>
            </w:pPr>
            <w:r>
              <w:t>3. Finansiālā ietekme:</w:t>
            </w:r>
          </w:p>
        </w:tc>
        <w:tc>
          <w:tcPr>
            <w:tcW w:w="693" w:type="pct"/>
            <w:vMerge w:val="restart"/>
            <w:tcBorders>
              <w:top w:val="single" w:sz="4" w:space="0" w:color="auto"/>
              <w:left w:val="outset" w:sz="6" w:space="0" w:color="000000"/>
              <w:right w:val="outset" w:sz="6" w:space="0" w:color="000000"/>
            </w:tcBorders>
            <w:vAlign w:val="center"/>
          </w:tcPr>
          <w:p w:rsidR="00A47726" w:rsidRDefault="00B164B3" w:rsidP="00A246D2">
            <w:pPr>
              <w:jc w:val="center"/>
            </w:pPr>
            <w:r>
              <w:t>0</w:t>
            </w:r>
          </w:p>
        </w:tc>
        <w:tc>
          <w:tcPr>
            <w:tcW w:w="852" w:type="pct"/>
            <w:vMerge w:val="restart"/>
            <w:tcBorders>
              <w:top w:val="single" w:sz="4" w:space="0" w:color="auto"/>
              <w:left w:val="outset" w:sz="6" w:space="0" w:color="000000"/>
              <w:right w:val="outset" w:sz="6" w:space="0" w:color="000000"/>
            </w:tcBorders>
            <w:vAlign w:val="center"/>
          </w:tcPr>
          <w:p w:rsidR="00A47726" w:rsidRPr="00331FD8" w:rsidRDefault="00C70ABD" w:rsidP="00C70ABD">
            <w:pPr>
              <w:jc w:val="center"/>
              <w:rPr>
                <w:highlight w:val="yellow"/>
              </w:rPr>
            </w:pPr>
            <w:r>
              <w:t>–</w:t>
            </w:r>
            <w:r w:rsidR="003B72D4" w:rsidRPr="0033076F">
              <w:t>23</w:t>
            </w:r>
            <w:r>
              <w:t> </w:t>
            </w:r>
            <w:r w:rsidR="003B72D4" w:rsidRPr="0033076F">
              <w:t>485</w:t>
            </w:r>
          </w:p>
        </w:tc>
        <w:tc>
          <w:tcPr>
            <w:tcW w:w="646" w:type="pct"/>
            <w:vMerge w:val="restart"/>
            <w:tcBorders>
              <w:top w:val="single" w:sz="4" w:space="0" w:color="auto"/>
              <w:left w:val="outset" w:sz="6" w:space="0" w:color="000000"/>
              <w:right w:val="outset" w:sz="6" w:space="0" w:color="000000"/>
            </w:tcBorders>
            <w:vAlign w:val="center"/>
          </w:tcPr>
          <w:p w:rsidR="00A47726" w:rsidRDefault="00C70ABD" w:rsidP="00C70ABD">
            <w:pPr>
              <w:jc w:val="center"/>
            </w:pPr>
            <w:r>
              <w:t>–</w:t>
            </w:r>
            <w:r w:rsidR="00B164B3">
              <w:t>1</w:t>
            </w:r>
            <w:r w:rsidR="005975C5">
              <w:t> 307</w:t>
            </w:r>
            <w:r>
              <w:t> </w:t>
            </w:r>
            <w:r w:rsidR="005975C5">
              <w:t>642</w:t>
            </w:r>
          </w:p>
        </w:tc>
        <w:tc>
          <w:tcPr>
            <w:tcW w:w="646" w:type="pct"/>
            <w:vMerge w:val="restart"/>
            <w:tcBorders>
              <w:top w:val="single" w:sz="4" w:space="0" w:color="auto"/>
              <w:left w:val="outset" w:sz="6" w:space="0" w:color="000000"/>
              <w:right w:val="outset" w:sz="6" w:space="0" w:color="000000"/>
            </w:tcBorders>
            <w:vAlign w:val="center"/>
          </w:tcPr>
          <w:p w:rsidR="00A47726" w:rsidRDefault="00036C87" w:rsidP="00C70ABD">
            <w:pPr>
              <w:jc w:val="center"/>
            </w:pPr>
            <w:r>
              <w:t>440</w:t>
            </w:r>
            <w:r w:rsidR="00C70ABD">
              <w:t> </w:t>
            </w:r>
            <w:r>
              <w:t>000</w:t>
            </w:r>
          </w:p>
        </w:tc>
        <w:tc>
          <w:tcPr>
            <w:tcW w:w="791" w:type="pct"/>
            <w:vMerge w:val="restart"/>
            <w:tcBorders>
              <w:top w:val="single" w:sz="4" w:space="0" w:color="auto"/>
              <w:left w:val="outset" w:sz="6" w:space="0" w:color="000000"/>
              <w:right w:val="outset" w:sz="6" w:space="0" w:color="000000"/>
            </w:tcBorders>
            <w:vAlign w:val="center"/>
          </w:tcPr>
          <w:p w:rsidR="00A47726" w:rsidRDefault="00A47726" w:rsidP="00A246D2">
            <w:pPr>
              <w:jc w:val="center"/>
            </w:pPr>
          </w:p>
        </w:tc>
      </w:tr>
      <w:tr w:rsidR="006F6CE7" w:rsidTr="0091419C">
        <w:tc>
          <w:tcPr>
            <w:tcW w:w="1372" w:type="pct"/>
            <w:tcBorders>
              <w:top w:val="outset" w:sz="6" w:space="0" w:color="000000"/>
              <w:left w:val="outset" w:sz="6" w:space="0" w:color="000000"/>
              <w:bottom w:val="outset" w:sz="6" w:space="0" w:color="000000"/>
              <w:right w:val="outset" w:sz="6" w:space="0" w:color="000000"/>
            </w:tcBorders>
          </w:tcPr>
          <w:p w:rsidR="00A47726" w:rsidRDefault="00A47726" w:rsidP="00A246D2">
            <w:pPr>
              <w:spacing w:before="100" w:beforeAutospacing="1" w:after="100" w:afterAutospacing="1"/>
            </w:pPr>
            <w:r>
              <w:t>3.1. valsts pamatbudžets</w:t>
            </w:r>
          </w:p>
        </w:tc>
        <w:tc>
          <w:tcPr>
            <w:tcW w:w="693" w:type="pct"/>
            <w:vMerge/>
            <w:tcBorders>
              <w:left w:val="outset" w:sz="6" w:space="0" w:color="000000"/>
              <w:right w:val="outset" w:sz="6" w:space="0" w:color="000000"/>
            </w:tcBorders>
            <w:vAlign w:val="center"/>
          </w:tcPr>
          <w:p w:rsidR="00A47726" w:rsidRDefault="00A47726" w:rsidP="00A246D2">
            <w:pPr>
              <w:spacing w:line="360" w:lineRule="auto"/>
              <w:jc w:val="center"/>
            </w:pPr>
          </w:p>
        </w:tc>
        <w:tc>
          <w:tcPr>
            <w:tcW w:w="852" w:type="pct"/>
            <w:vMerge/>
            <w:tcBorders>
              <w:left w:val="outset" w:sz="6" w:space="0" w:color="000000"/>
              <w:right w:val="outset" w:sz="6" w:space="0" w:color="000000"/>
            </w:tcBorders>
            <w:vAlign w:val="center"/>
          </w:tcPr>
          <w:p w:rsidR="00A47726" w:rsidRPr="00331FD8" w:rsidRDefault="00A47726" w:rsidP="00A246D2">
            <w:pPr>
              <w:spacing w:line="360" w:lineRule="auto"/>
              <w:jc w:val="center"/>
              <w:rPr>
                <w:highlight w:val="yellow"/>
              </w:rPr>
            </w:pPr>
          </w:p>
        </w:tc>
        <w:tc>
          <w:tcPr>
            <w:tcW w:w="646" w:type="pct"/>
            <w:vMerge/>
            <w:tcBorders>
              <w:left w:val="outset" w:sz="6" w:space="0" w:color="000000"/>
              <w:right w:val="outset" w:sz="6" w:space="0" w:color="000000"/>
            </w:tcBorders>
            <w:vAlign w:val="center"/>
          </w:tcPr>
          <w:p w:rsidR="00A47726" w:rsidRDefault="00A47726" w:rsidP="00A246D2">
            <w:pPr>
              <w:jc w:val="center"/>
            </w:pPr>
          </w:p>
        </w:tc>
        <w:tc>
          <w:tcPr>
            <w:tcW w:w="646" w:type="pct"/>
            <w:vMerge/>
            <w:tcBorders>
              <w:left w:val="outset" w:sz="6" w:space="0" w:color="000000"/>
              <w:right w:val="outset" w:sz="6" w:space="0" w:color="000000"/>
            </w:tcBorders>
            <w:vAlign w:val="center"/>
          </w:tcPr>
          <w:p w:rsidR="00A47726" w:rsidRDefault="00A47726" w:rsidP="00A246D2">
            <w:pPr>
              <w:jc w:val="center"/>
            </w:pPr>
          </w:p>
        </w:tc>
        <w:tc>
          <w:tcPr>
            <w:tcW w:w="791" w:type="pct"/>
            <w:vMerge/>
            <w:tcBorders>
              <w:left w:val="outset" w:sz="6" w:space="0" w:color="000000"/>
              <w:right w:val="outset" w:sz="6" w:space="0" w:color="000000"/>
            </w:tcBorders>
            <w:vAlign w:val="center"/>
          </w:tcPr>
          <w:p w:rsidR="00A47726" w:rsidRDefault="00A47726" w:rsidP="00A246D2">
            <w:pPr>
              <w:jc w:val="center"/>
            </w:pPr>
          </w:p>
        </w:tc>
      </w:tr>
      <w:tr w:rsidR="006F6CE7" w:rsidTr="0091419C">
        <w:tc>
          <w:tcPr>
            <w:tcW w:w="1372" w:type="pct"/>
            <w:tcBorders>
              <w:top w:val="outset" w:sz="6" w:space="0" w:color="000000"/>
              <w:left w:val="outset" w:sz="6" w:space="0" w:color="000000"/>
              <w:bottom w:val="outset" w:sz="6" w:space="0" w:color="000000"/>
              <w:right w:val="outset" w:sz="6" w:space="0" w:color="000000"/>
            </w:tcBorders>
          </w:tcPr>
          <w:p w:rsidR="00A47726" w:rsidRDefault="00A47726" w:rsidP="00A246D2">
            <w:pPr>
              <w:spacing w:before="100" w:beforeAutospacing="1" w:after="100" w:afterAutospacing="1"/>
            </w:pPr>
            <w:r>
              <w:t>3.2. speciālais budžets</w:t>
            </w:r>
          </w:p>
        </w:tc>
        <w:tc>
          <w:tcPr>
            <w:tcW w:w="693" w:type="pct"/>
            <w:vMerge/>
            <w:tcBorders>
              <w:left w:val="outset" w:sz="6" w:space="0" w:color="000000"/>
              <w:right w:val="outset" w:sz="6" w:space="0" w:color="000000"/>
            </w:tcBorders>
            <w:vAlign w:val="center"/>
          </w:tcPr>
          <w:p w:rsidR="00A47726" w:rsidRDefault="00A47726" w:rsidP="00A246D2">
            <w:pPr>
              <w:spacing w:line="360" w:lineRule="auto"/>
              <w:jc w:val="center"/>
            </w:pPr>
          </w:p>
        </w:tc>
        <w:tc>
          <w:tcPr>
            <w:tcW w:w="852" w:type="pct"/>
            <w:vMerge/>
            <w:tcBorders>
              <w:left w:val="outset" w:sz="6" w:space="0" w:color="000000"/>
              <w:right w:val="outset" w:sz="6" w:space="0" w:color="000000"/>
            </w:tcBorders>
            <w:vAlign w:val="center"/>
          </w:tcPr>
          <w:p w:rsidR="00A47726" w:rsidRDefault="00A47726" w:rsidP="00A246D2">
            <w:pPr>
              <w:jc w:val="center"/>
            </w:pPr>
          </w:p>
        </w:tc>
        <w:tc>
          <w:tcPr>
            <w:tcW w:w="646" w:type="pct"/>
            <w:vMerge/>
            <w:tcBorders>
              <w:left w:val="outset" w:sz="6" w:space="0" w:color="000000"/>
              <w:right w:val="outset" w:sz="6" w:space="0" w:color="000000"/>
            </w:tcBorders>
            <w:vAlign w:val="center"/>
          </w:tcPr>
          <w:p w:rsidR="00A47726" w:rsidRDefault="00A47726" w:rsidP="00A246D2">
            <w:pPr>
              <w:jc w:val="center"/>
            </w:pPr>
          </w:p>
        </w:tc>
        <w:tc>
          <w:tcPr>
            <w:tcW w:w="646" w:type="pct"/>
            <w:vMerge/>
            <w:tcBorders>
              <w:left w:val="outset" w:sz="6" w:space="0" w:color="000000"/>
              <w:right w:val="outset" w:sz="6" w:space="0" w:color="000000"/>
            </w:tcBorders>
            <w:vAlign w:val="center"/>
          </w:tcPr>
          <w:p w:rsidR="00A47726" w:rsidRDefault="00A47726" w:rsidP="00A246D2">
            <w:pPr>
              <w:jc w:val="center"/>
            </w:pPr>
          </w:p>
        </w:tc>
        <w:tc>
          <w:tcPr>
            <w:tcW w:w="791" w:type="pct"/>
            <w:vMerge/>
            <w:tcBorders>
              <w:left w:val="outset" w:sz="6" w:space="0" w:color="000000"/>
              <w:right w:val="outset" w:sz="6" w:space="0" w:color="000000"/>
            </w:tcBorders>
            <w:vAlign w:val="center"/>
          </w:tcPr>
          <w:p w:rsidR="00A47726" w:rsidRDefault="00A47726" w:rsidP="00A246D2">
            <w:pPr>
              <w:jc w:val="center"/>
            </w:pPr>
          </w:p>
        </w:tc>
      </w:tr>
      <w:tr w:rsidR="006F6CE7" w:rsidTr="0091419C">
        <w:tc>
          <w:tcPr>
            <w:tcW w:w="1372" w:type="pct"/>
            <w:tcBorders>
              <w:top w:val="outset" w:sz="6" w:space="0" w:color="000000"/>
              <w:left w:val="outset" w:sz="6" w:space="0" w:color="000000"/>
              <w:bottom w:val="outset" w:sz="6" w:space="0" w:color="000000"/>
              <w:right w:val="outset" w:sz="6" w:space="0" w:color="000000"/>
            </w:tcBorders>
          </w:tcPr>
          <w:p w:rsidR="00A47726" w:rsidRDefault="00A47726" w:rsidP="00A246D2">
            <w:pPr>
              <w:spacing w:before="100" w:beforeAutospacing="1" w:after="100" w:afterAutospacing="1"/>
            </w:pPr>
            <w:r>
              <w:t>3.3. pašvaldību budžets</w:t>
            </w:r>
          </w:p>
        </w:tc>
        <w:tc>
          <w:tcPr>
            <w:tcW w:w="693" w:type="pct"/>
            <w:vMerge/>
            <w:tcBorders>
              <w:left w:val="outset" w:sz="6" w:space="0" w:color="000000"/>
              <w:bottom w:val="outset" w:sz="6" w:space="0" w:color="000000"/>
              <w:right w:val="outset" w:sz="6" w:space="0" w:color="000000"/>
            </w:tcBorders>
            <w:vAlign w:val="center"/>
          </w:tcPr>
          <w:p w:rsidR="00A47726" w:rsidRDefault="00A47726" w:rsidP="00A246D2">
            <w:pPr>
              <w:spacing w:line="360" w:lineRule="auto"/>
              <w:jc w:val="center"/>
            </w:pPr>
          </w:p>
        </w:tc>
        <w:tc>
          <w:tcPr>
            <w:tcW w:w="852" w:type="pct"/>
            <w:vMerge/>
            <w:tcBorders>
              <w:left w:val="outset" w:sz="6" w:space="0" w:color="000000"/>
              <w:bottom w:val="outset" w:sz="6" w:space="0" w:color="000000"/>
              <w:right w:val="outset" w:sz="6" w:space="0" w:color="000000"/>
            </w:tcBorders>
            <w:vAlign w:val="center"/>
          </w:tcPr>
          <w:p w:rsidR="00A47726" w:rsidRDefault="00A47726" w:rsidP="00A246D2">
            <w:pPr>
              <w:jc w:val="center"/>
            </w:pPr>
          </w:p>
        </w:tc>
        <w:tc>
          <w:tcPr>
            <w:tcW w:w="646" w:type="pct"/>
            <w:vMerge/>
            <w:tcBorders>
              <w:left w:val="outset" w:sz="6" w:space="0" w:color="000000"/>
              <w:bottom w:val="outset" w:sz="6" w:space="0" w:color="000000"/>
              <w:right w:val="outset" w:sz="6" w:space="0" w:color="000000"/>
            </w:tcBorders>
            <w:vAlign w:val="center"/>
          </w:tcPr>
          <w:p w:rsidR="00A47726" w:rsidRDefault="00A47726" w:rsidP="00A246D2">
            <w:pPr>
              <w:jc w:val="center"/>
            </w:pPr>
          </w:p>
        </w:tc>
        <w:tc>
          <w:tcPr>
            <w:tcW w:w="646" w:type="pct"/>
            <w:vMerge/>
            <w:tcBorders>
              <w:left w:val="outset" w:sz="6" w:space="0" w:color="000000"/>
              <w:bottom w:val="outset" w:sz="6" w:space="0" w:color="000000"/>
              <w:right w:val="outset" w:sz="6" w:space="0" w:color="000000"/>
            </w:tcBorders>
            <w:vAlign w:val="center"/>
          </w:tcPr>
          <w:p w:rsidR="00A47726" w:rsidRDefault="00A47726" w:rsidP="00A246D2">
            <w:pPr>
              <w:jc w:val="center"/>
            </w:pPr>
          </w:p>
        </w:tc>
        <w:tc>
          <w:tcPr>
            <w:tcW w:w="791" w:type="pct"/>
            <w:vMerge/>
            <w:tcBorders>
              <w:left w:val="outset" w:sz="6" w:space="0" w:color="000000"/>
              <w:bottom w:val="outset" w:sz="6" w:space="0" w:color="000000"/>
              <w:right w:val="outset" w:sz="6" w:space="0" w:color="000000"/>
            </w:tcBorders>
            <w:vAlign w:val="center"/>
          </w:tcPr>
          <w:p w:rsidR="00A47726" w:rsidRDefault="00A47726" w:rsidP="00A246D2">
            <w:pPr>
              <w:jc w:val="center"/>
            </w:pPr>
          </w:p>
        </w:tc>
      </w:tr>
      <w:tr w:rsidR="006F6CE7" w:rsidTr="0091419C">
        <w:trPr>
          <w:trHeight w:val="1400"/>
        </w:trPr>
        <w:tc>
          <w:tcPr>
            <w:tcW w:w="1372" w:type="pct"/>
            <w:tcBorders>
              <w:top w:val="outset" w:sz="6" w:space="0" w:color="000000"/>
              <w:left w:val="outset" w:sz="6" w:space="0" w:color="000000"/>
              <w:bottom w:val="outset" w:sz="6" w:space="0" w:color="000000"/>
              <w:right w:val="outset" w:sz="6" w:space="0" w:color="000000"/>
            </w:tcBorders>
          </w:tcPr>
          <w:p w:rsidR="00A56E77" w:rsidRPr="00A56E77" w:rsidRDefault="00A47726" w:rsidP="00A246D2">
            <w:pPr>
              <w:spacing w:before="100" w:beforeAutospacing="1" w:after="100" w:afterAutospacing="1"/>
            </w:pPr>
            <w:r>
              <w:t>4. Finanšu līdzekļi papildu izde</w:t>
            </w:r>
            <w:r>
              <w:softHyphen/>
              <w:t>vumu finansēšanai (kompensējošu izdevumu samazinājumu norāda ar "+" zīmi)</w:t>
            </w:r>
          </w:p>
        </w:tc>
        <w:tc>
          <w:tcPr>
            <w:tcW w:w="693" w:type="pct"/>
            <w:tcBorders>
              <w:top w:val="outset" w:sz="6" w:space="0" w:color="000000"/>
              <w:left w:val="outset" w:sz="6" w:space="0" w:color="000000"/>
              <w:bottom w:val="outset" w:sz="6" w:space="0" w:color="000000"/>
              <w:right w:val="outset" w:sz="6" w:space="0" w:color="000000"/>
            </w:tcBorders>
            <w:vAlign w:val="center"/>
          </w:tcPr>
          <w:p w:rsidR="00A47726" w:rsidRDefault="00A47726" w:rsidP="00A246D2">
            <w:pPr>
              <w:spacing w:before="100" w:beforeAutospacing="1" w:after="100" w:afterAutospacing="1"/>
              <w:jc w:val="center"/>
            </w:pPr>
            <w:r>
              <w:t>X</w:t>
            </w:r>
          </w:p>
        </w:tc>
        <w:tc>
          <w:tcPr>
            <w:tcW w:w="852" w:type="pct"/>
            <w:tcBorders>
              <w:top w:val="outset" w:sz="6" w:space="0" w:color="000000"/>
              <w:left w:val="outset" w:sz="6" w:space="0" w:color="000000"/>
              <w:right w:val="outset" w:sz="6" w:space="0" w:color="000000"/>
            </w:tcBorders>
            <w:vAlign w:val="center"/>
          </w:tcPr>
          <w:p w:rsidR="00A47726" w:rsidRDefault="000F7200" w:rsidP="00C70ABD">
            <w:pPr>
              <w:jc w:val="center"/>
            </w:pPr>
            <w:r>
              <w:t>23</w:t>
            </w:r>
            <w:r w:rsidR="00C70ABD">
              <w:t> </w:t>
            </w:r>
            <w:r>
              <w:t>485</w:t>
            </w:r>
          </w:p>
        </w:tc>
        <w:tc>
          <w:tcPr>
            <w:tcW w:w="646" w:type="pct"/>
            <w:tcBorders>
              <w:top w:val="outset" w:sz="6" w:space="0" w:color="000000"/>
              <w:left w:val="outset" w:sz="6" w:space="0" w:color="000000"/>
              <w:right w:val="outset" w:sz="6" w:space="0" w:color="000000"/>
            </w:tcBorders>
            <w:vAlign w:val="center"/>
          </w:tcPr>
          <w:p w:rsidR="00A47726" w:rsidRDefault="000F7200" w:rsidP="00C70ABD">
            <w:pPr>
              <w:jc w:val="center"/>
            </w:pPr>
            <w:r>
              <w:t>1 307</w:t>
            </w:r>
            <w:r w:rsidR="00C70ABD">
              <w:t> </w:t>
            </w:r>
            <w:r>
              <w:t>642</w:t>
            </w:r>
          </w:p>
        </w:tc>
        <w:tc>
          <w:tcPr>
            <w:tcW w:w="646" w:type="pct"/>
            <w:tcBorders>
              <w:top w:val="outset" w:sz="6" w:space="0" w:color="000000"/>
              <w:left w:val="outset" w:sz="6" w:space="0" w:color="000000"/>
              <w:right w:val="outset" w:sz="6" w:space="0" w:color="000000"/>
            </w:tcBorders>
            <w:vAlign w:val="center"/>
          </w:tcPr>
          <w:p w:rsidR="00A47726" w:rsidRDefault="00036C87" w:rsidP="00A246D2">
            <w:pPr>
              <w:jc w:val="center"/>
            </w:pPr>
            <w:r>
              <w:t>0</w:t>
            </w:r>
          </w:p>
        </w:tc>
        <w:tc>
          <w:tcPr>
            <w:tcW w:w="791" w:type="pct"/>
            <w:tcBorders>
              <w:top w:val="outset" w:sz="6" w:space="0" w:color="000000"/>
              <w:left w:val="outset" w:sz="6" w:space="0" w:color="000000"/>
              <w:right w:val="outset" w:sz="6" w:space="0" w:color="000000"/>
            </w:tcBorders>
            <w:vAlign w:val="center"/>
          </w:tcPr>
          <w:p w:rsidR="00A47726" w:rsidRDefault="00A47726" w:rsidP="00A246D2">
            <w:pPr>
              <w:jc w:val="center"/>
            </w:pPr>
          </w:p>
        </w:tc>
      </w:tr>
      <w:tr w:rsidR="006F6CE7" w:rsidTr="0091419C">
        <w:tc>
          <w:tcPr>
            <w:tcW w:w="1372" w:type="pct"/>
            <w:tcBorders>
              <w:top w:val="outset" w:sz="6" w:space="0" w:color="000000"/>
              <w:left w:val="outset" w:sz="6" w:space="0" w:color="000000"/>
              <w:bottom w:val="outset" w:sz="6" w:space="0" w:color="000000"/>
              <w:right w:val="outset" w:sz="6" w:space="0" w:color="000000"/>
            </w:tcBorders>
          </w:tcPr>
          <w:p w:rsidR="00A47726" w:rsidRDefault="00A47726" w:rsidP="00A246D2">
            <w:pPr>
              <w:spacing w:before="100" w:beforeAutospacing="1" w:after="100" w:afterAutospacing="1"/>
            </w:pPr>
            <w:r>
              <w:t>5. Precizēta finansiālā ietekme:</w:t>
            </w:r>
          </w:p>
        </w:tc>
        <w:tc>
          <w:tcPr>
            <w:tcW w:w="693" w:type="pct"/>
            <w:vMerge w:val="restart"/>
            <w:tcBorders>
              <w:top w:val="outset" w:sz="6" w:space="0" w:color="000000"/>
              <w:left w:val="outset" w:sz="6" w:space="0" w:color="000000"/>
              <w:bottom w:val="outset" w:sz="6" w:space="0" w:color="000000"/>
              <w:right w:val="outset" w:sz="6" w:space="0" w:color="000000"/>
            </w:tcBorders>
            <w:vAlign w:val="center"/>
          </w:tcPr>
          <w:p w:rsidR="00A47726" w:rsidRDefault="00A47726" w:rsidP="00A246D2">
            <w:pPr>
              <w:spacing w:before="100" w:beforeAutospacing="1" w:after="100" w:afterAutospacing="1"/>
              <w:jc w:val="center"/>
            </w:pPr>
            <w:r>
              <w:t>X</w:t>
            </w:r>
          </w:p>
        </w:tc>
        <w:tc>
          <w:tcPr>
            <w:tcW w:w="852" w:type="pct"/>
            <w:vMerge w:val="restart"/>
            <w:tcBorders>
              <w:top w:val="outset" w:sz="6" w:space="0" w:color="000000"/>
              <w:left w:val="outset" w:sz="6" w:space="0" w:color="000000"/>
              <w:right w:val="outset" w:sz="6" w:space="0" w:color="000000"/>
            </w:tcBorders>
            <w:vAlign w:val="center"/>
          </w:tcPr>
          <w:p w:rsidR="00A47726" w:rsidRDefault="000F7200" w:rsidP="00A246D2">
            <w:pPr>
              <w:jc w:val="center"/>
            </w:pPr>
            <w:r>
              <w:t>0</w:t>
            </w:r>
          </w:p>
        </w:tc>
        <w:tc>
          <w:tcPr>
            <w:tcW w:w="646" w:type="pct"/>
            <w:vMerge w:val="restart"/>
            <w:tcBorders>
              <w:top w:val="outset" w:sz="6" w:space="0" w:color="000000"/>
              <w:left w:val="outset" w:sz="6" w:space="0" w:color="000000"/>
              <w:right w:val="outset" w:sz="6" w:space="0" w:color="000000"/>
            </w:tcBorders>
            <w:vAlign w:val="center"/>
          </w:tcPr>
          <w:p w:rsidR="00A47726" w:rsidRDefault="000F7200" w:rsidP="00A246D2">
            <w:pPr>
              <w:jc w:val="center"/>
            </w:pPr>
            <w:r>
              <w:t>0</w:t>
            </w:r>
          </w:p>
        </w:tc>
        <w:tc>
          <w:tcPr>
            <w:tcW w:w="646" w:type="pct"/>
            <w:vMerge w:val="restart"/>
            <w:tcBorders>
              <w:top w:val="outset" w:sz="6" w:space="0" w:color="000000"/>
              <w:left w:val="outset" w:sz="6" w:space="0" w:color="000000"/>
              <w:right w:val="outset" w:sz="6" w:space="0" w:color="000000"/>
            </w:tcBorders>
            <w:vAlign w:val="center"/>
          </w:tcPr>
          <w:p w:rsidR="00A47726" w:rsidRDefault="00A47726" w:rsidP="00A246D2">
            <w:pPr>
              <w:jc w:val="center"/>
            </w:pPr>
          </w:p>
        </w:tc>
        <w:tc>
          <w:tcPr>
            <w:tcW w:w="791" w:type="pct"/>
            <w:vMerge w:val="restart"/>
            <w:tcBorders>
              <w:top w:val="outset" w:sz="6" w:space="0" w:color="000000"/>
              <w:left w:val="outset" w:sz="6" w:space="0" w:color="000000"/>
              <w:right w:val="outset" w:sz="6" w:space="0" w:color="000000"/>
            </w:tcBorders>
            <w:vAlign w:val="center"/>
          </w:tcPr>
          <w:p w:rsidR="00A47726" w:rsidRDefault="00A47726" w:rsidP="00A246D2">
            <w:pPr>
              <w:jc w:val="center"/>
            </w:pPr>
          </w:p>
        </w:tc>
      </w:tr>
      <w:tr w:rsidR="006F6CE7" w:rsidTr="0091419C">
        <w:tc>
          <w:tcPr>
            <w:tcW w:w="1372" w:type="pct"/>
            <w:tcBorders>
              <w:top w:val="outset" w:sz="6" w:space="0" w:color="000000"/>
              <w:left w:val="outset" w:sz="6" w:space="0" w:color="000000"/>
              <w:bottom w:val="outset" w:sz="6" w:space="0" w:color="000000"/>
              <w:right w:val="outset" w:sz="6" w:space="0" w:color="000000"/>
            </w:tcBorders>
          </w:tcPr>
          <w:p w:rsidR="00A47726" w:rsidRDefault="00A47726" w:rsidP="00A246D2">
            <w:pPr>
              <w:spacing w:before="100" w:beforeAutospacing="1" w:after="100" w:afterAutospacing="1"/>
            </w:pPr>
            <w:r>
              <w:t>5.1. valsts pamatbudžets</w:t>
            </w:r>
          </w:p>
        </w:tc>
        <w:tc>
          <w:tcPr>
            <w:tcW w:w="693" w:type="pct"/>
            <w:vMerge/>
            <w:tcBorders>
              <w:top w:val="outset" w:sz="6" w:space="0" w:color="000000"/>
              <w:left w:val="outset" w:sz="6" w:space="0" w:color="000000"/>
              <w:bottom w:val="outset" w:sz="6" w:space="0" w:color="000000"/>
              <w:right w:val="outset" w:sz="6" w:space="0" w:color="000000"/>
            </w:tcBorders>
            <w:vAlign w:val="center"/>
          </w:tcPr>
          <w:p w:rsidR="00A47726" w:rsidRDefault="00A47726" w:rsidP="00A246D2">
            <w:pPr>
              <w:jc w:val="center"/>
            </w:pPr>
          </w:p>
        </w:tc>
        <w:tc>
          <w:tcPr>
            <w:tcW w:w="852" w:type="pct"/>
            <w:vMerge/>
            <w:tcBorders>
              <w:left w:val="outset" w:sz="6" w:space="0" w:color="000000"/>
              <w:right w:val="outset" w:sz="6" w:space="0" w:color="000000"/>
            </w:tcBorders>
            <w:vAlign w:val="center"/>
          </w:tcPr>
          <w:p w:rsidR="00A47726" w:rsidRDefault="00A47726" w:rsidP="00A246D2">
            <w:pPr>
              <w:jc w:val="center"/>
            </w:pPr>
          </w:p>
        </w:tc>
        <w:tc>
          <w:tcPr>
            <w:tcW w:w="646" w:type="pct"/>
            <w:vMerge/>
            <w:tcBorders>
              <w:left w:val="outset" w:sz="6" w:space="0" w:color="000000"/>
              <w:right w:val="outset" w:sz="6" w:space="0" w:color="000000"/>
            </w:tcBorders>
            <w:vAlign w:val="center"/>
          </w:tcPr>
          <w:p w:rsidR="00A47726" w:rsidRDefault="00A47726" w:rsidP="00A246D2">
            <w:pPr>
              <w:jc w:val="center"/>
            </w:pPr>
          </w:p>
        </w:tc>
        <w:tc>
          <w:tcPr>
            <w:tcW w:w="646" w:type="pct"/>
            <w:vMerge/>
            <w:tcBorders>
              <w:left w:val="outset" w:sz="6" w:space="0" w:color="000000"/>
              <w:right w:val="outset" w:sz="6" w:space="0" w:color="000000"/>
            </w:tcBorders>
            <w:vAlign w:val="center"/>
          </w:tcPr>
          <w:p w:rsidR="00A47726" w:rsidRDefault="00A47726" w:rsidP="00A246D2">
            <w:pPr>
              <w:jc w:val="center"/>
            </w:pPr>
          </w:p>
        </w:tc>
        <w:tc>
          <w:tcPr>
            <w:tcW w:w="791" w:type="pct"/>
            <w:vMerge/>
            <w:tcBorders>
              <w:left w:val="outset" w:sz="6" w:space="0" w:color="000000"/>
              <w:right w:val="outset" w:sz="6" w:space="0" w:color="000000"/>
            </w:tcBorders>
            <w:vAlign w:val="center"/>
          </w:tcPr>
          <w:p w:rsidR="00A47726" w:rsidRDefault="00A47726" w:rsidP="00A246D2">
            <w:pPr>
              <w:jc w:val="center"/>
            </w:pPr>
          </w:p>
        </w:tc>
      </w:tr>
      <w:tr w:rsidR="006F6CE7" w:rsidTr="0091419C">
        <w:tc>
          <w:tcPr>
            <w:tcW w:w="1372" w:type="pct"/>
            <w:tcBorders>
              <w:top w:val="outset" w:sz="6" w:space="0" w:color="000000"/>
              <w:left w:val="outset" w:sz="6" w:space="0" w:color="000000"/>
              <w:bottom w:val="outset" w:sz="6" w:space="0" w:color="000000"/>
              <w:right w:val="outset" w:sz="6" w:space="0" w:color="000000"/>
            </w:tcBorders>
          </w:tcPr>
          <w:p w:rsidR="00A47726" w:rsidRDefault="00A47726" w:rsidP="00A246D2">
            <w:pPr>
              <w:spacing w:before="100" w:beforeAutospacing="1" w:after="100" w:afterAutospacing="1"/>
            </w:pPr>
            <w:r>
              <w:t>5.2. speciālais budžets</w:t>
            </w:r>
          </w:p>
        </w:tc>
        <w:tc>
          <w:tcPr>
            <w:tcW w:w="693" w:type="pct"/>
            <w:vMerge/>
            <w:tcBorders>
              <w:top w:val="outset" w:sz="6" w:space="0" w:color="000000"/>
              <w:left w:val="outset" w:sz="6" w:space="0" w:color="000000"/>
              <w:bottom w:val="outset" w:sz="6" w:space="0" w:color="000000"/>
              <w:right w:val="outset" w:sz="6" w:space="0" w:color="000000"/>
            </w:tcBorders>
            <w:vAlign w:val="center"/>
          </w:tcPr>
          <w:p w:rsidR="00A47726" w:rsidRDefault="00A47726" w:rsidP="00A246D2">
            <w:pPr>
              <w:jc w:val="center"/>
            </w:pPr>
          </w:p>
        </w:tc>
        <w:tc>
          <w:tcPr>
            <w:tcW w:w="852" w:type="pct"/>
            <w:vMerge/>
            <w:tcBorders>
              <w:left w:val="outset" w:sz="6" w:space="0" w:color="000000"/>
              <w:right w:val="outset" w:sz="6" w:space="0" w:color="000000"/>
            </w:tcBorders>
            <w:vAlign w:val="center"/>
          </w:tcPr>
          <w:p w:rsidR="00A47726" w:rsidRDefault="00A47726" w:rsidP="00A246D2">
            <w:pPr>
              <w:jc w:val="center"/>
            </w:pPr>
          </w:p>
        </w:tc>
        <w:tc>
          <w:tcPr>
            <w:tcW w:w="646" w:type="pct"/>
            <w:vMerge/>
            <w:tcBorders>
              <w:left w:val="outset" w:sz="6" w:space="0" w:color="000000"/>
              <w:right w:val="outset" w:sz="6" w:space="0" w:color="000000"/>
            </w:tcBorders>
            <w:vAlign w:val="center"/>
          </w:tcPr>
          <w:p w:rsidR="00A47726" w:rsidRDefault="00A47726" w:rsidP="00A246D2">
            <w:pPr>
              <w:jc w:val="center"/>
            </w:pPr>
          </w:p>
        </w:tc>
        <w:tc>
          <w:tcPr>
            <w:tcW w:w="646" w:type="pct"/>
            <w:vMerge/>
            <w:tcBorders>
              <w:left w:val="outset" w:sz="6" w:space="0" w:color="000000"/>
              <w:right w:val="outset" w:sz="6" w:space="0" w:color="000000"/>
            </w:tcBorders>
            <w:vAlign w:val="center"/>
          </w:tcPr>
          <w:p w:rsidR="00A47726" w:rsidRDefault="00A47726" w:rsidP="00A246D2">
            <w:pPr>
              <w:jc w:val="center"/>
            </w:pPr>
          </w:p>
        </w:tc>
        <w:tc>
          <w:tcPr>
            <w:tcW w:w="791" w:type="pct"/>
            <w:vMerge/>
            <w:tcBorders>
              <w:left w:val="outset" w:sz="6" w:space="0" w:color="000000"/>
              <w:right w:val="outset" w:sz="6" w:space="0" w:color="000000"/>
            </w:tcBorders>
            <w:vAlign w:val="center"/>
          </w:tcPr>
          <w:p w:rsidR="00A47726" w:rsidRDefault="00A47726" w:rsidP="00A246D2">
            <w:pPr>
              <w:jc w:val="center"/>
            </w:pPr>
          </w:p>
        </w:tc>
      </w:tr>
      <w:tr w:rsidR="006F6CE7" w:rsidTr="0091419C">
        <w:tc>
          <w:tcPr>
            <w:tcW w:w="1372" w:type="pct"/>
            <w:tcBorders>
              <w:top w:val="outset" w:sz="6" w:space="0" w:color="000000"/>
              <w:left w:val="outset" w:sz="6" w:space="0" w:color="000000"/>
              <w:bottom w:val="outset" w:sz="6" w:space="0" w:color="000000"/>
              <w:right w:val="outset" w:sz="6" w:space="0" w:color="000000"/>
            </w:tcBorders>
          </w:tcPr>
          <w:p w:rsidR="00A47726" w:rsidRDefault="00A47726" w:rsidP="00A246D2">
            <w:pPr>
              <w:spacing w:before="100" w:beforeAutospacing="1" w:after="100" w:afterAutospacing="1"/>
            </w:pPr>
            <w:r>
              <w:t>5.3. pašvaldību budžets</w:t>
            </w:r>
          </w:p>
        </w:tc>
        <w:tc>
          <w:tcPr>
            <w:tcW w:w="693" w:type="pct"/>
            <w:vMerge/>
            <w:tcBorders>
              <w:top w:val="outset" w:sz="6" w:space="0" w:color="000000"/>
              <w:left w:val="outset" w:sz="6" w:space="0" w:color="000000"/>
              <w:bottom w:val="outset" w:sz="6" w:space="0" w:color="000000"/>
              <w:right w:val="outset" w:sz="6" w:space="0" w:color="000000"/>
            </w:tcBorders>
            <w:vAlign w:val="center"/>
          </w:tcPr>
          <w:p w:rsidR="00A47726" w:rsidRDefault="00A47726" w:rsidP="00A246D2">
            <w:pPr>
              <w:jc w:val="center"/>
            </w:pPr>
          </w:p>
        </w:tc>
        <w:tc>
          <w:tcPr>
            <w:tcW w:w="852" w:type="pct"/>
            <w:vMerge/>
            <w:tcBorders>
              <w:left w:val="outset" w:sz="6" w:space="0" w:color="000000"/>
              <w:bottom w:val="outset" w:sz="6" w:space="0" w:color="000000"/>
              <w:right w:val="outset" w:sz="6" w:space="0" w:color="000000"/>
            </w:tcBorders>
            <w:vAlign w:val="center"/>
          </w:tcPr>
          <w:p w:rsidR="00A47726" w:rsidRDefault="00A47726" w:rsidP="00A246D2">
            <w:pPr>
              <w:jc w:val="center"/>
            </w:pPr>
          </w:p>
        </w:tc>
        <w:tc>
          <w:tcPr>
            <w:tcW w:w="646" w:type="pct"/>
            <w:vMerge/>
            <w:tcBorders>
              <w:left w:val="outset" w:sz="6" w:space="0" w:color="000000"/>
              <w:bottom w:val="outset" w:sz="6" w:space="0" w:color="000000"/>
              <w:right w:val="outset" w:sz="6" w:space="0" w:color="000000"/>
            </w:tcBorders>
            <w:vAlign w:val="center"/>
          </w:tcPr>
          <w:p w:rsidR="00A47726" w:rsidRDefault="00A47726" w:rsidP="00A246D2">
            <w:pPr>
              <w:jc w:val="center"/>
            </w:pPr>
          </w:p>
        </w:tc>
        <w:tc>
          <w:tcPr>
            <w:tcW w:w="646" w:type="pct"/>
            <w:vMerge/>
            <w:tcBorders>
              <w:left w:val="outset" w:sz="6" w:space="0" w:color="000000"/>
              <w:bottom w:val="outset" w:sz="6" w:space="0" w:color="000000"/>
              <w:right w:val="outset" w:sz="6" w:space="0" w:color="000000"/>
            </w:tcBorders>
            <w:vAlign w:val="center"/>
          </w:tcPr>
          <w:p w:rsidR="00A47726" w:rsidRDefault="00A47726" w:rsidP="00A246D2">
            <w:pPr>
              <w:jc w:val="center"/>
            </w:pPr>
          </w:p>
        </w:tc>
        <w:tc>
          <w:tcPr>
            <w:tcW w:w="791" w:type="pct"/>
            <w:vMerge/>
            <w:tcBorders>
              <w:left w:val="outset" w:sz="6" w:space="0" w:color="000000"/>
              <w:bottom w:val="outset" w:sz="6" w:space="0" w:color="000000"/>
              <w:right w:val="outset" w:sz="6" w:space="0" w:color="000000"/>
            </w:tcBorders>
            <w:vAlign w:val="center"/>
          </w:tcPr>
          <w:p w:rsidR="00A47726" w:rsidRDefault="00A47726" w:rsidP="00A246D2">
            <w:pPr>
              <w:jc w:val="center"/>
            </w:pPr>
          </w:p>
        </w:tc>
      </w:tr>
      <w:tr w:rsidR="00A47726" w:rsidTr="0091419C">
        <w:trPr>
          <w:trHeight w:val="5760"/>
        </w:trPr>
        <w:tc>
          <w:tcPr>
            <w:tcW w:w="1372" w:type="pct"/>
            <w:tcBorders>
              <w:top w:val="outset" w:sz="6" w:space="0" w:color="000000"/>
              <w:left w:val="outset" w:sz="6" w:space="0" w:color="000000"/>
              <w:bottom w:val="outset" w:sz="6" w:space="0" w:color="000000"/>
              <w:right w:val="outset" w:sz="6" w:space="0" w:color="000000"/>
            </w:tcBorders>
          </w:tcPr>
          <w:p w:rsidR="00A47726" w:rsidRDefault="00A47726" w:rsidP="00C70ABD">
            <w:pPr>
              <w:spacing w:before="100" w:beforeAutospacing="1" w:after="100" w:afterAutospacing="1"/>
            </w:pPr>
            <w:r>
              <w:lastRenderedPageBreak/>
              <w:t>6. Detalizēts ieņēmumu un izdevumu aprēķins (ja nepieciešams, detalizētu ieņēmumu un izdevumu aprēķinu var pievienot anotācijas pielikumā)</w:t>
            </w:r>
          </w:p>
        </w:tc>
        <w:tc>
          <w:tcPr>
            <w:tcW w:w="3628" w:type="pct"/>
            <w:gridSpan w:val="5"/>
            <w:vMerge w:val="restart"/>
            <w:tcBorders>
              <w:top w:val="outset" w:sz="6" w:space="0" w:color="000000"/>
              <w:left w:val="outset" w:sz="6" w:space="0" w:color="000000"/>
              <w:bottom w:val="outset" w:sz="6" w:space="0" w:color="000000"/>
              <w:right w:val="outset" w:sz="6" w:space="0" w:color="000000"/>
            </w:tcBorders>
            <w:vAlign w:val="center"/>
          </w:tcPr>
          <w:p w:rsidR="00082B33" w:rsidRPr="00502B5B" w:rsidRDefault="00627FBB" w:rsidP="00082B33">
            <w:pPr>
              <w:ind w:firstLine="666"/>
              <w:jc w:val="both"/>
              <w:rPr>
                <w:bCs/>
              </w:rPr>
            </w:pPr>
            <w:r>
              <w:rPr>
                <w:bCs/>
              </w:rPr>
              <w:t>Rīkojuma projekt</w:t>
            </w:r>
            <w:r w:rsidR="00761819">
              <w:rPr>
                <w:bCs/>
              </w:rPr>
              <w:t>s paredz, ka</w:t>
            </w:r>
            <w:r>
              <w:rPr>
                <w:bCs/>
              </w:rPr>
              <w:t xml:space="preserve"> </w:t>
            </w:r>
            <w:r w:rsidR="00082B33" w:rsidRPr="00502B5B">
              <w:rPr>
                <w:bCs/>
              </w:rPr>
              <w:t>Eiropas Biroja krāpšanas apkarošanai (</w:t>
            </w:r>
            <w:r w:rsidR="00082B33" w:rsidRPr="0091419C">
              <w:rPr>
                <w:bCs/>
                <w:i/>
              </w:rPr>
              <w:t xml:space="preserve">OLAF) </w:t>
            </w:r>
            <w:r w:rsidR="00082B33" w:rsidRPr="00502B5B">
              <w:rPr>
                <w:bCs/>
              </w:rPr>
              <w:t xml:space="preserve">programmas </w:t>
            </w:r>
            <w:r w:rsidR="00162300">
              <w:rPr>
                <w:bCs/>
              </w:rPr>
              <w:t>“</w:t>
            </w:r>
            <w:proofErr w:type="spellStart"/>
            <w:r w:rsidR="00082B33" w:rsidRPr="00502B5B">
              <w:rPr>
                <w:bCs/>
              </w:rPr>
              <w:t>Hercule</w:t>
            </w:r>
            <w:proofErr w:type="spellEnd"/>
            <w:r w:rsidR="00082B33" w:rsidRPr="00502B5B">
              <w:rPr>
                <w:bCs/>
              </w:rPr>
              <w:t xml:space="preserve"> III” ietvaros VID </w:t>
            </w:r>
            <w:r w:rsidR="00082B33">
              <w:rPr>
                <w:bCs/>
              </w:rPr>
              <w:t>ir ie</w:t>
            </w:r>
            <w:r w:rsidR="00082B33" w:rsidRPr="00502B5B">
              <w:rPr>
                <w:bCs/>
              </w:rPr>
              <w:t>plāno</w:t>
            </w:r>
            <w:r w:rsidR="00082B33">
              <w:rPr>
                <w:bCs/>
              </w:rPr>
              <w:t>jis īstenot trīs</w:t>
            </w:r>
            <w:r w:rsidR="00082B33" w:rsidRPr="00502B5B">
              <w:rPr>
                <w:bCs/>
              </w:rPr>
              <w:t xml:space="preserve"> projektus.</w:t>
            </w:r>
          </w:p>
          <w:p w:rsidR="00082B33" w:rsidRPr="0091419C" w:rsidRDefault="003B72D4" w:rsidP="00C01B11">
            <w:pPr>
              <w:ind w:firstLine="367"/>
              <w:jc w:val="both"/>
            </w:pPr>
            <w:r w:rsidRPr="0091419C">
              <w:rPr>
                <w:bCs/>
              </w:rPr>
              <w:t>1)</w:t>
            </w:r>
            <w:r w:rsidR="00EE4159">
              <w:rPr>
                <w:bCs/>
              </w:rPr>
              <w:t xml:space="preserve"> </w:t>
            </w:r>
            <w:r w:rsidRPr="0091419C">
              <w:rPr>
                <w:bCs/>
                <w:u w:val="single"/>
              </w:rPr>
              <w:t xml:space="preserve">Baltijas valstu kopīgs projekts </w:t>
            </w:r>
            <w:r w:rsidR="00EE4159">
              <w:rPr>
                <w:bCs/>
                <w:u w:val="single"/>
              </w:rPr>
              <w:t>“</w:t>
            </w:r>
            <w:r w:rsidRPr="0091419C">
              <w:rPr>
                <w:bCs/>
                <w:u w:val="single"/>
              </w:rPr>
              <w:t>Eiropas Savienības finanšu interešu aizsardzības stiprināšana, sekmējot cīņu pret krāpšanu: kopīga datu apmaiņas tīkla starp Baltijas valstu muitas dienestu skenēšanas iekārtām izveide”</w:t>
            </w:r>
            <w:r w:rsidR="00EE4159">
              <w:t>.</w:t>
            </w:r>
          </w:p>
          <w:p w:rsidR="005975C5" w:rsidRDefault="005D1A72" w:rsidP="00B74FF8">
            <w:pPr>
              <w:ind w:firstLine="666"/>
              <w:jc w:val="both"/>
              <w:rPr>
                <w:bCs/>
              </w:rPr>
            </w:pPr>
            <w:r w:rsidRPr="005D1A72">
              <w:rPr>
                <w:bCs/>
              </w:rPr>
              <w:t xml:space="preserve">Projekta plānotais ieviešanas laiks saskaņā ar granta līgumā  </w:t>
            </w:r>
            <w:r w:rsidRPr="0091419C">
              <w:rPr>
                <w:bCs/>
                <w:i/>
              </w:rPr>
              <w:t>OLAF</w:t>
            </w:r>
            <w:r w:rsidRPr="005D1A72">
              <w:rPr>
                <w:bCs/>
              </w:rPr>
              <w:t>/2015/D1/024 noteikto ir 2015.gada augusts–2016.gada novembris.</w:t>
            </w:r>
            <w:r>
              <w:rPr>
                <w:bCs/>
              </w:rPr>
              <w:t xml:space="preserve"> </w:t>
            </w:r>
            <w:r w:rsidR="0026770E" w:rsidRPr="00502B5B">
              <w:rPr>
                <w:bCs/>
              </w:rPr>
              <w:t>Kopējais plānotais projekta budžets ir 2</w:t>
            </w:r>
            <w:r w:rsidR="00162300">
              <w:rPr>
                <w:bCs/>
              </w:rPr>
              <w:t> </w:t>
            </w:r>
            <w:r w:rsidR="0026770E" w:rsidRPr="00502B5B">
              <w:rPr>
                <w:bCs/>
              </w:rPr>
              <w:t>778</w:t>
            </w:r>
            <w:r w:rsidR="00162300">
              <w:rPr>
                <w:bCs/>
              </w:rPr>
              <w:t> </w:t>
            </w:r>
            <w:r w:rsidR="0026770E" w:rsidRPr="00502B5B">
              <w:rPr>
                <w:bCs/>
              </w:rPr>
              <w:t>200</w:t>
            </w:r>
            <w:r w:rsidR="00162300">
              <w:rPr>
                <w:bCs/>
              </w:rPr>
              <w:t> </w:t>
            </w:r>
            <w:proofErr w:type="spellStart"/>
            <w:r w:rsidR="005C311D" w:rsidRPr="005C311D">
              <w:rPr>
                <w:bCs/>
                <w:i/>
              </w:rPr>
              <w:t>euro</w:t>
            </w:r>
            <w:proofErr w:type="spellEnd"/>
            <w:r w:rsidR="0026770E" w:rsidRPr="00502B5B">
              <w:rPr>
                <w:bCs/>
              </w:rPr>
              <w:t xml:space="preserve">, no kura </w:t>
            </w:r>
            <w:r w:rsidR="003A6508">
              <w:rPr>
                <w:bCs/>
              </w:rPr>
              <w:t>EK</w:t>
            </w:r>
            <w:r w:rsidR="0026770E" w:rsidRPr="00502B5B">
              <w:rPr>
                <w:bCs/>
              </w:rPr>
              <w:t xml:space="preserve"> līdzfinansējums 80</w:t>
            </w:r>
            <w:r w:rsidR="00EE4159">
              <w:rPr>
                <w:bCs/>
              </w:rPr>
              <w:t> </w:t>
            </w:r>
            <w:r w:rsidR="0026770E" w:rsidRPr="00502B5B">
              <w:rPr>
                <w:bCs/>
              </w:rPr>
              <w:t>% jeb 2</w:t>
            </w:r>
            <w:r w:rsidR="00622379">
              <w:rPr>
                <w:bCs/>
              </w:rPr>
              <w:t> </w:t>
            </w:r>
            <w:r w:rsidR="0026770E" w:rsidRPr="00502B5B">
              <w:rPr>
                <w:bCs/>
              </w:rPr>
              <w:t>222</w:t>
            </w:r>
            <w:r w:rsidR="00622379">
              <w:rPr>
                <w:bCs/>
              </w:rPr>
              <w:t> </w:t>
            </w:r>
            <w:r w:rsidR="0026770E" w:rsidRPr="00502B5B">
              <w:rPr>
                <w:bCs/>
              </w:rPr>
              <w:t>560</w:t>
            </w:r>
            <w:r w:rsidR="00622379">
              <w:rPr>
                <w:bCs/>
              </w:rPr>
              <w:t> </w:t>
            </w:r>
            <w:proofErr w:type="spellStart"/>
            <w:r w:rsidR="005C311D" w:rsidRPr="005C311D">
              <w:rPr>
                <w:bCs/>
                <w:i/>
              </w:rPr>
              <w:t>euro</w:t>
            </w:r>
            <w:proofErr w:type="spellEnd"/>
            <w:r w:rsidR="0026770E" w:rsidRPr="00502B5B">
              <w:rPr>
                <w:bCs/>
              </w:rPr>
              <w:t>.</w:t>
            </w:r>
            <w:r w:rsidR="0026770E">
              <w:rPr>
                <w:bCs/>
              </w:rPr>
              <w:t xml:space="preserve"> P</w:t>
            </w:r>
            <w:r w:rsidR="0026770E" w:rsidRPr="00502B5B">
              <w:rPr>
                <w:bCs/>
              </w:rPr>
              <w:t>rojekta īstenotāji ir Lietuvas Republikas Finanšu ministrijas Muitas departaments (projekta pieteicējs), Latvijas Republikas Valsts ieņēmumu dienests (sadarbības partneris) un Igaunijas Republikas Finanšu ministrijas Nodokļu un muitas pārvalde (sadarbības partneris).</w:t>
            </w:r>
            <w:r w:rsidR="0026770E">
              <w:rPr>
                <w:bCs/>
              </w:rPr>
              <w:t xml:space="preserve"> </w:t>
            </w:r>
            <w:r w:rsidR="0026770E" w:rsidRPr="00502B5B">
              <w:rPr>
                <w:bCs/>
              </w:rPr>
              <w:t>Latvijas daļa no kopējā plānotā projekta budžeta ir 36,6</w:t>
            </w:r>
            <w:r w:rsidR="00EE4159">
              <w:rPr>
                <w:bCs/>
              </w:rPr>
              <w:t> </w:t>
            </w:r>
            <w:r w:rsidR="0026770E" w:rsidRPr="00502B5B">
              <w:rPr>
                <w:bCs/>
              </w:rPr>
              <w:t>% jeb 1</w:t>
            </w:r>
            <w:r w:rsidR="00162300">
              <w:rPr>
                <w:bCs/>
              </w:rPr>
              <w:t> </w:t>
            </w:r>
            <w:r w:rsidR="0026770E" w:rsidRPr="00502B5B">
              <w:rPr>
                <w:bCs/>
              </w:rPr>
              <w:t>016</w:t>
            </w:r>
            <w:r w:rsidR="00162300">
              <w:rPr>
                <w:bCs/>
              </w:rPr>
              <w:t> </w:t>
            </w:r>
            <w:r w:rsidR="0026770E" w:rsidRPr="00502B5B">
              <w:rPr>
                <w:bCs/>
              </w:rPr>
              <w:t>200</w:t>
            </w:r>
            <w:r w:rsidR="00162300">
              <w:rPr>
                <w:bCs/>
              </w:rPr>
              <w:t> </w:t>
            </w:r>
            <w:proofErr w:type="spellStart"/>
            <w:r w:rsidR="005C311D" w:rsidRPr="005C311D">
              <w:rPr>
                <w:bCs/>
                <w:i/>
              </w:rPr>
              <w:t>euro</w:t>
            </w:r>
            <w:proofErr w:type="spellEnd"/>
            <w:r w:rsidR="0026770E" w:rsidRPr="00502B5B">
              <w:rPr>
                <w:bCs/>
              </w:rPr>
              <w:t>, tai skaitā 80</w:t>
            </w:r>
            <w:r w:rsidR="00EE4159">
              <w:rPr>
                <w:bCs/>
              </w:rPr>
              <w:t> </w:t>
            </w:r>
            <w:r w:rsidR="0026770E" w:rsidRPr="00502B5B">
              <w:rPr>
                <w:bCs/>
              </w:rPr>
              <w:t>% jeb 812</w:t>
            </w:r>
            <w:r w:rsidR="00622379">
              <w:rPr>
                <w:bCs/>
              </w:rPr>
              <w:t> </w:t>
            </w:r>
            <w:r w:rsidR="0026770E" w:rsidRPr="00502B5B">
              <w:rPr>
                <w:bCs/>
              </w:rPr>
              <w:t>960</w:t>
            </w:r>
            <w:r w:rsidR="00622379">
              <w:rPr>
                <w:bCs/>
              </w:rPr>
              <w:t> </w:t>
            </w:r>
            <w:proofErr w:type="spellStart"/>
            <w:r w:rsidR="005C311D" w:rsidRPr="005C311D">
              <w:rPr>
                <w:bCs/>
                <w:i/>
              </w:rPr>
              <w:t>euro</w:t>
            </w:r>
            <w:proofErr w:type="spellEnd"/>
            <w:r w:rsidR="0026770E" w:rsidRPr="00502B5B">
              <w:rPr>
                <w:bCs/>
              </w:rPr>
              <w:t xml:space="preserve"> sedz E</w:t>
            </w:r>
            <w:r w:rsidR="00C70ABD">
              <w:rPr>
                <w:bCs/>
              </w:rPr>
              <w:t>K</w:t>
            </w:r>
            <w:r w:rsidR="0026770E" w:rsidRPr="00502B5B">
              <w:rPr>
                <w:bCs/>
              </w:rPr>
              <w:t xml:space="preserve"> un 20</w:t>
            </w:r>
            <w:r w:rsidR="00EE4159">
              <w:rPr>
                <w:bCs/>
              </w:rPr>
              <w:t> </w:t>
            </w:r>
            <w:r w:rsidR="0026770E" w:rsidRPr="00502B5B">
              <w:rPr>
                <w:bCs/>
              </w:rPr>
              <w:t>% jeb</w:t>
            </w:r>
            <w:r w:rsidR="0026770E">
              <w:rPr>
                <w:bCs/>
              </w:rPr>
              <w:t xml:space="preserve"> </w:t>
            </w:r>
            <w:r w:rsidR="0026770E" w:rsidRPr="00502B5B">
              <w:rPr>
                <w:bCs/>
              </w:rPr>
              <w:t>203</w:t>
            </w:r>
            <w:r w:rsidR="00622379">
              <w:rPr>
                <w:bCs/>
              </w:rPr>
              <w:t> </w:t>
            </w:r>
            <w:r w:rsidR="0026770E" w:rsidRPr="00502B5B">
              <w:rPr>
                <w:bCs/>
              </w:rPr>
              <w:t xml:space="preserve">240 </w:t>
            </w:r>
            <w:proofErr w:type="spellStart"/>
            <w:r w:rsidR="005C311D" w:rsidRPr="005C311D">
              <w:rPr>
                <w:bCs/>
                <w:i/>
              </w:rPr>
              <w:t>euro</w:t>
            </w:r>
            <w:proofErr w:type="spellEnd"/>
            <w:r w:rsidR="0026770E" w:rsidRPr="00502B5B">
              <w:rPr>
                <w:bCs/>
              </w:rPr>
              <w:t xml:space="preserve"> nodrošina nacionālais līdzfinansējums. </w:t>
            </w:r>
            <w:r w:rsidR="00EE4159">
              <w:rPr>
                <w:bCs/>
              </w:rPr>
              <w:t>Jāņem</w:t>
            </w:r>
            <w:r w:rsidR="00EE4159" w:rsidRPr="00502B5B">
              <w:rPr>
                <w:bCs/>
              </w:rPr>
              <w:t xml:space="preserve"> </w:t>
            </w:r>
            <w:r w:rsidR="0026770E" w:rsidRPr="00502B5B">
              <w:rPr>
                <w:bCs/>
              </w:rPr>
              <w:t>vērā, ka Latvijai pievienotās vērtības nodoklis jāmaksā par visu projekta budžetu, kas ir 213</w:t>
            </w:r>
            <w:r w:rsidR="00C70ABD">
              <w:rPr>
                <w:bCs/>
              </w:rPr>
              <w:t> </w:t>
            </w:r>
            <w:r w:rsidR="0026770E" w:rsidRPr="00502B5B">
              <w:rPr>
                <w:bCs/>
              </w:rPr>
              <w:t>402</w:t>
            </w:r>
            <w:r w:rsidR="00C70ABD">
              <w:rPr>
                <w:bCs/>
              </w:rPr>
              <w:t> </w:t>
            </w:r>
            <w:proofErr w:type="spellStart"/>
            <w:r w:rsidR="005C311D" w:rsidRPr="005C311D">
              <w:rPr>
                <w:bCs/>
                <w:i/>
              </w:rPr>
              <w:t>euro</w:t>
            </w:r>
            <w:proofErr w:type="spellEnd"/>
            <w:r w:rsidR="0026770E">
              <w:rPr>
                <w:bCs/>
              </w:rPr>
              <w:t>.</w:t>
            </w:r>
            <w:r w:rsidR="0026770E" w:rsidRPr="00502B5B">
              <w:rPr>
                <w:bCs/>
              </w:rPr>
              <w:t xml:space="preserve"> Latvijas nacionālais līdzfinansējums kopā ir 416</w:t>
            </w:r>
            <w:r w:rsidR="00C70ABD">
              <w:rPr>
                <w:bCs/>
              </w:rPr>
              <w:t> </w:t>
            </w:r>
            <w:r w:rsidR="0026770E" w:rsidRPr="00502B5B">
              <w:rPr>
                <w:bCs/>
              </w:rPr>
              <w:t>642</w:t>
            </w:r>
            <w:r w:rsidR="00C70ABD">
              <w:rPr>
                <w:bCs/>
              </w:rPr>
              <w:t> </w:t>
            </w:r>
            <w:proofErr w:type="spellStart"/>
            <w:r w:rsidR="005C311D" w:rsidRPr="005C311D">
              <w:rPr>
                <w:bCs/>
                <w:i/>
              </w:rPr>
              <w:t>euro</w:t>
            </w:r>
            <w:proofErr w:type="spellEnd"/>
            <w:r w:rsidR="0026770E" w:rsidRPr="00502B5B">
              <w:rPr>
                <w:bCs/>
              </w:rPr>
              <w:t>.</w:t>
            </w:r>
          </w:p>
          <w:p w:rsidR="005975C5" w:rsidRDefault="005975C5" w:rsidP="005975C5">
            <w:pPr>
              <w:ind w:firstLine="666"/>
              <w:jc w:val="both"/>
              <w:rPr>
                <w:bCs/>
              </w:rPr>
            </w:pPr>
            <w:r>
              <w:rPr>
                <w:bCs/>
              </w:rPr>
              <w:t xml:space="preserve">Finansējums no valsts budžeta </w:t>
            </w:r>
            <w:proofErr w:type="spellStart"/>
            <w:r>
              <w:rPr>
                <w:bCs/>
              </w:rPr>
              <w:t>priekšfinansējuma</w:t>
            </w:r>
            <w:proofErr w:type="spellEnd"/>
            <w:r>
              <w:rPr>
                <w:bCs/>
              </w:rPr>
              <w:t xml:space="preserve"> nodrošināšanai nebūs nepieciešams. VID piedalīsies projektā kā projekta partneris, savukārt projekta pieteicējs un EK finansējuma saņēmējs ir Lietuvas Finanšu ministrijas Muitas departaments, kurš </w:t>
            </w:r>
            <w:r w:rsidR="00C70ABD">
              <w:rPr>
                <w:bCs/>
              </w:rPr>
              <w:t>s</w:t>
            </w:r>
            <w:r>
              <w:rPr>
                <w:bCs/>
              </w:rPr>
              <w:t>amaksās visus ar projektu saistītos rēķinus</w:t>
            </w:r>
            <w:r w:rsidR="00EE4159">
              <w:rPr>
                <w:bCs/>
              </w:rPr>
              <w:t xml:space="preserve">, </w:t>
            </w:r>
            <w:r>
              <w:rPr>
                <w:bCs/>
              </w:rPr>
              <w:t xml:space="preserve">tai skaitā arī par Latvijā veiktiem darbiem un Latvijā uzstādīto aprīkojumu. Noslēdzoties projektam, </w:t>
            </w:r>
            <w:r w:rsidRPr="00412547">
              <w:rPr>
                <w:bCs/>
              </w:rPr>
              <w:t>Lietuvas Finanšu ministrijas Muitas departaments</w:t>
            </w:r>
            <w:r>
              <w:rPr>
                <w:bCs/>
              </w:rPr>
              <w:t xml:space="preserve"> nosūtīs V</w:t>
            </w:r>
            <w:r w:rsidR="008379FE">
              <w:rPr>
                <w:bCs/>
              </w:rPr>
              <w:t>ID</w:t>
            </w:r>
            <w:r>
              <w:rPr>
                <w:bCs/>
              </w:rPr>
              <w:t xml:space="preserve"> līdzfinansējuma maksājuma pieprasījumu.</w:t>
            </w:r>
          </w:p>
          <w:p w:rsidR="0026770E" w:rsidRPr="00C01B11" w:rsidRDefault="0026770E" w:rsidP="00B74FF8">
            <w:pPr>
              <w:ind w:firstLine="666"/>
              <w:jc w:val="both"/>
              <w:rPr>
                <w:bCs/>
                <w:sz w:val="16"/>
              </w:rPr>
            </w:pPr>
          </w:p>
          <w:p w:rsidR="0026770E" w:rsidRDefault="0026770E" w:rsidP="0026770E">
            <w:pPr>
              <w:ind w:firstLine="666"/>
              <w:jc w:val="both"/>
              <w:rPr>
                <w:bCs/>
              </w:rPr>
            </w:pPr>
            <w:r>
              <w:t>Projekta īstenošanai nepieciešamā finansējuma sadalījums pa gadiem (</w:t>
            </w:r>
            <w:proofErr w:type="spellStart"/>
            <w:r w:rsidR="005C311D" w:rsidRPr="005C311D">
              <w:rPr>
                <w:i/>
              </w:rPr>
              <w:t>euro</w:t>
            </w:r>
            <w:proofErr w:type="spellEnd"/>
            <w:r>
              <w:t>)</w:t>
            </w:r>
            <w:r>
              <w:rPr>
                <w:bCs/>
              </w:rPr>
              <w:t>:</w:t>
            </w:r>
          </w:p>
          <w:tbl>
            <w:tblPr>
              <w:tblW w:w="6840" w:type="dxa"/>
              <w:tblLook w:val="04A0" w:firstRow="1" w:lastRow="0" w:firstColumn="1" w:lastColumn="0" w:noHBand="0" w:noVBand="1"/>
            </w:tblPr>
            <w:tblGrid>
              <w:gridCol w:w="3000"/>
              <w:gridCol w:w="764"/>
              <w:gridCol w:w="1156"/>
              <w:gridCol w:w="828"/>
              <w:gridCol w:w="1092"/>
            </w:tblGrid>
            <w:tr w:rsidR="00AF075A" w:rsidRPr="00AF075A" w:rsidTr="0033076F">
              <w:trPr>
                <w:trHeight w:val="300"/>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75A" w:rsidRPr="0033076F" w:rsidRDefault="00AF075A" w:rsidP="00AF075A">
                  <w:pPr>
                    <w:rPr>
                      <w:color w:val="000000"/>
                      <w:sz w:val="22"/>
                      <w:szCs w:val="22"/>
                      <w:lang w:eastAsia="en-US"/>
                    </w:rPr>
                  </w:pPr>
                  <w:r w:rsidRPr="0033076F">
                    <w:rPr>
                      <w:color w:val="000000"/>
                      <w:sz w:val="22"/>
                      <w:szCs w:val="22"/>
                      <w:lang w:eastAsia="en-US"/>
                    </w:rPr>
                    <w:t> </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AF075A" w:rsidRPr="00AF075A" w:rsidRDefault="00AF075A" w:rsidP="00AF075A">
                  <w:pPr>
                    <w:jc w:val="right"/>
                    <w:rPr>
                      <w:color w:val="000000"/>
                      <w:sz w:val="22"/>
                      <w:szCs w:val="22"/>
                      <w:lang w:val="en-US" w:eastAsia="en-US"/>
                    </w:rPr>
                  </w:pPr>
                  <w:r w:rsidRPr="00AF075A">
                    <w:rPr>
                      <w:color w:val="000000"/>
                      <w:sz w:val="22"/>
                      <w:szCs w:val="22"/>
                      <w:lang w:val="en-US" w:eastAsia="en-US"/>
                    </w:rPr>
                    <w:t>2015</w:t>
                  </w:r>
                  <w:r w:rsidR="00EE4159">
                    <w:rPr>
                      <w:color w:val="000000"/>
                      <w:sz w:val="22"/>
                      <w:szCs w:val="22"/>
                      <w:lang w:val="en-US" w:eastAsia="en-US"/>
                    </w:rPr>
                    <w:t>.</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AF075A" w:rsidRPr="00AF075A" w:rsidRDefault="00AF075A" w:rsidP="00AF075A">
                  <w:pPr>
                    <w:jc w:val="right"/>
                    <w:rPr>
                      <w:color w:val="000000"/>
                      <w:sz w:val="22"/>
                      <w:szCs w:val="22"/>
                      <w:lang w:val="en-US" w:eastAsia="en-US"/>
                    </w:rPr>
                  </w:pPr>
                  <w:r w:rsidRPr="00AF075A">
                    <w:rPr>
                      <w:color w:val="000000"/>
                      <w:sz w:val="22"/>
                      <w:szCs w:val="22"/>
                      <w:lang w:val="en-US" w:eastAsia="en-US"/>
                    </w:rPr>
                    <w:t>2016</w:t>
                  </w:r>
                  <w:r w:rsidR="00EE4159">
                    <w:rPr>
                      <w:color w:val="000000"/>
                      <w:sz w:val="22"/>
                      <w:szCs w:val="22"/>
                      <w:lang w:val="en-US" w:eastAsia="en-US"/>
                    </w:rPr>
                    <w:t>.</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AF075A" w:rsidRPr="00AF075A" w:rsidRDefault="00AF075A" w:rsidP="00AF075A">
                  <w:pPr>
                    <w:jc w:val="right"/>
                    <w:rPr>
                      <w:color w:val="000000"/>
                      <w:sz w:val="22"/>
                      <w:szCs w:val="22"/>
                      <w:lang w:val="en-US" w:eastAsia="en-US"/>
                    </w:rPr>
                  </w:pPr>
                  <w:r w:rsidRPr="00AF075A">
                    <w:rPr>
                      <w:color w:val="000000"/>
                      <w:sz w:val="22"/>
                      <w:szCs w:val="22"/>
                      <w:lang w:val="en-US" w:eastAsia="en-US"/>
                    </w:rPr>
                    <w:t>2017</w:t>
                  </w:r>
                  <w:r w:rsidR="00EE4159">
                    <w:rPr>
                      <w:color w:val="000000"/>
                      <w:sz w:val="22"/>
                      <w:szCs w:val="22"/>
                      <w:lang w:val="en-US" w:eastAsia="en-US"/>
                    </w:rPr>
                    <w:t>.</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rsidR="00AF075A" w:rsidRPr="00AF075A" w:rsidRDefault="00AF075A" w:rsidP="00AF075A">
                  <w:pPr>
                    <w:rPr>
                      <w:color w:val="000000"/>
                      <w:sz w:val="22"/>
                      <w:szCs w:val="22"/>
                      <w:lang w:val="en-US" w:eastAsia="en-US"/>
                    </w:rPr>
                  </w:pPr>
                  <w:proofErr w:type="spellStart"/>
                  <w:r w:rsidRPr="00AF075A">
                    <w:rPr>
                      <w:color w:val="000000"/>
                      <w:sz w:val="22"/>
                      <w:szCs w:val="22"/>
                      <w:lang w:val="en-US" w:eastAsia="en-US"/>
                    </w:rPr>
                    <w:t>Kopā</w:t>
                  </w:r>
                  <w:proofErr w:type="spellEnd"/>
                </w:p>
              </w:tc>
            </w:tr>
            <w:tr w:rsidR="00AF075A" w:rsidRPr="00AF075A" w:rsidTr="00C01B11">
              <w:trPr>
                <w:trHeight w:val="294"/>
              </w:trPr>
              <w:tc>
                <w:tcPr>
                  <w:tcW w:w="3000" w:type="dxa"/>
                  <w:tcBorders>
                    <w:top w:val="nil"/>
                    <w:left w:val="single" w:sz="4" w:space="0" w:color="auto"/>
                    <w:bottom w:val="single" w:sz="4" w:space="0" w:color="auto"/>
                    <w:right w:val="single" w:sz="4" w:space="0" w:color="auto"/>
                  </w:tcBorders>
                  <w:shd w:val="clear" w:color="auto" w:fill="auto"/>
                  <w:hideMark/>
                </w:tcPr>
                <w:p w:rsidR="00AF075A" w:rsidRPr="004C711C" w:rsidRDefault="00AF075A" w:rsidP="00AF075A">
                  <w:pPr>
                    <w:jc w:val="both"/>
                    <w:rPr>
                      <w:color w:val="000000"/>
                      <w:sz w:val="22"/>
                      <w:szCs w:val="22"/>
                      <w:lang w:eastAsia="en-US"/>
                    </w:rPr>
                  </w:pPr>
                  <w:r w:rsidRPr="004C711C">
                    <w:rPr>
                      <w:color w:val="000000"/>
                      <w:sz w:val="22"/>
                      <w:szCs w:val="22"/>
                      <w:lang w:eastAsia="en-US"/>
                    </w:rPr>
                    <w:t>Projekta kopējās izmaksas (Baltijas valstis kopā)</w:t>
                  </w:r>
                </w:p>
              </w:tc>
              <w:tc>
                <w:tcPr>
                  <w:tcW w:w="764" w:type="dxa"/>
                  <w:tcBorders>
                    <w:top w:val="nil"/>
                    <w:left w:val="nil"/>
                    <w:bottom w:val="single" w:sz="4" w:space="0" w:color="auto"/>
                    <w:right w:val="single" w:sz="4" w:space="0" w:color="auto"/>
                  </w:tcBorders>
                  <w:shd w:val="clear" w:color="auto" w:fill="auto"/>
                  <w:noWrap/>
                  <w:vAlign w:val="bottom"/>
                  <w:hideMark/>
                </w:tcPr>
                <w:p w:rsidR="00AF075A" w:rsidRPr="0033076F" w:rsidRDefault="00AF075A" w:rsidP="00AF075A">
                  <w:pPr>
                    <w:rPr>
                      <w:color w:val="000000"/>
                      <w:sz w:val="22"/>
                      <w:szCs w:val="22"/>
                      <w:lang w:eastAsia="en-US"/>
                    </w:rPr>
                  </w:pPr>
                  <w:r w:rsidRPr="0033076F">
                    <w:rPr>
                      <w:color w:val="000000"/>
                      <w:sz w:val="22"/>
                      <w:szCs w:val="22"/>
                      <w:lang w:eastAsia="en-US"/>
                    </w:rPr>
                    <w:t> </w:t>
                  </w:r>
                </w:p>
              </w:tc>
              <w:tc>
                <w:tcPr>
                  <w:tcW w:w="1156" w:type="dxa"/>
                  <w:tcBorders>
                    <w:top w:val="nil"/>
                    <w:left w:val="nil"/>
                    <w:bottom w:val="single" w:sz="4" w:space="0" w:color="auto"/>
                    <w:right w:val="single" w:sz="4" w:space="0" w:color="auto"/>
                  </w:tcBorders>
                  <w:shd w:val="clear" w:color="auto" w:fill="auto"/>
                  <w:noWrap/>
                  <w:vAlign w:val="bottom"/>
                  <w:hideMark/>
                </w:tcPr>
                <w:p w:rsidR="00AF075A" w:rsidRPr="00AF075A" w:rsidRDefault="00AF075A" w:rsidP="00C70ABD">
                  <w:pPr>
                    <w:jc w:val="right"/>
                    <w:rPr>
                      <w:color w:val="000000"/>
                      <w:sz w:val="22"/>
                      <w:szCs w:val="22"/>
                      <w:lang w:val="en-US" w:eastAsia="en-US"/>
                    </w:rPr>
                  </w:pPr>
                  <w:r w:rsidRPr="00AF075A">
                    <w:rPr>
                      <w:color w:val="000000"/>
                      <w:sz w:val="22"/>
                      <w:szCs w:val="22"/>
                      <w:lang w:val="en-US" w:eastAsia="en-US"/>
                    </w:rPr>
                    <w:t>2</w:t>
                  </w:r>
                  <w:r w:rsidR="00C70ABD">
                    <w:rPr>
                      <w:color w:val="000000"/>
                      <w:sz w:val="22"/>
                      <w:szCs w:val="22"/>
                      <w:lang w:val="en-US" w:eastAsia="en-US"/>
                    </w:rPr>
                    <w:t> </w:t>
                  </w:r>
                  <w:r w:rsidRPr="00AF075A">
                    <w:rPr>
                      <w:color w:val="000000"/>
                      <w:sz w:val="22"/>
                      <w:szCs w:val="22"/>
                      <w:lang w:val="en-US" w:eastAsia="en-US"/>
                    </w:rPr>
                    <w:t>778</w:t>
                  </w:r>
                  <w:r w:rsidR="00C70ABD">
                    <w:rPr>
                      <w:color w:val="000000"/>
                      <w:sz w:val="22"/>
                      <w:szCs w:val="22"/>
                      <w:lang w:val="en-US" w:eastAsia="en-US"/>
                    </w:rPr>
                    <w:t> </w:t>
                  </w:r>
                  <w:r w:rsidRPr="00AF075A">
                    <w:rPr>
                      <w:color w:val="000000"/>
                      <w:sz w:val="22"/>
                      <w:szCs w:val="22"/>
                      <w:lang w:val="en-US" w:eastAsia="en-US"/>
                    </w:rPr>
                    <w:t>200</w:t>
                  </w:r>
                </w:p>
              </w:tc>
              <w:tc>
                <w:tcPr>
                  <w:tcW w:w="828" w:type="dxa"/>
                  <w:tcBorders>
                    <w:top w:val="nil"/>
                    <w:left w:val="nil"/>
                    <w:bottom w:val="single" w:sz="4" w:space="0" w:color="auto"/>
                    <w:right w:val="single" w:sz="4" w:space="0" w:color="auto"/>
                  </w:tcBorders>
                  <w:shd w:val="clear" w:color="auto" w:fill="auto"/>
                  <w:noWrap/>
                  <w:vAlign w:val="bottom"/>
                  <w:hideMark/>
                </w:tcPr>
                <w:p w:rsidR="00AF075A" w:rsidRPr="00AF075A" w:rsidRDefault="00AF075A" w:rsidP="00AF075A">
                  <w:pPr>
                    <w:rPr>
                      <w:color w:val="000000"/>
                      <w:sz w:val="22"/>
                      <w:szCs w:val="22"/>
                      <w:lang w:val="en-US" w:eastAsia="en-US"/>
                    </w:rPr>
                  </w:pPr>
                  <w:r w:rsidRPr="00AF075A">
                    <w:rPr>
                      <w:color w:val="000000"/>
                      <w:sz w:val="22"/>
                      <w:szCs w:val="22"/>
                      <w:lang w:val="en-US" w:eastAsia="en-US"/>
                    </w:rPr>
                    <w:t> </w:t>
                  </w:r>
                </w:p>
              </w:tc>
              <w:tc>
                <w:tcPr>
                  <w:tcW w:w="1092" w:type="dxa"/>
                  <w:tcBorders>
                    <w:top w:val="nil"/>
                    <w:left w:val="nil"/>
                    <w:bottom w:val="single" w:sz="4" w:space="0" w:color="auto"/>
                    <w:right w:val="single" w:sz="4" w:space="0" w:color="auto"/>
                  </w:tcBorders>
                  <w:shd w:val="clear" w:color="auto" w:fill="auto"/>
                  <w:noWrap/>
                  <w:vAlign w:val="bottom"/>
                  <w:hideMark/>
                </w:tcPr>
                <w:p w:rsidR="00AF075A" w:rsidRPr="00AF075A" w:rsidRDefault="00AF075A" w:rsidP="00C70ABD">
                  <w:pPr>
                    <w:ind w:hanging="108"/>
                    <w:jc w:val="right"/>
                    <w:rPr>
                      <w:color w:val="000000"/>
                      <w:sz w:val="22"/>
                      <w:szCs w:val="22"/>
                      <w:lang w:val="en-US" w:eastAsia="en-US"/>
                    </w:rPr>
                  </w:pPr>
                  <w:r w:rsidRPr="00AF075A">
                    <w:rPr>
                      <w:color w:val="000000"/>
                      <w:sz w:val="22"/>
                      <w:szCs w:val="22"/>
                      <w:lang w:val="en-US" w:eastAsia="en-US"/>
                    </w:rPr>
                    <w:t>2</w:t>
                  </w:r>
                  <w:r w:rsidR="00C70ABD">
                    <w:rPr>
                      <w:color w:val="000000"/>
                      <w:sz w:val="22"/>
                      <w:szCs w:val="22"/>
                      <w:lang w:val="en-US" w:eastAsia="en-US"/>
                    </w:rPr>
                    <w:t> </w:t>
                  </w:r>
                  <w:r w:rsidRPr="00AF075A">
                    <w:rPr>
                      <w:color w:val="000000"/>
                      <w:sz w:val="22"/>
                      <w:szCs w:val="22"/>
                      <w:lang w:val="en-US" w:eastAsia="en-US"/>
                    </w:rPr>
                    <w:t>778</w:t>
                  </w:r>
                  <w:r w:rsidR="00C70ABD">
                    <w:rPr>
                      <w:color w:val="000000"/>
                      <w:sz w:val="22"/>
                      <w:szCs w:val="22"/>
                      <w:lang w:val="en-US" w:eastAsia="en-US"/>
                    </w:rPr>
                    <w:t> </w:t>
                  </w:r>
                  <w:r w:rsidRPr="00AF075A">
                    <w:rPr>
                      <w:color w:val="000000"/>
                      <w:sz w:val="22"/>
                      <w:szCs w:val="22"/>
                      <w:lang w:val="en-US" w:eastAsia="en-US"/>
                    </w:rPr>
                    <w:t>200</w:t>
                  </w:r>
                </w:p>
              </w:tc>
            </w:tr>
            <w:tr w:rsidR="00AF075A" w:rsidRPr="00AF075A" w:rsidTr="00C01B11">
              <w:trPr>
                <w:trHeight w:val="388"/>
              </w:trPr>
              <w:tc>
                <w:tcPr>
                  <w:tcW w:w="3000" w:type="dxa"/>
                  <w:tcBorders>
                    <w:top w:val="nil"/>
                    <w:left w:val="single" w:sz="4" w:space="0" w:color="auto"/>
                    <w:bottom w:val="single" w:sz="4" w:space="0" w:color="auto"/>
                    <w:right w:val="single" w:sz="4" w:space="0" w:color="auto"/>
                  </w:tcBorders>
                  <w:shd w:val="clear" w:color="auto" w:fill="auto"/>
                  <w:hideMark/>
                </w:tcPr>
                <w:p w:rsidR="00AF075A" w:rsidRPr="004C711C" w:rsidRDefault="00AF075A" w:rsidP="00AF075A">
                  <w:pPr>
                    <w:jc w:val="both"/>
                    <w:rPr>
                      <w:color w:val="000000"/>
                      <w:sz w:val="22"/>
                      <w:szCs w:val="22"/>
                      <w:lang w:eastAsia="en-US"/>
                    </w:rPr>
                  </w:pPr>
                  <w:r w:rsidRPr="004C711C">
                    <w:rPr>
                      <w:color w:val="000000"/>
                      <w:sz w:val="22"/>
                      <w:szCs w:val="22"/>
                      <w:lang w:eastAsia="en-US"/>
                    </w:rPr>
                    <w:t>Projekta kopējās izmaksas (Latvija 36,6</w:t>
                  </w:r>
                  <w:r w:rsidR="00EE4159">
                    <w:rPr>
                      <w:color w:val="000000"/>
                      <w:sz w:val="22"/>
                      <w:szCs w:val="22"/>
                      <w:lang w:eastAsia="en-US"/>
                    </w:rPr>
                    <w:t> </w:t>
                  </w:r>
                  <w:r w:rsidRPr="004C711C">
                    <w:rPr>
                      <w:color w:val="000000"/>
                      <w:sz w:val="22"/>
                      <w:szCs w:val="22"/>
                      <w:lang w:eastAsia="en-US"/>
                    </w:rPr>
                    <w:t>%)</w:t>
                  </w:r>
                </w:p>
              </w:tc>
              <w:tc>
                <w:tcPr>
                  <w:tcW w:w="764" w:type="dxa"/>
                  <w:tcBorders>
                    <w:top w:val="nil"/>
                    <w:left w:val="nil"/>
                    <w:bottom w:val="single" w:sz="4" w:space="0" w:color="auto"/>
                    <w:right w:val="single" w:sz="4" w:space="0" w:color="auto"/>
                  </w:tcBorders>
                  <w:shd w:val="clear" w:color="auto" w:fill="auto"/>
                  <w:noWrap/>
                  <w:vAlign w:val="bottom"/>
                  <w:hideMark/>
                </w:tcPr>
                <w:p w:rsidR="00AF075A" w:rsidRPr="00AF075A" w:rsidRDefault="00AF075A" w:rsidP="00AF075A">
                  <w:pPr>
                    <w:rPr>
                      <w:color w:val="000000"/>
                      <w:sz w:val="22"/>
                      <w:szCs w:val="22"/>
                      <w:lang w:val="en-US" w:eastAsia="en-US"/>
                    </w:rPr>
                  </w:pPr>
                  <w:r w:rsidRPr="00AF075A">
                    <w:rPr>
                      <w:color w:val="000000"/>
                      <w:sz w:val="22"/>
                      <w:szCs w:val="22"/>
                      <w:lang w:val="en-US" w:eastAsia="en-US"/>
                    </w:rPr>
                    <w:t> </w:t>
                  </w:r>
                </w:p>
              </w:tc>
              <w:tc>
                <w:tcPr>
                  <w:tcW w:w="1156" w:type="dxa"/>
                  <w:tcBorders>
                    <w:top w:val="nil"/>
                    <w:left w:val="nil"/>
                    <w:bottom w:val="single" w:sz="4" w:space="0" w:color="auto"/>
                    <w:right w:val="single" w:sz="4" w:space="0" w:color="auto"/>
                  </w:tcBorders>
                  <w:shd w:val="clear" w:color="auto" w:fill="auto"/>
                  <w:noWrap/>
                  <w:vAlign w:val="bottom"/>
                  <w:hideMark/>
                </w:tcPr>
                <w:p w:rsidR="00AF075A" w:rsidRPr="00AF075A" w:rsidRDefault="00AF075A" w:rsidP="00C70ABD">
                  <w:pPr>
                    <w:jc w:val="right"/>
                    <w:rPr>
                      <w:color w:val="000000"/>
                      <w:sz w:val="22"/>
                      <w:szCs w:val="22"/>
                      <w:lang w:val="en-US" w:eastAsia="en-US"/>
                    </w:rPr>
                  </w:pPr>
                  <w:r w:rsidRPr="00AF075A">
                    <w:rPr>
                      <w:color w:val="000000"/>
                      <w:sz w:val="22"/>
                      <w:szCs w:val="22"/>
                      <w:lang w:val="en-US" w:eastAsia="en-US"/>
                    </w:rPr>
                    <w:t>1</w:t>
                  </w:r>
                  <w:r w:rsidR="00C70ABD">
                    <w:rPr>
                      <w:color w:val="000000"/>
                      <w:sz w:val="22"/>
                      <w:szCs w:val="22"/>
                      <w:lang w:val="en-US" w:eastAsia="en-US"/>
                    </w:rPr>
                    <w:t> </w:t>
                  </w:r>
                  <w:r w:rsidRPr="00AF075A">
                    <w:rPr>
                      <w:color w:val="000000"/>
                      <w:sz w:val="22"/>
                      <w:szCs w:val="22"/>
                      <w:lang w:val="en-US" w:eastAsia="en-US"/>
                    </w:rPr>
                    <w:t>016</w:t>
                  </w:r>
                  <w:r w:rsidR="00C70ABD">
                    <w:rPr>
                      <w:color w:val="000000"/>
                      <w:sz w:val="22"/>
                      <w:szCs w:val="22"/>
                      <w:lang w:val="en-US" w:eastAsia="en-US"/>
                    </w:rPr>
                    <w:t> </w:t>
                  </w:r>
                  <w:r w:rsidRPr="00AF075A">
                    <w:rPr>
                      <w:color w:val="000000"/>
                      <w:sz w:val="22"/>
                      <w:szCs w:val="22"/>
                      <w:lang w:val="en-US" w:eastAsia="en-US"/>
                    </w:rPr>
                    <w:t>200</w:t>
                  </w:r>
                </w:p>
              </w:tc>
              <w:tc>
                <w:tcPr>
                  <w:tcW w:w="828" w:type="dxa"/>
                  <w:tcBorders>
                    <w:top w:val="nil"/>
                    <w:left w:val="nil"/>
                    <w:bottom w:val="single" w:sz="4" w:space="0" w:color="auto"/>
                    <w:right w:val="single" w:sz="4" w:space="0" w:color="auto"/>
                  </w:tcBorders>
                  <w:shd w:val="clear" w:color="auto" w:fill="auto"/>
                  <w:noWrap/>
                  <w:vAlign w:val="bottom"/>
                  <w:hideMark/>
                </w:tcPr>
                <w:p w:rsidR="00AF075A" w:rsidRPr="00AF075A" w:rsidRDefault="00AF075A" w:rsidP="00AF075A">
                  <w:pPr>
                    <w:rPr>
                      <w:color w:val="000000"/>
                      <w:sz w:val="22"/>
                      <w:szCs w:val="22"/>
                      <w:lang w:val="en-US" w:eastAsia="en-US"/>
                    </w:rPr>
                  </w:pPr>
                  <w:r w:rsidRPr="00AF075A">
                    <w:rPr>
                      <w:color w:val="000000"/>
                      <w:sz w:val="22"/>
                      <w:szCs w:val="22"/>
                      <w:lang w:val="en-US" w:eastAsia="en-US"/>
                    </w:rPr>
                    <w:t> </w:t>
                  </w:r>
                </w:p>
              </w:tc>
              <w:tc>
                <w:tcPr>
                  <w:tcW w:w="1092" w:type="dxa"/>
                  <w:tcBorders>
                    <w:top w:val="nil"/>
                    <w:left w:val="nil"/>
                    <w:bottom w:val="single" w:sz="4" w:space="0" w:color="auto"/>
                    <w:right w:val="single" w:sz="4" w:space="0" w:color="auto"/>
                  </w:tcBorders>
                  <w:shd w:val="clear" w:color="auto" w:fill="auto"/>
                  <w:noWrap/>
                  <w:vAlign w:val="bottom"/>
                  <w:hideMark/>
                </w:tcPr>
                <w:p w:rsidR="00AF075A" w:rsidRPr="00AF075A" w:rsidRDefault="00AF075A" w:rsidP="00C70ABD">
                  <w:pPr>
                    <w:ind w:hanging="108"/>
                    <w:jc w:val="right"/>
                    <w:rPr>
                      <w:color w:val="000000"/>
                      <w:sz w:val="22"/>
                      <w:szCs w:val="22"/>
                      <w:lang w:val="en-US" w:eastAsia="en-US"/>
                    </w:rPr>
                  </w:pPr>
                  <w:r w:rsidRPr="00AF075A">
                    <w:rPr>
                      <w:color w:val="000000"/>
                      <w:sz w:val="22"/>
                      <w:szCs w:val="22"/>
                      <w:lang w:val="en-US" w:eastAsia="en-US"/>
                    </w:rPr>
                    <w:t>1</w:t>
                  </w:r>
                  <w:r w:rsidR="00C70ABD">
                    <w:rPr>
                      <w:color w:val="000000"/>
                      <w:sz w:val="22"/>
                      <w:szCs w:val="22"/>
                      <w:lang w:val="en-US" w:eastAsia="en-US"/>
                    </w:rPr>
                    <w:t> </w:t>
                  </w:r>
                  <w:r w:rsidRPr="00AF075A">
                    <w:rPr>
                      <w:color w:val="000000"/>
                      <w:sz w:val="22"/>
                      <w:szCs w:val="22"/>
                      <w:lang w:val="en-US" w:eastAsia="en-US"/>
                    </w:rPr>
                    <w:t>016</w:t>
                  </w:r>
                  <w:r w:rsidR="00C70ABD">
                    <w:rPr>
                      <w:color w:val="000000"/>
                      <w:sz w:val="22"/>
                      <w:szCs w:val="22"/>
                      <w:lang w:val="en-US" w:eastAsia="en-US"/>
                    </w:rPr>
                    <w:t> </w:t>
                  </w:r>
                  <w:r w:rsidRPr="00AF075A">
                    <w:rPr>
                      <w:color w:val="000000"/>
                      <w:sz w:val="22"/>
                      <w:szCs w:val="22"/>
                      <w:lang w:val="en-US" w:eastAsia="en-US"/>
                    </w:rPr>
                    <w:t>200</w:t>
                  </w:r>
                </w:p>
              </w:tc>
            </w:tr>
            <w:tr w:rsidR="00AF075A" w:rsidRPr="00AF075A" w:rsidTr="0033076F">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AF075A" w:rsidRPr="004C711C" w:rsidRDefault="00AF075A" w:rsidP="00AF075A">
                  <w:pPr>
                    <w:rPr>
                      <w:color w:val="000000"/>
                      <w:sz w:val="22"/>
                      <w:szCs w:val="22"/>
                      <w:lang w:eastAsia="en-US"/>
                    </w:rPr>
                  </w:pPr>
                  <w:r w:rsidRPr="004C711C">
                    <w:rPr>
                      <w:color w:val="000000"/>
                      <w:sz w:val="22"/>
                      <w:szCs w:val="22"/>
                      <w:lang w:eastAsia="en-US"/>
                    </w:rPr>
                    <w:t>EK finansējums 80</w:t>
                  </w:r>
                  <w:r w:rsidR="00EE4159">
                    <w:rPr>
                      <w:color w:val="000000"/>
                      <w:sz w:val="22"/>
                      <w:szCs w:val="22"/>
                      <w:lang w:eastAsia="en-US"/>
                    </w:rPr>
                    <w:t> </w:t>
                  </w:r>
                  <w:r w:rsidRPr="004C711C">
                    <w:rPr>
                      <w:color w:val="000000"/>
                      <w:sz w:val="22"/>
                      <w:szCs w:val="22"/>
                      <w:lang w:eastAsia="en-US"/>
                    </w:rPr>
                    <w:t>%</w:t>
                  </w:r>
                </w:p>
              </w:tc>
              <w:tc>
                <w:tcPr>
                  <w:tcW w:w="764" w:type="dxa"/>
                  <w:tcBorders>
                    <w:top w:val="nil"/>
                    <w:left w:val="nil"/>
                    <w:bottom w:val="single" w:sz="4" w:space="0" w:color="auto"/>
                    <w:right w:val="single" w:sz="4" w:space="0" w:color="auto"/>
                  </w:tcBorders>
                  <w:shd w:val="clear" w:color="auto" w:fill="auto"/>
                  <w:noWrap/>
                  <w:vAlign w:val="bottom"/>
                  <w:hideMark/>
                </w:tcPr>
                <w:p w:rsidR="00AF075A" w:rsidRPr="00AF075A" w:rsidRDefault="00AF075A" w:rsidP="00AF075A">
                  <w:pPr>
                    <w:jc w:val="right"/>
                    <w:rPr>
                      <w:color w:val="000000"/>
                      <w:sz w:val="22"/>
                      <w:szCs w:val="22"/>
                      <w:lang w:val="en-US" w:eastAsia="en-US"/>
                    </w:rPr>
                  </w:pPr>
                  <w:r w:rsidRPr="00AF075A">
                    <w:rPr>
                      <w:color w:val="000000"/>
                      <w:sz w:val="22"/>
                      <w:szCs w:val="22"/>
                      <w:lang w:val="en-US" w:eastAsia="en-US"/>
                    </w:rPr>
                    <w:t>0</w:t>
                  </w:r>
                </w:p>
              </w:tc>
              <w:tc>
                <w:tcPr>
                  <w:tcW w:w="1156" w:type="dxa"/>
                  <w:tcBorders>
                    <w:top w:val="nil"/>
                    <w:left w:val="nil"/>
                    <w:bottom w:val="single" w:sz="4" w:space="0" w:color="auto"/>
                    <w:right w:val="single" w:sz="4" w:space="0" w:color="auto"/>
                  </w:tcBorders>
                  <w:shd w:val="clear" w:color="auto" w:fill="auto"/>
                  <w:noWrap/>
                  <w:vAlign w:val="bottom"/>
                  <w:hideMark/>
                </w:tcPr>
                <w:p w:rsidR="00AF075A" w:rsidRPr="00AF075A" w:rsidRDefault="00AF075A" w:rsidP="00C70ABD">
                  <w:pPr>
                    <w:jc w:val="right"/>
                    <w:rPr>
                      <w:color w:val="000000"/>
                      <w:sz w:val="22"/>
                      <w:szCs w:val="22"/>
                      <w:lang w:val="en-US" w:eastAsia="en-US"/>
                    </w:rPr>
                  </w:pPr>
                  <w:r w:rsidRPr="00AF075A">
                    <w:rPr>
                      <w:color w:val="000000"/>
                      <w:sz w:val="22"/>
                      <w:szCs w:val="22"/>
                      <w:lang w:val="en-US" w:eastAsia="en-US"/>
                    </w:rPr>
                    <w:t>812</w:t>
                  </w:r>
                  <w:r w:rsidR="00C70ABD">
                    <w:rPr>
                      <w:color w:val="000000"/>
                      <w:sz w:val="22"/>
                      <w:szCs w:val="22"/>
                      <w:lang w:val="en-US" w:eastAsia="en-US"/>
                    </w:rPr>
                    <w:t> </w:t>
                  </w:r>
                  <w:r w:rsidRPr="00AF075A">
                    <w:rPr>
                      <w:color w:val="000000"/>
                      <w:sz w:val="22"/>
                      <w:szCs w:val="22"/>
                      <w:lang w:val="en-US" w:eastAsia="en-US"/>
                    </w:rPr>
                    <w:t>960</w:t>
                  </w:r>
                </w:p>
              </w:tc>
              <w:tc>
                <w:tcPr>
                  <w:tcW w:w="828" w:type="dxa"/>
                  <w:tcBorders>
                    <w:top w:val="nil"/>
                    <w:left w:val="nil"/>
                    <w:bottom w:val="single" w:sz="4" w:space="0" w:color="auto"/>
                    <w:right w:val="single" w:sz="4" w:space="0" w:color="auto"/>
                  </w:tcBorders>
                  <w:shd w:val="clear" w:color="auto" w:fill="auto"/>
                  <w:noWrap/>
                  <w:vAlign w:val="bottom"/>
                  <w:hideMark/>
                </w:tcPr>
                <w:p w:rsidR="00AF075A" w:rsidRPr="00AF075A" w:rsidRDefault="00AF075A" w:rsidP="00AF075A">
                  <w:pPr>
                    <w:rPr>
                      <w:color w:val="000000"/>
                      <w:sz w:val="22"/>
                      <w:szCs w:val="22"/>
                      <w:lang w:val="en-US" w:eastAsia="en-US"/>
                    </w:rPr>
                  </w:pPr>
                  <w:r w:rsidRPr="00AF075A">
                    <w:rPr>
                      <w:color w:val="000000"/>
                      <w:sz w:val="22"/>
                      <w:szCs w:val="22"/>
                      <w:lang w:val="en-US" w:eastAsia="en-US"/>
                    </w:rPr>
                    <w:t> </w:t>
                  </w:r>
                </w:p>
              </w:tc>
              <w:tc>
                <w:tcPr>
                  <w:tcW w:w="1092" w:type="dxa"/>
                  <w:tcBorders>
                    <w:top w:val="nil"/>
                    <w:left w:val="nil"/>
                    <w:bottom w:val="single" w:sz="4" w:space="0" w:color="auto"/>
                    <w:right w:val="single" w:sz="4" w:space="0" w:color="auto"/>
                  </w:tcBorders>
                  <w:shd w:val="clear" w:color="auto" w:fill="auto"/>
                  <w:noWrap/>
                  <w:vAlign w:val="bottom"/>
                  <w:hideMark/>
                </w:tcPr>
                <w:p w:rsidR="00AF075A" w:rsidRPr="00AF075A" w:rsidRDefault="00AF075A" w:rsidP="00C70ABD">
                  <w:pPr>
                    <w:jc w:val="right"/>
                    <w:rPr>
                      <w:color w:val="000000"/>
                      <w:sz w:val="22"/>
                      <w:szCs w:val="22"/>
                      <w:lang w:val="en-US" w:eastAsia="en-US"/>
                    </w:rPr>
                  </w:pPr>
                  <w:r w:rsidRPr="00AF075A">
                    <w:rPr>
                      <w:color w:val="000000"/>
                      <w:sz w:val="22"/>
                      <w:szCs w:val="22"/>
                      <w:lang w:val="en-US" w:eastAsia="en-US"/>
                    </w:rPr>
                    <w:t>812</w:t>
                  </w:r>
                  <w:r w:rsidR="00C70ABD">
                    <w:rPr>
                      <w:color w:val="000000"/>
                      <w:sz w:val="22"/>
                      <w:szCs w:val="22"/>
                      <w:lang w:val="en-US" w:eastAsia="en-US"/>
                    </w:rPr>
                    <w:t> </w:t>
                  </w:r>
                  <w:r w:rsidRPr="00AF075A">
                    <w:rPr>
                      <w:color w:val="000000"/>
                      <w:sz w:val="22"/>
                      <w:szCs w:val="22"/>
                      <w:lang w:val="en-US" w:eastAsia="en-US"/>
                    </w:rPr>
                    <w:t>960</w:t>
                  </w:r>
                </w:p>
              </w:tc>
            </w:tr>
            <w:tr w:rsidR="00AF075A" w:rsidRPr="00AF075A" w:rsidTr="00C01B11">
              <w:trPr>
                <w:trHeight w:val="472"/>
              </w:trPr>
              <w:tc>
                <w:tcPr>
                  <w:tcW w:w="3000" w:type="dxa"/>
                  <w:tcBorders>
                    <w:top w:val="nil"/>
                    <w:left w:val="single" w:sz="4" w:space="0" w:color="auto"/>
                    <w:bottom w:val="single" w:sz="4" w:space="0" w:color="auto"/>
                    <w:right w:val="single" w:sz="4" w:space="0" w:color="auto"/>
                  </w:tcBorders>
                  <w:shd w:val="clear" w:color="auto" w:fill="auto"/>
                  <w:hideMark/>
                </w:tcPr>
                <w:p w:rsidR="00AF075A" w:rsidRPr="004C711C" w:rsidRDefault="00AF075A" w:rsidP="00AF075A">
                  <w:pPr>
                    <w:jc w:val="both"/>
                    <w:rPr>
                      <w:color w:val="000000"/>
                      <w:sz w:val="22"/>
                      <w:szCs w:val="22"/>
                      <w:lang w:eastAsia="en-US"/>
                    </w:rPr>
                  </w:pPr>
                  <w:r w:rsidRPr="004C711C">
                    <w:rPr>
                      <w:color w:val="000000"/>
                      <w:sz w:val="22"/>
                      <w:szCs w:val="22"/>
                      <w:lang w:eastAsia="en-US"/>
                    </w:rPr>
                    <w:t>EK finansējums (avansa maksājuma daļa 50</w:t>
                  </w:r>
                  <w:r w:rsidR="00EE4159">
                    <w:rPr>
                      <w:color w:val="000000"/>
                      <w:sz w:val="22"/>
                      <w:szCs w:val="22"/>
                      <w:lang w:eastAsia="en-US"/>
                    </w:rPr>
                    <w:t> </w:t>
                  </w:r>
                  <w:r w:rsidRPr="004C711C">
                    <w:rPr>
                      <w:color w:val="000000"/>
                      <w:sz w:val="22"/>
                      <w:szCs w:val="22"/>
                      <w:lang w:eastAsia="en-US"/>
                    </w:rPr>
                    <w:t>% apmērā)</w:t>
                  </w:r>
                </w:p>
              </w:tc>
              <w:tc>
                <w:tcPr>
                  <w:tcW w:w="764" w:type="dxa"/>
                  <w:tcBorders>
                    <w:top w:val="nil"/>
                    <w:left w:val="nil"/>
                    <w:bottom w:val="single" w:sz="4" w:space="0" w:color="auto"/>
                    <w:right w:val="single" w:sz="4" w:space="0" w:color="auto"/>
                  </w:tcBorders>
                  <w:shd w:val="clear" w:color="auto" w:fill="auto"/>
                  <w:noWrap/>
                  <w:vAlign w:val="bottom"/>
                  <w:hideMark/>
                </w:tcPr>
                <w:p w:rsidR="00AF075A" w:rsidRPr="00AF075A" w:rsidRDefault="00AF075A" w:rsidP="00AF075A">
                  <w:pPr>
                    <w:jc w:val="right"/>
                    <w:rPr>
                      <w:color w:val="000000"/>
                      <w:sz w:val="22"/>
                      <w:szCs w:val="22"/>
                      <w:lang w:val="en-US" w:eastAsia="en-US"/>
                    </w:rPr>
                  </w:pPr>
                  <w:r w:rsidRPr="00AF075A">
                    <w:rPr>
                      <w:color w:val="000000"/>
                      <w:sz w:val="22"/>
                      <w:szCs w:val="22"/>
                      <w:lang w:val="en-US" w:eastAsia="en-US"/>
                    </w:rPr>
                    <w:t>0</w:t>
                  </w:r>
                </w:p>
              </w:tc>
              <w:tc>
                <w:tcPr>
                  <w:tcW w:w="1156" w:type="dxa"/>
                  <w:tcBorders>
                    <w:top w:val="nil"/>
                    <w:left w:val="nil"/>
                    <w:bottom w:val="single" w:sz="4" w:space="0" w:color="auto"/>
                    <w:right w:val="single" w:sz="4" w:space="0" w:color="auto"/>
                  </w:tcBorders>
                  <w:shd w:val="clear" w:color="auto" w:fill="auto"/>
                  <w:noWrap/>
                  <w:vAlign w:val="bottom"/>
                  <w:hideMark/>
                </w:tcPr>
                <w:p w:rsidR="00AF075A" w:rsidRPr="00AF075A" w:rsidRDefault="007F7DDB" w:rsidP="00AF075A">
                  <w:pPr>
                    <w:jc w:val="right"/>
                    <w:rPr>
                      <w:color w:val="000000"/>
                      <w:sz w:val="22"/>
                      <w:szCs w:val="22"/>
                      <w:lang w:val="en-US" w:eastAsia="en-US"/>
                    </w:rPr>
                  </w:pPr>
                  <w:r>
                    <w:rPr>
                      <w:color w:val="000000"/>
                      <w:sz w:val="22"/>
                      <w:szCs w:val="22"/>
                      <w:lang w:val="en-US" w:eastAsia="en-US"/>
                    </w:rPr>
                    <w:t>0</w:t>
                  </w:r>
                </w:p>
              </w:tc>
              <w:tc>
                <w:tcPr>
                  <w:tcW w:w="828" w:type="dxa"/>
                  <w:tcBorders>
                    <w:top w:val="nil"/>
                    <w:left w:val="nil"/>
                    <w:bottom w:val="single" w:sz="4" w:space="0" w:color="auto"/>
                    <w:right w:val="single" w:sz="4" w:space="0" w:color="auto"/>
                  </w:tcBorders>
                  <w:shd w:val="clear" w:color="auto" w:fill="auto"/>
                  <w:noWrap/>
                  <w:vAlign w:val="bottom"/>
                  <w:hideMark/>
                </w:tcPr>
                <w:p w:rsidR="00AF075A" w:rsidRPr="00AF075A" w:rsidRDefault="00AF075A" w:rsidP="00AF075A">
                  <w:pPr>
                    <w:rPr>
                      <w:color w:val="000000"/>
                      <w:sz w:val="22"/>
                      <w:szCs w:val="22"/>
                      <w:lang w:val="en-US" w:eastAsia="en-US"/>
                    </w:rPr>
                  </w:pPr>
                  <w:r w:rsidRPr="00AF075A">
                    <w:rPr>
                      <w:color w:val="000000"/>
                      <w:sz w:val="22"/>
                      <w:szCs w:val="22"/>
                      <w:lang w:val="en-US" w:eastAsia="en-US"/>
                    </w:rPr>
                    <w:t> </w:t>
                  </w:r>
                </w:p>
              </w:tc>
              <w:tc>
                <w:tcPr>
                  <w:tcW w:w="1092" w:type="dxa"/>
                  <w:tcBorders>
                    <w:top w:val="nil"/>
                    <w:left w:val="nil"/>
                    <w:bottom w:val="single" w:sz="4" w:space="0" w:color="auto"/>
                    <w:right w:val="single" w:sz="4" w:space="0" w:color="auto"/>
                  </w:tcBorders>
                  <w:shd w:val="clear" w:color="auto" w:fill="auto"/>
                  <w:noWrap/>
                  <w:vAlign w:val="bottom"/>
                  <w:hideMark/>
                </w:tcPr>
                <w:p w:rsidR="00AF075A" w:rsidRPr="00AF075A" w:rsidRDefault="007F7DDB" w:rsidP="00AF075A">
                  <w:pPr>
                    <w:jc w:val="right"/>
                    <w:rPr>
                      <w:color w:val="000000"/>
                      <w:sz w:val="22"/>
                      <w:szCs w:val="22"/>
                      <w:lang w:val="en-US" w:eastAsia="en-US"/>
                    </w:rPr>
                  </w:pPr>
                  <w:r>
                    <w:rPr>
                      <w:color w:val="000000"/>
                      <w:sz w:val="22"/>
                      <w:szCs w:val="22"/>
                      <w:lang w:val="en-US" w:eastAsia="en-US"/>
                    </w:rPr>
                    <w:t>0</w:t>
                  </w:r>
                </w:p>
              </w:tc>
            </w:tr>
            <w:tr w:rsidR="00AF075A" w:rsidRPr="00AF075A" w:rsidTr="00C01B11">
              <w:trPr>
                <w:trHeight w:val="566"/>
              </w:trPr>
              <w:tc>
                <w:tcPr>
                  <w:tcW w:w="3000" w:type="dxa"/>
                  <w:tcBorders>
                    <w:top w:val="nil"/>
                    <w:left w:val="single" w:sz="4" w:space="0" w:color="auto"/>
                    <w:bottom w:val="single" w:sz="4" w:space="0" w:color="auto"/>
                    <w:right w:val="single" w:sz="4" w:space="0" w:color="auto"/>
                  </w:tcBorders>
                  <w:shd w:val="clear" w:color="auto" w:fill="auto"/>
                  <w:hideMark/>
                </w:tcPr>
                <w:p w:rsidR="00AF075A" w:rsidRPr="004C711C" w:rsidRDefault="00AF075A" w:rsidP="00AF075A">
                  <w:pPr>
                    <w:jc w:val="both"/>
                    <w:rPr>
                      <w:color w:val="000000"/>
                      <w:sz w:val="22"/>
                      <w:szCs w:val="22"/>
                      <w:lang w:eastAsia="en-US"/>
                    </w:rPr>
                  </w:pPr>
                  <w:r w:rsidRPr="004C711C">
                    <w:rPr>
                      <w:color w:val="000000"/>
                      <w:sz w:val="22"/>
                      <w:szCs w:val="22"/>
                      <w:lang w:eastAsia="en-US"/>
                    </w:rPr>
                    <w:t>Valsts budžeta līdzfinansējums 20</w:t>
                  </w:r>
                  <w:r w:rsidR="00EE4159">
                    <w:rPr>
                      <w:color w:val="000000"/>
                      <w:sz w:val="22"/>
                      <w:szCs w:val="22"/>
                      <w:lang w:eastAsia="en-US"/>
                    </w:rPr>
                    <w:t> </w:t>
                  </w:r>
                  <w:r w:rsidRPr="004C711C">
                    <w:rPr>
                      <w:color w:val="000000"/>
                      <w:sz w:val="22"/>
                      <w:szCs w:val="22"/>
                      <w:lang w:eastAsia="en-US"/>
                    </w:rPr>
                    <w:t>% apmērā no projekta finansējuma</w:t>
                  </w:r>
                </w:p>
              </w:tc>
              <w:tc>
                <w:tcPr>
                  <w:tcW w:w="764" w:type="dxa"/>
                  <w:tcBorders>
                    <w:top w:val="nil"/>
                    <w:left w:val="nil"/>
                    <w:bottom w:val="single" w:sz="4" w:space="0" w:color="auto"/>
                    <w:right w:val="single" w:sz="4" w:space="0" w:color="auto"/>
                  </w:tcBorders>
                  <w:shd w:val="clear" w:color="auto" w:fill="auto"/>
                  <w:noWrap/>
                  <w:vAlign w:val="bottom"/>
                  <w:hideMark/>
                </w:tcPr>
                <w:p w:rsidR="00AF075A" w:rsidRPr="00AF075A" w:rsidRDefault="00AF075A" w:rsidP="00AF075A">
                  <w:pPr>
                    <w:jc w:val="right"/>
                    <w:rPr>
                      <w:color w:val="000000"/>
                      <w:sz w:val="22"/>
                      <w:szCs w:val="22"/>
                      <w:lang w:val="en-US" w:eastAsia="en-US"/>
                    </w:rPr>
                  </w:pPr>
                  <w:r w:rsidRPr="00AF075A">
                    <w:rPr>
                      <w:color w:val="000000"/>
                      <w:sz w:val="22"/>
                      <w:szCs w:val="22"/>
                      <w:lang w:val="en-US" w:eastAsia="en-US"/>
                    </w:rPr>
                    <w:t>0</w:t>
                  </w:r>
                </w:p>
              </w:tc>
              <w:tc>
                <w:tcPr>
                  <w:tcW w:w="1156" w:type="dxa"/>
                  <w:tcBorders>
                    <w:top w:val="nil"/>
                    <w:left w:val="nil"/>
                    <w:bottom w:val="single" w:sz="4" w:space="0" w:color="auto"/>
                    <w:right w:val="single" w:sz="4" w:space="0" w:color="auto"/>
                  </w:tcBorders>
                  <w:shd w:val="clear" w:color="auto" w:fill="auto"/>
                  <w:noWrap/>
                  <w:vAlign w:val="bottom"/>
                  <w:hideMark/>
                </w:tcPr>
                <w:p w:rsidR="00AF075A" w:rsidRPr="00AF075A" w:rsidRDefault="00AF075A" w:rsidP="00C70ABD">
                  <w:pPr>
                    <w:jc w:val="right"/>
                    <w:rPr>
                      <w:color w:val="000000"/>
                      <w:sz w:val="22"/>
                      <w:szCs w:val="22"/>
                      <w:lang w:val="en-US" w:eastAsia="en-US"/>
                    </w:rPr>
                  </w:pPr>
                  <w:r w:rsidRPr="00AF075A">
                    <w:rPr>
                      <w:color w:val="000000"/>
                      <w:sz w:val="22"/>
                      <w:szCs w:val="22"/>
                      <w:lang w:val="en-US" w:eastAsia="en-US"/>
                    </w:rPr>
                    <w:t>203</w:t>
                  </w:r>
                  <w:r w:rsidR="00C70ABD">
                    <w:rPr>
                      <w:color w:val="000000"/>
                      <w:sz w:val="22"/>
                      <w:szCs w:val="22"/>
                      <w:lang w:val="en-US" w:eastAsia="en-US"/>
                    </w:rPr>
                    <w:t> </w:t>
                  </w:r>
                  <w:r w:rsidRPr="00AF075A">
                    <w:rPr>
                      <w:color w:val="000000"/>
                      <w:sz w:val="22"/>
                      <w:szCs w:val="22"/>
                      <w:lang w:val="en-US" w:eastAsia="en-US"/>
                    </w:rPr>
                    <w:t>240</w:t>
                  </w:r>
                </w:p>
              </w:tc>
              <w:tc>
                <w:tcPr>
                  <w:tcW w:w="828" w:type="dxa"/>
                  <w:tcBorders>
                    <w:top w:val="nil"/>
                    <w:left w:val="nil"/>
                    <w:bottom w:val="single" w:sz="4" w:space="0" w:color="auto"/>
                    <w:right w:val="single" w:sz="4" w:space="0" w:color="auto"/>
                  </w:tcBorders>
                  <w:shd w:val="clear" w:color="auto" w:fill="auto"/>
                  <w:noWrap/>
                  <w:vAlign w:val="bottom"/>
                  <w:hideMark/>
                </w:tcPr>
                <w:p w:rsidR="00AF075A" w:rsidRPr="00AF075A" w:rsidRDefault="00AF075A" w:rsidP="00AF075A">
                  <w:pPr>
                    <w:rPr>
                      <w:color w:val="000000"/>
                      <w:sz w:val="22"/>
                      <w:szCs w:val="22"/>
                      <w:lang w:val="en-US" w:eastAsia="en-US"/>
                    </w:rPr>
                  </w:pPr>
                  <w:r w:rsidRPr="00AF075A">
                    <w:rPr>
                      <w:color w:val="000000"/>
                      <w:sz w:val="22"/>
                      <w:szCs w:val="22"/>
                      <w:lang w:val="en-US" w:eastAsia="en-US"/>
                    </w:rPr>
                    <w:t> </w:t>
                  </w:r>
                </w:p>
              </w:tc>
              <w:tc>
                <w:tcPr>
                  <w:tcW w:w="1092" w:type="dxa"/>
                  <w:tcBorders>
                    <w:top w:val="nil"/>
                    <w:left w:val="nil"/>
                    <w:bottom w:val="single" w:sz="4" w:space="0" w:color="auto"/>
                    <w:right w:val="single" w:sz="4" w:space="0" w:color="auto"/>
                  </w:tcBorders>
                  <w:shd w:val="clear" w:color="auto" w:fill="auto"/>
                  <w:noWrap/>
                  <w:vAlign w:val="bottom"/>
                  <w:hideMark/>
                </w:tcPr>
                <w:p w:rsidR="00AF075A" w:rsidRPr="00AF075A" w:rsidRDefault="00AF075A" w:rsidP="00C70ABD">
                  <w:pPr>
                    <w:jc w:val="right"/>
                    <w:rPr>
                      <w:color w:val="000000"/>
                      <w:sz w:val="22"/>
                      <w:szCs w:val="22"/>
                      <w:lang w:val="en-US" w:eastAsia="en-US"/>
                    </w:rPr>
                  </w:pPr>
                  <w:r w:rsidRPr="00AF075A">
                    <w:rPr>
                      <w:color w:val="000000"/>
                      <w:sz w:val="22"/>
                      <w:szCs w:val="22"/>
                      <w:lang w:val="en-US" w:eastAsia="en-US"/>
                    </w:rPr>
                    <w:t>203</w:t>
                  </w:r>
                  <w:r w:rsidR="00C70ABD">
                    <w:rPr>
                      <w:color w:val="000000"/>
                      <w:sz w:val="22"/>
                      <w:szCs w:val="22"/>
                      <w:lang w:val="en-US" w:eastAsia="en-US"/>
                    </w:rPr>
                    <w:t> </w:t>
                  </w:r>
                  <w:r w:rsidRPr="00AF075A">
                    <w:rPr>
                      <w:color w:val="000000"/>
                      <w:sz w:val="22"/>
                      <w:szCs w:val="22"/>
                      <w:lang w:val="en-US" w:eastAsia="en-US"/>
                    </w:rPr>
                    <w:t>240</w:t>
                  </w:r>
                </w:p>
              </w:tc>
            </w:tr>
            <w:tr w:rsidR="00AF075A" w:rsidRPr="00AF075A" w:rsidTr="00C01B11">
              <w:trPr>
                <w:trHeight w:val="927"/>
              </w:trPr>
              <w:tc>
                <w:tcPr>
                  <w:tcW w:w="3000" w:type="dxa"/>
                  <w:tcBorders>
                    <w:top w:val="nil"/>
                    <w:left w:val="single" w:sz="4" w:space="0" w:color="auto"/>
                    <w:bottom w:val="single" w:sz="4" w:space="0" w:color="auto"/>
                    <w:right w:val="single" w:sz="4" w:space="0" w:color="auto"/>
                  </w:tcBorders>
                  <w:shd w:val="clear" w:color="auto" w:fill="auto"/>
                  <w:hideMark/>
                </w:tcPr>
                <w:p w:rsidR="00AF075A" w:rsidRPr="004C711C" w:rsidRDefault="00AF075A" w:rsidP="00AF075A">
                  <w:pPr>
                    <w:jc w:val="both"/>
                    <w:rPr>
                      <w:color w:val="000000"/>
                      <w:sz w:val="22"/>
                      <w:szCs w:val="22"/>
                      <w:lang w:eastAsia="en-US"/>
                    </w:rPr>
                  </w:pPr>
                  <w:r w:rsidRPr="004C711C">
                    <w:rPr>
                      <w:color w:val="000000"/>
                      <w:sz w:val="22"/>
                      <w:szCs w:val="22"/>
                      <w:lang w:eastAsia="en-US"/>
                    </w:rPr>
                    <w:t xml:space="preserve">Valsts budžeta </w:t>
                  </w:r>
                  <w:proofErr w:type="spellStart"/>
                  <w:r w:rsidRPr="004C711C">
                    <w:rPr>
                      <w:color w:val="000000"/>
                      <w:sz w:val="22"/>
                      <w:szCs w:val="22"/>
                      <w:lang w:eastAsia="en-US"/>
                    </w:rPr>
                    <w:t>priekšfinansējums</w:t>
                  </w:r>
                  <w:proofErr w:type="spellEnd"/>
                  <w:r w:rsidRPr="004C711C">
                    <w:rPr>
                      <w:color w:val="000000"/>
                      <w:sz w:val="22"/>
                      <w:szCs w:val="22"/>
                      <w:lang w:eastAsia="en-US"/>
                    </w:rPr>
                    <w:t xml:space="preserve"> EK līdzfinansējuma gala maksājuma daļai 50</w:t>
                  </w:r>
                  <w:r w:rsidR="00EE4159">
                    <w:rPr>
                      <w:color w:val="000000"/>
                      <w:sz w:val="22"/>
                      <w:szCs w:val="22"/>
                      <w:lang w:eastAsia="en-US"/>
                    </w:rPr>
                    <w:t> </w:t>
                  </w:r>
                  <w:r w:rsidRPr="004C711C">
                    <w:rPr>
                      <w:color w:val="000000"/>
                      <w:sz w:val="22"/>
                      <w:szCs w:val="22"/>
                      <w:lang w:eastAsia="en-US"/>
                    </w:rPr>
                    <w:t>% apmērā</w:t>
                  </w:r>
                </w:p>
              </w:tc>
              <w:tc>
                <w:tcPr>
                  <w:tcW w:w="764" w:type="dxa"/>
                  <w:tcBorders>
                    <w:top w:val="nil"/>
                    <w:left w:val="nil"/>
                    <w:bottom w:val="single" w:sz="4" w:space="0" w:color="auto"/>
                    <w:right w:val="single" w:sz="4" w:space="0" w:color="auto"/>
                  </w:tcBorders>
                  <w:shd w:val="clear" w:color="auto" w:fill="auto"/>
                  <w:noWrap/>
                  <w:vAlign w:val="bottom"/>
                  <w:hideMark/>
                </w:tcPr>
                <w:p w:rsidR="00AF075A" w:rsidRPr="00AF075A" w:rsidRDefault="00AF075A" w:rsidP="00AF075A">
                  <w:pPr>
                    <w:jc w:val="right"/>
                    <w:rPr>
                      <w:color w:val="000000"/>
                      <w:sz w:val="22"/>
                      <w:szCs w:val="22"/>
                      <w:lang w:val="en-US" w:eastAsia="en-US"/>
                    </w:rPr>
                  </w:pPr>
                  <w:r w:rsidRPr="00AF075A">
                    <w:rPr>
                      <w:color w:val="000000"/>
                      <w:sz w:val="22"/>
                      <w:szCs w:val="22"/>
                      <w:lang w:val="en-US" w:eastAsia="en-US"/>
                    </w:rPr>
                    <w:t>0</w:t>
                  </w:r>
                </w:p>
              </w:tc>
              <w:tc>
                <w:tcPr>
                  <w:tcW w:w="1156" w:type="dxa"/>
                  <w:tcBorders>
                    <w:top w:val="nil"/>
                    <w:left w:val="nil"/>
                    <w:bottom w:val="single" w:sz="4" w:space="0" w:color="auto"/>
                    <w:right w:val="single" w:sz="4" w:space="0" w:color="auto"/>
                  </w:tcBorders>
                  <w:shd w:val="clear" w:color="auto" w:fill="auto"/>
                  <w:noWrap/>
                  <w:vAlign w:val="bottom"/>
                  <w:hideMark/>
                </w:tcPr>
                <w:p w:rsidR="00AF075A" w:rsidRPr="00AF075A" w:rsidRDefault="007F7DDB" w:rsidP="00AF075A">
                  <w:pPr>
                    <w:jc w:val="right"/>
                    <w:rPr>
                      <w:color w:val="000000"/>
                      <w:sz w:val="22"/>
                      <w:szCs w:val="22"/>
                      <w:lang w:val="en-US" w:eastAsia="en-US"/>
                    </w:rPr>
                  </w:pPr>
                  <w:r>
                    <w:rPr>
                      <w:color w:val="000000"/>
                      <w:sz w:val="22"/>
                      <w:szCs w:val="22"/>
                      <w:lang w:val="en-US" w:eastAsia="en-US"/>
                    </w:rPr>
                    <w:t>0</w:t>
                  </w:r>
                </w:p>
              </w:tc>
              <w:tc>
                <w:tcPr>
                  <w:tcW w:w="828" w:type="dxa"/>
                  <w:tcBorders>
                    <w:top w:val="nil"/>
                    <w:left w:val="nil"/>
                    <w:bottom w:val="single" w:sz="4" w:space="0" w:color="auto"/>
                    <w:right w:val="single" w:sz="4" w:space="0" w:color="auto"/>
                  </w:tcBorders>
                  <w:shd w:val="clear" w:color="auto" w:fill="auto"/>
                  <w:noWrap/>
                  <w:vAlign w:val="bottom"/>
                  <w:hideMark/>
                </w:tcPr>
                <w:p w:rsidR="00AF075A" w:rsidRPr="00AF075A" w:rsidRDefault="00AF075A" w:rsidP="00AF075A">
                  <w:pPr>
                    <w:rPr>
                      <w:color w:val="000000"/>
                      <w:sz w:val="22"/>
                      <w:szCs w:val="22"/>
                      <w:lang w:val="en-US" w:eastAsia="en-US"/>
                    </w:rPr>
                  </w:pPr>
                  <w:r w:rsidRPr="00AF075A">
                    <w:rPr>
                      <w:color w:val="000000"/>
                      <w:sz w:val="22"/>
                      <w:szCs w:val="22"/>
                      <w:lang w:val="en-US" w:eastAsia="en-US"/>
                    </w:rPr>
                    <w:t> </w:t>
                  </w:r>
                </w:p>
              </w:tc>
              <w:tc>
                <w:tcPr>
                  <w:tcW w:w="1092" w:type="dxa"/>
                  <w:tcBorders>
                    <w:top w:val="nil"/>
                    <w:left w:val="nil"/>
                    <w:bottom w:val="single" w:sz="4" w:space="0" w:color="auto"/>
                    <w:right w:val="single" w:sz="4" w:space="0" w:color="auto"/>
                  </w:tcBorders>
                  <w:shd w:val="clear" w:color="auto" w:fill="auto"/>
                  <w:noWrap/>
                  <w:vAlign w:val="bottom"/>
                  <w:hideMark/>
                </w:tcPr>
                <w:p w:rsidR="00AF075A" w:rsidRPr="00AF075A" w:rsidRDefault="007F7DDB" w:rsidP="00AF075A">
                  <w:pPr>
                    <w:jc w:val="right"/>
                    <w:rPr>
                      <w:color w:val="000000"/>
                      <w:sz w:val="22"/>
                      <w:szCs w:val="22"/>
                      <w:lang w:val="en-US" w:eastAsia="en-US"/>
                    </w:rPr>
                  </w:pPr>
                  <w:r>
                    <w:rPr>
                      <w:color w:val="000000"/>
                      <w:sz w:val="22"/>
                      <w:szCs w:val="22"/>
                      <w:lang w:val="en-US" w:eastAsia="en-US"/>
                    </w:rPr>
                    <w:t>0</w:t>
                  </w:r>
                </w:p>
              </w:tc>
            </w:tr>
            <w:tr w:rsidR="00AF075A" w:rsidRPr="00AF075A" w:rsidTr="00C01B11">
              <w:trPr>
                <w:trHeight w:val="70"/>
              </w:trPr>
              <w:tc>
                <w:tcPr>
                  <w:tcW w:w="3000" w:type="dxa"/>
                  <w:tcBorders>
                    <w:top w:val="nil"/>
                    <w:left w:val="single" w:sz="4" w:space="0" w:color="auto"/>
                    <w:bottom w:val="single" w:sz="4" w:space="0" w:color="auto"/>
                    <w:right w:val="single" w:sz="4" w:space="0" w:color="auto"/>
                  </w:tcBorders>
                  <w:shd w:val="clear" w:color="auto" w:fill="auto"/>
                  <w:hideMark/>
                </w:tcPr>
                <w:p w:rsidR="00AF075A" w:rsidRPr="004C711C" w:rsidRDefault="00AF075A" w:rsidP="00AF075A">
                  <w:pPr>
                    <w:jc w:val="both"/>
                    <w:rPr>
                      <w:color w:val="000000"/>
                      <w:sz w:val="22"/>
                      <w:szCs w:val="22"/>
                      <w:lang w:eastAsia="en-US"/>
                    </w:rPr>
                  </w:pPr>
                  <w:r w:rsidRPr="004C711C">
                    <w:rPr>
                      <w:color w:val="000000"/>
                      <w:sz w:val="22"/>
                      <w:szCs w:val="22"/>
                      <w:lang w:eastAsia="en-US"/>
                    </w:rPr>
                    <w:t>Pievienotās vērtības nodoklis</w:t>
                  </w:r>
                </w:p>
              </w:tc>
              <w:tc>
                <w:tcPr>
                  <w:tcW w:w="764" w:type="dxa"/>
                  <w:tcBorders>
                    <w:top w:val="nil"/>
                    <w:left w:val="nil"/>
                    <w:bottom w:val="single" w:sz="4" w:space="0" w:color="auto"/>
                    <w:right w:val="single" w:sz="4" w:space="0" w:color="auto"/>
                  </w:tcBorders>
                  <w:shd w:val="clear" w:color="000000" w:fill="FFFFFF"/>
                  <w:noWrap/>
                  <w:vAlign w:val="bottom"/>
                  <w:hideMark/>
                </w:tcPr>
                <w:p w:rsidR="00AF075A" w:rsidRPr="00AF075A" w:rsidRDefault="00AF075A" w:rsidP="00AF075A">
                  <w:pPr>
                    <w:rPr>
                      <w:color w:val="000000"/>
                      <w:sz w:val="22"/>
                      <w:szCs w:val="22"/>
                      <w:lang w:val="en-US" w:eastAsia="en-US"/>
                    </w:rPr>
                  </w:pPr>
                  <w:r w:rsidRPr="00AF075A">
                    <w:rPr>
                      <w:color w:val="000000"/>
                      <w:sz w:val="22"/>
                      <w:szCs w:val="22"/>
                      <w:lang w:val="en-US" w:eastAsia="en-U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F075A" w:rsidRPr="00AF075A" w:rsidRDefault="00AF075A" w:rsidP="00C70ABD">
                  <w:pPr>
                    <w:jc w:val="right"/>
                    <w:rPr>
                      <w:color w:val="000000"/>
                      <w:sz w:val="22"/>
                      <w:szCs w:val="22"/>
                      <w:lang w:val="en-US" w:eastAsia="en-US"/>
                    </w:rPr>
                  </w:pPr>
                  <w:r w:rsidRPr="00AF075A">
                    <w:rPr>
                      <w:color w:val="000000"/>
                      <w:sz w:val="22"/>
                      <w:szCs w:val="22"/>
                      <w:lang w:val="en-US" w:eastAsia="en-US"/>
                    </w:rPr>
                    <w:t>213</w:t>
                  </w:r>
                  <w:r w:rsidR="00C70ABD">
                    <w:rPr>
                      <w:color w:val="000000"/>
                      <w:sz w:val="22"/>
                      <w:szCs w:val="22"/>
                      <w:lang w:val="en-US" w:eastAsia="en-US"/>
                    </w:rPr>
                    <w:t> </w:t>
                  </w:r>
                  <w:r w:rsidRPr="00AF075A">
                    <w:rPr>
                      <w:color w:val="000000"/>
                      <w:sz w:val="22"/>
                      <w:szCs w:val="22"/>
                      <w:lang w:val="en-US" w:eastAsia="en-US"/>
                    </w:rPr>
                    <w:t>402</w:t>
                  </w:r>
                </w:p>
              </w:tc>
              <w:tc>
                <w:tcPr>
                  <w:tcW w:w="828" w:type="dxa"/>
                  <w:tcBorders>
                    <w:top w:val="nil"/>
                    <w:left w:val="nil"/>
                    <w:bottom w:val="single" w:sz="4" w:space="0" w:color="auto"/>
                    <w:right w:val="single" w:sz="4" w:space="0" w:color="auto"/>
                  </w:tcBorders>
                  <w:shd w:val="clear" w:color="auto" w:fill="auto"/>
                  <w:noWrap/>
                  <w:vAlign w:val="bottom"/>
                  <w:hideMark/>
                </w:tcPr>
                <w:p w:rsidR="00AF075A" w:rsidRPr="00AF075A" w:rsidRDefault="00AF075A" w:rsidP="00AF075A">
                  <w:pPr>
                    <w:rPr>
                      <w:color w:val="000000"/>
                      <w:sz w:val="22"/>
                      <w:szCs w:val="22"/>
                      <w:lang w:val="en-US" w:eastAsia="en-US"/>
                    </w:rPr>
                  </w:pPr>
                  <w:r w:rsidRPr="00AF075A">
                    <w:rPr>
                      <w:color w:val="000000"/>
                      <w:sz w:val="22"/>
                      <w:szCs w:val="22"/>
                      <w:lang w:val="en-US" w:eastAsia="en-US"/>
                    </w:rPr>
                    <w:t> </w:t>
                  </w:r>
                </w:p>
              </w:tc>
              <w:tc>
                <w:tcPr>
                  <w:tcW w:w="1092" w:type="dxa"/>
                  <w:tcBorders>
                    <w:top w:val="nil"/>
                    <w:left w:val="nil"/>
                    <w:bottom w:val="single" w:sz="4" w:space="0" w:color="auto"/>
                    <w:right w:val="single" w:sz="4" w:space="0" w:color="auto"/>
                  </w:tcBorders>
                  <w:shd w:val="clear" w:color="auto" w:fill="auto"/>
                  <w:noWrap/>
                  <w:vAlign w:val="bottom"/>
                  <w:hideMark/>
                </w:tcPr>
                <w:p w:rsidR="00AF075A" w:rsidRPr="00AF075A" w:rsidRDefault="00AF075A" w:rsidP="00AF075A">
                  <w:pPr>
                    <w:jc w:val="right"/>
                    <w:rPr>
                      <w:color w:val="000000"/>
                      <w:sz w:val="22"/>
                      <w:szCs w:val="22"/>
                      <w:lang w:val="en-US" w:eastAsia="en-US"/>
                    </w:rPr>
                  </w:pPr>
                  <w:r w:rsidRPr="00AF075A">
                    <w:rPr>
                      <w:color w:val="000000"/>
                      <w:sz w:val="22"/>
                      <w:szCs w:val="22"/>
                      <w:lang w:val="en-US" w:eastAsia="en-US"/>
                    </w:rPr>
                    <w:t>213</w:t>
                  </w:r>
                  <w:r w:rsidR="00C70ABD">
                    <w:rPr>
                      <w:color w:val="000000"/>
                      <w:sz w:val="22"/>
                      <w:szCs w:val="22"/>
                      <w:lang w:val="en-US" w:eastAsia="en-US"/>
                    </w:rPr>
                    <w:t> </w:t>
                  </w:r>
                  <w:r w:rsidRPr="00AF075A">
                    <w:rPr>
                      <w:color w:val="000000"/>
                      <w:sz w:val="22"/>
                      <w:szCs w:val="22"/>
                      <w:lang w:val="en-US" w:eastAsia="en-US"/>
                    </w:rPr>
                    <w:t>402</w:t>
                  </w:r>
                </w:p>
              </w:tc>
            </w:tr>
            <w:tr w:rsidR="00AF075A" w:rsidRPr="00AF075A" w:rsidTr="0033076F">
              <w:trPr>
                <w:trHeight w:val="570"/>
              </w:trPr>
              <w:tc>
                <w:tcPr>
                  <w:tcW w:w="3000" w:type="dxa"/>
                  <w:tcBorders>
                    <w:top w:val="nil"/>
                    <w:left w:val="single" w:sz="4" w:space="0" w:color="auto"/>
                    <w:bottom w:val="single" w:sz="4" w:space="0" w:color="auto"/>
                    <w:right w:val="single" w:sz="4" w:space="0" w:color="auto"/>
                  </w:tcBorders>
                  <w:shd w:val="clear" w:color="auto" w:fill="auto"/>
                  <w:hideMark/>
                </w:tcPr>
                <w:p w:rsidR="00AF075A" w:rsidRPr="004C711C" w:rsidRDefault="00AF075A" w:rsidP="00AF075A">
                  <w:pPr>
                    <w:jc w:val="both"/>
                    <w:rPr>
                      <w:b/>
                      <w:bCs/>
                      <w:sz w:val="22"/>
                      <w:szCs w:val="22"/>
                      <w:lang w:eastAsia="en-US"/>
                    </w:rPr>
                  </w:pPr>
                  <w:r w:rsidRPr="004C711C">
                    <w:rPr>
                      <w:b/>
                      <w:bCs/>
                      <w:sz w:val="22"/>
                      <w:szCs w:val="22"/>
                      <w:lang w:eastAsia="en-US"/>
                    </w:rPr>
                    <w:t>Kopā no valsts budžeta nepieciešamais finansējums</w:t>
                  </w:r>
                </w:p>
              </w:tc>
              <w:tc>
                <w:tcPr>
                  <w:tcW w:w="764" w:type="dxa"/>
                  <w:tcBorders>
                    <w:top w:val="nil"/>
                    <w:left w:val="nil"/>
                    <w:bottom w:val="single" w:sz="4" w:space="0" w:color="auto"/>
                    <w:right w:val="single" w:sz="4" w:space="0" w:color="auto"/>
                  </w:tcBorders>
                  <w:shd w:val="clear" w:color="auto" w:fill="auto"/>
                  <w:noWrap/>
                  <w:vAlign w:val="bottom"/>
                  <w:hideMark/>
                </w:tcPr>
                <w:p w:rsidR="00AF075A" w:rsidRPr="0091419C" w:rsidRDefault="00AF075A" w:rsidP="00AF075A">
                  <w:pPr>
                    <w:jc w:val="right"/>
                    <w:rPr>
                      <w:b/>
                      <w:bCs/>
                      <w:sz w:val="22"/>
                      <w:szCs w:val="22"/>
                      <w:lang w:eastAsia="en-US"/>
                    </w:rPr>
                  </w:pPr>
                  <w:r w:rsidRPr="0091419C">
                    <w:rPr>
                      <w:b/>
                      <w:bCs/>
                      <w:sz w:val="22"/>
                      <w:szCs w:val="22"/>
                      <w:lang w:eastAsia="en-US"/>
                    </w:rPr>
                    <w:t>0</w:t>
                  </w:r>
                </w:p>
              </w:tc>
              <w:tc>
                <w:tcPr>
                  <w:tcW w:w="1156" w:type="dxa"/>
                  <w:tcBorders>
                    <w:top w:val="nil"/>
                    <w:left w:val="nil"/>
                    <w:bottom w:val="single" w:sz="4" w:space="0" w:color="auto"/>
                    <w:right w:val="single" w:sz="4" w:space="0" w:color="auto"/>
                  </w:tcBorders>
                  <w:shd w:val="clear" w:color="auto" w:fill="auto"/>
                  <w:noWrap/>
                  <w:vAlign w:val="bottom"/>
                  <w:hideMark/>
                </w:tcPr>
                <w:p w:rsidR="00AF075A" w:rsidRPr="0091419C" w:rsidRDefault="007F7DDB" w:rsidP="00C70ABD">
                  <w:pPr>
                    <w:jc w:val="right"/>
                    <w:rPr>
                      <w:b/>
                      <w:bCs/>
                      <w:sz w:val="22"/>
                      <w:szCs w:val="22"/>
                      <w:lang w:eastAsia="en-US"/>
                    </w:rPr>
                  </w:pPr>
                  <w:r w:rsidRPr="0091419C">
                    <w:rPr>
                      <w:b/>
                      <w:bCs/>
                      <w:sz w:val="22"/>
                      <w:szCs w:val="22"/>
                      <w:lang w:eastAsia="en-US"/>
                    </w:rPr>
                    <w:t>416</w:t>
                  </w:r>
                  <w:r w:rsidR="00C70ABD">
                    <w:rPr>
                      <w:b/>
                      <w:bCs/>
                      <w:sz w:val="22"/>
                      <w:szCs w:val="22"/>
                      <w:lang w:eastAsia="en-US"/>
                    </w:rPr>
                    <w:t> </w:t>
                  </w:r>
                  <w:r w:rsidRPr="0091419C">
                    <w:rPr>
                      <w:b/>
                      <w:bCs/>
                      <w:sz w:val="22"/>
                      <w:szCs w:val="22"/>
                      <w:lang w:eastAsia="en-US"/>
                    </w:rPr>
                    <w:t>642</w:t>
                  </w:r>
                </w:p>
              </w:tc>
              <w:tc>
                <w:tcPr>
                  <w:tcW w:w="828" w:type="dxa"/>
                  <w:tcBorders>
                    <w:top w:val="nil"/>
                    <w:left w:val="nil"/>
                    <w:bottom w:val="single" w:sz="4" w:space="0" w:color="auto"/>
                    <w:right w:val="single" w:sz="4" w:space="0" w:color="auto"/>
                  </w:tcBorders>
                  <w:shd w:val="clear" w:color="auto" w:fill="auto"/>
                  <w:noWrap/>
                  <w:vAlign w:val="bottom"/>
                  <w:hideMark/>
                </w:tcPr>
                <w:p w:rsidR="00AF075A" w:rsidRPr="0091419C" w:rsidRDefault="00AF075A" w:rsidP="00AF075A">
                  <w:pPr>
                    <w:jc w:val="right"/>
                    <w:rPr>
                      <w:b/>
                      <w:bCs/>
                      <w:sz w:val="22"/>
                      <w:szCs w:val="22"/>
                      <w:lang w:eastAsia="en-US"/>
                    </w:rPr>
                  </w:pPr>
                  <w:r w:rsidRPr="0091419C">
                    <w:rPr>
                      <w:b/>
                      <w:bCs/>
                      <w:sz w:val="22"/>
                      <w:szCs w:val="22"/>
                      <w:lang w:eastAsia="en-US"/>
                    </w:rPr>
                    <w:t>0</w:t>
                  </w:r>
                </w:p>
              </w:tc>
              <w:tc>
                <w:tcPr>
                  <w:tcW w:w="1092" w:type="dxa"/>
                  <w:tcBorders>
                    <w:top w:val="nil"/>
                    <w:left w:val="nil"/>
                    <w:bottom w:val="single" w:sz="4" w:space="0" w:color="auto"/>
                    <w:right w:val="single" w:sz="4" w:space="0" w:color="auto"/>
                  </w:tcBorders>
                  <w:shd w:val="clear" w:color="auto" w:fill="auto"/>
                  <w:noWrap/>
                  <w:vAlign w:val="bottom"/>
                  <w:hideMark/>
                </w:tcPr>
                <w:p w:rsidR="00AF075A" w:rsidRPr="0091419C" w:rsidRDefault="007F7DDB" w:rsidP="00C70ABD">
                  <w:pPr>
                    <w:jc w:val="right"/>
                    <w:rPr>
                      <w:b/>
                      <w:bCs/>
                      <w:sz w:val="22"/>
                      <w:szCs w:val="22"/>
                      <w:lang w:eastAsia="en-US"/>
                    </w:rPr>
                  </w:pPr>
                  <w:r w:rsidRPr="0091419C">
                    <w:rPr>
                      <w:b/>
                      <w:bCs/>
                      <w:sz w:val="22"/>
                      <w:szCs w:val="22"/>
                      <w:lang w:eastAsia="en-US"/>
                    </w:rPr>
                    <w:t>416</w:t>
                  </w:r>
                  <w:r w:rsidR="00C70ABD">
                    <w:rPr>
                      <w:b/>
                      <w:bCs/>
                      <w:sz w:val="22"/>
                      <w:szCs w:val="22"/>
                      <w:lang w:eastAsia="en-US"/>
                    </w:rPr>
                    <w:t> </w:t>
                  </w:r>
                  <w:r w:rsidRPr="0091419C">
                    <w:rPr>
                      <w:b/>
                      <w:bCs/>
                      <w:sz w:val="22"/>
                      <w:szCs w:val="22"/>
                      <w:lang w:eastAsia="en-US"/>
                    </w:rPr>
                    <w:t>642</w:t>
                  </w:r>
                </w:p>
              </w:tc>
            </w:tr>
            <w:tr w:rsidR="00AF075A" w:rsidRPr="00AF075A" w:rsidTr="0091419C">
              <w:trPr>
                <w:trHeight w:val="300"/>
              </w:trPr>
              <w:tc>
                <w:tcPr>
                  <w:tcW w:w="3000" w:type="dxa"/>
                  <w:tcBorders>
                    <w:top w:val="nil"/>
                    <w:left w:val="single" w:sz="4" w:space="0" w:color="auto"/>
                    <w:bottom w:val="nil"/>
                    <w:right w:val="single" w:sz="4" w:space="0" w:color="auto"/>
                  </w:tcBorders>
                  <w:shd w:val="clear" w:color="auto" w:fill="auto"/>
                  <w:hideMark/>
                </w:tcPr>
                <w:p w:rsidR="00AF075A" w:rsidRPr="00D52FBA" w:rsidRDefault="00AF075A" w:rsidP="00AF075A">
                  <w:pPr>
                    <w:jc w:val="both"/>
                    <w:rPr>
                      <w:color w:val="000000"/>
                      <w:sz w:val="22"/>
                      <w:szCs w:val="22"/>
                      <w:lang w:eastAsia="en-US"/>
                    </w:rPr>
                  </w:pPr>
                  <w:r w:rsidRPr="00D52FBA">
                    <w:rPr>
                      <w:color w:val="000000"/>
                      <w:sz w:val="22"/>
                      <w:szCs w:val="22"/>
                      <w:lang w:eastAsia="en-US"/>
                    </w:rPr>
                    <w:t>Atmaksa valsts pamatbudžetam</w:t>
                  </w:r>
                </w:p>
              </w:tc>
              <w:tc>
                <w:tcPr>
                  <w:tcW w:w="764" w:type="dxa"/>
                  <w:tcBorders>
                    <w:top w:val="nil"/>
                    <w:left w:val="nil"/>
                    <w:bottom w:val="nil"/>
                    <w:right w:val="single" w:sz="4" w:space="0" w:color="auto"/>
                  </w:tcBorders>
                  <w:shd w:val="clear" w:color="auto" w:fill="auto"/>
                  <w:noWrap/>
                  <w:vAlign w:val="bottom"/>
                  <w:hideMark/>
                </w:tcPr>
                <w:p w:rsidR="00AF075A" w:rsidRPr="0091419C" w:rsidRDefault="00AF075A" w:rsidP="00AF075A">
                  <w:pPr>
                    <w:rPr>
                      <w:color w:val="000000"/>
                      <w:sz w:val="22"/>
                      <w:szCs w:val="22"/>
                      <w:lang w:eastAsia="en-US"/>
                    </w:rPr>
                  </w:pPr>
                  <w:r w:rsidRPr="0091419C">
                    <w:rPr>
                      <w:color w:val="000000"/>
                      <w:sz w:val="22"/>
                      <w:szCs w:val="22"/>
                      <w:lang w:eastAsia="en-US"/>
                    </w:rPr>
                    <w:t> </w:t>
                  </w:r>
                </w:p>
              </w:tc>
              <w:tc>
                <w:tcPr>
                  <w:tcW w:w="1156" w:type="dxa"/>
                  <w:tcBorders>
                    <w:top w:val="nil"/>
                    <w:left w:val="nil"/>
                    <w:bottom w:val="nil"/>
                    <w:right w:val="single" w:sz="4" w:space="0" w:color="auto"/>
                  </w:tcBorders>
                  <w:shd w:val="clear" w:color="auto" w:fill="auto"/>
                  <w:noWrap/>
                  <w:vAlign w:val="bottom"/>
                  <w:hideMark/>
                </w:tcPr>
                <w:p w:rsidR="00AF075A" w:rsidRPr="0091419C" w:rsidRDefault="00AF075A" w:rsidP="00AF075A">
                  <w:pPr>
                    <w:rPr>
                      <w:color w:val="000000"/>
                      <w:sz w:val="22"/>
                      <w:szCs w:val="22"/>
                      <w:lang w:eastAsia="en-US"/>
                    </w:rPr>
                  </w:pPr>
                  <w:r w:rsidRPr="0091419C">
                    <w:rPr>
                      <w:color w:val="000000"/>
                      <w:sz w:val="22"/>
                      <w:szCs w:val="22"/>
                      <w:lang w:eastAsia="en-US"/>
                    </w:rPr>
                    <w:t> </w:t>
                  </w:r>
                </w:p>
              </w:tc>
              <w:tc>
                <w:tcPr>
                  <w:tcW w:w="828" w:type="dxa"/>
                  <w:tcBorders>
                    <w:top w:val="nil"/>
                    <w:left w:val="nil"/>
                    <w:bottom w:val="nil"/>
                    <w:right w:val="single" w:sz="4" w:space="0" w:color="auto"/>
                  </w:tcBorders>
                  <w:shd w:val="clear" w:color="auto" w:fill="auto"/>
                  <w:noWrap/>
                  <w:vAlign w:val="bottom"/>
                  <w:hideMark/>
                </w:tcPr>
                <w:p w:rsidR="00AF075A" w:rsidRPr="0091419C" w:rsidRDefault="007F7DDB" w:rsidP="0033076F">
                  <w:pPr>
                    <w:ind w:hanging="130"/>
                    <w:jc w:val="right"/>
                    <w:rPr>
                      <w:color w:val="000000"/>
                      <w:sz w:val="22"/>
                      <w:szCs w:val="22"/>
                      <w:lang w:eastAsia="en-US"/>
                    </w:rPr>
                  </w:pPr>
                  <w:r w:rsidRPr="0091419C">
                    <w:rPr>
                      <w:color w:val="000000"/>
                      <w:sz w:val="22"/>
                      <w:szCs w:val="22"/>
                      <w:lang w:eastAsia="en-US"/>
                    </w:rPr>
                    <w:t>0</w:t>
                  </w:r>
                </w:p>
              </w:tc>
              <w:tc>
                <w:tcPr>
                  <w:tcW w:w="1092" w:type="dxa"/>
                  <w:tcBorders>
                    <w:top w:val="nil"/>
                    <w:left w:val="nil"/>
                    <w:bottom w:val="nil"/>
                    <w:right w:val="single" w:sz="4" w:space="0" w:color="auto"/>
                  </w:tcBorders>
                  <w:shd w:val="clear" w:color="auto" w:fill="auto"/>
                  <w:noWrap/>
                  <w:vAlign w:val="bottom"/>
                  <w:hideMark/>
                </w:tcPr>
                <w:p w:rsidR="00AF075A" w:rsidRPr="0091419C" w:rsidRDefault="00AF075A" w:rsidP="00AF075A">
                  <w:pPr>
                    <w:jc w:val="right"/>
                    <w:rPr>
                      <w:color w:val="000000"/>
                      <w:sz w:val="22"/>
                      <w:szCs w:val="22"/>
                      <w:lang w:eastAsia="en-US"/>
                    </w:rPr>
                  </w:pPr>
                  <w:r w:rsidRPr="0091419C">
                    <w:rPr>
                      <w:color w:val="000000"/>
                      <w:sz w:val="22"/>
                      <w:szCs w:val="22"/>
                      <w:lang w:eastAsia="en-US"/>
                    </w:rPr>
                    <w:t>0</w:t>
                  </w:r>
                </w:p>
              </w:tc>
            </w:tr>
            <w:tr w:rsidR="00EE4159" w:rsidRPr="00AF075A" w:rsidTr="0033076F">
              <w:trPr>
                <w:trHeight w:val="300"/>
              </w:trPr>
              <w:tc>
                <w:tcPr>
                  <w:tcW w:w="3000" w:type="dxa"/>
                  <w:tcBorders>
                    <w:top w:val="nil"/>
                    <w:left w:val="single" w:sz="4" w:space="0" w:color="auto"/>
                    <w:bottom w:val="single" w:sz="4" w:space="0" w:color="auto"/>
                    <w:right w:val="single" w:sz="4" w:space="0" w:color="auto"/>
                  </w:tcBorders>
                  <w:shd w:val="clear" w:color="auto" w:fill="auto"/>
                </w:tcPr>
                <w:p w:rsidR="00EE4159" w:rsidRPr="00D52FBA" w:rsidRDefault="00EE4159" w:rsidP="00AF075A">
                  <w:pPr>
                    <w:jc w:val="both"/>
                    <w:rPr>
                      <w:color w:val="000000"/>
                      <w:sz w:val="22"/>
                      <w:szCs w:val="22"/>
                      <w:lang w:eastAsia="en-US"/>
                    </w:rPr>
                  </w:pPr>
                </w:p>
              </w:tc>
              <w:tc>
                <w:tcPr>
                  <w:tcW w:w="764" w:type="dxa"/>
                  <w:tcBorders>
                    <w:top w:val="nil"/>
                    <w:left w:val="nil"/>
                    <w:bottom w:val="single" w:sz="4" w:space="0" w:color="auto"/>
                    <w:right w:val="single" w:sz="4" w:space="0" w:color="auto"/>
                  </w:tcBorders>
                  <w:shd w:val="clear" w:color="auto" w:fill="auto"/>
                  <w:noWrap/>
                  <w:vAlign w:val="bottom"/>
                </w:tcPr>
                <w:p w:rsidR="00EE4159" w:rsidRPr="00EE4159" w:rsidRDefault="00EE4159" w:rsidP="00AF075A">
                  <w:pPr>
                    <w:rPr>
                      <w:color w:val="000000"/>
                      <w:sz w:val="22"/>
                      <w:szCs w:val="22"/>
                      <w:lang w:eastAsia="en-US"/>
                    </w:rPr>
                  </w:pPr>
                </w:p>
              </w:tc>
              <w:tc>
                <w:tcPr>
                  <w:tcW w:w="1156" w:type="dxa"/>
                  <w:tcBorders>
                    <w:top w:val="nil"/>
                    <w:left w:val="nil"/>
                    <w:bottom w:val="single" w:sz="4" w:space="0" w:color="auto"/>
                    <w:right w:val="single" w:sz="4" w:space="0" w:color="auto"/>
                  </w:tcBorders>
                  <w:shd w:val="clear" w:color="auto" w:fill="auto"/>
                  <w:noWrap/>
                  <w:vAlign w:val="bottom"/>
                </w:tcPr>
                <w:p w:rsidR="00EE4159" w:rsidRPr="00914553" w:rsidRDefault="00EE4159" w:rsidP="00AF075A">
                  <w:pPr>
                    <w:rPr>
                      <w:color w:val="000000"/>
                      <w:sz w:val="22"/>
                      <w:szCs w:val="22"/>
                      <w:lang w:eastAsia="en-US"/>
                    </w:rPr>
                  </w:pPr>
                </w:p>
              </w:tc>
              <w:tc>
                <w:tcPr>
                  <w:tcW w:w="828" w:type="dxa"/>
                  <w:tcBorders>
                    <w:top w:val="nil"/>
                    <w:left w:val="nil"/>
                    <w:bottom w:val="single" w:sz="4" w:space="0" w:color="auto"/>
                    <w:right w:val="single" w:sz="4" w:space="0" w:color="auto"/>
                  </w:tcBorders>
                  <w:shd w:val="clear" w:color="auto" w:fill="auto"/>
                  <w:noWrap/>
                  <w:vAlign w:val="bottom"/>
                </w:tcPr>
                <w:p w:rsidR="00EE4159" w:rsidRPr="00914553" w:rsidRDefault="00EE4159" w:rsidP="0033076F">
                  <w:pPr>
                    <w:ind w:hanging="130"/>
                    <w:jc w:val="right"/>
                    <w:rPr>
                      <w:color w:val="000000"/>
                      <w:sz w:val="22"/>
                      <w:szCs w:val="22"/>
                      <w:lang w:eastAsia="en-US"/>
                    </w:rPr>
                  </w:pPr>
                </w:p>
              </w:tc>
              <w:tc>
                <w:tcPr>
                  <w:tcW w:w="1092" w:type="dxa"/>
                  <w:tcBorders>
                    <w:top w:val="nil"/>
                    <w:left w:val="nil"/>
                    <w:bottom w:val="single" w:sz="4" w:space="0" w:color="auto"/>
                    <w:right w:val="single" w:sz="4" w:space="0" w:color="auto"/>
                  </w:tcBorders>
                  <w:shd w:val="clear" w:color="auto" w:fill="auto"/>
                  <w:noWrap/>
                  <w:vAlign w:val="bottom"/>
                </w:tcPr>
                <w:p w:rsidR="00EE4159" w:rsidRPr="00914553" w:rsidRDefault="00EE4159" w:rsidP="00AF075A">
                  <w:pPr>
                    <w:jc w:val="right"/>
                    <w:rPr>
                      <w:color w:val="000000"/>
                      <w:sz w:val="22"/>
                      <w:szCs w:val="22"/>
                      <w:lang w:eastAsia="en-US"/>
                    </w:rPr>
                  </w:pPr>
                </w:p>
              </w:tc>
            </w:tr>
          </w:tbl>
          <w:p w:rsidR="00627FBB" w:rsidRDefault="0026770E" w:rsidP="00622379">
            <w:pPr>
              <w:ind w:left="83" w:firstLine="367"/>
              <w:jc w:val="both"/>
              <w:rPr>
                <w:bCs/>
              </w:rPr>
            </w:pPr>
            <w:r w:rsidRPr="0091419C">
              <w:rPr>
                <w:bCs/>
              </w:rPr>
              <w:lastRenderedPageBreak/>
              <w:t>2)</w:t>
            </w:r>
            <w:r w:rsidR="00EE4159">
              <w:rPr>
                <w:bCs/>
              </w:rPr>
              <w:t xml:space="preserve"> pr</w:t>
            </w:r>
            <w:r w:rsidRPr="0091419C">
              <w:rPr>
                <w:bCs/>
              </w:rPr>
              <w:t xml:space="preserve">ojekts </w:t>
            </w:r>
            <w:r w:rsidR="00162300" w:rsidRPr="0091419C">
              <w:rPr>
                <w:bCs/>
              </w:rPr>
              <w:t>“</w:t>
            </w:r>
            <w:r w:rsidRPr="0091419C">
              <w:rPr>
                <w:bCs/>
              </w:rPr>
              <w:t>Seminārs par PVN krāpšanas atklāšanu un novēršanu”</w:t>
            </w:r>
            <w:r w:rsidRPr="0091419C">
              <w:t xml:space="preserve"> </w:t>
            </w:r>
            <w:proofErr w:type="spellStart"/>
            <w:r w:rsidRPr="0091419C">
              <w:t>Nr.</w:t>
            </w:r>
            <w:r w:rsidRPr="00EE4159">
              <w:rPr>
                <w:bCs/>
                <w:i/>
              </w:rPr>
              <w:t>OLAF</w:t>
            </w:r>
            <w:proofErr w:type="spellEnd"/>
            <w:r w:rsidRPr="0091419C">
              <w:rPr>
                <w:bCs/>
              </w:rPr>
              <w:t>/2015/D1/023</w:t>
            </w:r>
            <w:r w:rsidR="002A0CD2" w:rsidRPr="00EE4159">
              <w:rPr>
                <w:bCs/>
              </w:rPr>
              <w:t xml:space="preserve">. </w:t>
            </w:r>
            <w:r w:rsidR="00DB00F4" w:rsidRPr="00DB00F4">
              <w:rPr>
                <w:bCs/>
              </w:rPr>
              <w:t xml:space="preserve">Projekta ieviešanas laiks saskaņā ar granta līgumu </w:t>
            </w:r>
            <w:r w:rsidR="00DB00F4" w:rsidRPr="0091419C">
              <w:rPr>
                <w:bCs/>
                <w:i/>
              </w:rPr>
              <w:t>OLAF</w:t>
            </w:r>
            <w:r w:rsidR="00DB00F4" w:rsidRPr="00DB00F4">
              <w:rPr>
                <w:bCs/>
              </w:rPr>
              <w:t>/2015/D1/023 ir no 2015.gada 21.aprīļa līdz 2015.gada 7.oktobrim.</w:t>
            </w:r>
          </w:p>
          <w:p w:rsidR="002A76B0" w:rsidRDefault="002421DC" w:rsidP="00622379">
            <w:pPr>
              <w:ind w:left="83" w:firstLine="367"/>
              <w:jc w:val="both"/>
              <w:rPr>
                <w:bCs/>
              </w:rPr>
            </w:pPr>
            <w:r>
              <w:rPr>
                <w:bCs/>
              </w:rPr>
              <w:t>Projekta k</w:t>
            </w:r>
            <w:r w:rsidR="0026770E">
              <w:rPr>
                <w:bCs/>
              </w:rPr>
              <w:t>opējās plānotās izmaksas bez pievienotās vērtības nodokļa ir 30</w:t>
            </w:r>
            <w:r w:rsidR="00622379">
              <w:rPr>
                <w:bCs/>
              </w:rPr>
              <w:t> </w:t>
            </w:r>
            <w:r w:rsidR="0026770E">
              <w:rPr>
                <w:bCs/>
              </w:rPr>
              <w:t>442</w:t>
            </w:r>
            <w:r w:rsidR="00622379">
              <w:rPr>
                <w:bCs/>
              </w:rPr>
              <w:t> </w:t>
            </w:r>
            <w:proofErr w:type="spellStart"/>
            <w:r w:rsidR="005C311D" w:rsidRPr="005C311D">
              <w:rPr>
                <w:bCs/>
                <w:i/>
              </w:rPr>
              <w:t>euro</w:t>
            </w:r>
            <w:proofErr w:type="spellEnd"/>
            <w:r w:rsidR="0026770E">
              <w:rPr>
                <w:bCs/>
              </w:rPr>
              <w:t>, no kurām</w:t>
            </w:r>
            <w:r w:rsidR="0026770E" w:rsidRPr="004D3C97">
              <w:rPr>
                <w:bCs/>
              </w:rPr>
              <w:t xml:space="preserve"> 80</w:t>
            </w:r>
            <w:r w:rsidR="00BD6137">
              <w:rPr>
                <w:bCs/>
              </w:rPr>
              <w:t> </w:t>
            </w:r>
            <w:r w:rsidR="0026770E" w:rsidRPr="004D3C97">
              <w:rPr>
                <w:bCs/>
              </w:rPr>
              <w:t xml:space="preserve">% jeb </w:t>
            </w:r>
            <w:r w:rsidR="0026770E">
              <w:rPr>
                <w:bCs/>
              </w:rPr>
              <w:t>24 354</w:t>
            </w:r>
            <w:r w:rsidR="00C70ABD">
              <w:rPr>
                <w:bCs/>
              </w:rPr>
              <w:t> </w:t>
            </w:r>
            <w:proofErr w:type="spellStart"/>
            <w:r w:rsidR="005C311D" w:rsidRPr="005C311D">
              <w:rPr>
                <w:bCs/>
                <w:i/>
              </w:rPr>
              <w:t>euro</w:t>
            </w:r>
            <w:proofErr w:type="spellEnd"/>
            <w:r w:rsidR="0026770E" w:rsidRPr="004D3C97">
              <w:rPr>
                <w:bCs/>
              </w:rPr>
              <w:t xml:space="preserve"> </w:t>
            </w:r>
            <w:r w:rsidR="00864424">
              <w:rPr>
                <w:bCs/>
              </w:rPr>
              <w:t>EK</w:t>
            </w:r>
            <w:r w:rsidR="0026770E" w:rsidRPr="004D3C97">
              <w:rPr>
                <w:bCs/>
              </w:rPr>
              <w:t xml:space="preserve"> un 20</w:t>
            </w:r>
            <w:r w:rsidR="00C75EE6">
              <w:rPr>
                <w:bCs/>
              </w:rPr>
              <w:t> </w:t>
            </w:r>
            <w:r w:rsidR="0026770E" w:rsidRPr="004D3C97">
              <w:rPr>
                <w:bCs/>
              </w:rPr>
              <w:t xml:space="preserve">% jeb </w:t>
            </w:r>
            <w:r w:rsidR="0026770E">
              <w:rPr>
                <w:bCs/>
              </w:rPr>
              <w:t>6</w:t>
            </w:r>
            <w:r w:rsidR="00622379">
              <w:rPr>
                <w:bCs/>
              </w:rPr>
              <w:t> </w:t>
            </w:r>
            <w:r w:rsidR="0026770E">
              <w:rPr>
                <w:bCs/>
              </w:rPr>
              <w:t>088</w:t>
            </w:r>
            <w:r w:rsidR="00622379">
              <w:rPr>
                <w:bCs/>
              </w:rPr>
              <w:t> </w:t>
            </w:r>
            <w:proofErr w:type="spellStart"/>
            <w:r w:rsidR="005C311D" w:rsidRPr="005C311D">
              <w:rPr>
                <w:bCs/>
                <w:i/>
              </w:rPr>
              <w:t>euro</w:t>
            </w:r>
            <w:proofErr w:type="spellEnd"/>
            <w:r w:rsidR="0026770E" w:rsidRPr="004D3C97">
              <w:rPr>
                <w:bCs/>
              </w:rPr>
              <w:t xml:space="preserve"> nodrošina nacionālais līdzfinansējums. Ņemot vērā, ka Latvijai pievienotās vērtības nodoklis jāmaksā pa</w:t>
            </w:r>
            <w:r w:rsidR="00627FBB">
              <w:rPr>
                <w:bCs/>
              </w:rPr>
              <w:t xml:space="preserve">r visu projekta budžetu, kas ir </w:t>
            </w:r>
            <w:r w:rsidR="0026770E">
              <w:rPr>
                <w:bCs/>
              </w:rPr>
              <w:t>5 220</w:t>
            </w:r>
            <w:r w:rsidR="00C70ABD">
              <w:rPr>
                <w:bCs/>
              </w:rPr>
              <w:t> </w:t>
            </w:r>
            <w:proofErr w:type="spellStart"/>
            <w:r w:rsidR="005C311D" w:rsidRPr="005C311D">
              <w:rPr>
                <w:bCs/>
                <w:i/>
              </w:rPr>
              <w:t>euro</w:t>
            </w:r>
            <w:proofErr w:type="spellEnd"/>
            <w:r w:rsidR="0026770E" w:rsidRPr="004D3C97">
              <w:rPr>
                <w:bCs/>
              </w:rPr>
              <w:t>, Latvijas nacionālais līdzfinansējums kopā ir</w:t>
            </w:r>
            <w:r w:rsidR="0026770E">
              <w:rPr>
                <w:bCs/>
              </w:rPr>
              <w:t xml:space="preserve"> 11</w:t>
            </w:r>
            <w:r w:rsidR="00622379">
              <w:rPr>
                <w:bCs/>
              </w:rPr>
              <w:t> </w:t>
            </w:r>
            <w:r w:rsidR="0026770E">
              <w:rPr>
                <w:bCs/>
              </w:rPr>
              <w:t>308</w:t>
            </w:r>
            <w:r w:rsidR="00622379">
              <w:rPr>
                <w:bCs/>
              </w:rPr>
              <w:t> </w:t>
            </w:r>
            <w:proofErr w:type="spellStart"/>
            <w:r w:rsidR="005C311D" w:rsidRPr="005C311D">
              <w:rPr>
                <w:bCs/>
                <w:i/>
              </w:rPr>
              <w:t>euro</w:t>
            </w:r>
            <w:proofErr w:type="spellEnd"/>
            <w:r w:rsidR="0026770E" w:rsidRPr="004D3C97">
              <w:rPr>
                <w:bCs/>
              </w:rPr>
              <w:t xml:space="preserve">. </w:t>
            </w:r>
            <w:r w:rsidR="0026770E">
              <w:rPr>
                <w:bCs/>
              </w:rPr>
              <w:t xml:space="preserve">Papildus nepieciešams finansējums no valsts budžeta </w:t>
            </w:r>
            <w:proofErr w:type="spellStart"/>
            <w:r w:rsidR="0026770E">
              <w:rPr>
                <w:bCs/>
              </w:rPr>
              <w:t>priekšfinansējuma</w:t>
            </w:r>
            <w:proofErr w:type="spellEnd"/>
            <w:r w:rsidR="0026770E">
              <w:rPr>
                <w:bCs/>
              </w:rPr>
              <w:t xml:space="preserve"> nodrošināšanai (50</w:t>
            </w:r>
            <w:r w:rsidR="00C75EE6">
              <w:rPr>
                <w:bCs/>
              </w:rPr>
              <w:t> </w:t>
            </w:r>
            <w:r w:rsidR="0026770E">
              <w:rPr>
                <w:bCs/>
              </w:rPr>
              <w:t>% no EK granta) 12</w:t>
            </w:r>
            <w:r w:rsidR="00622379">
              <w:rPr>
                <w:bCs/>
              </w:rPr>
              <w:t> </w:t>
            </w:r>
            <w:r w:rsidR="0026770E">
              <w:rPr>
                <w:bCs/>
              </w:rPr>
              <w:t>177</w:t>
            </w:r>
            <w:r w:rsidR="00622379">
              <w:rPr>
                <w:bCs/>
              </w:rPr>
              <w:t> </w:t>
            </w:r>
            <w:proofErr w:type="spellStart"/>
            <w:r w:rsidR="005C311D" w:rsidRPr="005C311D">
              <w:rPr>
                <w:bCs/>
                <w:i/>
              </w:rPr>
              <w:t>euro</w:t>
            </w:r>
            <w:proofErr w:type="spellEnd"/>
            <w:r w:rsidR="0026770E">
              <w:rPr>
                <w:bCs/>
              </w:rPr>
              <w:t xml:space="preserve"> apmērā. </w:t>
            </w:r>
            <w:proofErr w:type="spellStart"/>
            <w:r w:rsidR="0026770E">
              <w:rPr>
                <w:bCs/>
              </w:rPr>
              <w:t>Priekšfinansējums</w:t>
            </w:r>
            <w:proofErr w:type="spellEnd"/>
            <w:r w:rsidR="0026770E">
              <w:rPr>
                <w:bCs/>
              </w:rPr>
              <w:t xml:space="preserve"> kā gala maksājums </w:t>
            </w:r>
            <w:r w:rsidR="0026770E" w:rsidRPr="00B4748C">
              <w:rPr>
                <w:bCs/>
              </w:rPr>
              <w:t xml:space="preserve">tiks </w:t>
            </w:r>
            <w:r w:rsidR="0054446A" w:rsidRPr="00B4748C">
              <w:rPr>
                <w:bCs/>
              </w:rPr>
              <w:t xml:space="preserve">veikts </w:t>
            </w:r>
            <w:r w:rsidR="0026770E" w:rsidRPr="00B4748C">
              <w:rPr>
                <w:bCs/>
              </w:rPr>
              <w:t xml:space="preserve">pēc noslēguma ziņojuma un finanšu pārskata saņemšanas un apstiprināšanas </w:t>
            </w:r>
            <w:r w:rsidR="0026770E" w:rsidRPr="00CB5C36">
              <w:rPr>
                <w:bCs/>
              </w:rPr>
              <w:t>E</w:t>
            </w:r>
            <w:r w:rsidR="0054446A" w:rsidRPr="00CB5C36">
              <w:rPr>
                <w:bCs/>
              </w:rPr>
              <w:t xml:space="preserve">iropas </w:t>
            </w:r>
            <w:r w:rsidR="0026770E" w:rsidRPr="00CB5C36">
              <w:rPr>
                <w:bCs/>
              </w:rPr>
              <w:t>K</w:t>
            </w:r>
            <w:r w:rsidR="0054446A" w:rsidRPr="00CB5C36">
              <w:rPr>
                <w:bCs/>
              </w:rPr>
              <w:t>omisijā</w:t>
            </w:r>
            <w:r w:rsidR="002A76B0" w:rsidRPr="00CB5C36">
              <w:rPr>
                <w:bCs/>
              </w:rPr>
              <w:t xml:space="preserve">. </w:t>
            </w:r>
            <w:r w:rsidR="0054446A" w:rsidRPr="00CB5C36">
              <w:rPr>
                <w:bCs/>
              </w:rPr>
              <w:t xml:space="preserve">OLAF/2015/D1/023 granta līguma I.4.1.punktā </w:t>
            </w:r>
            <w:r w:rsidR="0054446A" w:rsidRPr="00CB5C36">
              <w:rPr>
                <w:bCs/>
                <w:i/>
              </w:rPr>
              <w:t>“</w:t>
            </w:r>
            <w:proofErr w:type="spellStart"/>
            <w:r w:rsidR="0054446A" w:rsidRPr="00CB5C36">
              <w:rPr>
                <w:bCs/>
                <w:i/>
              </w:rPr>
              <w:t>Reporting</w:t>
            </w:r>
            <w:proofErr w:type="spellEnd"/>
            <w:r w:rsidR="0054446A" w:rsidRPr="00CB5C36">
              <w:rPr>
                <w:bCs/>
                <w:i/>
              </w:rPr>
              <w:t xml:space="preserve"> periods, </w:t>
            </w:r>
            <w:proofErr w:type="spellStart"/>
            <w:r w:rsidR="0054446A" w:rsidRPr="00CB5C36">
              <w:rPr>
                <w:bCs/>
                <w:i/>
              </w:rPr>
              <w:t>payments</w:t>
            </w:r>
            <w:proofErr w:type="spellEnd"/>
            <w:r w:rsidR="0054446A" w:rsidRPr="00CB5C36">
              <w:rPr>
                <w:bCs/>
                <w:i/>
              </w:rPr>
              <w:t xml:space="preserve"> </w:t>
            </w:r>
            <w:proofErr w:type="spellStart"/>
            <w:r w:rsidR="0054446A" w:rsidRPr="00CB5C36">
              <w:rPr>
                <w:bCs/>
                <w:i/>
              </w:rPr>
              <w:t>and</w:t>
            </w:r>
            <w:proofErr w:type="spellEnd"/>
            <w:r w:rsidR="0054446A" w:rsidRPr="00CB5C36">
              <w:rPr>
                <w:bCs/>
                <w:i/>
              </w:rPr>
              <w:t xml:space="preserve"> </w:t>
            </w:r>
            <w:proofErr w:type="spellStart"/>
            <w:r w:rsidR="0054446A" w:rsidRPr="00CB5C36">
              <w:rPr>
                <w:bCs/>
                <w:i/>
              </w:rPr>
              <w:t>additional</w:t>
            </w:r>
            <w:proofErr w:type="spellEnd"/>
            <w:r w:rsidR="0054446A" w:rsidRPr="00CB5C36">
              <w:rPr>
                <w:bCs/>
                <w:i/>
              </w:rPr>
              <w:t xml:space="preserve"> </w:t>
            </w:r>
            <w:proofErr w:type="spellStart"/>
            <w:r w:rsidR="0054446A" w:rsidRPr="00CB5C36">
              <w:rPr>
                <w:bCs/>
                <w:i/>
              </w:rPr>
              <w:t>documents</w:t>
            </w:r>
            <w:proofErr w:type="spellEnd"/>
            <w:r w:rsidR="0054446A" w:rsidRPr="00CB5C36">
              <w:rPr>
                <w:bCs/>
              </w:rPr>
              <w:t>” noteikt</w:t>
            </w:r>
            <w:r w:rsidR="002A76B0" w:rsidRPr="00CB5C36">
              <w:rPr>
                <w:bCs/>
              </w:rPr>
              <w:t>s, ka</w:t>
            </w:r>
            <w:r w:rsidR="0054446A" w:rsidRPr="00CB5C36">
              <w:rPr>
                <w:bCs/>
              </w:rPr>
              <w:t xml:space="preserve"> </w:t>
            </w:r>
            <w:r w:rsidR="002A76B0" w:rsidRPr="00CB5C36">
              <w:rPr>
                <w:bCs/>
              </w:rPr>
              <w:t>g</w:t>
            </w:r>
            <w:r w:rsidR="0054446A" w:rsidRPr="00CB5C36">
              <w:rPr>
                <w:bCs/>
              </w:rPr>
              <w:t xml:space="preserve">ala ziņojumi Eiropas Komisijai jānosūta 60 dienu laikā pēc projekta īstenošanas beigām, kas šī projekta gadījumā ir līdz  2016.gada 6.janvārim. </w:t>
            </w:r>
            <w:r w:rsidR="00321396" w:rsidRPr="00CB5C36">
              <w:rPr>
                <w:bCs/>
              </w:rPr>
              <w:t xml:space="preserve">Savukārt OLAF/2015/D1/023 granta līguma I.4.2. punktā noteikts, ka </w:t>
            </w:r>
            <w:r w:rsidR="0092097F" w:rsidRPr="00CB5C36">
              <w:rPr>
                <w:bCs/>
              </w:rPr>
              <w:t xml:space="preserve">termiņš, kurā </w:t>
            </w:r>
            <w:r w:rsidR="00321396" w:rsidRPr="00CB5C36">
              <w:rPr>
                <w:bCs/>
              </w:rPr>
              <w:t xml:space="preserve">Eiropas </w:t>
            </w:r>
            <w:r w:rsidR="00BD403F" w:rsidRPr="00CB5C36">
              <w:rPr>
                <w:bCs/>
              </w:rPr>
              <w:t>K</w:t>
            </w:r>
            <w:r w:rsidR="00321396" w:rsidRPr="00CB5C36">
              <w:rPr>
                <w:bCs/>
              </w:rPr>
              <w:t>omisija</w:t>
            </w:r>
            <w:r w:rsidR="0092097F" w:rsidRPr="00CB5C36">
              <w:rPr>
                <w:bCs/>
              </w:rPr>
              <w:t>i jāveic atlikušais maksājums ir 60 dienas.</w:t>
            </w:r>
            <w:r w:rsidR="00321396" w:rsidRPr="00CB5C36">
              <w:rPr>
                <w:bCs/>
              </w:rPr>
              <w:t xml:space="preserve"> </w:t>
            </w:r>
            <w:r w:rsidR="0054446A" w:rsidRPr="00CB5C36">
              <w:rPr>
                <w:bCs/>
              </w:rPr>
              <w:t xml:space="preserve">Tādējādi pēdējais maksājums var tikt veikts </w:t>
            </w:r>
            <w:r w:rsidR="008873F0" w:rsidRPr="00CB5C36">
              <w:rPr>
                <w:bCs/>
              </w:rPr>
              <w:t xml:space="preserve">ne agrāk kā </w:t>
            </w:r>
            <w:r w:rsidR="0054446A" w:rsidRPr="00CB5C36">
              <w:rPr>
                <w:bCs/>
              </w:rPr>
              <w:t xml:space="preserve"> 2016.gad</w:t>
            </w:r>
            <w:r w:rsidR="002A76B0" w:rsidRPr="00CB5C36">
              <w:rPr>
                <w:bCs/>
              </w:rPr>
              <w:t>a 1.ceturksnī</w:t>
            </w:r>
            <w:r w:rsidR="003D5DDA" w:rsidRPr="00CB5C36">
              <w:t xml:space="preserve"> </w:t>
            </w:r>
            <w:r w:rsidR="003D5DDA" w:rsidRPr="00CB5C36">
              <w:rPr>
                <w:bCs/>
              </w:rPr>
              <w:t>un attiecīgi šis maksājums tiks ieplānots Finanšu ministrijas budžetā kā ārvalstu finanšu palīdzības atmaksa valsts pamatbudžetā.</w:t>
            </w:r>
            <w:r w:rsidR="0026770E">
              <w:rPr>
                <w:bCs/>
              </w:rPr>
              <w:t xml:space="preserve"> </w:t>
            </w:r>
          </w:p>
          <w:p w:rsidR="008E1653" w:rsidRDefault="002A76B0" w:rsidP="00622379">
            <w:pPr>
              <w:ind w:left="83" w:firstLine="367"/>
              <w:jc w:val="both"/>
              <w:rPr>
                <w:bCs/>
              </w:rPr>
            </w:pPr>
            <w:r>
              <w:rPr>
                <w:bCs/>
              </w:rPr>
              <w:t>K</w:t>
            </w:r>
            <w:r w:rsidR="0026770E">
              <w:rPr>
                <w:bCs/>
              </w:rPr>
              <w:t>opējais valsts budžeta finansējuma apmērs projekta īstenošanai ir 23</w:t>
            </w:r>
            <w:r w:rsidR="00C70ABD">
              <w:rPr>
                <w:bCs/>
              </w:rPr>
              <w:t> </w:t>
            </w:r>
            <w:r w:rsidR="0026770E">
              <w:rPr>
                <w:bCs/>
              </w:rPr>
              <w:t>485</w:t>
            </w:r>
            <w:r w:rsidR="00C70ABD">
              <w:rPr>
                <w:bCs/>
              </w:rPr>
              <w:t> </w:t>
            </w:r>
            <w:proofErr w:type="spellStart"/>
            <w:r w:rsidR="005C311D" w:rsidRPr="005C311D">
              <w:rPr>
                <w:bCs/>
                <w:i/>
              </w:rPr>
              <w:t>euro</w:t>
            </w:r>
            <w:proofErr w:type="spellEnd"/>
            <w:r w:rsidR="0026770E">
              <w:rPr>
                <w:bCs/>
              </w:rPr>
              <w:t>.</w:t>
            </w:r>
          </w:p>
          <w:p w:rsidR="0026770E" w:rsidRDefault="0026770E" w:rsidP="00622379">
            <w:pPr>
              <w:ind w:left="83" w:firstLine="367"/>
              <w:jc w:val="both"/>
              <w:rPr>
                <w:bCs/>
              </w:rPr>
            </w:pPr>
            <w:r>
              <w:t>Projekta īstenošanai nepieciešamā finansējuma sadalījums pa gadiem (</w:t>
            </w:r>
            <w:proofErr w:type="spellStart"/>
            <w:r w:rsidR="005C311D" w:rsidRPr="005C311D">
              <w:rPr>
                <w:i/>
              </w:rPr>
              <w:t>euro</w:t>
            </w:r>
            <w:proofErr w:type="spellEnd"/>
            <w:r>
              <w:t>).</w:t>
            </w:r>
          </w:p>
          <w:p w:rsidR="0026770E" w:rsidRDefault="0026770E" w:rsidP="0026770E">
            <w:pPr>
              <w:ind w:firstLine="666"/>
              <w:jc w:val="both"/>
              <w:rPr>
                <w:bCs/>
              </w:rPr>
            </w:pPr>
          </w:p>
          <w:tbl>
            <w:tblPr>
              <w:tblW w:w="6840" w:type="dxa"/>
              <w:tblLook w:val="04A0" w:firstRow="1" w:lastRow="0" w:firstColumn="1" w:lastColumn="0" w:noHBand="0" w:noVBand="1"/>
            </w:tblPr>
            <w:tblGrid>
              <w:gridCol w:w="3000"/>
              <w:gridCol w:w="960"/>
              <w:gridCol w:w="960"/>
              <w:gridCol w:w="960"/>
              <w:gridCol w:w="960"/>
            </w:tblGrid>
            <w:tr w:rsidR="00AF075A" w:rsidRPr="00AF075A" w:rsidTr="00AF075A">
              <w:trPr>
                <w:trHeight w:val="300"/>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75A" w:rsidRPr="0033076F" w:rsidRDefault="00AF075A" w:rsidP="00AF075A">
                  <w:pPr>
                    <w:rPr>
                      <w:color w:val="000000"/>
                      <w:sz w:val="22"/>
                      <w:szCs w:val="22"/>
                      <w:lang w:eastAsia="en-US"/>
                    </w:rPr>
                  </w:pPr>
                  <w:r w:rsidRPr="0033076F">
                    <w:rPr>
                      <w:color w:val="000000"/>
                      <w:sz w:val="22"/>
                      <w:szCs w:val="22"/>
                      <w:lang w:eastAsia="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F075A" w:rsidRPr="002A76B0" w:rsidRDefault="00AF075A" w:rsidP="00AF075A">
                  <w:pPr>
                    <w:jc w:val="right"/>
                    <w:rPr>
                      <w:color w:val="000000"/>
                      <w:sz w:val="22"/>
                      <w:szCs w:val="22"/>
                      <w:lang w:eastAsia="en-US"/>
                    </w:rPr>
                  </w:pPr>
                  <w:r w:rsidRPr="002A76B0">
                    <w:rPr>
                      <w:color w:val="000000"/>
                      <w:sz w:val="22"/>
                      <w:szCs w:val="22"/>
                      <w:lang w:eastAsia="en-US"/>
                    </w:rPr>
                    <w:t>2015</w:t>
                  </w:r>
                  <w:r w:rsidR="00C75EE6" w:rsidRPr="002A76B0">
                    <w:rPr>
                      <w:color w:val="000000"/>
                      <w:sz w:val="22"/>
                      <w:szCs w:val="22"/>
                      <w:lang w:eastAsia="en-US"/>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F075A" w:rsidRPr="002A76B0" w:rsidRDefault="00AF075A" w:rsidP="00AF075A">
                  <w:pPr>
                    <w:jc w:val="right"/>
                    <w:rPr>
                      <w:color w:val="000000"/>
                      <w:sz w:val="22"/>
                      <w:szCs w:val="22"/>
                      <w:lang w:eastAsia="en-US"/>
                    </w:rPr>
                  </w:pPr>
                  <w:r w:rsidRPr="002A76B0">
                    <w:rPr>
                      <w:color w:val="000000"/>
                      <w:sz w:val="22"/>
                      <w:szCs w:val="22"/>
                      <w:lang w:eastAsia="en-US"/>
                    </w:rPr>
                    <w:t>2016</w:t>
                  </w:r>
                  <w:r w:rsidR="00C75EE6" w:rsidRPr="002A76B0">
                    <w:rPr>
                      <w:color w:val="000000"/>
                      <w:sz w:val="22"/>
                      <w:szCs w:val="22"/>
                      <w:lang w:eastAsia="en-US"/>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F075A" w:rsidRPr="002A76B0" w:rsidRDefault="00AF075A" w:rsidP="00AF075A">
                  <w:pPr>
                    <w:jc w:val="right"/>
                    <w:rPr>
                      <w:color w:val="000000"/>
                      <w:sz w:val="22"/>
                      <w:szCs w:val="22"/>
                      <w:lang w:eastAsia="en-US"/>
                    </w:rPr>
                  </w:pPr>
                  <w:r w:rsidRPr="002A76B0">
                    <w:rPr>
                      <w:color w:val="000000"/>
                      <w:sz w:val="22"/>
                      <w:szCs w:val="22"/>
                      <w:lang w:eastAsia="en-US"/>
                    </w:rPr>
                    <w:t>2017</w:t>
                  </w:r>
                  <w:r w:rsidR="00C75EE6" w:rsidRPr="002A76B0">
                    <w:rPr>
                      <w:color w:val="000000"/>
                      <w:sz w:val="22"/>
                      <w:szCs w:val="22"/>
                      <w:lang w:eastAsia="en-US"/>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F075A" w:rsidRPr="002A76B0" w:rsidRDefault="00AF075A" w:rsidP="00AF075A">
                  <w:pPr>
                    <w:rPr>
                      <w:color w:val="000000"/>
                      <w:sz w:val="22"/>
                      <w:szCs w:val="22"/>
                      <w:lang w:eastAsia="en-US"/>
                    </w:rPr>
                  </w:pPr>
                  <w:r w:rsidRPr="002A76B0">
                    <w:rPr>
                      <w:color w:val="000000"/>
                      <w:sz w:val="22"/>
                      <w:szCs w:val="22"/>
                      <w:lang w:eastAsia="en-US"/>
                    </w:rPr>
                    <w:t>Kopā</w:t>
                  </w:r>
                </w:p>
              </w:tc>
            </w:tr>
            <w:tr w:rsidR="00AF075A" w:rsidRPr="00AF075A" w:rsidTr="00AF075A">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AF075A" w:rsidRPr="00504DF7" w:rsidRDefault="00AF075A" w:rsidP="00AF075A">
                  <w:pPr>
                    <w:rPr>
                      <w:color w:val="000000"/>
                      <w:sz w:val="22"/>
                      <w:szCs w:val="22"/>
                      <w:lang w:eastAsia="en-US"/>
                    </w:rPr>
                  </w:pPr>
                  <w:r w:rsidRPr="00504DF7">
                    <w:rPr>
                      <w:color w:val="000000"/>
                      <w:sz w:val="22"/>
                      <w:szCs w:val="22"/>
                      <w:lang w:eastAsia="en-US"/>
                    </w:rPr>
                    <w:t>Projekta kopējās izmaksas</w:t>
                  </w:r>
                </w:p>
              </w:tc>
              <w:tc>
                <w:tcPr>
                  <w:tcW w:w="960" w:type="dxa"/>
                  <w:tcBorders>
                    <w:top w:val="nil"/>
                    <w:left w:val="nil"/>
                    <w:bottom w:val="single" w:sz="4" w:space="0" w:color="auto"/>
                    <w:right w:val="single" w:sz="4" w:space="0" w:color="auto"/>
                  </w:tcBorders>
                  <w:shd w:val="clear" w:color="auto" w:fill="auto"/>
                  <w:noWrap/>
                  <w:vAlign w:val="bottom"/>
                  <w:hideMark/>
                </w:tcPr>
                <w:p w:rsidR="00AF075A" w:rsidRPr="00504DF7" w:rsidRDefault="00AF075A" w:rsidP="00C70ABD">
                  <w:pPr>
                    <w:jc w:val="right"/>
                    <w:rPr>
                      <w:color w:val="000000"/>
                      <w:sz w:val="22"/>
                      <w:szCs w:val="22"/>
                      <w:lang w:eastAsia="en-US"/>
                    </w:rPr>
                  </w:pPr>
                  <w:r w:rsidRPr="00504DF7">
                    <w:rPr>
                      <w:color w:val="000000"/>
                      <w:sz w:val="22"/>
                      <w:szCs w:val="22"/>
                      <w:lang w:eastAsia="en-US"/>
                    </w:rPr>
                    <w:t>30</w:t>
                  </w:r>
                  <w:r w:rsidR="00C70ABD">
                    <w:rPr>
                      <w:color w:val="000000"/>
                      <w:sz w:val="22"/>
                      <w:szCs w:val="22"/>
                      <w:lang w:eastAsia="en-US"/>
                    </w:rPr>
                    <w:t> </w:t>
                  </w:r>
                  <w:r w:rsidRPr="00504DF7">
                    <w:rPr>
                      <w:color w:val="000000"/>
                      <w:sz w:val="22"/>
                      <w:szCs w:val="22"/>
                      <w:lang w:eastAsia="en-US"/>
                    </w:rPr>
                    <w:t>442</w:t>
                  </w:r>
                </w:p>
              </w:tc>
              <w:tc>
                <w:tcPr>
                  <w:tcW w:w="960" w:type="dxa"/>
                  <w:tcBorders>
                    <w:top w:val="nil"/>
                    <w:left w:val="nil"/>
                    <w:bottom w:val="single" w:sz="4" w:space="0" w:color="auto"/>
                    <w:right w:val="single" w:sz="4" w:space="0" w:color="auto"/>
                  </w:tcBorders>
                  <w:shd w:val="clear" w:color="auto" w:fill="auto"/>
                  <w:noWrap/>
                  <w:vAlign w:val="bottom"/>
                  <w:hideMark/>
                </w:tcPr>
                <w:p w:rsidR="00AF075A" w:rsidRPr="00504DF7" w:rsidRDefault="00AF075A" w:rsidP="00AF075A">
                  <w:pPr>
                    <w:rPr>
                      <w:color w:val="000000"/>
                      <w:sz w:val="22"/>
                      <w:szCs w:val="22"/>
                      <w:lang w:eastAsia="en-US"/>
                    </w:rPr>
                  </w:pPr>
                  <w:r w:rsidRPr="00504DF7">
                    <w:rPr>
                      <w:color w:val="000000"/>
                      <w:sz w:val="22"/>
                      <w:szCs w:val="22"/>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AF075A" w:rsidRPr="00504DF7" w:rsidRDefault="00AF075A" w:rsidP="00AF075A">
                  <w:pPr>
                    <w:rPr>
                      <w:color w:val="000000"/>
                      <w:sz w:val="22"/>
                      <w:szCs w:val="22"/>
                      <w:lang w:eastAsia="en-US"/>
                    </w:rPr>
                  </w:pPr>
                  <w:r w:rsidRPr="00504DF7">
                    <w:rPr>
                      <w:color w:val="000000"/>
                      <w:sz w:val="22"/>
                      <w:szCs w:val="22"/>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AF075A" w:rsidRPr="00504DF7" w:rsidRDefault="00AF075A" w:rsidP="00C70ABD">
                  <w:pPr>
                    <w:jc w:val="right"/>
                    <w:rPr>
                      <w:color w:val="000000"/>
                      <w:sz w:val="22"/>
                      <w:szCs w:val="22"/>
                      <w:lang w:eastAsia="en-US"/>
                    </w:rPr>
                  </w:pPr>
                  <w:r w:rsidRPr="00504DF7">
                    <w:rPr>
                      <w:color w:val="000000"/>
                      <w:sz w:val="22"/>
                      <w:szCs w:val="22"/>
                      <w:lang w:eastAsia="en-US"/>
                    </w:rPr>
                    <w:t>30</w:t>
                  </w:r>
                  <w:r w:rsidR="00C70ABD">
                    <w:rPr>
                      <w:color w:val="000000"/>
                      <w:sz w:val="22"/>
                      <w:szCs w:val="22"/>
                      <w:lang w:eastAsia="en-US"/>
                    </w:rPr>
                    <w:t> </w:t>
                  </w:r>
                  <w:r w:rsidRPr="00504DF7">
                    <w:rPr>
                      <w:color w:val="000000"/>
                      <w:sz w:val="22"/>
                      <w:szCs w:val="22"/>
                      <w:lang w:eastAsia="en-US"/>
                    </w:rPr>
                    <w:t>442</w:t>
                  </w:r>
                </w:p>
              </w:tc>
            </w:tr>
            <w:tr w:rsidR="00AF075A" w:rsidRPr="00AF075A" w:rsidTr="00AF075A">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AF075A" w:rsidRPr="00504DF7" w:rsidRDefault="00AF075A" w:rsidP="00AF075A">
                  <w:pPr>
                    <w:rPr>
                      <w:color w:val="000000"/>
                      <w:sz w:val="22"/>
                      <w:szCs w:val="22"/>
                      <w:lang w:eastAsia="en-US"/>
                    </w:rPr>
                  </w:pPr>
                  <w:r w:rsidRPr="00504DF7">
                    <w:rPr>
                      <w:color w:val="000000"/>
                      <w:sz w:val="22"/>
                      <w:szCs w:val="22"/>
                      <w:lang w:eastAsia="en-US"/>
                    </w:rPr>
                    <w:t>EK finansējums 80</w:t>
                  </w:r>
                  <w:r w:rsidR="00C75EE6">
                    <w:rPr>
                      <w:color w:val="000000"/>
                      <w:sz w:val="22"/>
                      <w:szCs w:val="22"/>
                      <w:lang w:eastAsia="en-US"/>
                    </w:rPr>
                    <w:t> </w:t>
                  </w:r>
                  <w:r w:rsidRPr="00504DF7">
                    <w:rPr>
                      <w:color w:val="000000"/>
                      <w:sz w:val="22"/>
                      <w:szCs w:val="22"/>
                      <w:lang w:eastAsia="en-US"/>
                    </w:rPr>
                    <w:t>%</w:t>
                  </w:r>
                </w:p>
              </w:tc>
              <w:tc>
                <w:tcPr>
                  <w:tcW w:w="960" w:type="dxa"/>
                  <w:tcBorders>
                    <w:top w:val="nil"/>
                    <w:left w:val="nil"/>
                    <w:bottom w:val="single" w:sz="4" w:space="0" w:color="auto"/>
                    <w:right w:val="single" w:sz="4" w:space="0" w:color="auto"/>
                  </w:tcBorders>
                  <w:shd w:val="clear" w:color="auto" w:fill="auto"/>
                  <w:noWrap/>
                  <w:vAlign w:val="bottom"/>
                  <w:hideMark/>
                </w:tcPr>
                <w:p w:rsidR="00AF075A" w:rsidRPr="00504DF7" w:rsidRDefault="00AF075A" w:rsidP="00C70ABD">
                  <w:pPr>
                    <w:jc w:val="right"/>
                    <w:rPr>
                      <w:color w:val="000000"/>
                      <w:sz w:val="22"/>
                      <w:szCs w:val="22"/>
                      <w:lang w:eastAsia="en-US"/>
                    </w:rPr>
                  </w:pPr>
                  <w:r w:rsidRPr="00504DF7">
                    <w:rPr>
                      <w:color w:val="000000"/>
                      <w:sz w:val="22"/>
                      <w:szCs w:val="22"/>
                      <w:lang w:eastAsia="en-US"/>
                    </w:rPr>
                    <w:t>24</w:t>
                  </w:r>
                  <w:r w:rsidR="00C70ABD">
                    <w:rPr>
                      <w:color w:val="000000"/>
                      <w:sz w:val="22"/>
                      <w:szCs w:val="22"/>
                      <w:lang w:eastAsia="en-US"/>
                    </w:rPr>
                    <w:t> </w:t>
                  </w:r>
                  <w:r w:rsidRPr="00504DF7">
                    <w:rPr>
                      <w:color w:val="000000"/>
                      <w:sz w:val="22"/>
                      <w:szCs w:val="22"/>
                      <w:lang w:eastAsia="en-US"/>
                    </w:rPr>
                    <w:t>354</w:t>
                  </w:r>
                </w:p>
              </w:tc>
              <w:tc>
                <w:tcPr>
                  <w:tcW w:w="960" w:type="dxa"/>
                  <w:tcBorders>
                    <w:top w:val="nil"/>
                    <w:left w:val="nil"/>
                    <w:bottom w:val="single" w:sz="4" w:space="0" w:color="auto"/>
                    <w:right w:val="single" w:sz="4" w:space="0" w:color="auto"/>
                  </w:tcBorders>
                  <w:shd w:val="clear" w:color="auto" w:fill="auto"/>
                  <w:noWrap/>
                  <w:vAlign w:val="bottom"/>
                  <w:hideMark/>
                </w:tcPr>
                <w:p w:rsidR="00AF075A" w:rsidRPr="00504DF7" w:rsidRDefault="00AF075A" w:rsidP="00AF075A">
                  <w:pPr>
                    <w:rPr>
                      <w:color w:val="000000"/>
                      <w:sz w:val="22"/>
                      <w:szCs w:val="22"/>
                      <w:lang w:eastAsia="en-US"/>
                    </w:rPr>
                  </w:pPr>
                  <w:r w:rsidRPr="00504DF7">
                    <w:rPr>
                      <w:color w:val="000000"/>
                      <w:sz w:val="22"/>
                      <w:szCs w:val="22"/>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AF075A" w:rsidRPr="00504DF7" w:rsidRDefault="00AF075A" w:rsidP="00AF075A">
                  <w:pPr>
                    <w:rPr>
                      <w:color w:val="000000"/>
                      <w:sz w:val="22"/>
                      <w:szCs w:val="22"/>
                      <w:lang w:eastAsia="en-US"/>
                    </w:rPr>
                  </w:pPr>
                  <w:r w:rsidRPr="00504DF7">
                    <w:rPr>
                      <w:color w:val="000000"/>
                      <w:sz w:val="22"/>
                      <w:szCs w:val="22"/>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AF075A" w:rsidRPr="00504DF7" w:rsidRDefault="00AF075A" w:rsidP="00C70ABD">
                  <w:pPr>
                    <w:jc w:val="right"/>
                    <w:rPr>
                      <w:color w:val="000000"/>
                      <w:sz w:val="22"/>
                      <w:szCs w:val="22"/>
                      <w:lang w:eastAsia="en-US"/>
                    </w:rPr>
                  </w:pPr>
                  <w:r w:rsidRPr="00504DF7">
                    <w:rPr>
                      <w:color w:val="000000"/>
                      <w:sz w:val="22"/>
                      <w:szCs w:val="22"/>
                      <w:lang w:eastAsia="en-US"/>
                    </w:rPr>
                    <w:t>24</w:t>
                  </w:r>
                  <w:r w:rsidR="00C70ABD">
                    <w:rPr>
                      <w:color w:val="000000"/>
                      <w:sz w:val="22"/>
                      <w:szCs w:val="22"/>
                      <w:lang w:eastAsia="en-US"/>
                    </w:rPr>
                    <w:t> </w:t>
                  </w:r>
                  <w:r w:rsidRPr="00504DF7">
                    <w:rPr>
                      <w:color w:val="000000"/>
                      <w:sz w:val="22"/>
                      <w:szCs w:val="22"/>
                      <w:lang w:eastAsia="en-US"/>
                    </w:rPr>
                    <w:t>354</w:t>
                  </w:r>
                </w:p>
              </w:tc>
            </w:tr>
            <w:tr w:rsidR="00AF075A" w:rsidRPr="00AF075A" w:rsidTr="00622379">
              <w:trPr>
                <w:trHeight w:val="436"/>
              </w:trPr>
              <w:tc>
                <w:tcPr>
                  <w:tcW w:w="3000" w:type="dxa"/>
                  <w:tcBorders>
                    <w:top w:val="nil"/>
                    <w:left w:val="single" w:sz="4" w:space="0" w:color="auto"/>
                    <w:bottom w:val="single" w:sz="4" w:space="0" w:color="auto"/>
                    <w:right w:val="single" w:sz="4" w:space="0" w:color="auto"/>
                  </w:tcBorders>
                  <w:shd w:val="clear" w:color="auto" w:fill="auto"/>
                  <w:hideMark/>
                </w:tcPr>
                <w:p w:rsidR="00AF075A" w:rsidRPr="00504DF7" w:rsidRDefault="00AF075A" w:rsidP="00AF075A">
                  <w:pPr>
                    <w:jc w:val="both"/>
                    <w:rPr>
                      <w:color w:val="000000"/>
                      <w:sz w:val="22"/>
                      <w:szCs w:val="22"/>
                      <w:lang w:eastAsia="en-US"/>
                    </w:rPr>
                  </w:pPr>
                  <w:r w:rsidRPr="00504DF7">
                    <w:rPr>
                      <w:color w:val="000000"/>
                      <w:sz w:val="22"/>
                      <w:szCs w:val="22"/>
                      <w:lang w:eastAsia="en-US"/>
                    </w:rPr>
                    <w:t>EK finansējums (avansa maksājuma daļa 50</w:t>
                  </w:r>
                  <w:r w:rsidR="00C75EE6">
                    <w:rPr>
                      <w:color w:val="000000"/>
                      <w:sz w:val="22"/>
                      <w:szCs w:val="22"/>
                      <w:lang w:eastAsia="en-US"/>
                    </w:rPr>
                    <w:t> </w:t>
                  </w:r>
                  <w:r w:rsidRPr="00504DF7">
                    <w:rPr>
                      <w:color w:val="000000"/>
                      <w:sz w:val="22"/>
                      <w:szCs w:val="22"/>
                      <w:lang w:eastAsia="en-US"/>
                    </w:rPr>
                    <w:t>% apmērā)</w:t>
                  </w:r>
                </w:p>
              </w:tc>
              <w:tc>
                <w:tcPr>
                  <w:tcW w:w="960" w:type="dxa"/>
                  <w:tcBorders>
                    <w:top w:val="nil"/>
                    <w:left w:val="nil"/>
                    <w:bottom w:val="single" w:sz="4" w:space="0" w:color="auto"/>
                    <w:right w:val="single" w:sz="4" w:space="0" w:color="auto"/>
                  </w:tcBorders>
                  <w:shd w:val="clear" w:color="auto" w:fill="auto"/>
                  <w:noWrap/>
                  <w:vAlign w:val="bottom"/>
                  <w:hideMark/>
                </w:tcPr>
                <w:p w:rsidR="00AF075A" w:rsidRPr="00504DF7" w:rsidRDefault="00AF075A" w:rsidP="00C70ABD">
                  <w:pPr>
                    <w:jc w:val="right"/>
                    <w:rPr>
                      <w:color w:val="000000"/>
                      <w:sz w:val="22"/>
                      <w:szCs w:val="22"/>
                      <w:lang w:eastAsia="en-US"/>
                    </w:rPr>
                  </w:pPr>
                  <w:r w:rsidRPr="00504DF7">
                    <w:rPr>
                      <w:color w:val="000000"/>
                      <w:sz w:val="22"/>
                      <w:szCs w:val="22"/>
                      <w:lang w:eastAsia="en-US"/>
                    </w:rPr>
                    <w:t>12</w:t>
                  </w:r>
                  <w:r w:rsidR="00C70ABD">
                    <w:rPr>
                      <w:color w:val="000000"/>
                      <w:sz w:val="22"/>
                      <w:szCs w:val="22"/>
                      <w:lang w:eastAsia="en-US"/>
                    </w:rPr>
                    <w:t> </w:t>
                  </w:r>
                  <w:r w:rsidRPr="00504DF7">
                    <w:rPr>
                      <w:color w:val="000000"/>
                      <w:sz w:val="22"/>
                      <w:szCs w:val="22"/>
                      <w:lang w:eastAsia="en-US"/>
                    </w:rPr>
                    <w:t>177</w:t>
                  </w:r>
                </w:p>
              </w:tc>
              <w:tc>
                <w:tcPr>
                  <w:tcW w:w="960" w:type="dxa"/>
                  <w:tcBorders>
                    <w:top w:val="nil"/>
                    <w:left w:val="nil"/>
                    <w:bottom w:val="single" w:sz="4" w:space="0" w:color="auto"/>
                    <w:right w:val="single" w:sz="4" w:space="0" w:color="auto"/>
                  </w:tcBorders>
                  <w:shd w:val="clear" w:color="auto" w:fill="auto"/>
                  <w:noWrap/>
                  <w:vAlign w:val="bottom"/>
                  <w:hideMark/>
                </w:tcPr>
                <w:p w:rsidR="00AF075A" w:rsidRPr="00504DF7" w:rsidRDefault="00AF075A" w:rsidP="00AF075A">
                  <w:pPr>
                    <w:rPr>
                      <w:color w:val="000000"/>
                      <w:sz w:val="22"/>
                      <w:szCs w:val="22"/>
                      <w:lang w:eastAsia="en-US"/>
                    </w:rPr>
                  </w:pPr>
                  <w:r w:rsidRPr="00504DF7">
                    <w:rPr>
                      <w:color w:val="000000"/>
                      <w:sz w:val="22"/>
                      <w:szCs w:val="22"/>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AF075A" w:rsidRPr="00504DF7" w:rsidRDefault="00AF075A" w:rsidP="00AF075A">
                  <w:pPr>
                    <w:rPr>
                      <w:color w:val="000000"/>
                      <w:sz w:val="22"/>
                      <w:szCs w:val="22"/>
                      <w:lang w:eastAsia="en-US"/>
                    </w:rPr>
                  </w:pPr>
                  <w:r w:rsidRPr="00504DF7">
                    <w:rPr>
                      <w:color w:val="000000"/>
                      <w:sz w:val="22"/>
                      <w:szCs w:val="22"/>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AF075A" w:rsidRPr="00504DF7" w:rsidRDefault="00AF075A" w:rsidP="00C70ABD">
                  <w:pPr>
                    <w:jc w:val="right"/>
                    <w:rPr>
                      <w:color w:val="000000"/>
                      <w:sz w:val="22"/>
                      <w:szCs w:val="22"/>
                      <w:lang w:eastAsia="en-US"/>
                    </w:rPr>
                  </w:pPr>
                  <w:r w:rsidRPr="00504DF7">
                    <w:rPr>
                      <w:color w:val="000000"/>
                      <w:sz w:val="22"/>
                      <w:szCs w:val="22"/>
                      <w:lang w:eastAsia="en-US"/>
                    </w:rPr>
                    <w:t>12</w:t>
                  </w:r>
                  <w:r w:rsidR="00C70ABD">
                    <w:rPr>
                      <w:color w:val="000000"/>
                      <w:sz w:val="22"/>
                      <w:szCs w:val="22"/>
                      <w:lang w:eastAsia="en-US"/>
                    </w:rPr>
                    <w:t> </w:t>
                  </w:r>
                  <w:r w:rsidRPr="00504DF7">
                    <w:rPr>
                      <w:color w:val="000000"/>
                      <w:sz w:val="22"/>
                      <w:szCs w:val="22"/>
                      <w:lang w:eastAsia="en-US"/>
                    </w:rPr>
                    <w:t>177</w:t>
                  </w:r>
                </w:p>
              </w:tc>
            </w:tr>
            <w:tr w:rsidR="00AF075A" w:rsidRPr="00AF075A" w:rsidTr="00622379">
              <w:trPr>
                <w:trHeight w:val="686"/>
              </w:trPr>
              <w:tc>
                <w:tcPr>
                  <w:tcW w:w="3000" w:type="dxa"/>
                  <w:tcBorders>
                    <w:top w:val="nil"/>
                    <w:left w:val="single" w:sz="4" w:space="0" w:color="auto"/>
                    <w:bottom w:val="single" w:sz="4" w:space="0" w:color="auto"/>
                    <w:right w:val="single" w:sz="4" w:space="0" w:color="auto"/>
                  </w:tcBorders>
                  <w:shd w:val="clear" w:color="auto" w:fill="auto"/>
                  <w:hideMark/>
                </w:tcPr>
                <w:p w:rsidR="00AF075A" w:rsidRPr="00504DF7" w:rsidRDefault="00AF075A" w:rsidP="00AF075A">
                  <w:pPr>
                    <w:jc w:val="both"/>
                    <w:rPr>
                      <w:color w:val="000000"/>
                      <w:sz w:val="22"/>
                      <w:szCs w:val="22"/>
                      <w:lang w:eastAsia="en-US"/>
                    </w:rPr>
                  </w:pPr>
                  <w:r w:rsidRPr="00504DF7">
                    <w:rPr>
                      <w:color w:val="000000"/>
                      <w:sz w:val="22"/>
                      <w:szCs w:val="22"/>
                      <w:lang w:eastAsia="en-US"/>
                    </w:rPr>
                    <w:t>Valsts budžeta līdzfinansējums 20</w:t>
                  </w:r>
                  <w:r w:rsidR="00C75EE6">
                    <w:rPr>
                      <w:color w:val="000000"/>
                      <w:sz w:val="22"/>
                      <w:szCs w:val="22"/>
                      <w:lang w:eastAsia="en-US"/>
                    </w:rPr>
                    <w:t> </w:t>
                  </w:r>
                  <w:r w:rsidRPr="00504DF7">
                    <w:rPr>
                      <w:color w:val="000000"/>
                      <w:sz w:val="22"/>
                      <w:szCs w:val="22"/>
                      <w:lang w:eastAsia="en-US"/>
                    </w:rPr>
                    <w:t>% apmērā no projekta finansējuma</w:t>
                  </w:r>
                </w:p>
              </w:tc>
              <w:tc>
                <w:tcPr>
                  <w:tcW w:w="960" w:type="dxa"/>
                  <w:tcBorders>
                    <w:top w:val="nil"/>
                    <w:left w:val="nil"/>
                    <w:bottom w:val="single" w:sz="4" w:space="0" w:color="auto"/>
                    <w:right w:val="single" w:sz="4" w:space="0" w:color="auto"/>
                  </w:tcBorders>
                  <w:shd w:val="clear" w:color="auto" w:fill="auto"/>
                  <w:noWrap/>
                  <w:vAlign w:val="bottom"/>
                  <w:hideMark/>
                </w:tcPr>
                <w:p w:rsidR="00AF075A" w:rsidRPr="00504DF7" w:rsidRDefault="00AF075A" w:rsidP="00C70ABD">
                  <w:pPr>
                    <w:jc w:val="right"/>
                    <w:rPr>
                      <w:color w:val="000000"/>
                      <w:sz w:val="22"/>
                      <w:szCs w:val="22"/>
                      <w:lang w:eastAsia="en-US"/>
                    </w:rPr>
                  </w:pPr>
                  <w:r w:rsidRPr="00504DF7">
                    <w:rPr>
                      <w:color w:val="000000"/>
                      <w:sz w:val="22"/>
                      <w:szCs w:val="22"/>
                      <w:lang w:eastAsia="en-US"/>
                    </w:rPr>
                    <w:t>6</w:t>
                  </w:r>
                  <w:r w:rsidR="00C70ABD">
                    <w:rPr>
                      <w:color w:val="000000"/>
                      <w:sz w:val="22"/>
                      <w:szCs w:val="22"/>
                      <w:lang w:eastAsia="en-US"/>
                    </w:rPr>
                    <w:t> </w:t>
                  </w:r>
                  <w:r w:rsidRPr="00504DF7">
                    <w:rPr>
                      <w:color w:val="000000"/>
                      <w:sz w:val="22"/>
                      <w:szCs w:val="22"/>
                      <w:lang w:eastAsia="en-US"/>
                    </w:rPr>
                    <w:t>088</w:t>
                  </w:r>
                </w:p>
              </w:tc>
              <w:tc>
                <w:tcPr>
                  <w:tcW w:w="960" w:type="dxa"/>
                  <w:tcBorders>
                    <w:top w:val="nil"/>
                    <w:left w:val="nil"/>
                    <w:bottom w:val="single" w:sz="4" w:space="0" w:color="auto"/>
                    <w:right w:val="single" w:sz="4" w:space="0" w:color="auto"/>
                  </w:tcBorders>
                  <w:shd w:val="clear" w:color="auto" w:fill="auto"/>
                  <w:noWrap/>
                  <w:vAlign w:val="bottom"/>
                  <w:hideMark/>
                </w:tcPr>
                <w:p w:rsidR="00AF075A" w:rsidRPr="00504DF7" w:rsidRDefault="00AF075A" w:rsidP="00AF075A">
                  <w:pPr>
                    <w:rPr>
                      <w:color w:val="000000"/>
                      <w:sz w:val="22"/>
                      <w:szCs w:val="22"/>
                      <w:lang w:eastAsia="en-US"/>
                    </w:rPr>
                  </w:pPr>
                  <w:r w:rsidRPr="00504DF7">
                    <w:rPr>
                      <w:color w:val="000000"/>
                      <w:sz w:val="22"/>
                      <w:szCs w:val="22"/>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AF075A" w:rsidRPr="00504DF7" w:rsidRDefault="00AF075A" w:rsidP="00AF075A">
                  <w:pPr>
                    <w:rPr>
                      <w:color w:val="000000"/>
                      <w:sz w:val="22"/>
                      <w:szCs w:val="22"/>
                      <w:lang w:eastAsia="en-US"/>
                    </w:rPr>
                  </w:pPr>
                  <w:r w:rsidRPr="00504DF7">
                    <w:rPr>
                      <w:color w:val="000000"/>
                      <w:sz w:val="22"/>
                      <w:szCs w:val="22"/>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AF075A" w:rsidRPr="00504DF7" w:rsidRDefault="00AF075A" w:rsidP="00C70ABD">
                  <w:pPr>
                    <w:jc w:val="right"/>
                    <w:rPr>
                      <w:color w:val="000000"/>
                      <w:sz w:val="22"/>
                      <w:szCs w:val="22"/>
                      <w:lang w:eastAsia="en-US"/>
                    </w:rPr>
                  </w:pPr>
                  <w:r w:rsidRPr="00504DF7">
                    <w:rPr>
                      <w:color w:val="000000"/>
                      <w:sz w:val="22"/>
                      <w:szCs w:val="22"/>
                      <w:lang w:eastAsia="en-US"/>
                    </w:rPr>
                    <w:t>6</w:t>
                  </w:r>
                  <w:r w:rsidR="00C70ABD">
                    <w:rPr>
                      <w:color w:val="000000"/>
                      <w:sz w:val="22"/>
                      <w:szCs w:val="22"/>
                      <w:lang w:eastAsia="en-US"/>
                    </w:rPr>
                    <w:t> </w:t>
                  </w:r>
                  <w:r w:rsidRPr="00504DF7">
                    <w:rPr>
                      <w:color w:val="000000"/>
                      <w:sz w:val="22"/>
                      <w:szCs w:val="22"/>
                      <w:lang w:eastAsia="en-US"/>
                    </w:rPr>
                    <w:t>088</w:t>
                  </w:r>
                </w:p>
              </w:tc>
            </w:tr>
            <w:tr w:rsidR="00AF075A" w:rsidRPr="00AF075A" w:rsidTr="00622379">
              <w:trPr>
                <w:trHeight w:val="755"/>
              </w:trPr>
              <w:tc>
                <w:tcPr>
                  <w:tcW w:w="3000" w:type="dxa"/>
                  <w:tcBorders>
                    <w:top w:val="nil"/>
                    <w:left w:val="single" w:sz="4" w:space="0" w:color="auto"/>
                    <w:bottom w:val="single" w:sz="4" w:space="0" w:color="auto"/>
                    <w:right w:val="single" w:sz="4" w:space="0" w:color="auto"/>
                  </w:tcBorders>
                  <w:shd w:val="clear" w:color="auto" w:fill="auto"/>
                  <w:hideMark/>
                </w:tcPr>
                <w:p w:rsidR="00AF075A" w:rsidRPr="00504DF7" w:rsidRDefault="00AF075A" w:rsidP="00AF075A">
                  <w:pPr>
                    <w:jc w:val="both"/>
                    <w:rPr>
                      <w:color w:val="000000"/>
                      <w:sz w:val="22"/>
                      <w:szCs w:val="22"/>
                      <w:lang w:eastAsia="en-US"/>
                    </w:rPr>
                  </w:pPr>
                  <w:r w:rsidRPr="00504DF7">
                    <w:rPr>
                      <w:color w:val="000000"/>
                      <w:sz w:val="22"/>
                      <w:szCs w:val="22"/>
                      <w:lang w:eastAsia="en-US"/>
                    </w:rPr>
                    <w:t xml:space="preserve">Valsts budžeta </w:t>
                  </w:r>
                  <w:proofErr w:type="spellStart"/>
                  <w:r w:rsidRPr="00504DF7">
                    <w:rPr>
                      <w:color w:val="000000"/>
                      <w:sz w:val="22"/>
                      <w:szCs w:val="22"/>
                      <w:lang w:eastAsia="en-US"/>
                    </w:rPr>
                    <w:t>priekšfinansējums</w:t>
                  </w:r>
                  <w:proofErr w:type="spellEnd"/>
                  <w:r w:rsidRPr="00504DF7">
                    <w:rPr>
                      <w:color w:val="000000"/>
                      <w:sz w:val="22"/>
                      <w:szCs w:val="22"/>
                      <w:lang w:eastAsia="en-US"/>
                    </w:rPr>
                    <w:t xml:space="preserve"> EK līdzfinansējuma gala maksājuma daļai 50</w:t>
                  </w:r>
                  <w:r w:rsidR="00C75EE6">
                    <w:rPr>
                      <w:color w:val="000000"/>
                      <w:sz w:val="22"/>
                      <w:szCs w:val="22"/>
                      <w:lang w:eastAsia="en-US"/>
                    </w:rPr>
                    <w:t> </w:t>
                  </w:r>
                  <w:r w:rsidRPr="00504DF7">
                    <w:rPr>
                      <w:color w:val="000000"/>
                      <w:sz w:val="22"/>
                      <w:szCs w:val="22"/>
                      <w:lang w:eastAsia="en-US"/>
                    </w:rPr>
                    <w:t>% apmērā</w:t>
                  </w:r>
                </w:p>
              </w:tc>
              <w:tc>
                <w:tcPr>
                  <w:tcW w:w="960" w:type="dxa"/>
                  <w:tcBorders>
                    <w:top w:val="nil"/>
                    <w:left w:val="nil"/>
                    <w:bottom w:val="single" w:sz="4" w:space="0" w:color="auto"/>
                    <w:right w:val="single" w:sz="4" w:space="0" w:color="auto"/>
                  </w:tcBorders>
                  <w:shd w:val="clear" w:color="auto" w:fill="auto"/>
                  <w:noWrap/>
                  <w:vAlign w:val="bottom"/>
                  <w:hideMark/>
                </w:tcPr>
                <w:p w:rsidR="00AF075A" w:rsidRPr="00504DF7" w:rsidRDefault="00AF075A" w:rsidP="00C70ABD">
                  <w:pPr>
                    <w:jc w:val="right"/>
                    <w:rPr>
                      <w:color w:val="000000"/>
                      <w:sz w:val="22"/>
                      <w:szCs w:val="22"/>
                      <w:lang w:eastAsia="en-US"/>
                    </w:rPr>
                  </w:pPr>
                  <w:r w:rsidRPr="00504DF7">
                    <w:rPr>
                      <w:color w:val="000000"/>
                      <w:sz w:val="22"/>
                      <w:szCs w:val="22"/>
                      <w:lang w:eastAsia="en-US"/>
                    </w:rPr>
                    <w:t>12</w:t>
                  </w:r>
                  <w:r w:rsidR="00C70ABD">
                    <w:rPr>
                      <w:color w:val="000000"/>
                      <w:sz w:val="22"/>
                      <w:szCs w:val="22"/>
                      <w:lang w:eastAsia="en-US"/>
                    </w:rPr>
                    <w:t> </w:t>
                  </w:r>
                  <w:r w:rsidRPr="00504DF7">
                    <w:rPr>
                      <w:color w:val="000000"/>
                      <w:sz w:val="22"/>
                      <w:szCs w:val="22"/>
                      <w:lang w:eastAsia="en-US"/>
                    </w:rPr>
                    <w:t>177</w:t>
                  </w:r>
                </w:p>
              </w:tc>
              <w:tc>
                <w:tcPr>
                  <w:tcW w:w="960" w:type="dxa"/>
                  <w:tcBorders>
                    <w:top w:val="nil"/>
                    <w:left w:val="nil"/>
                    <w:bottom w:val="single" w:sz="4" w:space="0" w:color="auto"/>
                    <w:right w:val="single" w:sz="4" w:space="0" w:color="auto"/>
                  </w:tcBorders>
                  <w:shd w:val="clear" w:color="auto" w:fill="auto"/>
                  <w:noWrap/>
                  <w:vAlign w:val="bottom"/>
                  <w:hideMark/>
                </w:tcPr>
                <w:p w:rsidR="00AF075A" w:rsidRPr="00504DF7" w:rsidRDefault="00AF075A" w:rsidP="00AF075A">
                  <w:pPr>
                    <w:rPr>
                      <w:color w:val="000000"/>
                      <w:sz w:val="22"/>
                      <w:szCs w:val="22"/>
                      <w:lang w:eastAsia="en-US"/>
                    </w:rPr>
                  </w:pPr>
                  <w:r w:rsidRPr="00504DF7">
                    <w:rPr>
                      <w:color w:val="000000"/>
                      <w:sz w:val="22"/>
                      <w:szCs w:val="22"/>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AF075A" w:rsidRPr="00504DF7" w:rsidRDefault="00AF075A" w:rsidP="00AF075A">
                  <w:pPr>
                    <w:rPr>
                      <w:color w:val="000000"/>
                      <w:sz w:val="22"/>
                      <w:szCs w:val="22"/>
                      <w:lang w:eastAsia="en-US"/>
                    </w:rPr>
                  </w:pPr>
                  <w:r w:rsidRPr="00504DF7">
                    <w:rPr>
                      <w:color w:val="000000"/>
                      <w:sz w:val="22"/>
                      <w:szCs w:val="22"/>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AF075A" w:rsidRPr="00504DF7" w:rsidRDefault="00AF075A" w:rsidP="00C70ABD">
                  <w:pPr>
                    <w:jc w:val="right"/>
                    <w:rPr>
                      <w:color w:val="000000"/>
                      <w:sz w:val="22"/>
                      <w:szCs w:val="22"/>
                      <w:lang w:eastAsia="en-US"/>
                    </w:rPr>
                  </w:pPr>
                  <w:r w:rsidRPr="00504DF7">
                    <w:rPr>
                      <w:color w:val="000000"/>
                      <w:sz w:val="22"/>
                      <w:szCs w:val="22"/>
                      <w:lang w:eastAsia="en-US"/>
                    </w:rPr>
                    <w:t>12</w:t>
                  </w:r>
                  <w:r w:rsidR="00C70ABD">
                    <w:rPr>
                      <w:color w:val="000000"/>
                      <w:sz w:val="22"/>
                      <w:szCs w:val="22"/>
                      <w:lang w:eastAsia="en-US"/>
                    </w:rPr>
                    <w:t> </w:t>
                  </w:r>
                  <w:r w:rsidRPr="00504DF7">
                    <w:rPr>
                      <w:color w:val="000000"/>
                      <w:sz w:val="22"/>
                      <w:szCs w:val="22"/>
                      <w:lang w:eastAsia="en-US"/>
                    </w:rPr>
                    <w:t>177</w:t>
                  </w:r>
                </w:p>
              </w:tc>
            </w:tr>
            <w:tr w:rsidR="00AF075A" w:rsidRPr="00AF075A" w:rsidTr="00AF075A">
              <w:trPr>
                <w:trHeight w:val="300"/>
              </w:trPr>
              <w:tc>
                <w:tcPr>
                  <w:tcW w:w="3000" w:type="dxa"/>
                  <w:tcBorders>
                    <w:top w:val="nil"/>
                    <w:left w:val="single" w:sz="4" w:space="0" w:color="auto"/>
                    <w:bottom w:val="single" w:sz="4" w:space="0" w:color="auto"/>
                    <w:right w:val="single" w:sz="4" w:space="0" w:color="auto"/>
                  </w:tcBorders>
                  <w:shd w:val="clear" w:color="auto" w:fill="auto"/>
                  <w:hideMark/>
                </w:tcPr>
                <w:p w:rsidR="00AF075A" w:rsidRPr="00504DF7" w:rsidRDefault="00AF075A" w:rsidP="00AF075A">
                  <w:pPr>
                    <w:jc w:val="both"/>
                    <w:rPr>
                      <w:color w:val="000000"/>
                      <w:sz w:val="22"/>
                      <w:szCs w:val="22"/>
                      <w:lang w:eastAsia="en-US"/>
                    </w:rPr>
                  </w:pPr>
                  <w:r w:rsidRPr="00504DF7">
                    <w:rPr>
                      <w:color w:val="000000"/>
                      <w:sz w:val="22"/>
                      <w:szCs w:val="22"/>
                      <w:lang w:eastAsia="en-US"/>
                    </w:rPr>
                    <w:t>Pievienotās vērtības nodoklis</w:t>
                  </w:r>
                </w:p>
              </w:tc>
              <w:tc>
                <w:tcPr>
                  <w:tcW w:w="960" w:type="dxa"/>
                  <w:tcBorders>
                    <w:top w:val="nil"/>
                    <w:left w:val="nil"/>
                    <w:bottom w:val="single" w:sz="4" w:space="0" w:color="auto"/>
                    <w:right w:val="single" w:sz="4" w:space="0" w:color="auto"/>
                  </w:tcBorders>
                  <w:shd w:val="clear" w:color="000000" w:fill="FFFFFF"/>
                  <w:noWrap/>
                  <w:vAlign w:val="bottom"/>
                  <w:hideMark/>
                </w:tcPr>
                <w:p w:rsidR="00AF075A" w:rsidRPr="00504DF7" w:rsidRDefault="00AF075A" w:rsidP="00C70ABD">
                  <w:pPr>
                    <w:jc w:val="right"/>
                    <w:rPr>
                      <w:color w:val="000000"/>
                      <w:sz w:val="22"/>
                      <w:szCs w:val="22"/>
                      <w:lang w:eastAsia="en-US"/>
                    </w:rPr>
                  </w:pPr>
                  <w:r w:rsidRPr="00504DF7">
                    <w:rPr>
                      <w:color w:val="000000"/>
                      <w:sz w:val="22"/>
                      <w:szCs w:val="22"/>
                      <w:lang w:eastAsia="en-US"/>
                    </w:rPr>
                    <w:t>5</w:t>
                  </w:r>
                  <w:r w:rsidR="00C70ABD">
                    <w:rPr>
                      <w:color w:val="000000"/>
                      <w:sz w:val="22"/>
                      <w:szCs w:val="22"/>
                      <w:lang w:eastAsia="en-US"/>
                    </w:rPr>
                    <w:t> </w:t>
                  </w:r>
                  <w:r w:rsidRPr="00504DF7">
                    <w:rPr>
                      <w:color w:val="000000"/>
                      <w:sz w:val="22"/>
                      <w:szCs w:val="22"/>
                      <w:lang w:eastAsia="en-US"/>
                    </w:rPr>
                    <w:t>220</w:t>
                  </w:r>
                </w:p>
              </w:tc>
              <w:tc>
                <w:tcPr>
                  <w:tcW w:w="960" w:type="dxa"/>
                  <w:tcBorders>
                    <w:top w:val="nil"/>
                    <w:left w:val="nil"/>
                    <w:bottom w:val="single" w:sz="4" w:space="0" w:color="auto"/>
                    <w:right w:val="single" w:sz="4" w:space="0" w:color="auto"/>
                  </w:tcBorders>
                  <w:shd w:val="clear" w:color="auto" w:fill="auto"/>
                  <w:noWrap/>
                  <w:vAlign w:val="bottom"/>
                  <w:hideMark/>
                </w:tcPr>
                <w:p w:rsidR="00AF075A" w:rsidRPr="00504DF7" w:rsidRDefault="00AF075A" w:rsidP="00AF075A">
                  <w:pPr>
                    <w:rPr>
                      <w:color w:val="000000"/>
                      <w:sz w:val="22"/>
                      <w:szCs w:val="22"/>
                      <w:lang w:eastAsia="en-US"/>
                    </w:rPr>
                  </w:pPr>
                  <w:r w:rsidRPr="00504DF7">
                    <w:rPr>
                      <w:color w:val="000000"/>
                      <w:sz w:val="22"/>
                      <w:szCs w:val="22"/>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AF075A" w:rsidRPr="00504DF7" w:rsidRDefault="00AF075A" w:rsidP="00AF075A">
                  <w:pPr>
                    <w:rPr>
                      <w:color w:val="000000"/>
                      <w:sz w:val="22"/>
                      <w:szCs w:val="22"/>
                      <w:lang w:eastAsia="en-US"/>
                    </w:rPr>
                  </w:pPr>
                  <w:r w:rsidRPr="00504DF7">
                    <w:rPr>
                      <w:color w:val="000000"/>
                      <w:sz w:val="22"/>
                      <w:szCs w:val="22"/>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AF075A" w:rsidRPr="00504DF7" w:rsidRDefault="00AF075A" w:rsidP="00C70ABD">
                  <w:pPr>
                    <w:jc w:val="right"/>
                    <w:rPr>
                      <w:color w:val="000000"/>
                      <w:sz w:val="22"/>
                      <w:szCs w:val="22"/>
                      <w:lang w:eastAsia="en-US"/>
                    </w:rPr>
                  </w:pPr>
                  <w:r w:rsidRPr="00504DF7">
                    <w:rPr>
                      <w:color w:val="000000"/>
                      <w:sz w:val="22"/>
                      <w:szCs w:val="22"/>
                      <w:lang w:eastAsia="en-US"/>
                    </w:rPr>
                    <w:t>5</w:t>
                  </w:r>
                  <w:r w:rsidR="00C70ABD">
                    <w:rPr>
                      <w:color w:val="000000"/>
                      <w:sz w:val="22"/>
                      <w:szCs w:val="22"/>
                      <w:lang w:eastAsia="en-US"/>
                    </w:rPr>
                    <w:t> </w:t>
                  </w:r>
                  <w:r w:rsidRPr="00504DF7">
                    <w:rPr>
                      <w:color w:val="000000"/>
                      <w:sz w:val="22"/>
                      <w:szCs w:val="22"/>
                      <w:lang w:eastAsia="en-US"/>
                    </w:rPr>
                    <w:t>220</w:t>
                  </w:r>
                </w:p>
              </w:tc>
            </w:tr>
            <w:tr w:rsidR="00AF075A" w:rsidRPr="00AF075A" w:rsidTr="00622379">
              <w:trPr>
                <w:trHeight w:val="516"/>
              </w:trPr>
              <w:tc>
                <w:tcPr>
                  <w:tcW w:w="3000" w:type="dxa"/>
                  <w:tcBorders>
                    <w:top w:val="nil"/>
                    <w:left w:val="single" w:sz="4" w:space="0" w:color="auto"/>
                    <w:bottom w:val="single" w:sz="4" w:space="0" w:color="auto"/>
                    <w:right w:val="single" w:sz="4" w:space="0" w:color="auto"/>
                  </w:tcBorders>
                  <w:shd w:val="clear" w:color="auto" w:fill="auto"/>
                  <w:hideMark/>
                </w:tcPr>
                <w:p w:rsidR="00AF075A" w:rsidRPr="00504DF7" w:rsidRDefault="00AF075A" w:rsidP="00AF075A">
                  <w:pPr>
                    <w:jc w:val="both"/>
                    <w:rPr>
                      <w:b/>
                      <w:bCs/>
                      <w:sz w:val="22"/>
                      <w:szCs w:val="22"/>
                      <w:lang w:eastAsia="en-US"/>
                    </w:rPr>
                  </w:pPr>
                  <w:r w:rsidRPr="00504DF7">
                    <w:rPr>
                      <w:b/>
                      <w:bCs/>
                      <w:sz w:val="22"/>
                      <w:szCs w:val="22"/>
                      <w:lang w:eastAsia="en-US"/>
                    </w:rPr>
                    <w:t>Kopā no valsts budžeta nepieciešamais finansējums</w:t>
                  </w:r>
                </w:p>
              </w:tc>
              <w:tc>
                <w:tcPr>
                  <w:tcW w:w="960" w:type="dxa"/>
                  <w:tcBorders>
                    <w:top w:val="nil"/>
                    <w:left w:val="nil"/>
                    <w:bottom w:val="single" w:sz="4" w:space="0" w:color="auto"/>
                    <w:right w:val="single" w:sz="4" w:space="0" w:color="auto"/>
                  </w:tcBorders>
                  <w:shd w:val="clear" w:color="auto" w:fill="auto"/>
                  <w:noWrap/>
                  <w:vAlign w:val="bottom"/>
                  <w:hideMark/>
                </w:tcPr>
                <w:p w:rsidR="00AF075A" w:rsidRPr="00504DF7" w:rsidRDefault="00AF075A" w:rsidP="00C70ABD">
                  <w:pPr>
                    <w:jc w:val="right"/>
                    <w:rPr>
                      <w:b/>
                      <w:bCs/>
                      <w:sz w:val="22"/>
                      <w:szCs w:val="22"/>
                      <w:lang w:eastAsia="en-US"/>
                    </w:rPr>
                  </w:pPr>
                  <w:r w:rsidRPr="00504DF7">
                    <w:rPr>
                      <w:b/>
                      <w:bCs/>
                      <w:sz w:val="22"/>
                      <w:szCs w:val="22"/>
                      <w:lang w:eastAsia="en-US"/>
                    </w:rPr>
                    <w:t>23</w:t>
                  </w:r>
                  <w:r w:rsidR="00C70ABD">
                    <w:rPr>
                      <w:b/>
                      <w:bCs/>
                      <w:sz w:val="22"/>
                      <w:szCs w:val="22"/>
                      <w:lang w:eastAsia="en-US"/>
                    </w:rPr>
                    <w:t> </w:t>
                  </w:r>
                  <w:r w:rsidRPr="00504DF7">
                    <w:rPr>
                      <w:b/>
                      <w:bCs/>
                      <w:sz w:val="22"/>
                      <w:szCs w:val="22"/>
                      <w:lang w:eastAsia="en-US"/>
                    </w:rPr>
                    <w:t>485</w:t>
                  </w:r>
                </w:p>
              </w:tc>
              <w:tc>
                <w:tcPr>
                  <w:tcW w:w="960" w:type="dxa"/>
                  <w:tcBorders>
                    <w:top w:val="nil"/>
                    <w:left w:val="nil"/>
                    <w:bottom w:val="single" w:sz="4" w:space="0" w:color="auto"/>
                    <w:right w:val="single" w:sz="4" w:space="0" w:color="auto"/>
                  </w:tcBorders>
                  <w:shd w:val="clear" w:color="auto" w:fill="auto"/>
                  <w:noWrap/>
                  <w:vAlign w:val="bottom"/>
                  <w:hideMark/>
                </w:tcPr>
                <w:p w:rsidR="00AF075A" w:rsidRPr="00504DF7" w:rsidRDefault="00AF075A" w:rsidP="00AF075A">
                  <w:pPr>
                    <w:rPr>
                      <w:b/>
                      <w:bCs/>
                      <w:sz w:val="22"/>
                      <w:szCs w:val="22"/>
                      <w:lang w:eastAsia="en-US"/>
                    </w:rPr>
                  </w:pPr>
                  <w:r w:rsidRPr="00504DF7">
                    <w:rPr>
                      <w:b/>
                      <w:bCs/>
                      <w:sz w:val="22"/>
                      <w:szCs w:val="22"/>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AF075A" w:rsidRPr="00504DF7" w:rsidRDefault="00AF075A" w:rsidP="00AF075A">
                  <w:pPr>
                    <w:rPr>
                      <w:b/>
                      <w:bCs/>
                      <w:sz w:val="22"/>
                      <w:szCs w:val="22"/>
                      <w:lang w:eastAsia="en-US"/>
                    </w:rPr>
                  </w:pPr>
                  <w:r w:rsidRPr="00504DF7">
                    <w:rPr>
                      <w:b/>
                      <w:bCs/>
                      <w:sz w:val="22"/>
                      <w:szCs w:val="22"/>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AF075A" w:rsidRPr="00504DF7" w:rsidRDefault="00AF075A" w:rsidP="00C70ABD">
                  <w:pPr>
                    <w:jc w:val="right"/>
                    <w:rPr>
                      <w:b/>
                      <w:bCs/>
                      <w:sz w:val="22"/>
                      <w:szCs w:val="22"/>
                      <w:lang w:eastAsia="en-US"/>
                    </w:rPr>
                  </w:pPr>
                  <w:r w:rsidRPr="00504DF7">
                    <w:rPr>
                      <w:b/>
                      <w:bCs/>
                      <w:sz w:val="22"/>
                      <w:szCs w:val="22"/>
                      <w:lang w:eastAsia="en-US"/>
                    </w:rPr>
                    <w:t>23</w:t>
                  </w:r>
                  <w:r w:rsidR="00C70ABD">
                    <w:rPr>
                      <w:b/>
                      <w:bCs/>
                      <w:sz w:val="22"/>
                      <w:szCs w:val="22"/>
                      <w:lang w:eastAsia="en-US"/>
                    </w:rPr>
                    <w:t> </w:t>
                  </w:r>
                  <w:r w:rsidRPr="00504DF7">
                    <w:rPr>
                      <w:b/>
                      <w:bCs/>
                      <w:sz w:val="22"/>
                      <w:szCs w:val="22"/>
                      <w:lang w:eastAsia="en-US"/>
                    </w:rPr>
                    <w:t>485</w:t>
                  </w:r>
                </w:p>
              </w:tc>
            </w:tr>
            <w:tr w:rsidR="00AF075A" w:rsidRPr="00AF075A" w:rsidTr="00AF075A">
              <w:trPr>
                <w:trHeight w:val="300"/>
              </w:trPr>
              <w:tc>
                <w:tcPr>
                  <w:tcW w:w="3000" w:type="dxa"/>
                  <w:tcBorders>
                    <w:top w:val="nil"/>
                    <w:left w:val="single" w:sz="4" w:space="0" w:color="auto"/>
                    <w:bottom w:val="single" w:sz="4" w:space="0" w:color="auto"/>
                    <w:right w:val="single" w:sz="4" w:space="0" w:color="auto"/>
                  </w:tcBorders>
                  <w:shd w:val="clear" w:color="auto" w:fill="auto"/>
                  <w:hideMark/>
                </w:tcPr>
                <w:p w:rsidR="00AF075A" w:rsidRPr="00504DF7" w:rsidRDefault="00AF075A" w:rsidP="00AF075A">
                  <w:pPr>
                    <w:jc w:val="both"/>
                    <w:rPr>
                      <w:color w:val="000000"/>
                      <w:sz w:val="22"/>
                      <w:szCs w:val="22"/>
                      <w:lang w:eastAsia="en-US"/>
                    </w:rPr>
                  </w:pPr>
                  <w:r w:rsidRPr="00504DF7">
                    <w:rPr>
                      <w:color w:val="000000"/>
                      <w:sz w:val="22"/>
                      <w:szCs w:val="22"/>
                      <w:lang w:eastAsia="en-US"/>
                    </w:rPr>
                    <w:t>Atmaksa valsts pamatbudžetam</w:t>
                  </w:r>
                </w:p>
              </w:tc>
              <w:tc>
                <w:tcPr>
                  <w:tcW w:w="960" w:type="dxa"/>
                  <w:tcBorders>
                    <w:top w:val="nil"/>
                    <w:left w:val="nil"/>
                    <w:bottom w:val="single" w:sz="4" w:space="0" w:color="auto"/>
                    <w:right w:val="single" w:sz="4" w:space="0" w:color="auto"/>
                  </w:tcBorders>
                  <w:shd w:val="clear" w:color="auto" w:fill="auto"/>
                  <w:noWrap/>
                  <w:vAlign w:val="bottom"/>
                  <w:hideMark/>
                </w:tcPr>
                <w:p w:rsidR="00AF075A" w:rsidRPr="00504DF7" w:rsidRDefault="00AF075A" w:rsidP="00AF075A">
                  <w:pPr>
                    <w:rPr>
                      <w:color w:val="000000"/>
                      <w:sz w:val="22"/>
                      <w:szCs w:val="22"/>
                      <w:lang w:eastAsia="en-US"/>
                    </w:rPr>
                  </w:pPr>
                  <w:r w:rsidRPr="00504DF7">
                    <w:rPr>
                      <w:color w:val="000000"/>
                      <w:sz w:val="22"/>
                      <w:szCs w:val="22"/>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AF075A" w:rsidRPr="00504DF7" w:rsidRDefault="00AF075A" w:rsidP="00C70ABD">
                  <w:pPr>
                    <w:jc w:val="right"/>
                    <w:rPr>
                      <w:color w:val="000000"/>
                      <w:sz w:val="22"/>
                      <w:szCs w:val="22"/>
                      <w:lang w:eastAsia="en-US"/>
                    </w:rPr>
                  </w:pPr>
                  <w:r w:rsidRPr="00504DF7">
                    <w:rPr>
                      <w:color w:val="000000"/>
                      <w:sz w:val="22"/>
                      <w:szCs w:val="22"/>
                      <w:lang w:eastAsia="en-US"/>
                    </w:rPr>
                    <w:t>12</w:t>
                  </w:r>
                  <w:r w:rsidR="00C70ABD">
                    <w:rPr>
                      <w:color w:val="000000"/>
                      <w:sz w:val="22"/>
                      <w:szCs w:val="22"/>
                      <w:lang w:eastAsia="en-US"/>
                    </w:rPr>
                    <w:t> </w:t>
                  </w:r>
                  <w:r w:rsidRPr="00504DF7">
                    <w:rPr>
                      <w:color w:val="000000"/>
                      <w:sz w:val="22"/>
                      <w:szCs w:val="22"/>
                      <w:lang w:eastAsia="en-US"/>
                    </w:rPr>
                    <w:t>177</w:t>
                  </w:r>
                </w:p>
              </w:tc>
              <w:tc>
                <w:tcPr>
                  <w:tcW w:w="960" w:type="dxa"/>
                  <w:tcBorders>
                    <w:top w:val="nil"/>
                    <w:left w:val="nil"/>
                    <w:bottom w:val="single" w:sz="4" w:space="0" w:color="auto"/>
                    <w:right w:val="single" w:sz="4" w:space="0" w:color="auto"/>
                  </w:tcBorders>
                  <w:shd w:val="clear" w:color="auto" w:fill="auto"/>
                  <w:noWrap/>
                  <w:vAlign w:val="bottom"/>
                  <w:hideMark/>
                </w:tcPr>
                <w:p w:rsidR="00AF075A" w:rsidRPr="00504DF7" w:rsidRDefault="00AF075A" w:rsidP="00AF075A">
                  <w:pPr>
                    <w:rPr>
                      <w:color w:val="000000"/>
                      <w:sz w:val="22"/>
                      <w:szCs w:val="22"/>
                      <w:lang w:eastAsia="en-US"/>
                    </w:rPr>
                  </w:pPr>
                  <w:r w:rsidRPr="00504DF7">
                    <w:rPr>
                      <w:color w:val="000000"/>
                      <w:sz w:val="22"/>
                      <w:szCs w:val="22"/>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AF075A" w:rsidRPr="00504DF7" w:rsidRDefault="00AF075A" w:rsidP="00C70ABD">
                  <w:pPr>
                    <w:jc w:val="right"/>
                    <w:rPr>
                      <w:color w:val="000000"/>
                      <w:sz w:val="22"/>
                      <w:szCs w:val="22"/>
                      <w:lang w:eastAsia="en-US"/>
                    </w:rPr>
                  </w:pPr>
                  <w:r w:rsidRPr="00504DF7">
                    <w:rPr>
                      <w:color w:val="000000"/>
                      <w:sz w:val="22"/>
                      <w:szCs w:val="22"/>
                      <w:lang w:eastAsia="en-US"/>
                    </w:rPr>
                    <w:t>12</w:t>
                  </w:r>
                  <w:r w:rsidR="00C70ABD">
                    <w:rPr>
                      <w:color w:val="000000"/>
                      <w:sz w:val="22"/>
                      <w:szCs w:val="22"/>
                      <w:lang w:eastAsia="en-US"/>
                    </w:rPr>
                    <w:t> </w:t>
                  </w:r>
                  <w:r w:rsidRPr="00504DF7">
                    <w:rPr>
                      <w:color w:val="000000"/>
                      <w:sz w:val="22"/>
                      <w:szCs w:val="22"/>
                      <w:lang w:eastAsia="en-US"/>
                    </w:rPr>
                    <w:t>177</w:t>
                  </w:r>
                </w:p>
              </w:tc>
            </w:tr>
          </w:tbl>
          <w:p w:rsidR="0026770E" w:rsidRDefault="0026770E" w:rsidP="0026770E">
            <w:pPr>
              <w:ind w:firstLine="666"/>
              <w:jc w:val="both"/>
              <w:rPr>
                <w:bCs/>
              </w:rPr>
            </w:pPr>
          </w:p>
          <w:p w:rsidR="008E1653" w:rsidRPr="0091419C" w:rsidRDefault="003B72D4" w:rsidP="00C01B11">
            <w:pPr>
              <w:ind w:firstLine="367"/>
              <w:jc w:val="both"/>
              <w:rPr>
                <w:bCs/>
                <w:u w:val="single"/>
              </w:rPr>
            </w:pPr>
            <w:r w:rsidRPr="0091419C">
              <w:rPr>
                <w:bCs/>
              </w:rPr>
              <w:t>3)</w:t>
            </w:r>
            <w:r w:rsidR="00C75EE6">
              <w:rPr>
                <w:bCs/>
              </w:rPr>
              <w:t xml:space="preserve"> </w:t>
            </w:r>
            <w:r w:rsidR="00C75EE6">
              <w:rPr>
                <w:bCs/>
                <w:u w:val="single"/>
              </w:rPr>
              <w:t>p</w:t>
            </w:r>
            <w:r w:rsidRPr="0091419C">
              <w:rPr>
                <w:bCs/>
                <w:u w:val="single"/>
              </w:rPr>
              <w:t xml:space="preserve">rojekts </w:t>
            </w:r>
            <w:r w:rsidR="00622379" w:rsidRPr="0091419C">
              <w:rPr>
                <w:bCs/>
                <w:u w:val="single"/>
              </w:rPr>
              <w:t>“</w:t>
            </w:r>
            <w:r w:rsidRPr="0091419C">
              <w:rPr>
                <w:bCs/>
                <w:u w:val="single"/>
              </w:rPr>
              <w:t>VID izmeklēšanas iestāžu tehniskās kapacitātes stiprināšana”.</w:t>
            </w:r>
          </w:p>
          <w:p w:rsidR="008E1653" w:rsidRDefault="003B72D4" w:rsidP="00C01B11">
            <w:pPr>
              <w:ind w:firstLine="367"/>
              <w:jc w:val="both"/>
              <w:rPr>
                <w:bCs/>
              </w:rPr>
            </w:pPr>
            <w:r w:rsidRPr="0042323F">
              <w:rPr>
                <w:bCs/>
              </w:rPr>
              <w:t xml:space="preserve">Paredzamais projekta īstenošanas laiks ir no </w:t>
            </w:r>
            <w:r w:rsidR="0042323F" w:rsidRPr="0042323F">
              <w:rPr>
                <w:bCs/>
              </w:rPr>
              <w:t xml:space="preserve">2016.gada aprīļa </w:t>
            </w:r>
            <w:r w:rsidRPr="0042323F">
              <w:rPr>
                <w:bCs/>
              </w:rPr>
              <w:t>līdz 2016.gada 31.decembrim.</w:t>
            </w:r>
          </w:p>
          <w:p w:rsidR="008E1653" w:rsidRDefault="00B74FF8" w:rsidP="00876965">
            <w:pPr>
              <w:ind w:left="83" w:firstLine="367"/>
              <w:jc w:val="both"/>
              <w:rPr>
                <w:bCs/>
              </w:rPr>
            </w:pPr>
            <w:r>
              <w:rPr>
                <w:bCs/>
              </w:rPr>
              <w:t xml:space="preserve">Projekta </w:t>
            </w:r>
            <w:r w:rsidR="0026770E" w:rsidRPr="00A75432">
              <w:rPr>
                <w:bCs/>
              </w:rPr>
              <w:t>ko</w:t>
            </w:r>
            <w:r>
              <w:rPr>
                <w:bCs/>
              </w:rPr>
              <w:t>pējās provizoriskās izmaksas ir</w:t>
            </w:r>
            <w:r w:rsidR="0026770E">
              <w:rPr>
                <w:bCs/>
              </w:rPr>
              <w:t xml:space="preserve"> </w:t>
            </w:r>
            <w:r w:rsidR="0026770E" w:rsidRPr="00A75432">
              <w:rPr>
                <w:bCs/>
              </w:rPr>
              <w:t>1</w:t>
            </w:r>
            <w:r w:rsidR="00162300">
              <w:rPr>
                <w:bCs/>
              </w:rPr>
              <w:t> </w:t>
            </w:r>
            <w:r w:rsidR="0026770E" w:rsidRPr="00A75432">
              <w:rPr>
                <w:bCs/>
              </w:rPr>
              <w:t>100</w:t>
            </w:r>
            <w:r w:rsidR="00162300">
              <w:rPr>
                <w:bCs/>
              </w:rPr>
              <w:t> </w:t>
            </w:r>
            <w:r w:rsidR="0026770E" w:rsidRPr="00A75432">
              <w:rPr>
                <w:bCs/>
              </w:rPr>
              <w:t>000</w:t>
            </w:r>
            <w:r w:rsidR="00162300">
              <w:rPr>
                <w:bCs/>
              </w:rPr>
              <w:t> </w:t>
            </w:r>
            <w:proofErr w:type="spellStart"/>
            <w:r w:rsidR="005C311D" w:rsidRPr="005C311D">
              <w:rPr>
                <w:bCs/>
                <w:i/>
              </w:rPr>
              <w:t>euro</w:t>
            </w:r>
            <w:proofErr w:type="spellEnd"/>
            <w:r w:rsidR="0026770E" w:rsidRPr="00A75432">
              <w:rPr>
                <w:bCs/>
              </w:rPr>
              <w:t>, no</w:t>
            </w:r>
            <w:r>
              <w:rPr>
                <w:bCs/>
              </w:rPr>
              <w:t xml:space="preserve"> kurām  80</w:t>
            </w:r>
            <w:r w:rsidR="00C75EE6">
              <w:rPr>
                <w:bCs/>
              </w:rPr>
              <w:t> </w:t>
            </w:r>
            <w:r>
              <w:rPr>
                <w:bCs/>
              </w:rPr>
              <w:t>%</w:t>
            </w:r>
            <w:r w:rsidR="00495E01">
              <w:rPr>
                <w:bCs/>
              </w:rPr>
              <w:t xml:space="preserve"> </w:t>
            </w:r>
            <w:r w:rsidR="0026770E" w:rsidRPr="00A75432">
              <w:rPr>
                <w:bCs/>
              </w:rPr>
              <w:t>jeb 880</w:t>
            </w:r>
            <w:r w:rsidR="00622379">
              <w:rPr>
                <w:bCs/>
              </w:rPr>
              <w:t> </w:t>
            </w:r>
            <w:r w:rsidR="0026770E" w:rsidRPr="00A75432">
              <w:rPr>
                <w:bCs/>
              </w:rPr>
              <w:t>000</w:t>
            </w:r>
            <w:r w:rsidR="00622379">
              <w:rPr>
                <w:bCs/>
              </w:rPr>
              <w:t> </w:t>
            </w:r>
            <w:proofErr w:type="spellStart"/>
            <w:r w:rsidR="00622379" w:rsidRPr="00622379">
              <w:rPr>
                <w:bCs/>
                <w:i/>
              </w:rPr>
              <w:t>euro</w:t>
            </w:r>
            <w:proofErr w:type="spellEnd"/>
            <w:r w:rsidR="00C75EE6">
              <w:rPr>
                <w:bCs/>
                <w:i/>
              </w:rPr>
              <w:t xml:space="preserve"> </w:t>
            </w:r>
            <w:r w:rsidR="00C75EE6" w:rsidRPr="0091419C">
              <w:rPr>
                <w:bCs/>
              </w:rPr>
              <w:t>ir</w:t>
            </w:r>
            <w:r w:rsidR="0026770E" w:rsidRPr="00A75432">
              <w:rPr>
                <w:bCs/>
              </w:rPr>
              <w:t xml:space="preserve"> </w:t>
            </w:r>
            <w:r w:rsidR="00864424">
              <w:rPr>
                <w:bCs/>
              </w:rPr>
              <w:t>EK</w:t>
            </w:r>
            <w:r w:rsidR="0026770E" w:rsidRPr="00A75432">
              <w:rPr>
                <w:bCs/>
              </w:rPr>
              <w:t xml:space="preserve"> finansējums un 20</w:t>
            </w:r>
            <w:r w:rsidR="00C70ABD">
              <w:rPr>
                <w:bCs/>
              </w:rPr>
              <w:t> </w:t>
            </w:r>
            <w:r w:rsidR="0026770E" w:rsidRPr="00A75432">
              <w:rPr>
                <w:bCs/>
              </w:rPr>
              <w:t>% jeb 220</w:t>
            </w:r>
            <w:r w:rsidR="00C70ABD">
              <w:rPr>
                <w:bCs/>
              </w:rPr>
              <w:t> </w:t>
            </w:r>
            <w:r w:rsidR="0026770E" w:rsidRPr="00A75432">
              <w:rPr>
                <w:bCs/>
              </w:rPr>
              <w:t>000</w:t>
            </w:r>
            <w:r w:rsidR="00C70ABD">
              <w:rPr>
                <w:bCs/>
              </w:rPr>
              <w:t> </w:t>
            </w:r>
            <w:proofErr w:type="spellStart"/>
            <w:r w:rsidR="005C311D" w:rsidRPr="005C311D">
              <w:rPr>
                <w:bCs/>
                <w:i/>
              </w:rPr>
              <w:t>euro</w:t>
            </w:r>
            <w:proofErr w:type="spellEnd"/>
            <w:r w:rsidR="0026770E" w:rsidRPr="00A75432">
              <w:rPr>
                <w:bCs/>
              </w:rPr>
              <w:t xml:space="preserve"> jāsedz no nacionālā līdzfinansējuma. Ņemot vērā, ka Latvijai jāsedz arī </w:t>
            </w:r>
            <w:r w:rsidR="0026770E" w:rsidRPr="00A75432">
              <w:rPr>
                <w:bCs/>
              </w:rPr>
              <w:lastRenderedPageBreak/>
              <w:t xml:space="preserve">pievienotās vērtības nodokļa maksājumi, kas </w:t>
            </w:r>
            <w:r w:rsidR="0026770E">
              <w:rPr>
                <w:bCs/>
              </w:rPr>
              <w:t xml:space="preserve">no </w:t>
            </w:r>
            <w:r w:rsidR="0026770E" w:rsidRPr="00A75432">
              <w:rPr>
                <w:bCs/>
              </w:rPr>
              <w:t>visa provizoriskā budžeta būtu 231</w:t>
            </w:r>
            <w:r w:rsidR="00495E01">
              <w:rPr>
                <w:bCs/>
              </w:rPr>
              <w:t> </w:t>
            </w:r>
            <w:r w:rsidR="0026770E" w:rsidRPr="00A75432">
              <w:rPr>
                <w:bCs/>
              </w:rPr>
              <w:t>000</w:t>
            </w:r>
            <w:r w:rsidR="00495E01">
              <w:t> </w:t>
            </w:r>
            <w:proofErr w:type="spellStart"/>
            <w:r w:rsidR="005C311D" w:rsidRPr="005C311D">
              <w:rPr>
                <w:bCs/>
                <w:i/>
              </w:rPr>
              <w:t>euro</w:t>
            </w:r>
            <w:proofErr w:type="spellEnd"/>
            <w:r w:rsidR="0026770E" w:rsidRPr="00A75432">
              <w:rPr>
                <w:bCs/>
              </w:rPr>
              <w:t xml:space="preserve">, Latvijas kopējās projekta </w:t>
            </w:r>
            <w:r w:rsidR="00C75EE6" w:rsidRPr="00A75432">
              <w:rPr>
                <w:bCs/>
              </w:rPr>
              <w:t>izmaks</w:t>
            </w:r>
            <w:r w:rsidR="00C75EE6">
              <w:rPr>
                <w:bCs/>
              </w:rPr>
              <w:t>a</w:t>
            </w:r>
            <w:r w:rsidR="00C75EE6" w:rsidRPr="00A75432">
              <w:rPr>
                <w:bCs/>
              </w:rPr>
              <w:t xml:space="preserve">s </w:t>
            </w:r>
            <w:r w:rsidR="0026770E" w:rsidRPr="00A75432">
              <w:rPr>
                <w:bCs/>
              </w:rPr>
              <w:t>būtu</w:t>
            </w:r>
            <w:r w:rsidR="00495E01">
              <w:rPr>
                <w:bCs/>
              </w:rPr>
              <w:t xml:space="preserve"> </w:t>
            </w:r>
            <w:r w:rsidR="0026770E" w:rsidRPr="00A75432">
              <w:rPr>
                <w:bCs/>
              </w:rPr>
              <w:t>451</w:t>
            </w:r>
            <w:r w:rsidR="00495E01">
              <w:rPr>
                <w:bCs/>
              </w:rPr>
              <w:t> </w:t>
            </w:r>
            <w:r w:rsidR="0026770E" w:rsidRPr="00A75432">
              <w:rPr>
                <w:bCs/>
              </w:rPr>
              <w:t>000</w:t>
            </w:r>
            <w:r w:rsidR="00495E01">
              <w:rPr>
                <w:bCs/>
              </w:rPr>
              <w:t> </w:t>
            </w:r>
            <w:proofErr w:type="spellStart"/>
            <w:r w:rsidR="005C311D" w:rsidRPr="005C311D">
              <w:rPr>
                <w:bCs/>
                <w:i/>
              </w:rPr>
              <w:t>euro</w:t>
            </w:r>
            <w:proofErr w:type="spellEnd"/>
            <w:r w:rsidR="0026770E" w:rsidRPr="00A75432">
              <w:rPr>
                <w:bCs/>
              </w:rPr>
              <w:t>. P</w:t>
            </w:r>
            <w:r w:rsidR="00C01B11" w:rsidRPr="00A75432">
              <w:rPr>
                <w:bCs/>
              </w:rPr>
              <w:t>rojekt</w:t>
            </w:r>
            <w:r w:rsidR="00C01B11">
              <w:rPr>
                <w:bCs/>
              </w:rPr>
              <w:t>u p</w:t>
            </w:r>
            <w:r w:rsidR="0026770E" w:rsidRPr="00A75432">
              <w:rPr>
                <w:bCs/>
              </w:rPr>
              <w:t>aredz</w:t>
            </w:r>
            <w:r w:rsidR="00C01B11">
              <w:rPr>
                <w:bCs/>
              </w:rPr>
              <w:t xml:space="preserve">ēts </w:t>
            </w:r>
            <w:r w:rsidR="0026770E" w:rsidRPr="00A75432">
              <w:rPr>
                <w:bCs/>
              </w:rPr>
              <w:t>īsteno</w:t>
            </w:r>
            <w:r w:rsidR="00C01B11">
              <w:rPr>
                <w:bCs/>
              </w:rPr>
              <w:t xml:space="preserve">t </w:t>
            </w:r>
            <w:r w:rsidR="0026770E" w:rsidRPr="00A75432">
              <w:rPr>
                <w:bCs/>
              </w:rPr>
              <w:t>līdz 2016.gada 31.decembrim.</w:t>
            </w:r>
            <w:r>
              <w:rPr>
                <w:bCs/>
              </w:rPr>
              <w:t xml:space="preserve"> </w:t>
            </w:r>
            <w:r w:rsidR="0026770E">
              <w:rPr>
                <w:bCs/>
              </w:rPr>
              <w:t xml:space="preserve">Papildus nepieciešams finansējums no valsts budžeta </w:t>
            </w:r>
            <w:proofErr w:type="spellStart"/>
            <w:r w:rsidR="0026770E">
              <w:rPr>
                <w:bCs/>
              </w:rPr>
              <w:t>priekšfinansējuma</w:t>
            </w:r>
            <w:proofErr w:type="spellEnd"/>
            <w:r w:rsidR="0026770E">
              <w:rPr>
                <w:bCs/>
              </w:rPr>
              <w:t xml:space="preserve"> nodrošināšanai (50</w:t>
            </w:r>
            <w:r w:rsidR="00C75EE6">
              <w:rPr>
                <w:bCs/>
              </w:rPr>
              <w:t> </w:t>
            </w:r>
            <w:r w:rsidR="0026770E">
              <w:rPr>
                <w:bCs/>
              </w:rPr>
              <w:t>% no EK granta) 440</w:t>
            </w:r>
            <w:r w:rsidR="00495E01">
              <w:rPr>
                <w:bCs/>
              </w:rPr>
              <w:t> </w:t>
            </w:r>
            <w:r w:rsidR="0026770E">
              <w:rPr>
                <w:bCs/>
              </w:rPr>
              <w:t>000</w:t>
            </w:r>
            <w:r w:rsidR="00495E01">
              <w:rPr>
                <w:bCs/>
              </w:rPr>
              <w:t> </w:t>
            </w:r>
            <w:proofErr w:type="spellStart"/>
            <w:r w:rsidR="005C311D" w:rsidRPr="005C311D">
              <w:rPr>
                <w:bCs/>
                <w:i/>
              </w:rPr>
              <w:t>euro</w:t>
            </w:r>
            <w:proofErr w:type="spellEnd"/>
            <w:r w:rsidR="0026770E">
              <w:rPr>
                <w:bCs/>
              </w:rPr>
              <w:t xml:space="preserve"> apmērā. </w:t>
            </w:r>
            <w:proofErr w:type="spellStart"/>
            <w:r w:rsidR="0026770E">
              <w:rPr>
                <w:bCs/>
              </w:rPr>
              <w:t>Priekšfinansējums</w:t>
            </w:r>
            <w:proofErr w:type="spellEnd"/>
            <w:r w:rsidR="0026770E">
              <w:rPr>
                <w:bCs/>
              </w:rPr>
              <w:t xml:space="preserve"> kā gala maksājums tiks atmaksāts pēc noslēguma ziņojuma un finanšu pārskata saņemšanas un apstiprināšanas EK. </w:t>
            </w:r>
            <w:r w:rsidR="00C75EE6">
              <w:rPr>
                <w:bCs/>
              </w:rPr>
              <w:t>Tādējādi</w:t>
            </w:r>
            <w:r w:rsidR="0026770E">
              <w:rPr>
                <w:bCs/>
              </w:rPr>
              <w:t xml:space="preserve"> kopējais valsts budžeta finansējuma apmērs projekta īstenošanai ir 891</w:t>
            </w:r>
            <w:r w:rsidR="00C01B11">
              <w:rPr>
                <w:bCs/>
              </w:rPr>
              <w:t> </w:t>
            </w:r>
            <w:r w:rsidR="0026770E">
              <w:rPr>
                <w:bCs/>
              </w:rPr>
              <w:t>000</w:t>
            </w:r>
            <w:r w:rsidR="00891A22">
              <w:rPr>
                <w:bCs/>
              </w:rPr>
              <w:t> </w:t>
            </w:r>
            <w:proofErr w:type="spellStart"/>
            <w:r w:rsidR="005C311D" w:rsidRPr="005C311D">
              <w:rPr>
                <w:bCs/>
                <w:i/>
              </w:rPr>
              <w:t>euro</w:t>
            </w:r>
            <w:proofErr w:type="spellEnd"/>
            <w:r w:rsidR="0026770E">
              <w:rPr>
                <w:bCs/>
              </w:rPr>
              <w:t>.</w:t>
            </w:r>
          </w:p>
          <w:tbl>
            <w:tblPr>
              <w:tblW w:w="6840" w:type="dxa"/>
              <w:tblLook w:val="04A0" w:firstRow="1" w:lastRow="0" w:firstColumn="1" w:lastColumn="0" w:noHBand="0" w:noVBand="1"/>
            </w:tblPr>
            <w:tblGrid>
              <w:gridCol w:w="3000"/>
              <w:gridCol w:w="764"/>
              <w:gridCol w:w="1156"/>
              <w:gridCol w:w="828"/>
              <w:gridCol w:w="1092"/>
            </w:tblGrid>
            <w:tr w:rsidR="00BF3D70" w:rsidRPr="00BF3D70" w:rsidTr="0033076F">
              <w:trPr>
                <w:trHeight w:val="300"/>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D70" w:rsidRPr="0033076F" w:rsidRDefault="0026770E" w:rsidP="00891A22">
                  <w:pPr>
                    <w:rPr>
                      <w:color w:val="000000"/>
                      <w:sz w:val="22"/>
                      <w:szCs w:val="22"/>
                      <w:lang w:eastAsia="en-US"/>
                    </w:rPr>
                  </w:pPr>
                  <w:r>
                    <w:t>Projekta īstenošanai nepieciešamā finansējuma sadalījums pa gadiem (</w:t>
                  </w:r>
                  <w:proofErr w:type="spellStart"/>
                  <w:r w:rsidR="005C311D" w:rsidRPr="005C311D">
                    <w:rPr>
                      <w:i/>
                    </w:rPr>
                    <w:t>euro</w:t>
                  </w:r>
                  <w:proofErr w:type="spellEnd"/>
                  <w:r>
                    <w:t>)</w:t>
                  </w:r>
                  <w:r w:rsidR="00BF3D70" w:rsidRPr="0033076F">
                    <w:rPr>
                      <w:color w:val="000000"/>
                      <w:sz w:val="22"/>
                      <w:szCs w:val="22"/>
                      <w:lang w:eastAsia="en-US"/>
                    </w:rPr>
                    <w:t> </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BF3D70" w:rsidRPr="00BF3D70" w:rsidRDefault="00BF3D70">
                  <w:pPr>
                    <w:jc w:val="right"/>
                    <w:rPr>
                      <w:color w:val="000000"/>
                      <w:sz w:val="22"/>
                      <w:szCs w:val="22"/>
                      <w:lang w:val="en-US" w:eastAsia="en-US"/>
                    </w:rPr>
                  </w:pPr>
                  <w:r w:rsidRPr="00BF3D70">
                    <w:rPr>
                      <w:color w:val="000000"/>
                      <w:sz w:val="22"/>
                      <w:szCs w:val="22"/>
                      <w:lang w:val="en-US" w:eastAsia="en-US"/>
                    </w:rPr>
                    <w:t>2015</w:t>
                  </w:r>
                  <w:r w:rsidR="00183E3D">
                    <w:rPr>
                      <w:color w:val="000000"/>
                      <w:sz w:val="22"/>
                      <w:szCs w:val="22"/>
                      <w:lang w:val="en-US" w:eastAsia="en-US"/>
                    </w:rPr>
                    <w:t>.</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BF3D70" w:rsidRPr="00BF3D70" w:rsidRDefault="00BF3D70">
                  <w:pPr>
                    <w:jc w:val="right"/>
                    <w:rPr>
                      <w:color w:val="000000"/>
                      <w:sz w:val="22"/>
                      <w:szCs w:val="22"/>
                      <w:lang w:val="en-US" w:eastAsia="en-US"/>
                    </w:rPr>
                  </w:pPr>
                  <w:r w:rsidRPr="00BF3D70">
                    <w:rPr>
                      <w:color w:val="000000"/>
                      <w:sz w:val="22"/>
                      <w:szCs w:val="22"/>
                      <w:lang w:val="en-US" w:eastAsia="en-US"/>
                    </w:rPr>
                    <w:t>2016</w:t>
                  </w:r>
                  <w:r w:rsidR="00183E3D">
                    <w:rPr>
                      <w:color w:val="000000"/>
                      <w:sz w:val="22"/>
                      <w:szCs w:val="22"/>
                      <w:lang w:val="en-US" w:eastAsia="en-US"/>
                    </w:rPr>
                    <w:t>.</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BF3D70" w:rsidRPr="00BF3D70" w:rsidRDefault="00BF3D70">
                  <w:pPr>
                    <w:jc w:val="right"/>
                    <w:rPr>
                      <w:color w:val="000000"/>
                      <w:sz w:val="22"/>
                      <w:szCs w:val="22"/>
                      <w:lang w:val="en-US" w:eastAsia="en-US"/>
                    </w:rPr>
                  </w:pPr>
                  <w:r w:rsidRPr="00BF3D70">
                    <w:rPr>
                      <w:color w:val="000000"/>
                      <w:sz w:val="22"/>
                      <w:szCs w:val="22"/>
                      <w:lang w:val="en-US" w:eastAsia="en-US"/>
                    </w:rPr>
                    <w:t>2017</w:t>
                  </w:r>
                  <w:r w:rsidR="00183E3D">
                    <w:rPr>
                      <w:color w:val="000000"/>
                      <w:sz w:val="22"/>
                      <w:szCs w:val="22"/>
                      <w:lang w:val="en-US" w:eastAsia="en-US"/>
                    </w:rPr>
                    <w:t>.</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rsidR="00BF3D70" w:rsidRPr="00BF3D70" w:rsidRDefault="00BF3D70" w:rsidP="00BF3D70">
                  <w:pPr>
                    <w:rPr>
                      <w:color w:val="000000"/>
                      <w:sz w:val="22"/>
                      <w:szCs w:val="22"/>
                      <w:lang w:val="en-US" w:eastAsia="en-US"/>
                    </w:rPr>
                  </w:pPr>
                  <w:proofErr w:type="spellStart"/>
                  <w:r w:rsidRPr="00BF3D70">
                    <w:rPr>
                      <w:color w:val="000000"/>
                      <w:sz w:val="22"/>
                      <w:szCs w:val="22"/>
                      <w:lang w:val="en-US" w:eastAsia="en-US"/>
                    </w:rPr>
                    <w:t>Kopā</w:t>
                  </w:r>
                  <w:proofErr w:type="spellEnd"/>
                </w:p>
              </w:tc>
            </w:tr>
            <w:tr w:rsidR="00BF3D70" w:rsidRPr="00BF3D70" w:rsidTr="0033076F">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F3D70" w:rsidRPr="00BF3D70" w:rsidRDefault="00BF3D70" w:rsidP="0095177B">
                  <w:pPr>
                    <w:rPr>
                      <w:color w:val="000000"/>
                      <w:sz w:val="22"/>
                      <w:szCs w:val="22"/>
                      <w:lang w:val="en-US" w:eastAsia="en-US"/>
                    </w:rPr>
                  </w:pPr>
                  <w:proofErr w:type="spellStart"/>
                  <w:r w:rsidRPr="00BF3D70">
                    <w:rPr>
                      <w:color w:val="000000"/>
                      <w:sz w:val="22"/>
                      <w:szCs w:val="22"/>
                      <w:lang w:val="en-US" w:eastAsia="en-US"/>
                    </w:rPr>
                    <w:t>Projekta</w:t>
                  </w:r>
                  <w:proofErr w:type="spellEnd"/>
                  <w:r w:rsidRPr="00BF3D70">
                    <w:rPr>
                      <w:color w:val="000000"/>
                      <w:sz w:val="22"/>
                      <w:szCs w:val="22"/>
                      <w:lang w:val="en-US" w:eastAsia="en-US"/>
                    </w:rPr>
                    <w:t xml:space="preserve"> </w:t>
                  </w:r>
                  <w:proofErr w:type="spellStart"/>
                  <w:r w:rsidRPr="00BF3D70">
                    <w:rPr>
                      <w:color w:val="000000"/>
                      <w:sz w:val="22"/>
                      <w:szCs w:val="22"/>
                      <w:lang w:val="en-US" w:eastAsia="en-US"/>
                    </w:rPr>
                    <w:t>kopējās</w:t>
                  </w:r>
                  <w:proofErr w:type="spellEnd"/>
                  <w:r w:rsidRPr="00BF3D70">
                    <w:rPr>
                      <w:color w:val="000000"/>
                      <w:sz w:val="22"/>
                      <w:szCs w:val="22"/>
                      <w:lang w:val="en-US" w:eastAsia="en-US"/>
                    </w:rPr>
                    <w:t xml:space="preserve"> </w:t>
                  </w:r>
                  <w:proofErr w:type="spellStart"/>
                  <w:r w:rsidRPr="00BF3D70">
                    <w:rPr>
                      <w:color w:val="000000"/>
                      <w:sz w:val="22"/>
                      <w:szCs w:val="22"/>
                      <w:lang w:val="en-US" w:eastAsia="en-US"/>
                    </w:rPr>
                    <w:t>izmaksas</w:t>
                  </w:r>
                  <w:proofErr w:type="spellEnd"/>
                </w:p>
              </w:tc>
              <w:tc>
                <w:tcPr>
                  <w:tcW w:w="764" w:type="dxa"/>
                  <w:tcBorders>
                    <w:top w:val="nil"/>
                    <w:left w:val="nil"/>
                    <w:bottom w:val="single" w:sz="4" w:space="0" w:color="auto"/>
                    <w:right w:val="single" w:sz="4" w:space="0" w:color="auto"/>
                  </w:tcBorders>
                  <w:shd w:val="clear" w:color="auto" w:fill="auto"/>
                  <w:noWrap/>
                  <w:vAlign w:val="bottom"/>
                  <w:hideMark/>
                </w:tcPr>
                <w:p w:rsidR="00BF3D70" w:rsidRPr="00BF3D70" w:rsidRDefault="00BF3D70" w:rsidP="00BF3D70">
                  <w:pPr>
                    <w:rPr>
                      <w:color w:val="000000"/>
                      <w:sz w:val="22"/>
                      <w:szCs w:val="22"/>
                      <w:lang w:val="en-US" w:eastAsia="en-US"/>
                    </w:rPr>
                  </w:pPr>
                  <w:r w:rsidRPr="00BF3D70">
                    <w:rPr>
                      <w:color w:val="000000"/>
                      <w:sz w:val="22"/>
                      <w:szCs w:val="22"/>
                      <w:lang w:val="en-US" w:eastAsia="en-US"/>
                    </w:rPr>
                    <w:t> </w:t>
                  </w:r>
                </w:p>
              </w:tc>
              <w:tc>
                <w:tcPr>
                  <w:tcW w:w="1156" w:type="dxa"/>
                  <w:tcBorders>
                    <w:top w:val="nil"/>
                    <w:left w:val="nil"/>
                    <w:bottom w:val="single" w:sz="4" w:space="0" w:color="auto"/>
                    <w:right w:val="single" w:sz="4" w:space="0" w:color="auto"/>
                  </w:tcBorders>
                  <w:shd w:val="clear" w:color="auto" w:fill="auto"/>
                  <w:noWrap/>
                  <w:vAlign w:val="bottom"/>
                  <w:hideMark/>
                </w:tcPr>
                <w:p w:rsidR="00BF3D70" w:rsidRPr="00BF3D70" w:rsidRDefault="00BF3D70" w:rsidP="0095177B">
                  <w:pPr>
                    <w:jc w:val="right"/>
                    <w:rPr>
                      <w:color w:val="000000"/>
                      <w:sz w:val="22"/>
                      <w:szCs w:val="22"/>
                      <w:lang w:val="en-US" w:eastAsia="en-US"/>
                    </w:rPr>
                  </w:pPr>
                  <w:r w:rsidRPr="00BF3D70">
                    <w:rPr>
                      <w:color w:val="000000"/>
                      <w:sz w:val="22"/>
                      <w:szCs w:val="22"/>
                      <w:lang w:val="en-US" w:eastAsia="en-US"/>
                    </w:rPr>
                    <w:t>1</w:t>
                  </w:r>
                  <w:r w:rsidR="0095177B">
                    <w:rPr>
                      <w:color w:val="000000"/>
                      <w:sz w:val="22"/>
                      <w:szCs w:val="22"/>
                      <w:lang w:val="en-US" w:eastAsia="en-US"/>
                    </w:rPr>
                    <w:t> </w:t>
                  </w:r>
                  <w:r w:rsidRPr="00BF3D70">
                    <w:rPr>
                      <w:color w:val="000000"/>
                      <w:sz w:val="22"/>
                      <w:szCs w:val="22"/>
                      <w:lang w:val="en-US" w:eastAsia="en-US"/>
                    </w:rPr>
                    <w:t>100</w:t>
                  </w:r>
                  <w:r w:rsidR="0095177B">
                    <w:rPr>
                      <w:color w:val="000000"/>
                      <w:sz w:val="22"/>
                      <w:szCs w:val="22"/>
                      <w:lang w:val="en-US" w:eastAsia="en-US"/>
                    </w:rPr>
                    <w:t> </w:t>
                  </w:r>
                  <w:r w:rsidRPr="00BF3D70">
                    <w:rPr>
                      <w:color w:val="000000"/>
                      <w:sz w:val="22"/>
                      <w:szCs w:val="22"/>
                      <w:lang w:val="en-US" w:eastAsia="en-US"/>
                    </w:rPr>
                    <w:t>000</w:t>
                  </w:r>
                </w:p>
              </w:tc>
              <w:tc>
                <w:tcPr>
                  <w:tcW w:w="828" w:type="dxa"/>
                  <w:tcBorders>
                    <w:top w:val="nil"/>
                    <w:left w:val="nil"/>
                    <w:bottom w:val="single" w:sz="4" w:space="0" w:color="auto"/>
                    <w:right w:val="single" w:sz="4" w:space="0" w:color="auto"/>
                  </w:tcBorders>
                  <w:shd w:val="clear" w:color="auto" w:fill="auto"/>
                  <w:noWrap/>
                  <w:vAlign w:val="bottom"/>
                  <w:hideMark/>
                </w:tcPr>
                <w:p w:rsidR="00BF3D70" w:rsidRPr="00BF3D70" w:rsidRDefault="00BF3D70" w:rsidP="00BF3D70">
                  <w:pPr>
                    <w:rPr>
                      <w:color w:val="000000"/>
                      <w:sz w:val="22"/>
                      <w:szCs w:val="22"/>
                      <w:lang w:val="en-US" w:eastAsia="en-US"/>
                    </w:rPr>
                  </w:pPr>
                  <w:r w:rsidRPr="00BF3D70">
                    <w:rPr>
                      <w:color w:val="000000"/>
                      <w:sz w:val="22"/>
                      <w:szCs w:val="22"/>
                      <w:lang w:val="en-US" w:eastAsia="en-US"/>
                    </w:rPr>
                    <w:t> </w:t>
                  </w:r>
                </w:p>
              </w:tc>
              <w:tc>
                <w:tcPr>
                  <w:tcW w:w="1092" w:type="dxa"/>
                  <w:tcBorders>
                    <w:top w:val="nil"/>
                    <w:left w:val="nil"/>
                    <w:bottom w:val="single" w:sz="4" w:space="0" w:color="auto"/>
                    <w:right w:val="single" w:sz="4" w:space="0" w:color="auto"/>
                  </w:tcBorders>
                  <w:shd w:val="clear" w:color="auto" w:fill="auto"/>
                  <w:noWrap/>
                  <w:vAlign w:val="bottom"/>
                  <w:hideMark/>
                </w:tcPr>
                <w:p w:rsidR="00BF3D70" w:rsidRPr="00BF3D70" w:rsidRDefault="00BF3D70" w:rsidP="0095177B">
                  <w:pPr>
                    <w:ind w:hanging="108"/>
                    <w:jc w:val="right"/>
                    <w:rPr>
                      <w:color w:val="000000"/>
                      <w:sz w:val="22"/>
                      <w:szCs w:val="22"/>
                      <w:lang w:val="en-US" w:eastAsia="en-US"/>
                    </w:rPr>
                  </w:pPr>
                  <w:r w:rsidRPr="00BF3D70">
                    <w:rPr>
                      <w:color w:val="000000"/>
                      <w:sz w:val="22"/>
                      <w:szCs w:val="22"/>
                      <w:lang w:val="en-US" w:eastAsia="en-US"/>
                    </w:rPr>
                    <w:t>1</w:t>
                  </w:r>
                  <w:r w:rsidR="00891A22">
                    <w:rPr>
                      <w:color w:val="000000"/>
                      <w:sz w:val="22"/>
                      <w:szCs w:val="22"/>
                      <w:lang w:val="en-US" w:eastAsia="en-US"/>
                    </w:rPr>
                    <w:t> </w:t>
                  </w:r>
                  <w:r w:rsidRPr="00BF3D70">
                    <w:rPr>
                      <w:color w:val="000000"/>
                      <w:sz w:val="22"/>
                      <w:szCs w:val="22"/>
                      <w:lang w:val="en-US" w:eastAsia="en-US"/>
                    </w:rPr>
                    <w:t>100</w:t>
                  </w:r>
                  <w:r w:rsidR="0095177B">
                    <w:rPr>
                      <w:color w:val="000000"/>
                      <w:sz w:val="22"/>
                      <w:szCs w:val="22"/>
                      <w:lang w:val="en-US" w:eastAsia="en-US"/>
                    </w:rPr>
                    <w:t> </w:t>
                  </w:r>
                  <w:r w:rsidRPr="00BF3D70">
                    <w:rPr>
                      <w:color w:val="000000"/>
                      <w:sz w:val="22"/>
                      <w:szCs w:val="22"/>
                      <w:lang w:val="en-US" w:eastAsia="en-US"/>
                    </w:rPr>
                    <w:t>000</w:t>
                  </w:r>
                </w:p>
              </w:tc>
            </w:tr>
            <w:tr w:rsidR="00BF3D70" w:rsidRPr="00BF3D70" w:rsidTr="0033076F">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F3D70" w:rsidRPr="00BF3D70" w:rsidRDefault="00BF3D70" w:rsidP="0095177B">
                  <w:pPr>
                    <w:rPr>
                      <w:color w:val="000000"/>
                      <w:sz w:val="22"/>
                      <w:szCs w:val="22"/>
                      <w:lang w:val="en-US" w:eastAsia="en-US"/>
                    </w:rPr>
                  </w:pPr>
                  <w:r w:rsidRPr="00BF3D70">
                    <w:rPr>
                      <w:color w:val="000000"/>
                      <w:sz w:val="22"/>
                      <w:szCs w:val="22"/>
                      <w:lang w:val="en-US" w:eastAsia="en-US"/>
                    </w:rPr>
                    <w:t xml:space="preserve">EK </w:t>
                  </w:r>
                  <w:proofErr w:type="spellStart"/>
                  <w:r w:rsidRPr="00BF3D70">
                    <w:rPr>
                      <w:color w:val="000000"/>
                      <w:sz w:val="22"/>
                      <w:szCs w:val="22"/>
                      <w:lang w:val="en-US" w:eastAsia="en-US"/>
                    </w:rPr>
                    <w:t>finansējums</w:t>
                  </w:r>
                  <w:proofErr w:type="spellEnd"/>
                  <w:r w:rsidRPr="00BF3D70">
                    <w:rPr>
                      <w:color w:val="000000"/>
                      <w:sz w:val="22"/>
                      <w:szCs w:val="22"/>
                      <w:lang w:val="en-US" w:eastAsia="en-US"/>
                    </w:rPr>
                    <w:t xml:space="preserve"> 80</w:t>
                  </w:r>
                  <w:r w:rsidR="00183E3D">
                    <w:rPr>
                      <w:color w:val="000000"/>
                      <w:sz w:val="22"/>
                      <w:szCs w:val="22"/>
                      <w:lang w:val="en-US" w:eastAsia="en-US"/>
                    </w:rPr>
                    <w:t> </w:t>
                  </w:r>
                  <w:r w:rsidRPr="00BF3D70">
                    <w:rPr>
                      <w:color w:val="000000"/>
                      <w:sz w:val="22"/>
                      <w:szCs w:val="22"/>
                      <w:lang w:val="en-US" w:eastAsia="en-US"/>
                    </w:rPr>
                    <w:t>%</w:t>
                  </w:r>
                </w:p>
              </w:tc>
              <w:tc>
                <w:tcPr>
                  <w:tcW w:w="764" w:type="dxa"/>
                  <w:tcBorders>
                    <w:top w:val="nil"/>
                    <w:left w:val="nil"/>
                    <w:bottom w:val="single" w:sz="4" w:space="0" w:color="auto"/>
                    <w:right w:val="single" w:sz="4" w:space="0" w:color="auto"/>
                  </w:tcBorders>
                  <w:shd w:val="clear" w:color="auto" w:fill="auto"/>
                  <w:noWrap/>
                  <w:vAlign w:val="bottom"/>
                  <w:hideMark/>
                </w:tcPr>
                <w:p w:rsidR="00BF3D70" w:rsidRPr="00BF3D70" w:rsidRDefault="00BF3D70" w:rsidP="00BF3D70">
                  <w:pPr>
                    <w:rPr>
                      <w:color w:val="000000"/>
                      <w:sz w:val="22"/>
                      <w:szCs w:val="22"/>
                      <w:lang w:val="en-US" w:eastAsia="en-US"/>
                    </w:rPr>
                  </w:pPr>
                  <w:r w:rsidRPr="00BF3D70">
                    <w:rPr>
                      <w:color w:val="000000"/>
                      <w:sz w:val="22"/>
                      <w:szCs w:val="22"/>
                      <w:lang w:val="en-US" w:eastAsia="en-US"/>
                    </w:rPr>
                    <w:t> </w:t>
                  </w:r>
                </w:p>
              </w:tc>
              <w:tc>
                <w:tcPr>
                  <w:tcW w:w="1156" w:type="dxa"/>
                  <w:tcBorders>
                    <w:top w:val="nil"/>
                    <w:left w:val="nil"/>
                    <w:bottom w:val="single" w:sz="4" w:space="0" w:color="auto"/>
                    <w:right w:val="single" w:sz="4" w:space="0" w:color="auto"/>
                  </w:tcBorders>
                  <w:shd w:val="clear" w:color="auto" w:fill="auto"/>
                  <w:noWrap/>
                  <w:vAlign w:val="bottom"/>
                  <w:hideMark/>
                </w:tcPr>
                <w:p w:rsidR="00BF3D70" w:rsidRPr="00BF3D70" w:rsidRDefault="00BF3D70" w:rsidP="0095177B">
                  <w:pPr>
                    <w:jc w:val="right"/>
                    <w:rPr>
                      <w:color w:val="000000"/>
                      <w:sz w:val="22"/>
                      <w:szCs w:val="22"/>
                      <w:lang w:val="en-US" w:eastAsia="en-US"/>
                    </w:rPr>
                  </w:pPr>
                  <w:r w:rsidRPr="00BF3D70">
                    <w:rPr>
                      <w:color w:val="000000"/>
                      <w:sz w:val="22"/>
                      <w:szCs w:val="22"/>
                      <w:lang w:val="en-US" w:eastAsia="en-US"/>
                    </w:rPr>
                    <w:t>880</w:t>
                  </w:r>
                  <w:r w:rsidR="0095177B">
                    <w:rPr>
                      <w:color w:val="000000"/>
                      <w:sz w:val="22"/>
                      <w:szCs w:val="22"/>
                      <w:lang w:val="en-US" w:eastAsia="en-US"/>
                    </w:rPr>
                    <w:t> </w:t>
                  </w:r>
                  <w:r w:rsidRPr="00BF3D70">
                    <w:rPr>
                      <w:color w:val="000000"/>
                      <w:sz w:val="22"/>
                      <w:szCs w:val="22"/>
                      <w:lang w:val="en-US" w:eastAsia="en-US"/>
                    </w:rPr>
                    <w:t>000</w:t>
                  </w:r>
                </w:p>
              </w:tc>
              <w:tc>
                <w:tcPr>
                  <w:tcW w:w="828" w:type="dxa"/>
                  <w:tcBorders>
                    <w:top w:val="nil"/>
                    <w:left w:val="nil"/>
                    <w:bottom w:val="single" w:sz="4" w:space="0" w:color="auto"/>
                    <w:right w:val="single" w:sz="4" w:space="0" w:color="auto"/>
                  </w:tcBorders>
                  <w:shd w:val="clear" w:color="auto" w:fill="auto"/>
                  <w:noWrap/>
                  <w:vAlign w:val="bottom"/>
                  <w:hideMark/>
                </w:tcPr>
                <w:p w:rsidR="00BF3D70" w:rsidRPr="00BF3D70" w:rsidRDefault="00BF3D70" w:rsidP="00BF3D70">
                  <w:pPr>
                    <w:rPr>
                      <w:color w:val="000000"/>
                      <w:sz w:val="22"/>
                      <w:szCs w:val="22"/>
                      <w:lang w:val="en-US" w:eastAsia="en-US"/>
                    </w:rPr>
                  </w:pPr>
                  <w:r w:rsidRPr="00BF3D70">
                    <w:rPr>
                      <w:color w:val="000000"/>
                      <w:sz w:val="22"/>
                      <w:szCs w:val="22"/>
                      <w:lang w:val="en-US" w:eastAsia="en-US"/>
                    </w:rPr>
                    <w:t> </w:t>
                  </w:r>
                </w:p>
              </w:tc>
              <w:tc>
                <w:tcPr>
                  <w:tcW w:w="1092" w:type="dxa"/>
                  <w:tcBorders>
                    <w:top w:val="nil"/>
                    <w:left w:val="nil"/>
                    <w:bottom w:val="single" w:sz="4" w:space="0" w:color="auto"/>
                    <w:right w:val="single" w:sz="4" w:space="0" w:color="auto"/>
                  </w:tcBorders>
                  <w:shd w:val="clear" w:color="auto" w:fill="auto"/>
                  <w:noWrap/>
                  <w:vAlign w:val="bottom"/>
                  <w:hideMark/>
                </w:tcPr>
                <w:p w:rsidR="00BF3D70" w:rsidRPr="00BF3D70" w:rsidRDefault="00BF3D70" w:rsidP="0095177B">
                  <w:pPr>
                    <w:jc w:val="right"/>
                    <w:rPr>
                      <w:color w:val="000000"/>
                      <w:sz w:val="22"/>
                      <w:szCs w:val="22"/>
                      <w:lang w:val="en-US" w:eastAsia="en-US"/>
                    </w:rPr>
                  </w:pPr>
                  <w:r w:rsidRPr="00BF3D70">
                    <w:rPr>
                      <w:color w:val="000000"/>
                      <w:sz w:val="22"/>
                      <w:szCs w:val="22"/>
                      <w:lang w:val="en-US" w:eastAsia="en-US"/>
                    </w:rPr>
                    <w:t>880</w:t>
                  </w:r>
                  <w:r w:rsidR="0095177B">
                    <w:rPr>
                      <w:color w:val="000000"/>
                      <w:sz w:val="22"/>
                      <w:szCs w:val="22"/>
                      <w:lang w:val="en-US" w:eastAsia="en-US"/>
                    </w:rPr>
                    <w:t> </w:t>
                  </w:r>
                  <w:r w:rsidRPr="00BF3D70">
                    <w:rPr>
                      <w:color w:val="000000"/>
                      <w:sz w:val="22"/>
                      <w:szCs w:val="22"/>
                      <w:lang w:val="en-US" w:eastAsia="en-US"/>
                    </w:rPr>
                    <w:t>000</w:t>
                  </w:r>
                </w:p>
              </w:tc>
            </w:tr>
            <w:tr w:rsidR="00BF3D70" w:rsidRPr="00BF3D70" w:rsidTr="00740431">
              <w:trPr>
                <w:trHeight w:val="400"/>
              </w:trPr>
              <w:tc>
                <w:tcPr>
                  <w:tcW w:w="3000" w:type="dxa"/>
                  <w:tcBorders>
                    <w:top w:val="nil"/>
                    <w:left w:val="single" w:sz="4" w:space="0" w:color="auto"/>
                    <w:bottom w:val="single" w:sz="4" w:space="0" w:color="auto"/>
                    <w:right w:val="single" w:sz="4" w:space="0" w:color="auto"/>
                  </w:tcBorders>
                  <w:shd w:val="clear" w:color="auto" w:fill="auto"/>
                  <w:hideMark/>
                </w:tcPr>
                <w:p w:rsidR="00BF3D70" w:rsidRPr="00BF3D70" w:rsidRDefault="00BF3D70" w:rsidP="0091419C">
                  <w:pPr>
                    <w:rPr>
                      <w:color w:val="000000"/>
                      <w:sz w:val="22"/>
                      <w:szCs w:val="22"/>
                      <w:lang w:val="en-US" w:eastAsia="en-US"/>
                    </w:rPr>
                  </w:pPr>
                  <w:r w:rsidRPr="00BF3D70">
                    <w:rPr>
                      <w:color w:val="000000"/>
                      <w:sz w:val="22"/>
                      <w:szCs w:val="22"/>
                      <w:lang w:val="en-US" w:eastAsia="en-US"/>
                    </w:rPr>
                    <w:t xml:space="preserve">EK </w:t>
                  </w:r>
                  <w:proofErr w:type="spellStart"/>
                  <w:r w:rsidRPr="00BF3D70">
                    <w:rPr>
                      <w:color w:val="000000"/>
                      <w:sz w:val="22"/>
                      <w:szCs w:val="22"/>
                      <w:lang w:val="en-US" w:eastAsia="en-US"/>
                    </w:rPr>
                    <w:t>finansējums</w:t>
                  </w:r>
                  <w:proofErr w:type="spellEnd"/>
                  <w:r w:rsidRPr="00BF3D70">
                    <w:rPr>
                      <w:color w:val="000000"/>
                      <w:sz w:val="22"/>
                      <w:szCs w:val="22"/>
                      <w:lang w:val="en-US" w:eastAsia="en-US"/>
                    </w:rPr>
                    <w:t xml:space="preserve"> (</w:t>
                  </w:r>
                  <w:proofErr w:type="spellStart"/>
                  <w:r w:rsidRPr="00BF3D70">
                    <w:rPr>
                      <w:color w:val="000000"/>
                      <w:sz w:val="22"/>
                      <w:szCs w:val="22"/>
                      <w:lang w:val="en-US" w:eastAsia="en-US"/>
                    </w:rPr>
                    <w:t>avansa</w:t>
                  </w:r>
                  <w:proofErr w:type="spellEnd"/>
                  <w:r w:rsidRPr="00BF3D70">
                    <w:rPr>
                      <w:color w:val="000000"/>
                      <w:sz w:val="22"/>
                      <w:szCs w:val="22"/>
                      <w:lang w:val="en-US" w:eastAsia="en-US"/>
                    </w:rPr>
                    <w:t xml:space="preserve"> </w:t>
                  </w:r>
                  <w:proofErr w:type="spellStart"/>
                  <w:r w:rsidRPr="00BF3D70">
                    <w:rPr>
                      <w:color w:val="000000"/>
                      <w:sz w:val="22"/>
                      <w:szCs w:val="22"/>
                      <w:lang w:val="en-US" w:eastAsia="en-US"/>
                    </w:rPr>
                    <w:t>maksājuma</w:t>
                  </w:r>
                  <w:proofErr w:type="spellEnd"/>
                  <w:r w:rsidRPr="00BF3D70">
                    <w:rPr>
                      <w:color w:val="000000"/>
                      <w:sz w:val="22"/>
                      <w:szCs w:val="22"/>
                      <w:lang w:val="en-US" w:eastAsia="en-US"/>
                    </w:rPr>
                    <w:t xml:space="preserve"> </w:t>
                  </w:r>
                  <w:proofErr w:type="spellStart"/>
                  <w:r w:rsidRPr="00BF3D70">
                    <w:rPr>
                      <w:color w:val="000000"/>
                      <w:sz w:val="22"/>
                      <w:szCs w:val="22"/>
                      <w:lang w:val="en-US" w:eastAsia="en-US"/>
                    </w:rPr>
                    <w:t>daļa</w:t>
                  </w:r>
                  <w:proofErr w:type="spellEnd"/>
                  <w:r w:rsidRPr="00BF3D70">
                    <w:rPr>
                      <w:color w:val="000000"/>
                      <w:sz w:val="22"/>
                      <w:szCs w:val="22"/>
                      <w:lang w:val="en-US" w:eastAsia="en-US"/>
                    </w:rPr>
                    <w:t xml:space="preserve"> 50</w:t>
                  </w:r>
                  <w:r w:rsidR="00183E3D">
                    <w:rPr>
                      <w:color w:val="000000"/>
                      <w:sz w:val="22"/>
                      <w:szCs w:val="22"/>
                      <w:lang w:val="en-US" w:eastAsia="en-US"/>
                    </w:rPr>
                    <w:t> </w:t>
                  </w:r>
                  <w:r w:rsidRPr="00BF3D70">
                    <w:rPr>
                      <w:color w:val="000000"/>
                      <w:sz w:val="22"/>
                      <w:szCs w:val="22"/>
                      <w:lang w:val="en-US" w:eastAsia="en-US"/>
                    </w:rPr>
                    <w:t xml:space="preserve">% </w:t>
                  </w:r>
                  <w:proofErr w:type="spellStart"/>
                  <w:r w:rsidRPr="00BF3D70">
                    <w:rPr>
                      <w:color w:val="000000"/>
                      <w:sz w:val="22"/>
                      <w:szCs w:val="22"/>
                      <w:lang w:val="en-US" w:eastAsia="en-US"/>
                    </w:rPr>
                    <w:t>apmērā</w:t>
                  </w:r>
                  <w:proofErr w:type="spellEnd"/>
                  <w:r w:rsidRPr="00BF3D70">
                    <w:rPr>
                      <w:color w:val="000000"/>
                      <w:sz w:val="22"/>
                      <w:szCs w:val="22"/>
                      <w:lang w:val="en-US" w:eastAsia="en-US"/>
                    </w:rPr>
                    <w:t>)</w:t>
                  </w:r>
                </w:p>
              </w:tc>
              <w:tc>
                <w:tcPr>
                  <w:tcW w:w="764" w:type="dxa"/>
                  <w:tcBorders>
                    <w:top w:val="nil"/>
                    <w:left w:val="nil"/>
                    <w:bottom w:val="single" w:sz="4" w:space="0" w:color="auto"/>
                    <w:right w:val="single" w:sz="4" w:space="0" w:color="auto"/>
                  </w:tcBorders>
                  <w:shd w:val="clear" w:color="auto" w:fill="auto"/>
                  <w:noWrap/>
                  <w:vAlign w:val="bottom"/>
                  <w:hideMark/>
                </w:tcPr>
                <w:p w:rsidR="00BF3D70" w:rsidRPr="00BF3D70" w:rsidRDefault="00BF3D70" w:rsidP="00BF3D70">
                  <w:pPr>
                    <w:rPr>
                      <w:color w:val="000000"/>
                      <w:sz w:val="22"/>
                      <w:szCs w:val="22"/>
                      <w:lang w:val="en-US" w:eastAsia="en-US"/>
                    </w:rPr>
                  </w:pPr>
                  <w:r w:rsidRPr="00BF3D70">
                    <w:rPr>
                      <w:color w:val="000000"/>
                      <w:sz w:val="22"/>
                      <w:szCs w:val="22"/>
                      <w:lang w:val="en-US" w:eastAsia="en-US"/>
                    </w:rPr>
                    <w:t> </w:t>
                  </w:r>
                </w:p>
              </w:tc>
              <w:tc>
                <w:tcPr>
                  <w:tcW w:w="1156" w:type="dxa"/>
                  <w:tcBorders>
                    <w:top w:val="nil"/>
                    <w:left w:val="nil"/>
                    <w:bottom w:val="single" w:sz="4" w:space="0" w:color="auto"/>
                    <w:right w:val="single" w:sz="4" w:space="0" w:color="auto"/>
                  </w:tcBorders>
                  <w:shd w:val="clear" w:color="auto" w:fill="auto"/>
                  <w:noWrap/>
                  <w:vAlign w:val="bottom"/>
                  <w:hideMark/>
                </w:tcPr>
                <w:p w:rsidR="00BF3D70" w:rsidRPr="00BF3D70" w:rsidRDefault="00BF3D70" w:rsidP="0095177B">
                  <w:pPr>
                    <w:jc w:val="right"/>
                    <w:rPr>
                      <w:color w:val="000000"/>
                      <w:sz w:val="22"/>
                      <w:szCs w:val="22"/>
                      <w:lang w:val="en-US" w:eastAsia="en-US"/>
                    </w:rPr>
                  </w:pPr>
                  <w:r w:rsidRPr="00BF3D70">
                    <w:rPr>
                      <w:color w:val="000000"/>
                      <w:sz w:val="22"/>
                      <w:szCs w:val="22"/>
                      <w:lang w:val="en-US" w:eastAsia="en-US"/>
                    </w:rPr>
                    <w:t>440</w:t>
                  </w:r>
                  <w:r w:rsidR="0095177B">
                    <w:rPr>
                      <w:color w:val="000000"/>
                      <w:sz w:val="22"/>
                      <w:szCs w:val="22"/>
                      <w:lang w:val="en-US" w:eastAsia="en-US"/>
                    </w:rPr>
                    <w:t> </w:t>
                  </w:r>
                  <w:r w:rsidRPr="00BF3D70">
                    <w:rPr>
                      <w:color w:val="000000"/>
                      <w:sz w:val="22"/>
                      <w:szCs w:val="22"/>
                      <w:lang w:val="en-US" w:eastAsia="en-US"/>
                    </w:rPr>
                    <w:t>000</w:t>
                  </w:r>
                </w:p>
              </w:tc>
              <w:tc>
                <w:tcPr>
                  <w:tcW w:w="828" w:type="dxa"/>
                  <w:tcBorders>
                    <w:top w:val="nil"/>
                    <w:left w:val="nil"/>
                    <w:bottom w:val="single" w:sz="4" w:space="0" w:color="auto"/>
                    <w:right w:val="single" w:sz="4" w:space="0" w:color="auto"/>
                  </w:tcBorders>
                  <w:shd w:val="clear" w:color="auto" w:fill="auto"/>
                  <w:noWrap/>
                  <w:vAlign w:val="bottom"/>
                  <w:hideMark/>
                </w:tcPr>
                <w:p w:rsidR="00BF3D70" w:rsidRPr="00BF3D70" w:rsidRDefault="00BF3D70" w:rsidP="00BF3D70">
                  <w:pPr>
                    <w:rPr>
                      <w:color w:val="000000"/>
                      <w:sz w:val="22"/>
                      <w:szCs w:val="22"/>
                      <w:lang w:val="en-US" w:eastAsia="en-US"/>
                    </w:rPr>
                  </w:pPr>
                  <w:r w:rsidRPr="00BF3D70">
                    <w:rPr>
                      <w:color w:val="000000"/>
                      <w:sz w:val="22"/>
                      <w:szCs w:val="22"/>
                      <w:lang w:val="en-US" w:eastAsia="en-US"/>
                    </w:rPr>
                    <w:t> </w:t>
                  </w:r>
                </w:p>
              </w:tc>
              <w:tc>
                <w:tcPr>
                  <w:tcW w:w="1092" w:type="dxa"/>
                  <w:tcBorders>
                    <w:top w:val="nil"/>
                    <w:left w:val="nil"/>
                    <w:bottom w:val="single" w:sz="4" w:space="0" w:color="auto"/>
                    <w:right w:val="single" w:sz="4" w:space="0" w:color="auto"/>
                  </w:tcBorders>
                  <w:shd w:val="clear" w:color="auto" w:fill="auto"/>
                  <w:noWrap/>
                  <w:vAlign w:val="bottom"/>
                  <w:hideMark/>
                </w:tcPr>
                <w:p w:rsidR="00BF3D70" w:rsidRPr="00BF3D70" w:rsidRDefault="00BF3D70" w:rsidP="0095177B">
                  <w:pPr>
                    <w:jc w:val="right"/>
                    <w:rPr>
                      <w:color w:val="000000"/>
                      <w:sz w:val="22"/>
                      <w:szCs w:val="22"/>
                      <w:lang w:val="en-US" w:eastAsia="en-US"/>
                    </w:rPr>
                  </w:pPr>
                  <w:r w:rsidRPr="00BF3D70">
                    <w:rPr>
                      <w:color w:val="000000"/>
                      <w:sz w:val="22"/>
                      <w:szCs w:val="22"/>
                      <w:lang w:val="en-US" w:eastAsia="en-US"/>
                    </w:rPr>
                    <w:t>440</w:t>
                  </w:r>
                  <w:r w:rsidR="0095177B">
                    <w:rPr>
                      <w:color w:val="000000"/>
                      <w:sz w:val="22"/>
                      <w:szCs w:val="22"/>
                      <w:lang w:val="en-US" w:eastAsia="en-US"/>
                    </w:rPr>
                    <w:t> </w:t>
                  </w:r>
                  <w:r w:rsidRPr="00BF3D70">
                    <w:rPr>
                      <w:color w:val="000000"/>
                      <w:sz w:val="22"/>
                      <w:szCs w:val="22"/>
                      <w:lang w:val="en-US" w:eastAsia="en-US"/>
                    </w:rPr>
                    <w:t>000</w:t>
                  </w:r>
                </w:p>
              </w:tc>
            </w:tr>
            <w:tr w:rsidR="00BF3D70" w:rsidRPr="00BF3D70" w:rsidTr="00740431">
              <w:trPr>
                <w:trHeight w:val="635"/>
              </w:trPr>
              <w:tc>
                <w:tcPr>
                  <w:tcW w:w="3000" w:type="dxa"/>
                  <w:tcBorders>
                    <w:top w:val="nil"/>
                    <w:left w:val="single" w:sz="4" w:space="0" w:color="auto"/>
                    <w:bottom w:val="single" w:sz="4" w:space="0" w:color="auto"/>
                    <w:right w:val="single" w:sz="4" w:space="0" w:color="auto"/>
                  </w:tcBorders>
                  <w:shd w:val="clear" w:color="auto" w:fill="auto"/>
                  <w:hideMark/>
                </w:tcPr>
                <w:p w:rsidR="00BF3D70" w:rsidRPr="00BF3D70" w:rsidRDefault="00BF3D70" w:rsidP="0091419C">
                  <w:pPr>
                    <w:rPr>
                      <w:color w:val="000000"/>
                      <w:sz w:val="22"/>
                      <w:szCs w:val="22"/>
                      <w:lang w:val="en-US" w:eastAsia="en-US"/>
                    </w:rPr>
                  </w:pPr>
                  <w:r w:rsidRPr="00BF3D70">
                    <w:rPr>
                      <w:color w:val="000000"/>
                      <w:sz w:val="22"/>
                      <w:szCs w:val="22"/>
                      <w:lang w:val="en-US" w:eastAsia="en-US"/>
                    </w:rPr>
                    <w:t xml:space="preserve">Valsts </w:t>
                  </w:r>
                  <w:proofErr w:type="spellStart"/>
                  <w:r w:rsidRPr="00BF3D70">
                    <w:rPr>
                      <w:color w:val="000000"/>
                      <w:sz w:val="22"/>
                      <w:szCs w:val="22"/>
                      <w:lang w:val="en-US" w:eastAsia="en-US"/>
                    </w:rPr>
                    <w:t>budžeta</w:t>
                  </w:r>
                  <w:proofErr w:type="spellEnd"/>
                  <w:r w:rsidRPr="00BF3D70">
                    <w:rPr>
                      <w:color w:val="000000"/>
                      <w:sz w:val="22"/>
                      <w:szCs w:val="22"/>
                      <w:lang w:val="en-US" w:eastAsia="en-US"/>
                    </w:rPr>
                    <w:t xml:space="preserve"> </w:t>
                  </w:r>
                  <w:proofErr w:type="spellStart"/>
                  <w:r w:rsidRPr="00BF3D70">
                    <w:rPr>
                      <w:color w:val="000000"/>
                      <w:sz w:val="22"/>
                      <w:szCs w:val="22"/>
                      <w:lang w:val="en-US" w:eastAsia="en-US"/>
                    </w:rPr>
                    <w:t>līdzfinansējums</w:t>
                  </w:r>
                  <w:proofErr w:type="spellEnd"/>
                  <w:r w:rsidRPr="00BF3D70">
                    <w:rPr>
                      <w:color w:val="000000"/>
                      <w:sz w:val="22"/>
                      <w:szCs w:val="22"/>
                      <w:lang w:val="en-US" w:eastAsia="en-US"/>
                    </w:rPr>
                    <w:t xml:space="preserve"> 20</w:t>
                  </w:r>
                  <w:r w:rsidR="00183E3D">
                    <w:rPr>
                      <w:color w:val="000000"/>
                      <w:sz w:val="22"/>
                      <w:szCs w:val="22"/>
                      <w:lang w:val="en-US" w:eastAsia="en-US"/>
                    </w:rPr>
                    <w:t> </w:t>
                  </w:r>
                  <w:r w:rsidRPr="00BF3D70">
                    <w:rPr>
                      <w:color w:val="000000"/>
                      <w:sz w:val="22"/>
                      <w:szCs w:val="22"/>
                      <w:lang w:val="en-US" w:eastAsia="en-US"/>
                    </w:rPr>
                    <w:t xml:space="preserve">% </w:t>
                  </w:r>
                  <w:proofErr w:type="spellStart"/>
                  <w:r w:rsidRPr="00BF3D70">
                    <w:rPr>
                      <w:color w:val="000000"/>
                      <w:sz w:val="22"/>
                      <w:szCs w:val="22"/>
                      <w:lang w:val="en-US" w:eastAsia="en-US"/>
                    </w:rPr>
                    <w:t>apmērā</w:t>
                  </w:r>
                  <w:proofErr w:type="spellEnd"/>
                  <w:r w:rsidRPr="00BF3D70">
                    <w:rPr>
                      <w:color w:val="000000"/>
                      <w:sz w:val="22"/>
                      <w:szCs w:val="22"/>
                      <w:lang w:val="en-US" w:eastAsia="en-US"/>
                    </w:rPr>
                    <w:t xml:space="preserve"> no </w:t>
                  </w:r>
                  <w:proofErr w:type="spellStart"/>
                  <w:r w:rsidRPr="00BF3D70">
                    <w:rPr>
                      <w:color w:val="000000"/>
                      <w:sz w:val="22"/>
                      <w:szCs w:val="22"/>
                      <w:lang w:val="en-US" w:eastAsia="en-US"/>
                    </w:rPr>
                    <w:t>projekta</w:t>
                  </w:r>
                  <w:proofErr w:type="spellEnd"/>
                  <w:r w:rsidRPr="00BF3D70">
                    <w:rPr>
                      <w:color w:val="000000"/>
                      <w:sz w:val="22"/>
                      <w:szCs w:val="22"/>
                      <w:lang w:val="en-US" w:eastAsia="en-US"/>
                    </w:rPr>
                    <w:t xml:space="preserve"> </w:t>
                  </w:r>
                  <w:proofErr w:type="spellStart"/>
                  <w:r w:rsidRPr="00BF3D70">
                    <w:rPr>
                      <w:color w:val="000000"/>
                      <w:sz w:val="22"/>
                      <w:szCs w:val="22"/>
                      <w:lang w:val="en-US" w:eastAsia="en-US"/>
                    </w:rPr>
                    <w:t>finansējuma</w:t>
                  </w:r>
                  <w:proofErr w:type="spellEnd"/>
                </w:p>
              </w:tc>
              <w:tc>
                <w:tcPr>
                  <w:tcW w:w="764" w:type="dxa"/>
                  <w:tcBorders>
                    <w:top w:val="nil"/>
                    <w:left w:val="nil"/>
                    <w:bottom w:val="single" w:sz="4" w:space="0" w:color="auto"/>
                    <w:right w:val="single" w:sz="4" w:space="0" w:color="auto"/>
                  </w:tcBorders>
                  <w:shd w:val="clear" w:color="auto" w:fill="auto"/>
                  <w:noWrap/>
                  <w:vAlign w:val="bottom"/>
                  <w:hideMark/>
                </w:tcPr>
                <w:p w:rsidR="00BF3D70" w:rsidRPr="00BF3D70" w:rsidRDefault="00BF3D70" w:rsidP="002560F4">
                  <w:pPr>
                    <w:rPr>
                      <w:color w:val="000000"/>
                      <w:sz w:val="22"/>
                      <w:szCs w:val="22"/>
                      <w:lang w:val="en-US" w:eastAsia="en-US"/>
                    </w:rPr>
                  </w:pPr>
                  <w:r w:rsidRPr="00BF3D70">
                    <w:rPr>
                      <w:color w:val="000000"/>
                      <w:sz w:val="22"/>
                      <w:szCs w:val="22"/>
                      <w:lang w:val="en-US" w:eastAsia="en-US"/>
                    </w:rPr>
                    <w:t> </w:t>
                  </w:r>
                </w:p>
              </w:tc>
              <w:tc>
                <w:tcPr>
                  <w:tcW w:w="1156" w:type="dxa"/>
                  <w:tcBorders>
                    <w:top w:val="nil"/>
                    <w:left w:val="nil"/>
                    <w:bottom w:val="single" w:sz="4" w:space="0" w:color="auto"/>
                    <w:right w:val="single" w:sz="4" w:space="0" w:color="auto"/>
                  </w:tcBorders>
                  <w:shd w:val="clear" w:color="auto" w:fill="auto"/>
                  <w:noWrap/>
                  <w:vAlign w:val="bottom"/>
                  <w:hideMark/>
                </w:tcPr>
                <w:p w:rsidR="00BF3D70" w:rsidRPr="00BF3D70" w:rsidRDefault="00BF3D70" w:rsidP="0095177B">
                  <w:pPr>
                    <w:jc w:val="right"/>
                    <w:rPr>
                      <w:color w:val="000000"/>
                      <w:sz w:val="22"/>
                      <w:szCs w:val="22"/>
                      <w:lang w:val="en-US" w:eastAsia="en-US"/>
                    </w:rPr>
                  </w:pPr>
                  <w:r w:rsidRPr="00BF3D70">
                    <w:rPr>
                      <w:color w:val="000000"/>
                      <w:sz w:val="22"/>
                      <w:szCs w:val="22"/>
                      <w:lang w:val="en-US" w:eastAsia="en-US"/>
                    </w:rPr>
                    <w:t>220</w:t>
                  </w:r>
                  <w:r w:rsidR="0095177B">
                    <w:rPr>
                      <w:color w:val="000000"/>
                      <w:sz w:val="22"/>
                      <w:szCs w:val="22"/>
                      <w:lang w:val="en-US" w:eastAsia="en-US"/>
                    </w:rPr>
                    <w:t> </w:t>
                  </w:r>
                  <w:r w:rsidRPr="00BF3D70">
                    <w:rPr>
                      <w:color w:val="000000"/>
                      <w:sz w:val="22"/>
                      <w:szCs w:val="22"/>
                      <w:lang w:val="en-US" w:eastAsia="en-US"/>
                    </w:rPr>
                    <w:t>000</w:t>
                  </w:r>
                </w:p>
              </w:tc>
              <w:tc>
                <w:tcPr>
                  <w:tcW w:w="828" w:type="dxa"/>
                  <w:tcBorders>
                    <w:top w:val="nil"/>
                    <w:left w:val="nil"/>
                    <w:bottom w:val="single" w:sz="4" w:space="0" w:color="auto"/>
                    <w:right w:val="single" w:sz="4" w:space="0" w:color="auto"/>
                  </w:tcBorders>
                  <w:shd w:val="clear" w:color="auto" w:fill="auto"/>
                  <w:noWrap/>
                  <w:vAlign w:val="bottom"/>
                  <w:hideMark/>
                </w:tcPr>
                <w:p w:rsidR="00BF3D70" w:rsidRPr="00BF3D70" w:rsidRDefault="00BF3D70" w:rsidP="002560F4">
                  <w:pPr>
                    <w:rPr>
                      <w:color w:val="000000"/>
                      <w:sz w:val="22"/>
                      <w:szCs w:val="22"/>
                      <w:lang w:val="en-US" w:eastAsia="en-US"/>
                    </w:rPr>
                  </w:pPr>
                  <w:r w:rsidRPr="00BF3D70">
                    <w:rPr>
                      <w:color w:val="000000"/>
                      <w:sz w:val="22"/>
                      <w:szCs w:val="22"/>
                      <w:lang w:val="en-US" w:eastAsia="en-US"/>
                    </w:rPr>
                    <w:t> </w:t>
                  </w:r>
                </w:p>
              </w:tc>
              <w:tc>
                <w:tcPr>
                  <w:tcW w:w="1092" w:type="dxa"/>
                  <w:tcBorders>
                    <w:top w:val="nil"/>
                    <w:left w:val="nil"/>
                    <w:bottom w:val="single" w:sz="4" w:space="0" w:color="auto"/>
                    <w:right w:val="single" w:sz="4" w:space="0" w:color="auto"/>
                  </w:tcBorders>
                  <w:shd w:val="clear" w:color="auto" w:fill="auto"/>
                  <w:noWrap/>
                  <w:vAlign w:val="bottom"/>
                  <w:hideMark/>
                </w:tcPr>
                <w:p w:rsidR="00BF3D70" w:rsidRPr="00BF3D70" w:rsidRDefault="00BF3D70" w:rsidP="0095177B">
                  <w:pPr>
                    <w:jc w:val="right"/>
                    <w:rPr>
                      <w:color w:val="000000"/>
                      <w:sz w:val="22"/>
                      <w:szCs w:val="22"/>
                      <w:lang w:val="en-US" w:eastAsia="en-US"/>
                    </w:rPr>
                  </w:pPr>
                  <w:r w:rsidRPr="00BF3D70">
                    <w:rPr>
                      <w:color w:val="000000"/>
                      <w:sz w:val="22"/>
                      <w:szCs w:val="22"/>
                      <w:lang w:val="en-US" w:eastAsia="en-US"/>
                    </w:rPr>
                    <w:t>220</w:t>
                  </w:r>
                  <w:r w:rsidR="0095177B">
                    <w:rPr>
                      <w:color w:val="000000"/>
                      <w:sz w:val="22"/>
                      <w:szCs w:val="22"/>
                      <w:lang w:val="en-US" w:eastAsia="en-US"/>
                    </w:rPr>
                    <w:t> </w:t>
                  </w:r>
                  <w:r w:rsidRPr="00BF3D70">
                    <w:rPr>
                      <w:color w:val="000000"/>
                      <w:sz w:val="22"/>
                      <w:szCs w:val="22"/>
                      <w:lang w:val="en-US" w:eastAsia="en-US"/>
                    </w:rPr>
                    <w:t>000</w:t>
                  </w:r>
                </w:p>
              </w:tc>
            </w:tr>
            <w:tr w:rsidR="00BF3D70" w:rsidRPr="00BF3D70" w:rsidTr="00495E01">
              <w:trPr>
                <w:trHeight w:val="789"/>
              </w:trPr>
              <w:tc>
                <w:tcPr>
                  <w:tcW w:w="3000" w:type="dxa"/>
                  <w:tcBorders>
                    <w:top w:val="nil"/>
                    <w:left w:val="single" w:sz="4" w:space="0" w:color="auto"/>
                    <w:bottom w:val="single" w:sz="4" w:space="0" w:color="auto"/>
                    <w:right w:val="single" w:sz="4" w:space="0" w:color="auto"/>
                  </w:tcBorders>
                  <w:shd w:val="clear" w:color="auto" w:fill="auto"/>
                  <w:hideMark/>
                </w:tcPr>
                <w:p w:rsidR="00BF3D70" w:rsidRPr="0033076F" w:rsidRDefault="00BF3D70" w:rsidP="0091419C">
                  <w:pPr>
                    <w:rPr>
                      <w:color w:val="000000"/>
                      <w:sz w:val="22"/>
                      <w:szCs w:val="22"/>
                      <w:lang w:eastAsia="en-US"/>
                    </w:rPr>
                  </w:pPr>
                  <w:r w:rsidRPr="0033076F">
                    <w:rPr>
                      <w:color w:val="000000"/>
                      <w:sz w:val="22"/>
                      <w:szCs w:val="22"/>
                      <w:lang w:eastAsia="en-US"/>
                    </w:rPr>
                    <w:t xml:space="preserve">Valsts budžeta </w:t>
                  </w:r>
                  <w:proofErr w:type="spellStart"/>
                  <w:r w:rsidRPr="0033076F">
                    <w:rPr>
                      <w:color w:val="000000"/>
                      <w:sz w:val="22"/>
                      <w:szCs w:val="22"/>
                      <w:lang w:eastAsia="en-US"/>
                    </w:rPr>
                    <w:t>priekšfinansējums</w:t>
                  </w:r>
                  <w:proofErr w:type="spellEnd"/>
                  <w:r w:rsidRPr="0033076F">
                    <w:rPr>
                      <w:color w:val="000000"/>
                      <w:sz w:val="22"/>
                      <w:szCs w:val="22"/>
                      <w:lang w:eastAsia="en-US"/>
                    </w:rPr>
                    <w:t xml:space="preserve"> EK līdzfinansējuma gala maksājuma daļai 50</w:t>
                  </w:r>
                  <w:r w:rsidR="00183E3D">
                    <w:rPr>
                      <w:color w:val="000000"/>
                      <w:sz w:val="22"/>
                      <w:szCs w:val="22"/>
                      <w:lang w:eastAsia="en-US"/>
                    </w:rPr>
                    <w:t> </w:t>
                  </w:r>
                  <w:r w:rsidRPr="0033076F">
                    <w:rPr>
                      <w:color w:val="000000"/>
                      <w:sz w:val="22"/>
                      <w:szCs w:val="22"/>
                      <w:lang w:eastAsia="en-US"/>
                    </w:rPr>
                    <w:t>% apmērā</w:t>
                  </w:r>
                </w:p>
              </w:tc>
              <w:tc>
                <w:tcPr>
                  <w:tcW w:w="764" w:type="dxa"/>
                  <w:tcBorders>
                    <w:top w:val="nil"/>
                    <w:left w:val="nil"/>
                    <w:bottom w:val="single" w:sz="4" w:space="0" w:color="auto"/>
                    <w:right w:val="single" w:sz="4" w:space="0" w:color="auto"/>
                  </w:tcBorders>
                  <w:shd w:val="clear" w:color="auto" w:fill="auto"/>
                  <w:noWrap/>
                  <w:vAlign w:val="bottom"/>
                  <w:hideMark/>
                </w:tcPr>
                <w:p w:rsidR="00BF3D70" w:rsidRPr="0033076F" w:rsidRDefault="00BF3D70" w:rsidP="00BF3D70">
                  <w:pPr>
                    <w:rPr>
                      <w:color w:val="000000"/>
                      <w:sz w:val="22"/>
                      <w:szCs w:val="22"/>
                      <w:lang w:eastAsia="en-US"/>
                    </w:rPr>
                  </w:pPr>
                  <w:r w:rsidRPr="0033076F">
                    <w:rPr>
                      <w:color w:val="000000"/>
                      <w:sz w:val="22"/>
                      <w:szCs w:val="22"/>
                      <w:lang w:eastAsia="en-US"/>
                    </w:rPr>
                    <w:t> </w:t>
                  </w:r>
                </w:p>
              </w:tc>
              <w:tc>
                <w:tcPr>
                  <w:tcW w:w="1156" w:type="dxa"/>
                  <w:tcBorders>
                    <w:top w:val="nil"/>
                    <w:left w:val="nil"/>
                    <w:bottom w:val="single" w:sz="4" w:space="0" w:color="auto"/>
                    <w:right w:val="single" w:sz="4" w:space="0" w:color="auto"/>
                  </w:tcBorders>
                  <w:shd w:val="clear" w:color="auto" w:fill="auto"/>
                  <w:noWrap/>
                  <w:vAlign w:val="bottom"/>
                  <w:hideMark/>
                </w:tcPr>
                <w:p w:rsidR="00BF3D70" w:rsidRPr="00BF3D70" w:rsidRDefault="00BF3D70" w:rsidP="0095177B">
                  <w:pPr>
                    <w:jc w:val="right"/>
                    <w:rPr>
                      <w:color w:val="000000"/>
                      <w:sz w:val="22"/>
                      <w:szCs w:val="22"/>
                      <w:lang w:val="en-US" w:eastAsia="en-US"/>
                    </w:rPr>
                  </w:pPr>
                  <w:r w:rsidRPr="00BF3D70">
                    <w:rPr>
                      <w:color w:val="000000"/>
                      <w:sz w:val="22"/>
                      <w:szCs w:val="22"/>
                      <w:lang w:val="en-US" w:eastAsia="en-US"/>
                    </w:rPr>
                    <w:t>440</w:t>
                  </w:r>
                  <w:r w:rsidR="0095177B">
                    <w:rPr>
                      <w:color w:val="000000"/>
                      <w:sz w:val="22"/>
                      <w:szCs w:val="22"/>
                      <w:lang w:val="en-US" w:eastAsia="en-US"/>
                    </w:rPr>
                    <w:t> </w:t>
                  </w:r>
                  <w:r w:rsidRPr="00BF3D70">
                    <w:rPr>
                      <w:color w:val="000000"/>
                      <w:sz w:val="22"/>
                      <w:szCs w:val="22"/>
                      <w:lang w:val="en-US" w:eastAsia="en-US"/>
                    </w:rPr>
                    <w:t>000</w:t>
                  </w:r>
                </w:p>
              </w:tc>
              <w:tc>
                <w:tcPr>
                  <w:tcW w:w="828" w:type="dxa"/>
                  <w:tcBorders>
                    <w:top w:val="nil"/>
                    <w:left w:val="nil"/>
                    <w:bottom w:val="single" w:sz="4" w:space="0" w:color="auto"/>
                    <w:right w:val="single" w:sz="4" w:space="0" w:color="auto"/>
                  </w:tcBorders>
                  <w:shd w:val="clear" w:color="auto" w:fill="auto"/>
                  <w:noWrap/>
                  <w:vAlign w:val="bottom"/>
                  <w:hideMark/>
                </w:tcPr>
                <w:p w:rsidR="00BF3D70" w:rsidRPr="00BF3D70" w:rsidRDefault="00BF3D70" w:rsidP="00BF3D70">
                  <w:pPr>
                    <w:rPr>
                      <w:color w:val="000000"/>
                      <w:sz w:val="22"/>
                      <w:szCs w:val="22"/>
                      <w:lang w:val="en-US" w:eastAsia="en-US"/>
                    </w:rPr>
                  </w:pPr>
                  <w:r w:rsidRPr="00BF3D70">
                    <w:rPr>
                      <w:color w:val="000000"/>
                      <w:sz w:val="22"/>
                      <w:szCs w:val="22"/>
                      <w:lang w:val="en-US" w:eastAsia="en-US"/>
                    </w:rPr>
                    <w:t> </w:t>
                  </w:r>
                </w:p>
              </w:tc>
              <w:tc>
                <w:tcPr>
                  <w:tcW w:w="1092" w:type="dxa"/>
                  <w:tcBorders>
                    <w:top w:val="nil"/>
                    <w:left w:val="nil"/>
                    <w:bottom w:val="single" w:sz="4" w:space="0" w:color="auto"/>
                    <w:right w:val="single" w:sz="4" w:space="0" w:color="auto"/>
                  </w:tcBorders>
                  <w:shd w:val="clear" w:color="auto" w:fill="auto"/>
                  <w:noWrap/>
                  <w:vAlign w:val="bottom"/>
                  <w:hideMark/>
                </w:tcPr>
                <w:p w:rsidR="00BF3D70" w:rsidRPr="00BF3D70" w:rsidRDefault="00BF3D70" w:rsidP="0095177B">
                  <w:pPr>
                    <w:jc w:val="right"/>
                    <w:rPr>
                      <w:color w:val="000000"/>
                      <w:sz w:val="22"/>
                      <w:szCs w:val="22"/>
                      <w:lang w:val="en-US" w:eastAsia="en-US"/>
                    </w:rPr>
                  </w:pPr>
                  <w:r w:rsidRPr="00BF3D70">
                    <w:rPr>
                      <w:color w:val="000000"/>
                      <w:sz w:val="22"/>
                      <w:szCs w:val="22"/>
                      <w:lang w:val="en-US" w:eastAsia="en-US"/>
                    </w:rPr>
                    <w:t>440</w:t>
                  </w:r>
                  <w:r w:rsidR="0095177B">
                    <w:rPr>
                      <w:color w:val="000000"/>
                      <w:sz w:val="22"/>
                      <w:szCs w:val="22"/>
                      <w:lang w:val="en-US" w:eastAsia="en-US"/>
                    </w:rPr>
                    <w:t> </w:t>
                  </w:r>
                  <w:r w:rsidRPr="00BF3D70">
                    <w:rPr>
                      <w:color w:val="000000"/>
                      <w:sz w:val="22"/>
                      <w:szCs w:val="22"/>
                      <w:lang w:val="en-US" w:eastAsia="en-US"/>
                    </w:rPr>
                    <w:t>000</w:t>
                  </w:r>
                </w:p>
              </w:tc>
            </w:tr>
            <w:tr w:rsidR="00BF3D70" w:rsidRPr="00BF3D70" w:rsidTr="0033076F">
              <w:trPr>
                <w:trHeight w:val="300"/>
              </w:trPr>
              <w:tc>
                <w:tcPr>
                  <w:tcW w:w="3000" w:type="dxa"/>
                  <w:tcBorders>
                    <w:top w:val="nil"/>
                    <w:left w:val="single" w:sz="4" w:space="0" w:color="auto"/>
                    <w:bottom w:val="single" w:sz="4" w:space="0" w:color="auto"/>
                    <w:right w:val="single" w:sz="4" w:space="0" w:color="auto"/>
                  </w:tcBorders>
                  <w:shd w:val="clear" w:color="auto" w:fill="auto"/>
                  <w:hideMark/>
                </w:tcPr>
                <w:p w:rsidR="00BF3D70" w:rsidRPr="00BF3D70" w:rsidRDefault="00BF3D70" w:rsidP="0091419C">
                  <w:pPr>
                    <w:rPr>
                      <w:color w:val="000000"/>
                      <w:sz w:val="22"/>
                      <w:szCs w:val="22"/>
                      <w:lang w:val="en-US" w:eastAsia="en-US"/>
                    </w:rPr>
                  </w:pPr>
                  <w:proofErr w:type="spellStart"/>
                  <w:r w:rsidRPr="00BF3D70">
                    <w:rPr>
                      <w:color w:val="000000"/>
                      <w:sz w:val="22"/>
                      <w:szCs w:val="22"/>
                      <w:lang w:val="en-US" w:eastAsia="en-US"/>
                    </w:rPr>
                    <w:t>Pievienotās</w:t>
                  </w:r>
                  <w:proofErr w:type="spellEnd"/>
                  <w:r w:rsidRPr="00BF3D70">
                    <w:rPr>
                      <w:color w:val="000000"/>
                      <w:sz w:val="22"/>
                      <w:szCs w:val="22"/>
                      <w:lang w:val="en-US" w:eastAsia="en-US"/>
                    </w:rPr>
                    <w:t xml:space="preserve"> </w:t>
                  </w:r>
                  <w:proofErr w:type="spellStart"/>
                  <w:r w:rsidRPr="00BF3D70">
                    <w:rPr>
                      <w:color w:val="000000"/>
                      <w:sz w:val="22"/>
                      <w:szCs w:val="22"/>
                      <w:lang w:val="en-US" w:eastAsia="en-US"/>
                    </w:rPr>
                    <w:t>vērtības</w:t>
                  </w:r>
                  <w:proofErr w:type="spellEnd"/>
                  <w:r w:rsidRPr="00BF3D70">
                    <w:rPr>
                      <w:color w:val="000000"/>
                      <w:sz w:val="22"/>
                      <w:szCs w:val="22"/>
                      <w:lang w:val="en-US" w:eastAsia="en-US"/>
                    </w:rPr>
                    <w:t xml:space="preserve"> </w:t>
                  </w:r>
                  <w:proofErr w:type="spellStart"/>
                  <w:r w:rsidRPr="00BF3D70">
                    <w:rPr>
                      <w:color w:val="000000"/>
                      <w:sz w:val="22"/>
                      <w:szCs w:val="22"/>
                      <w:lang w:val="en-US" w:eastAsia="en-US"/>
                    </w:rPr>
                    <w:t>nodoklis</w:t>
                  </w:r>
                  <w:proofErr w:type="spellEnd"/>
                </w:p>
              </w:tc>
              <w:tc>
                <w:tcPr>
                  <w:tcW w:w="764" w:type="dxa"/>
                  <w:tcBorders>
                    <w:top w:val="nil"/>
                    <w:left w:val="nil"/>
                    <w:bottom w:val="single" w:sz="4" w:space="0" w:color="auto"/>
                    <w:right w:val="single" w:sz="4" w:space="0" w:color="auto"/>
                  </w:tcBorders>
                  <w:shd w:val="clear" w:color="auto" w:fill="auto"/>
                  <w:noWrap/>
                  <w:vAlign w:val="bottom"/>
                  <w:hideMark/>
                </w:tcPr>
                <w:p w:rsidR="00BF3D70" w:rsidRPr="00BF3D70" w:rsidRDefault="00BF3D70" w:rsidP="00BF3D70">
                  <w:pPr>
                    <w:rPr>
                      <w:color w:val="000000"/>
                      <w:sz w:val="22"/>
                      <w:szCs w:val="22"/>
                      <w:lang w:val="en-US" w:eastAsia="en-US"/>
                    </w:rPr>
                  </w:pPr>
                  <w:r w:rsidRPr="00BF3D70">
                    <w:rPr>
                      <w:color w:val="000000"/>
                      <w:sz w:val="22"/>
                      <w:szCs w:val="22"/>
                      <w:lang w:val="en-US" w:eastAsia="en-U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BF3D70" w:rsidRPr="00BF3D70" w:rsidRDefault="00BF3D70" w:rsidP="0095177B">
                  <w:pPr>
                    <w:jc w:val="right"/>
                    <w:rPr>
                      <w:color w:val="000000"/>
                      <w:sz w:val="22"/>
                      <w:szCs w:val="22"/>
                      <w:lang w:val="en-US" w:eastAsia="en-US"/>
                    </w:rPr>
                  </w:pPr>
                  <w:r w:rsidRPr="00BF3D70">
                    <w:rPr>
                      <w:color w:val="000000"/>
                      <w:sz w:val="22"/>
                      <w:szCs w:val="22"/>
                      <w:lang w:val="en-US" w:eastAsia="en-US"/>
                    </w:rPr>
                    <w:t>231</w:t>
                  </w:r>
                  <w:r w:rsidR="0095177B">
                    <w:rPr>
                      <w:color w:val="000000"/>
                      <w:sz w:val="22"/>
                      <w:szCs w:val="22"/>
                      <w:lang w:val="en-US" w:eastAsia="en-US"/>
                    </w:rPr>
                    <w:t> </w:t>
                  </w:r>
                  <w:r w:rsidRPr="00BF3D70">
                    <w:rPr>
                      <w:color w:val="000000"/>
                      <w:sz w:val="22"/>
                      <w:szCs w:val="22"/>
                      <w:lang w:val="en-US" w:eastAsia="en-US"/>
                    </w:rPr>
                    <w:t>000</w:t>
                  </w:r>
                </w:p>
              </w:tc>
              <w:tc>
                <w:tcPr>
                  <w:tcW w:w="828" w:type="dxa"/>
                  <w:tcBorders>
                    <w:top w:val="nil"/>
                    <w:left w:val="nil"/>
                    <w:bottom w:val="single" w:sz="4" w:space="0" w:color="auto"/>
                    <w:right w:val="single" w:sz="4" w:space="0" w:color="auto"/>
                  </w:tcBorders>
                  <w:shd w:val="clear" w:color="auto" w:fill="auto"/>
                  <w:noWrap/>
                  <w:vAlign w:val="bottom"/>
                  <w:hideMark/>
                </w:tcPr>
                <w:p w:rsidR="00BF3D70" w:rsidRPr="00BF3D70" w:rsidRDefault="00BF3D70" w:rsidP="00BF3D70">
                  <w:pPr>
                    <w:rPr>
                      <w:color w:val="000000"/>
                      <w:sz w:val="22"/>
                      <w:szCs w:val="22"/>
                      <w:lang w:val="en-US" w:eastAsia="en-US"/>
                    </w:rPr>
                  </w:pPr>
                  <w:r w:rsidRPr="00BF3D70">
                    <w:rPr>
                      <w:color w:val="000000"/>
                      <w:sz w:val="22"/>
                      <w:szCs w:val="22"/>
                      <w:lang w:val="en-US" w:eastAsia="en-US"/>
                    </w:rPr>
                    <w:t> </w:t>
                  </w:r>
                </w:p>
              </w:tc>
              <w:tc>
                <w:tcPr>
                  <w:tcW w:w="1092" w:type="dxa"/>
                  <w:tcBorders>
                    <w:top w:val="nil"/>
                    <w:left w:val="nil"/>
                    <w:bottom w:val="single" w:sz="4" w:space="0" w:color="auto"/>
                    <w:right w:val="single" w:sz="4" w:space="0" w:color="auto"/>
                  </w:tcBorders>
                  <w:shd w:val="clear" w:color="auto" w:fill="auto"/>
                  <w:noWrap/>
                  <w:vAlign w:val="bottom"/>
                  <w:hideMark/>
                </w:tcPr>
                <w:p w:rsidR="00BF3D70" w:rsidRPr="00BF3D70" w:rsidRDefault="00BF3D70" w:rsidP="0095177B">
                  <w:pPr>
                    <w:jc w:val="right"/>
                    <w:rPr>
                      <w:color w:val="000000"/>
                      <w:sz w:val="22"/>
                      <w:szCs w:val="22"/>
                      <w:lang w:val="en-US" w:eastAsia="en-US"/>
                    </w:rPr>
                  </w:pPr>
                  <w:r w:rsidRPr="00BF3D70">
                    <w:rPr>
                      <w:color w:val="000000"/>
                      <w:sz w:val="22"/>
                      <w:szCs w:val="22"/>
                      <w:lang w:val="en-US" w:eastAsia="en-US"/>
                    </w:rPr>
                    <w:t>231</w:t>
                  </w:r>
                  <w:r w:rsidR="0095177B">
                    <w:rPr>
                      <w:color w:val="000000"/>
                      <w:sz w:val="22"/>
                      <w:szCs w:val="22"/>
                      <w:lang w:val="en-US" w:eastAsia="en-US"/>
                    </w:rPr>
                    <w:t> </w:t>
                  </w:r>
                  <w:r w:rsidRPr="00BF3D70">
                    <w:rPr>
                      <w:color w:val="000000"/>
                      <w:sz w:val="22"/>
                      <w:szCs w:val="22"/>
                      <w:lang w:val="en-US" w:eastAsia="en-US"/>
                    </w:rPr>
                    <w:t>000</w:t>
                  </w:r>
                </w:p>
              </w:tc>
            </w:tr>
            <w:tr w:rsidR="00BF3D70" w:rsidRPr="00BF3D70" w:rsidTr="0033076F">
              <w:trPr>
                <w:trHeight w:val="570"/>
              </w:trPr>
              <w:tc>
                <w:tcPr>
                  <w:tcW w:w="3000" w:type="dxa"/>
                  <w:tcBorders>
                    <w:top w:val="nil"/>
                    <w:left w:val="single" w:sz="4" w:space="0" w:color="auto"/>
                    <w:bottom w:val="single" w:sz="4" w:space="0" w:color="auto"/>
                    <w:right w:val="single" w:sz="4" w:space="0" w:color="auto"/>
                  </w:tcBorders>
                  <w:shd w:val="clear" w:color="000000" w:fill="FFFFFF"/>
                  <w:hideMark/>
                </w:tcPr>
                <w:p w:rsidR="00BF3D70" w:rsidRPr="000C37CC" w:rsidRDefault="00BF3D70" w:rsidP="0091419C">
                  <w:pPr>
                    <w:rPr>
                      <w:b/>
                      <w:bCs/>
                      <w:sz w:val="22"/>
                      <w:szCs w:val="22"/>
                      <w:lang w:val="en-US" w:eastAsia="en-US"/>
                    </w:rPr>
                  </w:pPr>
                  <w:proofErr w:type="spellStart"/>
                  <w:r w:rsidRPr="000C37CC">
                    <w:rPr>
                      <w:b/>
                      <w:bCs/>
                      <w:sz w:val="22"/>
                      <w:szCs w:val="22"/>
                      <w:lang w:val="en-US" w:eastAsia="en-US"/>
                    </w:rPr>
                    <w:t>Kopā</w:t>
                  </w:r>
                  <w:proofErr w:type="spellEnd"/>
                  <w:r w:rsidRPr="000C37CC">
                    <w:rPr>
                      <w:b/>
                      <w:bCs/>
                      <w:sz w:val="22"/>
                      <w:szCs w:val="22"/>
                      <w:lang w:val="en-US" w:eastAsia="en-US"/>
                    </w:rPr>
                    <w:t xml:space="preserve"> no </w:t>
                  </w:r>
                  <w:proofErr w:type="spellStart"/>
                  <w:r w:rsidRPr="000C37CC">
                    <w:rPr>
                      <w:b/>
                      <w:bCs/>
                      <w:sz w:val="22"/>
                      <w:szCs w:val="22"/>
                      <w:lang w:val="en-US" w:eastAsia="en-US"/>
                    </w:rPr>
                    <w:t>valsts</w:t>
                  </w:r>
                  <w:proofErr w:type="spellEnd"/>
                  <w:r w:rsidRPr="000C37CC">
                    <w:rPr>
                      <w:b/>
                      <w:bCs/>
                      <w:sz w:val="22"/>
                      <w:szCs w:val="22"/>
                      <w:lang w:val="en-US" w:eastAsia="en-US"/>
                    </w:rPr>
                    <w:t xml:space="preserve"> </w:t>
                  </w:r>
                  <w:proofErr w:type="spellStart"/>
                  <w:r w:rsidRPr="000C37CC">
                    <w:rPr>
                      <w:b/>
                      <w:bCs/>
                      <w:sz w:val="22"/>
                      <w:szCs w:val="22"/>
                      <w:lang w:val="en-US" w:eastAsia="en-US"/>
                    </w:rPr>
                    <w:t>budžeta</w:t>
                  </w:r>
                  <w:proofErr w:type="spellEnd"/>
                  <w:r w:rsidRPr="000C37CC">
                    <w:rPr>
                      <w:b/>
                      <w:bCs/>
                      <w:sz w:val="22"/>
                      <w:szCs w:val="22"/>
                      <w:lang w:val="en-US" w:eastAsia="en-US"/>
                    </w:rPr>
                    <w:t xml:space="preserve"> </w:t>
                  </w:r>
                  <w:proofErr w:type="spellStart"/>
                  <w:r w:rsidRPr="000C37CC">
                    <w:rPr>
                      <w:b/>
                      <w:bCs/>
                      <w:sz w:val="22"/>
                      <w:szCs w:val="22"/>
                      <w:lang w:val="en-US" w:eastAsia="en-US"/>
                    </w:rPr>
                    <w:t>nepieciešamais</w:t>
                  </w:r>
                  <w:proofErr w:type="spellEnd"/>
                  <w:r w:rsidRPr="000C37CC">
                    <w:rPr>
                      <w:b/>
                      <w:bCs/>
                      <w:sz w:val="22"/>
                      <w:szCs w:val="22"/>
                      <w:lang w:val="en-US" w:eastAsia="en-US"/>
                    </w:rPr>
                    <w:t xml:space="preserve"> </w:t>
                  </w:r>
                  <w:proofErr w:type="spellStart"/>
                  <w:r w:rsidRPr="000C37CC">
                    <w:rPr>
                      <w:b/>
                      <w:bCs/>
                      <w:sz w:val="22"/>
                      <w:szCs w:val="22"/>
                      <w:lang w:val="en-US" w:eastAsia="en-US"/>
                    </w:rPr>
                    <w:t>finansējums</w:t>
                  </w:r>
                  <w:proofErr w:type="spellEnd"/>
                </w:p>
              </w:tc>
              <w:tc>
                <w:tcPr>
                  <w:tcW w:w="764" w:type="dxa"/>
                  <w:tcBorders>
                    <w:top w:val="nil"/>
                    <w:left w:val="nil"/>
                    <w:bottom w:val="single" w:sz="4" w:space="0" w:color="auto"/>
                    <w:right w:val="single" w:sz="4" w:space="0" w:color="auto"/>
                  </w:tcBorders>
                  <w:shd w:val="clear" w:color="000000" w:fill="FFFFFF"/>
                  <w:noWrap/>
                  <w:vAlign w:val="bottom"/>
                  <w:hideMark/>
                </w:tcPr>
                <w:p w:rsidR="00BF3D70" w:rsidRPr="000C37CC" w:rsidRDefault="00BF3D70" w:rsidP="00BF3D70">
                  <w:pPr>
                    <w:rPr>
                      <w:b/>
                      <w:bCs/>
                      <w:sz w:val="22"/>
                      <w:szCs w:val="22"/>
                      <w:lang w:val="en-US" w:eastAsia="en-US"/>
                    </w:rPr>
                  </w:pPr>
                  <w:r w:rsidRPr="000C37CC">
                    <w:rPr>
                      <w:b/>
                      <w:bCs/>
                      <w:sz w:val="22"/>
                      <w:szCs w:val="22"/>
                      <w:lang w:val="en-US" w:eastAsia="en-U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BF3D70" w:rsidRPr="000C37CC" w:rsidRDefault="00BF3D70" w:rsidP="0095177B">
                  <w:pPr>
                    <w:jc w:val="right"/>
                    <w:rPr>
                      <w:b/>
                      <w:bCs/>
                      <w:sz w:val="22"/>
                      <w:szCs w:val="22"/>
                      <w:lang w:val="en-US" w:eastAsia="en-US"/>
                    </w:rPr>
                  </w:pPr>
                  <w:r w:rsidRPr="000C37CC">
                    <w:rPr>
                      <w:b/>
                      <w:bCs/>
                      <w:sz w:val="22"/>
                      <w:szCs w:val="22"/>
                      <w:lang w:val="en-US" w:eastAsia="en-US"/>
                    </w:rPr>
                    <w:t>891</w:t>
                  </w:r>
                  <w:r w:rsidR="0095177B">
                    <w:rPr>
                      <w:b/>
                      <w:bCs/>
                      <w:sz w:val="22"/>
                      <w:szCs w:val="22"/>
                      <w:lang w:val="en-US" w:eastAsia="en-US"/>
                    </w:rPr>
                    <w:t> </w:t>
                  </w:r>
                  <w:r w:rsidRPr="000C37CC">
                    <w:rPr>
                      <w:b/>
                      <w:bCs/>
                      <w:sz w:val="22"/>
                      <w:szCs w:val="22"/>
                      <w:lang w:val="en-US" w:eastAsia="en-US"/>
                    </w:rPr>
                    <w:t>000</w:t>
                  </w:r>
                </w:p>
              </w:tc>
              <w:tc>
                <w:tcPr>
                  <w:tcW w:w="828" w:type="dxa"/>
                  <w:tcBorders>
                    <w:top w:val="nil"/>
                    <w:left w:val="nil"/>
                    <w:bottom w:val="single" w:sz="4" w:space="0" w:color="auto"/>
                    <w:right w:val="single" w:sz="4" w:space="0" w:color="auto"/>
                  </w:tcBorders>
                  <w:shd w:val="clear" w:color="000000" w:fill="FFFFFF"/>
                  <w:noWrap/>
                  <w:vAlign w:val="bottom"/>
                  <w:hideMark/>
                </w:tcPr>
                <w:p w:rsidR="00BF3D70" w:rsidRPr="000C37CC" w:rsidRDefault="00BF3D70" w:rsidP="00BF3D70">
                  <w:pPr>
                    <w:rPr>
                      <w:b/>
                      <w:bCs/>
                      <w:sz w:val="22"/>
                      <w:szCs w:val="22"/>
                      <w:lang w:val="en-US" w:eastAsia="en-US"/>
                    </w:rPr>
                  </w:pPr>
                  <w:r w:rsidRPr="000C37CC">
                    <w:rPr>
                      <w:b/>
                      <w:bCs/>
                      <w:sz w:val="22"/>
                      <w:szCs w:val="22"/>
                      <w:lang w:val="en-US" w:eastAsia="en-US"/>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BF3D70" w:rsidRPr="000C37CC" w:rsidRDefault="00BF3D70" w:rsidP="0095177B">
                  <w:pPr>
                    <w:jc w:val="right"/>
                    <w:rPr>
                      <w:b/>
                      <w:bCs/>
                      <w:sz w:val="22"/>
                      <w:szCs w:val="22"/>
                      <w:lang w:val="en-US" w:eastAsia="en-US"/>
                    </w:rPr>
                  </w:pPr>
                  <w:r w:rsidRPr="000C37CC">
                    <w:rPr>
                      <w:b/>
                      <w:bCs/>
                      <w:sz w:val="22"/>
                      <w:szCs w:val="22"/>
                      <w:lang w:val="en-US" w:eastAsia="en-US"/>
                    </w:rPr>
                    <w:t>891</w:t>
                  </w:r>
                  <w:r w:rsidR="0095177B">
                    <w:rPr>
                      <w:b/>
                      <w:bCs/>
                      <w:sz w:val="22"/>
                      <w:szCs w:val="22"/>
                      <w:lang w:val="en-US" w:eastAsia="en-US"/>
                    </w:rPr>
                    <w:t> </w:t>
                  </w:r>
                  <w:r w:rsidRPr="000C37CC">
                    <w:rPr>
                      <w:b/>
                      <w:bCs/>
                      <w:sz w:val="22"/>
                      <w:szCs w:val="22"/>
                      <w:lang w:val="en-US" w:eastAsia="en-US"/>
                    </w:rPr>
                    <w:t>000</w:t>
                  </w:r>
                </w:p>
              </w:tc>
            </w:tr>
            <w:tr w:rsidR="00BF3D70" w:rsidRPr="00BF3D70" w:rsidTr="0033076F">
              <w:trPr>
                <w:trHeight w:val="300"/>
              </w:trPr>
              <w:tc>
                <w:tcPr>
                  <w:tcW w:w="3000" w:type="dxa"/>
                  <w:tcBorders>
                    <w:top w:val="nil"/>
                    <w:left w:val="single" w:sz="4" w:space="0" w:color="auto"/>
                    <w:bottom w:val="single" w:sz="4" w:space="0" w:color="auto"/>
                    <w:right w:val="single" w:sz="4" w:space="0" w:color="auto"/>
                  </w:tcBorders>
                  <w:shd w:val="clear" w:color="auto" w:fill="auto"/>
                  <w:hideMark/>
                </w:tcPr>
                <w:p w:rsidR="00BF3D70" w:rsidRPr="00BF3D70" w:rsidRDefault="00BF3D70" w:rsidP="0091419C">
                  <w:pPr>
                    <w:rPr>
                      <w:color w:val="000000"/>
                      <w:sz w:val="22"/>
                      <w:szCs w:val="22"/>
                      <w:lang w:val="en-US" w:eastAsia="en-US"/>
                    </w:rPr>
                  </w:pPr>
                  <w:proofErr w:type="spellStart"/>
                  <w:r w:rsidRPr="00BF3D70">
                    <w:rPr>
                      <w:color w:val="000000"/>
                      <w:sz w:val="22"/>
                      <w:szCs w:val="22"/>
                      <w:lang w:val="en-US" w:eastAsia="en-US"/>
                    </w:rPr>
                    <w:t>Atmaksa</w:t>
                  </w:r>
                  <w:proofErr w:type="spellEnd"/>
                  <w:r w:rsidRPr="00BF3D70">
                    <w:rPr>
                      <w:color w:val="000000"/>
                      <w:sz w:val="22"/>
                      <w:szCs w:val="22"/>
                      <w:lang w:val="en-US" w:eastAsia="en-US"/>
                    </w:rPr>
                    <w:t xml:space="preserve"> </w:t>
                  </w:r>
                  <w:proofErr w:type="spellStart"/>
                  <w:r w:rsidRPr="00BF3D70">
                    <w:rPr>
                      <w:color w:val="000000"/>
                      <w:sz w:val="22"/>
                      <w:szCs w:val="22"/>
                      <w:lang w:val="en-US" w:eastAsia="en-US"/>
                    </w:rPr>
                    <w:t>valsts</w:t>
                  </w:r>
                  <w:proofErr w:type="spellEnd"/>
                  <w:r w:rsidRPr="00BF3D70">
                    <w:rPr>
                      <w:color w:val="000000"/>
                      <w:sz w:val="22"/>
                      <w:szCs w:val="22"/>
                      <w:lang w:val="en-US" w:eastAsia="en-US"/>
                    </w:rPr>
                    <w:t xml:space="preserve"> </w:t>
                  </w:r>
                  <w:proofErr w:type="spellStart"/>
                  <w:r w:rsidRPr="00BF3D70">
                    <w:rPr>
                      <w:color w:val="000000"/>
                      <w:sz w:val="22"/>
                      <w:szCs w:val="22"/>
                      <w:lang w:val="en-US" w:eastAsia="en-US"/>
                    </w:rPr>
                    <w:t>pamatbudžetam</w:t>
                  </w:r>
                  <w:proofErr w:type="spellEnd"/>
                </w:p>
              </w:tc>
              <w:tc>
                <w:tcPr>
                  <w:tcW w:w="764" w:type="dxa"/>
                  <w:tcBorders>
                    <w:top w:val="nil"/>
                    <w:left w:val="nil"/>
                    <w:bottom w:val="single" w:sz="4" w:space="0" w:color="auto"/>
                    <w:right w:val="single" w:sz="4" w:space="0" w:color="auto"/>
                  </w:tcBorders>
                  <w:shd w:val="clear" w:color="auto" w:fill="auto"/>
                  <w:noWrap/>
                  <w:vAlign w:val="bottom"/>
                  <w:hideMark/>
                </w:tcPr>
                <w:p w:rsidR="00BF3D70" w:rsidRPr="00BF3D70" w:rsidRDefault="00BF3D70" w:rsidP="00BF3D70">
                  <w:pPr>
                    <w:rPr>
                      <w:color w:val="000000"/>
                      <w:sz w:val="22"/>
                      <w:szCs w:val="22"/>
                      <w:lang w:val="en-US" w:eastAsia="en-US"/>
                    </w:rPr>
                  </w:pPr>
                  <w:r w:rsidRPr="00BF3D70">
                    <w:rPr>
                      <w:color w:val="000000"/>
                      <w:sz w:val="22"/>
                      <w:szCs w:val="22"/>
                      <w:lang w:val="en-US" w:eastAsia="en-US"/>
                    </w:rPr>
                    <w:t> </w:t>
                  </w:r>
                </w:p>
              </w:tc>
              <w:tc>
                <w:tcPr>
                  <w:tcW w:w="1156" w:type="dxa"/>
                  <w:tcBorders>
                    <w:top w:val="nil"/>
                    <w:left w:val="nil"/>
                    <w:bottom w:val="single" w:sz="4" w:space="0" w:color="auto"/>
                    <w:right w:val="single" w:sz="4" w:space="0" w:color="auto"/>
                  </w:tcBorders>
                  <w:shd w:val="clear" w:color="auto" w:fill="auto"/>
                  <w:noWrap/>
                  <w:vAlign w:val="bottom"/>
                  <w:hideMark/>
                </w:tcPr>
                <w:p w:rsidR="00BF3D70" w:rsidRPr="00BF3D70" w:rsidRDefault="00BF3D70" w:rsidP="00BF3D70">
                  <w:pPr>
                    <w:rPr>
                      <w:color w:val="000000"/>
                      <w:sz w:val="22"/>
                      <w:szCs w:val="22"/>
                      <w:lang w:val="en-US" w:eastAsia="en-US"/>
                    </w:rPr>
                  </w:pPr>
                  <w:r w:rsidRPr="00BF3D70">
                    <w:rPr>
                      <w:color w:val="000000"/>
                      <w:sz w:val="22"/>
                      <w:szCs w:val="22"/>
                      <w:lang w:val="en-US" w:eastAsia="en-US"/>
                    </w:rPr>
                    <w:t> </w:t>
                  </w:r>
                </w:p>
              </w:tc>
              <w:tc>
                <w:tcPr>
                  <w:tcW w:w="828" w:type="dxa"/>
                  <w:tcBorders>
                    <w:top w:val="nil"/>
                    <w:left w:val="nil"/>
                    <w:bottom w:val="single" w:sz="4" w:space="0" w:color="auto"/>
                    <w:right w:val="single" w:sz="4" w:space="0" w:color="auto"/>
                  </w:tcBorders>
                  <w:shd w:val="clear" w:color="auto" w:fill="auto"/>
                  <w:noWrap/>
                  <w:vAlign w:val="bottom"/>
                  <w:hideMark/>
                </w:tcPr>
                <w:p w:rsidR="00BF3D70" w:rsidRPr="00BF3D70" w:rsidRDefault="00BF3D70" w:rsidP="0095177B">
                  <w:pPr>
                    <w:ind w:hanging="130"/>
                    <w:jc w:val="right"/>
                    <w:rPr>
                      <w:color w:val="000000"/>
                      <w:sz w:val="22"/>
                      <w:szCs w:val="22"/>
                      <w:lang w:val="en-US" w:eastAsia="en-US"/>
                    </w:rPr>
                  </w:pPr>
                  <w:r w:rsidRPr="00BF3D70">
                    <w:rPr>
                      <w:color w:val="000000"/>
                      <w:sz w:val="22"/>
                      <w:szCs w:val="22"/>
                      <w:lang w:val="en-US" w:eastAsia="en-US"/>
                    </w:rPr>
                    <w:t>440</w:t>
                  </w:r>
                  <w:r w:rsidR="0095177B">
                    <w:rPr>
                      <w:color w:val="000000"/>
                      <w:sz w:val="22"/>
                      <w:szCs w:val="22"/>
                      <w:lang w:val="en-US" w:eastAsia="en-US"/>
                    </w:rPr>
                    <w:t> </w:t>
                  </w:r>
                  <w:r w:rsidRPr="00BF3D70">
                    <w:rPr>
                      <w:color w:val="000000"/>
                      <w:sz w:val="22"/>
                      <w:szCs w:val="22"/>
                      <w:lang w:val="en-US" w:eastAsia="en-US"/>
                    </w:rPr>
                    <w:t>000</w:t>
                  </w:r>
                </w:p>
              </w:tc>
              <w:tc>
                <w:tcPr>
                  <w:tcW w:w="1092" w:type="dxa"/>
                  <w:tcBorders>
                    <w:top w:val="nil"/>
                    <w:left w:val="nil"/>
                    <w:bottom w:val="single" w:sz="4" w:space="0" w:color="auto"/>
                    <w:right w:val="single" w:sz="4" w:space="0" w:color="auto"/>
                  </w:tcBorders>
                  <w:shd w:val="clear" w:color="auto" w:fill="auto"/>
                  <w:noWrap/>
                  <w:vAlign w:val="bottom"/>
                  <w:hideMark/>
                </w:tcPr>
                <w:p w:rsidR="00BF3D70" w:rsidRPr="00BF3D70" w:rsidRDefault="00BF3D70" w:rsidP="00BF3D70">
                  <w:pPr>
                    <w:jc w:val="right"/>
                    <w:rPr>
                      <w:color w:val="000000"/>
                      <w:sz w:val="22"/>
                      <w:szCs w:val="22"/>
                      <w:lang w:val="en-US" w:eastAsia="en-US"/>
                    </w:rPr>
                  </w:pPr>
                  <w:r w:rsidRPr="00BF3D70">
                    <w:rPr>
                      <w:color w:val="000000"/>
                      <w:sz w:val="22"/>
                      <w:szCs w:val="22"/>
                      <w:lang w:val="en-US" w:eastAsia="en-US"/>
                    </w:rPr>
                    <w:t>0</w:t>
                  </w:r>
                </w:p>
              </w:tc>
            </w:tr>
          </w:tbl>
          <w:p w:rsidR="000C37CC" w:rsidRDefault="000C37CC" w:rsidP="0033076F">
            <w:pPr>
              <w:jc w:val="both"/>
              <w:rPr>
                <w:b/>
              </w:rPr>
            </w:pPr>
          </w:p>
          <w:p w:rsidR="00BF3D70" w:rsidRDefault="00BF3D70" w:rsidP="0033076F">
            <w:pPr>
              <w:jc w:val="both"/>
              <w:rPr>
                <w:b/>
              </w:rPr>
            </w:pPr>
            <w:r w:rsidRPr="0033076F">
              <w:rPr>
                <w:b/>
              </w:rPr>
              <w:t>2015.gad</w:t>
            </w:r>
            <w:r w:rsidR="008E1653">
              <w:rPr>
                <w:b/>
              </w:rPr>
              <w:t>s</w:t>
            </w:r>
            <w:r>
              <w:rPr>
                <w:b/>
              </w:rPr>
              <w:t>:</w:t>
            </w:r>
          </w:p>
          <w:p w:rsidR="00EE572F" w:rsidRPr="000C37CC" w:rsidRDefault="00BF3D70" w:rsidP="00876965">
            <w:pPr>
              <w:ind w:left="83"/>
              <w:jc w:val="both"/>
              <w:rPr>
                <w:bCs/>
                <w:i/>
              </w:rPr>
            </w:pPr>
            <w:r>
              <w:rPr>
                <w:b/>
              </w:rPr>
              <w:t>-</w:t>
            </w:r>
            <w:r>
              <w:t xml:space="preserve"> </w:t>
            </w:r>
            <w:r w:rsidRPr="000C37CC">
              <w:t>kopējie ieņēmumi projektu īstenošanai plānoti 12 177</w:t>
            </w:r>
            <w:r w:rsidR="0095177B">
              <w:t> </w:t>
            </w:r>
            <w:proofErr w:type="spellStart"/>
            <w:r w:rsidR="005C311D" w:rsidRPr="005C311D">
              <w:rPr>
                <w:i/>
              </w:rPr>
              <w:t>euro</w:t>
            </w:r>
            <w:proofErr w:type="spellEnd"/>
            <w:r w:rsidRPr="000C37CC">
              <w:t xml:space="preserve"> apmērā, kas veidojas no EK </w:t>
            </w:r>
            <w:proofErr w:type="spellStart"/>
            <w:r w:rsidRPr="000C37CC">
              <w:t>priekšfinansējuma</w:t>
            </w:r>
            <w:proofErr w:type="spellEnd"/>
            <w:r w:rsidRPr="000C37CC">
              <w:t xml:space="preserve"> (avansa maksājuma daļa 50</w:t>
            </w:r>
            <w:r w:rsidR="007D6C7A">
              <w:t> </w:t>
            </w:r>
            <w:r w:rsidRPr="000C37CC">
              <w:t xml:space="preserve">% apmērā) projekta </w:t>
            </w:r>
            <w:r w:rsidR="00162300">
              <w:rPr>
                <w:bCs/>
                <w:i/>
              </w:rPr>
              <w:t>“</w:t>
            </w:r>
            <w:r w:rsidRPr="000C37CC">
              <w:rPr>
                <w:bCs/>
                <w:i/>
              </w:rPr>
              <w:t xml:space="preserve">Seminārs par PVN krāpšanas atklāšanu un novēršanu” </w:t>
            </w:r>
            <w:r w:rsidRPr="000C37CC">
              <w:rPr>
                <w:bCs/>
              </w:rPr>
              <w:t>īstenošanai;</w:t>
            </w:r>
          </w:p>
          <w:p w:rsidR="00BF3D70" w:rsidRPr="000C37CC" w:rsidRDefault="00BF3D70" w:rsidP="00876965">
            <w:pPr>
              <w:ind w:left="83"/>
              <w:jc w:val="both"/>
              <w:rPr>
                <w:bCs/>
              </w:rPr>
            </w:pPr>
            <w:r w:rsidRPr="000C37CC">
              <w:rPr>
                <w:bCs/>
              </w:rPr>
              <w:t xml:space="preserve">- kopējie izdevumi </w:t>
            </w:r>
            <w:r w:rsidRPr="000C37CC">
              <w:t xml:space="preserve">projektu īstenošanai </w:t>
            </w:r>
            <w:r w:rsidRPr="000C37CC">
              <w:rPr>
                <w:bCs/>
              </w:rPr>
              <w:t>plānoti 35 662</w:t>
            </w:r>
            <w:r w:rsidR="0095177B">
              <w:rPr>
                <w:bCs/>
              </w:rPr>
              <w:t> </w:t>
            </w:r>
            <w:proofErr w:type="spellStart"/>
            <w:r w:rsidR="005C311D" w:rsidRPr="005C311D">
              <w:rPr>
                <w:bCs/>
                <w:i/>
              </w:rPr>
              <w:t>euro</w:t>
            </w:r>
            <w:proofErr w:type="spellEnd"/>
            <w:r w:rsidRPr="000C37CC">
              <w:rPr>
                <w:bCs/>
              </w:rPr>
              <w:t xml:space="preserve"> apmērā, tai skaitā </w:t>
            </w:r>
            <w:r w:rsidR="007725BA" w:rsidRPr="000C37CC">
              <w:rPr>
                <w:bCs/>
              </w:rPr>
              <w:t>30 442</w:t>
            </w:r>
            <w:r w:rsidR="0095177B">
              <w:rPr>
                <w:bCs/>
              </w:rPr>
              <w:t> </w:t>
            </w:r>
            <w:proofErr w:type="spellStart"/>
            <w:r w:rsidR="005C311D" w:rsidRPr="005C311D">
              <w:rPr>
                <w:bCs/>
                <w:i/>
              </w:rPr>
              <w:t>euro</w:t>
            </w:r>
            <w:proofErr w:type="spellEnd"/>
            <w:r w:rsidR="007725BA" w:rsidRPr="000C37CC">
              <w:rPr>
                <w:bCs/>
              </w:rPr>
              <w:t xml:space="preserve"> </w:t>
            </w:r>
            <w:r w:rsidR="007725BA" w:rsidRPr="000C37CC">
              <w:t xml:space="preserve">projekta </w:t>
            </w:r>
            <w:r w:rsidR="00162300">
              <w:rPr>
                <w:bCs/>
                <w:i/>
              </w:rPr>
              <w:t>“</w:t>
            </w:r>
            <w:r w:rsidR="007725BA" w:rsidRPr="000C37CC">
              <w:rPr>
                <w:bCs/>
                <w:i/>
              </w:rPr>
              <w:t xml:space="preserve">Seminārs par PVN krāpšanas atklāšanu un novēršanu” </w:t>
            </w:r>
            <w:r w:rsidR="007725BA" w:rsidRPr="000C37CC">
              <w:rPr>
                <w:bCs/>
              </w:rPr>
              <w:t>īstenošanai attiecināmās izmaksas un 5 220</w:t>
            </w:r>
            <w:r w:rsidR="0095177B">
              <w:rPr>
                <w:bCs/>
              </w:rPr>
              <w:t> </w:t>
            </w:r>
            <w:proofErr w:type="spellStart"/>
            <w:r w:rsidR="005C311D" w:rsidRPr="005C311D">
              <w:rPr>
                <w:bCs/>
                <w:i/>
              </w:rPr>
              <w:t>euro</w:t>
            </w:r>
            <w:proofErr w:type="spellEnd"/>
            <w:r w:rsidR="007725BA" w:rsidRPr="000C37CC">
              <w:rPr>
                <w:bCs/>
              </w:rPr>
              <w:t xml:space="preserve"> apmērā projekta </w:t>
            </w:r>
            <w:proofErr w:type="spellStart"/>
            <w:r w:rsidR="007725BA" w:rsidRPr="000C37CC">
              <w:rPr>
                <w:bCs/>
              </w:rPr>
              <w:t>neattiecinamās</w:t>
            </w:r>
            <w:proofErr w:type="spellEnd"/>
            <w:r w:rsidR="007725BA" w:rsidRPr="000C37CC">
              <w:rPr>
                <w:bCs/>
              </w:rPr>
              <w:t xml:space="preserve"> izmaksas (pievienotās vērtības nodoklis)</w:t>
            </w:r>
            <w:r w:rsidR="007D6C7A">
              <w:rPr>
                <w:bCs/>
              </w:rPr>
              <w:t>.</w:t>
            </w:r>
          </w:p>
          <w:p w:rsidR="005975C5" w:rsidRPr="0000216C" w:rsidRDefault="005975C5" w:rsidP="005975C5">
            <w:pPr>
              <w:jc w:val="both"/>
              <w:rPr>
                <w:b/>
              </w:rPr>
            </w:pPr>
            <w:r w:rsidRPr="0000216C">
              <w:rPr>
                <w:b/>
                <w:bCs/>
              </w:rPr>
              <w:t>2016.gads:</w:t>
            </w:r>
          </w:p>
          <w:p w:rsidR="005975C5" w:rsidRPr="000C37CC" w:rsidRDefault="005975C5" w:rsidP="00876965">
            <w:pPr>
              <w:ind w:left="83"/>
              <w:jc w:val="both"/>
              <w:rPr>
                <w:bCs/>
              </w:rPr>
            </w:pPr>
            <w:r w:rsidRPr="000C37CC">
              <w:t>- kopējie ieņēmumi projektu īstenošanai plānoti 452</w:t>
            </w:r>
            <w:r w:rsidR="00495E01">
              <w:t> </w:t>
            </w:r>
            <w:r w:rsidRPr="000C37CC">
              <w:t>177</w:t>
            </w:r>
            <w:r w:rsidR="00495E01">
              <w:t> </w:t>
            </w:r>
            <w:proofErr w:type="spellStart"/>
            <w:r w:rsidR="005C311D" w:rsidRPr="005C311D">
              <w:rPr>
                <w:i/>
              </w:rPr>
              <w:t>euro</w:t>
            </w:r>
            <w:proofErr w:type="spellEnd"/>
            <w:r w:rsidRPr="000C37CC">
              <w:t xml:space="preserve"> apmērā, tai skaitā 440</w:t>
            </w:r>
            <w:r w:rsidR="00495E01">
              <w:t> </w:t>
            </w:r>
            <w:r w:rsidRPr="000C37CC">
              <w:t>000</w:t>
            </w:r>
            <w:r w:rsidR="00495E01">
              <w:t> </w:t>
            </w:r>
            <w:proofErr w:type="spellStart"/>
            <w:r w:rsidR="005C311D" w:rsidRPr="005C311D">
              <w:rPr>
                <w:i/>
              </w:rPr>
              <w:t>euro</w:t>
            </w:r>
            <w:proofErr w:type="spellEnd"/>
            <w:r w:rsidRPr="000C37CC">
              <w:t xml:space="preserve"> apmērā EK </w:t>
            </w:r>
            <w:proofErr w:type="spellStart"/>
            <w:r w:rsidRPr="000C37CC">
              <w:t>priekšfinansējums</w:t>
            </w:r>
            <w:proofErr w:type="spellEnd"/>
            <w:r w:rsidRPr="000C37CC">
              <w:t xml:space="preserve"> (avansa maksājuma daļa 50</w:t>
            </w:r>
            <w:r w:rsidR="007D6C7A">
              <w:t> </w:t>
            </w:r>
            <w:r w:rsidRPr="000C37CC">
              <w:t xml:space="preserve">% apmērā) projekta </w:t>
            </w:r>
            <w:r w:rsidR="00495E01">
              <w:rPr>
                <w:bCs/>
                <w:i/>
                <w:u w:val="single"/>
              </w:rPr>
              <w:t>“</w:t>
            </w:r>
            <w:r w:rsidRPr="000C37CC">
              <w:rPr>
                <w:bCs/>
                <w:i/>
                <w:u w:val="single"/>
              </w:rPr>
              <w:t>VID izmeklēšanas iestāžu tehniskās kapacitātes stiprināšana”</w:t>
            </w:r>
            <w:r w:rsidRPr="000C37CC">
              <w:rPr>
                <w:bCs/>
                <w:i/>
              </w:rPr>
              <w:t xml:space="preserve"> </w:t>
            </w:r>
            <w:r w:rsidRPr="000C37CC">
              <w:rPr>
                <w:bCs/>
              </w:rPr>
              <w:t>īstenošanai un 12</w:t>
            </w:r>
            <w:r w:rsidR="00495E01">
              <w:rPr>
                <w:bCs/>
              </w:rPr>
              <w:t> </w:t>
            </w:r>
            <w:r w:rsidRPr="000C37CC">
              <w:rPr>
                <w:bCs/>
              </w:rPr>
              <w:t>177</w:t>
            </w:r>
            <w:r w:rsidR="00495E01">
              <w:rPr>
                <w:bCs/>
              </w:rPr>
              <w:t> </w:t>
            </w:r>
            <w:proofErr w:type="spellStart"/>
            <w:r w:rsidR="005C311D" w:rsidRPr="005C311D">
              <w:rPr>
                <w:bCs/>
                <w:i/>
              </w:rPr>
              <w:t>euro</w:t>
            </w:r>
            <w:proofErr w:type="spellEnd"/>
            <w:r w:rsidRPr="000C37CC">
              <w:rPr>
                <w:bCs/>
              </w:rPr>
              <w:t xml:space="preserve"> apmērā noslēguma maksājums no EK 50</w:t>
            </w:r>
            <w:r w:rsidR="007D6C7A">
              <w:rPr>
                <w:bCs/>
              </w:rPr>
              <w:t> </w:t>
            </w:r>
            <w:r w:rsidRPr="000C37CC">
              <w:rPr>
                <w:bCs/>
              </w:rPr>
              <w:t xml:space="preserve">% apmērā pēc projekta </w:t>
            </w:r>
            <w:r w:rsidR="00495E01">
              <w:rPr>
                <w:bCs/>
                <w:i/>
              </w:rPr>
              <w:t>“</w:t>
            </w:r>
            <w:r w:rsidRPr="000C37CC">
              <w:rPr>
                <w:bCs/>
                <w:i/>
              </w:rPr>
              <w:t xml:space="preserve">Seminārs par PVN krāpšanas atklāšanu un novēršanu” </w:t>
            </w:r>
            <w:r w:rsidRPr="000C37CC">
              <w:rPr>
                <w:bCs/>
              </w:rPr>
              <w:t>īstenošanas</w:t>
            </w:r>
            <w:r w:rsidR="007D6C7A">
              <w:rPr>
                <w:bCs/>
              </w:rPr>
              <w:t>;</w:t>
            </w:r>
            <w:r w:rsidRPr="000C37CC">
              <w:rPr>
                <w:bCs/>
              </w:rPr>
              <w:t xml:space="preserve"> </w:t>
            </w:r>
          </w:p>
          <w:p w:rsidR="0000216C" w:rsidRDefault="005975C5" w:rsidP="00876965">
            <w:pPr>
              <w:ind w:left="83"/>
              <w:jc w:val="both"/>
              <w:rPr>
                <w:bCs/>
              </w:rPr>
            </w:pPr>
            <w:r w:rsidRPr="00BF3D70">
              <w:rPr>
                <w:bCs/>
              </w:rPr>
              <w:t xml:space="preserve">- </w:t>
            </w:r>
            <w:r w:rsidRPr="000C37CC">
              <w:rPr>
                <w:bCs/>
              </w:rPr>
              <w:t xml:space="preserve">kopējie izdevumi </w:t>
            </w:r>
            <w:r w:rsidRPr="000C37CC">
              <w:t xml:space="preserve">projektu īstenošanai </w:t>
            </w:r>
            <w:r w:rsidRPr="000C37CC">
              <w:rPr>
                <w:bCs/>
              </w:rPr>
              <w:t>plānoti 1</w:t>
            </w:r>
            <w:r w:rsidR="00495E01">
              <w:rPr>
                <w:bCs/>
              </w:rPr>
              <w:t> </w:t>
            </w:r>
            <w:r w:rsidRPr="000C37CC">
              <w:rPr>
                <w:bCs/>
              </w:rPr>
              <w:t>759</w:t>
            </w:r>
            <w:r w:rsidR="00495E01">
              <w:rPr>
                <w:bCs/>
              </w:rPr>
              <w:t> </w:t>
            </w:r>
            <w:r w:rsidRPr="000C37CC">
              <w:rPr>
                <w:bCs/>
              </w:rPr>
              <w:t>819</w:t>
            </w:r>
            <w:r w:rsidR="00495E01">
              <w:rPr>
                <w:bCs/>
              </w:rPr>
              <w:t> </w:t>
            </w:r>
            <w:proofErr w:type="spellStart"/>
            <w:r w:rsidR="005C311D" w:rsidRPr="005C311D">
              <w:rPr>
                <w:bCs/>
                <w:i/>
              </w:rPr>
              <w:t>euro</w:t>
            </w:r>
            <w:proofErr w:type="spellEnd"/>
            <w:r w:rsidRPr="000C37CC">
              <w:rPr>
                <w:bCs/>
              </w:rPr>
              <w:t xml:space="preserve"> apmērā, tai skaitā 1 100</w:t>
            </w:r>
            <w:r w:rsidR="00491E0C">
              <w:rPr>
                <w:bCs/>
              </w:rPr>
              <w:t> </w:t>
            </w:r>
            <w:r w:rsidRPr="000C37CC">
              <w:rPr>
                <w:bCs/>
              </w:rPr>
              <w:t>000</w:t>
            </w:r>
            <w:r w:rsidR="00491E0C">
              <w:rPr>
                <w:bCs/>
              </w:rPr>
              <w:t> </w:t>
            </w:r>
            <w:proofErr w:type="spellStart"/>
            <w:r w:rsidR="005C311D" w:rsidRPr="005C311D">
              <w:rPr>
                <w:bCs/>
                <w:i/>
              </w:rPr>
              <w:t>euro</w:t>
            </w:r>
            <w:proofErr w:type="spellEnd"/>
            <w:r w:rsidRPr="000C37CC">
              <w:rPr>
                <w:bCs/>
              </w:rPr>
              <w:t xml:space="preserve"> </w:t>
            </w:r>
            <w:r w:rsidRPr="000C37CC">
              <w:t xml:space="preserve">projekta </w:t>
            </w:r>
            <w:r w:rsidR="00495E01">
              <w:t>“</w:t>
            </w:r>
            <w:r w:rsidRPr="000C37CC">
              <w:rPr>
                <w:bCs/>
                <w:i/>
                <w:u w:val="single"/>
              </w:rPr>
              <w:t>VID izmeklēšanas iestāžu tehniskās kapacitātes stiprināšana”</w:t>
            </w:r>
            <w:r w:rsidRPr="000C37CC">
              <w:rPr>
                <w:bCs/>
                <w:i/>
              </w:rPr>
              <w:t xml:space="preserve"> </w:t>
            </w:r>
            <w:r w:rsidRPr="000C37CC">
              <w:rPr>
                <w:bCs/>
              </w:rPr>
              <w:t>īstenošanai attiecināmās izmaksas un 231</w:t>
            </w:r>
            <w:r w:rsidR="00495E01">
              <w:rPr>
                <w:bCs/>
              </w:rPr>
              <w:t> </w:t>
            </w:r>
            <w:r w:rsidRPr="000C37CC">
              <w:rPr>
                <w:bCs/>
              </w:rPr>
              <w:t>000</w:t>
            </w:r>
            <w:r w:rsidR="00495E01">
              <w:rPr>
                <w:bCs/>
              </w:rPr>
              <w:t> </w:t>
            </w:r>
            <w:proofErr w:type="spellStart"/>
            <w:r w:rsidR="005C311D" w:rsidRPr="005C311D">
              <w:rPr>
                <w:bCs/>
                <w:i/>
              </w:rPr>
              <w:t>euro</w:t>
            </w:r>
            <w:proofErr w:type="spellEnd"/>
            <w:r w:rsidRPr="000C37CC">
              <w:rPr>
                <w:bCs/>
              </w:rPr>
              <w:t xml:space="preserve"> apmērā projekta </w:t>
            </w:r>
            <w:proofErr w:type="spellStart"/>
            <w:r w:rsidRPr="000C37CC">
              <w:rPr>
                <w:bCs/>
              </w:rPr>
              <w:t>neattiecinamās</w:t>
            </w:r>
            <w:proofErr w:type="spellEnd"/>
            <w:r w:rsidRPr="000C37CC">
              <w:rPr>
                <w:bCs/>
              </w:rPr>
              <w:t xml:space="preserve"> izmaksas (pievienotās vērtības nodoklis); 203</w:t>
            </w:r>
            <w:r w:rsidR="007D6C7A">
              <w:rPr>
                <w:bCs/>
              </w:rPr>
              <w:t> </w:t>
            </w:r>
            <w:r w:rsidRPr="000C37CC">
              <w:rPr>
                <w:bCs/>
              </w:rPr>
              <w:t>240</w:t>
            </w:r>
            <w:r w:rsidR="0095177B">
              <w:rPr>
                <w:bCs/>
              </w:rPr>
              <w:t> </w:t>
            </w:r>
            <w:proofErr w:type="spellStart"/>
            <w:r w:rsidR="005C311D" w:rsidRPr="005C311D">
              <w:rPr>
                <w:bCs/>
                <w:i/>
              </w:rPr>
              <w:t>euro</w:t>
            </w:r>
            <w:proofErr w:type="spellEnd"/>
            <w:r w:rsidRPr="000C37CC">
              <w:rPr>
                <w:bCs/>
              </w:rPr>
              <w:t xml:space="preserve"> </w:t>
            </w:r>
            <w:r w:rsidRPr="000C37CC">
              <w:t>projekta</w:t>
            </w:r>
            <w:r w:rsidR="00C01B11">
              <w:t> </w:t>
            </w:r>
            <w:r w:rsidR="00495E01">
              <w:rPr>
                <w:bCs/>
                <w:i/>
                <w:u w:val="single"/>
              </w:rPr>
              <w:t>“</w:t>
            </w:r>
            <w:r w:rsidRPr="000C37CC">
              <w:rPr>
                <w:bCs/>
                <w:i/>
                <w:u w:val="single"/>
              </w:rPr>
              <w:t xml:space="preserve">Eiropas Savienības finanšu interešu aizsardzības stiprināšana, sekmējot cīņu pret krāpšanu: kopīga </w:t>
            </w:r>
            <w:r w:rsidRPr="000C37CC">
              <w:rPr>
                <w:bCs/>
                <w:i/>
                <w:u w:val="single"/>
              </w:rPr>
              <w:lastRenderedPageBreak/>
              <w:t>datu apmaiņas tīkla starp Baltijas valstu muitas dienestu skenēšanas iekārtām izveide”</w:t>
            </w:r>
            <w:r w:rsidRPr="000C37CC">
              <w:rPr>
                <w:bCs/>
                <w:i/>
              </w:rPr>
              <w:t xml:space="preserve"> </w:t>
            </w:r>
            <w:r w:rsidRPr="000C37CC">
              <w:rPr>
                <w:bCs/>
              </w:rPr>
              <w:t>īstenošanai attiecināmās izmaksas (valsts budžeta līdzfinansējums 20</w:t>
            </w:r>
            <w:r w:rsidR="007D6C7A">
              <w:rPr>
                <w:bCs/>
              </w:rPr>
              <w:t> </w:t>
            </w:r>
            <w:r w:rsidRPr="000C37CC">
              <w:rPr>
                <w:bCs/>
              </w:rPr>
              <w:t>% apmērā no projekta finansējuma) un 213</w:t>
            </w:r>
            <w:r w:rsidR="00495E01">
              <w:rPr>
                <w:bCs/>
              </w:rPr>
              <w:t> </w:t>
            </w:r>
            <w:r w:rsidRPr="000C37CC">
              <w:rPr>
                <w:bCs/>
              </w:rPr>
              <w:t>402</w:t>
            </w:r>
            <w:r w:rsidR="00495E01">
              <w:rPr>
                <w:bCs/>
              </w:rPr>
              <w:t> </w:t>
            </w:r>
            <w:proofErr w:type="spellStart"/>
            <w:r w:rsidR="005C311D" w:rsidRPr="005C311D">
              <w:rPr>
                <w:bCs/>
                <w:i/>
              </w:rPr>
              <w:t>euro</w:t>
            </w:r>
            <w:proofErr w:type="spellEnd"/>
            <w:r w:rsidRPr="000C37CC">
              <w:rPr>
                <w:bCs/>
              </w:rPr>
              <w:t xml:space="preserve"> apmērā projekta </w:t>
            </w:r>
            <w:r w:rsidR="00C01B11" w:rsidRPr="000C37CC">
              <w:rPr>
                <w:bCs/>
              </w:rPr>
              <w:t>neattiecināmās</w:t>
            </w:r>
            <w:r w:rsidRPr="000C37CC">
              <w:rPr>
                <w:bCs/>
              </w:rPr>
              <w:t xml:space="preserve"> izmaksas (pievienotās vērtības nodoklis), kā arī 12</w:t>
            </w:r>
            <w:r w:rsidR="00495E01">
              <w:rPr>
                <w:bCs/>
              </w:rPr>
              <w:t> </w:t>
            </w:r>
            <w:r w:rsidRPr="000C37CC">
              <w:rPr>
                <w:bCs/>
              </w:rPr>
              <w:t>177</w:t>
            </w:r>
            <w:r w:rsidR="00495E01">
              <w:rPr>
                <w:bCs/>
              </w:rPr>
              <w:t> </w:t>
            </w:r>
            <w:proofErr w:type="spellStart"/>
            <w:r w:rsidR="005C311D" w:rsidRPr="005C311D">
              <w:rPr>
                <w:bCs/>
                <w:i/>
              </w:rPr>
              <w:t>euro</w:t>
            </w:r>
            <w:proofErr w:type="spellEnd"/>
            <w:r w:rsidRPr="000C37CC">
              <w:rPr>
                <w:bCs/>
              </w:rPr>
              <w:t xml:space="preserve"> apmērā atmaksa valsts pamatbudžetam saistībā ar  projekta </w:t>
            </w:r>
            <w:r w:rsidR="00495E01">
              <w:rPr>
                <w:bCs/>
                <w:i/>
              </w:rPr>
              <w:t>“</w:t>
            </w:r>
            <w:r w:rsidRPr="000C37CC">
              <w:rPr>
                <w:bCs/>
                <w:i/>
              </w:rPr>
              <w:t xml:space="preserve">Seminārs par PVN krāpšanas atklāšanu un novēršanu” </w:t>
            </w:r>
            <w:r w:rsidRPr="000C37CC">
              <w:rPr>
                <w:bCs/>
              </w:rPr>
              <w:t xml:space="preserve">īstenošanai piešķirto valsts budžeta </w:t>
            </w:r>
            <w:proofErr w:type="spellStart"/>
            <w:r w:rsidRPr="000C37CC">
              <w:rPr>
                <w:bCs/>
              </w:rPr>
              <w:t>priekšfinansējumu</w:t>
            </w:r>
            <w:proofErr w:type="spellEnd"/>
            <w:r w:rsidRPr="000C37CC">
              <w:rPr>
                <w:bCs/>
              </w:rPr>
              <w:t xml:space="preserve"> EK līdzfinansējuma gala maksājuma daļai 50</w:t>
            </w:r>
            <w:r w:rsidR="007D6C7A">
              <w:rPr>
                <w:bCs/>
              </w:rPr>
              <w:t> </w:t>
            </w:r>
            <w:r w:rsidRPr="000C37CC">
              <w:rPr>
                <w:bCs/>
              </w:rPr>
              <w:t>% apmērā no EK finansējuma daļas.</w:t>
            </w:r>
          </w:p>
          <w:p w:rsidR="000C37CC" w:rsidRDefault="005975C5" w:rsidP="005975C5">
            <w:pPr>
              <w:jc w:val="both"/>
              <w:rPr>
                <w:b/>
                <w:bCs/>
              </w:rPr>
            </w:pPr>
            <w:r>
              <w:rPr>
                <w:b/>
                <w:bCs/>
              </w:rPr>
              <w:t>2017.gads</w:t>
            </w:r>
            <w:r w:rsidRPr="007725BA">
              <w:rPr>
                <w:b/>
                <w:bCs/>
              </w:rPr>
              <w:t>:</w:t>
            </w:r>
            <w:r w:rsidR="000C37CC">
              <w:rPr>
                <w:b/>
                <w:bCs/>
              </w:rPr>
              <w:t xml:space="preserve"> </w:t>
            </w:r>
          </w:p>
          <w:p w:rsidR="005975C5" w:rsidRPr="000C37CC" w:rsidRDefault="005975C5" w:rsidP="00876965">
            <w:pPr>
              <w:ind w:left="83"/>
              <w:jc w:val="both"/>
              <w:rPr>
                <w:bCs/>
              </w:rPr>
            </w:pPr>
            <w:r>
              <w:rPr>
                <w:b/>
              </w:rPr>
              <w:t>-</w:t>
            </w:r>
            <w:r>
              <w:t xml:space="preserve"> </w:t>
            </w:r>
            <w:r w:rsidRPr="000C37CC">
              <w:t>kopējie ieņēmumi projektu īstenošanai plānoti 440</w:t>
            </w:r>
            <w:r w:rsidR="0095177B">
              <w:t> </w:t>
            </w:r>
            <w:r w:rsidRPr="000C37CC">
              <w:t>000</w:t>
            </w:r>
            <w:r w:rsidR="0095177B">
              <w:t> </w:t>
            </w:r>
            <w:proofErr w:type="spellStart"/>
            <w:r w:rsidR="005C311D" w:rsidRPr="005C311D">
              <w:rPr>
                <w:i/>
              </w:rPr>
              <w:t>euro</w:t>
            </w:r>
            <w:proofErr w:type="spellEnd"/>
            <w:r w:rsidRPr="000C37CC">
              <w:t xml:space="preserve"> apmērā, kas veidojas no </w:t>
            </w:r>
            <w:r w:rsidRPr="000C37CC">
              <w:rPr>
                <w:bCs/>
              </w:rPr>
              <w:t>noslēguma maksājuma 50</w:t>
            </w:r>
            <w:r w:rsidR="007D6C7A">
              <w:rPr>
                <w:bCs/>
              </w:rPr>
              <w:t> </w:t>
            </w:r>
            <w:r w:rsidRPr="000C37CC">
              <w:rPr>
                <w:bCs/>
              </w:rPr>
              <w:t xml:space="preserve">% apmērā no EK </w:t>
            </w:r>
            <w:r w:rsidR="007D6C7A" w:rsidRPr="000C37CC">
              <w:rPr>
                <w:bCs/>
              </w:rPr>
              <w:t>p</w:t>
            </w:r>
            <w:r w:rsidR="007D6C7A">
              <w:rPr>
                <w:bCs/>
              </w:rPr>
              <w:t>ē</w:t>
            </w:r>
            <w:r w:rsidR="007D6C7A" w:rsidRPr="000C37CC">
              <w:rPr>
                <w:bCs/>
              </w:rPr>
              <w:t xml:space="preserve">c </w:t>
            </w:r>
            <w:r w:rsidRPr="000C37CC">
              <w:rPr>
                <w:bCs/>
              </w:rPr>
              <w:t xml:space="preserve">projekta </w:t>
            </w:r>
            <w:r w:rsidR="00495E01">
              <w:rPr>
                <w:bCs/>
                <w:i/>
                <w:u w:val="single"/>
              </w:rPr>
              <w:t>“</w:t>
            </w:r>
            <w:r w:rsidRPr="000C37CC">
              <w:rPr>
                <w:bCs/>
                <w:i/>
                <w:u w:val="single"/>
              </w:rPr>
              <w:t xml:space="preserve">VID izmeklēšanas iestāžu tehniskās kapacitātes stiprināšana” </w:t>
            </w:r>
            <w:r w:rsidRPr="000C37CC">
              <w:rPr>
                <w:bCs/>
              </w:rPr>
              <w:t>īstenošanas</w:t>
            </w:r>
            <w:r w:rsidR="007D6C7A">
              <w:rPr>
                <w:bCs/>
              </w:rPr>
              <w:t>;</w:t>
            </w:r>
            <w:r w:rsidRPr="000C37CC">
              <w:rPr>
                <w:bCs/>
              </w:rPr>
              <w:t xml:space="preserve"> </w:t>
            </w:r>
          </w:p>
          <w:p w:rsidR="00C01B11" w:rsidRDefault="005975C5" w:rsidP="00876965">
            <w:pPr>
              <w:ind w:left="83"/>
              <w:jc w:val="both"/>
              <w:rPr>
                <w:bCs/>
              </w:rPr>
            </w:pPr>
            <w:r w:rsidRPr="000C37CC">
              <w:rPr>
                <w:bCs/>
              </w:rPr>
              <w:t xml:space="preserve">- kopējie izdevumi </w:t>
            </w:r>
            <w:r w:rsidRPr="000C37CC">
              <w:t xml:space="preserve">projektu īstenošanai </w:t>
            </w:r>
            <w:r w:rsidRPr="000C37CC">
              <w:rPr>
                <w:bCs/>
              </w:rPr>
              <w:t>plānoti 440</w:t>
            </w:r>
            <w:r w:rsidR="0095177B">
              <w:rPr>
                <w:bCs/>
              </w:rPr>
              <w:t> </w:t>
            </w:r>
            <w:r w:rsidRPr="000C37CC">
              <w:rPr>
                <w:bCs/>
              </w:rPr>
              <w:t>000</w:t>
            </w:r>
            <w:r w:rsidR="0095177B">
              <w:rPr>
                <w:bCs/>
              </w:rPr>
              <w:t> </w:t>
            </w:r>
            <w:proofErr w:type="spellStart"/>
            <w:r w:rsidR="007D6C7A" w:rsidRPr="0091419C">
              <w:rPr>
                <w:bCs/>
                <w:i/>
              </w:rPr>
              <w:t>euro</w:t>
            </w:r>
            <w:proofErr w:type="spellEnd"/>
            <w:r w:rsidR="007D6C7A" w:rsidRPr="007D6C7A">
              <w:rPr>
                <w:bCs/>
              </w:rPr>
              <w:t xml:space="preserve"> </w:t>
            </w:r>
            <w:r w:rsidRPr="000C37CC">
              <w:rPr>
                <w:bCs/>
              </w:rPr>
              <w:t xml:space="preserve">apmērā, kas veidojas no atmaksas valsts pamatbudžetam saistībā ar projekta </w:t>
            </w:r>
            <w:r w:rsidR="00162300">
              <w:rPr>
                <w:bCs/>
                <w:i/>
                <w:u w:val="single"/>
              </w:rPr>
              <w:t>“</w:t>
            </w:r>
            <w:r w:rsidRPr="000C37CC">
              <w:rPr>
                <w:bCs/>
                <w:i/>
                <w:u w:val="single"/>
              </w:rPr>
              <w:t xml:space="preserve">VID izmeklēšanas iestāžu tehniskās kapacitātes stiprināšana” </w:t>
            </w:r>
            <w:r w:rsidRPr="000C37CC">
              <w:rPr>
                <w:bCs/>
              </w:rPr>
              <w:t xml:space="preserve">īstenošanai piešķirto valsts budžeta </w:t>
            </w:r>
            <w:proofErr w:type="spellStart"/>
            <w:r w:rsidRPr="000C37CC">
              <w:rPr>
                <w:bCs/>
              </w:rPr>
              <w:t>priekšfinansējumu</w:t>
            </w:r>
            <w:proofErr w:type="spellEnd"/>
            <w:r w:rsidRPr="000C37CC">
              <w:rPr>
                <w:bCs/>
              </w:rPr>
              <w:t xml:space="preserve"> EK līdzfinansējuma gala maksājuma daļai 50</w:t>
            </w:r>
            <w:r w:rsidR="009D19DD">
              <w:rPr>
                <w:bCs/>
              </w:rPr>
              <w:t> </w:t>
            </w:r>
            <w:r w:rsidRPr="000C37CC">
              <w:rPr>
                <w:bCs/>
              </w:rPr>
              <w:t>% apmērā no EK finansējuma daļas.</w:t>
            </w:r>
          </w:p>
          <w:p w:rsidR="006A45FB" w:rsidRPr="006A45FB" w:rsidRDefault="005975C5" w:rsidP="006A45FB">
            <w:pPr>
              <w:ind w:left="83" w:firstLine="367"/>
              <w:jc w:val="both"/>
            </w:pPr>
            <w:r w:rsidRPr="000C37CC">
              <w:t>Finansējums tiks plānots Finanšu ministrijas (V</w:t>
            </w:r>
            <w:r w:rsidR="008379FE">
              <w:t>ID</w:t>
            </w:r>
            <w:r w:rsidRPr="000C37CC">
              <w:t>) apakšprogrammā 73.08.00</w:t>
            </w:r>
            <w:r w:rsidR="00162300">
              <w:t xml:space="preserve"> “</w:t>
            </w:r>
            <w:r w:rsidRPr="000C37CC">
              <w:t>Valsts ieņēmumu dienesta īstenotie projekti finansiālo interešu aizsardzības jomā”.</w:t>
            </w:r>
          </w:p>
        </w:tc>
      </w:tr>
      <w:tr w:rsidR="00A47726" w:rsidTr="0091419C">
        <w:tc>
          <w:tcPr>
            <w:tcW w:w="1372" w:type="pct"/>
            <w:tcBorders>
              <w:top w:val="outset" w:sz="6" w:space="0" w:color="000000"/>
              <w:left w:val="outset" w:sz="6" w:space="0" w:color="000000"/>
              <w:bottom w:val="outset" w:sz="6" w:space="0" w:color="000000"/>
              <w:right w:val="outset" w:sz="6" w:space="0" w:color="000000"/>
            </w:tcBorders>
          </w:tcPr>
          <w:p w:rsidR="00A47726" w:rsidRDefault="00A47726" w:rsidP="00A246D2">
            <w:pPr>
              <w:spacing w:before="100" w:beforeAutospacing="1" w:after="100" w:afterAutospacing="1"/>
            </w:pPr>
            <w:r>
              <w:t>6.1. detalizēts ieņēmumu aprēķins</w:t>
            </w:r>
          </w:p>
        </w:tc>
        <w:tc>
          <w:tcPr>
            <w:tcW w:w="3628" w:type="pct"/>
            <w:gridSpan w:val="5"/>
            <w:vMerge/>
            <w:tcBorders>
              <w:top w:val="outset" w:sz="6" w:space="0" w:color="000000"/>
              <w:left w:val="outset" w:sz="6" w:space="0" w:color="000000"/>
              <w:bottom w:val="outset" w:sz="6" w:space="0" w:color="000000"/>
              <w:right w:val="outset" w:sz="6" w:space="0" w:color="000000"/>
            </w:tcBorders>
            <w:vAlign w:val="center"/>
          </w:tcPr>
          <w:p w:rsidR="00A47726" w:rsidRDefault="00A47726" w:rsidP="00A246D2"/>
        </w:tc>
      </w:tr>
      <w:tr w:rsidR="00A47726" w:rsidTr="0091419C">
        <w:tc>
          <w:tcPr>
            <w:tcW w:w="1372" w:type="pct"/>
            <w:tcBorders>
              <w:top w:val="outset" w:sz="6" w:space="0" w:color="000000"/>
              <w:left w:val="outset" w:sz="6" w:space="0" w:color="000000"/>
              <w:bottom w:val="outset" w:sz="6" w:space="0" w:color="000000"/>
              <w:right w:val="outset" w:sz="6" w:space="0" w:color="000000"/>
            </w:tcBorders>
          </w:tcPr>
          <w:p w:rsidR="00A47726" w:rsidRDefault="00A47726" w:rsidP="00A246D2">
            <w:pPr>
              <w:spacing w:before="100" w:beforeAutospacing="1" w:after="100" w:afterAutospacing="1"/>
            </w:pPr>
            <w:r>
              <w:t>6.2. detalizēts izdevumu aprēķins</w:t>
            </w:r>
          </w:p>
        </w:tc>
        <w:tc>
          <w:tcPr>
            <w:tcW w:w="3628" w:type="pct"/>
            <w:gridSpan w:val="5"/>
            <w:vMerge/>
            <w:tcBorders>
              <w:top w:val="outset" w:sz="6" w:space="0" w:color="000000"/>
              <w:left w:val="outset" w:sz="6" w:space="0" w:color="000000"/>
              <w:bottom w:val="outset" w:sz="6" w:space="0" w:color="000000"/>
              <w:right w:val="outset" w:sz="6" w:space="0" w:color="000000"/>
            </w:tcBorders>
            <w:vAlign w:val="center"/>
          </w:tcPr>
          <w:p w:rsidR="00A47726" w:rsidRDefault="00A47726" w:rsidP="00A246D2"/>
        </w:tc>
      </w:tr>
      <w:tr w:rsidR="00A47726" w:rsidTr="0091419C">
        <w:tc>
          <w:tcPr>
            <w:tcW w:w="1372" w:type="pct"/>
            <w:tcBorders>
              <w:top w:val="outset" w:sz="6" w:space="0" w:color="000000"/>
              <w:left w:val="outset" w:sz="6" w:space="0" w:color="000000"/>
              <w:bottom w:val="outset" w:sz="6" w:space="0" w:color="000000"/>
              <w:right w:val="outset" w:sz="6" w:space="0" w:color="000000"/>
            </w:tcBorders>
          </w:tcPr>
          <w:p w:rsidR="00A47726" w:rsidRDefault="00A47726" w:rsidP="00A246D2">
            <w:pPr>
              <w:spacing w:before="100" w:beforeAutospacing="1" w:after="100" w:afterAutospacing="1"/>
            </w:pPr>
            <w:r>
              <w:lastRenderedPageBreak/>
              <w:t>7. Cita informācija</w:t>
            </w:r>
          </w:p>
        </w:tc>
        <w:tc>
          <w:tcPr>
            <w:tcW w:w="3628" w:type="pct"/>
            <w:gridSpan w:val="5"/>
            <w:tcBorders>
              <w:top w:val="outset" w:sz="6" w:space="0" w:color="000000"/>
              <w:left w:val="outset" w:sz="6" w:space="0" w:color="000000"/>
              <w:bottom w:val="outset" w:sz="6" w:space="0" w:color="000000"/>
              <w:right w:val="outset" w:sz="6" w:space="0" w:color="000000"/>
            </w:tcBorders>
          </w:tcPr>
          <w:p w:rsidR="00082B33" w:rsidRDefault="00082B33" w:rsidP="00C01B11">
            <w:pPr>
              <w:ind w:firstLine="367"/>
              <w:jc w:val="both"/>
            </w:pPr>
            <w:r>
              <w:t xml:space="preserve">Finanšu un procentuālais sadalījums pa izmaksu veidiem </w:t>
            </w:r>
            <w:r w:rsidR="00864424">
              <w:t xml:space="preserve">un gadiem </w:t>
            </w:r>
            <w:r>
              <w:t>ir indikatīvs un var mainīties atkarībā no tā, kad tiks noslēgts līgums ar EK un tiks uzsākta projekta īstenošana. Finansējuma apmērs šobrīd aprēķināts atbilstoši projektu iesniegumiem un varētu tikt precizēti un/vai samazināti, ja EK lūgs precizēt plānoto budžetu.</w:t>
            </w:r>
          </w:p>
          <w:p w:rsidR="008E1653" w:rsidRDefault="00082B33" w:rsidP="00C95199">
            <w:pPr>
              <w:ind w:firstLine="367"/>
              <w:jc w:val="both"/>
            </w:pPr>
            <w:r>
              <w:t xml:space="preserve">Pēc rīkojuma projektā iekļauto projektu apstiprināšanas atbilstoši noslēgto līgumu nosacījumiem </w:t>
            </w:r>
            <w:r w:rsidR="000F7200">
              <w:t>norm</w:t>
            </w:r>
            <w:r w:rsidR="0000216C">
              <w:t>a</w:t>
            </w:r>
            <w:r w:rsidR="000F7200">
              <w:t>tīvajos aktos noteiktajā kārtībā</w:t>
            </w:r>
            <w:r>
              <w:t xml:space="preserve"> papildu </w:t>
            </w:r>
            <w:r w:rsidR="000F7200">
              <w:t xml:space="preserve">finansējums tiks pieprasīts </w:t>
            </w:r>
            <w:r>
              <w:t xml:space="preserve">no 74.resora </w:t>
            </w:r>
            <w:r w:rsidR="00162300">
              <w:t>“</w:t>
            </w:r>
            <w:r>
              <w:t>Gadskārtējā valsts budžeta izpildes procesā pā</w:t>
            </w:r>
            <w:r w:rsidR="0000216C">
              <w:t>rdalāmais finansējums” 80.00.00</w:t>
            </w:r>
            <w:r>
              <w:t xml:space="preserve"> programmas </w:t>
            </w:r>
            <w:r w:rsidR="00162300">
              <w:t>“</w:t>
            </w:r>
            <w:r>
              <w:t>Nesadalītais finansējums Eiropas Savienības politiku instrumentu un pārējās ārvalstu finanšu palīdzības projektu un pasākumu īstenošana”.</w:t>
            </w:r>
          </w:p>
        </w:tc>
      </w:tr>
    </w:tbl>
    <w:p w:rsidR="00202168" w:rsidRDefault="00202168"/>
    <w:tbl>
      <w:tblPr>
        <w:tblW w:w="534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882"/>
        <w:gridCol w:w="5190"/>
      </w:tblGrid>
      <w:tr w:rsidR="00202168" w:rsidTr="0091419C">
        <w:tc>
          <w:tcPr>
            <w:tcW w:w="5000" w:type="pct"/>
            <w:gridSpan w:val="3"/>
            <w:shd w:val="clear" w:color="auto" w:fill="auto"/>
          </w:tcPr>
          <w:p w:rsidR="00202168" w:rsidRPr="002B18D7" w:rsidRDefault="00202168" w:rsidP="00622379">
            <w:pPr>
              <w:spacing w:before="68" w:after="68"/>
              <w:jc w:val="center"/>
              <w:rPr>
                <w:b/>
                <w:bCs/>
              </w:rPr>
            </w:pPr>
            <w:r w:rsidRPr="0091419C">
              <w:rPr>
                <w:b/>
                <w:bCs/>
              </w:rPr>
              <w:t>VI. Sabiedrības līdzdalība un komunikācijas aktivitātes</w:t>
            </w:r>
          </w:p>
        </w:tc>
      </w:tr>
      <w:tr w:rsidR="00202168" w:rsidRPr="00691DA1" w:rsidTr="0091419C">
        <w:trPr>
          <w:trHeight w:val="1345"/>
        </w:trPr>
        <w:tc>
          <w:tcPr>
            <w:tcW w:w="429" w:type="pct"/>
            <w:tcBorders>
              <w:top w:val="outset" w:sz="6" w:space="0" w:color="414142"/>
              <w:left w:val="outset" w:sz="6" w:space="0" w:color="414142"/>
              <w:bottom w:val="outset" w:sz="6" w:space="0" w:color="414142"/>
              <w:right w:val="outset" w:sz="6" w:space="0" w:color="414142"/>
            </w:tcBorders>
            <w:shd w:val="clear" w:color="auto" w:fill="FFFFFF"/>
          </w:tcPr>
          <w:p w:rsidR="00202168" w:rsidRPr="002B18D7" w:rsidRDefault="00202168" w:rsidP="0091419C">
            <w:pPr>
              <w:spacing w:before="68" w:after="68"/>
              <w:jc w:val="center"/>
            </w:pPr>
            <w:r w:rsidRPr="002B18D7">
              <w:t>1.</w:t>
            </w:r>
          </w:p>
        </w:tc>
        <w:tc>
          <w:tcPr>
            <w:tcW w:w="1956" w:type="pct"/>
            <w:tcBorders>
              <w:top w:val="outset" w:sz="6" w:space="0" w:color="414142"/>
              <w:left w:val="outset" w:sz="6" w:space="0" w:color="414142"/>
              <w:bottom w:val="outset" w:sz="6" w:space="0" w:color="414142"/>
              <w:right w:val="outset" w:sz="6" w:space="0" w:color="414142"/>
            </w:tcBorders>
            <w:shd w:val="clear" w:color="auto" w:fill="FFFFFF"/>
          </w:tcPr>
          <w:p w:rsidR="00202168" w:rsidRPr="002B18D7" w:rsidRDefault="00202168" w:rsidP="00622379">
            <w:pPr>
              <w:spacing w:before="68" w:after="68"/>
            </w:pPr>
            <w:r w:rsidRPr="002B18D7">
              <w:t>Plānotās sabiedrības līdzdalības un komunikācijas aktivitātes saistībā ar projektu</w:t>
            </w:r>
          </w:p>
        </w:tc>
        <w:tc>
          <w:tcPr>
            <w:tcW w:w="2615" w:type="pct"/>
            <w:tcBorders>
              <w:top w:val="outset" w:sz="6" w:space="0" w:color="414142"/>
              <w:left w:val="outset" w:sz="6" w:space="0" w:color="414142"/>
              <w:bottom w:val="outset" w:sz="6" w:space="0" w:color="414142"/>
              <w:right w:val="outset" w:sz="6" w:space="0" w:color="414142"/>
            </w:tcBorders>
            <w:shd w:val="clear" w:color="auto" w:fill="FFFFFF"/>
          </w:tcPr>
          <w:p w:rsidR="006A45FB" w:rsidRDefault="00BA013E" w:rsidP="006A45FB">
            <w:pPr>
              <w:spacing w:before="68" w:after="68"/>
              <w:jc w:val="both"/>
            </w:pPr>
            <w:r w:rsidRPr="00C95199">
              <w:t xml:space="preserve">Ņemot vērā, ka </w:t>
            </w:r>
            <w:r w:rsidR="006A45FB">
              <w:t xml:space="preserve">EK (OLAF) </w:t>
            </w:r>
            <w:proofErr w:type="spellStart"/>
            <w:r w:rsidR="00B85909">
              <w:t>Hercule</w:t>
            </w:r>
            <w:proofErr w:type="spellEnd"/>
            <w:r w:rsidR="00B85909">
              <w:t xml:space="preserve"> III programmas ietvaros īstenojamie </w:t>
            </w:r>
            <w:r w:rsidRPr="00C95199">
              <w:t>projekt</w:t>
            </w:r>
            <w:r w:rsidR="00B85909">
              <w:t>i</w:t>
            </w:r>
            <w:r w:rsidRPr="00C95199">
              <w:t xml:space="preserve"> paredz </w:t>
            </w:r>
            <w:r w:rsidR="00491E0C" w:rsidRPr="00C95199">
              <w:t xml:space="preserve">VID </w:t>
            </w:r>
            <w:r w:rsidRPr="00C95199">
              <w:t>darbinieku apmācību</w:t>
            </w:r>
            <w:r w:rsidR="00491E0C" w:rsidRPr="00C95199">
              <w:t>, programmatūras</w:t>
            </w:r>
            <w:r w:rsidRPr="00C95199">
              <w:t xml:space="preserve"> un specifiskā aprīkojuma</w:t>
            </w:r>
            <w:r w:rsidR="00B85909">
              <w:t xml:space="preserve"> iegādi, </w:t>
            </w:r>
            <w:r w:rsidR="00491E0C" w:rsidRPr="00C95199">
              <w:t xml:space="preserve">sabiedrība tiek informēta VID </w:t>
            </w:r>
            <w:proofErr w:type="spellStart"/>
            <w:r w:rsidR="00491E0C" w:rsidRPr="00C95199">
              <w:t>mājaslapā</w:t>
            </w:r>
            <w:proofErr w:type="spellEnd"/>
            <w:r w:rsidR="00491E0C" w:rsidRPr="00C95199">
              <w:t xml:space="preserve"> </w:t>
            </w:r>
            <w:hyperlink r:id="rId12" w:history="1">
              <w:r w:rsidR="00491E0C" w:rsidRPr="00C95199">
                <w:rPr>
                  <w:rStyle w:val="Hyperlink"/>
                  <w:color w:val="auto"/>
                </w:rPr>
                <w:t>www.vid.gov.lv</w:t>
              </w:r>
            </w:hyperlink>
            <w:r w:rsidR="00491E0C" w:rsidRPr="00C95199">
              <w:t xml:space="preserve"> par </w:t>
            </w:r>
            <w:r w:rsidR="00B85909">
              <w:t>līgumu</w:t>
            </w:r>
            <w:r w:rsidR="00491E0C" w:rsidRPr="00C95199">
              <w:t xml:space="preserve"> apstiprināšanu, mērķiem, īstenošanu</w:t>
            </w:r>
            <w:r w:rsidR="00C95199" w:rsidRPr="00C95199">
              <w:t xml:space="preserve">, </w:t>
            </w:r>
            <w:r w:rsidR="00491E0C" w:rsidRPr="00C95199">
              <w:t>rezultātiem</w:t>
            </w:r>
            <w:r w:rsidR="00C95199" w:rsidRPr="00C95199">
              <w:t xml:space="preserve"> un ieguvumiem</w:t>
            </w:r>
            <w:r w:rsidR="006A45FB">
              <w:t>.</w:t>
            </w:r>
          </w:p>
          <w:p w:rsidR="00202168" w:rsidRPr="00C95199" w:rsidRDefault="00C90769" w:rsidP="00C90769">
            <w:pPr>
              <w:spacing w:before="68" w:after="68"/>
              <w:jc w:val="both"/>
            </w:pPr>
            <w:r>
              <w:t>Papildus tam Ministru kabineta</w:t>
            </w:r>
            <w:r w:rsidR="00E865E9">
              <w:t xml:space="preserve"> rīkojuma projekts tiks ievietots Finanšu ministri</w:t>
            </w:r>
            <w:r w:rsidR="008379FE">
              <w:t xml:space="preserve">jas </w:t>
            </w:r>
            <w:proofErr w:type="spellStart"/>
            <w:r w:rsidR="008379FE">
              <w:t>mājas</w:t>
            </w:r>
            <w:r w:rsidR="00E865E9">
              <w:t>lapā</w:t>
            </w:r>
            <w:proofErr w:type="spellEnd"/>
            <w:r w:rsidR="00465DE7">
              <w:t>.</w:t>
            </w:r>
          </w:p>
        </w:tc>
      </w:tr>
      <w:tr w:rsidR="00202168" w:rsidRPr="00691DA1" w:rsidTr="0091419C">
        <w:trPr>
          <w:trHeight w:val="521"/>
        </w:trPr>
        <w:tc>
          <w:tcPr>
            <w:tcW w:w="429" w:type="pct"/>
            <w:tcBorders>
              <w:top w:val="outset" w:sz="6" w:space="0" w:color="414142"/>
              <w:left w:val="outset" w:sz="6" w:space="0" w:color="414142"/>
              <w:bottom w:val="outset" w:sz="6" w:space="0" w:color="414142"/>
              <w:right w:val="outset" w:sz="6" w:space="0" w:color="414142"/>
            </w:tcBorders>
            <w:shd w:val="clear" w:color="auto" w:fill="FFFFFF"/>
          </w:tcPr>
          <w:p w:rsidR="00202168" w:rsidRPr="002B18D7" w:rsidRDefault="00202168" w:rsidP="0091419C">
            <w:pPr>
              <w:spacing w:before="68" w:after="68"/>
              <w:jc w:val="center"/>
            </w:pPr>
            <w:r w:rsidRPr="002B18D7">
              <w:t>2.</w:t>
            </w:r>
          </w:p>
        </w:tc>
        <w:tc>
          <w:tcPr>
            <w:tcW w:w="1956" w:type="pct"/>
            <w:tcBorders>
              <w:top w:val="outset" w:sz="6" w:space="0" w:color="414142"/>
              <w:left w:val="outset" w:sz="6" w:space="0" w:color="414142"/>
              <w:bottom w:val="outset" w:sz="6" w:space="0" w:color="414142"/>
              <w:right w:val="outset" w:sz="6" w:space="0" w:color="414142"/>
            </w:tcBorders>
            <w:shd w:val="clear" w:color="auto" w:fill="FFFFFF"/>
          </w:tcPr>
          <w:p w:rsidR="00202168" w:rsidRPr="002B18D7" w:rsidRDefault="00202168" w:rsidP="00622379">
            <w:pPr>
              <w:spacing w:before="68" w:after="68"/>
            </w:pPr>
            <w:r w:rsidRPr="002B18D7">
              <w:t>Sabiedrības līdzdalība projekta izstrādē</w:t>
            </w:r>
          </w:p>
        </w:tc>
        <w:tc>
          <w:tcPr>
            <w:tcW w:w="2615" w:type="pct"/>
            <w:tcBorders>
              <w:top w:val="outset" w:sz="6" w:space="0" w:color="414142"/>
              <w:left w:val="outset" w:sz="6" w:space="0" w:color="414142"/>
              <w:bottom w:val="outset" w:sz="6" w:space="0" w:color="414142"/>
              <w:right w:val="outset" w:sz="6" w:space="0" w:color="414142"/>
            </w:tcBorders>
            <w:shd w:val="clear" w:color="auto" w:fill="FFFFFF"/>
          </w:tcPr>
          <w:p w:rsidR="00E15FEE" w:rsidRPr="00FC0053" w:rsidRDefault="00840267" w:rsidP="00840267">
            <w:pPr>
              <w:spacing w:before="68" w:after="68"/>
            </w:pPr>
            <w:r>
              <w:t>Projekts šo jomu neskar</w:t>
            </w:r>
          </w:p>
        </w:tc>
      </w:tr>
      <w:tr w:rsidR="00202168" w:rsidRPr="00691DA1" w:rsidTr="0091419C">
        <w:trPr>
          <w:trHeight w:val="247"/>
        </w:trPr>
        <w:tc>
          <w:tcPr>
            <w:tcW w:w="429" w:type="pct"/>
            <w:tcBorders>
              <w:top w:val="outset" w:sz="6" w:space="0" w:color="414142"/>
              <w:left w:val="outset" w:sz="6" w:space="0" w:color="414142"/>
              <w:bottom w:val="outset" w:sz="6" w:space="0" w:color="414142"/>
              <w:right w:val="outset" w:sz="6" w:space="0" w:color="414142"/>
            </w:tcBorders>
            <w:shd w:val="clear" w:color="auto" w:fill="FFFFFF"/>
          </w:tcPr>
          <w:p w:rsidR="00202168" w:rsidRPr="002B18D7" w:rsidRDefault="00202168" w:rsidP="0091419C">
            <w:pPr>
              <w:spacing w:before="68" w:after="68"/>
              <w:jc w:val="center"/>
            </w:pPr>
            <w:r w:rsidRPr="002B18D7">
              <w:t>3.</w:t>
            </w:r>
          </w:p>
        </w:tc>
        <w:tc>
          <w:tcPr>
            <w:tcW w:w="1956" w:type="pct"/>
            <w:tcBorders>
              <w:top w:val="outset" w:sz="6" w:space="0" w:color="414142"/>
              <w:left w:val="outset" w:sz="6" w:space="0" w:color="414142"/>
              <w:bottom w:val="outset" w:sz="6" w:space="0" w:color="414142"/>
              <w:right w:val="outset" w:sz="6" w:space="0" w:color="414142"/>
            </w:tcBorders>
            <w:shd w:val="clear" w:color="auto" w:fill="FFFFFF"/>
          </w:tcPr>
          <w:p w:rsidR="00202168" w:rsidRPr="002B18D7" w:rsidRDefault="00202168" w:rsidP="00622379">
            <w:pPr>
              <w:spacing w:before="68" w:after="68"/>
            </w:pPr>
            <w:r w:rsidRPr="002B18D7">
              <w:t>Sabiedrības līdzdalības rezultāti</w:t>
            </w:r>
          </w:p>
        </w:tc>
        <w:tc>
          <w:tcPr>
            <w:tcW w:w="2615" w:type="pct"/>
            <w:tcBorders>
              <w:top w:val="outset" w:sz="6" w:space="0" w:color="414142"/>
              <w:left w:val="outset" w:sz="6" w:space="0" w:color="414142"/>
              <w:bottom w:val="outset" w:sz="6" w:space="0" w:color="414142"/>
              <w:right w:val="outset" w:sz="6" w:space="0" w:color="414142"/>
            </w:tcBorders>
            <w:shd w:val="clear" w:color="auto" w:fill="FFFFFF"/>
          </w:tcPr>
          <w:p w:rsidR="001F53A4" w:rsidRPr="00FC0053" w:rsidRDefault="00840267" w:rsidP="00622379">
            <w:pPr>
              <w:spacing w:before="68" w:after="68"/>
            </w:pPr>
            <w:r>
              <w:t>Projekts šo jomu neskar</w:t>
            </w:r>
          </w:p>
        </w:tc>
      </w:tr>
      <w:tr w:rsidR="00202168" w:rsidRPr="00691DA1" w:rsidTr="0091419C">
        <w:trPr>
          <w:trHeight w:val="384"/>
        </w:trPr>
        <w:tc>
          <w:tcPr>
            <w:tcW w:w="429" w:type="pct"/>
            <w:tcBorders>
              <w:top w:val="outset" w:sz="6" w:space="0" w:color="414142"/>
              <w:left w:val="outset" w:sz="6" w:space="0" w:color="414142"/>
              <w:bottom w:val="outset" w:sz="6" w:space="0" w:color="414142"/>
              <w:right w:val="outset" w:sz="6" w:space="0" w:color="414142"/>
            </w:tcBorders>
            <w:shd w:val="clear" w:color="auto" w:fill="FFFFFF"/>
          </w:tcPr>
          <w:p w:rsidR="00202168" w:rsidRPr="002B18D7" w:rsidRDefault="00202168" w:rsidP="0091419C">
            <w:pPr>
              <w:jc w:val="center"/>
            </w:pPr>
            <w:r w:rsidRPr="002B18D7">
              <w:lastRenderedPageBreak/>
              <w:t>4.</w:t>
            </w:r>
          </w:p>
        </w:tc>
        <w:tc>
          <w:tcPr>
            <w:tcW w:w="1956" w:type="pct"/>
            <w:tcBorders>
              <w:top w:val="outset" w:sz="6" w:space="0" w:color="414142"/>
              <w:left w:val="outset" w:sz="6" w:space="0" w:color="414142"/>
              <w:bottom w:val="outset" w:sz="6" w:space="0" w:color="414142"/>
              <w:right w:val="outset" w:sz="6" w:space="0" w:color="414142"/>
            </w:tcBorders>
            <w:shd w:val="clear" w:color="auto" w:fill="FFFFFF"/>
          </w:tcPr>
          <w:p w:rsidR="00202168" w:rsidRPr="002B18D7" w:rsidRDefault="00202168" w:rsidP="00622379">
            <w:r w:rsidRPr="002B18D7">
              <w:t>Cita informācija</w:t>
            </w:r>
          </w:p>
        </w:tc>
        <w:tc>
          <w:tcPr>
            <w:tcW w:w="2615" w:type="pct"/>
            <w:tcBorders>
              <w:top w:val="outset" w:sz="6" w:space="0" w:color="414142"/>
              <w:left w:val="outset" w:sz="6" w:space="0" w:color="414142"/>
              <w:bottom w:val="outset" w:sz="6" w:space="0" w:color="414142"/>
              <w:right w:val="outset" w:sz="6" w:space="0" w:color="414142"/>
            </w:tcBorders>
            <w:shd w:val="clear" w:color="auto" w:fill="FFFFFF"/>
          </w:tcPr>
          <w:p w:rsidR="00202168" w:rsidRPr="002B18D7" w:rsidRDefault="00202168" w:rsidP="00622379">
            <w:r w:rsidRPr="002B18D7">
              <w:t>Nav</w:t>
            </w:r>
          </w:p>
        </w:tc>
      </w:tr>
    </w:tbl>
    <w:p w:rsidR="00FF18BB" w:rsidRDefault="00FF18BB" w:rsidP="006A45FB">
      <w:pPr>
        <w:jc w:val="both"/>
        <w:rPr>
          <w:color w:val="000000"/>
          <w:sz w:val="28"/>
          <w:szCs w:val="28"/>
          <w:lang w:eastAsia="en-US"/>
        </w:rPr>
      </w:pPr>
    </w:p>
    <w:tbl>
      <w:tblPr>
        <w:tblW w:w="9924"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52"/>
        <w:gridCol w:w="3333"/>
        <w:gridCol w:w="5739"/>
      </w:tblGrid>
      <w:tr w:rsidR="00316B53" w:rsidRPr="0062008E" w:rsidTr="0091419C">
        <w:trPr>
          <w:trHeight w:val="365"/>
        </w:trPr>
        <w:tc>
          <w:tcPr>
            <w:tcW w:w="9924" w:type="dxa"/>
            <w:gridSpan w:val="3"/>
            <w:tcBorders>
              <w:top w:val="single" w:sz="6" w:space="0" w:color="auto"/>
              <w:left w:val="single" w:sz="6" w:space="0" w:color="auto"/>
              <w:bottom w:val="single" w:sz="6" w:space="0" w:color="auto"/>
              <w:right w:val="single" w:sz="6" w:space="0" w:color="auto"/>
            </w:tcBorders>
          </w:tcPr>
          <w:p w:rsidR="00316B53" w:rsidRPr="0062008E" w:rsidRDefault="00316B53" w:rsidP="00853765">
            <w:pPr>
              <w:jc w:val="center"/>
              <w:rPr>
                <w:b/>
                <w:color w:val="000000"/>
              </w:rPr>
            </w:pPr>
            <w:r w:rsidRPr="0062008E">
              <w:rPr>
                <w:b/>
                <w:color w:val="000000"/>
              </w:rPr>
              <w:t>VII. Tiesību akta projekta izpildes nodrošināšana un tās ietekme uz institūcijām</w:t>
            </w:r>
          </w:p>
        </w:tc>
      </w:tr>
      <w:tr w:rsidR="00316B53" w:rsidRPr="0062008E" w:rsidTr="0091419C">
        <w:tc>
          <w:tcPr>
            <w:tcW w:w="852" w:type="dxa"/>
            <w:tcBorders>
              <w:top w:val="single" w:sz="6" w:space="0" w:color="auto"/>
              <w:left w:val="single" w:sz="6" w:space="0" w:color="auto"/>
              <w:bottom w:val="single" w:sz="6" w:space="0" w:color="auto"/>
              <w:right w:val="single" w:sz="6" w:space="0" w:color="auto"/>
            </w:tcBorders>
          </w:tcPr>
          <w:p w:rsidR="00316B53" w:rsidRPr="0062008E" w:rsidRDefault="00316B53" w:rsidP="0091419C">
            <w:pPr>
              <w:spacing w:before="100" w:beforeAutospacing="1" w:after="100" w:afterAutospacing="1"/>
              <w:jc w:val="center"/>
              <w:rPr>
                <w:color w:val="000000"/>
              </w:rPr>
            </w:pPr>
            <w:r w:rsidRPr="0062008E">
              <w:rPr>
                <w:color w:val="000000"/>
              </w:rPr>
              <w:t>1.</w:t>
            </w:r>
          </w:p>
        </w:tc>
        <w:tc>
          <w:tcPr>
            <w:tcW w:w="3333" w:type="dxa"/>
            <w:tcBorders>
              <w:top w:val="single" w:sz="6" w:space="0" w:color="auto"/>
              <w:left w:val="single" w:sz="6" w:space="0" w:color="auto"/>
              <w:bottom w:val="single" w:sz="6" w:space="0" w:color="auto"/>
              <w:right w:val="single" w:sz="6" w:space="0" w:color="auto"/>
            </w:tcBorders>
          </w:tcPr>
          <w:p w:rsidR="00316B53" w:rsidRPr="0062008E" w:rsidRDefault="00316B53" w:rsidP="0091419C">
            <w:pPr>
              <w:spacing w:before="100" w:beforeAutospacing="1" w:after="100" w:afterAutospacing="1"/>
              <w:rPr>
                <w:color w:val="000000"/>
              </w:rPr>
            </w:pPr>
            <w:r w:rsidRPr="0062008E">
              <w:rPr>
                <w:color w:val="000000"/>
              </w:rPr>
              <w:t>Projekta izpildē iesaistītās institūcijas</w:t>
            </w:r>
          </w:p>
        </w:tc>
        <w:tc>
          <w:tcPr>
            <w:tcW w:w="5739" w:type="dxa"/>
            <w:tcBorders>
              <w:top w:val="single" w:sz="6" w:space="0" w:color="auto"/>
              <w:left w:val="single" w:sz="6" w:space="0" w:color="auto"/>
              <w:bottom w:val="single" w:sz="6" w:space="0" w:color="auto"/>
              <w:right w:val="single" w:sz="6" w:space="0" w:color="auto"/>
            </w:tcBorders>
          </w:tcPr>
          <w:p w:rsidR="004861C8" w:rsidRPr="0062008E" w:rsidRDefault="00622379" w:rsidP="00E865E9">
            <w:pPr>
              <w:spacing w:before="120"/>
              <w:jc w:val="both"/>
              <w:rPr>
                <w:color w:val="000000"/>
              </w:rPr>
            </w:pPr>
            <w:r>
              <w:rPr>
                <w:color w:val="000000"/>
              </w:rPr>
              <w:t>V</w:t>
            </w:r>
            <w:r w:rsidR="00E865E9">
              <w:rPr>
                <w:color w:val="000000"/>
              </w:rPr>
              <w:t>ID</w:t>
            </w:r>
          </w:p>
        </w:tc>
      </w:tr>
      <w:tr w:rsidR="00316B53" w:rsidRPr="0062008E" w:rsidTr="0091419C">
        <w:tc>
          <w:tcPr>
            <w:tcW w:w="852" w:type="dxa"/>
            <w:tcBorders>
              <w:top w:val="single" w:sz="6" w:space="0" w:color="auto"/>
              <w:left w:val="single" w:sz="6" w:space="0" w:color="auto"/>
              <w:bottom w:val="single" w:sz="6" w:space="0" w:color="auto"/>
              <w:right w:val="single" w:sz="6" w:space="0" w:color="auto"/>
            </w:tcBorders>
          </w:tcPr>
          <w:p w:rsidR="00316B53" w:rsidRPr="0062008E" w:rsidRDefault="00316B53" w:rsidP="0091419C">
            <w:pPr>
              <w:spacing w:before="100" w:beforeAutospacing="1" w:after="100" w:afterAutospacing="1"/>
              <w:jc w:val="center"/>
            </w:pPr>
            <w:r w:rsidRPr="0062008E">
              <w:t>2.</w:t>
            </w:r>
          </w:p>
        </w:tc>
        <w:tc>
          <w:tcPr>
            <w:tcW w:w="3333" w:type="dxa"/>
            <w:tcBorders>
              <w:top w:val="single" w:sz="6" w:space="0" w:color="auto"/>
              <w:left w:val="single" w:sz="6" w:space="0" w:color="auto"/>
              <w:bottom w:val="single" w:sz="6" w:space="0" w:color="auto"/>
              <w:right w:val="single" w:sz="6" w:space="0" w:color="auto"/>
            </w:tcBorders>
          </w:tcPr>
          <w:p w:rsidR="00316B53" w:rsidRDefault="00316B53" w:rsidP="0091419C">
            <w:pPr>
              <w:spacing w:before="100" w:beforeAutospacing="1" w:after="100" w:afterAutospacing="1"/>
            </w:pPr>
            <w:r w:rsidRPr="0062008E">
              <w:t>Projekta izpildes ietekme uz pārvaldes funkcijām</w:t>
            </w:r>
            <w:r w:rsidR="00D06436">
              <w:t xml:space="preserve"> un institucionālo struktūru.</w:t>
            </w:r>
          </w:p>
          <w:p w:rsidR="00D06436" w:rsidRPr="0062008E" w:rsidRDefault="00D06436" w:rsidP="0091419C">
            <w:pPr>
              <w:spacing w:before="100" w:beforeAutospacing="1" w:after="100" w:afterAutospacing="1"/>
            </w:pPr>
            <w:r>
              <w:t>Jaunu institūciju izveide, esošo institūciju likvidācija vai reorganizācija, to ietekme uz institūcijas cilvēkresursiem</w:t>
            </w:r>
          </w:p>
        </w:tc>
        <w:tc>
          <w:tcPr>
            <w:tcW w:w="5739" w:type="dxa"/>
            <w:tcBorders>
              <w:top w:val="single" w:sz="6" w:space="0" w:color="auto"/>
              <w:left w:val="single" w:sz="6" w:space="0" w:color="auto"/>
              <w:bottom w:val="single" w:sz="6" w:space="0" w:color="auto"/>
              <w:right w:val="single" w:sz="6" w:space="0" w:color="auto"/>
            </w:tcBorders>
          </w:tcPr>
          <w:p w:rsidR="00E865E9" w:rsidRDefault="00E865E9" w:rsidP="00E865E9">
            <w:pPr>
              <w:jc w:val="both"/>
            </w:pPr>
            <w:r>
              <w:t>Rīkojuma p</w:t>
            </w:r>
            <w:r w:rsidR="00E234FF">
              <w:t xml:space="preserve">rojekta izpilde </w:t>
            </w:r>
            <w:r>
              <w:t>nemainīs VID funkcijas un institucionālo struktūru.</w:t>
            </w:r>
          </w:p>
          <w:p w:rsidR="00E865E9" w:rsidRDefault="00E865E9" w:rsidP="00E865E9">
            <w:pPr>
              <w:jc w:val="both"/>
            </w:pPr>
            <w:r>
              <w:t>Netiks veidotas jaunas institūcijas, kā arī esošās institūcijas netiks reorganizētas vai likvidētas.</w:t>
            </w:r>
          </w:p>
          <w:p w:rsidR="00316B53" w:rsidRPr="00546D03" w:rsidRDefault="00E865E9" w:rsidP="00E865E9">
            <w:pPr>
              <w:jc w:val="both"/>
            </w:pPr>
            <w:r>
              <w:t>Rīkojuma projekta izpilde notiks esošo VID cilvēkresursu ietvaros</w:t>
            </w:r>
            <w:r w:rsidR="00E234FF">
              <w:t>.</w:t>
            </w:r>
          </w:p>
        </w:tc>
      </w:tr>
      <w:tr w:rsidR="00316B53" w:rsidRPr="0062008E" w:rsidTr="0091419C">
        <w:tc>
          <w:tcPr>
            <w:tcW w:w="852" w:type="dxa"/>
            <w:tcBorders>
              <w:top w:val="single" w:sz="6" w:space="0" w:color="auto"/>
              <w:left w:val="single" w:sz="6" w:space="0" w:color="auto"/>
              <w:bottom w:val="single" w:sz="6" w:space="0" w:color="auto"/>
              <w:right w:val="single" w:sz="6" w:space="0" w:color="auto"/>
            </w:tcBorders>
          </w:tcPr>
          <w:p w:rsidR="00316B53" w:rsidRPr="0062008E" w:rsidRDefault="00011AA0" w:rsidP="0091419C">
            <w:pPr>
              <w:spacing w:before="100" w:beforeAutospacing="1" w:after="100" w:afterAutospacing="1"/>
              <w:jc w:val="center"/>
              <w:rPr>
                <w:color w:val="000000"/>
              </w:rPr>
            </w:pPr>
            <w:r>
              <w:rPr>
                <w:color w:val="000000"/>
              </w:rPr>
              <w:t>3</w:t>
            </w:r>
            <w:r w:rsidR="00316B53" w:rsidRPr="0062008E">
              <w:rPr>
                <w:color w:val="000000"/>
              </w:rPr>
              <w:t>.</w:t>
            </w:r>
          </w:p>
        </w:tc>
        <w:tc>
          <w:tcPr>
            <w:tcW w:w="3333" w:type="dxa"/>
            <w:tcBorders>
              <w:top w:val="single" w:sz="6" w:space="0" w:color="auto"/>
              <w:left w:val="single" w:sz="6" w:space="0" w:color="auto"/>
              <w:bottom w:val="single" w:sz="6" w:space="0" w:color="auto"/>
              <w:right w:val="single" w:sz="6" w:space="0" w:color="auto"/>
            </w:tcBorders>
          </w:tcPr>
          <w:p w:rsidR="00316B53" w:rsidRPr="0062008E" w:rsidRDefault="00316B53" w:rsidP="00853765">
            <w:pPr>
              <w:spacing w:before="100" w:beforeAutospacing="1" w:after="100" w:afterAutospacing="1"/>
              <w:jc w:val="both"/>
              <w:rPr>
                <w:color w:val="000000"/>
              </w:rPr>
            </w:pPr>
            <w:r w:rsidRPr="0062008E">
              <w:rPr>
                <w:color w:val="000000"/>
              </w:rPr>
              <w:t>Cita informācija</w:t>
            </w:r>
          </w:p>
        </w:tc>
        <w:tc>
          <w:tcPr>
            <w:tcW w:w="5739" w:type="dxa"/>
            <w:tcBorders>
              <w:top w:val="single" w:sz="6" w:space="0" w:color="auto"/>
              <w:left w:val="single" w:sz="6" w:space="0" w:color="auto"/>
              <w:bottom w:val="single" w:sz="6" w:space="0" w:color="auto"/>
              <w:right w:val="single" w:sz="6" w:space="0" w:color="auto"/>
            </w:tcBorders>
          </w:tcPr>
          <w:p w:rsidR="00316B53" w:rsidRPr="0062008E" w:rsidRDefault="00996761" w:rsidP="00740431">
            <w:pPr>
              <w:spacing w:before="100" w:beforeAutospacing="1" w:after="100" w:afterAutospacing="1"/>
              <w:ind w:firstLine="102"/>
              <w:jc w:val="both"/>
              <w:rPr>
                <w:color w:val="000000"/>
              </w:rPr>
            </w:pPr>
            <w:r>
              <w:rPr>
                <w:color w:val="000000"/>
              </w:rPr>
              <w:t>Nav</w:t>
            </w:r>
          </w:p>
        </w:tc>
      </w:tr>
    </w:tbl>
    <w:p w:rsidR="0095177B" w:rsidRDefault="0095177B" w:rsidP="0091419C">
      <w:pPr>
        <w:ind w:firstLine="720"/>
        <w:jc w:val="both"/>
        <w:rPr>
          <w:color w:val="000000"/>
          <w:lang w:eastAsia="en-US"/>
        </w:rPr>
      </w:pPr>
    </w:p>
    <w:p w:rsidR="00587CE5" w:rsidRPr="0091419C" w:rsidRDefault="00587CE5" w:rsidP="0091419C">
      <w:pPr>
        <w:ind w:firstLine="720"/>
        <w:jc w:val="both"/>
        <w:rPr>
          <w:color w:val="000000"/>
          <w:sz w:val="28"/>
          <w:szCs w:val="28"/>
          <w:lang w:eastAsia="en-US"/>
        </w:rPr>
      </w:pPr>
      <w:r w:rsidRPr="0091419C">
        <w:rPr>
          <w:color w:val="000000"/>
          <w:sz w:val="28"/>
          <w:szCs w:val="28"/>
          <w:lang w:eastAsia="en-US"/>
        </w:rPr>
        <w:t xml:space="preserve">Anotācijas </w:t>
      </w:r>
      <w:r w:rsidR="00465DE7">
        <w:rPr>
          <w:color w:val="000000"/>
          <w:sz w:val="28"/>
          <w:szCs w:val="28"/>
          <w:lang w:eastAsia="en-US"/>
        </w:rPr>
        <w:t>IV un</w:t>
      </w:r>
      <w:r w:rsidRPr="0091419C">
        <w:rPr>
          <w:color w:val="000000"/>
          <w:sz w:val="28"/>
          <w:szCs w:val="28"/>
          <w:lang w:eastAsia="en-US"/>
        </w:rPr>
        <w:t xml:space="preserve"> V sadaļa – projekts šīs jomas neskar.</w:t>
      </w:r>
    </w:p>
    <w:p w:rsidR="007E762B" w:rsidRDefault="007E762B" w:rsidP="007E762B">
      <w:pPr>
        <w:pStyle w:val="naisf"/>
        <w:spacing w:before="0" w:after="0"/>
        <w:rPr>
          <w:sz w:val="28"/>
          <w:szCs w:val="28"/>
        </w:rPr>
      </w:pPr>
    </w:p>
    <w:p w:rsidR="009433EE" w:rsidRDefault="009433EE" w:rsidP="007E762B">
      <w:pPr>
        <w:pStyle w:val="naisf"/>
        <w:spacing w:before="0" w:after="0"/>
        <w:rPr>
          <w:sz w:val="28"/>
          <w:szCs w:val="28"/>
        </w:rPr>
      </w:pPr>
    </w:p>
    <w:p w:rsidR="007E762B" w:rsidRDefault="007E762B" w:rsidP="007E762B">
      <w:pPr>
        <w:pStyle w:val="naisf"/>
        <w:spacing w:before="0" w:after="0"/>
        <w:rPr>
          <w:sz w:val="28"/>
          <w:szCs w:val="28"/>
        </w:rPr>
      </w:pPr>
    </w:p>
    <w:p w:rsidR="00CA4D97" w:rsidRPr="006B564B" w:rsidRDefault="00F176D3" w:rsidP="004A7A1A">
      <w:pPr>
        <w:rPr>
          <w:sz w:val="28"/>
          <w:szCs w:val="28"/>
        </w:rPr>
      </w:pPr>
      <w:r>
        <w:rPr>
          <w:sz w:val="28"/>
          <w:szCs w:val="28"/>
        </w:rPr>
        <w:t>Finanšu</w:t>
      </w:r>
      <w:r w:rsidR="00CA4D97" w:rsidRPr="00E74ED5">
        <w:rPr>
          <w:sz w:val="28"/>
          <w:szCs w:val="28"/>
        </w:rPr>
        <w:t xml:space="preserve"> </w:t>
      </w:r>
      <w:r w:rsidR="00CA4D97" w:rsidRPr="006B564B">
        <w:rPr>
          <w:sz w:val="28"/>
          <w:szCs w:val="28"/>
        </w:rPr>
        <w:t>ministr</w:t>
      </w:r>
      <w:r w:rsidR="004A7A1A">
        <w:rPr>
          <w:sz w:val="28"/>
          <w:szCs w:val="28"/>
        </w:rPr>
        <w:t>s</w:t>
      </w:r>
      <w:r w:rsidR="005E2263" w:rsidRPr="00CB5C36">
        <w:rPr>
          <w:sz w:val="28"/>
          <w:szCs w:val="28"/>
        </w:rPr>
        <w:t xml:space="preserve"> </w:t>
      </w:r>
      <w:r w:rsidR="005E2263" w:rsidRPr="00CB5C36">
        <w:rPr>
          <w:sz w:val="28"/>
          <w:szCs w:val="28"/>
        </w:rPr>
        <w:tab/>
      </w:r>
      <w:r w:rsidR="005E2263" w:rsidRPr="00CB5C36">
        <w:rPr>
          <w:sz w:val="28"/>
          <w:szCs w:val="28"/>
        </w:rPr>
        <w:tab/>
      </w:r>
      <w:r w:rsidR="005E2263" w:rsidRPr="00CB5C36">
        <w:rPr>
          <w:sz w:val="28"/>
          <w:szCs w:val="28"/>
        </w:rPr>
        <w:tab/>
      </w:r>
      <w:r w:rsidR="005E2263" w:rsidRPr="00CB5C36">
        <w:rPr>
          <w:sz w:val="28"/>
          <w:szCs w:val="28"/>
        </w:rPr>
        <w:tab/>
      </w:r>
      <w:r w:rsidR="005E2263" w:rsidRPr="00CB5C36">
        <w:rPr>
          <w:sz w:val="28"/>
          <w:szCs w:val="28"/>
        </w:rPr>
        <w:tab/>
        <w:t xml:space="preserve"> </w:t>
      </w:r>
      <w:r w:rsidR="005E2263" w:rsidRPr="00CB5C36">
        <w:rPr>
          <w:sz w:val="28"/>
          <w:szCs w:val="28"/>
        </w:rPr>
        <w:tab/>
      </w:r>
      <w:r w:rsidR="005E2263" w:rsidRPr="00CB5C36">
        <w:rPr>
          <w:sz w:val="28"/>
          <w:szCs w:val="28"/>
        </w:rPr>
        <w:tab/>
      </w:r>
      <w:proofErr w:type="spellStart"/>
      <w:r w:rsidR="004A7A1A">
        <w:rPr>
          <w:sz w:val="28"/>
          <w:szCs w:val="28"/>
        </w:rPr>
        <w:t>J.Reirs</w:t>
      </w:r>
      <w:proofErr w:type="spellEnd"/>
      <w:r w:rsidR="005E2263" w:rsidRPr="00CB5C36">
        <w:rPr>
          <w:sz w:val="28"/>
          <w:szCs w:val="28"/>
        </w:rPr>
        <w:t xml:space="preserve">     </w:t>
      </w:r>
      <w:r w:rsidR="00CA4D97" w:rsidRPr="006B564B">
        <w:rPr>
          <w:sz w:val="28"/>
          <w:szCs w:val="28"/>
        </w:rPr>
        <w:tab/>
      </w:r>
      <w:r w:rsidR="00CA4D97" w:rsidRPr="006B564B">
        <w:rPr>
          <w:sz w:val="28"/>
          <w:szCs w:val="28"/>
        </w:rPr>
        <w:tab/>
      </w:r>
      <w:r w:rsidR="00CA4D97" w:rsidRPr="006B564B">
        <w:rPr>
          <w:sz w:val="28"/>
          <w:szCs w:val="28"/>
        </w:rPr>
        <w:tab/>
      </w:r>
      <w:r w:rsidR="00CA4D97" w:rsidRPr="006B564B">
        <w:rPr>
          <w:sz w:val="28"/>
          <w:szCs w:val="28"/>
        </w:rPr>
        <w:tab/>
      </w:r>
      <w:r w:rsidR="009C35A8" w:rsidRPr="006B564B">
        <w:rPr>
          <w:sz w:val="28"/>
          <w:szCs w:val="28"/>
        </w:rPr>
        <w:tab/>
      </w:r>
      <w:r w:rsidR="00B10323" w:rsidRPr="006B564B">
        <w:rPr>
          <w:sz w:val="28"/>
          <w:szCs w:val="28"/>
        </w:rPr>
        <w:tab/>
      </w:r>
      <w:r w:rsidR="00B10323" w:rsidRPr="006B564B">
        <w:rPr>
          <w:sz w:val="28"/>
          <w:szCs w:val="28"/>
        </w:rPr>
        <w:tab/>
      </w:r>
    </w:p>
    <w:p w:rsidR="00803A25" w:rsidRDefault="00803A25" w:rsidP="009C35A8">
      <w:pPr>
        <w:pStyle w:val="naisf"/>
        <w:spacing w:before="0" w:after="0"/>
        <w:ind w:firstLine="0"/>
        <w:rPr>
          <w:sz w:val="28"/>
          <w:szCs w:val="28"/>
        </w:rPr>
      </w:pPr>
    </w:p>
    <w:p w:rsidR="00344776" w:rsidRPr="00E74ED5" w:rsidRDefault="00344776" w:rsidP="009C35A8">
      <w:pPr>
        <w:pStyle w:val="naisf"/>
        <w:spacing w:before="0" w:after="0"/>
        <w:ind w:firstLine="0"/>
        <w:rPr>
          <w:sz w:val="28"/>
          <w:szCs w:val="28"/>
        </w:rPr>
      </w:pPr>
    </w:p>
    <w:p w:rsidR="00087A5E" w:rsidRDefault="00087A5E" w:rsidP="00CA4D97">
      <w:pPr>
        <w:jc w:val="both"/>
        <w:rPr>
          <w:sz w:val="20"/>
          <w:szCs w:val="20"/>
        </w:rPr>
      </w:pPr>
    </w:p>
    <w:p w:rsidR="00D9259A" w:rsidRDefault="00D9259A" w:rsidP="00CA4D97">
      <w:pPr>
        <w:jc w:val="both"/>
        <w:rPr>
          <w:sz w:val="20"/>
          <w:szCs w:val="20"/>
        </w:rPr>
      </w:pPr>
    </w:p>
    <w:p w:rsidR="00D9259A" w:rsidRDefault="00D9259A" w:rsidP="00CA4D97">
      <w:pPr>
        <w:jc w:val="both"/>
        <w:rPr>
          <w:sz w:val="20"/>
          <w:szCs w:val="20"/>
        </w:rPr>
      </w:pPr>
    </w:p>
    <w:p w:rsidR="00D9259A" w:rsidRDefault="00D9259A" w:rsidP="00CA4D97">
      <w:pPr>
        <w:jc w:val="both"/>
        <w:rPr>
          <w:sz w:val="20"/>
          <w:szCs w:val="20"/>
        </w:rPr>
      </w:pPr>
    </w:p>
    <w:p w:rsidR="00D9259A" w:rsidRDefault="00D9259A" w:rsidP="00CA4D97">
      <w:pPr>
        <w:jc w:val="both"/>
        <w:rPr>
          <w:sz w:val="20"/>
          <w:szCs w:val="20"/>
        </w:rPr>
      </w:pPr>
    </w:p>
    <w:p w:rsidR="00D9259A" w:rsidRDefault="00D9259A" w:rsidP="00CA4D97">
      <w:pPr>
        <w:jc w:val="both"/>
        <w:rPr>
          <w:sz w:val="20"/>
          <w:szCs w:val="20"/>
        </w:rPr>
      </w:pPr>
    </w:p>
    <w:p w:rsidR="00D9259A" w:rsidRDefault="00D9259A" w:rsidP="00CA4D97">
      <w:pPr>
        <w:jc w:val="both"/>
        <w:rPr>
          <w:sz w:val="20"/>
          <w:szCs w:val="20"/>
        </w:rPr>
      </w:pPr>
    </w:p>
    <w:p w:rsidR="00D9259A" w:rsidRDefault="00D9259A" w:rsidP="00CA4D97">
      <w:pPr>
        <w:jc w:val="both"/>
        <w:rPr>
          <w:sz w:val="20"/>
          <w:szCs w:val="20"/>
        </w:rPr>
      </w:pPr>
    </w:p>
    <w:p w:rsidR="00D9259A" w:rsidRDefault="00D9259A" w:rsidP="00CA4D97">
      <w:pPr>
        <w:jc w:val="both"/>
        <w:rPr>
          <w:sz w:val="20"/>
          <w:szCs w:val="20"/>
        </w:rPr>
      </w:pPr>
    </w:p>
    <w:p w:rsidR="00D9259A" w:rsidRDefault="00D9259A" w:rsidP="00CA4D97">
      <w:pPr>
        <w:jc w:val="both"/>
        <w:rPr>
          <w:sz w:val="20"/>
          <w:szCs w:val="20"/>
        </w:rPr>
      </w:pPr>
    </w:p>
    <w:p w:rsidR="00D9259A" w:rsidRDefault="00D9259A" w:rsidP="00CA4D97">
      <w:pPr>
        <w:jc w:val="both"/>
        <w:rPr>
          <w:sz w:val="20"/>
          <w:szCs w:val="20"/>
        </w:rPr>
      </w:pPr>
    </w:p>
    <w:p w:rsidR="00D9259A" w:rsidRDefault="00D9259A" w:rsidP="00CA4D97">
      <w:pPr>
        <w:jc w:val="both"/>
        <w:rPr>
          <w:sz w:val="20"/>
          <w:szCs w:val="20"/>
        </w:rPr>
      </w:pPr>
    </w:p>
    <w:p w:rsidR="00D9259A" w:rsidRDefault="00D9259A" w:rsidP="00CA4D97">
      <w:pPr>
        <w:jc w:val="both"/>
        <w:rPr>
          <w:sz w:val="20"/>
          <w:szCs w:val="20"/>
        </w:rPr>
      </w:pPr>
    </w:p>
    <w:p w:rsidR="00D9259A" w:rsidRDefault="00D9259A" w:rsidP="00CA4D97">
      <w:pPr>
        <w:jc w:val="both"/>
        <w:rPr>
          <w:sz w:val="20"/>
          <w:szCs w:val="20"/>
        </w:rPr>
      </w:pPr>
    </w:p>
    <w:p w:rsidR="00D9259A" w:rsidRDefault="00D9259A" w:rsidP="00CA4D97">
      <w:pPr>
        <w:jc w:val="both"/>
        <w:rPr>
          <w:sz w:val="20"/>
          <w:szCs w:val="20"/>
        </w:rPr>
      </w:pPr>
    </w:p>
    <w:p w:rsidR="00D9259A" w:rsidRDefault="00D9259A" w:rsidP="00CA4D97">
      <w:pPr>
        <w:jc w:val="both"/>
        <w:rPr>
          <w:sz w:val="20"/>
          <w:szCs w:val="20"/>
        </w:rPr>
      </w:pPr>
    </w:p>
    <w:p w:rsidR="00D9259A" w:rsidRDefault="00D9259A" w:rsidP="00CA4D97">
      <w:pPr>
        <w:jc w:val="both"/>
        <w:rPr>
          <w:sz w:val="20"/>
          <w:szCs w:val="20"/>
        </w:rPr>
      </w:pPr>
    </w:p>
    <w:p w:rsidR="00D9259A" w:rsidRDefault="00D9259A" w:rsidP="00CA4D97">
      <w:pPr>
        <w:jc w:val="both"/>
        <w:rPr>
          <w:sz w:val="20"/>
          <w:szCs w:val="20"/>
        </w:rPr>
      </w:pPr>
    </w:p>
    <w:p w:rsidR="00D9259A" w:rsidRDefault="00D9259A" w:rsidP="00CA4D97">
      <w:pPr>
        <w:jc w:val="both"/>
        <w:rPr>
          <w:sz w:val="20"/>
          <w:szCs w:val="20"/>
        </w:rPr>
      </w:pPr>
    </w:p>
    <w:p w:rsidR="00D9259A" w:rsidRDefault="00D9259A" w:rsidP="00CA4D97">
      <w:pPr>
        <w:jc w:val="both"/>
        <w:rPr>
          <w:sz w:val="20"/>
          <w:szCs w:val="20"/>
        </w:rPr>
      </w:pPr>
    </w:p>
    <w:p w:rsidR="00D9259A" w:rsidRDefault="00D9259A" w:rsidP="00CA4D97">
      <w:pPr>
        <w:jc w:val="both"/>
        <w:rPr>
          <w:sz w:val="20"/>
          <w:szCs w:val="20"/>
        </w:rPr>
      </w:pPr>
    </w:p>
    <w:p w:rsidR="00EB0A98" w:rsidRDefault="00EB0A98" w:rsidP="00CA4D97">
      <w:pPr>
        <w:jc w:val="both"/>
        <w:rPr>
          <w:sz w:val="20"/>
          <w:szCs w:val="20"/>
        </w:rPr>
      </w:pPr>
    </w:p>
    <w:p w:rsidR="00EB0A98" w:rsidRDefault="00EB0A98" w:rsidP="00CA4D97">
      <w:pPr>
        <w:jc w:val="both"/>
        <w:rPr>
          <w:sz w:val="20"/>
          <w:szCs w:val="20"/>
        </w:rPr>
      </w:pPr>
    </w:p>
    <w:p w:rsidR="006A554A" w:rsidRPr="009C35A8" w:rsidRDefault="00C572C9" w:rsidP="00CA4D97">
      <w:pPr>
        <w:jc w:val="both"/>
        <w:rPr>
          <w:sz w:val="20"/>
          <w:szCs w:val="20"/>
        </w:rPr>
      </w:pPr>
      <w:r>
        <w:rPr>
          <w:sz w:val="20"/>
          <w:szCs w:val="20"/>
        </w:rPr>
        <w:t>05</w:t>
      </w:r>
      <w:r w:rsidR="00B05151">
        <w:rPr>
          <w:sz w:val="20"/>
          <w:szCs w:val="20"/>
        </w:rPr>
        <w:t>.</w:t>
      </w:r>
      <w:r>
        <w:rPr>
          <w:sz w:val="20"/>
          <w:szCs w:val="20"/>
        </w:rPr>
        <w:t>10</w:t>
      </w:r>
      <w:r w:rsidR="00546D03" w:rsidRPr="00703C4B">
        <w:rPr>
          <w:sz w:val="20"/>
          <w:szCs w:val="20"/>
        </w:rPr>
        <w:t>.201</w:t>
      </w:r>
      <w:r w:rsidR="00F176D3" w:rsidRPr="00703C4B">
        <w:rPr>
          <w:sz w:val="20"/>
          <w:szCs w:val="20"/>
        </w:rPr>
        <w:t>5</w:t>
      </w:r>
      <w:r w:rsidR="00F92FFB" w:rsidRPr="00703C4B">
        <w:rPr>
          <w:sz w:val="20"/>
          <w:szCs w:val="20"/>
        </w:rPr>
        <w:t>.</w:t>
      </w:r>
      <w:r w:rsidR="002D58F4" w:rsidRPr="00703C4B">
        <w:rPr>
          <w:sz w:val="20"/>
          <w:szCs w:val="20"/>
        </w:rPr>
        <w:t xml:space="preserve"> </w:t>
      </w:r>
      <w:r w:rsidR="00D52FBA" w:rsidRPr="00703C4B">
        <w:rPr>
          <w:sz w:val="20"/>
          <w:szCs w:val="20"/>
        </w:rPr>
        <w:t>1</w:t>
      </w:r>
      <w:r>
        <w:rPr>
          <w:sz w:val="20"/>
          <w:szCs w:val="20"/>
        </w:rPr>
        <w:t>2</w:t>
      </w:r>
      <w:r w:rsidR="009D19DD">
        <w:rPr>
          <w:sz w:val="20"/>
          <w:szCs w:val="20"/>
        </w:rPr>
        <w:t>.</w:t>
      </w:r>
      <w:r w:rsidR="00463140" w:rsidRPr="00703C4B">
        <w:rPr>
          <w:sz w:val="20"/>
          <w:szCs w:val="20"/>
        </w:rPr>
        <w:t>0</w:t>
      </w:r>
      <w:r w:rsidR="00AF095C" w:rsidRPr="00703C4B">
        <w:rPr>
          <w:sz w:val="20"/>
          <w:szCs w:val="20"/>
        </w:rPr>
        <w:t>0</w:t>
      </w:r>
    </w:p>
    <w:p w:rsidR="006A554A" w:rsidRPr="009C35A8" w:rsidRDefault="00563636" w:rsidP="006A554A">
      <w:pPr>
        <w:jc w:val="both"/>
        <w:rPr>
          <w:sz w:val="20"/>
          <w:szCs w:val="20"/>
        </w:rPr>
      </w:pPr>
      <w:r>
        <w:rPr>
          <w:sz w:val="20"/>
          <w:szCs w:val="20"/>
        </w:rPr>
        <w:t>3</w:t>
      </w:r>
      <w:r w:rsidR="00132C7D">
        <w:rPr>
          <w:sz w:val="20"/>
          <w:szCs w:val="20"/>
        </w:rPr>
        <w:t>0</w:t>
      </w:r>
      <w:r w:rsidR="00E549F7">
        <w:rPr>
          <w:sz w:val="20"/>
          <w:szCs w:val="20"/>
        </w:rPr>
        <w:t>92</w:t>
      </w:r>
    </w:p>
    <w:p w:rsidR="006A554A" w:rsidRPr="009C35A8" w:rsidRDefault="00F176D3" w:rsidP="006A554A">
      <w:pPr>
        <w:jc w:val="both"/>
        <w:rPr>
          <w:sz w:val="20"/>
          <w:szCs w:val="20"/>
        </w:rPr>
      </w:pPr>
      <w:r>
        <w:rPr>
          <w:sz w:val="20"/>
          <w:szCs w:val="20"/>
        </w:rPr>
        <w:t>R.Ervalde</w:t>
      </w:r>
    </w:p>
    <w:p w:rsidR="00FA3FDB" w:rsidRPr="009D19DD" w:rsidRDefault="00F176D3" w:rsidP="0091419C">
      <w:pPr>
        <w:rPr>
          <w:sz w:val="20"/>
          <w:szCs w:val="20"/>
        </w:rPr>
      </w:pPr>
      <w:r>
        <w:rPr>
          <w:sz w:val="20"/>
          <w:szCs w:val="20"/>
        </w:rPr>
        <w:t>671</w:t>
      </w:r>
      <w:r w:rsidR="0079504B">
        <w:rPr>
          <w:sz w:val="20"/>
          <w:szCs w:val="20"/>
        </w:rPr>
        <w:t>2</w:t>
      </w:r>
      <w:r>
        <w:rPr>
          <w:sz w:val="20"/>
          <w:szCs w:val="20"/>
        </w:rPr>
        <w:t>268</w:t>
      </w:r>
      <w:r w:rsidR="00344403" w:rsidRPr="009C35A8">
        <w:rPr>
          <w:sz w:val="20"/>
          <w:szCs w:val="20"/>
        </w:rPr>
        <w:t>4,</w:t>
      </w:r>
      <w:r w:rsidR="00B229BB">
        <w:rPr>
          <w:sz w:val="20"/>
          <w:szCs w:val="20"/>
        </w:rPr>
        <w:t xml:space="preserve"> </w:t>
      </w:r>
      <w:r>
        <w:rPr>
          <w:sz w:val="20"/>
          <w:szCs w:val="20"/>
        </w:rPr>
        <w:t>Ruta.Ervalde@vid</w:t>
      </w:r>
      <w:r w:rsidR="006A554A" w:rsidRPr="009C35A8">
        <w:rPr>
          <w:sz w:val="20"/>
          <w:szCs w:val="20"/>
        </w:rPr>
        <w:t>.</w:t>
      </w:r>
      <w:r>
        <w:rPr>
          <w:sz w:val="20"/>
          <w:szCs w:val="20"/>
        </w:rPr>
        <w:t>gov.</w:t>
      </w:r>
      <w:r w:rsidR="006A554A" w:rsidRPr="009C35A8">
        <w:rPr>
          <w:sz w:val="20"/>
          <w:szCs w:val="20"/>
        </w:rPr>
        <w:t>lv</w:t>
      </w:r>
    </w:p>
    <w:sectPr w:rsidR="00FA3FDB" w:rsidRPr="009D19DD" w:rsidSect="00275C5F">
      <w:headerReference w:type="even" r:id="rId13"/>
      <w:headerReference w:type="default" r:id="rId14"/>
      <w:footerReference w:type="default" r:id="rId15"/>
      <w:footerReference w:type="first" r:id="rId16"/>
      <w:pgSz w:w="11906" w:h="16838"/>
      <w:pgMar w:top="1265" w:right="1134" w:bottom="1134" w:left="170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E2F" w:rsidRDefault="00F30E2F">
      <w:r>
        <w:separator/>
      </w:r>
    </w:p>
  </w:endnote>
  <w:endnote w:type="continuationSeparator" w:id="0">
    <w:p w:rsidR="00F30E2F" w:rsidRDefault="00F3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BD" w:rsidRPr="00F530EE" w:rsidRDefault="00C70ABD" w:rsidP="0091419C">
    <w:pPr>
      <w:jc w:val="both"/>
      <w:rPr>
        <w:szCs w:val="20"/>
      </w:rPr>
    </w:pPr>
    <w:r>
      <w:rPr>
        <w:sz w:val="20"/>
        <w:szCs w:val="20"/>
      </w:rPr>
      <w:t>FMAnot_</w:t>
    </w:r>
    <w:r w:rsidR="00722F8E">
      <w:rPr>
        <w:sz w:val="20"/>
        <w:szCs w:val="20"/>
      </w:rPr>
      <w:t>051</w:t>
    </w:r>
    <w:r>
      <w:rPr>
        <w:sz w:val="20"/>
        <w:szCs w:val="20"/>
      </w:rPr>
      <w:t>015_EKprogr</w:t>
    </w:r>
    <w:r w:rsidR="001E60E3">
      <w:rPr>
        <w:sz w:val="20"/>
        <w:szCs w:val="20"/>
      </w:rPr>
      <w:t>.913</w:t>
    </w:r>
    <w:r w:rsidRPr="002C0AC3">
      <w:rPr>
        <w:sz w:val="20"/>
        <w:szCs w:val="20"/>
      </w:rPr>
      <w:t xml:space="preserve">; Ministru kabineta rīkojuma projekta </w:t>
    </w:r>
    <w:r>
      <w:rPr>
        <w:sz w:val="20"/>
        <w:szCs w:val="20"/>
      </w:rPr>
      <w:t xml:space="preserve">“Par atļauju </w:t>
    </w:r>
    <w:r w:rsidRPr="002D6FC4">
      <w:rPr>
        <w:sz w:val="20"/>
        <w:szCs w:val="20"/>
      </w:rPr>
      <w:t>Finanšu ministrijai (Valsts ieņēmumu dienestam) uzņemties saistības un īstenot projektus un pasākumus Eiropas Komisijas tieši administrētajās programmās”</w:t>
    </w:r>
    <w:r>
      <w:rPr>
        <w:sz w:val="20"/>
        <w:szCs w:val="20"/>
      </w:rPr>
      <w:t xml:space="preserve"> </w:t>
    </w:r>
    <w:r w:rsidRPr="002C0AC3">
      <w:rPr>
        <w:sz w:val="20"/>
        <w:szCs w:val="20"/>
      </w:rPr>
      <w:t xml:space="preserve">sākotnējās ietekmes novērtējuma </w:t>
    </w:r>
    <w:smartTag w:uri="schemas-tilde-lv/tildestengine" w:element="veidnes">
      <w:smartTagPr>
        <w:attr w:name="text" w:val="ziņojums"/>
        <w:attr w:name="baseform" w:val="ziņojums"/>
        <w:attr w:name="id" w:val="-1"/>
      </w:smartTagPr>
      <w:r w:rsidRPr="002C0AC3">
        <w:rPr>
          <w:sz w:val="20"/>
          <w:szCs w:val="20"/>
        </w:rPr>
        <w:t>ziņojums</w:t>
      </w:r>
    </w:smartTag>
    <w:r w:rsidRPr="002C0AC3">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BD" w:rsidRPr="002D6FC4" w:rsidRDefault="00C70ABD" w:rsidP="0091419C">
    <w:pPr>
      <w:pStyle w:val="Footer"/>
      <w:jc w:val="both"/>
      <w:rPr>
        <w:sz w:val="20"/>
        <w:szCs w:val="20"/>
      </w:rPr>
    </w:pPr>
    <w:r w:rsidRPr="002D6FC4">
      <w:rPr>
        <w:sz w:val="20"/>
        <w:szCs w:val="20"/>
      </w:rPr>
      <w:t>F</w:t>
    </w:r>
    <w:r>
      <w:rPr>
        <w:sz w:val="20"/>
        <w:szCs w:val="20"/>
      </w:rPr>
      <w:t>MA</w:t>
    </w:r>
    <w:r w:rsidRPr="002D6FC4">
      <w:rPr>
        <w:sz w:val="20"/>
        <w:szCs w:val="20"/>
      </w:rPr>
      <w:t>not_</w:t>
    </w:r>
    <w:r w:rsidR="00722F8E">
      <w:rPr>
        <w:sz w:val="20"/>
        <w:szCs w:val="20"/>
      </w:rPr>
      <w:t>05101</w:t>
    </w:r>
    <w:r w:rsidRPr="002D6FC4">
      <w:rPr>
        <w:sz w:val="20"/>
        <w:szCs w:val="20"/>
      </w:rPr>
      <w:t>5_EKprogr</w:t>
    </w:r>
    <w:r w:rsidR="001E60E3">
      <w:rPr>
        <w:sz w:val="20"/>
        <w:szCs w:val="20"/>
      </w:rPr>
      <w:t>.913</w:t>
    </w:r>
    <w:r w:rsidRPr="002D6FC4">
      <w:rPr>
        <w:sz w:val="20"/>
        <w:szCs w:val="20"/>
      </w:rPr>
      <w:t xml:space="preserve">; Ministru kabineta rīkojuma projekta </w:t>
    </w:r>
    <w:r>
      <w:rPr>
        <w:sz w:val="20"/>
        <w:szCs w:val="20"/>
      </w:rPr>
      <w:t>“</w:t>
    </w:r>
    <w:r w:rsidRPr="002D6FC4">
      <w:rPr>
        <w:sz w:val="20"/>
        <w:szCs w:val="20"/>
      </w:rPr>
      <w:t>Par atļauju Finanšu ministrijai (Valsts ieņēmumu dienestam) uzņemties saistības un īstenot projektus un pasākumus Eiropas Komisijas tieši administrētajās programmās” sākotnējās ietekmes novērtējuma ziņojums (anotācija)</w:t>
    </w:r>
  </w:p>
  <w:p w:rsidR="00C70ABD" w:rsidRPr="00722F8E" w:rsidRDefault="00C70ABD" w:rsidP="0091419C">
    <w:pPr>
      <w:pStyle w:val="Footer"/>
      <w:tabs>
        <w:tab w:val="clear" w:pos="4153"/>
        <w:tab w:val="clear" w:pos="8306"/>
        <w:tab w:val="left" w:pos="7388"/>
      </w:tabs>
    </w:pPr>
    <w:r w:rsidRPr="00722F8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E2F" w:rsidRDefault="00F30E2F">
      <w:r>
        <w:separator/>
      </w:r>
    </w:p>
  </w:footnote>
  <w:footnote w:type="continuationSeparator" w:id="0">
    <w:p w:rsidR="00F30E2F" w:rsidRDefault="00F30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BD" w:rsidRDefault="00C70ABD"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0ABD" w:rsidRDefault="00C70A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BD" w:rsidRDefault="00C70ABD"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7499">
      <w:rPr>
        <w:rStyle w:val="PageNumber"/>
        <w:noProof/>
      </w:rPr>
      <w:t>10</w:t>
    </w:r>
    <w:r>
      <w:rPr>
        <w:rStyle w:val="PageNumber"/>
      </w:rPr>
      <w:fldChar w:fldCharType="end"/>
    </w:r>
  </w:p>
  <w:p w:rsidR="00C70ABD" w:rsidRDefault="00C70ABD" w:rsidP="001E3FDC">
    <w:pPr>
      <w:pStyle w:val="Header"/>
    </w:pPr>
  </w:p>
  <w:p w:rsidR="00C70ABD" w:rsidRDefault="00C70ABD" w:rsidP="001E3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028"/>
    <w:multiLevelType w:val="hybridMultilevel"/>
    <w:tmpl w:val="9B0467CA"/>
    <w:lvl w:ilvl="0" w:tplc="F5B47D98">
      <w:start w:val="2"/>
      <w:numFmt w:val="bullet"/>
      <w:lvlText w:val="-"/>
      <w:lvlJc w:val="left"/>
      <w:pPr>
        <w:tabs>
          <w:tab w:val="num" w:pos="1761"/>
        </w:tabs>
        <w:ind w:left="1761" w:hanging="100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05CF0D27"/>
    <w:multiLevelType w:val="hybridMultilevel"/>
    <w:tmpl w:val="CDC811F2"/>
    <w:lvl w:ilvl="0" w:tplc="319A4FC6">
      <w:start w:val="1"/>
      <w:numFmt w:val="decimal"/>
      <w:lvlText w:val="%1)"/>
      <w:lvlJc w:val="left"/>
      <w:pPr>
        <w:tabs>
          <w:tab w:val="num" w:pos="1848"/>
        </w:tabs>
        <w:ind w:left="1848" w:hanging="1095"/>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
    <w:nsid w:val="09926695"/>
    <w:multiLevelType w:val="hybridMultilevel"/>
    <w:tmpl w:val="7E7CE47E"/>
    <w:lvl w:ilvl="0" w:tplc="04B03CB6">
      <w:start w:val="1"/>
      <w:numFmt w:val="decimal"/>
      <w:lvlText w:val="%1)"/>
      <w:lvlJc w:val="left"/>
      <w:pPr>
        <w:tabs>
          <w:tab w:val="num" w:pos="1815"/>
        </w:tabs>
        <w:ind w:left="1815" w:hanging="10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5">
    <w:nsid w:val="0E865FE5"/>
    <w:multiLevelType w:val="hybridMultilevel"/>
    <w:tmpl w:val="C8BC8496"/>
    <w:lvl w:ilvl="0" w:tplc="3A30A468">
      <w:start w:val="2"/>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6">
    <w:nsid w:val="1853602D"/>
    <w:multiLevelType w:val="hybridMultilevel"/>
    <w:tmpl w:val="AC2A5416"/>
    <w:lvl w:ilvl="0" w:tplc="BEDC7DDA">
      <w:start w:val="17"/>
      <w:numFmt w:val="bullet"/>
      <w:lvlText w:val="-"/>
      <w:lvlJc w:val="left"/>
      <w:pPr>
        <w:tabs>
          <w:tab w:val="num" w:pos="1698"/>
        </w:tabs>
        <w:ind w:left="1698" w:hanging="945"/>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7">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1D114237"/>
    <w:multiLevelType w:val="hybridMultilevel"/>
    <w:tmpl w:val="42D0B112"/>
    <w:lvl w:ilvl="0" w:tplc="9DE287D4">
      <w:start w:val="5"/>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9">
    <w:nsid w:val="1DEB6465"/>
    <w:multiLevelType w:val="hybridMultilevel"/>
    <w:tmpl w:val="9D6A8D44"/>
    <w:lvl w:ilvl="0" w:tplc="19E81E44">
      <w:start w:val="1"/>
      <w:numFmt w:val="decimal"/>
      <w:lvlText w:val="%1."/>
      <w:lvlJc w:val="left"/>
      <w:pPr>
        <w:tabs>
          <w:tab w:val="num" w:pos="1773"/>
        </w:tabs>
        <w:ind w:left="1773" w:hanging="102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0">
    <w:nsid w:val="2E3E38C1"/>
    <w:multiLevelType w:val="hybridMultilevel"/>
    <w:tmpl w:val="8EF83154"/>
    <w:lvl w:ilvl="0" w:tplc="9E5CD90E">
      <w:start w:val="1"/>
      <w:numFmt w:val="decimal"/>
      <w:lvlText w:val="%1)"/>
      <w:lvlJc w:val="left"/>
      <w:pPr>
        <w:tabs>
          <w:tab w:val="num" w:pos="1797"/>
        </w:tabs>
        <w:ind w:left="1797" w:hanging="1065"/>
      </w:pPr>
      <w:rPr>
        <w:rFonts w:hint="default"/>
      </w:rPr>
    </w:lvl>
    <w:lvl w:ilvl="1" w:tplc="AD3A1F28">
      <w:start w:val="1"/>
      <w:numFmt w:val="decimal"/>
      <w:lvlText w:val="%2."/>
      <w:lvlJc w:val="left"/>
      <w:pPr>
        <w:tabs>
          <w:tab w:val="num" w:pos="2442"/>
        </w:tabs>
        <w:ind w:left="2442" w:hanging="990"/>
      </w:pPr>
      <w:rPr>
        <w:rFonts w:hint="default"/>
      </w:r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11">
    <w:nsid w:val="3525189E"/>
    <w:multiLevelType w:val="hybridMultilevel"/>
    <w:tmpl w:val="7B0031DC"/>
    <w:lvl w:ilvl="0" w:tplc="12DE5418">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12">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3">
    <w:nsid w:val="47392597"/>
    <w:multiLevelType w:val="hybridMultilevel"/>
    <w:tmpl w:val="D826C2D0"/>
    <w:lvl w:ilvl="0" w:tplc="D1D68698">
      <w:start w:val="6"/>
      <w:numFmt w:val="bullet"/>
      <w:lvlText w:val="-"/>
      <w:lvlJc w:val="left"/>
      <w:pPr>
        <w:tabs>
          <w:tab w:val="num" w:pos="1092"/>
        </w:tabs>
        <w:ind w:left="1092" w:hanging="360"/>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14">
    <w:nsid w:val="4DF335C5"/>
    <w:multiLevelType w:val="hybridMultilevel"/>
    <w:tmpl w:val="83C6E74C"/>
    <w:lvl w:ilvl="0" w:tplc="8E886F12">
      <w:start w:val="1"/>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5">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16">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7">
    <w:nsid w:val="66BF065F"/>
    <w:multiLevelType w:val="hybridMultilevel"/>
    <w:tmpl w:val="904AD61A"/>
    <w:lvl w:ilvl="0" w:tplc="DCECCBF8">
      <w:start w:val="1"/>
      <w:numFmt w:val="decimal"/>
      <w:lvlText w:val="%1)"/>
      <w:lvlJc w:val="left"/>
      <w:pPr>
        <w:tabs>
          <w:tab w:val="num" w:pos="1833"/>
        </w:tabs>
        <w:ind w:left="1833" w:hanging="108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8">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19">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cs="Times New Roman" w:hint="default"/>
      </w:rPr>
    </w:lvl>
    <w:lvl w:ilvl="1" w:tplc="04260003">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0">
    <w:nsid w:val="6B6A20A9"/>
    <w:multiLevelType w:val="hybridMultilevel"/>
    <w:tmpl w:val="4DF4F1C4"/>
    <w:lvl w:ilvl="0" w:tplc="CF9AEF20">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21">
    <w:nsid w:val="6EC60451"/>
    <w:multiLevelType w:val="hybridMultilevel"/>
    <w:tmpl w:val="AD9CE6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77A24D38"/>
    <w:multiLevelType w:val="hybridMultilevel"/>
    <w:tmpl w:val="42C6F606"/>
    <w:lvl w:ilvl="0" w:tplc="5E2A0BBA">
      <w:start w:val="28"/>
      <w:numFmt w:val="bullet"/>
      <w:lvlText w:val="-"/>
      <w:lvlJc w:val="left"/>
      <w:pPr>
        <w:tabs>
          <w:tab w:val="num" w:pos="1716"/>
        </w:tabs>
        <w:ind w:left="1716" w:hanging="960"/>
      </w:pPr>
      <w:rPr>
        <w:rFonts w:ascii="Times New Roman" w:eastAsia="Times New Roman" w:hAnsi="Times New Roman" w:cs="Times New Roman" w:hint="default"/>
      </w:rPr>
    </w:lvl>
    <w:lvl w:ilvl="1" w:tplc="04260003">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23">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4">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1"/>
  </w:num>
  <w:num w:numId="2">
    <w:abstractNumId w:val="16"/>
  </w:num>
  <w:num w:numId="3">
    <w:abstractNumId w:val="9"/>
  </w:num>
  <w:num w:numId="4">
    <w:abstractNumId w:val="23"/>
  </w:num>
  <w:num w:numId="5">
    <w:abstractNumId w:val="15"/>
  </w:num>
  <w:num w:numId="6">
    <w:abstractNumId w:val="8"/>
  </w:num>
  <w:num w:numId="7">
    <w:abstractNumId w:val="5"/>
  </w:num>
  <w:num w:numId="8">
    <w:abstractNumId w:val="14"/>
  </w:num>
  <w:num w:numId="9">
    <w:abstractNumId w:val="12"/>
  </w:num>
  <w:num w:numId="10">
    <w:abstractNumId w:val="24"/>
  </w:num>
  <w:num w:numId="11">
    <w:abstractNumId w:val="2"/>
  </w:num>
  <w:num w:numId="12">
    <w:abstractNumId w:val="17"/>
  </w:num>
  <w:num w:numId="13">
    <w:abstractNumId w:val="21"/>
  </w:num>
  <w:num w:numId="14">
    <w:abstractNumId w:val="19"/>
  </w:num>
  <w:num w:numId="15">
    <w:abstractNumId w:val="7"/>
  </w:num>
  <w:num w:numId="16">
    <w:abstractNumId w:val="4"/>
  </w:num>
  <w:num w:numId="17">
    <w:abstractNumId w:val="13"/>
  </w:num>
  <w:num w:numId="18">
    <w:abstractNumId w:val="18"/>
  </w:num>
  <w:num w:numId="19">
    <w:abstractNumId w:val="20"/>
  </w:num>
  <w:num w:numId="20">
    <w:abstractNumId w:val="11"/>
  </w:num>
  <w:num w:numId="21">
    <w:abstractNumId w:val="10"/>
  </w:num>
  <w:num w:numId="22">
    <w:abstractNumId w:val="6"/>
  </w:num>
  <w:num w:numId="23">
    <w:abstractNumId w:val="22"/>
  </w:num>
  <w:num w:numId="24">
    <w:abstractNumId w:val="0"/>
  </w:num>
  <w:num w:numId="2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īna Kobzeva">
    <w15:presenceInfo w15:providerId="None" w15:userId="Elīna Kobz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EB"/>
    <w:rsid w:val="0000216C"/>
    <w:rsid w:val="0000284F"/>
    <w:rsid w:val="000031C0"/>
    <w:rsid w:val="000036D8"/>
    <w:rsid w:val="00006651"/>
    <w:rsid w:val="0001034A"/>
    <w:rsid w:val="00011AA0"/>
    <w:rsid w:val="00013219"/>
    <w:rsid w:val="000147B0"/>
    <w:rsid w:val="0001632B"/>
    <w:rsid w:val="00031C88"/>
    <w:rsid w:val="00036C87"/>
    <w:rsid w:val="00036EE5"/>
    <w:rsid w:val="00037D0A"/>
    <w:rsid w:val="00040905"/>
    <w:rsid w:val="000475D0"/>
    <w:rsid w:val="00047C4B"/>
    <w:rsid w:val="00047D59"/>
    <w:rsid w:val="00055C10"/>
    <w:rsid w:val="00063ABD"/>
    <w:rsid w:val="00063D40"/>
    <w:rsid w:val="0006409D"/>
    <w:rsid w:val="000648C0"/>
    <w:rsid w:val="000656DE"/>
    <w:rsid w:val="000667F3"/>
    <w:rsid w:val="00066B0F"/>
    <w:rsid w:val="00071E34"/>
    <w:rsid w:val="000726B6"/>
    <w:rsid w:val="0007626E"/>
    <w:rsid w:val="00076BE5"/>
    <w:rsid w:val="00080FCF"/>
    <w:rsid w:val="00082055"/>
    <w:rsid w:val="00082B33"/>
    <w:rsid w:val="00083CE1"/>
    <w:rsid w:val="00085BA3"/>
    <w:rsid w:val="00086EBD"/>
    <w:rsid w:val="00087A5E"/>
    <w:rsid w:val="00091720"/>
    <w:rsid w:val="000939FC"/>
    <w:rsid w:val="000A0C96"/>
    <w:rsid w:val="000A26F1"/>
    <w:rsid w:val="000A30C2"/>
    <w:rsid w:val="000A7765"/>
    <w:rsid w:val="000B1C30"/>
    <w:rsid w:val="000B51B9"/>
    <w:rsid w:val="000C0098"/>
    <w:rsid w:val="000C2CAF"/>
    <w:rsid w:val="000C37CC"/>
    <w:rsid w:val="000C39AB"/>
    <w:rsid w:val="000C464D"/>
    <w:rsid w:val="000C596E"/>
    <w:rsid w:val="000C7567"/>
    <w:rsid w:val="000C7FFC"/>
    <w:rsid w:val="000D186A"/>
    <w:rsid w:val="000D57C6"/>
    <w:rsid w:val="000D6077"/>
    <w:rsid w:val="000E24E6"/>
    <w:rsid w:val="000E3D64"/>
    <w:rsid w:val="000E4EB2"/>
    <w:rsid w:val="000E5043"/>
    <w:rsid w:val="000E59FA"/>
    <w:rsid w:val="000E60F7"/>
    <w:rsid w:val="000E7DA5"/>
    <w:rsid w:val="000F33CB"/>
    <w:rsid w:val="000F3BF6"/>
    <w:rsid w:val="000F7200"/>
    <w:rsid w:val="00100271"/>
    <w:rsid w:val="0010071A"/>
    <w:rsid w:val="001042BD"/>
    <w:rsid w:val="0010555A"/>
    <w:rsid w:val="0010761C"/>
    <w:rsid w:val="00107F06"/>
    <w:rsid w:val="001153E4"/>
    <w:rsid w:val="0012121B"/>
    <w:rsid w:val="00121D00"/>
    <w:rsid w:val="001230EB"/>
    <w:rsid w:val="00124661"/>
    <w:rsid w:val="00124B93"/>
    <w:rsid w:val="00125CA4"/>
    <w:rsid w:val="00130CF2"/>
    <w:rsid w:val="00132C7D"/>
    <w:rsid w:val="001362A1"/>
    <w:rsid w:val="00137220"/>
    <w:rsid w:val="0013781D"/>
    <w:rsid w:val="00143CAC"/>
    <w:rsid w:val="001468B5"/>
    <w:rsid w:val="00150E5B"/>
    <w:rsid w:val="00151A3E"/>
    <w:rsid w:val="00152B0A"/>
    <w:rsid w:val="00156455"/>
    <w:rsid w:val="00156C41"/>
    <w:rsid w:val="00156D0C"/>
    <w:rsid w:val="00156E1E"/>
    <w:rsid w:val="00161239"/>
    <w:rsid w:val="00162300"/>
    <w:rsid w:val="00163E3A"/>
    <w:rsid w:val="001642FF"/>
    <w:rsid w:val="001700E8"/>
    <w:rsid w:val="00171BAC"/>
    <w:rsid w:val="00171BB2"/>
    <w:rsid w:val="001732C9"/>
    <w:rsid w:val="0017519A"/>
    <w:rsid w:val="0017641D"/>
    <w:rsid w:val="00176690"/>
    <w:rsid w:val="001776FA"/>
    <w:rsid w:val="00180A31"/>
    <w:rsid w:val="00183E3D"/>
    <w:rsid w:val="00184DE2"/>
    <w:rsid w:val="0019763E"/>
    <w:rsid w:val="001A0473"/>
    <w:rsid w:val="001A26F7"/>
    <w:rsid w:val="001A2DAD"/>
    <w:rsid w:val="001A4E5B"/>
    <w:rsid w:val="001A6CEC"/>
    <w:rsid w:val="001A6EE8"/>
    <w:rsid w:val="001B2643"/>
    <w:rsid w:val="001B329B"/>
    <w:rsid w:val="001B61BB"/>
    <w:rsid w:val="001B64D4"/>
    <w:rsid w:val="001B6CF6"/>
    <w:rsid w:val="001C038F"/>
    <w:rsid w:val="001C44A6"/>
    <w:rsid w:val="001C4CD1"/>
    <w:rsid w:val="001C5033"/>
    <w:rsid w:val="001C698B"/>
    <w:rsid w:val="001D7BA8"/>
    <w:rsid w:val="001E09E5"/>
    <w:rsid w:val="001E2171"/>
    <w:rsid w:val="001E2525"/>
    <w:rsid w:val="001E32EA"/>
    <w:rsid w:val="001E3FDC"/>
    <w:rsid w:val="001E4577"/>
    <w:rsid w:val="001E4C15"/>
    <w:rsid w:val="001E5188"/>
    <w:rsid w:val="001E5791"/>
    <w:rsid w:val="001E60E3"/>
    <w:rsid w:val="001F04E7"/>
    <w:rsid w:val="001F10B0"/>
    <w:rsid w:val="001F2456"/>
    <w:rsid w:val="001F266A"/>
    <w:rsid w:val="001F53A4"/>
    <w:rsid w:val="001F56D8"/>
    <w:rsid w:val="001F7C9F"/>
    <w:rsid w:val="00201198"/>
    <w:rsid w:val="00202168"/>
    <w:rsid w:val="002028F4"/>
    <w:rsid w:val="002044F9"/>
    <w:rsid w:val="00205BE1"/>
    <w:rsid w:val="00206B02"/>
    <w:rsid w:val="00211C27"/>
    <w:rsid w:val="00212254"/>
    <w:rsid w:val="002144C6"/>
    <w:rsid w:val="00215B06"/>
    <w:rsid w:val="00217482"/>
    <w:rsid w:val="00220DE4"/>
    <w:rsid w:val="00222C64"/>
    <w:rsid w:val="002234A5"/>
    <w:rsid w:val="002238CD"/>
    <w:rsid w:val="002262B2"/>
    <w:rsid w:val="00234018"/>
    <w:rsid w:val="002344AE"/>
    <w:rsid w:val="00234D51"/>
    <w:rsid w:val="002364B9"/>
    <w:rsid w:val="002421DC"/>
    <w:rsid w:val="00243960"/>
    <w:rsid w:val="0025277F"/>
    <w:rsid w:val="002560F4"/>
    <w:rsid w:val="00261DC2"/>
    <w:rsid w:val="00265270"/>
    <w:rsid w:val="002653B1"/>
    <w:rsid w:val="00265676"/>
    <w:rsid w:val="00266AA9"/>
    <w:rsid w:val="0026770E"/>
    <w:rsid w:val="00271270"/>
    <w:rsid w:val="00273962"/>
    <w:rsid w:val="00273B99"/>
    <w:rsid w:val="00275C5F"/>
    <w:rsid w:val="00277162"/>
    <w:rsid w:val="00281DEA"/>
    <w:rsid w:val="00281EEE"/>
    <w:rsid w:val="002866E7"/>
    <w:rsid w:val="00290BF9"/>
    <w:rsid w:val="002916CD"/>
    <w:rsid w:val="00293F7E"/>
    <w:rsid w:val="002970CD"/>
    <w:rsid w:val="002A0CD2"/>
    <w:rsid w:val="002A377C"/>
    <w:rsid w:val="002A38B1"/>
    <w:rsid w:val="002A3B66"/>
    <w:rsid w:val="002A3B84"/>
    <w:rsid w:val="002A6889"/>
    <w:rsid w:val="002A6B67"/>
    <w:rsid w:val="002A76B0"/>
    <w:rsid w:val="002A78E4"/>
    <w:rsid w:val="002A7FED"/>
    <w:rsid w:val="002B492E"/>
    <w:rsid w:val="002C06F7"/>
    <w:rsid w:val="002C0AC3"/>
    <w:rsid w:val="002C17EC"/>
    <w:rsid w:val="002C1D0A"/>
    <w:rsid w:val="002C2D2C"/>
    <w:rsid w:val="002C41E3"/>
    <w:rsid w:val="002C4451"/>
    <w:rsid w:val="002C5B13"/>
    <w:rsid w:val="002D1126"/>
    <w:rsid w:val="002D2A67"/>
    <w:rsid w:val="002D327B"/>
    <w:rsid w:val="002D4909"/>
    <w:rsid w:val="002D4C87"/>
    <w:rsid w:val="002D510E"/>
    <w:rsid w:val="002D58F4"/>
    <w:rsid w:val="002D6FC4"/>
    <w:rsid w:val="002D7251"/>
    <w:rsid w:val="002E25D5"/>
    <w:rsid w:val="002E5D29"/>
    <w:rsid w:val="002E6902"/>
    <w:rsid w:val="002F1034"/>
    <w:rsid w:val="002F1129"/>
    <w:rsid w:val="002F12C3"/>
    <w:rsid w:val="002F3FCD"/>
    <w:rsid w:val="002F44BF"/>
    <w:rsid w:val="002F5055"/>
    <w:rsid w:val="002F50F5"/>
    <w:rsid w:val="002F55FC"/>
    <w:rsid w:val="00300547"/>
    <w:rsid w:val="0030112E"/>
    <w:rsid w:val="003025D0"/>
    <w:rsid w:val="00303A73"/>
    <w:rsid w:val="00304EF9"/>
    <w:rsid w:val="003063BF"/>
    <w:rsid w:val="0030741E"/>
    <w:rsid w:val="00307423"/>
    <w:rsid w:val="00307AAA"/>
    <w:rsid w:val="003119C5"/>
    <w:rsid w:val="003134F5"/>
    <w:rsid w:val="00315732"/>
    <w:rsid w:val="00316B53"/>
    <w:rsid w:val="00320B0F"/>
    <w:rsid w:val="003210DA"/>
    <w:rsid w:val="00321396"/>
    <w:rsid w:val="0032188B"/>
    <w:rsid w:val="00326A53"/>
    <w:rsid w:val="00330637"/>
    <w:rsid w:val="0033076F"/>
    <w:rsid w:val="003335DF"/>
    <w:rsid w:val="00342F34"/>
    <w:rsid w:val="003440FB"/>
    <w:rsid w:val="00344403"/>
    <w:rsid w:val="00344776"/>
    <w:rsid w:val="003451B1"/>
    <w:rsid w:val="00345E32"/>
    <w:rsid w:val="003502B0"/>
    <w:rsid w:val="00351FF6"/>
    <w:rsid w:val="00353012"/>
    <w:rsid w:val="00356FBC"/>
    <w:rsid w:val="003605CC"/>
    <w:rsid w:val="00361849"/>
    <w:rsid w:val="00362371"/>
    <w:rsid w:val="00362AB5"/>
    <w:rsid w:val="00364451"/>
    <w:rsid w:val="00364F21"/>
    <w:rsid w:val="00370E63"/>
    <w:rsid w:val="00372994"/>
    <w:rsid w:val="003800E6"/>
    <w:rsid w:val="00380A67"/>
    <w:rsid w:val="00382673"/>
    <w:rsid w:val="00384C87"/>
    <w:rsid w:val="003859CE"/>
    <w:rsid w:val="00386FC7"/>
    <w:rsid w:val="003916D7"/>
    <w:rsid w:val="00394D82"/>
    <w:rsid w:val="003954C1"/>
    <w:rsid w:val="0039590F"/>
    <w:rsid w:val="00397F05"/>
    <w:rsid w:val="003A2F94"/>
    <w:rsid w:val="003A3B6D"/>
    <w:rsid w:val="003A4548"/>
    <w:rsid w:val="003A5048"/>
    <w:rsid w:val="003A6508"/>
    <w:rsid w:val="003A7428"/>
    <w:rsid w:val="003A79A3"/>
    <w:rsid w:val="003B0E20"/>
    <w:rsid w:val="003B307B"/>
    <w:rsid w:val="003B3A76"/>
    <w:rsid w:val="003B5DB6"/>
    <w:rsid w:val="003B711E"/>
    <w:rsid w:val="003B72D4"/>
    <w:rsid w:val="003C28ED"/>
    <w:rsid w:val="003C2C93"/>
    <w:rsid w:val="003C2F8E"/>
    <w:rsid w:val="003C46FB"/>
    <w:rsid w:val="003C6B66"/>
    <w:rsid w:val="003C7606"/>
    <w:rsid w:val="003D4973"/>
    <w:rsid w:val="003D5DDA"/>
    <w:rsid w:val="003D7B53"/>
    <w:rsid w:val="003E18A7"/>
    <w:rsid w:val="003E255E"/>
    <w:rsid w:val="003F32F2"/>
    <w:rsid w:val="003F3DAA"/>
    <w:rsid w:val="003F43BB"/>
    <w:rsid w:val="003F4EEF"/>
    <w:rsid w:val="003F7C0A"/>
    <w:rsid w:val="00401737"/>
    <w:rsid w:val="00411741"/>
    <w:rsid w:val="00411EFB"/>
    <w:rsid w:val="00412547"/>
    <w:rsid w:val="004146D3"/>
    <w:rsid w:val="00414727"/>
    <w:rsid w:val="0041706F"/>
    <w:rsid w:val="0042161A"/>
    <w:rsid w:val="0042323F"/>
    <w:rsid w:val="004235D8"/>
    <w:rsid w:val="004236A4"/>
    <w:rsid w:val="00423855"/>
    <w:rsid w:val="00423F61"/>
    <w:rsid w:val="0042531F"/>
    <w:rsid w:val="00430542"/>
    <w:rsid w:val="00431054"/>
    <w:rsid w:val="00434141"/>
    <w:rsid w:val="004345D6"/>
    <w:rsid w:val="00435782"/>
    <w:rsid w:val="00436F31"/>
    <w:rsid w:val="00440D82"/>
    <w:rsid w:val="00444B2B"/>
    <w:rsid w:val="00447FE2"/>
    <w:rsid w:val="004521FA"/>
    <w:rsid w:val="00453C6B"/>
    <w:rsid w:val="004557E8"/>
    <w:rsid w:val="00461074"/>
    <w:rsid w:val="00463140"/>
    <w:rsid w:val="004636B1"/>
    <w:rsid w:val="004641C8"/>
    <w:rsid w:val="0046504B"/>
    <w:rsid w:val="004656BE"/>
    <w:rsid w:val="0046590B"/>
    <w:rsid w:val="00465DE7"/>
    <w:rsid w:val="00471490"/>
    <w:rsid w:val="004725BC"/>
    <w:rsid w:val="0047726B"/>
    <w:rsid w:val="00480302"/>
    <w:rsid w:val="00484469"/>
    <w:rsid w:val="004861C8"/>
    <w:rsid w:val="00486C9F"/>
    <w:rsid w:val="004878B2"/>
    <w:rsid w:val="00491E0C"/>
    <w:rsid w:val="00491E29"/>
    <w:rsid w:val="004954F4"/>
    <w:rsid w:val="00495E01"/>
    <w:rsid w:val="004A233C"/>
    <w:rsid w:val="004A2BD3"/>
    <w:rsid w:val="004A3FF3"/>
    <w:rsid w:val="004A4913"/>
    <w:rsid w:val="004A5FB7"/>
    <w:rsid w:val="004A727A"/>
    <w:rsid w:val="004A7A1A"/>
    <w:rsid w:val="004B1B23"/>
    <w:rsid w:val="004B317C"/>
    <w:rsid w:val="004B374D"/>
    <w:rsid w:val="004B5888"/>
    <w:rsid w:val="004C06FA"/>
    <w:rsid w:val="004C5369"/>
    <w:rsid w:val="004C711C"/>
    <w:rsid w:val="004D02A8"/>
    <w:rsid w:val="004D0491"/>
    <w:rsid w:val="004D04F3"/>
    <w:rsid w:val="004D3C97"/>
    <w:rsid w:val="004D762A"/>
    <w:rsid w:val="004E0A63"/>
    <w:rsid w:val="004E5199"/>
    <w:rsid w:val="004E584A"/>
    <w:rsid w:val="004E6159"/>
    <w:rsid w:val="004E631F"/>
    <w:rsid w:val="004F43B9"/>
    <w:rsid w:val="004F476B"/>
    <w:rsid w:val="00500F69"/>
    <w:rsid w:val="005028FC"/>
    <w:rsid w:val="00502B5B"/>
    <w:rsid w:val="0050386D"/>
    <w:rsid w:val="00503DD2"/>
    <w:rsid w:val="00504DF7"/>
    <w:rsid w:val="00506008"/>
    <w:rsid w:val="00510400"/>
    <w:rsid w:val="0051558D"/>
    <w:rsid w:val="0051639A"/>
    <w:rsid w:val="00516588"/>
    <w:rsid w:val="005175BD"/>
    <w:rsid w:val="00517614"/>
    <w:rsid w:val="0051789C"/>
    <w:rsid w:val="00521BAD"/>
    <w:rsid w:val="00524EC9"/>
    <w:rsid w:val="0052620D"/>
    <w:rsid w:val="00526873"/>
    <w:rsid w:val="0053407D"/>
    <w:rsid w:val="0053661C"/>
    <w:rsid w:val="005368FE"/>
    <w:rsid w:val="00540DB1"/>
    <w:rsid w:val="00543730"/>
    <w:rsid w:val="0054446A"/>
    <w:rsid w:val="00544FC5"/>
    <w:rsid w:val="005455BD"/>
    <w:rsid w:val="00546D03"/>
    <w:rsid w:val="005526CB"/>
    <w:rsid w:val="00553DC2"/>
    <w:rsid w:val="00554DE0"/>
    <w:rsid w:val="00557499"/>
    <w:rsid w:val="005576B6"/>
    <w:rsid w:val="0056177E"/>
    <w:rsid w:val="00561A37"/>
    <w:rsid w:val="00563636"/>
    <w:rsid w:val="0056367A"/>
    <w:rsid w:val="00563AC0"/>
    <w:rsid w:val="00564A9A"/>
    <w:rsid w:val="00566ECC"/>
    <w:rsid w:val="00570A6A"/>
    <w:rsid w:val="0057107E"/>
    <w:rsid w:val="00573DCF"/>
    <w:rsid w:val="0057784C"/>
    <w:rsid w:val="005811C0"/>
    <w:rsid w:val="00581C4A"/>
    <w:rsid w:val="005826A8"/>
    <w:rsid w:val="00583AF9"/>
    <w:rsid w:val="00586BF9"/>
    <w:rsid w:val="00587CE5"/>
    <w:rsid w:val="00587D3D"/>
    <w:rsid w:val="005951EA"/>
    <w:rsid w:val="0059735D"/>
    <w:rsid w:val="005975C5"/>
    <w:rsid w:val="005A0519"/>
    <w:rsid w:val="005A2877"/>
    <w:rsid w:val="005A29A6"/>
    <w:rsid w:val="005A4827"/>
    <w:rsid w:val="005A5491"/>
    <w:rsid w:val="005A5586"/>
    <w:rsid w:val="005A613F"/>
    <w:rsid w:val="005A618B"/>
    <w:rsid w:val="005B179C"/>
    <w:rsid w:val="005B471E"/>
    <w:rsid w:val="005B5944"/>
    <w:rsid w:val="005B7862"/>
    <w:rsid w:val="005C15F9"/>
    <w:rsid w:val="005C311D"/>
    <w:rsid w:val="005C76DB"/>
    <w:rsid w:val="005D1A72"/>
    <w:rsid w:val="005D4E33"/>
    <w:rsid w:val="005D729D"/>
    <w:rsid w:val="005E1F84"/>
    <w:rsid w:val="005E2263"/>
    <w:rsid w:val="005E4868"/>
    <w:rsid w:val="005E5535"/>
    <w:rsid w:val="005E744B"/>
    <w:rsid w:val="005F1149"/>
    <w:rsid w:val="005F130C"/>
    <w:rsid w:val="005F493A"/>
    <w:rsid w:val="00600ED6"/>
    <w:rsid w:val="00602BCE"/>
    <w:rsid w:val="00602CFC"/>
    <w:rsid w:val="00603F68"/>
    <w:rsid w:val="00604329"/>
    <w:rsid w:val="0060459B"/>
    <w:rsid w:val="00604DF9"/>
    <w:rsid w:val="00607B11"/>
    <w:rsid w:val="00611AD7"/>
    <w:rsid w:val="00612D46"/>
    <w:rsid w:val="00613BEB"/>
    <w:rsid w:val="0061498F"/>
    <w:rsid w:val="00615497"/>
    <w:rsid w:val="0062008E"/>
    <w:rsid w:val="00620119"/>
    <w:rsid w:val="0062155F"/>
    <w:rsid w:val="00622379"/>
    <w:rsid w:val="00622B5C"/>
    <w:rsid w:val="00627FBB"/>
    <w:rsid w:val="00631DC8"/>
    <w:rsid w:val="00634B10"/>
    <w:rsid w:val="006376B2"/>
    <w:rsid w:val="00641069"/>
    <w:rsid w:val="00641871"/>
    <w:rsid w:val="00642330"/>
    <w:rsid w:val="006444EB"/>
    <w:rsid w:val="00644B63"/>
    <w:rsid w:val="00645D6D"/>
    <w:rsid w:val="006466C8"/>
    <w:rsid w:val="00650B63"/>
    <w:rsid w:val="00652CAD"/>
    <w:rsid w:val="00655B1B"/>
    <w:rsid w:val="00661EDC"/>
    <w:rsid w:val="00665D2E"/>
    <w:rsid w:val="00665E0B"/>
    <w:rsid w:val="006664DE"/>
    <w:rsid w:val="00671375"/>
    <w:rsid w:val="006746CD"/>
    <w:rsid w:val="0067538D"/>
    <w:rsid w:val="00680675"/>
    <w:rsid w:val="00680C85"/>
    <w:rsid w:val="0068213A"/>
    <w:rsid w:val="0068273A"/>
    <w:rsid w:val="0068303F"/>
    <w:rsid w:val="00683552"/>
    <w:rsid w:val="00685C10"/>
    <w:rsid w:val="006875B2"/>
    <w:rsid w:val="00690E10"/>
    <w:rsid w:val="0069439B"/>
    <w:rsid w:val="00694A35"/>
    <w:rsid w:val="00695C76"/>
    <w:rsid w:val="0069680D"/>
    <w:rsid w:val="00697EE8"/>
    <w:rsid w:val="006A08F5"/>
    <w:rsid w:val="006A45FB"/>
    <w:rsid w:val="006A47F9"/>
    <w:rsid w:val="006A4E1F"/>
    <w:rsid w:val="006A554A"/>
    <w:rsid w:val="006A5F05"/>
    <w:rsid w:val="006A6A4D"/>
    <w:rsid w:val="006A6D0F"/>
    <w:rsid w:val="006B0B79"/>
    <w:rsid w:val="006B14AF"/>
    <w:rsid w:val="006B1C7D"/>
    <w:rsid w:val="006B3246"/>
    <w:rsid w:val="006B564B"/>
    <w:rsid w:val="006B6CBD"/>
    <w:rsid w:val="006B7A54"/>
    <w:rsid w:val="006C1A2F"/>
    <w:rsid w:val="006C2318"/>
    <w:rsid w:val="006C4E20"/>
    <w:rsid w:val="006D0F93"/>
    <w:rsid w:val="006D27AE"/>
    <w:rsid w:val="006D2D85"/>
    <w:rsid w:val="006D58BC"/>
    <w:rsid w:val="006D7FCE"/>
    <w:rsid w:val="006E1CDD"/>
    <w:rsid w:val="006E2EFB"/>
    <w:rsid w:val="006E3A63"/>
    <w:rsid w:val="006E4567"/>
    <w:rsid w:val="006F0DAA"/>
    <w:rsid w:val="006F121B"/>
    <w:rsid w:val="006F1C27"/>
    <w:rsid w:val="006F284A"/>
    <w:rsid w:val="006F371C"/>
    <w:rsid w:val="006F4C5F"/>
    <w:rsid w:val="006F6CE7"/>
    <w:rsid w:val="006F6CFC"/>
    <w:rsid w:val="006F78E0"/>
    <w:rsid w:val="0070109F"/>
    <w:rsid w:val="0070118A"/>
    <w:rsid w:val="00703C4B"/>
    <w:rsid w:val="0070411E"/>
    <w:rsid w:val="00704248"/>
    <w:rsid w:val="007047BE"/>
    <w:rsid w:val="00706240"/>
    <w:rsid w:val="00706ABB"/>
    <w:rsid w:val="00712168"/>
    <w:rsid w:val="00712265"/>
    <w:rsid w:val="007135FD"/>
    <w:rsid w:val="00714B2B"/>
    <w:rsid w:val="00717688"/>
    <w:rsid w:val="00722B58"/>
    <w:rsid w:val="00722F8E"/>
    <w:rsid w:val="00723E4F"/>
    <w:rsid w:val="0072567F"/>
    <w:rsid w:val="00726858"/>
    <w:rsid w:val="00730F62"/>
    <w:rsid w:val="00734CFD"/>
    <w:rsid w:val="00734D9E"/>
    <w:rsid w:val="007353B9"/>
    <w:rsid w:val="0073600F"/>
    <w:rsid w:val="00737CDE"/>
    <w:rsid w:val="00740431"/>
    <w:rsid w:val="00741280"/>
    <w:rsid w:val="00743868"/>
    <w:rsid w:val="00746040"/>
    <w:rsid w:val="00746228"/>
    <w:rsid w:val="00747BFD"/>
    <w:rsid w:val="0075289E"/>
    <w:rsid w:val="00752C22"/>
    <w:rsid w:val="00753471"/>
    <w:rsid w:val="00754486"/>
    <w:rsid w:val="00754CEB"/>
    <w:rsid w:val="007553D0"/>
    <w:rsid w:val="00761819"/>
    <w:rsid w:val="007618C7"/>
    <w:rsid w:val="00766701"/>
    <w:rsid w:val="00767D37"/>
    <w:rsid w:val="00770EA8"/>
    <w:rsid w:val="007725BA"/>
    <w:rsid w:val="00775219"/>
    <w:rsid w:val="007779E7"/>
    <w:rsid w:val="00780A5E"/>
    <w:rsid w:val="00781A09"/>
    <w:rsid w:val="00784D2A"/>
    <w:rsid w:val="007852AA"/>
    <w:rsid w:val="007855B9"/>
    <w:rsid w:val="00787B01"/>
    <w:rsid w:val="007908AE"/>
    <w:rsid w:val="00790AC0"/>
    <w:rsid w:val="0079504B"/>
    <w:rsid w:val="007953A3"/>
    <w:rsid w:val="007A165C"/>
    <w:rsid w:val="007A193D"/>
    <w:rsid w:val="007A2085"/>
    <w:rsid w:val="007A31FE"/>
    <w:rsid w:val="007A33BD"/>
    <w:rsid w:val="007A43EB"/>
    <w:rsid w:val="007A51F5"/>
    <w:rsid w:val="007B094D"/>
    <w:rsid w:val="007B50F6"/>
    <w:rsid w:val="007B5BB3"/>
    <w:rsid w:val="007B7D4A"/>
    <w:rsid w:val="007C1B98"/>
    <w:rsid w:val="007C1D17"/>
    <w:rsid w:val="007C288D"/>
    <w:rsid w:val="007D168F"/>
    <w:rsid w:val="007D2A9E"/>
    <w:rsid w:val="007D356A"/>
    <w:rsid w:val="007D359F"/>
    <w:rsid w:val="007D5B1A"/>
    <w:rsid w:val="007D6C7A"/>
    <w:rsid w:val="007D758F"/>
    <w:rsid w:val="007E0010"/>
    <w:rsid w:val="007E02EC"/>
    <w:rsid w:val="007E2CD4"/>
    <w:rsid w:val="007E2DF6"/>
    <w:rsid w:val="007E53CF"/>
    <w:rsid w:val="007E674C"/>
    <w:rsid w:val="007E762B"/>
    <w:rsid w:val="007E7960"/>
    <w:rsid w:val="007F393E"/>
    <w:rsid w:val="007F52C7"/>
    <w:rsid w:val="007F55FD"/>
    <w:rsid w:val="007F7DDB"/>
    <w:rsid w:val="008012E3"/>
    <w:rsid w:val="00803A25"/>
    <w:rsid w:val="00804152"/>
    <w:rsid w:val="00805777"/>
    <w:rsid w:val="00806D12"/>
    <w:rsid w:val="00811B5F"/>
    <w:rsid w:val="00811CF3"/>
    <w:rsid w:val="00813890"/>
    <w:rsid w:val="0081602C"/>
    <w:rsid w:val="0081734F"/>
    <w:rsid w:val="00821038"/>
    <w:rsid w:val="008241AA"/>
    <w:rsid w:val="00824B76"/>
    <w:rsid w:val="00825842"/>
    <w:rsid w:val="00826B5B"/>
    <w:rsid w:val="00826F07"/>
    <w:rsid w:val="00834434"/>
    <w:rsid w:val="00836573"/>
    <w:rsid w:val="00836F85"/>
    <w:rsid w:val="008379FE"/>
    <w:rsid w:val="00840267"/>
    <w:rsid w:val="0084205E"/>
    <w:rsid w:val="00850CD4"/>
    <w:rsid w:val="00853765"/>
    <w:rsid w:val="00854632"/>
    <w:rsid w:val="00857291"/>
    <w:rsid w:val="00857328"/>
    <w:rsid w:val="00857624"/>
    <w:rsid w:val="00861492"/>
    <w:rsid w:val="00864424"/>
    <w:rsid w:val="00866FFB"/>
    <w:rsid w:val="0087217B"/>
    <w:rsid w:val="00872DEB"/>
    <w:rsid w:val="00873B5F"/>
    <w:rsid w:val="00874E1E"/>
    <w:rsid w:val="008757C7"/>
    <w:rsid w:val="00876965"/>
    <w:rsid w:val="0087711D"/>
    <w:rsid w:val="00877B60"/>
    <w:rsid w:val="00882F3D"/>
    <w:rsid w:val="008873F0"/>
    <w:rsid w:val="00887CED"/>
    <w:rsid w:val="00890042"/>
    <w:rsid w:val="0089029B"/>
    <w:rsid w:val="00891A22"/>
    <w:rsid w:val="00893057"/>
    <w:rsid w:val="008956B4"/>
    <w:rsid w:val="00895E49"/>
    <w:rsid w:val="008960E9"/>
    <w:rsid w:val="008972D8"/>
    <w:rsid w:val="00897454"/>
    <w:rsid w:val="008A384E"/>
    <w:rsid w:val="008A5555"/>
    <w:rsid w:val="008B04C7"/>
    <w:rsid w:val="008B0654"/>
    <w:rsid w:val="008B09BE"/>
    <w:rsid w:val="008C080B"/>
    <w:rsid w:val="008D0AAB"/>
    <w:rsid w:val="008D45BD"/>
    <w:rsid w:val="008D5074"/>
    <w:rsid w:val="008D78A4"/>
    <w:rsid w:val="008E03D1"/>
    <w:rsid w:val="008E043D"/>
    <w:rsid w:val="008E1653"/>
    <w:rsid w:val="008E32D8"/>
    <w:rsid w:val="008E3B1F"/>
    <w:rsid w:val="008E5615"/>
    <w:rsid w:val="008E59A2"/>
    <w:rsid w:val="008F01B3"/>
    <w:rsid w:val="008F28B7"/>
    <w:rsid w:val="008F52C4"/>
    <w:rsid w:val="008F5302"/>
    <w:rsid w:val="008F61BF"/>
    <w:rsid w:val="008F71B4"/>
    <w:rsid w:val="008F73C9"/>
    <w:rsid w:val="0090169D"/>
    <w:rsid w:val="00901A70"/>
    <w:rsid w:val="00902D86"/>
    <w:rsid w:val="009047DD"/>
    <w:rsid w:val="009061CB"/>
    <w:rsid w:val="00907CC6"/>
    <w:rsid w:val="00907D2E"/>
    <w:rsid w:val="00912F67"/>
    <w:rsid w:val="0091358F"/>
    <w:rsid w:val="00913B43"/>
    <w:rsid w:val="0091419C"/>
    <w:rsid w:val="00914553"/>
    <w:rsid w:val="00915D97"/>
    <w:rsid w:val="0091755D"/>
    <w:rsid w:val="0092097F"/>
    <w:rsid w:val="00922130"/>
    <w:rsid w:val="00923796"/>
    <w:rsid w:val="00923CE2"/>
    <w:rsid w:val="009245BC"/>
    <w:rsid w:val="00932193"/>
    <w:rsid w:val="00936E09"/>
    <w:rsid w:val="00940666"/>
    <w:rsid w:val="009433EE"/>
    <w:rsid w:val="00946342"/>
    <w:rsid w:val="0095177B"/>
    <w:rsid w:val="009529CB"/>
    <w:rsid w:val="00953553"/>
    <w:rsid w:val="00955251"/>
    <w:rsid w:val="0095551E"/>
    <w:rsid w:val="0095561D"/>
    <w:rsid w:val="009600FA"/>
    <w:rsid w:val="00960638"/>
    <w:rsid w:val="00961496"/>
    <w:rsid w:val="00964EB6"/>
    <w:rsid w:val="00965E34"/>
    <w:rsid w:val="00971CB1"/>
    <w:rsid w:val="00974363"/>
    <w:rsid w:val="00974367"/>
    <w:rsid w:val="00974BE4"/>
    <w:rsid w:val="00975F8A"/>
    <w:rsid w:val="009809E8"/>
    <w:rsid w:val="0098674F"/>
    <w:rsid w:val="00986A58"/>
    <w:rsid w:val="00987CCA"/>
    <w:rsid w:val="00993314"/>
    <w:rsid w:val="009956D3"/>
    <w:rsid w:val="0099576F"/>
    <w:rsid w:val="00996761"/>
    <w:rsid w:val="00996B8A"/>
    <w:rsid w:val="009A13FA"/>
    <w:rsid w:val="009A1C96"/>
    <w:rsid w:val="009A2F95"/>
    <w:rsid w:val="009A379C"/>
    <w:rsid w:val="009A3C76"/>
    <w:rsid w:val="009A5877"/>
    <w:rsid w:val="009A5AD9"/>
    <w:rsid w:val="009A7603"/>
    <w:rsid w:val="009A7F38"/>
    <w:rsid w:val="009B2D0A"/>
    <w:rsid w:val="009B67F2"/>
    <w:rsid w:val="009C2A57"/>
    <w:rsid w:val="009C35A8"/>
    <w:rsid w:val="009C5108"/>
    <w:rsid w:val="009C6DCE"/>
    <w:rsid w:val="009D1502"/>
    <w:rsid w:val="009D19DD"/>
    <w:rsid w:val="009D2376"/>
    <w:rsid w:val="009D287F"/>
    <w:rsid w:val="009D3327"/>
    <w:rsid w:val="009D6E6A"/>
    <w:rsid w:val="009D79F9"/>
    <w:rsid w:val="009E06BF"/>
    <w:rsid w:val="009E115B"/>
    <w:rsid w:val="009E1FC1"/>
    <w:rsid w:val="009E4197"/>
    <w:rsid w:val="009E4313"/>
    <w:rsid w:val="009E505D"/>
    <w:rsid w:val="009E6036"/>
    <w:rsid w:val="009E787E"/>
    <w:rsid w:val="009E7F2F"/>
    <w:rsid w:val="009F6340"/>
    <w:rsid w:val="00A01CAE"/>
    <w:rsid w:val="00A026A4"/>
    <w:rsid w:val="00A044CC"/>
    <w:rsid w:val="00A0490E"/>
    <w:rsid w:val="00A106EB"/>
    <w:rsid w:val="00A11A9F"/>
    <w:rsid w:val="00A137E4"/>
    <w:rsid w:val="00A146AC"/>
    <w:rsid w:val="00A14857"/>
    <w:rsid w:val="00A1487C"/>
    <w:rsid w:val="00A14F15"/>
    <w:rsid w:val="00A169AE"/>
    <w:rsid w:val="00A177D5"/>
    <w:rsid w:val="00A213CF"/>
    <w:rsid w:val="00A2298E"/>
    <w:rsid w:val="00A232B8"/>
    <w:rsid w:val="00A23FC9"/>
    <w:rsid w:val="00A246D2"/>
    <w:rsid w:val="00A276AE"/>
    <w:rsid w:val="00A31D1E"/>
    <w:rsid w:val="00A32BC1"/>
    <w:rsid w:val="00A362AB"/>
    <w:rsid w:val="00A40E4D"/>
    <w:rsid w:val="00A42593"/>
    <w:rsid w:val="00A42985"/>
    <w:rsid w:val="00A42F5B"/>
    <w:rsid w:val="00A42F7F"/>
    <w:rsid w:val="00A46AC8"/>
    <w:rsid w:val="00A46E70"/>
    <w:rsid w:val="00A472AE"/>
    <w:rsid w:val="00A474D6"/>
    <w:rsid w:val="00A47726"/>
    <w:rsid w:val="00A51C8E"/>
    <w:rsid w:val="00A53AAF"/>
    <w:rsid w:val="00A54CEA"/>
    <w:rsid w:val="00A5581F"/>
    <w:rsid w:val="00A56E77"/>
    <w:rsid w:val="00A57C73"/>
    <w:rsid w:val="00A65526"/>
    <w:rsid w:val="00A657C4"/>
    <w:rsid w:val="00A66E04"/>
    <w:rsid w:val="00A700E2"/>
    <w:rsid w:val="00A70166"/>
    <w:rsid w:val="00A723EF"/>
    <w:rsid w:val="00A726DD"/>
    <w:rsid w:val="00A730F8"/>
    <w:rsid w:val="00A736DD"/>
    <w:rsid w:val="00A74A55"/>
    <w:rsid w:val="00A75432"/>
    <w:rsid w:val="00A773A9"/>
    <w:rsid w:val="00A820B8"/>
    <w:rsid w:val="00A837A1"/>
    <w:rsid w:val="00A84FD3"/>
    <w:rsid w:val="00A86B18"/>
    <w:rsid w:val="00A86BE8"/>
    <w:rsid w:val="00A90FB3"/>
    <w:rsid w:val="00A911EB"/>
    <w:rsid w:val="00A9126A"/>
    <w:rsid w:val="00A92083"/>
    <w:rsid w:val="00A92D54"/>
    <w:rsid w:val="00A92DDF"/>
    <w:rsid w:val="00A94C7E"/>
    <w:rsid w:val="00A96603"/>
    <w:rsid w:val="00AA3656"/>
    <w:rsid w:val="00AA58AF"/>
    <w:rsid w:val="00AA5FAE"/>
    <w:rsid w:val="00AA6B98"/>
    <w:rsid w:val="00AA71EB"/>
    <w:rsid w:val="00AA7F35"/>
    <w:rsid w:val="00AB1176"/>
    <w:rsid w:val="00AB17CA"/>
    <w:rsid w:val="00AB2F18"/>
    <w:rsid w:val="00AC026B"/>
    <w:rsid w:val="00AC209F"/>
    <w:rsid w:val="00AC5619"/>
    <w:rsid w:val="00AD2F86"/>
    <w:rsid w:val="00AD5449"/>
    <w:rsid w:val="00AE0786"/>
    <w:rsid w:val="00AE1DF3"/>
    <w:rsid w:val="00AE64C8"/>
    <w:rsid w:val="00AF075A"/>
    <w:rsid w:val="00AF095C"/>
    <w:rsid w:val="00AF10FF"/>
    <w:rsid w:val="00AF703A"/>
    <w:rsid w:val="00AF7EB0"/>
    <w:rsid w:val="00B0067F"/>
    <w:rsid w:val="00B00C79"/>
    <w:rsid w:val="00B01FD2"/>
    <w:rsid w:val="00B020F5"/>
    <w:rsid w:val="00B03D0B"/>
    <w:rsid w:val="00B046E8"/>
    <w:rsid w:val="00B05151"/>
    <w:rsid w:val="00B10323"/>
    <w:rsid w:val="00B14CB1"/>
    <w:rsid w:val="00B1568F"/>
    <w:rsid w:val="00B160C4"/>
    <w:rsid w:val="00B160EA"/>
    <w:rsid w:val="00B164B3"/>
    <w:rsid w:val="00B16D51"/>
    <w:rsid w:val="00B17C84"/>
    <w:rsid w:val="00B21714"/>
    <w:rsid w:val="00B229BB"/>
    <w:rsid w:val="00B22F75"/>
    <w:rsid w:val="00B232E0"/>
    <w:rsid w:val="00B23BB9"/>
    <w:rsid w:val="00B24291"/>
    <w:rsid w:val="00B308B3"/>
    <w:rsid w:val="00B31DF4"/>
    <w:rsid w:val="00B324C9"/>
    <w:rsid w:val="00B32B01"/>
    <w:rsid w:val="00B33CEB"/>
    <w:rsid w:val="00B42F62"/>
    <w:rsid w:val="00B43FF5"/>
    <w:rsid w:val="00B4656B"/>
    <w:rsid w:val="00B4748C"/>
    <w:rsid w:val="00B54BB1"/>
    <w:rsid w:val="00B565DB"/>
    <w:rsid w:val="00B615B6"/>
    <w:rsid w:val="00B640C1"/>
    <w:rsid w:val="00B676BD"/>
    <w:rsid w:val="00B712F1"/>
    <w:rsid w:val="00B74FF8"/>
    <w:rsid w:val="00B75759"/>
    <w:rsid w:val="00B77D3D"/>
    <w:rsid w:val="00B77FDD"/>
    <w:rsid w:val="00B80B4B"/>
    <w:rsid w:val="00B80D78"/>
    <w:rsid w:val="00B8464E"/>
    <w:rsid w:val="00B8467D"/>
    <w:rsid w:val="00B85909"/>
    <w:rsid w:val="00B85E73"/>
    <w:rsid w:val="00B86A1E"/>
    <w:rsid w:val="00B86FA7"/>
    <w:rsid w:val="00B90129"/>
    <w:rsid w:val="00B90E6D"/>
    <w:rsid w:val="00B911CD"/>
    <w:rsid w:val="00B9151D"/>
    <w:rsid w:val="00B93167"/>
    <w:rsid w:val="00B9537D"/>
    <w:rsid w:val="00BA013E"/>
    <w:rsid w:val="00BA70AB"/>
    <w:rsid w:val="00BB1DD9"/>
    <w:rsid w:val="00BB2A5C"/>
    <w:rsid w:val="00BB4432"/>
    <w:rsid w:val="00BC09FB"/>
    <w:rsid w:val="00BC13C1"/>
    <w:rsid w:val="00BC1BA9"/>
    <w:rsid w:val="00BC206D"/>
    <w:rsid w:val="00BC5815"/>
    <w:rsid w:val="00BC5CBE"/>
    <w:rsid w:val="00BC63F5"/>
    <w:rsid w:val="00BC7A03"/>
    <w:rsid w:val="00BD403F"/>
    <w:rsid w:val="00BD412C"/>
    <w:rsid w:val="00BD4448"/>
    <w:rsid w:val="00BD5A0E"/>
    <w:rsid w:val="00BD6137"/>
    <w:rsid w:val="00BE29D5"/>
    <w:rsid w:val="00BE2D0C"/>
    <w:rsid w:val="00BE3117"/>
    <w:rsid w:val="00BE32F6"/>
    <w:rsid w:val="00BE46D4"/>
    <w:rsid w:val="00BE61CA"/>
    <w:rsid w:val="00BE7515"/>
    <w:rsid w:val="00BE7D9E"/>
    <w:rsid w:val="00BF05D4"/>
    <w:rsid w:val="00BF27BE"/>
    <w:rsid w:val="00BF2E66"/>
    <w:rsid w:val="00BF3D70"/>
    <w:rsid w:val="00BF4813"/>
    <w:rsid w:val="00BF4C93"/>
    <w:rsid w:val="00BF591D"/>
    <w:rsid w:val="00BF6A36"/>
    <w:rsid w:val="00BF7606"/>
    <w:rsid w:val="00C01B11"/>
    <w:rsid w:val="00C04490"/>
    <w:rsid w:val="00C0549C"/>
    <w:rsid w:val="00C06DEE"/>
    <w:rsid w:val="00C12405"/>
    <w:rsid w:val="00C13446"/>
    <w:rsid w:val="00C14176"/>
    <w:rsid w:val="00C14EFB"/>
    <w:rsid w:val="00C2172B"/>
    <w:rsid w:val="00C23C05"/>
    <w:rsid w:val="00C23D85"/>
    <w:rsid w:val="00C23DA0"/>
    <w:rsid w:val="00C2739A"/>
    <w:rsid w:val="00C32E54"/>
    <w:rsid w:val="00C3396D"/>
    <w:rsid w:val="00C33AE3"/>
    <w:rsid w:val="00C342BE"/>
    <w:rsid w:val="00C3471F"/>
    <w:rsid w:val="00C35B49"/>
    <w:rsid w:val="00C401CE"/>
    <w:rsid w:val="00C42615"/>
    <w:rsid w:val="00C426AB"/>
    <w:rsid w:val="00C4402A"/>
    <w:rsid w:val="00C446AB"/>
    <w:rsid w:val="00C45A05"/>
    <w:rsid w:val="00C470F9"/>
    <w:rsid w:val="00C5096C"/>
    <w:rsid w:val="00C52994"/>
    <w:rsid w:val="00C55216"/>
    <w:rsid w:val="00C55696"/>
    <w:rsid w:val="00C55E9B"/>
    <w:rsid w:val="00C572C9"/>
    <w:rsid w:val="00C618C3"/>
    <w:rsid w:val="00C61C40"/>
    <w:rsid w:val="00C67DD8"/>
    <w:rsid w:val="00C70A3C"/>
    <w:rsid w:val="00C70ABD"/>
    <w:rsid w:val="00C714DA"/>
    <w:rsid w:val="00C72000"/>
    <w:rsid w:val="00C74D40"/>
    <w:rsid w:val="00C758E1"/>
    <w:rsid w:val="00C75EE6"/>
    <w:rsid w:val="00C7791E"/>
    <w:rsid w:val="00C804F7"/>
    <w:rsid w:val="00C8265F"/>
    <w:rsid w:val="00C826DB"/>
    <w:rsid w:val="00C84A6E"/>
    <w:rsid w:val="00C84D8D"/>
    <w:rsid w:val="00C858AA"/>
    <w:rsid w:val="00C860DB"/>
    <w:rsid w:val="00C90769"/>
    <w:rsid w:val="00C90D2F"/>
    <w:rsid w:val="00C91D81"/>
    <w:rsid w:val="00C92149"/>
    <w:rsid w:val="00C933F6"/>
    <w:rsid w:val="00C95199"/>
    <w:rsid w:val="00CA0932"/>
    <w:rsid w:val="00CA143A"/>
    <w:rsid w:val="00CA1512"/>
    <w:rsid w:val="00CA3315"/>
    <w:rsid w:val="00CA4308"/>
    <w:rsid w:val="00CA4A46"/>
    <w:rsid w:val="00CA4D2C"/>
    <w:rsid w:val="00CA4D97"/>
    <w:rsid w:val="00CB057D"/>
    <w:rsid w:val="00CB09B3"/>
    <w:rsid w:val="00CB3596"/>
    <w:rsid w:val="00CB368E"/>
    <w:rsid w:val="00CB4AC1"/>
    <w:rsid w:val="00CB5C36"/>
    <w:rsid w:val="00CC0039"/>
    <w:rsid w:val="00CC0170"/>
    <w:rsid w:val="00CC13C7"/>
    <w:rsid w:val="00CC3D65"/>
    <w:rsid w:val="00CC4743"/>
    <w:rsid w:val="00CC5D02"/>
    <w:rsid w:val="00CC620D"/>
    <w:rsid w:val="00CC65DD"/>
    <w:rsid w:val="00CC7CD8"/>
    <w:rsid w:val="00CD00CB"/>
    <w:rsid w:val="00CD0991"/>
    <w:rsid w:val="00CD2F35"/>
    <w:rsid w:val="00CD3CBA"/>
    <w:rsid w:val="00CD3D01"/>
    <w:rsid w:val="00CD43A9"/>
    <w:rsid w:val="00CE0D73"/>
    <w:rsid w:val="00CE6579"/>
    <w:rsid w:val="00CF1E9E"/>
    <w:rsid w:val="00CF264E"/>
    <w:rsid w:val="00CF3086"/>
    <w:rsid w:val="00CF61EA"/>
    <w:rsid w:val="00CF6640"/>
    <w:rsid w:val="00D0051B"/>
    <w:rsid w:val="00D03CAD"/>
    <w:rsid w:val="00D040F4"/>
    <w:rsid w:val="00D06436"/>
    <w:rsid w:val="00D069E2"/>
    <w:rsid w:val="00D072F5"/>
    <w:rsid w:val="00D13E79"/>
    <w:rsid w:val="00D13F99"/>
    <w:rsid w:val="00D168A9"/>
    <w:rsid w:val="00D2196A"/>
    <w:rsid w:val="00D2268D"/>
    <w:rsid w:val="00D22995"/>
    <w:rsid w:val="00D24017"/>
    <w:rsid w:val="00D27D73"/>
    <w:rsid w:val="00D30360"/>
    <w:rsid w:val="00D3581C"/>
    <w:rsid w:val="00D41FEF"/>
    <w:rsid w:val="00D42F7F"/>
    <w:rsid w:val="00D44A78"/>
    <w:rsid w:val="00D508EB"/>
    <w:rsid w:val="00D52FBA"/>
    <w:rsid w:val="00D54EA6"/>
    <w:rsid w:val="00D56667"/>
    <w:rsid w:val="00D60DA2"/>
    <w:rsid w:val="00D617B0"/>
    <w:rsid w:val="00D67702"/>
    <w:rsid w:val="00D70B64"/>
    <w:rsid w:val="00D721A8"/>
    <w:rsid w:val="00D72605"/>
    <w:rsid w:val="00D74288"/>
    <w:rsid w:val="00D80062"/>
    <w:rsid w:val="00D82466"/>
    <w:rsid w:val="00D83F31"/>
    <w:rsid w:val="00D90273"/>
    <w:rsid w:val="00D9259A"/>
    <w:rsid w:val="00D93722"/>
    <w:rsid w:val="00D94F89"/>
    <w:rsid w:val="00D955D1"/>
    <w:rsid w:val="00DA1991"/>
    <w:rsid w:val="00DA1A2B"/>
    <w:rsid w:val="00DA2397"/>
    <w:rsid w:val="00DA2C1B"/>
    <w:rsid w:val="00DA4196"/>
    <w:rsid w:val="00DA66F0"/>
    <w:rsid w:val="00DB00F4"/>
    <w:rsid w:val="00DB2322"/>
    <w:rsid w:val="00DB362A"/>
    <w:rsid w:val="00DB4223"/>
    <w:rsid w:val="00DC0EDF"/>
    <w:rsid w:val="00DC1956"/>
    <w:rsid w:val="00DC1E47"/>
    <w:rsid w:val="00DC29FA"/>
    <w:rsid w:val="00DC642C"/>
    <w:rsid w:val="00DD062D"/>
    <w:rsid w:val="00DD4ED3"/>
    <w:rsid w:val="00DD55DE"/>
    <w:rsid w:val="00DE036F"/>
    <w:rsid w:val="00DE17F4"/>
    <w:rsid w:val="00DE2CD4"/>
    <w:rsid w:val="00DE3093"/>
    <w:rsid w:val="00DE422C"/>
    <w:rsid w:val="00DE5549"/>
    <w:rsid w:val="00DE6951"/>
    <w:rsid w:val="00DE6A23"/>
    <w:rsid w:val="00DE7655"/>
    <w:rsid w:val="00DF253C"/>
    <w:rsid w:val="00DF2791"/>
    <w:rsid w:val="00DF3630"/>
    <w:rsid w:val="00DF4528"/>
    <w:rsid w:val="00DF5B86"/>
    <w:rsid w:val="00DF5BF4"/>
    <w:rsid w:val="00DF62C7"/>
    <w:rsid w:val="00E043CF"/>
    <w:rsid w:val="00E0504C"/>
    <w:rsid w:val="00E062D2"/>
    <w:rsid w:val="00E07E98"/>
    <w:rsid w:val="00E11138"/>
    <w:rsid w:val="00E12EEC"/>
    <w:rsid w:val="00E15A3C"/>
    <w:rsid w:val="00E15FEE"/>
    <w:rsid w:val="00E234FF"/>
    <w:rsid w:val="00E30639"/>
    <w:rsid w:val="00E30867"/>
    <w:rsid w:val="00E31F3F"/>
    <w:rsid w:val="00E44249"/>
    <w:rsid w:val="00E44BE4"/>
    <w:rsid w:val="00E45766"/>
    <w:rsid w:val="00E51976"/>
    <w:rsid w:val="00E52226"/>
    <w:rsid w:val="00E52AF9"/>
    <w:rsid w:val="00E549F7"/>
    <w:rsid w:val="00E554F6"/>
    <w:rsid w:val="00E57D07"/>
    <w:rsid w:val="00E604D8"/>
    <w:rsid w:val="00E60BA1"/>
    <w:rsid w:val="00E627F3"/>
    <w:rsid w:val="00E65A1F"/>
    <w:rsid w:val="00E65FAD"/>
    <w:rsid w:val="00E67494"/>
    <w:rsid w:val="00E704B6"/>
    <w:rsid w:val="00E70710"/>
    <w:rsid w:val="00E72985"/>
    <w:rsid w:val="00E74ED5"/>
    <w:rsid w:val="00E76396"/>
    <w:rsid w:val="00E8093A"/>
    <w:rsid w:val="00E81223"/>
    <w:rsid w:val="00E829F1"/>
    <w:rsid w:val="00E85102"/>
    <w:rsid w:val="00E857D6"/>
    <w:rsid w:val="00E865E9"/>
    <w:rsid w:val="00E871BD"/>
    <w:rsid w:val="00E8791D"/>
    <w:rsid w:val="00E91176"/>
    <w:rsid w:val="00E923EC"/>
    <w:rsid w:val="00E925C4"/>
    <w:rsid w:val="00E950B7"/>
    <w:rsid w:val="00E97077"/>
    <w:rsid w:val="00EA1D07"/>
    <w:rsid w:val="00EB0A98"/>
    <w:rsid w:val="00EB4355"/>
    <w:rsid w:val="00EB456F"/>
    <w:rsid w:val="00EB7350"/>
    <w:rsid w:val="00EC2943"/>
    <w:rsid w:val="00EC557B"/>
    <w:rsid w:val="00EC5979"/>
    <w:rsid w:val="00EC6AE4"/>
    <w:rsid w:val="00ED0580"/>
    <w:rsid w:val="00ED0C6E"/>
    <w:rsid w:val="00ED0D4A"/>
    <w:rsid w:val="00ED1F78"/>
    <w:rsid w:val="00ED499F"/>
    <w:rsid w:val="00ED5060"/>
    <w:rsid w:val="00ED58A7"/>
    <w:rsid w:val="00EE4159"/>
    <w:rsid w:val="00EE54AC"/>
    <w:rsid w:val="00EE572F"/>
    <w:rsid w:val="00EF047F"/>
    <w:rsid w:val="00EF056E"/>
    <w:rsid w:val="00EF2386"/>
    <w:rsid w:val="00EF246A"/>
    <w:rsid w:val="00EF475F"/>
    <w:rsid w:val="00F003CE"/>
    <w:rsid w:val="00F00D6A"/>
    <w:rsid w:val="00F02259"/>
    <w:rsid w:val="00F0490F"/>
    <w:rsid w:val="00F06D6D"/>
    <w:rsid w:val="00F070A9"/>
    <w:rsid w:val="00F10C2D"/>
    <w:rsid w:val="00F152A0"/>
    <w:rsid w:val="00F1592A"/>
    <w:rsid w:val="00F176D3"/>
    <w:rsid w:val="00F177F4"/>
    <w:rsid w:val="00F2159D"/>
    <w:rsid w:val="00F227B0"/>
    <w:rsid w:val="00F24D9E"/>
    <w:rsid w:val="00F262E8"/>
    <w:rsid w:val="00F27980"/>
    <w:rsid w:val="00F30E2F"/>
    <w:rsid w:val="00F351BA"/>
    <w:rsid w:val="00F41397"/>
    <w:rsid w:val="00F42A07"/>
    <w:rsid w:val="00F43D22"/>
    <w:rsid w:val="00F45B6B"/>
    <w:rsid w:val="00F47405"/>
    <w:rsid w:val="00F530EE"/>
    <w:rsid w:val="00F54A8E"/>
    <w:rsid w:val="00F561CB"/>
    <w:rsid w:val="00F56A1A"/>
    <w:rsid w:val="00F61225"/>
    <w:rsid w:val="00F620BC"/>
    <w:rsid w:val="00F6314A"/>
    <w:rsid w:val="00F631B6"/>
    <w:rsid w:val="00F63380"/>
    <w:rsid w:val="00F63D17"/>
    <w:rsid w:val="00F7148E"/>
    <w:rsid w:val="00F811E5"/>
    <w:rsid w:val="00F81BB0"/>
    <w:rsid w:val="00F84E6A"/>
    <w:rsid w:val="00F91879"/>
    <w:rsid w:val="00F92184"/>
    <w:rsid w:val="00F92FFB"/>
    <w:rsid w:val="00F95721"/>
    <w:rsid w:val="00F95E8F"/>
    <w:rsid w:val="00F96F27"/>
    <w:rsid w:val="00FA0084"/>
    <w:rsid w:val="00FA1346"/>
    <w:rsid w:val="00FA1D7F"/>
    <w:rsid w:val="00FA35BB"/>
    <w:rsid w:val="00FA3FDB"/>
    <w:rsid w:val="00FA4083"/>
    <w:rsid w:val="00FA4D1F"/>
    <w:rsid w:val="00FA5CF5"/>
    <w:rsid w:val="00FB06F3"/>
    <w:rsid w:val="00FB37CD"/>
    <w:rsid w:val="00FB6835"/>
    <w:rsid w:val="00FB7BC8"/>
    <w:rsid w:val="00FC17A0"/>
    <w:rsid w:val="00FC38D3"/>
    <w:rsid w:val="00FC5333"/>
    <w:rsid w:val="00FC7C16"/>
    <w:rsid w:val="00FD1D25"/>
    <w:rsid w:val="00FD2B14"/>
    <w:rsid w:val="00FD3003"/>
    <w:rsid w:val="00FD339C"/>
    <w:rsid w:val="00FD42A8"/>
    <w:rsid w:val="00FD638F"/>
    <w:rsid w:val="00FD7322"/>
    <w:rsid w:val="00FD739B"/>
    <w:rsid w:val="00FE10ED"/>
    <w:rsid w:val="00FE1B1D"/>
    <w:rsid w:val="00FE1E74"/>
    <w:rsid w:val="00FE390D"/>
    <w:rsid w:val="00FE5177"/>
    <w:rsid w:val="00FE6401"/>
    <w:rsid w:val="00FE6DC5"/>
    <w:rsid w:val="00FF0A87"/>
    <w:rsid w:val="00FF18BB"/>
    <w:rsid w:val="00FF2495"/>
    <w:rsid w:val="00FF4591"/>
    <w:rsid w:val="00FF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D4"/>
    <w:rPr>
      <w:sz w:val="24"/>
      <w:szCs w:val="24"/>
      <w:lang w:val="lv-LV" w:eastAsia="lv-LV"/>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link w:val="FooterChar"/>
    <w:uiPriority w:val="99"/>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qFormat/>
    <w:rsid w:val="00CA4D97"/>
    <w:pPr>
      <w:ind w:left="720"/>
      <w:contextualSpacing/>
    </w:pPr>
    <w:rPr>
      <w:rFonts w:eastAsia="Calibri"/>
      <w:sz w:val="28"/>
      <w:szCs w:val="20"/>
    </w:rPr>
  </w:style>
  <w:style w:type="paragraph" w:styleId="BodyText">
    <w:name w:val="Body Text"/>
    <w:basedOn w:val="Normal"/>
    <w:rsid w:val="00D06436"/>
    <w:pPr>
      <w:jc w:val="center"/>
    </w:pPr>
    <w:rPr>
      <w:b/>
      <w:sz w:val="28"/>
      <w:szCs w:val="20"/>
      <w:lang w:val="en-US"/>
    </w:rPr>
  </w:style>
  <w:style w:type="character" w:customStyle="1" w:styleId="FooterChar">
    <w:name w:val="Footer Char"/>
    <w:link w:val="Footer"/>
    <w:uiPriority w:val="99"/>
    <w:rsid w:val="002D6F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D4"/>
    <w:rPr>
      <w:sz w:val="24"/>
      <w:szCs w:val="24"/>
      <w:lang w:val="lv-LV" w:eastAsia="lv-LV"/>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link w:val="FooterChar"/>
    <w:uiPriority w:val="99"/>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qFormat/>
    <w:rsid w:val="00CA4D97"/>
    <w:pPr>
      <w:ind w:left="720"/>
      <w:contextualSpacing/>
    </w:pPr>
    <w:rPr>
      <w:rFonts w:eastAsia="Calibri"/>
      <w:sz w:val="28"/>
      <w:szCs w:val="20"/>
    </w:rPr>
  </w:style>
  <w:style w:type="paragraph" w:styleId="BodyText">
    <w:name w:val="Body Text"/>
    <w:basedOn w:val="Normal"/>
    <w:rsid w:val="00D06436"/>
    <w:pPr>
      <w:jc w:val="center"/>
    </w:pPr>
    <w:rPr>
      <w:b/>
      <w:sz w:val="28"/>
      <w:szCs w:val="20"/>
      <w:lang w:val="en-US"/>
    </w:rPr>
  </w:style>
  <w:style w:type="character" w:customStyle="1" w:styleId="FooterChar">
    <w:name w:val="Footer Char"/>
    <w:link w:val="Footer"/>
    <w:uiPriority w:val="99"/>
    <w:rsid w:val="002D6F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4079">
      <w:bodyDiv w:val="1"/>
      <w:marLeft w:val="0"/>
      <w:marRight w:val="0"/>
      <w:marTop w:val="0"/>
      <w:marBottom w:val="0"/>
      <w:divBdr>
        <w:top w:val="none" w:sz="0" w:space="0" w:color="auto"/>
        <w:left w:val="none" w:sz="0" w:space="0" w:color="auto"/>
        <w:bottom w:val="none" w:sz="0" w:space="0" w:color="auto"/>
        <w:right w:val="none" w:sz="0" w:space="0" w:color="auto"/>
      </w:divBdr>
    </w:div>
    <w:div w:id="746341872">
      <w:bodyDiv w:val="1"/>
      <w:marLeft w:val="0"/>
      <w:marRight w:val="0"/>
      <w:marTop w:val="0"/>
      <w:marBottom w:val="0"/>
      <w:divBdr>
        <w:top w:val="none" w:sz="0" w:space="0" w:color="auto"/>
        <w:left w:val="none" w:sz="0" w:space="0" w:color="auto"/>
        <w:bottom w:val="none" w:sz="0" w:space="0" w:color="auto"/>
        <w:right w:val="none" w:sz="0" w:space="0" w:color="auto"/>
      </w:divBdr>
    </w:div>
    <w:div w:id="778766183">
      <w:bodyDiv w:val="1"/>
      <w:marLeft w:val="0"/>
      <w:marRight w:val="0"/>
      <w:marTop w:val="0"/>
      <w:marBottom w:val="0"/>
      <w:divBdr>
        <w:top w:val="none" w:sz="0" w:space="0" w:color="auto"/>
        <w:left w:val="none" w:sz="0" w:space="0" w:color="auto"/>
        <w:bottom w:val="none" w:sz="0" w:space="0" w:color="auto"/>
        <w:right w:val="none" w:sz="0" w:space="0" w:color="auto"/>
      </w:divBdr>
    </w:div>
    <w:div w:id="780419676">
      <w:bodyDiv w:val="1"/>
      <w:marLeft w:val="0"/>
      <w:marRight w:val="0"/>
      <w:marTop w:val="0"/>
      <w:marBottom w:val="0"/>
      <w:divBdr>
        <w:top w:val="none" w:sz="0" w:space="0" w:color="auto"/>
        <w:left w:val="none" w:sz="0" w:space="0" w:color="auto"/>
        <w:bottom w:val="none" w:sz="0" w:space="0" w:color="auto"/>
        <w:right w:val="none" w:sz="0" w:space="0" w:color="auto"/>
      </w:divBdr>
    </w:div>
    <w:div w:id="859587706">
      <w:bodyDiv w:val="1"/>
      <w:marLeft w:val="0"/>
      <w:marRight w:val="0"/>
      <w:marTop w:val="0"/>
      <w:marBottom w:val="0"/>
      <w:divBdr>
        <w:top w:val="none" w:sz="0" w:space="0" w:color="auto"/>
        <w:left w:val="none" w:sz="0" w:space="0" w:color="auto"/>
        <w:bottom w:val="none" w:sz="0" w:space="0" w:color="auto"/>
        <w:right w:val="none" w:sz="0" w:space="0" w:color="auto"/>
      </w:divBdr>
    </w:div>
    <w:div w:id="964123440">
      <w:bodyDiv w:val="1"/>
      <w:marLeft w:val="0"/>
      <w:marRight w:val="0"/>
      <w:marTop w:val="0"/>
      <w:marBottom w:val="0"/>
      <w:divBdr>
        <w:top w:val="none" w:sz="0" w:space="0" w:color="auto"/>
        <w:left w:val="none" w:sz="0" w:space="0" w:color="auto"/>
        <w:bottom w:val="none" w:sz="0" w:space="0" w:color="auto"/>
        <w:right w:val="none" w:sz="0" w:space="0" w:color="auto"/>
      </w:divBdr>
    </w:div>
    <w:div w:id="177408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vid.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S.Kirkila</Vad_x012b_t_x0101_js>
    <Kategorija xmlns="2e5bb04e-596e-45bd-9003-43ca78b1ba16">Anotācija</Kategorija>
    <DKP xmlns="2e5bb04e-596e-45bd-9003-43ca78b1ba16">101</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B13C17E496EC6C4A9A0A8204C89EE578" ma:contentTypeVersion="5" ma:contentTypeDescription="Izveidot jaunu dokumentu." ma:contentTypeScope="" ma:versionID="b6df29d9bf85c0112d5e44ee13cb5286">
  <xsd:schema xmlns:xsd="http://www.w3.org/2001/XMLSchema" xmlns:p="http://schemas.microsoft.com/office/2006/metadata/properties" xmlns:ns1="2e5bb04e-596e-45bd-9003-43ca78b1ba16" targetNamespace="http://schemas.microsoft.com/office/2006/metadata/properties" ma:root="true" ma:fieldsID="516ee77cc879cbdcc28e920a124bce21"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1EE3E81E-FF22-47E1-9473-EEA324C01A9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A7091-92C3-427F-8880-409962AAC37D}">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F53D6473-B84C-4370-80E0-C9C3EBFC17BC}">
  <ds:schemaRefs>
    <ds:schemaRef ds:uri="http://schemas.microsoft.com/sharepoint/v3/contenttype/forms"/>
  </ds:schemaRefs>
</ds:datastoreItem>
</file>

<file path=customXml/itemProps3.xml><?xml version="1.0" encoding="utf-8"?>
<ds:datastoreItem xmlns:ds="http://schemas.openxmlformats.org/officeDocument/2006/customXml" ds:itemID="{0548D9B3-ADE5-4DBA-A84E-368AE1C62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374760D-9C5F-419F-9D75-D4B554E7D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15182</Words>
  <Characters>8654</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MK rīkojuma projekta "Par atļauju Finanšu ministrijai (Valsts ieņēmumu dienestam) uzņemties saistības un īstenot projektus un pasākumus Eiropas Komisijas tieši administrētajās programmās" sākontējās ietekmes novērtējuma ziņojums (anotācija)</vt:lpstr>
    </vt:vector>
  </TitlesOfParts>
  <Company>Finanšu ministrija</Company>
  <LinksUpToDate>false</LinksUpToDate>
  <CharactersWithSpaces>23789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atļauju Finanšu ministrijai (Valsts ieņēmumu dienestam) uzņemties saistības un īstenot projektus un pasākumus Eiropas Komisijas tieši administrētajās programmās" sākotnējās ietekmes novērtējuma ziņojums (anotācija)</dc:title>
  <dc:subject>Anotācija</dc:subject>
  <dc:creator>R.Ervalde</dc:creator>
  <dc:description>67122684, Ruta.Ervalde@vid.gov.lv</dc:description>
  <cp:lastModifiedBy>Ruta Ervalde</cp:lastModifiedBy>
  <cp:revision>10</cp:revision>
  <cp:lastPrinted>2015-10-14T12:31:00Z</cp:lastPrinted>
  <dcterms:created xsi:type="dcterms:W3CDTF">2015-10-07T12:21:00Z</dcterms:created>
  <dcterms:modified xsi:type="dcterms:W3CDTF">2015-10-19T05:43:00Z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0x010100B13C17E496EC6C4A9A0A8204C89EE578</vt:lpwstr>
  </property>
</Properties>
</file>