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3F" w:rsidRPr="00487901" w:rsidRDefault="00C72F3F" w:rsidP="00C72F3F">
      <w:pPr>
        <w:pStyle w:val="naisc"/>
        <w:spacing w:before="0" w:after="0"/>
        <w:rPr>
          <w:b/>
          <w:bCs/>
          <w:sz w:val="28"/>
          <w:szCs w:val="28"/>
        </w:rPr>
      </w:pPr>
      <w:r w:rsidRPr="00487901">
        <w:rPr>
          <w:b/>
          <w:bCs/>
          <w:sz w:val="28"/>
          <w:szCs w:val="28"/>
        </w:rPr>
        <w:t xml:space="preserve">Ministru kabineta sēdes </w:t>
      </w:r>
      <w:proofErr w:type="spellStart"/>
      <w:r w:rsidRPr="00487901">
        <w:rPr>
          <w:b/>
          <w:bCs/>
          <w:sz w:val="28"/>
          <w:szCs w:val="28"/>
        </w:rPr>
        <w:t>protokollēmuma</w:t>
      </w:r>
      <w:proofErr w:type="spellEnd"/>
      <w:r w:rsidRPr="00487901">
        <w:rPr>
          <w:b/>
          <w:bCs/>
          <w:sz w:val="28"/>
          <w:szCs w:val="28"/>
        </w:rPr>
        <w:t xml:space="preserve"> projekta </w:t>
      </w:r>
      <w:r w:rsidRPr="00487901">
        <w:rPr>
          <w:b/>
          <w:sz w:val="28"/>
          <w:szCs w:val="28"/>
        </w:rPr>
        <w:t xml:space="preserve">„Par Ministru kabineta 2013.gada 4.jūnija sēdes </w:t>
      </w:r>
      <w:proofErr w:type="spellStart"/>
      <w:r w:rsidRPr="00487901">
        <w:rPr>
          <w:b/>
          <w:sz w:val="28"/>
          <w:szCs w:val="28"/>
        </w:rPr>
        <w:t>protokollēmuma</w:t>
      </w:r>
      <w:proofErr w:type="spellEnd"/>
      <w:r w:rsidRPr="00487901">
        <w:rPr>
          <w:b/>
          <w:sz w:val="28"/>
          <w:szCs w:val="28"/>
        </w:rPr>
        <w:t xml:space="preserve"> (prot. Nr.33 35.§) “Informatīvais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4.2.apakšpunktā dotā uzdevuma atzīšanu par aktualitāti zaudējušu”</w:t>
      </w:r>
      <w:r w:rsidRPr="00487901">
        <w:rPr>
          <w:b/>
          <w:bCs/>
          <w:sz w:val="28"/>
          <w:szCs w:val="28"/>
        </w:rPr>
        <w:t xml:space="preserve"> sākotnējās ietekmes novērtējuma ziņojums (anotācija)</w:t>
      </w:r>
    </w:p>
    <w:p w:rsidR="00862D0F" w:rsidRDefault="00862D0F"/>
    <w:p w:rsidR="00862D0F" w:rsidRDefault="00862D0F"/>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862D0F"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0E7ED0" w:rsidRPr="00BB003C" w:rsidRDefault="00BB003C" w:rsidP="000F29C2">
            <w:pPr>
              <w:rPr>
                <w:rFonts w:eastAsia="Times New Roman" w:cs="Times New Roman"/>
                <w:sz w:val="24"/>
                <w:szCs w:val="24"/>
                <w:lang w:eastAsia="lv-LV"/>
              </w:rPr>
            </w:pPr>
            <w:r w:rsidRPr="00BB003C">
              <w:rPr>
                <w:sz w:val="24"/>
                <w:szCs w:val="24"/>
              </w:rPr>
              <w:t xml:space="preserve">Ministru kabineta sēdes </w:t>
            </w:r>
            <w:proofErr w:type="spellStart"/>
            <w:r w:rsidRPr="00BB003C">
              <w:rPr>
                <w:sz w:val="24"/>
                <w:szCs w:val="24"/>
              </w:rPr>
              <w:t>protokollēmuma</w:t>
            </w:r>
            <w:proofErr w:type="spellEnd"/>
            <w:r w:rsidRPr="00BB003C">
              <w:rPr>
                <w:sz w:val="24"/>
                <w:szCs w:val="24"/>
              </w:rPr>
              <w:t xml:space="preserve"> projekts izstrādāts saistībā ar Ministru kabineta 2013.gada 4.jūnija sēdes </w:t>
            </w:r>
            <w:proofErr w:type="spellStart"/>
            <w:r w:rsidRPr="00BB003C">
              <w:rPr>
                <w:sz w:val="24"/>
                <w:szCs w:val="24"/>
              </w:rPr>
              <w:t>protokollēmuma</w:t>
            </w:r>
            <w:proofErr w:type="spellEnd"/>
            <w:r w:rsidRPr="00BB003C">
              <w:rPr>
                <w:sz w:val="24"/>
                <w:szCs w:val="24"/>
              </w:rPr>
              <w:t xml:space="preserve"> (prot. Nr.33 35.§) „Informatīvais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4.2.apak</w:t>
            </w:r>
            <w:r>
              <w:rPr>
                <w:sz w:val="24"/>
                <w:szCs w:val="24"/>
              </w:rPr>
              <w:t xml:space="preserve">špunktā </w:t>
            </w:r>
            <w:r w:rsidRPr="00BB003C">
              <w:rPr>
                <w:sz w:val="24"/>
                <w:szCs w:val="24"/>
              </w:rPr>
              <w:t xml:space="preserve">Iekšlietu ministrijai </w:t>
            </w:r>
            <w:r>
              <w:rPr>
                <w:sz w:val="24"/>
                <w:szCs w:val="24"/>
              </w:rPr>
              <w:t>dot</w:t>
            </w:r>
            <w:r w:rsidR="000F29C2">
              <w:rPr>
                <w:sz w:val="24"/>
                <w:szCs w:val="24"/>
              </w:rPr>
              <w:t>o</w:t>
            </w:r>
            <w:r>
              <w:rPr>
                <w:sz w:val="24"/>
                <w:szCs w:val="24"/>
              </w:rPr>
              <w:t xml:space="preserve"> uzdevum</w:t>
            </w:r>
            <w:r w:rsidR="000F29C2">
              <w:rPr>
                <w:sz w:val="24"/>
                <w:szCs w:val="24"/>
              </w:rPr>
              <w:t>u</w:t>
            </w:r>
            <w:r>
              <w:rPr>
                <w:sz w:val="24"/>
                <w:szCs w:val="24"/>
              </w:rPr>
              <w:t xml:space="preserve"> </w:t>
            </w:r>
            <w:r w:rsidRPr="00BB003C">
              <w:rPr>
                <w:sz w:val="24"/>
                <w:szCs w:val="24"/>
              </w:rPr>
              <w:t xml:space="preserve">atbilstoši pētījuma rezultātiem paredzēt konceptuāli jaunu Iekšlietu ministrijas sistēmas iestāžu amatpersonu ar speciālajām dienesta pakāpēm formas tērpu dizainu un noteikt jaunas formas tērpa priekšmetu lietderīgās lietošanas ilguma normas, un līdz 2015.gada 31.maijam sagatavot un iesniegt izskatīšanai Ministru kabinetā to ieviešanai nepieciešamos tiesību aktu projektus, paredzot amatpersonu ar speciālajām dienesta pakāpēm (izņemot šī </w:t>
            </w:r>
            <w:proofErr w:type="spellStart"/>
            <w:r w:rsidRPr="00BB003C">
              <w:rPr>
                <w:sz w:val="24"/>
                <w:szCs w:val="24"/>
              </w:rPr>
              <w:t>protokollēmuma</w:t>
            </w:r>
            <w:proofErr w:type="spellEnd"/>
            <w:r w:rsidRPr="00BB003C">
              <w:rPr>
                <w:sz w:val="24"/>
                <w:szCs w:val="24"/>
              </w:rPr>
              <w:t xml:space="preserve"> 5.punktā minētās Valsts policijas amatpersonas ar speciālajām dienesta pakāpēm) pakāpenisku apgādi ar jauniem formas tērpiem laikposmā no 2015. līdz 2017.gadam</w:t>
            </w:r>
            <w:r w:rsidR="000F29C2">
              <w:rPr>
                <w:sz w:val="24"/>
                <w:szCs w:val="24"/>
              </w:rPr>
              <w:t>.</w:t>
            </w:r>
            <w:r w:rsidRPr="00BB003C">
              <w:rPr>
                <w:sz w:val="24"/>
                <w:szCs w:val="24"/>
              </w:rPr>
              <w:t xml:space="preserve"> </w:t>
            </w: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FD61B9">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0F29C2" w:rsidRPr="000F29C2" w:rsidRDefault="000F29C2" w:rsidP="000F29C2">
            <w:pPr>
              <w:pStyle w:val="NormalWeb"/>
              <w:shd w:val="clear" w:color="auto" w:fill="FFFFFF"/>
              <w:spacing w:before="0" w:beforeAutospacing="0" w:after="0" w:afterAutospacing="0"/>
              <w:ind w:right="-48" w:firstLine="720"/>
              <w:jc w:val="both"/>
            </w:pPr>
            <w:r>
              <w:t>S</w:t>
            </w:r>
            <w:r w:rsidRPr="000F29C2">
              <w:t>askaņā ar Ministru kabineta 2013.gada 4.jūnija sēdes protokola Nr.33 35.§ 3.1.apakšpunktu Iekšlietu ministrijai tika atļauts pasūtīt pētījumu par Iekšlietu ministrijas sistēmas iestāžu amatpersonu ar speciālajām dienesta pakāpēm formas tērpa priekšmetu modernizāciju, lai nodrošinātu formas tērpa funkcionālu sasaisti ar konkrētu amata pienākumu veikšanai nepieciešamajiem individuālās aizsardzības līdzekļiem un materiāltehnisko nodrošinājumu, izmantojot formas tērpa izgatavošanai pārbaudītus un kvalitatīvus materiālus.</w:t>
            </w:r>
          </w:p>
          <w:p w:rsidR="000F29C2" w:rsidRPr="000F29C2" w:rsidRDefault="000F29C2" w:rsidP="000F29C2">
            <w:pPr>
              <w:ind w:firstLine="709"/>
              <w:rPr>
                <w:sz w:val="24"/>
                <w:szCs w:val="24"/>
              </w:rPr>
            </w:pPr>
            <w:r w:rsidRPr="000F29C2">
              <w:rPr>
                <w:sz w:val="24"/>
                <w:szCs w:val="24"/>
              </w:rPr>
              <w:t xml:space="preserve">Pamatojoties uz Nodrošinājuma valsts aģentūras (turpmāk – aģentūra) rīkotās sarunu procedūras „Formas tērpa priekšmetu modernizācijas pētījuma veikšana” (iepirkuma identifikācijas </w:t>
            </w:r>
            <w:proofErr w:type="spellStart"/>
            <w:r w:rsidRPr="000F29C2">
              <w:rPr>
                <w:sz w:val="24"/>
                <w:szCs w:val="24"/>
              </w:rPr>
              <w:t>Nr.IeM</w:t>
            </w:r>
            <w:proofErr w:type="spellEnd"/>
            <w:r w:rsidRPr="000F29C2">
              <w:rPr>
                <w:sz w:val="24"/>
                <w:szCs w:val="24"/>
              </w:rPr>
              <w:t xml:space="preserve"> NVA 2013/115) rezultātiem aģentūra 2013.gada 17.decembrī noslēdza ar Rīgas Tehnisko universitāti (turpmāk – RTU) pakalpojuma līgumu </w:t>
            </w:r>
            <w:proofErr w:type="spellStart"/>
            <w:r w:rsidRPr="000F29C2">
              <w:rPr>
                <w:sz w:val="24"/>
                <w:szCs w:val="24"/>
              </w:rPr>
              <w:t>Nr.IeM</w:t>
            </w:r>
            <w:proofErr w:type="spellEnd"/>
            <w:r w:rsidRPr="000F29C2">
              <w:rPr>
                <w:sz w:val="24"/>
                <w:szCs w:val="24"/>
              </w:rPr>
              <w:t xml:space="preserve"> NVA 2013/203 „Par formas tērpa priekšmetu modernizācijas pētījuma veikšanu” (turpmāk – Līgums).</w:t>
            </w:r>
          </w:p>
          <w:p w:rsidR="000F29C2" w:rsidRPr="000F29C2" w:rsidRDefault="000F29C2" w:rsidP="000F29C2">
            <w:pPr>
              <w:pStyle w:val="naisf"/>
              <w:spacing w:before="0" w:after="0"/>
              <w:ind w:firstLine="720"/>
            </w:pPr>
            <w:r w:rsidRPr="000F29C2">
              <w:t xml:space="preserve"> Savukārt ar Iekšlietu ministrijas 2013.gada 20.decembra rīkojumu Nr.1-12/2980 „Par projekta uzraudzības komitejas </w:t>
            </w:r>
            <w:r w:rsidRPr="000F29C2">
              <w:lastRenderedPageBreak/>
              <w:t>izveidošanu” tika izveidota projekta uzraudzības komiteja, lai nodrošinātu Rīgas Tehniskās universitātes sniegtā pakalpojuma (pētījuma) izpildes kontroli un pārraudzību.</w:t>
            </w:r>
          </w:p>
          <w:p w:rsidR="000F29C2" w:rsidRPr="000F29C2" w:rsidRDefault="000F29C2" w:rsidP="000F29C2">
            <w:pPr>
              <w:pStyle w:val="naisf"/>
              <w:spacing w:before="0" w:after="0"/>
              <w:ind w:firstLine="720"/>
            </w:pPr>
            <w:r w:rsidRPr="000F29C2">
              <w:t>Lai īstenotu definētajam mērķim atbilstošu pētījumu, Līguma (darba) izpildes gaitā bija veicami šādi uzdevumi:</w:t>
            </w:r>
          </w:p>
          <w:p w:rsidR="000F29C2" w:rsidRPr="000F29C2" w:rsidRDefault="000F29C2" w:rsidP="000F29C2">
            <w:pPr>
              <w:pStyle w:val="naisf"/>
              <w:numPr>
                <w:ilvl w:val="0"/>
                <w:numId w:val="10"/>
              </w:numPr>
              <w:spacing w:before="0" w:after="0"/>
            </w:pPr>
            <w:r w:rsidRPr="000F29C2">
              <w:t>politikas analīze un ietekmes novērtēšana (ietver arī viedokļi par Iekšlietu ministrijas sistēmas iestāžu vajadzībām formas tērpu, individuālās aizsardzības līdzekļu un ar to saistītā materiāltehniskā nodrošinājuma jomā un objektīvu vērtējumu valsts iespējām tās pienācīgi realizēt);</w:t>
            </w:r>
          </w:p>
          <w:p w:rsidR="000F29C2" w:rsidRPr="000F29C2" w:rsidRDefault="000F29C2" w:rsidP="000F29C2">
            <w:pPr>
              <w:pStyle w:val="naisf"/>
              <w:numPr>
                <w:ilvl w:val="0"/>
                <w:numId w:val="10"/>
              </w:numPr>
              <w:spacing w:before="0" w:after="0"/>
            </w:pPr>
            <w:r w:rsidRPr="000F29C2">
              <w:t>Iekšlietu ministrijas sistēmas iestāžu amatpersonu ar speciālajām dienesta pakāpēm jauna formas tērpa dizaina izstrāde (formas tērpam izmantojamo materiālu izpēte un atbilstošāko materiālu izvēle, formas tērpa priekšmetu dizaina paraugu izveide, izgatavošana un to testēšana reālā vidē un specializētās laboratorijās, eksperimentālo formas tērpu iesniegšana testēšanai, formas tērpa estētiskās, fizioloģiskās un identifikācijas kvalitātes pilnveidošana);</w:t>
            </w:r>
          </w:p>
          <w:p w:rsidR="000F29C2" w:rsidRPr="000F29C2" w:rsidRDefault="000F29C2" w:rsidP="000F29C2">
            <w:pPr>
              <w:pStyle w:val="naisf"/>
              <w:numPr>
                <w:ilvl w:val="0"/>
                <w:numId w:val="10"/>
              </w:numPr>
              <w:spacing w:before="0" w:after="0"/>
            </w:pPr>
            <w:r w:rsidRPr="000F29C2">
              <w:t>tehnisko specifikāciju izstrāde un tehnisko zīmējumu izveide (tai skaitā formas tērpa priekšmetu lietošanas rokasgrāmatas izstrādāšana);</w:t>
            </w:r>
          </w:p>
          <w:p w:rsidR="000F29C2" w:rsidRPr="000F29C2" w:rsidRDefault="000F29C2" w:rsidP="000F29C2">
            <w:pPr>
              <w:pStyle w:val="naisf"/>
              <w:numPr>
                <w:ilvl w:val="0"/>
                <w:numId w:val="10"/>
              </w:numPr>
              <w:spacing w:before="0" w:after="0"/>
            </w:pPr>
            <w:r w:rsidRPr="000F29C2">
              <w:t>jaunā formas tērpa ieviešanas plāna izstrāde (formas tērpa priekšmetu lietderīgās lietošanas laika noteikšana, plāna īstenošanai nepieciešamā finansējuma prognozes sagatavošana laika posmam līdz 2020.gadam, formas tērpa priekšmetu vienotu klasifikatoru izstrāde).</w:t>
            </w:r>
          </w:p>
          <w:p w:rsidR="000F29C2" w:rsidRPr="000F29C2" w:rsidRDefault="000F29C2" w:rsidP="000F29C2">
            <w:pPr>
              <w:ind w:firstLine="709"/>
              <w:rPr>
                <w:sz w:val="24"/>
                <w:szCs w:val="24"/>
              </w:rPr>
            </w:pPr>
            <w:r w:rsidRPr="000F29C2">
              <w:rPr>
                <w:sz w:val="24"/>
                <w:szCs w:val="24"/>
              </w:rPr>
              <w:t xml:space="preserve">Saskaņā ar Līguma 1.2.apakšpunktu RTU apņēmās izpildīt Līguma saistības līdz 2014.gada 16.decembrim. Aģentūra un RTU 2015.gada 5.janvārī parakstīja vienošanos </w:t>
            </w:r>
            <w:proofErr w:type="spellStart"/>
            <w:r w:rsidRPr="000F29C2">
              <w:rPr>
                <w:sz w:val="24"/>
                <w:szCs w:val="24"/>
              </w:rPr>
              <w:t>Nr.IeM</w:t>
            </w:r>
            <w:proofErr w:type="spellEnd"/>
            <w:r w:rsidRPr="000F29C2">
              <w:rPr>
                <w:sz w:val="24"/>
                <w:szCs w:val="24"/>
              </w:rPr>
              <w:t xml:space="preserve"> NVA 2015/2-</w:t>
            </w:r>
            <w:proofErr w:type="spellStart"/>
            <w:r w:rsidRPr="000F29C2">
              <w:rPr>
                <w:sz w:val="24"/>
                <w:szCs w:val="24"/>
              </w:rPr>
              <w:t>Pak</w:t>
            </w:r>
            <w:proofErr w:type="spellEnd"/>
            <w:r w:rsidRPr="000F29C2">
              <w:rPr>
                <w:sz w:val="24"/>
                <w:szCs w:val="24"/>
              </w:rPr>
              <w:t xml:space="preserve">, pagarinot Līguma izpildes termiņu līdz 2015.gada 16.martam. </w:t>
            </w:r>
          </w:p>
          <w:p w:rsidR="000F29C2" w:rsidRPr="000F29C2" w:rsidRDefault="000F29C2" w:rsidP="000F29C2">
            <w:pPr>
              <w:ind w:firstLine="709"/>
              <w:rPr>
                <w:sz w:val="24"/>
                <w:szCs w:val="24"/>
              </w:rPr>
            </w:pPr>
            <w:r w:rsidRPr="000F29C2">
              <w:rPr>
                <w:sz w:val="24"/>
                <w:szCs w:val="24"/>
              </w:rPr>
              <w:t>Atbilstoši Publisko iepirkumu likuma 67.</w:t>
            </w:r>
            <w:r w:rsidRPr="000F29C2">
              <w:rPr>
                <w:sz w:val="24"/>
                <w:szCs w:val="24"/>
                <w:vertAlign w:val="superscript"/>
              </w:rPr>
              <w:t>1</w:t>
            </w:r>
            <w:r w:rsidRPr="000F29C2">
              <w:rPr>
                <w:sz w:val="24"/>
                <w:szCs w:val="24"/>
              </w:rPr>
              <w:t>pantam grozījumi iepirkuma līgumā ir iespējami, ja tie ir nebūtiski, atrunāti iepirkuma līgumā un nemaina iepirkuma līguma vispārējo raksturu. Līdz ar to secināms, ka Līguma izpildes termiņa pagarinājums vairs nav iespējams.</w:t>
            </w:r>
          </w:p>
          <w:p w:rsidR="000F29C2" w:rsidRPr="000F29C2" w:rsidRDefault="000F29C2" w:rsidP="000F29C2">
            <w:pPr>
              <w:ind w:firstLine="709"/>
              <w:rPr>
                <w:sz w:val="24"/>
                <w:szCs w:val="24"/>
              </w:rPr>
            </w:pPr>
            <w:r w:rsidRPr="000F29C2">
              <w:rPr>
                <w:sz w:val="24"/>
                <w:szCs w:val="24"/>
              </w:rPr>
              <w:t>Aģentūra 2015.gada 24.martā nosūtīja RTU vēstuli Nr.17-3/3587 „Par nodevuma iesniegšanu”, kurā norādīja, ka līdz 2015.gada 16.martam RTU ir daļēji izpildījusi savas saistības, kas pielīgtas ar Līgumu. Vienlaikus aģentūra informēja, ka par Līguma izpildes termiņa kavējumu ar 2015.gada 17.martu aģentūra aprēķinās RTU Līguma 6.2.punktā norādīto līgumsodu, kā arī likumiskos procentus Civillikumā noteiktajā kārtībā un apmērā.</w:t>
            </w:r>
          </w:p>
          <w:p w:rsidR="000F29C2" w:rsidRPr="000F29C2" w:rsidRDefault="000F29C2" w:rsidP="000F29C2">
            <w:pPr>
              <w:ind w:firstLine="709"/>
              <w:rPr>
                <w:sz w:val="24"/>
                <w:szCs w:val="24"/>
              </w:rPr>
            </w:pPr>
            <w:r w:rsidRPr="000F29C2">
              <w:rPr>
                <w:sz w:val="24"/>
                <w:szCs w:val="24"/>
              </w:rPr>
              <w:t xml:space="preserve">Lai gan RTU 2015.gada 8.aprīlī iesniedza aģentūrai 2015.gada 2.aprīļa vēstuli Nr.04000-2.2.1/29 „Par laika grafika iesniegšanu un apakšuzņēmēja piesaistes saskaņošanu”, tomēr Iekšlietu ministrija 2015.gada 3.jūnija RTU adresētajā vēstulē Nr.1-38/1369 „Par līgumsaistību izpildi” norādīja, ka gan 2015.gada 19.maijā, gan 28.maijā notikušajās ar Iekšlietu ministrijas 2013.gada 20.decembra rīkojumu Nr.1-12/2980 izveidotās projekta uzraudzības komitejas (turpmāk - uzraudzības komiteja) sanāksmēs, kurās piedalījās RTU pārstāvji, tika </w:t>
            </w:r>
            <w:r w:rsidRPr="000F29C2">
              <w:rPr>
                <w:sz w:val="24"/>
                <w:szCs w:val="24"/>
              </w:rPr>
              <w:lastRenderedPageBreak/>
              <w:t>konstatēti RTU iesniegtā laika grafika kavējumi, kuru rezultātā RTU acīmredzami nespēs izpildīt līgumsaistības noteiktajos termiņos. Vienlaikus RTU pārstāvji tika aicināti piedalīties uzraudzības komitejas sēdēs un informēt, vai no RTU puses vispār ir iespējama Līguma izpilde un kādos termiņos.</w:t>
            </w:r>
          </w:p>
          <w:p w:rsidR="000F29C2" w:rsidRPr="000F29C2" w:rsidRDefault="000F29C2" w:rsidP="000F29C2">
            <w:pPr>
              <w:ind w:firstLine="709"/>
              <w:rPr>
                <w:sz w:val="24"/>
                <w:szCs w:val="24"/>
              </w:rPr>
            </w:pPr>
            <w:r w:rsidRPr="000F29C2">
              <w:rPr>
                <w:sz w:val="24"/>
                <w:szCs w:val="24"/>
              </w:rPr>
              <w:t>Lai arī uzraudzības komitejas sēdē 2015.gada 27.jūnijā RTU iesniedza jaunu Līguma izpildes grafiku, tomēr RTU nespēja pārliecināt aģentūru un uzraudzības komiteju par to, ka nākotnē spēs izpildīt Līguma saistības, ņemot vērā, ka arī iepriekšējos termiņus RTU nav ievērojusi. Saskaņā ar uzraudzības komitejas 2015.gada 6.jūlija protokolu Nr.8 Iekšlietu ministrijas dienestu pārstāvji, ievērojot līdzšinējo sadarbību Līguma ietvaros, norādīja uz to, ka RTU nespēs izpildīt Līguma saistības.</w:t>
            </w:r>
          </w:p>
          <w:p w:rsidR="000F29C2" w:rsidRPr="000F29C2" w:rsidRDefault="000F29C2" w:rsidP="000F29C2">
            <w:pPr>
              <w:rPr>
                <w:sz w:val="24"/>
                <w:szCs w:val="24"/>
              </w:rPr>
            </w:pPr>
            <w:r w:rsidRPr="000F29C2">
              <w:rPr>
                <w:sz w:val="24"/>
                <w:szCs w:val="24"/>
              </w:rPr>
              <w:t xml:space="preserve">Ar 2014.gada 23.aprīļa Nodošanas–pieņemšanas aktu Nr.1 aģentūra 2014.gada 24.aprīlī pieņēma no RTU Līguma daļēju izpildi atbilstoši Līguma Tehniskās specifikācijas 3.1.punktam. Tādējādi secināms, ka uz 2015.gada 8.jūliju RTU joprojām nebija izpildījusi savas ar Līgumu pielīgtās saistības. </w:t>
            </w:r>
          </w:p>
          <w:p w:rsidR="000F29C2" w:rsidRPr="000F29C2" w:rsidRDefault="000F29C2" w:rsidP="000F29C2">
            <w:pPr>
              <w:ind w:firstLine="709"/>
              <w:rPr>
                <w:color w:val="000000"/>
                <w:sz w:val="24"/>
                <w:szCs w:val="24"/>
                <w:shd w:val="clear" w:color="auto" w:fill="FFFFFF"/>
              </w:rPr>
            </w:pPr>
            <w:r w:rsidRPr="000F29C2">
              <w:rPr>
                <w:color w:val="000000"/>
                <w:sz w:val="24"/>
                <w:szCs w:val="24"/>
              </w:rPr>
              <w:t>Viens no civiltiesību fundamentālajiem principiem ir līguma saistošā spēka princips jeb </w:t>
            </w:r>
            <w:proofErr w:type="spellStart"/>
            <w:r w:rsidRPr="000F29C2">
              <w:rPr>
                <w:i/>
                <w:iCs/>
                <w:color w:val="000000"/>
                <w:sz w:val="24"/>
                <w:szCs w:val="24"/>
              </w:rPr>
              <w:t>pacta</w:t>
            </w:r>
            <w:proofErr w:type="spellEnd"/>
            <w:r w:rsidRPr="000F29C2">
              <w:rPr>
                <w:i/>
                <w:iCs/>
                <w:color w:val="000000"/>
                <w:sz w:val="24"/>
                <w:szCs w:val="24"/>
              </w:rPr>
              <w:t xml:space="preserve"> </w:t>
            </w:r>
            <w:proofErr w:type="spellStart"/>
            <w:r w:rsidRPr="000F29C2">
              <w:rPr>
                <w:i/>
                <w:iCs/>
                <w:color w:val="000000"/>
                <w:sz w:val="24"/>
                <w:szCs w:val="24"/>
              </w:rPr>
              <w:t>sunt</w:t>
            </w:r>
            <w:proofErr w:type="spellEnd"/>
            <w:r w:rsidRPr="000F29C2">
              <w:rPr>
                <w:i/>
                <w:iCs/>
                <w:color w:val="000000"/>
                <w:sz w:val="24"/>
                <w:szCs w:val="24"/>
              </w:rPr>
              <w:t xml:space="preserve"> </w:t>
            </w:r>
            <w:proofErr w:type="spellStart"/>
            <w:r w:rsidRPr="000F29C2">
              <w:rPr>
                <w:i/>
                <w:iCs/>
                <w:color w:val="000000"/>
                <w:sz w:val="24"/>
                <w:szCs w:val="24"/>
              </w:rPr>
              <w:t>servanda</w:t>
            </w:r>
            <w:proofErr w:type="spellEnd"/>
            <w:r w:rsidRPr="000F29C2">
              <w:rPr>
                <w:color w:val="000000"/>
                <w:sz w:val="24"/>
                <w:szCs w:val="24"/>
              </w:rPr>
              <w:t xml:space="preserve"> (no latīņu valodas: ne tikai līgumi, bet arī </w:t>
            </w:r>
            <w:proofErr w:type="spellStart"/>
            <w:r w:rsidRPr="000F29C2">
              <w:rPr>
                <w:color w:val="000000"/>
                <w:sz w:val="24"/>
                <w:szCs w:val="24"/>
              </w:rPr>
              <w:t>paktas</w:t>
            </w:r>
            <w:proofErr w:type="spellEnd"/>
            <w:r w:rsidRPr="000F29C2">
              <w:rPr>
                <w:color w:val="000000"/>
                <w:sz w:val="24"/>
                <w:szCs w:val="24"/>
              </w:rPr>
              <w:t xml:space="preserve"> ir jāpilda). Šis princips nozīmē, ka katrs līdzējs ir atbildīgs par savu solījumu precīzu izpildi neatkarīgi no jebkādu apstākļu iestāšanās, pat tādu, kuri iziet ārpus līdzēju objektīvas kontroles iespējām un kurus līdzēji nevarēja paredzēt brīdī, kad līgums tika noslēgts. Šis princips ir nostiprināts Civillikuma 1587.pantā, kurš nosaka, ka </w:t>
            </w:r>
            <w:r w:rsidRPr="000F29C2">
              <w:rPr>
                <w:color w:val="000000"/>
                <w:sz w:val="24"/>
                <w:szCs w:val="24"/>
                <w:shd w:val="clear" w:color="auto" w:fill="FFFFFF"/>
              </w:rPr>
              <w:t>tiesīgi noslēgts līgums uzliek līdzējam pienākumu izpildīt apsolīto.</w:t>
            </w:r>
          </w:p>
          <w:p w:rsidR="000F29C2" w:rsidRPr="000F29C2" w:rsidRDefault="000F29C2" w:rsidP="000F29C2">
            <w:pPr>
              <w:ind w:firstLine="709"/>
              <w:rPr>
                <w:color w:val="000000"/>
                <w:sz w:val="24"/>
                <w:szCs w:val="24"/>
                <w:shd w:val="clear" w:color="auto" w:fill="FFFFFF"/>
              </w:rPr>
            </w:pPr>
            <w:r w:rsidRPr="000F29C2">
              <w:rPr>
                <w:bCs/>
                <w:color w:val="000000"/>
                <w:sz w:val="24"/>
                <w:szCs w:val="24"/>
                <w:shd w:val="clear" w:color="auto" w:fill="FFFFFF"/>
              </w:rPr>
              <w:t>Saskaņā ar Civillikuma 1651.pantu</w:t>
            </w:r>
            <w:r w:rsidRPr="000F29C2">
              <w:rPr>
                <w:rStyle w:val="apple-converted-space"/>
                <w:bCs/>
                <w:color w:val="000000"/>
                <w:sz w:val="24"/>
                <w:szCs w:val="24"/>
                <w:shd w:val="clear" w:color="auto" w:fill="FFFFFF"/>
              </w:rPr>
              <w:t> n</w:t>
            </w:r>
            <w:r w:rsidRPr="000F29C2">
              <w:rPr>
                <w:color w:val="000000"/>
                <w:sz w:val="24"/>
                <w:szCs w:val="24"/>
                <w:shd w:val="clear" w:color="auto" w:fill="FFFFFF"/>
              </w:rPr>
              <w:t>okavējums ir saistības izpildīšanas vai izpildījuma pieņemšanas prettiesīgs novilcinājums. Pirmajā gadīj</w:t>
            </w:r>
            <w:r w:rsidR="0049311D">
              <w:rPr>
                <w:color w:val="000000"/>
                <w:sz w:val="24"/>
                <w:szCs w:val="24"/>
                <w:shd w:val="clear" w:color="auto" w:fill="FFFFFF"/>
              </w:rPr>
              <w:t xml:space="preserve">umā ir parādnieka, bet otrajā – </w:t>
            </w:r>
            <w:r w:rsidRPr="000F29C2">
              <w:rPr>
                <w:color w:val="000000"/>
                <w:sz w:val="24"/>
                <w:szCs w:val="24"/>
                <w:shd w:val="clear" w:color="auto" w:fill="FFFFFF"/>
              </w:rPr>
              <w:t xml:space="preserve">kreditora nokavējums. Atbilstoši Civillikuma </w:t>
            </w:r>
            <w:r w:rsidRPr="000F29C2">
              <w:rPr>
                <w:bCs/>
                <w:color w:val="000000"/>
                <w:sz w:val="24"/>
                <w:szCs w:val="24"/>
                <w:lang w:eastAsia="lv-LV"/>
              </w:rPr>
              <w:t>1652.panta trešajai daļai p</w:t>
            </w:r>
            <w:r w:rsidRPr="000F29C2">
              <w:rPr>
                <w:color w:val="000000"/>
                <w:sz w:val="24"/>
                <w:szCs w:val="24"/>
                <w:lang w:eastAsia="lv-LV"/>
              </w:rPr>
              <w:t>arādnieka nokavējums ar visām tā sekām iestājas pats no sevis, kad viņš palaidis garām termiņu, kas nolikts izpildīšanai ar līgumu.</w:t>
            </w:r>
            <w:r w:rsidRPr="000F29C2">
              <w:rPr>
                <w:color w:val="000000"/>
                <w:sz w:val="24"/>
                <w:szCs w:val="24"/>
                <w:shd w:val="clear" w:color="auto" w:fill="FFFFFF"/>
              </w:rPr>
              <w:t xml:space="preserve"> Savukārt Civillikuma </w:t>
            </w:r>
            <w:r w:rsidRPr="000F29C2">
              <w:rPr>
                <w:bCs/>
                <w:color w:val="000000"/>
                <w:sz w:val="24"/>
                <w:szCs w:val="24"/>
                <w:shd w:val="clear" w:color="auto" w:fill="FFFFFF"/>
              </w:rPr>
              <w:t>1663.pants nosaka kreditora tiesību prasīt līguma atcelšanu, ja</w:t>
            </w:r>
            <w:r w:rsidRPr="000F29C2">
              <w:rPr>
                <w:color w:val="000000"/>
                <w:sz w:val="24"/>
                <w:szCs w:val="24"/>
                <w:shd w:val="clear" w:color="auto" w:fill="FFFFFF"/>
              </w:rPr>
              <w:t xml:space="preserve"> kreditors parādnieka nokavējuma dēļ vairs nav ieinteresēts līguma izpildīšanā.</w:t>
            </w:r>
          </w:p>
          <w:p w:rsidR="000F29C2" w:rsidRPr="000F29C2" w:rsidRDefault="000F29C2" w:rsidP="000F29C2">
            <w:pPr>
              <w:rPr>
                <w:sz w:val="24"/>
                <w:szCs w:val="24"/>
              </w:rPr>
            </w:pPr>
            <w:r w:rsidRPr="000F29C2">
              <w:rPr>
                <w:sz w:val="24"/>
                <w:szCs w:val="24"/>
              </w:rPr>
              <w:t>Ņemot vērā augstākminēto, aģentūra nebija ieinteresēta Līguma izpildē, jo RTU nav spējusi pierādīt, ka Līguma saistības tiks izpildītas solītā termiņā un atbilstošā kvalitātē. Līdz ar to aģentūr</w:t>
            </w:r>
            <w:r w:rsidR="000F5863">
              <w:rPr>
                <w:sz w:val="24"/>
                <w:szCs w:val="24"/>
              </w:rPr>
              <w:t>ā</w:t>
            </w:r>
            <w:r w:rsidRPr="000F29C2">
              <w:rPr>
                <w:sz w:val="24"/>
                <w:szCs w:val="24"/>
              </w:rPr>
              <w:t xml:space="preserve"> un RTU 2015.gada 17.jūlijā parakstīta vienošanās par 17.12.2013. pakalpojuma līguma </w:t>
            </w:r>
            <w:proofErr w:type="spellStart"/>
            <w:r w:rsidRPr="000F29C2">
              <w:rPr>
                <w:sz w:val="24"/>
                <w:szCs w:val="24"/>
              </w:rPr>
              <w:t>Nr.IeM</w:t>
            </w:r>
            <w:proofErr w:type="spellEnd"/>
            <w:r w:rsidRPr="000F29C2">
              <w:rPr>
                <w:sz w:val="24"/>
                <w:szCs w:val="24"/>
              </w:rPr>
              <w:t xml:space="preserve"> NVA 2013/203 izbeigšanu.</w:t>
            </w:r>
          </w:p>
          <w:p w:rsidR="000F29C2" w:rsidRPr="000F29C2" w:rsidRDefault="000F29C2" w:rsidP="000F29C2">
            <w:pPr>
              <w:rPr>
                <w:sz w:val="24"/>
                <w:szCs w:val="24"/>
              </w:rPr>
            </w:pPr>
            <w:r w:rsidRPr="000F29C2">
              <w:rPr>
                <w:sz w:val="24"/>
                <w:szCs w:val="24"/>
              </w:rPr>
              <w:t>Savukārt ar Iekšlietu ministrijas 2015.gada 8.jūlija rīkojumu Nr.1-12/1582 „Par darba grupas izveidi” tika izveidota darba grupa, lai nodrošinātu formas tērpu modernizāciju šaurākā apjomā Iekšlietu ministrijas padotībā esošajās iestādēs. Minētās darba grupas uzdevums ir identificēt Iekšlietu ministrijas padotībā esošo iestāžu formas tērpu priekšmetus, kuri būtu modernizējami, kā arī apkopot un saskaņot iesaistīto padotības iestāžu izstrādātās iepirkuma priekšmetam izvirzītās prasības iepirkuma procedūras organizēšanai par formas tērpu dizaina un tehniskās specifikācijas izstrādi (iepirkuma līguma rezultātā saņemamā pakalpojuma rezultāts, izpildes prasības, izstrādāj</w:t>
            </w:r>
            <w:r w:rsidR="003656E4">
              <w:rPr>
                <w:sz w:val="24"/>
                <w:szCs w:val="24"/>
              </w:rPr>
              <w:t>a</w:t>
            </w:r>
            <w:r w:rsidRPr="000F29C2">
              <w:rPr>
                <w:sz w:val="24"/>
                <w:szCs w:val="24"/>
              </w:rPr>
              <w:t>mā dokumentācija par formas tērpu priekšmetiem).</w:t>
            </w:r>
          </w:p>
          <w:p w:rsidR="000F29C2" w:rsidRPr="000F29C2" w:rsidRDefault="000F29C2" w:rsidP="000F29C2">
            <w:pPr>
              <w:pStyle w:val="naisf"/>
              <w:spacing w:before="0" w:after="0"/>
              <w:ind w:firstLine="720"/>
            </w:pPr>
            <w:r w:rsidRPr="000F29C2">
              <w:lastRenderedPageBreak/>
              <w:t xml:space="preserve">Iekšlietu ministrijas </w:t>
            </w:r>
            <w:r w:rsidR="000F5863">
              <w:t>centralizētā iepirkuma ietvaros</w:t>
            </w:r>
            <w:r w:rsidRPr="000F29C2">
              <w:t xml:space="preserve"> Nodrošinājuma valsts aģentūra 2015.gada 3.augustā izsludināja atklātu konkursu “</w:t>
            </w:r>
            <w:r w:rsidRPr="000F29C2">
              <w:rPr>
                <w:bCs/>
                <w:color w:val="000000"/>
              </w:rPr>
              <w:t>Iekšlietu ministrijas padotībā esošo iestāžu ikdienas formas tērpu dizaina izstrāde, kā arī to tehnisko specifikāciju izstrāde</w:t>
            </w:r>
            <w:r w:rsidRPr="000F29C2">
              <w:t xml:space="preserve">” (iepirkuma identifikācijas numurs – IeM NVA 2015/101). </w:t>
            </w:r>
          </w:p>
          <w:p w:rsidR="000F29C2" w:rsidRPr="000F29C2" w:rsidRDefault="000F29C2" w:rsidP="000F29C2">
            <w:pPr>
              <w:rPr>
                <w:sz w:val="24"/>
                <w:szCs w:val="24"/>
              </w:rPr>
            </w:pPr>
            <w:r w:rsidRPr="000F29C2">
              <w:rPr>
                <w:sz w:val="24"/>
                <w:szCs w:val="24"/>
              </w:rPr>
              <w:t>Iekšlietu ministrija, ņemot vērā iepriekšējo pieredzi, pieņēma lēmumu, darbības, kas veicamas saistībā ar formas tērpu modernizāciju un apgādes uzlabošanu, veikt pa daļām, respektīvi, šobrīd netiek plānots atkārtot apjomīgu reformu formas tērpu jomā.</w:t>
            </w:r>
          </w:p>
          <w:p w:rsidR="00CB60C3" w:rsidRPr="00862D0F" w:rsidRDefault="000F5863" w:rsidP="001F3F4B">
            <w:pPr>
              <w:tabs>
                <w:tab w:val="left" w:pos="389"/>
                <w:tab w:val="left" w:pos="993"/>
              </w:tabs>
              <w:rPr>
                <w:rFonts w:eastAsia="Times New Roman" w:cs="Times New Roman"/>
                <w:sz w:val="24"/>
                <w:szCs w:val="24"/>
                <w:lang w:eastAsia="lv-LV"/>
              </w:rPr>
            </w:pPr>
            <w:r>
              <w:rPr>
                <w:sz w:val="24"/>
                <w:szCs w:val="24"/>
              </w:rPr>
              <w:t xml:space="preserve">Ņemot vērā </w:t>
            </w:r>
            <w:r w:rsidR="000F29C2" w:rsidRPr="000F29C2">
              <w:rPr>
                <w:sz w:val="24"/>
                <w:szCs w:val="24"/>
              </w:rPr>
              <w:t xml:space="preserve">minēto, Ministru kabineta 2013.gada 4.jūnija sēdes </w:t>
            </w:r>
            <w:proofErr w:type="spellStart"/>
            <w:r w:rsidR="000F29C2" w:rsidRPr="000F29C2">
              <w:rPr>
                <w:sz w:val="24"/>
                <w:szCs w:val="24"/>
              </w:rPr>
              <w:t>protokollēmuma</w:t>
            </w:r>
            <w:proofErr w:type="spellEnd"/>
            <w:r w:rsidR="000F29C2" w:rsidRPr="000F29C2">
              <w:rPr>
                <w:sz w:val="24"/>
                <w:szCs w:val="24"/>
              </w:rPr>
              <w:t xml:space="preserve"> (prot. Nr.33 35.§) “Informatīvais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4.2.apakšpunktā doto uzdevumu nepieciešams atzīt par aktualitāti zaudējušu.</w:t>
            </w:r>
          </w:p>
        </w:tc>
        <w:bookmarkStart w:id="0" w:name="_GoBack"/>
        <w:bookmarkEnd w:id="0"/>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0F5863" w:rsidP="000F5863">
            <w:pPr>
              <w:spacing w:before="100" w:beforeAutospacing="1" w:after="100" w:afterAutospacing="1"/>
              <w:ind w:firstLine="0"/>
              <w:jc w:val="center"/>
              <w:rPr>
                <w:rFonts w:eastAsia="Times New Roman" w:cs="Times New Roman"/>
                <w:sz w:val="24"/>
                <w:szCs w:val="24"/>
                <w:lang w:eastAsia="lv-LV"/>
              </w:rPr>
            </w:pPr>
            <w:r>
              <w:rPr>
                <w:rFonts w:eastAsia="Times New Roman" w:cs="Times New Roman"/>
                <w:sz w:val="24"/>
                <w:szCs w:val="24"/>
                <w:lang w:eastAsia="lv-LV"/>
              </w:rPr>
              <w:lastRenderedPageBreak/>
              <w:t>3.</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49311D" w:rsidP="0049311D">
            <w:pPr>
              <w:spacing w:before="100" w:beforeAutospacing="1" w:after="100" w:afterAutospacing="1"/>
              <w:rPr>
                <w:rFonts w:eastAsia="Times New Roman" w:cs="Times New Roman"/>
                <w:sz w:val="24"/>
                <w:szCs w:val="24"/>
                <w:lang w:eastAsia="lv-LV"/>
              </w:rPr>
            </w:pPr>
            <w:r w:rsidRPr="000F29C2">
              <w:rPr>
                <w:sz w:val="24"/>
                <w:szCs w:val="24"/>
              </w:rPr>
              <w:t>Vienlaikus norādām, ka papildu finansējums darbību, kas veicamas saistībā ar formas tērpu modernizāciju un apgādes uzlabošanu, nodrošināšanai nav nepieciešams un Iekšlietu ministrija to nodrošinās tai piešķirto valsts budžeta līdzekļu ietvaros</w:t>
            </w:r>
          </w:p>
        </w:tc>
      </w:tr>
    </w:tbl>
    <w:p w:rsidR="00140597" w:rsidRPr="00487901" w:rsidRDefault="00862D0F" w:rsidP="000F5863">
      <w:pPr>
        <w:spacing w:before="100" w:beforeAutospacing="1" w:after="100" w:afterAutospacing="1"/>
        <w:ind w:firstLine="0"/>
        <w:jc w:val="left"/>
        <w:rPr>
          <w:szCs w:val="28"/>
        </w:rPr>
      </w:pPr>
      <w:r w:rsidRPr="000F5863">
        <w:rPr>
          <w:rFonts w:eastAsia="Times New Roman" w:cs="Times New Roman"/>
          <w:sz w:val="24"/>
          <w:szCs w:val="24"/>
          <w:lang w:eastAsia="lv-LV"/>
        </w:rPr>
        <w:t> </w:t>
      </w:r>
      <w:r w:rsidR="000F5863" w:rsidRPr="00487901">
        <w:rPr>
          <w:szCs w:val="28"/>
        </w:rPr>
        <w:t xml:space="preserve">Anotācijas II, III, IV, V, VI un VII sadaļa – projekts šīs jomas neskar. </w:t>
      </w:r>
    </w:p>
    <w:p w:rsidR="00140597" w:rsidRPr="00487901" w:rsidRDefault="00140597" w:rsidP="00140597">
      <w:pPr>
        <w:ind w:left="-284" w:firstLine="0"/>
        <w:rPr>
          <w:szCs w:val="28"/>
        </w:rPr>
      </w:pPr>
    </w:p>
    <w:p w:rsidR="00140597" w:rsidRPr="00487901" w:rsidRDefault="00140597" w:rsidP="00140597">
      <w:pPr>
        <w:ind w:firstLine="0"/>
        <w:rPr>
          <w:szCs w:val="28"/>
        </w:rPr>
      </w:pPr>
      <w:r w:rsidRPr="00487901">
        <w:rPr>
          <w:szCs w:val="28"/>
        </w:rPr>
        <w:t>Iekšlietu ministrs</w:t>
      </w:r>
      <w:r w:rsidRPr="00487901">
        <w:rPr>
          <w:szCs w:val="28"/>
        </w:rPr>
        <w:tab/>
      </w:r>
      <w:r w:rsidRPr="00487901">
        <w:rPr>
          <w:szCs w:val="28"/>
        </w:rPr>
        <w:tab/>
      </w:r>
      <w:r w:rsidRPr="00487901">
        <w:rPr>
          <w:szCs w:val="28"/>
        </w:rPr>
        <w:tab/>
      </w:r>
      <w:r w:rsidRPr="00487901">
        <w:rPr>
          <w:szCs w:val="28"/>
        </w:rPr>
        <w:tab/>
      </w:r>
      <w:r w:rsidRPr="00487901">
        <w:rPr>
          <w:szCs w:val="28"/>
        </w:rPr>
        <w:tab/>
      </w:r>
      <w:r w:rsidRPr="00487901">
        <w:rPr>
          <w:szCs w:val="28"/>
        </w:rPr>
        <w:tab/>
      </w:r>
      <w:r w:rsidRPr="00487901">
        <w:rPr>
          <w:szCs w:val="28"/>
        </w:rPr>
        <w:tab/>
      </w:r>
      <w:r w:rsidRPr="00487901">
        <w:rPr>
          <w:szCs w:val="28"/>
        </w:rPr>
        <w:tab/>
        <w:t xml:space="preserve">    </w:t>
      </w:r>
      <w:r w:rsidR="00487901">
        <w:rPr>
          <w:szCs w:val="28"/>
        </w:rPr>
        <w:t xml:space="preserve"> </w:t>
      </w:r>
      <w:r w:rsidRPr="00487901">
        <w:rPr>
          <w:szCs w:val="28"/>
        </w:rPr>
        <w:t>R.Kozlovskis</w:t>
      </w:r>
    </w:p>
    <w:p w:rsidR="00140597" w:rsidRPr="00487901" w:rsidRDefault="00140597" w:rsidP="00140597">
      <w:pPr>
        <w:ind w:firstLine="0"/>
        <w:rPr>
          <w:szCs w:val="28"/>
        </w:rPr>
      </w:pPr>
    </w:p>
    <w:p w:rsidR="00140597" w:rsidRPr="00487901" w:rsidRDefault="00140597" w:rsidP="00140597">
      <w:pPr>
        <w:ind w:firstLine="0"/>
        <w:rPr>
          <w:szCs w:val="28"/>
        </w:rPr>
      </w:pPr>
    </w:p>
    <w:p w:rsidR="00140597" w:rsidRPr="00487901" w:rsidRDefault="00140597" w:rsidP="00140597">
      <w:pPr>
        <w:ind w:firstLine="0"/>
        <w:rPr>
          <w:szCs w:val="28"/>
        </w:rPr>
      </w:pPr>
      <w:r w:rsidRPr="00487901">
        <w:rPr>
          <w:szCs w:val="28"/>
        </w:rPr>
        <w:t>Valsts sekretāre</w:t>
      </w:r>
      <w:r w:rsidRPr="00487901">
        <w:rPr>
          <w:szCs w:val="28"/>
        </w:rPr>
        <w:tab/>
      </w:r>
      <w:r w:rsidRPr="00487901">
        <w:rPr>
          <w:szCs w:val="28"/>
        </w:rPr>
        <w:tab/>
      </w:r>
      <w:r w:rsidRPr="00487901">
        <w:rPr>
          <w:szCs w:val="28"/>
        </w:rPr>
        <w:tab/>
      </w:r>
      <w:r w:rsidRPr="00487901">
        <w:rPr>
          <w:szCs w:val="28"/>
        </w:rPr>
        <w:tab/>
      </w:r>
      <w:r w:rsidRPr="00487901">
        <w:rPr>
          <w:szCs w:val="28"/>
        </w:rPr>
        <w:tab/>
      </w:r>
      <w:r w:rsidRPr="00487901">
        <w:rPr>
          <w:szCs w:val="28"/>
        </w:rPr>
        <w:tab/>
      </w:r>
      <w:r w:rsidRPr="00487901">
        <w:rPr>
          <w:szCs w:val="28"/>
        </w:rPr>
        <w:tab/>
      </w:r>
      <w:r w:rsidR="00487901">
        <w:rPr>
          <w:szCs w:val="28"/>
        </w:rPr>
        <w:t xml:space="preserve">  </w:t>
      </w:r>
      <w:r w:rsidR="000F5863" w:rsidRPr="00487901">
        <w:rPr>
          <w:szCs w:val="28"/>
        </w:rPr>
        <w:t>I.Pētersone-</w:t>
      </w:r>
      <w:r w:rsidRPr="00487901">
        <w:rPr>
          <w:szCs w:val="28"/>
        </w:rPr>
        <w:t>Godmane</w:t>
      </w:r>
    </w:p>
    <w:p w:rsidR="00827B09" w:rsidRPr="00487901" w:rsidRDefault="00827B09" w:rsidP="00140597">
      <w:pPr>
        <w:ind w:firstLine="0"/>
        <w:rPr>
          <w:szCs w:val="28"/>
        </w:rPr>
      </w:pPr>
    </w:p>
    <w:p w:rsidR="00827B09" w:rsidRPr="00487901" w:rsidRDefault="00827B09" w:rsidP="00140597">
      <w:pPr>
        <w:ind w:firstLine="0"/>
        <w:rPr>
          <w:szCs w:val="28"/>
        </w:rPr>
      </w:pPr>
    </w:p>
    <w:p w:rsidR="00827B09" w:rsidRPr="000F5863" w:rsidRDefault="00827B09" w:rsidP="00140597">
      <w:pPr>
        <w:ind w:firstLine="0"/>
        <w:rPr>
          <w:sz w:val="24"/>
          <w:szCs w:val="24"/>
        </w:rPr>
      </w:pPr>
    </w:p>
    <w:p w:rsidR="00FC6323" w:rsidRDefault="00FC6323" w:rsidP="00140597">
      <w:pPr>
        <w:ind w:firstLine="0"/>
      </w:pPr>
    </w:p>
    <w:p w:rsidR="00033429" w:rsidRDefault="00AE29EF" w:rsidP="00AE29EF">
      <w:pPr>
        <w:tabs>
          <w:tab w:val="left" w:pos="6630"/>
        </w:tabs>
        <w:ind w:firstLine="0"/>
      </w:pPr>
      <w:r>
        <w:tab/>
      </w:r>
    </w:p>
    <w:p w:rsidR="00033429" w:rsidRDefault="00033429" w:rsidP="00140597">
      <w:pPr>
        <w:ind w:firstLine="0"/>
      </w:pPr>
    </w:p>
    <w:p w:rsidR="00033429" w:rsidRDefault="00033429" w:rsidP="00140597">
      <w:pPr>
        <w:ind w:firstLine="0"/>
      </w:pPr>
    </w:p>
    <w:p w:rsidR="00033429" w:rsidRDefault="00033429" w:rsidP="00140597">
      <w:pPr>
        <w:ind w:firstLine="0"/>
      </w:pPr>
    </w:p>
    <w:p w:rsidR="0049311D" w:rsidRDefault="0049311D" w:rsidP="00140597">
      <w:pPr>
        <w:ind w:firstLine="0"/>
      </w:pPr>
    </w:p>
    <w:p w:rsidR="0049311D" w:rsidRDefault="0049311D" w:rsidP="00140597">
      <w:pPr>
        <w:ind w:firstLine="0"/>
      </w:pPr>
    </w:p>
    <w:p w:rsidR="00033429" w:rsidRPr="0049311D" w:rsidRDefault="00033429" w:rsidP="00140597">
      <w:pPr>
        <w:ind w:firstLine="0"/>
        <w:rPr>
          <w:sz w:val="20"/>
          <w:szCs w:val="20"/>
        </w:rPr>
      </w:pPr>
    </w:p>
    <w:p w:rsidR="0049311D" w:rsidRPr="0049311D" w:rsidRDefault="0049311D" w:rsidP="0049311D">
      <w:pPr>
        <w:pStyle w:val="naisf"/>
        <w:tabs>
          <w:tab w:val="center" w:pos="4535"/>
        </w:tabs>
        <w:spacing w:before="0" w:after="0"/>
        <w:ind w:firstLine="0"/>
        <w:rPr>
          <w:sz w:val="20"/>
          <w:szCs w:val="20"/>
        </w:rPr>
      </w:pPr>
      <w:r w:rsidRPr="0049311D">
        <w:rPr>
          <w:sz w:val="20"/>
          <w:szCs w:val="20"/>
        </w:rPr>
        <w:fldChar w:fldCharType="begin"/>
      </w:r>
      <w:r w:rsidRPr="0049311D">
        <w:rPr>
          <w:sz w:val="20"/>
          <w:szCs w:val="20"/>
          <w:lang w:val="ru-RU"/>
        </w:rPr>
        <w:instrText xml:space="preserve"> TIME \@ "dd.MM.yyyy H:mm" </w:instrText>
      </w:r>
      <w:r w:rsidRPr="0049311D">
        <w:rPr>
          <w:sz w:val="20"/>
          <w:szCs w:val="20"/>
        </w:rPr>
        <w:fldChar w:fldCharType="separate"/>
      </w:r>
      <w:r w:rsidR="00A430DE">
        <w:rPr>
          <w:noProof/>
          <w:sz w:val="20"/>
          <w:szCs w:val="20"/>
          <w:lang w:val="ru-RU"/>
        </w:rPr>
        <w:t>02.10.2015 11:12</w:t>
      </w:r>
      <w:r w:rsidRPr="0049311D">
        <w:rPr>
          <w:sz w:val="20"/>
          <w:szCs w:val="20"/>
        </w:rPr>
        <w:fldChar w:fldCharType="end"/>
      </w:r>
      <w:r w:rsidRPr="0049311D">
        <w:rPr>
          <w:sz w:val="20"/>
          <w:szCs w:val="20"/>
        </w:rPr>
        <w:tab/>
      </w:r>
    </w:p>
    <w:p w:rsidR="0049311D" w:rsidRPr="0049311D" w:rsidRDefault="0049311D" w:rsidP="0049311D">
      <w:pPr>
        <w:ind w:firstLine="0"/>
        <w:rPr>
          <w:sz w:val="20"/>
          <w:szCs w:val="20"/>
        </w:rPr>
      </w:pPr>
      <w:r w:rsidRPr="0049311D">
        <w:rPr>
          <w:sz w:val="20"/>
          <w:szCs w:val="20"/>
        </w:rPr>
        <w:fldChar w:fldCharType="begin"/>
      </w:r>
      <w:r w:rsidRPr="0049311D">
        <w:rPr>
          <w:sz w:val="20"/>
          <w:szCs w:val="20"/>
        </w:rPr>
        <w:instrText xml:space="preserve"> NUMWORDS  \# "0"  \* MERGEFORMAT </w:instrText>
      </w:r>
      <w:r w:rsidRPr="0049311D">
        <w:rPr>
          <w:sz w:val="20"/>
          <w:szCs w:val="20"/>
        </w:rPr>
        <w:fldChar w:fldCharType="separate"/>
      </w:r>
      <w:r>
        <w:rPr>
          <w:noProof/>
          <w:sz w:val="20"/>
          <w:szCs w:val="20"/>
        </w:rPr>
        <w:t>1249</w:t>
      </w:r>
      <w:r w:rsidRPr="0049311D">
        <w:rPr>
          <w:sz w:val="20"/>
          <w:szCs w:val="20"/>
        </w:rPr>
        <w:fldChar w:fldCharType="end"/>
      </w:r>
    </w:p>
    <w:p w:rsidR="0049311D" w:rsidRPr="0049311D" w:rsidRDefault="0049311D" w:rsidP="0049311D">
      <w:pPr>
        <w:ind w:firstLine="0"/>
        <w:rPr>
          <w:sz w:val="20"/>
          <w:szCs w:val="20"/>
        </w:rPr>
      </w:pPr>
      <w:r w:rsidRPr="0049311D">
        <w:rPr>
          <w:sz w:val="20"/>
          <w:szCs w:val="20"/>
        </w:rPr>
        <w:t>N.Lazukova</w:t>
      </w:r>
    </w:p>
    <w:p w:rsidR="00033429" w:rsidRPr="00487901" w:rsidRDefault="0049311D" w:rsidP="00140597">
      <w:pPr>
        <w:ind w:firstLine="0"/>
        <w:rPr>
          <w:sz w:val="20"/>
          <w:szCs w:val="20"/>
        </w:rPr>
      </w:pPr>
      <w:r w:rsidRPr="0049311D">
        <w:rPr>
          <w:sz w:val="20"/>
          <w:szCs w:val="20"/>
        </w:rPr>
        <w:t xml:space="preserve">67219177, </w:t>
      </w:r>
      <w:hyperlink r:id="rId7" w:history="1">
        <w:r w:rsidRPr="0049311D">
          <w:rPr>
            <w:rStyle w:val="Hyperlink"/>
            <w:sz w:val="20"/>
            <w:szCs w:val="20"/>
          </w:rPr>
          <w:t>nadezda.lazukova@iem.gov.lv</w:t>
        </w:r>
      </w:hyperlink>
      <w:r w:rsidRPr="0049311D">
        <w:rPr>
          <w:sz w:val="20"/>
          <w:szCs w:val="20"/>
        </w:rPr>
        <w:t xml:space="preserve"> </w:t>
      </w:r>
    </w:p>
    <w:sectPr w:rsidR="00033429" w:rsidRPr="00487901" w:rsidSect="00A430DE">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132" w:rsidRDefault="00D94132" w:rsidP="00F3628F">
      <w:r>
        <w:separator/>
      </w:r>
    </w:p>
  </w:endnote>
  <w:endnote w:type="continuationSeparator" w:id="0">
    <w:p w:rsidR="00D94132" w:rsidRDefault="00D94132"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84" w:rsidRPr="000E5184" w:rsidRDefault="00A16A08" w:rsidP="0027319E">
    <w:pPr>
      <w:pStyle w:val="Footer"/>
      <w:ind w:firstLine="0"/>
    </w:pPr>
    <w:r>
      <w:rPr>
        <w:sz w:val="20"/>
        <w:szCs w:val="20"/>
      </w:rPr>
      <w:t>IEMAnot_</w:t>
    </w:r>
    <w:r w:rsidR="000F5863">
      <w:rPr>
        <w:sz w:val="20"/>
        <w:szCs w:val="20"/>
      </w:rPr>
      <w:t>01102015</w:t>
    </w:r>
    <w:r w:rsidR="0027319E" w:rsidRPr="0027319E">
      <w:rPr>
        <w:sz w:val="20"/>
        <w:szCs w:val="20"/>
      </w:rPr>
      <w:t xml:space="preserve">; </w:t>
    </w:r>
    <w:r w:rsidR="000F5863">
      <w:rPr>
        <w:sz w:val="20"/>
        <w:szCs w:val="20"/>
      </w:rPr>
      <w:t xml:space="preserve">Ministru kabineta sēdes </w:t>
    </w:r>
    <w:proofErr w:type="spellStart"/>
    <w:r w:rsidR="000F5863">
      <w:rPr>
        <w:sz w:val="20"/>
        <w:szCs w:val="20"/>
      </w:rPr>
      <w:t>protokollēmuma</w:t>
    </w:r>
    <w:proofErr w:type="spellEnd"/>
    <w:r w:rsidR="000F5863">
      <w:rPr>
        <w:sz w:val="20"/>
        <w:szCs w:val="20"/>
      </w:rPr>
      <w:t xml:space="preserve"> “</w:t>
    </w:r>
    <w:r w:rsidR="000F5863" w:rsidRPr="004D1D57">
      <w:rPr>
        <w:sz w:val="20"/>
        <w:szCs w:val="20"/>
      </w:rPr>
      <w:t xml:space="preserve">Par Ministru kabineta </w:t>
    </w:r>
    <w:proofErr w:type="gramStart"/>
    <w:r w:rsidR="000F5863" w:rsidRPr="004D1D57">
      <w:rPr>
        <w:sz w:val="20"/>
        <w:szCs w:val="20"/>
      </w:rPr>
      <w:t>2013.gada</w:t>
    </w:r>
    <w:proofErr w:type="gramEnd"/>
    <w:r w:rsidR="000F5863" w:rsidRPr="004D1D57">
      <w:rPr>
        <w:sz w:val="20"/>
        <w:szCs w:val="20"/>
      </w:rPr>
      <w:t xml:space="preserve"> 4.jūnija sēdes </w:t>
    </w:r>
    <w:proofErr w:type="spellStart"/>
    <w:r w:rsidR="000F5863" w:rsidRPr="004D1D57">
      <w:rPr>
        <w:sz w:val="20"/>
        <w:szCs w:val="20"/>
      </w:rPr>
      <w:t>protokollēmuma</w:t>
    </w:r>
    <w:proofErr w:type="spellEnd"/>
    <w:r w:rsidR="000F5863" w:rsidRPr="004D1D57">
      <w:rPr>
        <w:sz w:val="20"/>
        <w:szCs w:val="20"/>
      </w:rPr>
      <w:t xml:space="preserve"> (prot. Nr.33 35.§) “Informatīvais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4.2.apakšpunktā dotā uzdevuma atzīšanu par aktualitāti zaudējušu”</w:t>
    </w:r>
    <w:r w:rsidR="000F5863">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63" w:rsidRPr="000E5184" w:rsidRDefault="000F5863" w:rsidP="000F5863">
    <w:pPr>
      <w:pStyle w:val="Footer"/>
      <w:ind w:firstLine="0"/>
    </w:pPr>
    <w:r>
      <w:rPr>
        <w:sz w:val="20"/>
        <w:szCs w:val="20"/>
      </w:rPr>
      <w:t>IEMAnot_01102015</w:t>
    </w:r>
    <w:r w:rsidRPr="0027319E">
      <w:rPr>
        <w:sz w:val="20"/>
        <w:szCs w:val="20"/>
      </w:rPr>
      <w:t xml:space="preserve">; </w:t>
    </w:r>
    <w:r>
      <w:rPr>
        <w:sz w:val="20"/>
        <w:szCs w:val="20"/>
      </w:rPr>
      <w:t xml:space="preserve">Ministru kabineta sēdes </w:t>
    </w:r>
    <w:proofErr w:type="spellStart"/>
    <w:r>
      <w:rPr>
        <w:sz w:val="20"/>
        <w:szCs w:val="20"/>
      </w:rPr>
      <w:t>protokollēmuma</w:t>
    </w:r>
    <w:proofErr w:type="spellEnd"/>
    <w:r>
      <w:rPr>
        <w:sz w:val="20"/>
        <w:szCs w:val="20"/>
      </w:rPr>
      <w:t xml:space="preserve"> “</w:t>
    </w:r>
    <w:r w:rsidRPr="004D1D57">
      <w:rPr>
        <w:sz w:val="20"/>
        <w:szCs w:val="20"/>
      </w:rPr>
      <w:t xml:space="preserve">Par Ministru kabineta </w:t>
    </w:r>
    <w:proofErr w:type="gramStart"/>
    <w:r w:rsidRPr="004D1D57">
      <w:rPr>
        <w:sz w:val="20"/>
        <w:szCs w:val="20"/>
      </w:rPr>
      <w:t>2013.gada</w:t>
    </w:r>
    <w:proofErr w:type="gramEnd"/>
    <w:r w:rsidRPr="004D1D57">
      <w:rPr>
        <w:sz w:val="20"/>
        <w:szCs w:val="20"/>
      </w:rPr>
      <w:t xml:space="preserve"> 4.jūnija sēdes </w:t>
    </w:r>
    <w:proofErr w:type="spellStart"/>
    <w:r w:rsidRPr="004D1D57">
      <w:rPr>
        <w:sz w:val="20"/>
        <w:szCs w:val="20"/>
      </w:rPr>
      <w:t>protokollēmuma</w:t>
    </w:r>
    <w:proofErr w:type="spellEnd"/>
    <w:r w:rsidRPr="004D1D57">
      <w:rPr>
        <w:sz w:val="20"/>
        <w:szCs w:val="20"/>
      </w:rPr>
      <w:t xml:space="preserve"> (prot. Nr.33 35.§) “Informatīvais ziņojums “Par Iekšlietu ministrijas sistēmas iestāžu amatpersonu ar speciālajām dienesta pakāpēm formas tērpu elementu pilnveidošanu, formas tērpu izsniegšanas kārtības precizēšanu un centralizētās formas tērpu izsniegšanas kārtības ieviešanas gaitu”” 4.2.apakšpunktā dotā uzdevuma atzīšanu par aktualitāti zaudējušu”</w:t>
    </w:r>
    <w:r>
      <w:rPr>
        <w:sz w:val="20"/>
        <w:szCs w:val="20"/>
      </w:rPr>
      <w:t xml:space="preserve"> sākotnējās ietekmes novērtējuma ziņojums (anotācija)</w:t>
    </w:r>
  </w:p>
  <w:p w:rsidR="0027319E" w:rsidRDefault="0027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132" w:rsidRDefault="00D94132" w:rsidP="00F3628F">
      <w:r>
        <w:separator/>
      </w:r>
    </w:p>
  </w:footnote>
  <w:footnote w:type="continuationSeparator" w:id="0">
    <w:p w:rsidR="00D94132" w:rsidRDefault="00D94132"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B605EA" w:rsidRDefault="00B605E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A430DE">
          <w:rPr>
            <w:noProof/>
            <w:sz w:val="20"/>
            <w:szCs w:val="20"/>
          </w:rPr>
          <w:t>4</w:t>
        </w:r>
        <w:r w:rsidRPr="00B605EA">
          <w:rPr>
            <w:noProof/>
            <w:sz w:val="20"/>
            <w:szCs w:val="20"/>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101C2C"/>
    <w:multiLevelType w:val="hybridMultilevel"/>
    <w:tmpl w:val="0BB0BBB4"/>
    <w:lvl w:ilvl="0" w:tplc="AC7468D4">
      <w:start w:val="54"/>
      <w:numFmt w:val="decimal"/>
      <w:lvlText w:val="%1."/>
      <w:lvlJc w:val="left"/>
      <w:pPr>
        <w:ind w:left="1350" w:hanging="360"/>
      </w:pPr>
      <w:rPr>
        <w:rFonts w:hint="default"/>
        <w:u w:val="none"/>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5" w15:restartNumberingAfterBreak="0">
    <w:nsid w:val="6CB52392"/>
    <w:multiLevelType w:val="hybridMultilevel"/>
    <w:tmpl w:val="10F86666"/>
    <w:lvl w:ilvl="0" w:tplc="13285E68">
      <w:start w:val="201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8"/>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14974"/>
    <w:rsid w:val="00033429"/>
    <w:rsid w:val="0004315A"/>
    <w:rsid w:val="0007566F"/>
    <w:rsid w:val="00083D16"/>
    <w:rsid w:val="0008799E"/>
    <w:rsid w:val="000B3000"/>
    <w:rsid w:val="000D513D"/>
    <w:rsid w:val="000E5184"/>
    <w:rsid w:val="000E7ED0"/>
    <w:rsid w:val="000F22A5"/>
    <w:rsid w:val="000F29C2"/>
    <w:rsid w:val="000F5863"/>
    <w:rsid w:val="0010476E"/>
    <w:rsid w:val="00132152"/>
    <w:rsid w:val="0013550B"/>
    <w:rsid w:val="0013569A"/>
    <w:rsid w:val="00140597"/>
    <w:rsid w:val="00145F94"/>
    <w:rsid w:val="00151C8F"/>
    <w:rsid w:val="00154D80"/>
    <w:rsid w:val="00161FC1"/>
    <w:rsid w:val="00171E4F"/>
    <w:rsid w:val="00182DA4"/>
    <w:rsid w:val="00183AE1"/>
    <w:rsid w:val="001A4487"/>
    <w:rsid w:val="001C0EEE"/>
    <w:rsid w:val="001C6521"/>
    <w:rsid w:val="001D510D"/>
    <w:rsid w:val="001D5646"/>
    <w:rsid w:val="001D681A"/>
    <w:rsid w:val="001E4331"/>
    <w:rsid w:val="001F3F4B"/>
    <w:rsid w:val="00205CD5"/>
    <w:rsid w:val="0021213F"/>
    <w:rsid w:val="002206FD"/>
    <w:rsid w:val="00224D56"/>
    <w:rsid w:val="00227ED8"/>
    <w:rsid w:val="00243873"/>
    <w:rsid w:val="00267305"/>
    <w:rsid w:val="0027319E"/>
    <w:rsid w:val="0027455A"/>
    <w:rsid w:val="0028629C"/>
    <w:rsid w:val="002871D0"/>
    <w:rsid w:val="00290FAC"/>
    <w:rsid w:val="002A1F02"/>
    <w:rsid w:val="002A3D3A"/>
    <w:rsid w:val="002C01C2"/>
    <w:rsid w:val="002D2B36"/>
    <w:rsid w:val="002E34B7"/>
    <w:rsid w:val="002E78EA"/>
    <w:rsid w:val="002F4C71"/>
    <w:rsid w:val="003010E0"/>
    <w:rsid w:val="003102AA"/>
    <w:rsid w:val="003235AA"/>
    <w:rsid w:val="00324661"/>
    <w:rsid w:val="003417A9"/>
    <w:rsid w:val="00355FC9"/>
    <w:rsid w:val="00360AE4"/>
    <w:rsid w:val="00360F9B"/>
    <w:rsid w:val="0036204A"/>
    <w:rsid w:val="003656E4"/>
    <w:rsid w:val="003910B6"/>
    <w:rsid w:val="003D6EA8"/>
    <w:rsid w:val="003E55D3"/>
    <w:rsid w:val="00422051"/>
    <w:rsid w:val="0044584E"/>
    <w:rsid w:val="00454BE7"/>
    <w:rsid w:val="0046668C"/>
    <w:rsid w:val="004701FD"/>
    <w:rsid w:val="00470970"/>
    <w:rsid w:val="00476B02"/>
    <w:rsid w:val="00476E9D"/>
    <w:rsid w:val="004849D4"/>
    <w:rsid w:val="00487901"/>
    <w:rsid w:val="00490250"/>
    <w:rsid w:val="0049311D"/>
    <w:rsid w:val="004D732F"/>
    <w:rsid w:val="004D7E08"/>
    <w:rsid w:val="004F55B2"/>
    <w:rsid w:val="004F62C2"/>
    <w:rsid w:val="00507BA0"/>
    <w:rsid w:val="00520E70"/>
    <w:rsid w:val="005401E9"/>
    <w:rsid w:val="005442BC"/>
    <w:rsid w:val="00562A60"/>
    <w:rsid w:val="00571B50"/>
    <w:rsid w:val="00572504"/>
    <w:rsid w:val="00575FE2"/>
    <w:rsid w:val="00580DDF"/>
    <w:rsid w:val="00583CFA"/>
    <w:rsid w:val="005937BE"/>
    <w:rsid w:val="005A2741"/>
    <w:rsid w:val="005A6B96"/>
    <w:rsid w:val="005D3F4A"/>
    <w:rsid w:val="005E36D1"/>
    <w:rsid w:val="005F6FB2"/>
    <w:rsid w:val="006020DB"/>
    <w:rsid w:val="00612737"/>
    <w:rsid w:val="00616CC7"/>
    <w:rsid w:val="00623A32"/>
    <w:rsid w:val="006462A7"/>
    <w:rsid w:val="006569DF"/>
    <w:rsid w:val="00683BBE"/>
    <w:rsid w:val="00687DEE"/>
    <w:rsid w:val="006C7180"/>
    <w:rsid w:val="006C76BC"/>
    <w:rsid w:val="006F223E"/>
    <w:rsid w:val="00715FE0"/>
    <w:rsid w:val="0073700E"/>
    <w:rsid w:val="007536A2"/>
    <w:rsid w:val="007719B6"/>
    <w:rsid w:val="007741A3"/>
    <w:rsid w:val="007747B8"/>
    <w:rsid w:val="00787179"/>
    <w:rsid w:val="007B2554"/>
    <w:rsid w:val="007C38CD"/>
    <w:rsid w:val="007C4AFF"/>
    <w:rsid w:val="007E0AEF"/>
    <w:rsid w:val="007F61C4"/>
    <w:rsid w:val="00800BE8"/>
    <w:rsid w:val="0081313F"/>
    <w:rsid w:val="008230AB"/>
    <w:rsid w:val="00824D83"/>
    <w:rsid w:val="00827B09"/>
    <w:rsid w:val="008301CE"/>
    <w:rsid w:val="0083719F"/>
    <w:rsid w:val="00850A1C"/>
    <w:rsid w:val="00862D0F"/>
    <w:rsid w:val="0086763A"/>
    <w:rsid w:val="008773AE"/>
    <w:rsid w:val="0088221C"/>
    <w:rsid w:val="00887DF1"/>
    <w:rsid w:val="0089767B"/>
    <w:rsid w:val="008A5680"/>
    <w:rsid w:val="008B5670"/>
    <w:rsid w:val="008C16EE"/>
    <w:rsid w:val="008D5E43"/>
    <w:rsid w:val="00902BE1"/>
    <w:rsid w:val="00905836"/>
    <w:rsid w:val="00907B1F"/>
    <w:rsid w:val="00912A1F"/>
    <w:rsid w:val="00914EC7"/>
    <w:rsid w:val="00915D58"/>
    <w:rsid w:val="00922A16"/>
    <w:rsid w:val="00945180"/>
    <w:rsid w:val="009566B4"/>
    <w:rsid w:val="009629B8"/>
    <w:rsid w:val="00963E11"/>
    <w:rsid w:val="009B2E47"/>
    <w:rsid w:val="009B479F"/>
    <w:rsid w:val="009B5A0B"/>
    <w:rsid w:val="009B7317"/>
    <w:rsid w:val="009C1D16"/>
    <w:rsid w:val="00A16A08"/>
    <w:rsid w:val="00A20E61"/>
    <w:rsid w:val="00A24594"/>
    <w:rsid w:val="00A26085"/>
    <w:rsid w:val="00A31C99"/>
    <w:rsid w:val="00A430DE"/>
    <w:rsid w:val="00A5701B"/>
    <w:rsid w:val="00A900F4"/>
    <w:rsid w:val="00A92009"/>
    <w:rsid w:val="00A9559E"/>
    <w:rsid w:val="00A974F2"/>
    <w:rsid w:val="00AA205C"/>
    <w:rsid w:val="00AB3022"/>
    <w:rsid w:val="00AB6F4E"/>
    <w:rsid w:val="00AB79E6"/>
    <w:rsid w:val="00AE29EF"/>
    <w:rsid w:val="00AF1141"/>
    <w:rsid w:val="00AF2B4C"/>
    <w:rsid w:val="00AF7FCC"/>
    <w:rsid w:val="00B00AAE"/>
    <w:rsid w:val="00B02754"/>
    <w:rsid w:val="00B0624E"/>
    <w:rsid w:val="00B16423"/>
    <w:rsid w:val="00B21D01"/>
    <w:rsid w:val="00B254DA"/>
    <w:rsid w:val="00B30091"/>
    <w:rsid w:val="00B428BE"/>
    <w:rsid w:val="00B605EA"/>
    <w:rsid w:val="00B75620"/>
    <w:rsid w:val="00BA5524"/>
    <w:rsid w:val="00BA572C"/>
    <w:rsid w:val="00BA6840"/>
    <w:rsid w:val="00BB003C"/>
    <w:rsid w:val="00BB1DAF"/>
    <w:rsid w:val="00BB3839"/>
    <w:rsid w:val="00BB3BDD"/>
    <w:rsid w:val="00BC5918"/>
    <w:rsid w:val="00BE22DB"/>
    <w:rsid w:val="00BE6D54"/>
    <w:rsid w:val="00BF4C08"/>
    <w:rsid w:val="00C00BF4"/>
    <w:rsid w:val="00C067C8"/>
    <w:rsid w:val="00C14B19"/>
    <w:rsid w:val="00C22A7A"/>
    <w:rsid w:val="00C234CD"/>
    <w:rsid w:val="00C46783"/>
    <w:rsid w:val="00C5075E"/>
    <w:rsid w:val="00C5154B"/>
    <w:rsid w:val="00C6177A"/>
    <w:rsid w:val="00C72F3F"/>
    <w:rsid w:val="00C75CD7"/>
    <w:rsid w:val="00CB0FEC"/>
    <w:rsid w:val="00CB60C3"/>
    <w:rsid w:val="00CC4274"/>
    <w:rsid w:val="00CE60DB"/>
    <w:rsid w:val="00D0737C"/>
    <w:rsid w:val="00D12AF7"/>
    <w:rsid w:val="00D4453F"/>
    <w:rsid w:val="00D63A07"/>
    <w:rsid w:val="00D64BAC"/>
    <w:rsid w:val="00D65B61"/>
    <w:rsid w:val="00D71C7F"/>
    <w:rsid w:val="00D847A7"/>
    <w:rsid w:val="00D87E7A"/>
    <w:rsid w:val="00D910B0"/>
    <w:rsid w:val="00D94132"/>
    <w:rsid w:val="00DA192D"/>
    <w:rsid w:val="00DA5319"/>
    <w:rsid w:val="00DA6BDF"/>
    <w:rsid w:val="00DB0ED8"/>
    <w:rsid w:val="00DD22B3"/>
    <w:rsid w:val="00DE0A42"/>
    <w:rsid w:val="00DF183D"/>
    <w:rsid w:val="00DF5B9E"/>
    <w:rsid w:val="00E155AE"/>
    <w:rsid w:val="00E21D7E"/>
    <w:rsid w:val="00E500DC"/>
    <w:rsid w:val="00E51F88"/>
    <w:rsid w:val="00E720B3"/>
    <w:rsid w:val="00E750BC"/>
    <w:rsid w:val="00E95892"/>
    <w:rsid w:val="00EB0963"/>
    <w:rsid w:val="00EC1DC1"/>
    <w:rsid w:val="00EC35ED"/>
    <w:rsid w:val="00ED107C"/>
    <w:rsid w:val="00EE2EE7"/>
    <w:rsid w:val="00EF35E7"/>
    <w:rsid w:val="00EF52DE"/>
    <w:rsid w:val="00EF66D8"/>
    <w:rsid w:val="00F04654"/>
    <w:rsid w:val="00F150A3"/>
    <w:rsid w:val="00F26636"/>
    <w:rsid w:val="00F3628F"/>
    <w:rsid w:val="00F37DCD"/>
    <w:rsid w:val="00F52299"/>
    <w:rsid w:val="00F70446"/>
    <w:rsid w:val="00F705E3"/>
    <w:rsid w:val="00F81D8F"/>
    <w:rsid w:val="00F8250F"/>
    <w:rsid w:val="00F83BDB"/>
    <w:rsid w:val="00F953D7"/>
    <w:rsid w:val="00FA11EA"/>
    <w:rsid w:val="00FB5E43"/>
    <w:rsid w:val="00FC6323"/>
    <w:rsid w:val="00FD3338"/>
    <w:rsid w:val="00FD61B9"/>
    <w:rsid w:val="00FD714A"/>
    <w:rsid w:val="00FE346D"/>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 w:type="paragraph" w:customStyle="1" w:styleId="naisc">
    <w:name w:val="naisc"/>
    <w:basedOn w:val="Normal"/>
    <w:rsid w:val="00C72F3F"/>
    <w:pPr>
      <w:spacing w:before="450" w:after="300"/>
      <w:ind w:firstLine="0"/>
      <w:jc w:val="center"/>
    </w:pPr>
    <w:rPr>
      <w:rFonts w:eastAsia="Times New Roman" w:cs="Times New Roman"/>
      <w:sz w:val="26"/>
      <w:szCs w:val="26"/>
      <w:lang w:eastAsia="lv-LV"/>
    </w:rPr>
  </w:style>
  <w:style w:type="character" w:customStyle="1" w:styleId="apple-converted-space">
    <w:name w:val="apple-converted-space"/>
    <w:rsid w:val="000F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1564635554">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lazukova@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1269</Words>
  <Characters>9411</Characters>
  <Application>Microsoft Office Word</Application>
  <DocSecurity>0</DocSecurity>
  <Lines>209</Lines>
  <Paragraphs>47</Paragraphs>
  <ScaleCrop>false</ScaleCrop>
  <HeadingPairs>
    <vt:vector size="2" baseType="variant">
      <vt:variant>
        <vt:lpstr>Title</vt:lpstr>
      </vt:variant>
      <vt:variant>
        <vt:i4>1</vt:i4>
      </vt:variant>
    </vt:vector>
  </HeadingPairs>
  <TitlesOfParts>
    <vt:vector size="1" baseType="lpstr">
      <vt:lpstr>IEM sistēmas iestāžu un IevP amatpersonu ar speciālajām dienesta pakāpēm dienesta gaitas likums</vt:lpstr>
    </vt:vector>
  </TitlesOfParts>
  <Company>IeM</Company>
  <LinksUpToDate>false</LinksUpToDate>
  <CharactersWithSpaces>10633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 sistēmas iestāžu un IevP amatpersonu ar speciālajām dienesta pakāpēm dienesta gaitas likums</dc:title>
  <dc:subject>Anotācija</dc:subject>
  <dc:creator>Dzintra Rancāne</dc:creator>
  <cp:keywords/>
  <dc:description>dzintra.rancane@iem.gov.lv, 67219419</dc:description>
  <cp:lastModifiedBy>Nadežda Lazukova</cp:lastModifiedBy>
  <cp:revision>4</cp:revision>
  <cp:lastPrinted>2015-10-02T08:12:00Z</cp:lastPrinted>
  <dcterms:created xsi:type="dcterms:W3CDTF">2015-10-02T08:09:00Z</dcterms:created>
  <dcterms:modified xsi:type="dcterms:W3CDTF">2015-10-02T08:13:00Z</dcterms:modified>
</cp:coreProperties>
</file>