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0D" w:rsidRDefault="005128C9" w:rsidP="00E57FA2">
      <w:pPr>
        <w:pStyle w:val="NormalWeb"/>
        <w:spacing w:before="0" w:beforeAutospacing="0" w:after="0" w:afterAutospacing="0"/>
        <w:jc w:val="center"/>
        <w:rPr>
          <w:b/>
          <w:bCs/>
          <w:sz w:val="28"/>
          <w:szCs w:val="28"/>
        </w:rPr>
      </w:pPr>
      <w:r w:rsidRPr="005128C9">
        <w:rPr>
          <w:b/>
          <w:bCs/>
          <w:sz w:val="28"/>
          <w:szCs w:val="28"/>
        </w:rPr>
        <w:t xml:space="preserve">Ministru kabineta </w:t>
      </w:r>
      <w:r w:rsidR="00E57FA2">
        <w:rPr>
          <w:b/>
          <w:bCs/>
          <w:sz w:val="28"/>
          <w:szCs w:val="28"/>
        </w:rPr>
        <w:t xml:space="preserve">rīkojuma </w:t>
      </w:r>
      <w:r w:rsidRPr="005128C9">
        <w:rPr>
          <w:b/>
          <w:bCs/>
          <w:sz w:val="28"/>
          <w:szCs w:val="28"/>
        </w:rPr>
        <w:t xml:space="preserve">projekta </w:t>
      </w:r>
    </w:p>
    <w:p w:rsidR="00D32E0D" w:rsidRDefault="005128C9" w:rsidP="00E57FA2">
      <w:pPr>
        <w:pStyle w:val="NormalWeb"/>
        <w:spacing w:before="0" w:beforeAutospacing="0" w:after="0" w:afterAutospacing="0"/>
        <w:jc w:val="center"/>
        <w:rPr>
          <w:b/>
          <w:bCs/>
          <w:sz w:val="28"/>
          <w:szCs w:val="28"/>
        </w:rPr>
      </w:pPr>
      <w:r w:rsidRPr="005128C9">
        <w:rPr>
          <w:b/>
          <w:bCs/>
          <w:sz w:val="28"/>
          <w:szCs w:val="28"/>
        </w:rPr>
        <w:t>„</w:t>
      </w:r>
      <w:r w:rsidR="00E57FA2" w:rsidRPr="00E57FA2">
        <w:rPr>
          <w:b/>
          <w:bCs/>
          <w:sz w:val="28"/>
          <w:szCs w:val="28"/>
        </w:rPr>
        <w:t xml:space="preserve">Par apropriācijas pārdali starp Iekšlietu ministrijas budžeta programmām, apakšprogrammām un pasākumiem </w:t>
      </w:r>
      <w:proofErr w:type="gramStart"/>
      <w:r w:rsidR="00E57FA2" w:rsidRPr="00E57FA2">
        <w:rPr>
          <w:b/>
          <w:bCs/>
          <w:sz w:val="28"/>
          <w:szCs w:val="28"/>
        </w:rPr>
        <w:t>2015.gadā</w:t>
      </w:r>
      <w:proofErr w:type="gramEnd"/>
      <w:r w:rsidRPr="005128C9">
        <w:rPr>
          <w:b/>
          <w:bCs/>
          <w:sz w:val="28"/>
          <w:szCs w:val="28"/>
        </w:rPr>
        <w:t xml:space="preserve">” </w:t>
      </w:r>
    </w:p>
    <w:p w:rsidR="005128C9" w:rsidRPr="005128C9" w:rsidRDefault="005128C9" w:rsidP="00E57FA2">
      <w:pPr>
        <w:pStyle w:val="NormalWeb"/>
        <w:spacing w:before="0" w:beforeAutospacing="0" w:after="0" w:afterAutospacing="0"/>
        <w:jc w:val="center"/>
        <w:rPr>
          <w:b/>
          <w:bCs/>
          <w:sz w:val="28"/>
          <w:szCs w:val="28"/>
        </w:rPr>
      </w:pPr>
      <w:r w:rsidRPr="005128C9">
        <w:rPr>
          <w:b/>
          <w:bCs/>
          <w:sz w:val="28"/>
          <w:szCs w:val="28"/>
        </w:rPr>
        <w:t xml:space="preserve">sākotnējās ietekmes novērtējuma </w:t>
      </w:r>
      <w:smartTag w:uri="schemas-tilde-lv/tildestengine" w:element="veidnes">
        <w:smartTagPr>
          <w:attr w:name="text" w:val="ziņojums"/>
          <w:attr w:name="baseform" w:val="ziņojums"/>
          <w:attr w:name="id" w:val="-1"/>
        </w:smartTagPr>
        <w:r w:rsidRPr="005128C9">
          <w:rPr>
            <w:b/>
            <w:bCs/>
            <w:sz w:val="28"/>
            <w:szCs w:val="28"/>
          </w:rPr>
          <w:t>ziņojums</w:t>
        </w:r>
      </w:smartTag>
      <w:r w:rsidRPr="005128C9">
        <w:rPr>
          <w:b/>
          <w:bCs/>
          <w:sz w:val="28"/>
          <w:szCs w:val="28"/>
        </w:rPr>
        <w:t xml:space="preserve"> (anotācija)</w:t>
      </w:r>
    </w:p>
    <w:p w:rsidR="007F6B1C" w:rsidRPr="005128C9" w:rsidRDefault="007F6B1C" w:rsidP="007F6B1C">
      <w:pPr>
        <w:pStyle w:val="naisf"/>
        <w:spacing w:before="0" w:beforeAutospacing="0" w:after="0" w:afterAutospacing="0"/>
        <w:jc w:val="right"/>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1311"/>
        <w:gridCol w:w="8316"/>
      </w:tblGrid>
      <w:tr w:rsidR="007F6B1C" w:rsidRPr="005128C9" w:rsidTr="006A32EF">
        <w:trPr>
          <w:trHeight w:val="419"/>
        </w:trPr>
        <w:tc>
          <w:tcPr>
            <w:tcW w:w="5000" w:type="pct"/>
            <w:gridSpan w:val="3"/>
            <w:vAlign w:val="center"/>
          </w:tcPr>
          <w:p w:rsidR="007F6B1C" w:rsidRPr="005128C9" w:rsidRDefault="007F6B1C" w:rsidP="006A32EF">
            <w:pPr>
              <w:pStyle w:val="naisnod"/>
              <w:spacing w:before="0" w:beforeAutospacing="0" w:after="0" w:afterAutospacing="0"/>
              <w:ind w:left="57" w:right="57"/>
              <w:jc w:val="center"/>
              <w:rPr>
                <w:b/>
              </w:rPr>
            </w:pPr>
            <w:r w:rsidRPr="005128C9">
              <w:rPr>
                <w:b/>
              </w:rPr>
              <w:t>I. Tiesību akta projekta izstrādes nepieciešamība</w:t>
            </w:r>
          </w:p>
        </w:tc>
      </w:tr>
      <w:tr w:rsidR="007F6B1C" w:rsidRPr="005128C9" w:rsidTr="000A25FF">
        <w:trPr>
          <w:trHeight w:val="415"/>
        </w:trPr>
        <w:tc>
          <w:tcPr>
            <w:tcW w:w="227" w:type="pct"/>
          </w:tcPr>
          <w:p w:rsidR="007F6B1C" w:rsidRPr="005128C9" w:rsidRDefault="007F6B1C" w:rsidP="006A32EF">
            <w:pPr>
              <w:pStyle w:val="naiskr"/>
              <w:spacing w:before="0" w:beforeAutospacing="0" w:after="0" w:afterAutospacing="0"/>
              <w:ind w:left="57" w:right="57"/>
              <w:jc w:val="center"/>
            </w:pPr>
            <w:r w:rsidRPr="005128C9">
              <w:t>1.</w:t>
            </w:r>
          </w:p>
        </w:tc>
        <w:tc>
          <w:tcPr>
            <w:tcW w:w="1004" w:type="pct"/>
          </w:tcPr>
          <w:p w:rsidR="007F6B1C" w:rsidRPr="005128C9" w:rsidRDefault="007F6B1C" w:rsidP="006A32EF">
            <w:pPr>
              <w:pStyle w:val="naiskr"/>
              <w:spacing w:before="0" w:beforeAutospacing="0" w:after="0" w:afterAutospacing="0"/>
              <w:ind w:left="57" w:right="57"/>
            </w:pPr>
            <w:r w:rsidRPr="005128C9">
              <w:t>Pamatojums</w:t>
            </w:r>
          </w:p>
        </w:tc>
        <w:tc>
          <w:tcPr>
            <w:tcW w:w="3769" w:type="pct"/>
          </w:tcPr>
          <w:p w:rsidR="000A25FF" w:rsidRPr="008B1082" w:rsidRDefault="000A25FF" w:rsidP="000A25FF">
            <w:pPr>
              <w:pStyle w:val="naiskr"/>
              <w:spacing w:before="0" w:beforeAutospacing="0" w:after="0" w:afterAutospacing="0"/>
              <w:jc w:val="both"/>
            </w:pPr>
            <w:r w:rsidRPr="008B1082">
              <w:t xml:space="preserve">Ministru kabineta rīkojuma projekts „Par apropriācijas pārdali starp Iekšlietu ministrijas budžeta programmām, apakšprogrammām un pasākumiem </w:t>
            </w:r>
            <w:proofErr w:type="gramStart"/>
            <w:r w:rsidRPr="008B1082">
              <w:t>2015.gadā</w:t>
            </w:r>
            <w:proofErr w:type="gramEnd"/>
            <w:r w:rsidRPr="008B1082">
              <w:t>” (turpmāk – rīkojuma projekts) sagatavots, pamatojoties uz:</w:t>
            </w:r>
          </w:p>
          <w:p w:rsidR="000A25FF" w:rsidRPr="008B1082" w:rsidRDefault="000A25FF" w:rsidP="000A25FF">
            <w:pPr>
              <w:pStyle w:val="naiskr"/>
              <w:numPr>
                <w:ilvl w:val="0"/>
                <w:numId w:val="1"/>
              </w:numPr>
              <w:spacing w:before="0" w:beforeAutospacing="0" w:after="0" w:afterAutospacing="0"/>
              <w:ind w:left="425" w:hanging="284"/>
              <w:jc w:val="both"/>
            </w:pPr>
            <w:r w:rsidRPr="008B1082">
              <w:t xml:space="preserve">likuma „Par budžetu un finanšu vadību” </w:t>
            </w:r>
            <w:proofErr w:type="gramStart"/>
            <w:r w:rsidRPr="008B1082">
              <w:t>9.panta</w:t>
            </w:r>
            <w:proofErr w:type="gramEnd"/>
            <w:r w:rsidRPr="008B1082">
              <w:t xml:space="preserve"> trīspadsmitās daļas 1.punktu;</w:t>
            </w:r>
          </w:p>
          <w:p w:rsidR="000A25FF" w:rsidRPr="008B1082" w:rsidRDefault="000A25FF" w:rsidP="000A25FF">
            <w:pPr>
              <w:pStyle w:val="naiskr"/>
              <w:numPr>
                <w:ilvl w:val="0"/>
                <w:numId w:val="1"/>
              </w:numPr>
              <w:spacing w:before="0" w:beforeAutospacing="0" w:after="0" w:afterAutospacing="0"/>
              <w:ind w:left="425" w:hanging="284"/>
              <w:jc w:val="both"/>
            </w:pPr>
            <w:r w:rsidRPr="008B1082">
              <w:t xml:space="preserve">likuma „Par valsts budžetu </w:t>
            </w:r>
            <w:proofErr w:type="gramStart"/>
            <w:r w:rsidRPr="008B1082">
              <w:t>2015.gadam</w:t>
            </w:r>
            <w:proofErr w:type="gramEnd"/>
            <w:r w:rsidRPr="008B1082">
              <w:t>” 30. un 31.pantu;</w:t>
            </w:r>
          </w:p>
          <w:p w:rsidR="000A25FF" w:rsidRPr="008B1082" w:rsidRDefault="000A25FF" w:rsidP="000A25FF">
            <w:pPr>
              <w:pStyle w:val="naiskr"/>
              <w:numPr>
                <w:ilvl w:val="0"/>
                <w:numId w:val="1"/>
              </w:numPr>
              <w:spacing w:before="0" w:beforeAutospacing="0" w:after="0" w:afterAutospacing="0"/>
              <w:ind w:left="425" w:hanging="284"/>
              <w:jc w:val="both"/>
            </w:pPr>
            <w:r w:rsidRPr="008B1082">
              <w:t xml:space="preserve">Ministru kabineta </w:t>
            </w:r>
            <w:proofErr w:type="gramStart"/>
            <w:r w:rsidRPr="008B1082">
              <w:t>2010.gada</w:t>
            </w:r>
            <w:proofErr w:type="gramEnd"/>
            <w:r w:rsidRPr="008B1082">
              <w:t xml:space="preserve"> 16.marta noteikumu Nr.256 „Noteikumi par kārtību, kādā ministrijām un citām centrālajām valsts iestādēm tiek veikta apropriācijas pārdale starp programmām, apakšprogrammām un izdevumu ekonomiskās klasifikācijas kodiem” 3.punktu;</w:t>
            </w:r>
          </w:p>
          <w:p w:rsidR="000A25FF" w:rsidRPr="008B1082" w:rsidRDefault="000A25FF" w:rsidP="000A25FF">
            <w:pPr>
              <w:pStyle w:val="naiskr"/>
              <w:numPr>
                <w:ilvl w:val="0"/>
                <w:numId w:val="1"/>
              </w:numPr>
              <w:spacing w:before="0" w:beforeAutospacing="0" w:after="0" w:afterAutospacing="0"/>
              <w:ind w:left="425" w:hanging="284"/>
              <w:jc w:val="both"/>
            </w:pPr>
            <w:r w:rsidRPr="008B1082">
              <w:t>Ministru kabineta pieņemtajiem lēmumiem par finansējuma nodrošināšanu, normatīvajos aktos noteiktajā kārtībā veicot apropriācijas pārdali starp budžeta programmām un apakšprogrammām un izdevumu klasifikācijas kodiem atbil</w:t>
            </w:r>
            <w:r>
              <w:t>stoši ekonomiskajām kategorijām.</w:t>
            </w:r>
          </w:p>
          <w:p w:rsidR="007F6B1C" w:rsidRPr="005128C9" w:rsidRDefault="007F6B1C" w:rsidP="006A32EF">
            <w:pPr>
              <w:spacing w:after="0" w:line="240" w:lineRule="auto"/>
              <w:ind w:left="57" w:right="57"/>
              <w:rPr>
                <w:rFonts w:ascii="Times New Roman" w:hAnsi="Times New Roman" w:cs="Times New Roman"/>
                <w:sz w:val="24"/>
                <w:szCs w:val="24"/>
                <w:shd w:val="clear" w:color="auto" w:fill="FFFFFF"/>
              </w:rPr>
            </w:pPr>
          </w:p>
        </w:tc>
      </w:tr>
      <w:tr w:rsidR="007F6B1C" w:rsidRPr="005128C9" w:rsidTr="000A25FF">
        <w:trPr>
          <w:trHeight w:val="472"/>
        </w:trPr>
        <w:tc>
          <w:tcPr>
            <w:tcW w:w="227" w:type="pct"/>
          </w:tcPr>
          <w:p w:rsidR="007F6B1C" w:rsidRPr="005128C9" w:rsidRDefault="007F6B1C" w:rsidP="006A32EF">
            <w:pPr>
              <w:pStyle w:val="naiskr"/>
              <w:spacing w:before="0" w:beforeAutospacing="0" w:after="0" w:afterAutospacing="0"/>
              <w:ind w:left="57" w:right="57"/>
              <w:jc w:val="center"/>
            </w:pPr>
            <w:r w:rsidRPr="005128C9">
              <w:t>2.</w:t>
            </w:r>
          </w:p>
        </w:tc>
        <w:tc>
          <w:tcPr>
            <w:tcW w:w="1004" w:type="pct"/>
          </w:tcPr>
          <w:p w:rsidR="007F6B1C" w:rsidRPr="005128C9" w:rsidRDefault="007F6B1C" w:rsidP="006A32EF">
            <w:pPr>
              <w:pStyle w:val="naiskr"/>
              <w:tabs>
                <w:tab w:val="left" w:pos="170"/>
              </w:tabs>
              <w:spacing w:before="0" w:beforeAutospacing="0" w:after="0" w:afterAutospacing="0"/>
              <w:ind w:left="57" w:right="57"/>
            </w:pPr>
            <w:r w:rsidRPr="005128C9">
              <w:t>Pašreizējā situācija un problēmas, kuru risināšanai tiesību akta projekts izstrādāts, tiesiskā regulējuma mērķis un būtība</w:t>
            </w:r>
          </w:p>
        </w:tc>
        <w:tc>
          <w:tcPr>
            <w:tcW w:w="3769" w:type="pct"/>
          </w:tcPr>
          <w:p w:rsidR="00C61C43" w:rsidRPr="00C61C43" w:rsidRDefault="00C61C43" w:rsidP="00C61C43">
            <w:pPr>
              <w:spacing w:after="0" w:line="240" w:lineRule="auto"/>
              <w:ind w:firstLine="283"/>
              <w:jc w:val="both"/>
              <w:rPr>
                <w:rFonts w:ascii="Times New Roman" w:hAnsi="Times New Roman" w:cs="Times New Roman"/>
                <w:sz w:val="24"/>
                <w:szCs w:val="24"/>
              </w:rPr>
            </w:pPr>
            <w:r w:rsidRPr="00C61C43">
              <w:rPr>
                <w:rFonts w:ascii="Times New Roman" w:hAnsi="Times New Roman" w:cs="Times New Roman"/>
                <w:sz w:val="24"/>
                <w:szCs w:val="24"/>
              </w:rPr>
              <w:t xml:space="preserve">Rīkojuma projekts sagatavots, lai nodrošinātu Iekšlietu ministrijai un tās padotības iestādēm pamatfunkciju un atsevišķu uzdevumu izpildei nepieciešamā papildu finansējuma piešķiršanu </w:t>
            </w:r>
            <w:proofErr w:type="gramStart"/>
            <w:r w:rsidRPr="00C61C43">
              <w:rPr>
                <w:rFonts w:ascii="Times New Roman" w:hAnsi="Times New Roman" w:cs="Times New Roman"/>
                <w:sz w:val="24"/>
                <w:szCs w:val="24"/>
              </w:rPr>
              <w:t>2015.gadā</w:t>
            </w:r>
            <w:proofErr w:type="gramEnd"/>
            <w:r>
              <w:rPr>
                <w:rFonts w:ascii="Times New Roman" w:hAnsi="Times New Roman" w:cs="Times New Roman"/>
                <w:sz w:val="24"/>
                <w:szCs w:val="24"/>
              </w:rPr>
              <w:t>.</w:t>
            </w:r>
          </w:p>
          <w:p w:rsidR="00C61C43" w:rsidRDefault="00C61C43" w:rsidP="00C61C43">
            <w:pPr>
              <w:spacing w:after="0" w:line="240" w:lineRule="auto"/>
              <w:ind w:firstLine="283"/>
              <w:jc w:val="both"/>
              <w:rPr>
                <w:rFonts w:ascii="Times New Roman" w:hAnsi="Times New Roman" w:cs="Times New Roman"/>
                <w:sz w:val="24"/>
                <w:szCs w:val="24"/>
              </w:rPr>
            </w:pPr>
            <w:r w:rsidRPr="00C61C43">
              <w:rPr>
                <w:rFonts w:ascii="Times New Roman" w:hAnsi="Times New Roman" w:cs="Times New Roman"/>
                <w:sz w:val="24"/>
                <w:szCs w:val="24"/>
              </w:rPr>
              <w:t xml:space="preserve">Ņemot vērā budžeta izpildes analīzes datus, Iekšlietu ministrijas pamatbudžeta </w:t>
            </w:r>
            <w:r>
              <w:rPr>
                <w:rFonts w:ascii="Times New Roman" w:hAnsi="Times New Roman" w:cs="Times New Roman"/>
                <w:sz w:val="24"/>
                <w:szCs w:val="24"/>
              </w:rPr>
              <w:t xml:space="preserve">programmās un </w:t>
            </w:r>
            <w:r w:rsidRPr="00C61C43">
              <w:rPr>
                <w:rFonts w:ascii="Times New Roman" w:hAnsi="Times New Roman" w:cs="Times New Roman"/>
                <w:sz w:val="24"/>
                <w:szCs w:val="24"/>
              </w:rPr>
              <w:t xml:space="preserve">apakšprogrammās jau izveidojies un līdz </w:t>
            </w:r>
            <w:proofErr w:type="gramStart"/>
            <w:r w:rsidRPr="00C61C43">
              <w:rPr>
                <w:rFonts w:ascii="Times New Roman" w:hAnsi="Times New Roman" w:cs="Times New Roman"/>
                <w:sz w:val="24"/>
                <w:szCs w:val="24"/>
              </w:rPr>
              <w:t>2015.gada</w:t>
            </w:r>
            <w:proofErr w:type="gramEnd"/>
            <w:r w:rsidRPr="00C61C43">
              <w:rPr>
                <w:rFonts w:ascii="Times New Roman" w:hAnsi="Times New Roman" w:cs="Times New Roman"/>
                <w:sz w:val="24"/>
                <w:szCs w:val="24"/>
              </w:rPr>
              <w:t xml:space="preserve"> beigām izveidosies kopējais konkrētiem pasākumiem paredzēto, bet neizlietoto finanšu līdzekļu atlikums (turpmāk – neizlietotais finansējums) </w:t>
            </w:r>
            <w:r>
              <w:rPr>
                <w:rFonts w:ascii="Times New Roman" w:hAnsi="Times New Roman" w:cs="Times New Roman"/>
                <w:b/>
                <w:sz w:val="24"/>
                <w:szCs w:val="24"/>
              </w:rPr>
              <w:t>1 008 088</w:t>
            </w:r>
            <w:r w:rsidRPr="00C61C43">
              <w:rPr>
                <w:rFonts w:ascii="Times New Roman" w:hAnsi="Times New Roman" w:cs="Times New Roman"/>
                <w:b/>
                <w:sz w:val="24"/>
                <w:szCs w:val="24"/>
              </w:rPr>
              <w:t xml:space="preserve"> </w:t>
            </w:r>
            <w:proofErr w:type="spellStart"/>
            <w:r w:rsidRPr="00C61C43">
              <w:rPr>
                <w:rFonts w:ascii="Times New Roman" w:hAnsi="Times New Roman" w:cs="Times New Roman"/>
                <w:i/>
                <w:sz w:val="24"/>
                <w:szCs w:val="24"/>
              </w:rPr>
              <w:t>euro</w:t>
            </w:r>
            <w:proofErr w:type="spellEnd"/>
            <w:r w:rsidRPr="00C61C43">
              <w:rPr>
                <w:rFonts w:ascii="Times New Roman" w:hAnsi="Times New Roman" w:cs="Times New Roman"/>
                <w:sz w:val="24"/>
                <w:szCs w:val="24"/>
              </w:rPr>
              <w:t xml:space="preserve"> apmērā, tajā skaitā:</w:t>
            </w:r>
          </w:p>
          <w:p w:rsidR="004C010F" w:rsidRPr="004C010F" w:rsidRDefault="004C010F" w:rsidP="0084195E">
            <w:pPr>
              <w:spacing w:after="0" w:line="240" w:lineRule="auto"/>
              <w:ind w:firstLine="743"/>
              <w:jc w:val="both"/>
              <w:rPr>
                <w:rFonts w:ascii="Times New Roman" w:hAnsi="Times New Roman" w:cs="Times New Roman"/>
                <w:sz w:val="24"/>
                <w:szCs w:val="24"/>
              </w:rPr>
            </w:pPr>
            <w:r w:rsidRPr="004C010F">
              <w:rPr>
                <w:rFonts w:ascii="Times New Roman" w:hAnsi="Times New Roman" w:cs="Times New Roman"/>
                <w:sz w:val="24"/>
                <w:szCs w:val="24"/>
              </w:rPr>
              <w:t xml:space="preserve">1. budžeta apakšprogrammā 11.01.00 “Pilsonības un migrācijas lietu pārvalde” </w:t>
            </w:r>
            <w:r>
              <w:rPr>
                <w:rFonts w:ascii="Times New Roman" w:hAnsi="Times New Roman" w:cs="Times New Roman"/>
                <w:b/>
                <w:sz w:val="24"/>
                <w:szCs w:val="24"/>
              </w:rPr>
              <w:t>697 550</w:t>
            </w:r>
            <w:r w:rsidRPr="004C010F">
              <w:rPr>
                <w:rFonts w:ascii="Times New Roman" w:hAnsi="Times New Roman" w:cs="Times New Roman"/>
                <w:sz w:val="24"/>
                <w:szCs w:val="24"/>
              </w:rPr>
              <w:t xml:space="preserve"> </w:t>
            </w:r>
            <w:proofErr w:type="spellStart"/>
            <w:r w:rsidRPr="004C010F">
              <w:rPr>
                <w:rFonts w:ascii="Times New Roman" w:hAnsi="Times New Roman" w:cs="Times New Roman"/>
                <w:i/>
                <w:sz w:val="24"/>
                <w:szCs w:val="24"/>
              </w:rPr>
              <w:t>euro</w:t>
            </w:r>
            <w:proofErr w:type="spellEnd"/>
            <w:r w:rsidRPr="004C010F">
              <w:rPr>
                <w:rFonts w:ascii="Times New Roman" w:hAnsi="Times New Roman" w:cs="Times New Roman"/>
                <w:sz w:val="24"/>
                <w:szCs w:val="24"/>
              </w:rPr>
              <w:t>, kas tika paredzēts šādam ilgtermiņa saistību pasākumam:</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846"/>
              <w:gridCol w:w="1134"/>
              <w:gridCol w:w="1665"/>
              <w:gridCol w:w="1170"/>
            </w:tblGrid>
            <w:tr w:rsidR="004C010F" w:rsidRPr="003C5CE1" w:rsidTr="004C010F">
              <w:trPr>
                <w:trHeight w:val="789"/>
              </w:trPr>
              <w:tc>
                <w:tcPr>
                  <w:tcW w:w="2118" w:type="dxa"/>
                  <w:shd w:val="clear" w:color="auto" w:fill="auto"/>
                  <w:vAlign w:val="center"/>
                </w:tcPr>
                <w:p w:rsidR="004C010F" w:rsidRPr="004C010F" w:rsidRDefault="004C010F" w:rsidP="004A544B">
                  <w:pPr>
                    <w:framePr w:hSpace="180" w:wrap="around" w:vAnchor="text" w:hAnchor="margin" w:xAlign="center" w:y="149"/>
                    <w:jc w:val="center"/>
                    <w:rPr>
                      <w:rFonts w:ascii="Times New Roman" w:hAnsi="Times New Roman" w:cs="Times New Roman"/>
                      <w:sz w:val="18"/>
                      <w:szCs w:val="18"/>
                    </w:rPr>
                  </w:pPr>
                  <w:r w:rsidRPr="004C010F">
                    <w:rPr>
                      <w:rFonts w:ascii="Times New Roman" w:hAnsi="Times New Roman" w:cs="Times New Roman"/>
                      <w:sz w:val="18"/>
                      <w:szCs w:val="18"/>
                    </w:rPr>
                    <w:t>Finansējuma piešķiršanas pamatojums</w:t>
                  </w:r>
                </w:p>
              </w:tc>
              <w:tc>
                <w:tcPr>
                  <w:tcW w:w="1846" w:type="dxa"/>
                  <w:shd w:val="clear" w:color="auto" w:fill="auto"/>
                  <w:vAlign w:val="center"/>
                </w:tcPr>
                <w:p w:rsidR="004C010F" w:rsidRPr="004C010F" w:rsidRDefault="004C010F" w:rsidP="004A544B">
                  <w:pPr>
                    <w:framePr w:hSpace="180" w:wrap="around" w:vAnchor="text" w:hAnchor="margin" w:xAlign="center" w:y="149"/>
                    <w:jc w:val="center"/>
                    <w:rPr>
                      <w:rFonts w:ascii="Times New Roman" w:hAnsi="Times New Roman" w:cs="Times New Roman"/>
                      <w:sz w:val="18"/>
                      <w:szCs w:val="18"/>
                    </w:rPr>
                  </w:pPr>
                  <w:r w:rsidRPr="004C010F">
                    <w:rPr>
                      <w:rFonts w:ascii="Times New Roman" w:hAnsi="Times New Roman" w:cs="Times New Roman"/>
                      <w:sz w:val="18"/>
                      <w:szCs w:val="18"/>
                    </w:rPr>
                    <w:t>Pasākuma nosaukums</w:t>
                  </w:r>
                </w:p>
              </w:tc>
              <w:tc>
                <w:tcPr>
                  <w:tcW w:w="1134" w:type="dxa"/>
                  <w:shd w:val="clear" w:color="auto" w:fill="auto"/>
                  <w:vAlign w:val="center"/>
                </w:tcPr>
                <w:p w:rsidR="004C010F" w:rsidRPr="004C010F" w:rsidRDefault="004C010F" w:rsidP="004A544B">
                  <w:pPr>
                    <w:framePr w:hSpace="180" w:wrap="around" w:vAnchor="text" w:hAnchor="margin" w:xAlign="center" w:y="149"/>
                    <w:jc w:val="center"/>
                    <w:rPr>
                      <w:rFonts w:ascii="Times New Roman" w:hAnsi="Times New Roman" w:cs="Times New Roman"/>
                      <w:sz w:val="18"/>
                      <w:szCs w:val="18"/>
                    </w:rPr>
                  </w:pPr>
                  <w:r w:rsidRPr="004C010F">
                    <w:rPr>
                      <w:rFonts w:ascii="Times New Roman" w:hAnsi="Times New Roman" w:cs="Times New Roman"/>
                      <w:sz w:val="18"/>
                      <w:szCs w:val="18"/>
                    </w:rPr>
                    <w:t>Piešķirtais finansējums</w:t>
                  </w:r>
                </w:p>
              </w:tc>
              <w:tc>
                <w:tcPr>
                  <w:tcW w:w="1665" w:type="dxa"/>
                </w:tcPr>
                <w:p w:rsidR="004C010F" w:rsidRPr="004C010F" w:rsidRDefault="004C010F" w:rsidP="004A544B">
                  <w:pPr>
                    <w:framePr w:hSpace="180" w:wrap="around" w:vAnchor="text" w:hAnchor="margin" w:xAlign="center" w:y="149"/>
                    <w:jc w:val="center"/>
                    <w:rPr>
                      <w:rFonts w:ascii="Times New Roman" w:hAnsi="Times New Roman" w:cs="Times New Roman"/>
                      <w:sz w:val="18"/>
                      <w:szCs w:val="18"/>
                    </w:rPr>
                  </w:pPr>
                  <w:r w:rsidRPr="004C010F">
                    <w:rPr>
                      <w:rFonts w:ascii="Times New Roman" w:hAnsi="Times New Roman" w:cs="Times New Roman"/>
                      <w:sz w:val="18"/>
                      <w:szCs w:val="18"/>
                    </w:rPr>
                    <w:t xml:space="preserve">Pārdale saskaņā ar MK 17.09.2015. </w:t>
                  </w:r>
                  <w:proofErr w:type="spellStart"/>
                  <w:r w:rsidRPr="004C010F">
                    <w:rPr>
                      <w:rFonts w:ascii="Times New Roman" w:hAnsi="Times New Roman" w:cs="Times New Roman"/>
                      <w:sz w:val="18"/>
                      <w:szCs w:val="18"/>
                    </w:rPr>
                    <w:t>rīk</w:t>
                  </w:r>
                  <w:proofErr w:type="spellEnd"/>
                  <w:r w:rsidRPr="004C010F">
                    <w:rPr>
                      <w:rFonts w:ascii="Times New Roman" w:hAnsi="Times New Roman" w:cs="Times New Roman"/>
                      <w:sz w:val="18"/>
                      <w:szCs w:val="18"/>
                    </w:rPr>
                    <w:t>. Nr.568</w:t>
                  </w:r>
                </w:p>
              </w:tc>
              <w:tc>
                <w:tcPr>
                  <w:tcW w:w="1170" w:type="dxa"/>
                  <w:vAlign w:val="center"/>
                </w:tcPr>
                <w:p w:rsidR="004C010F" w:rsidRPr="004C010F" w:rsidRDefault="004C010F" w:rsidP="004A544B">
                  <w:pPr>
                    <w:framePr w:hSpace="180" w:wrap="around" w:vAnchor="text" w:hAnchor="margin" w:xAlign="center" w:y="149"/>
                    <w:jc w:val="center"/>
                    <w:rPr>
                      <w:rFonts w:ascii="Times New Roman" w:hAnsi="Times New Roman" w:cs="Times New Roman"/>
                      <w:sz w:val="18"/>
                      <w:szCs w:val="18"/>
                    </w:rPr>
                  </w:pPr>
                  <w:r w:rsidRPr="004C010F">
                    <w:rPr>
                      <w:rFonts w:ascii="Times New Roman" w:hAnsi="Times New Roman" w:cs="Times New Roman"/>
                      <w:sz w:val="18"/>
                      <w:szCs w:val="18"/>
                    </w:rPr>
                    <w:t>Neizlietotais finansējums</w:t>
                  </w:r>
                </w:p>
              </w:tc>
            </w:tr>
            <w:tr w:rsidR="004C010F" w:rsidRPr="003C5CE1" w:rsidTr="006A32EF">
              <w:tc>
                <w:tcPr>
                  <w:tcW w:w="2118" w:type="dxa"/>
                  <w:shd w:val="clear" w:color="auto" w:fill="auto"/>
                  <w:vAlign w:val="center"/>
                </w:tcPr>
                <w:p w:rsidR="004C010F" w:rsidRPr="004C010F" w:rsidRDefault="004C010F" w:rsidP="004A544B">
                  <w:pPr>
                    <w:framePr w:hSpace="180" w:wrap="around" w:vAnchor="text" w:hAnchor="margin" w:xAlign="center" w:y="149"/>
                    <w:spacing w:after="0" w:line="240" w:lineRule="auto"/>
                    <w:jc w:val="center"/>
                    <w:rPr>
                      <w:rFonts w:ascii="Times New Roman" w:hAnsi="Times New Roman" w:cs="Times New Roman"/>
                      <w:sz w:val="18"/>
                      <w:szCs w:val="18"/>
                    </w:rPr>
                  </w:pPr>
                  <w:r w:rsidRPr="004C010F">
                    <w:rPr>
                      <w:rFonts w:ascii="Times New Roman" w:hAnsi="Times New Roman" w:cs="Times New Roman"/>
                      <w:sz w:val="18"/>
                      <w:szCs w:val="18"/>
                    </w:rPr>
                    <w:t xml:space="preserve">Ministru kabineta </w:t>
                  </w:r>
                  <w:proofErr w:type="gramStart"/>
                  <w:r w:rsidRPr="004C010F">
                    <w:rPr>
                      <w:rFonts w:ascii="Times New Roman" w:hAnsi="Times New Roman" w:cs="Times New Roman"/>
                      <w:sz w:val="18"/>
                      <w:szCs w:val="18"/>
                    </w:rPr>
                    <w:t>2014.gada</w:t>
                  </w:r>
                  <w:proofErr w:type="gramEnd"/>
                  <w:r w:rsidRPr="004C010F">
                    <w:rPr>
                      <w:rFonts w:ascii="Times New Roman" w:hAnsi="Times New Roman" w:cs="Times New Roman"/>
                      <w:sz w:val="18"/>
                      <w:szCs w:val="18"/>
                    </w:rPr>
                    <w:t xml:space="preserve"> 14.oktobra rīkojums Nr. 580 “Grozījums Ministru kabineta 2011.gada 27.jūlija rīkojumā Nr.347 “</w:t>
                  </w:r>
                  <w:hyperlink r:id="rId7" w:tgtFrame="_blank" w:history="1">
                    <w:r w:rsidRPr="004C010F">
                      <w:rPr>
                        <w:rFonts w:ascii="Times New Roman" w:hAnsi="Times New Roman" w:cs="Times New Roman"/>
                        <w:sz w:val="18"/>
                        <w:szCs w:val="18"/>
                      </w:rPr>
                      <w:t>Par informācijas sistēmas darbības koncepcijas aprakstu “Pasu sistēmas un Vienotās migrācijas informācijas sistēmas attīstība elektronisko identifikācijas karšu un elektronisko uzturēšanās atļauju (karšu) izsniegšanai”</w:t>
                    </w:r>
                  </w:hyperlink>
                  <w:r w:rsidRPr="004C010F">
                    <w:rPr>
                      <w:rFonts w:ascii="Times New Roman" w:hAnsi="Times New Roman" w:cs="Times New Roman"/>
                      <w:sz w:val="18"/>
                      <w:szCs w:val="18"/>
                    </w:rPr>
                    <w:t>””</w:t>
                  </w:r>
                </w:p>
              </w:tc>
              <w:tc>
                <w:tcPr>
                  <w:tcW w:w="1846" w:type="dxa"/>
                  <w:shd w:val="clear" w:color="auto" w:fill="auto"/>
                  <w:vAlign w:val="center"/>
                </w:tcPr>
                <w:p w:rsidR="004C010F" w:rsidRPr="004C010F" w:rsidRDefault="004C010F" w:rsidP="004A544B">
                  <w:pPr>
                    <w:framePr w:hSpace="180" w:wrap="around" w:vAnchor="text" w:hAnchor="margin" w:xAlign="center" w:y="149"/>
                    <w:spacing w:after="0" w:line="240" w:lineRule="auto"/>
                    <w:ind w:left="40" w:hanging="40"/>
                    <w:jc w:val="center"/>
                    <w:rPr>
                      <w:rFonts w:ascii="Times New Roman" w:hAnsi="Times New Roman" w:cs="Times New Roman"/>
                      <w:bCs/>
                      <w:sz w:val="18"/>
                      <w:szCs w:val="18"/>
                    </w:rPr>
                  </w:pPr>
                  <w:r w:rsidRPr="004C010F">
                    <w:rPr>
                      <w:rFonts w:ascii="Times New Roman" w:hAnsi="Times New Roman" w:cs="Times New Roman"/>
                      <w:bCs/>
                      <w:sz w:val="18"/>
                      <w:szCs w:val="18"/>
                    </w:rPr>
                    <w:t>Eiropas Savienības prasībām atbilstošu pasu, elektronisko identifikācijas karšu un uzturēšanās atļauju izsniegšana</w:t>
                  </w:r>
                </w:p>
              </w:tc>
              <w:tc>
                <w:tcPr>
                  <w:tcW w:w="1134" w:type="dxa"/>
                  <w:shd w:val="clear" w:color="auto" w:fill="auto"/>
                  <w:vAlign w:val="center"/>
                </w:tcPr>
                <w:p w:rsidR="004C010F" w:rsidRPr="004C010F" w:rsidRDefault="004C010F" w:rsidP="004A544B">
                  <w:pPr>
                    <w:framePr w:hSpace="180" w:wrap="around" w:vAnchor="text" w:hAnchor="margin" w:xAlign="center" w:y="149"/>
                    <w:jc w:val="center"/>
                    <w:rPr>
                      <w:rFonts w:ascii="Times New Roman" w:hAnsi="Times New Roman" w:cs="Times New Roman"/>
                      <w:sz w:val="18"/>
                      <w:szCs w:val="18"/>
                    </w:rPr>
                  </w:pPr>
                  <w:r w:rsidRPr="004C010F">
                    <w:rPr>
                      <w:rFonts w:ascii="Times New Roman" w:hAnsi="Times New Roman" w:cs="Times New Roman"/>
                      <w:sz w:val="18"/>
                      <w:szCs w:val="18"/>
                    </w:rPr>
                    <w:t>7 633 156</w:t>
                  </w:r>
                </w:p>
              </w:tc>
              <w:tc>
                <w:tcPr>
                  <w:tcW w:w="1665" w:type="dxa"/>
                  <w:vAlign w:val="center"/>
                </w:tcPr>
                <w:p w:rsidR="004C010F" w:rsidRPr="004C010F" w:rsidRDefault="004C010F" w:rsidP="004A544B">
                  <w:pPr>
                    <w:framePr w:hSpace="180" w:wrap="around" w:vAnchor="text" w:hAnchor="margin" w:xAlign="center" w:y="149"/>
                    <w:jc w:val="center"/>
                    <w:rPr>
                      <w:rFonts w:ascii="Times New Roman" w:hAnsi="Times New Roman" w:cs="Times New Roman"/>
                      <w:sz w:val="18"/>
                      <w:szCs w:val="18"/>
                    </w:rPr>
                  </w:pPr>
                  <w:r w:rsidRPr="004C010F">
                    <w:rPr>
                      <w:rFonts w:ascii="Times New Roman" w:hAnsi="Times New Roman" w:cs="Times New Roman"/>
                      <w:sz w:val="18"/>
                      <w:szCs w:val="18"/>
                    </w:rPr>
                    <w:t>- </w:t>
                  </w:r>
                  <w:r>
                    <w:rPr>
                      <w:rFonts w:ascii="Times New Roman" w:hAnsi="Times New Roman" w:cs="Times New Roman"/>
                      <w:sz w:val="18"/>
                      <w:szCs w:val="18"/>
                    </w:rPr>
                    <w:t xml:space="preserve">1 </w:t>
                  </w:r>
                  <w:r w:rsidRPr="004C010F">
                    <w:rPr>
                      <w:rFonts w:ascii="Times New Roman" w:hAnsi="Times New Roman" w:cs="Times New Roman"/>
                      <w:sz w:val="18"/>
                      <w:szCs w:val="18"/>
                    </w:rPr>
                    <w:t>149 500</w:t>
                  </w:r>
                </w:p>
              </w:tc>
              <w:tc>
                <w:tcPr>
                  <w:tcW w:w="1170" w:type="dxa"/>
                  <w:vAlign w:val="center"/>
                </w:tcPr>
                <w:p w:rsidR="004C010F" w:rsidRPr="004C010F" w:rsidRDefault="004C010F" w:rsidP="004A544B">
                  <w:pPr>
                    <w:framePr w:hSpace="180" w:wrap="around" w:vAnchor="text" w:hAnchor="margin" w:xAlign="center" w:y="149"/>
                    <w:jc w:val="center"/>
                    <w:rPr>
                      <w:rFonts w:ascii="Times New Roman" w:hAnsi="Times New Roman" w:cs="Times New Roman"/>
                      <w:b/>
                      <w:sz w:val="18"/>
                      <w:szCs w:val="18"/>
                    </w:rPr>
                  </w:pPr>
                  <w:r w:rsidRPr="004C010F">
                    <w:rPr>
                      <w:rFonts w:ascii="Times New Roman" w:hAnsi="Times New Roman" w:cs="Times New Roman"/>
                      <w:b/>
                      <w:sz w:val="18"/>
                      <w:szCs w:val="18"/>
                    </w:rPr>
                    <w:t>697 550</w:t>
                  </w:r>
                </w:p>
              </w:tc>
            </w:tr>
          </w:tbl>
          <w:p w:rsidR="0084195E" w:rsidRDefault="0084195E" w:rsidP="00C76ED3">
            <w:pPr>
              <w:spacing w:after="0" w:line="240" w:lineRule="auto"/>
              <w:ind w:firstLine="221"/>
              <w:jc w:val="both"/>
              <w:rPr>
                <w:rFonts w:ascii="Times New Roman" w:hAnsi="Times New Roman" w:cs="Times New Roman"/>
                <w:sz w:val="24"/>
                <w:szCs w:val="24"/>
              </w:rPr>
            </w:pPr>
            <w:r w:rsidRPr="00C76ED3">
              <w:rPr>
                <w:rFonts w:ascii="Times New Roman" w:hAnsi="Times New Roman" w:cs="Times New Roman"/>
                <w:sz w:val="24"/>
                <w:szCs w:val="24"/>
              </w:rPr>
              <w:t xml:space="preserve">Finansējums ilgtermiņa saistību pasākumam “Eiropas Savienības prasībām atbilstošu pasu, elektronisko identifikācijas karšu un uzturēšanās atļauju izsniegšana” netiks apgūts pilnā apjomā, jo </w:t>
            </w:r>
            <w:r w:rsidR="00CC7EAF">
              <w:rPr>
                <w:rFonts w:ascii="Times New Roman" w:hAnsi="Times New Roman" w:cs="Times New Roman"/>
                <w:sz w:val="24"/>
                <w:szCs w:val="24"/>
              </w:rPr>
              <w:t xml:space="preserve">precizēti piegādājamo personu apliecinošo dokumentu apjomi </w:t>
            </w:r>
            <w:r w:rsidR="00CC7EAF">
              <w:rPr>
                <w:rFonts w:ascii="Times New Roman" w:hAnsi="Times New Roman" w:cs="Times New Roman"/>
                <w:sz w:val="24"/>
                <w:szCs w:val="24"/>
              </w:rPr>
              <w:lastRenderedPageBreak/>
              <w:t>(</w:t>
            </w:r>
            <w:proofErr w:type="gramStart"/>
            <w:r w:rsidR="003C73C4" w:rsidRPr="00C76ED3">
              <w:rPr>
                <w:rFonts w:ascii="Times New Roman" w:hAnsi="Times New Roman" w:cs="Times New Roman"/>
                <w:sz w:val="24"/>
                <w:szCs w:val="24"/>
              </w:rPr>
              <w:t>2015.gadā</w:t>
            </w:r>
            <w:proofErr w:type="gramEnd"/>
            <w:r w:rsidR="003C73C4" w:rsidRPr="00C76ED3">
              <w:rPr>
                <w:rFonts w:ascii="Times New Roman" w:hAnsi="Times New Roman" w:cs="Times New Roman"/>
                <w:sz w:val="24"/>
                <w:szCs w:val="24"/>
              </w:rPr>
              <w:t xml:space="preserve"> nav nepieciešams iegādāties</w:t>
            </w:r>
            <w:r w:rsidR="00C76ED3">
              <w:rPr>
                <w:rFonts w:ascii="Times New Roman" w:hAnsi="Times New Roman" w:cs="Times New Roman"/>
                <w:sz w:val="24"/>
                <w:szCs w:val="24"/>
              </w:rPr>
              <w:t xml:space="preserve"> </w:t>
            </w:r>
            <w:r w:rsidR="003C73C4">
              <w:rPr>
                <w:rFonts w:ascii="Times New Roman" w:hAnsi="Times New Roman" w:cs="Times New Roman"/>
                <w:sz w:val="24"/>
                <w:szCs w:val="24"/>
              </w:rPr>
              <w:t xml:space="preserve"> </w:t>
            </w:r>
            <w:r w:rsidR="00CC7EAF">
              <w:rPr>
                <w:rFonts w:ascii="Times New Roman" w:hAnsi="Times New Roman" w:cs="Times New Roman"/>
                <w:sz w:val="24"/>
                <w:szCs w:val="24"/>
              </w:rPr>
              <w:t xml:space="preserve">tik daudz pases un personas apliecības sagataves, cik sākotnēji tika plānots). </w:t>
            </w:r>
          </w:p>
          <w:p w:rsidR="00B41719" w:rsidRPr="00B41719" w:rsidRDefault="00B41719" w:rsidP="00B41719">
            <w:pPr>
              <w:spacing w:after="0" w:line="240" w:lineRule="auto"/>
              <w:ind w:firstLine="743"/>
              <w:jc w:val="both"/>
              <w:rPr>
                <w:rFonts w:ascii="Times New Roman" w:hAnsi="Times New Roman" w:cs="Times New Roman"/>
                <w:sz w:val="24"/>
                <w:szCs w:val="24"/>
              </w:rPr>
            </w:pPr>
            <w:r w:rsidRPr="00B41719">
              <w:rPr>
                <w:rFonts w:ascii="Times New Roman" w:hAnsi="Times New Roman" w:cs="Times New Roman"/>
                <w:sz w:val="24"/>
                <w:szCs w:val="24"/>
              </w:rPr>
              <w:t xml:space="preserve">2. budžeta programmā 10.00.00 „Valsts robežsardzes darbība” </w:t>
            </w:r>
            <w:r w:rsidRPr="00B41719">
              <w:rPr>
                <w:rFonts w:ascii="Times New Roman" w:hAnsi="Times New Roman" w:cs="Times New Roman"/>
                <w:b/>
                <w:sz w:val="24"/>
                <w:szCs w:val="24"/>
              </w:rPr>
              <w:t>57 384</w:t>
            </w:r>
            <w:r w:rsidRPr="00B41719">
              <w:rPr>
                <w:rFonts w:ascii="Times New Roman" w:hAnsi="Times New Roman" w:cs="Times New Roman"/>
                <w:sz w:val="24"/>
                <w:szCs w:val="24"/>
              </w:rPr>
              <w:t xml:space="preserve"> </w:t>
            </w:r>
            <w:proofErr w:type="spellStart"/>
            <w:r w:rsidRPr="004C1170">
              <w:rPr>
                <w:rFonts w:ascii="Times New Roman" w:hAnsi="Times New Roman" w:cs="Times New Roman"/>
                <w:i/>
                <w:sz w:val="24"/>
                <w:szCs w:val="24"/>
              </w:rPr>
              <w:t>euro</w:t>
            </w:r>
            <w:proofErr w:type="spellEnd"/>
            <w:r w:rsidR="004C1170">
              <w:rPr>
                <w:rFonts w:ascii="Times New Roman" w:hAnsi="Times New Roman" w:cs="Times New Roman"/>
                <w:sz w:val="24"/>
                <w:szCs w:val="24"/>
              </w:rPr>
              <w:t>,</w:t>
            </w:r>
            <w:r w:rsidRPr="00B41719">
              <w:rPr>
                <w:rFonts w:ascii="Times New Roman" w:hAnsi="Times New Roman" w:cs="Times New Roman"/>
                <w:sz w:val="24"/>
                <w:szCs w:val="24"/>
              </w:rPr>
              <w:t xml:space="preserve"> ka</w:t>
            </w:r>
            <w:r w:rsidR="00DB4163">
              <w:rPr>
                <w:rFonts w:ascii="Times New Roman" w:hAnsi="Times New Roman" w:cs="Times New Roman"/>
                <w:sz w:val="24"/>
                <w:szCs w:val="24"/>
              </w:rPr>
              <w:t>s tika paredzēts šādam mērķim</w:t>
            </w:r>
            <w:r w:rsidRPr="00B41719">
              <w:rPr>
                <w:rFonts w:ascii="Times New Roman" w:hAnsi="Times New Roman" w:cs="Times New Roman"/>
                <w:sz w:val="24"/>
                <w:szCs w:val="24"/>
              </w:rPr>
              <w:t>:</w:t>
            </w: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747"/>
              <w:gridCol w:w="1477"/>
              <w:gridCol w:w="1296"/>
            </w:tblGrid>
            <w:tr w:rsidR="00B41719" w:rsidRPr="008E6186" w:rsidTr="00DB4163">
              <w:trPr>
                <w:jc w:val="center"/>
              </w:trPr>
              <w:tc>
                <w:tcPr>
                  <w:tcW w:w="2689" w:type="dxa"/>
                  <w:shd w:val="clear" w:color="auto" w:fill="auto"/>
                  <w:vAlign w:val="center"/>
                </w:tcPr>
                <w:p w:rsidR="00B41719" w:rsidRPr="00B41719" w:rsidRDefault="00B41719" w:rsidP="004A544B">
                  <w:pPr>
                    <w:framePr w:hSpace="180" w:wrap="around" w:vAnchor="text" w:hAnchor="margin" w:xAlign="center" w:y="149"/>
                    <w:jc w:val="center"/>
                    <w:rPr>
                      <w:rFonts w:ascii="Times New Roman" w:hAnsi="Times New Roman" w:cs="Times New Roman"/>
                      <w:sz w:val="18"/>
                      <w:szCs w:val="18"/>
                    </w:rPr>
                  </w:pPr>
                  <w:r w:rsidRPr="00B41719">
                    <w:rPr>
                      <w:rFonts w:ascii="Times New Roman" w:hAnsi="Times New Roman" w:cs="Times New Roman"/>
                      <w:sz w:val="18"/>
                      <w:szCs w:val="18"/>
                    </w:rPr>
                    <w:t>Finansējuma piešķiršanas pamatojums</w:t>
                  </w:r>
                </w:p>
              </w:tc>
              <w:tc>
                <w:tcPr>
                  <w:tcW w:w="2747" w:type="dxa"/>
                  <w:shd w:val="clear" w:color="auto" w:fill="auto"/>
                  <w:vAlign w:val="center"/>
                </w:tcPr>
                <w:p w:rsidR="00B41719" w:rsidRPr="00B41719" w:rsidRDefault="00DB4163" w:rsidP="004A544B">
                  <w:pPr>
                    <w:framePr w:hSpace="180" w:wrap="around" w:vAnchor="text" w:hAnchor="margin" w:xAlign="center" w:y="149"/>
                    <w:jc w:val="center"/>
                    <w:rPr>
                      <w:rFonts w:ascii="Times New Roman" w:hAnsi="Times New Roman" w:cs="Times New Roman"/>
                      <w:sz w:val="18"/>
                      <w:szCs w:val="18"/>
                    </w:rPr>
                  </w:pPr>
                  <w:r>
                    <w:rPr>
                      <w:rFonts w:ascii="Times New Roman" w:hAnsi="Times New Roman" w:cs="Times New Roman"/>
                      <w:sz w:val="18"/>
                      <w:szCs w:val="18"/>
                    </w:rPr>
                    <w:t>N</w:t>
                  </w:r>
                  <w:r w:rsidR="00B41719" w:rsidRPr="00B41719">
                    <w:rPr>
                      <w:rFonts w:ascii="Times New Roman" w:hAnsi="Times New Roman" w:cs="Times New Roman"/>
                      <w:sz w:val="18"/>
                      <w:szCs w:val="18"/>
                    </w:rPr>
                    <w:t>osaukums</w:t>
                  </w:r>
                </w:p>
              </w:tc>
              <w:tc>
                <w:tcPr>
                  <w:tcW w:w="1477" w:type="dxa"/>
                  <w:shd w:val="clear" w:color="auto" w:fill="auto"/>
                  <w:vAlign w:val="center"/>
                </w:tcPr>
                <w:p w:rsidR="00B41719" w:rsidRPr="00B41719" w:rsidRDefault="00B41719" w:rsidP="004A544B">
                  <w:pPr>
                    <w:framePr w:hSpace="180" w:wrap="around" w:vAnchor="text" w:hAnchor="margin" w:xAlign="center" w:y="149"/>
                    <w:jc w:val="center"/>
                    <w:rPr>
                      <w:rFonts w:ascii="Times New Roman" w:hAnsi="Times New Roman" w:cs="Times New Roman"/>
                      <w:sz w:val="18"/>
                      <w:szCs w:val="18"/>
                    </w:rPr>
                  </w:pPr>
                  <w:r w:rsidRPr="00B41719">
                    <w:rPr>
                      <w:rFonts w:ascii="Times New Roman" w:hAnsi="Times New Roman" w:cs="Times New Roman"/>
                      <w:sz w:val="18"/>
                      <w:szCs w:val="18"/>
                    </w:rPr>
                    <w:t>Piešķirtais finansējums</w:t>
                  </w:r>
                </w:p>
              </w:tc>
              <w:tc>
                <w:tcPr>
                  <w:tcW w:w="1296" w:type="dxa"/>
                  <w:vAlign w:val="center"/>
                </w:tcPr>
                <w:p w:rsidR="00B41719" w:rsidRPr="00B41719" w:rsidRDefault="00B41719" w:rsidP="004A544B">
                  <w:pPr>
                    <w:framePr w:hSpace="180" w:wrap="around" w:vAnchor="text" w:hAnchor="margin" w:xAlign="center" w:y="149"/>
                    <w:jc w:val="center"/>
                    <w:rPr>
                      <w:rFonts w:ascii="Times New Roman" w:hAnsi="Times New Roman" w:cs="Times New Roman"/>
                      <w:sz w:val="18"/>
                      <w:szCs w:val="18"/>
                    </w:rPr>
                  </w:pPr>
                  <w:r w:rsidRPr="00B41719">
                    <w:rPr>
                      <w:rFonts w:ascii="Times New Roman" w:hAnsi="Times New Roman" w:cs="Times New Roman"/>
                      <w:sz w:val="18"/>
                      <w:szCs w:val="18"/>
                    </w:rPr>
                    <w:t>Neizlietotais finansējums</w:t>
                  </w:r>
                </w:p>
              </w:tc>
            </w:tr>
            <w:tr w:rsidR="00B41719" w:rsidRPr="008E6186" w:rsidTr="00FC59C8">
              <w:trPr>
                <w:trHeight w:val="763"/>
                <w:jc w:val="center"/>
              </w:trPr>
              <w:tc>
                <w:tcPr>
                  <w:tcW w:w="2689" w:type="dxa"/>
                  <w:shd w:val="clear" w:color="auto" w:fill="auto"/>
                  <w:vAlign w:val="center"/>
                </w:tcPr>
                <w:p w:rsidR="00B41719" w:rsidRPr="00B41719" w:rsidRDefault="002C57AF" w:rsidP="004A544B">
                  <w:pPr>
                    <w:framePr w:hSpace="180" w:wrap="around" w:vAnchor="text" w:hAnchor="margin" w:xAlign="center" w:y="149"/>
                    <w:jc w:val="center"/>
                    <w:rPr>
                      <w:rFonts w:ascii="Times New Roman" w:hAnsi="Times New Roman" w:cs="Times New Roman"/>
                      <w:sz w:val="18"/>
                      <w:szCs w:val="18"/>
                    </w:rPr>
                  </w:pPr>
                  <w:r w:rsidRPr="004C010F">
                    <w:rPr>
                      <w:rFonts w:ascii="Times New Roman" w:hAnsi="Times New Roman" w:cs="Times New Roman"/>
                      <w:sz w:val="18"/>
                      <w:szCs w:val="18"/>
                    </w:rPr>
                    <w:t>Minist</w:t>
                  </w:r>
                  <w:r>
                    <w:rPr>
                      <w:rFonts w:ascii="Times New Roman" w:hAnsi="Times New Roman" w:cs="Times New Roman"/>
                      <w:sz w:val="18"/>
                      <w:szCs w:val="18"/>
                    </w:rPr>
                    <w:t xml:space="preserve">ru kabineta </w:t>
                  </w:r>
                  <w:proofErr w:type="gramStart"/>
                  <w:r>
                    <w:rPr>
                      <w:rFonts w:ascii="Times New Roman" w:hAnsi="Times New Roman" w:cs="Times New Roman"/>
                      <w:sz w:val="18"/>
                      <w:szCs w:val="18"/>
                    </w:rPr>
                    <w:t>2014.gada</w:t>
                  </w:r>
                  <w:proofErr w:type="gramEnd"/>
                  <w:r>
                    <w:rPr>
                      <w:rFonts w:ascii="Times New Roman" w:hAnsi="Times New Roman" w:cs="Times New Roman"/>
                      <w:sz w:val="18"/>
                      <w:szCs w:val="18"/>
                    </w:rPr>
                    <w:t xml:space="preserve"> 29.jūlija prot. Nr.41 22.§</w:t>
                  </w:r>
                  <w:r w:rsidR="00523629">
                    <w:rPr>
                      <w:rFonts w:ascii="Times New Roman" w:hAnsi="Times New Roman" w:cs="Times New Roman"/>
                      <w:sz w:val="18"/>
                      <w:szCs w:val="18"/>
                    </w:rPr>
                    <w:t xml:space="preserve"> 5.punkts</w:t>
                  </w:r>
                  <w:r>
                    <w:rPr>
                      <w:rFonts w:ascii="Times New Roman" w:hAnsi="Times New Roman" w:cs="Times New Roman"/>
                      <w:sz w:val="18"/>
                      <w:szCs w:val="18"/>
                    </w:rPr>
                    <w:t> </w:t>
                  </w:r>
                </w:p>
              </w:tc>
              <w:tc>
                <w:tcPr>
                  <w:tcW w:w="2747" w:type="dxa"/>
                  <w:shd w:val="clear" w:color="auto" w:fill="auto"/>
                  <w:vAlign w:val="center"/>
                </w:tcPr>
                <w:p w:rsidR="00B41719" w:rsidRPr="00FC59C8" w:rsidRDefault="00B41719" w:rsidP="004A544B">
                  <w:pPr>
                    <w:framePr w:hSpace="180" w:wrap="around" w:vAnchor="text" w:hAnchor="margin" w:xAlign="center" w:y="149"/>
                    <w:ind w:left="360"/>
                    <w:jc w:val="center"/>
                    <w:rPr>
                      <w:rFonts w:ascii="Times New Roman" w:hAnsi="Times New Roman" w:cs="Times New Roman"/>
                      <w:sz w:val="18"/>
                      <w:szCs w:val="18"/>
                    </w:rPr>
                  </w:pPr>
                  <w:r w:rsidRPr="00FC59C8">
                    <w:rPr>
                      <w:rFonts w:ascii="Times New Roman" w:hAnsi="Times New Roman" w:cs="Times New Roman"/>
                      <w:bCs/>
                      <w:sz w:val="18"/>
                      <w:szCs w:val="18"/>
                    </w:rPr>
                    <w:t>Robežšķērsošanas vietas “Vientuļi” apr</w:t>
                  </w:r>
                  <w:r w:rsidR="00FC59C8" w:rsidRPr="00FC59C8">
                    <w:rPr>
                      <w:rFonts w:ascii="Times New Roman" w:hAnsi="Times New Roman" w:cs="Times New Roman"/>
                      <w:bCs/>
                      <w:sz w:val="18"/>
                      <w:szCs w:val="18"/>
                    </w:rPr>
                    <w:t>īkojuma iegāde un uzturēšana</w:t>
                  </w:r>
                </w:p>
              </w:tc>
              <w:tc>
                <w:tcPr>
                  <w:tcW w:w="1477" w:type="dxa"/>
                  <w:shd w:val="clear" w:color="auto" w:fill="auto"/>
                  <w:vAlign w:val="center"/>
                </w:tcPr>
                <w:p w:rsidR="00B41719" w:rsidRPr="00B41719" w:rsidRDefault="00FC59C8" w:rsidP="004A544B">
                  <w:pPr>
                    <w:framePr w:hSpace="180" w:wrap="around" w:vAnchor="text" w:hAnchor="margin" w:xAlign="center" w:y="149"/>
                    <w:jc w:val="center"/>
                    <w:rPr>
                      <w:rFonts w:ascii="Times New Roman" w:hAnsi="Times New Roman" w:cs="Times New Roman"/>
                      <w:sz w:val="18"/>
                      <w:szCs w:val="18"/>
                    </w:rPr>
                  </w:pPr>
                  <w:r>
                    <w:rPr>
                      <w:rFonts w:ascii="Times New Roman" w:hAnsi="Times New Roman" w:cs="Times New Roman"/>
                      <w:sz w:val="18"/>
                      <w:szCs w:val="18"/>
                    </w:rPr>
                    <w:t>1 369 224</w:t>
                  </w:r>
                </w:p>
              </w:tc>
              <w:tc>
                <w:tcPr>
                  <w:tcW w:w="1296" w:type="dxa"/>
                  <w:vAlign w:val="center"/>
                </w:tcPr>
                <w:p w:rsidR="00B41719" w:rsidRPr="00B41719" w:rsidRDefault="00B41719" w:rsidP="004A544B">
                  <w:pPr>
                    <w:framePr w:hSpace="180" w:wrap="around" w:vAnchor="text" w:hAnchor="margin" w:xAlign="center" w:y="149"/>
                    <w:jc w:val="center"/>
                    <w:rPr>
                      <w:rFonts w:ascii="Times New Roman" w:hAnsi="Times New Roman" w:cs="Times New Roman"/>
                      <w:b/>
                      <w:sz w:val="18"/>
                      <w:szCs w:val="18"/>
                    </w:rPr>
                  </w:pPr>
                  <w:r w:rsidRPr="00B41719">
                    <w:rPr>
                      <w:rFonts w:ascii="Times New Roman" w:hAnsi="Times New Roman" w:cs="Times New Roman"/>
                      <w:b/>
                      <w:sz w:val="18"/>
                      <w:szCs w:val="18"/>
                    </w:rPr>
                    <w:t>57 384</w:t>
                  </w:r>
                </w:p>
              </w:tc>
            </w:tr>
          </w:tbl>
          <w:p w:rsidR="00CC7EAF" w:rsidRPr="0084195E" w:rsidRDefault="00CC7EAF" w:rsidP="00B41719">
            <w:pPr>
              <w:spacing w:after="0" w:line="240" w:lineRule="auto"/>
              <w:jc w:val="both"/>
              <w:rPr>
                <w:rFonts w:ascii="Times New Roman" w:hAnsi="Times New Roman" w:cs="Times New Roman"/>
                <w:b/>
                <w:sz w:val="24"/>
                <w:szCs w:val="24"/>
              </w:rPr>
            </w:pPr>
          </w:p>
          <w:p w:rsidR="00C61C43" w:rsidRPr="00B41719" w:rsidRDefault="00B41719" w:rsidP="00B41719">
            <w:pPr>
              <w:spacing w:after="0" w:line="240" w:lineRule="auto"/>
              <w:ind w:firstLine="222"/>
              <w:jc w:val="both"/>
              <w:rPr>
                <w:rFonts w:ascii="Times New Roman" w:hAnsi="Times New Roman" w:cs="Times New Roman"/>
                <w:sz w:val="24"/>
                <w:szCs w:val="24"/>
              </w:rPr>
            </w:pPr>
            <w:r w:rsidRPr="00B41719">
              <w:rPr>
                <w:rFonts w:ascii="Times New Roman" w:hAnsi="Times New Roman" w:cs="Times New Roman"/>
                <w:sz w:val="24"/>
                <w:szCs w:val="24"/>
              </w:rPr>
              <w:t>Finansējums</w:t>
            </w:r>
            <w:r w:rsidR="007208E0">
              <w:rPr>
                <w:rFonts w:ascii="Times New Roman" w:hAnsi="Times New Roman" w:cs="Times New Roman"/>
                <w:sz w:val="24"/>
                <w:szCs w:val="24"/>
              </w:rPr>
              <w:t>, kas piešķirts r</w:t>
            </w:r>
            <w:r w:rsidRPr="00B41719">
              <w:rPr>
                <w:rFonts w:ascii="Times New Roman" w:hAnsi="Times New Roman" w:cs="Times New Roman"/>
                <w:bCs/>
                <w:sz w:val="24"/>
                <w:szCs w:val="24"/>
              </w:rPr>
              <w:t>obežšķērsošanas vietas “Vientuļi” apr</w:t>
            </w:r>
            <w:r w:rsidR="007208E0">
              <w:rPr>
                <w:rFonts w:ascii="Times New Roman" w:hAnsi="Times New Roman" w:cs="Times New Roman"/>
                <w:bCs/>
                <w:sz w:val="24"/>
                <w:szCs w:val="24"/>
              </w:rPr>
              <w:t>īkojumam</w:t>
            </w:r>
            <w:r w:rsidR="00CD17CD">
              <w:rPr>
                <w:rFonts w:ascii="Times New Roman" w:hAnsi="Times New Roman" w:cs="Times New Roman"/>
                <w:bCs/>
                <w:sz w:val="24"/>
                <w:szCs w:val="24"/>
              </w:rPr>
              <w:t>,</w:t>
            </w:r>
            <w:r>
              <w:rPr>
                <w:rFonts w:ascii="Times New Roman" w:hAnsi="Times New Roman" w:cs="Times New Roman"/>
                <w:bCs/>
                <w:sz w:val="24"/>
                <w:szCs w:val="24"/>
              </w:rPr>
              <w:t xml:space="preserve"> netiks apgūts pilnā apjomā, </w:t>
            </w:r>
            <w:r w:rsidR="00E47A7C">
              <w:rPr>
                <w:rFonts w:ascii="Times New Roman" w:hAnsi="Times New Roman" w:cs="Times New Roman"/>
                <w:bCs/>
                <w:sz w:val="24"/>
                <w:szCs w:val="24"/>
              </w:rPr>
              <w:t>jo VAS “Valsts nekustamie īpašumi”, izvērtējot Valsts robežsardzes tehnisko sistēmu kapacitāti, konstatēja, ka atseviš</w:t>
            </w:r>
            <w:r w:rsidR="005F06D6">
              <w:rPr>
                <w:rFonts w:ascii="Times New Roman" w:hAnsi="Times New Roman" w:cs="Times New Roman"/>
                <w:bCs/>
                <w:sz w:val="24"/>
                <w:szCs w:val="24"/>
              </w:rPr>
              <w:t>ķu</w:t>
            </w:r>
            <w:r w:rsidR="005F06D6" w:rsidRPr="006D6B6B">
              <w:rPr>
                <w:bCs/>
                <w:szCs w:val="24"/>
              </w:rPr>
              <w:t xml:space="preserve"> </w:t>
            </w:r>
            <w:r w:rsidR="005F06D6" w:rsidRPr="006E334B">
              <w:rPr>
                <w:rFonts w:ascii="Times New Roman" w:hAnsi="Times New Roman" w:cs="Times New Roman"/>
                <w:sz w:val="24"/>
                <w:szCs w:val="24"/>
              </w:rPr>
              <w:t>funkciju nodrošināšanai nepieciešamais aprīkojums ir jau iekļauts būvprojektā</w:t>
            </w:r>
            <w:r w:rsidR="00CD17CD">
              <w:rPr>
                <w:rFonts w:ascii="Times New Roman" w:hAnsi="Times New Roman" w:cs="Times New Roman"/>
                <w:sz w:val="24"/>
                <w:szCs w:val="24"/>
              </w:rPr>
              <w:t>. Tādejādi</w:t>
            </w:r>
            <w:proofErr w:type="gramStart"/>
            <w:r w:rsidR="005F06D6" w:rsidRPr="006E334B">
              <w:rPr>
                <w:rFonts w:ascii="Times New Roman" w:hAnsi="Times New Roman" w:cs="Times New Roman"/>
                <w:sz w:val="24"/>
                <w:szCs w:val="24"/>
              </w:rPr>
              <w:t xml:space="preserve">  </w:t>
            </w:r>
            <w:proofErr w:type="gramEnd"/>
            <w:r w:rsidR="005F06D6" w:rsidRPr="006E334B">
              <w:rPr>
                <w:rFonts w:ascii="Times New Roman" w:hAnsi="Times New Roman" w:cs="Times New Roman"/>
                <w:sz w:val="24"/>
                <w:szCs w:val="24"/>
              </w:rPr>
              <w:t xml:space="preserve">plānotais finansējums  aprīkojumam 57 384 </w:t>
            </w:r>
            <w:proofErr w:type="spellStart"/>
            <w:r w:rsidR="005F06D6" w:rsidRPr="006E334B">
              <w:rPr>
                <w:rFonts w:ascii="Times New Roman" w:hAnsi="Times New Roman" w:cs="Times New Roman"/>
                <w:i/>
                <w:sz w:val="24"/>
                <w:szCs w:val="24"/>
              </w:rPr>
              <w:t>euro</w:t>
            </w:r>
            <w:proofErr w:type="spellEnd"/>
            <w:r w:rsidR="007208E0">
              <w:rPr>
                <w:rFonts w:ascii="Times New Roman" w:hAnsi="Times New Roman" w:cs="Times New Roman"/>
                <w:sz w:val="24"/>
                <w:szCs w:val="24"/>
              </w:rPr>
              <w:t xml:space="preserve"> apmērā (no tiem</w:t>
            </w:r>
            <w:r w:rsidR="005F06D6" w:rsidRPr="006E334B">
              <w:rPr>
                <w:rFonts w:ascii="Times New Roman" w:hAnsi="Times New Roman" w:cs="Times New Roman"/>
                <w:sz w:val="24"/>
                <w:szCs w:val="24"/>
              </w:rPr>
              <w:t xml:space="preserve"> pamatkapitāla veidošana 55 494 </w:t>
            </w:r>
            <w:proofErr w:type="spellStart"/>
            <w:r w:rsidR="005F06D6" w:rsidRPr="006E334B">
              <w:rPr>
                <w:rFonts w:ascii="Times New Roman" w:hAnsi="Times New Roman" w:cs="Times New Roman"/>
                <w:i/>
                <w:sz w:val="24"/>
                <w:szCs w:val="24"/>
              </w:rPr>
              <w:t>euro</w:t>
            </w:r>
            <w:proofErr w:type="spellEnd"/>
            <w:r w:rsidR="005F06D6" w:rsidRPr="006E334B">
              <w:rPr>
                <w:rFonts w:ascii="Times New Roman" w:hAnsi="Times New Roman" w:cs="Times New Roman"/>
                <w:sz w:val="24"/>
                <w:szCs w:val="24"/>
              </w:rPr>
              <w:t>) netiks apgūts:</w:t>
            </w:r>
          </w:p>
          <w:p w:rsidR="004C010F" w:rsidRPr="006E334B" w:rsidRDefault="006E334B" w:rsidP="006E334B">
            <w:pPr>
              <w:pStyle w:val="ListParagraph"/>
              <w:numPr>
                <w:ilvl w:val="0"/>
                <w:numId w:val="2"/>
              </w:numPr>
              <w:spacing w:after="0" w:line="240" w:lineRule="auto"/>
              <w:ind w:left="222" w:hanging="142"/>
              <w:jc w:val="both"/>
              <w:rPr>
                <w:rFonts w:ascii="Times New Roman" w:hAnsi="Times New Roman" w:cs="Times New Roman"/>
                <w:sz w:val="24"/>
                <w:szCs w:val="24"/>
              </w:rPr>
            </w:pPr>
            <w:r w:rsidRPr="006E334B">
              <w:rPr>
                <w:rFonts w:ascii="Times New Roman" w:eastAsia="Times New Roman" w:hAnsi="Times New Roman" w:cs="Times New Roman"/>
                <w:iCs/>
                <w:color w:val="000000"/>
                <w:sz w:val="24"/>
                <w:szCs w:val="24"/>
                <w:lang w:eastAsia="lv-LV"/>
              </w:rPr>
              <w:t xml:space="preserve">komunikācijas skapis servera telpā: 630 </w:t>
            </w:r>
            <w:proofErr w:type="spellStart"/>
            <w:r w:rsidRPr="006E334B">
              <w:rPr>
                <w:rFonts w:ascii="Times New Roman" w:eastAsia="Times New Roman" w:hAnsi="Times New Roman" w:cs="Times New Roman"/>
                <w:i/>
                <w:iCs/>
                <w:color w:val="000000"/>
                <w:sz w:val="24"/>
                <w:szCs w:val="24"/>
                <w:lang w:eastAsia="lv-LV"/>
              </w:rPr>
              <w:t>euro</w:t>
            </w:r>
            <w:proofErr w:type="spellEnd"/>
            <w:r w:rsidRPr="006E334B">
              <w:rPr>
                <w:rFonts w:ascii="Times New Roman" w:eastAsia="Times New Roman" w:hAnsi="Times New Roman" w:cs="Times New Roman"/>
                <w:iCs/>
                <w:color w:val="000000"/>
                <w:sz w:val="24"/>
                <w:szCs w:val="24"/>
                <w:lang w:eastAsia="lv-LV"/>
              </w:rPr>
              <w:t xml:space="preserve"> (3 gab. x 210 </w:t>
            </w:r>
            <w:proofErr w:type="spellStart"/>
            <w:r w:rsidRPr="006E334B">
              <w:rPr>
                <w:rFonts w:ascii="Times New Roman" w:eastAsia="Times New Roman" w:hAnsi="Times New Roman" w:cs="Times New Roman"/>
                <w:i/>
                <w:iCs/>
                <w:color w:val="000000"/>
                <w:sz w:val="24"/>
                <w:szCs w:val="24"/>
                <w:lang w:eastAsia="lv-LV"/>
              </w:rPr>
              <w:t>euro</w:t>
            </w:r>
            <w:proofErr w:type="spellEnd"/>
            <w:r w:rsidRPr="006E334B">
              <w:rPr>
                <w:rFonts w:ascii="Times New Roman" w:eastAsia="Times New Roman" w:hAnsi="Times New Roman" w:cs="Times New Roman"/>
                <w:iCs/>
                <w:color w:val="000000"/>
                <w:sz w:val="24"/>
                <w:szCs w:val="24"/>
                <w:lang w:eastAsia="lv-LV"/>
              </w:rPr>
              <w:t>)</w:t>
            </w:r>
            <w:proofErr w:type="gramStart"/>
            <w:r w:rsidRPr="006E334B">
              <w:rPr>
                <w:rFonts w:ascii="Times New Roman" w:eastAsia="Times New Roman" w:hAnsi="Times New Roman" w:cs="Times New Roman"/>
                <w:iCs/>
                <w:color w:val="000000"/>
                <w:sz w:val="24"/>
                <w:szCs w:val="24"/>
                <w:lang w:eastAsia="lv-LV"/>
              </w:rPr>
              <w:t xml:space="preserve"> </w:t>
            </w:r>
            <w:r w:rsidR="00626F16" w:rsidRPr="00626F16">
              <w:rPr>
                <w:rFonts w:ascii="Times New Roman" w:hAnsi="Times New Roman" w:cs="Times New Roman"/>
                <w:sz w:val="24"/>
                <w:szCs w:val="24"/>
              </w:rPr>
              <w:t xml:space="preserve"> </w:t>
            </w:r>
            <w:proofErr w:type="gramEnd"/>
            <w:r w:rsidR="00626F16" w:rsidRPr="00626F16">
              <w:rPr>
                <w:rFonts w:ascii="Times New Roman" w:hAnsi="Times New Roman" w:cs="Times New Roman"/>
                <w:sz w:val="24"/>
                <w:szCs w:val="24"/>
              </w:rPr>
              <w:t>izdevumu ekonomiskās klasifi</w:t>
            </w:r>
            <w:r w:rsidR="00626F16">
              <w:rPr>
                <w:rFonts w:ascii="Times New Roman" w:hAnsi="Times New Roman" w:cs="Times New Roman"/>
                <w:sz w:val="24"/>
                <w:szCs w:val="24"/>
              </w:rPr>
              <w:t xml:space="preserve">kācijas kods (turpmāk – EKK) </w:t>
            </w:r>
            <w:r w:rsidRPr="006E334B">
              <w:rPr>
                <w:rFonts w:ascii="Times New Roman" w:eastAsia="Times New Roman" w:hAnsi="Times New Roman" w:cs="Times New Roman"/>
                <w:iCs/>
                <w:color w:val="000000"/>
                <w:sz w:val="24"/>
                <w:szCs w:val="24"/>
                <w:lang w:eastAsia="lv-LV"/>
              </w:rPr>
              <w:t>2312;</w:t>
            </w:r>
          </w:p>
          <w:p w:rsidR="006E334B" w:rsidRPr="006E334B" w:rsidRDefault="006E334B" w:rsidP="006E334B">
            <w:pPr>
              <w:pStyle w:val="ListParagraph"/>
              <w:numPr>
                <w:ilvl w:val="0"/>
                <w:numId w:val="2"/>
              </w:numPr>
              <w:spacing w:after="0" w:line="240" w:lineRule="auto"/>
              <w:ind w:left="222" w:hanging="142"/>
              <w:jc w:val="both"/>
              <w:rPr>
                <w:rFonts w:ascii="Times New Roman" w:hAnsi="Times New Roman" w:cs="Times New Roman"/>
                <w:sz w:val="24"/>
                <w:szCs w:val="24"/>
              </w:rPr>
            </w:pPr>
            <w:r w:rsidRPr="006E334B">
              <w:rPr>
                <w:rFonts w:ascii="Times New Roman" w:eastAsia="Times New Roman" w:hAnsi="Times New Roman" w:cs="Times New Roman"/>
                <w:iCs/>
                <w:color w:val="000000"/>
                <w:sz w:val="24"/>
                <w:szCs w:val="24"/>
                <w:lang w:eastAsia="lv-LV"/>
              </w:rPr>
              <w:t>komunikācijas skapis paviljonos: 1 260</w:t>
            </w:r>
            <w:proofErr w:type="gramStart"/>
            <w:r w:rsidRPr="006E334B">
              <w:rPr>
                <w:rFonts w:ascii="Times New Roman" w:eastAsia="Times New Roman" w:hAnsi="Times New Roman" w:cs="Times New Roman"/>
                <w:iCs/>
                <w:color w:val="000000"/>
                <w:sz w:val="24"/>
                <w:szCs w:val="24"/>
                <w:lang w:eastAsia="lv-LV"/>
              </w:rPr>
              <w:t xml:space="preserve">  </w:t>
            </w:r>
            <w:proofErr w:type="spellStart"/>
            <w:proofErr w:type="gramEnd"/>
            <w:r w:rsidRPr="006E334B">
              <w:rPr>
                <w:rFonts w:ascii="Times New Roman" w:eastAsia="Times New Roman" w:hAnsi="Times New Roman" w:cs="Times New Roman"/>
                <w:i/>
                <w:iCs/>
                <w:color w:val="000000"/>
                <w:sz w:val="24"/>
                <w:szCs w:val="24"/>
                <w:lang w:eastAsia="lv-LV"/>
              </w:rPr>
              <w:t>euro</w:t>
            </w:r>
            <w:proofErr w:type="spellEnd"/>
            <w:r w:rsidRPr="006E334B">
              <w:rPr>
                <w:rFonts w:ascii="Times New Roman" w:eastAsia="Times New Roman" w:hAnsi="Times New Roman" w:cs="Times New Roman"/>
                <w:iCs/>
                <w:color w:val="000000"/>
                <w:sz w:val="24"/>
                <w:szCs w:val="24"/>
                <w:lang w:eastAsia="lv-LV"/>
              </w:rPr>
              <w:t xml:space="preserve">  (6 gab. x 210 </w:t>
            </w:r>
            <w:proofErr w:type="spellStart"/>
            <w:r w:rsidRPr="006E334B">
              <w:rPr>
                <w:rFonts w:ascii="Times New Roman" w:eastAsia="Times New Roman" w:hAnsi="Times New Roman" w:cs="Times New Roman"/>
                <w:i/>
                <w:iCs/>
                <w:color w:val="000000"/>
                <w:sz w:val="24"/>
                <w:szCs w:val="24"/>
                <w:lang w:eastAsia="lv-LV"/>
              </w:rPr>
              <w:t>euro</w:t>
            </w:r>
            <w:proofErr w:type="spellEnd"/>
            <w:r w:rsidRPr="006E334B">
              <w:rPr>
                <w:rFonts w:ascii="Times New Roman" w:eastAsia="Times New Roman" w:hAnsi="Times New Roman" w:cs="Times New Roman"/>
                <w:iCs/>
                <w:color w:val="000000"/>
                <w:sz w:val="24"/>
                <w:szCs w:val="24"/>
                <w:lang w:eastAsia="lv-LV"/>
              </w:rPr>
              <w:t>)  EKK 2312;</w:t>
            </w:r>
          </w:p>
          <w:p w:rsidR="006E334B" w:rsidRPr="006E334B" w:rsidRDefault="006E334B" w:rsidP="006E334B">
            <w:pPr>
              <w:pStyle w:val="ListParagraph"/>
              <w:numPr>
                <w:ilvl w:val="0"/>
                <w:numId w:val="2"/>
              </w:numPr>
              <w:spacing w:after="0" w:line="240" w:lineRule="auto"/>
              <w:ind w:left="222" w:hanging="142"/>
              <w:jc w:val="both"/>
              <w:rPr>
                <w:rFonts w:ascii="Times New Roman" w:hAnsi="Times New Roman" w:cs="Times New Roman"/>
                <w:sz w:val="24"/>
                <w:szCs w:val="24"/>
              </w:rPr>
            </w:pPr>
            <w:r w:rsidRPr="006E334B">
              <w:rPr>
                <w:rFonts w:ascii="Times New Roman" w:eastAsia="Times New Roman" w:hAnsi="Times New Roman" w:cs="Times New Roman"/>
                <w:iCs/>
                <w:color w:val="000000"/>
                <w:sz w:val="24"/>
                <w:szCs w:val="24"/>
                <w:lang w:eastAsia="lv-LV"/>
              </w:rPr>
              <w:t>apsardzes sistēmas ierīkošana: 4 269</w:t>
            </w:r>
            <w:proofErr w:type="gramStart"/>
            <w:r w:rsidRPr="006E334B">
              <w:rPr>
                <w:rFonts w:ascii="Times New Roman" w:eastAsia="Times New Roman" w:hAnsi="Times New Roman" w:cs="Times New Roman"/>
                <w:iCs/>
                <w:color w:val="000000"/>
                <w:sz w:val="24"/>
                <w:szCs w:val="24"/>
                <w:lang w:eastAsia="lv-LV"/>
              </w:rPr>
              <w:t xml:space="preserve">  </w:t>
            </w:r>
            <w:proofErr w:type="spellStart"/>
            <w:proofErr w:type="gramEnd"/>
            <w:r w:rsidRPr="006E334B">
              <w:rPr>
                <w:rFonts w:ascii="Times New Roman" w:eastAsia="Times New Roman" w:hAnsi="Times New Roman" w:cs="Times New Roman"/>
                <w:i/>
                <w:iCs/>
                <w:color w:val="000000"/>
                <w:sz w:val="24"/>
                <w:szCs w:val="24"/>
                <w:lang w:eastAsia="lv-LV"/>
              </w:rPr>
              <w:t>euro</w:t>
            </w:r>
            <w:proofErr w:type="spellEnd"/>
            <w:r w:rsidRPr="006E334B">
              <w:rPr>
                <w:rFonts w:ascii="Times New Roman" w:eastAsia="Times New Roman" w:hAnsi="Times New Roman" w:cs="Times New Roman"/>
                <w:iCs/>
                <w:color w:val="000000"/>
                <w:sz w:val="24"/>
                <w:szCs w:val="24"/>
                <w:lang w:eastAsia="lv-LV"/>
              </w:rPr>
              <w:t xml:space="preserve">  EKK 5220;</w:t>
            </w:r>
          </w:p>
          <w:p w:rsidR="006E334B" w:rsidRPr="006E334B" w:rsidRDefault="006E334B" w:rsidP="006E334B">
            <w:pPr>
              <w:pStyle w:val="ListParagraph"/>
              <w:numPr>
                <w:ilvl w:val="0"/>
                <w:numId w:val="2"/>
              </w:numPr>
              <w:spacing w:after="0" w:line="240" w:lineRule="auto"/>
              <w:ind w:left="222" w:hanging="142"/>
              <w:jc w:val="both"/>
              <w:rPr>
                <w:rFonts w:ascii="Times New Roman" w:hAnsi="Times New Roman" w:cs="Times New Roman"/>
                <w:sz w:val="24"/>
                <w:szCs w:val="24"/>
              </w:rPr>
            </w:pPr>
            <w:r w:rsidRPr="006E334B">
              <w:rPr>
                <w:rFonts w:ascii="Times New Roman" w:eastAsia="Times New Roman" w:hAnsi="Times New Roman" w:cs="Times New Roman"/>
                <w:iCs/>
                <w:color w:val="000000"/>
                <w:sz w:val="24"/>
                <w:szCs w:val="24"/>
                <w:lang w:eastAsia="lv-LV"/>
              </w:rPr>
              <w:t xml:space="preserve">videonovērošanas kameru arhīvs un datu uzglabāšanas serveris (rezerves kopija): 51 225 </w:t>
            </w:r>
            <w:proofErr w:type="spellStart"/>
            <w:r w:rsidRPr="006E334B">
              <w:rPr>
                <w:rFonts w:ascii="Times New Roman" w:eastAsia="Times New Roman" w:hAnsi="Times New Roman" w:cs="Times New Roman"/>
                <w:i/>
                <w:iCs/>
                <w:color w:val="000000"/>
                <w:sz w:val="24"/>
                <w:szCs w:val="24"/>
                <w:lang w:eastAsia="lv-LV"/>
              </w:rPr>
              <w:t>eur</w:t>
            </w:r>
            <w:r w:rsidRPr="006E334B">
              <w:rPr>
                <w:rFonts w:ascii="Times New Roman" w:eastAsia="Times New Roman" w:hAnsi="Times New Roman" w:cs="Times New Roman"/>
                <w:iCs/>
                <w:color w:val="000000"/>
                <w:sz w:val="24"/>
                <w:szCs w:val="24"/>
                <w:lang w:eastAsia="lv-LV"/>
              </w:rPr>
              <w:t>o</w:t>
            </w:r>
            <w:proofErr w:type="spellEnd"/>
            <w:r w:rsidRPr="006E334B">
              <w:rPr>
                <w:rFonts w:ascii="Times New Roman" w:eastAsia="Times New Roman" w:hAnsi="Times New Roman" w:cs="Times New Roman"/>
                <w:iCs/>
                <w:color w:val="000000"/>
                <w:sz w:val="24"/>
                <w:szCs w:val="24"/>
                <w:lang w:eastAsia="lv-LV"/>
              </w:rPr>
              <w:t xml:space="preserve"> (3 gab. x 17 075 </w:t>
            </w:r>
            <w:proofErr w:type="spellStart"/>
            <w:r w:rsidRPr="006E334B">
              <w:rPr>
                <w:rFonts w:ascii="Times New Roman" w:eastAsia="Times New Roman" w:hAnsi="Times New Roman" w:cs="Times New Roman"/>
                <w:i/>
                <w:iCs/>
                <w:color w:val="000000"/>
                <w:sz w:val="24"/>
                <w:szCs w:val="24"/>
                <w:lang w:eastAsia="lv-LV"/>
              </w:rPr>
              <w:t>euro</w:t>
            </w:r>
            <w:proofErr w:type="spellEnd"/>
            <w:r w:rsidRPr="006E334B">
              <w:rPr>
                <w:rFonts w:ascii="Times New Roman" w:eastAsia="Times New Roman" w:hAnsi="Times New Roman" w:cs="Times New Roman"/>
                <w:iCs/>
                <w:color w:val="000000"/>
                <w:sz w:val="24"/>
                <w:szCs w:val="24"/>
                <w:lang w:eastAsia="lv-LV"/>
              </w:rPr>
              <w:t>) EKK 5238.</w:t>
            </w:r>
          </w:p>
          <w:p w:rsidR="003179BD" w:rsidRDefault="003179BD" w:rsidP="00480764">
            <w:pPr>
              <w:spacing w:after="0" w:line="240" w:lineRule="auto"/>
              <w:ind w:firstLine="743"/>
              <w:jc w:val="both"/>
              <w:rPr>
                <w:rFonts w:ascii="Times New Roman" w:hAnsi="Times New Roman" w:cs="Times New Roman"/>
                <w:sz w:val="24"/>
                <w:szCs w:val="24"/>
              </w:rPr>
            </w:pPr>
            <w:r>
              <w:rPr>
                <w:rFonts w:ascii="Times New Roman" w:hAnsi="Times New Roman" w:cs="Times New Roman"/>
                <w:sz w:val="24"/>
                <w:szCs w:val="24"/>
              </w:rPr>
              <w:t>3</w:t>
            </w:r>
            <w:r w:rsidRPr="00B41719">
              <w:rPr>
                <w:rFonts w:ascii="Times New Roman" w:hAnsi="Times New Roman" w:cs="Times New Roman"/>
                <w:sz w:val="24"/>
                <w:szCs w:val="24"/>
              </w:rPr>
              <w:t xml:space="preserve">. budžeta </w:t>
            </w:r>
            <w:r w:rsidR="00FA14E1">
              <w:rPr>
                <w:rFonts w:ascii="Times New Roman" w:hAnsi="Times New Roman" w:cs="Times New Roman"/>
                <w:sz w:val="24"/>
                <w:szCs w:val="24"/>
              </w:rPr>
              <w:t>apakš</w:t>
            </w:r>
            <w:r w:rsidRPr="00B41719">
              <w:rPr>
                <w:rFonts w:ascii="Times New Roman" w:hAnsi="Times New Roman" w:cs="Times New Roman"/>
                <w:sz w:val="24"/>
                <w:szCs w:val="24"/>
              </w:rPr>
              <w:t xml:space="preserve">programmā </w:t>
            </w:r>
            <w:r w:rsidR="002F3B27" w:rsidRPr="002F3B27">
              <w:rPr>
                <w:rFonts w:ascii="Times New Roman" w:hAnsi="Times New Roman" w:cs="Times New Roman"/>
                <w:sz w:val="24"/>
                <w:szCs w:val="24"/>
              </w:rPr>
              <w:t>38.05.00 „Veselības aprūpe un fiziskā sagatavotība”</w:t>
            </w:r>
            <w:r w:rsidRPr="00B41719">
              <w:rPr>
                <w:rFonts w:ascii="Times New Roman" w:hAnsi="Times New Roman" w:cs="Times New Roman"/>
                <w:sz w:val="24"/>
                <w:szCs w:val="24"/>
              </w:rPr>
              <w:t xml:space="preserve"> </w:t>
            </w:r>
            <w:r w:rsidR="002F3B27" w:rsidRPr="002F3B27">
              <w:rPr>
                <w:rFonts w:ascii="Times New Roman" w:hAnsi="Times New Roman" w:cs="Times New Roman"/>
                <w:b/>
                <w:sz w:val="24"/>
                <w:szCs w:val="24"/>
              </w:rPr>
              <w:t>240 770</w:t>
            </w:r>
            <w:r w:rsidRPr="00B41719">
              <w:rPr>
                <w:rFonts w:ascii="Times New Roman" w:hAnsi="Times New Roman" w:cs="Times New Roman"/>
                <w:sz w:val="24"/>
                <w:szCs w:val="24"/>
              </w:rPr>
              <w:t xml:space="preserve"> </w:t>
            </w:r>
            <w:proofErr w:type="spellStart"/>
            <w:r w:rsidRPr="002F3B27">
              <w:rPr>
                <w:rFonts w:ascii="Times New Roman" w:hAnsi="Times New Roman" w:cs="Times New Roman"/>
                <w:i/>
                <w:sz w:val="24"/>
                <w:szCs w:val="24"/>
              </w:rPr>
              <w:t>euro</w:t>
            </w:r>
            <w:proofErr w:type="spellEnd"/>
            <w:r>
              <w:rPr>
                <w:rFonts w:ascii="Times New Roman" w:hAnsi="Times New Roman" w:cs="Times New Roman"/>
                <w:sz w:val="24"/>
                <w:szCs w:val="24"/>
              </w:rPr>
              <w:t>,</w:t>
            </w:r>
            <w:r w:rsidRPr="00B41719">
              <w:rPr>
                <w:rFonts w:ascii="Times New Roman" w:hAnsi="Times New Roman" w:cs="Times New Roman"/>
                <w:sz w:val="24"/>
                <w:szCs w:val="24"/>
              </w:rPr>
              <w:t xml:space="preserve"> ka</w:t>
            </w:r>
            <w:r w:rsidR="00DB4163">
              <w:rPr>
                <w:rFonts w:ascii="Times New Roman" w:hAnsi="Times New Roman" w:cs="Times New Roman"/>
                <w:sz w:val="24"/>
                <w:szCs w:val="24"/>
              </w:rPr>
              <w:t>s tika paredzēts šādam mērķim</w:t>
            </w:r>
            <w:r w:rsidRPr="00B41719">
              <w:rPr>
                <w:rFonts w:ascii="Times New Roman" w:hAnsi="Times New Roman" w:cs="Times New Roman"/>
                <w:sz w:val="24"/>
                <w:szCs w:val="24"/>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631"/>
              <w:gridCol w:w="1118"/>
              <w:gridCol w:w="1469"/>
              <w:gridCol w:w="1158"/>
              <w:gridCol w:w="1126"/>
            </w:tblGrid>
            <w:tr w:rsidR="003179BD" w:rsidRPr="0098404C" w:rsidTr="006A32EF">
              <w:trPr>
                <w:trHeight w:val="789"/>
              </w:trPr>
              <w:tc>
                <w:tcPr>
                  <w:tcW w:w="1876" w:type="dxa"/>
                  <w:shd w:val="clear" w:color="auto" w:fill="auto"/>
                  <w:vAlign w:val="center"/>
                </w:tcPr>
                <w:p w:rsidR="003179BD" w:rsidRPr="0098404C" w:rsidRDefault="003179BD" w:rsidP="004A544B">
                  <w:pPr>
                    <w:framePr w:hSpace="180" w:wrap="around" w:vAnchor="text" w:hAnchor="margin" w:xAlign="center" w:y="149"/>
                    <w:jc w:val="center"/>
                    <w:rPr>
                      <w:rFonts w:ascii="Times New Roman" w:hAnsi="Times New Roman" w:cs="Times New Roman"/>
                      <w:sz w:val="18"/>
                      <w:szCs w:val="18"/>
                    </w:rPr>
                  </w:pPr>
                  <w:r w:rsidRPr="0098404C">
                    <w:rPr>
                      <w:rFonts w:ascii="Times New Roman" w:hAnsi="Times New Roman" w:cs="Times New Roman"/>
                      <w:sz w:val="18"/>
                      <w:szCs w:val="18"/>
                    </w:rPr>
                    <w:t>Finansējuma piešķiršanas pamatojums</w:t>
                  </w:r>
                </w:p>
              </w:tc>
              <w:tc>
                <w:tcPr>
                  <w:tcW w:w="1685" w:type="dxa"/>
                  <w:shd w:val="clear" w:color="auto" w:fill="auto"/>
                  <w:vAlign w:val="center"/>
                </w:tcPr>
                <w:p w:rsidR="003179BD" w:rsidRPr="0098404C" w:rsidRDefault="00DB4163" w:rsidP="004A544B">
                  <w:pPr>
                    <w:framePr w:hSpace="180" w:wrap="around" w:vAnchor="text" w:hAnchor="margin" w:xAlign="center" w:y="149"/>
                    <w:jc w:val="center"/>
                    <w:rPr>
                      <w:rFonts w:ascii="Times New Roman" w:hAnsi="Times New Roman" w:cs="Times New Roman"/>
                      <w:sz w:val="18"/>
                      <w:szCs w:val="18"/>
                    </w:rPr>
                  </w:pPr>
                  <w:r>
                    <w:rPr>
                      <w:rFonts w:ascii="Times New Roman" w:hAnsi="Times New Roman" w:cs="Times New Roman"/>
                      <w:sz w:val="18"/>
                      <w:szCs w:val="18"/>
                    </w:rPr>
                    <w:t>N</w:t>
                  </w:r>
                  <w:r w:rsidR="003179BD" w:rsidRPr="0098404C">
                    <w:rPr>
                      <w:rFonts w:ascii="Times New Roman" w:hAnsi="Times New Roman" w:cs="Times New Roman"/>
                      <w:sz w:val="18"/>
                      <w:szCs w:val="18"/>
                    </w:rPr>
                    <w:t>osaukums</w:t>
                  </w:r>
                </w:p>
              </w:tc>
              <w:tc>
                <w:tcPr>
                  <w:tcW w:w="1122" w:type="dxa"/>
                  <w:shd w:val="clear" w:color="auto" w:fill="auto"/>
                  <w:vAlign w:val="center"/>
                </w:tcPr>
                <w:p w:rsidR="003179BD" w:rsidRPr="0098404C" w:rsidRDefault="003179BD" w:rsidP="004A544B">
                  <w:pPr>
                    <w:framePr w:hSpace="180" w:wrap="around" w:vAnchor="text" w:hAnchor="margin" w:xAlign="center" w:y="149"/>
                    <w:jc w:val="center"/>
                    <w:rPr>
                      <w:rFonts w:ascii="Times New Roman" w:hAnsi="Times New Roman" w:cs="Times New Roman"/>
                      <w:sz w:val="18"/>
                      <w:szCs w:val="18"/>
                    </w:rPr>
                  </w:pPr>
                  <w:r w:rsidRPr="0098404C">
                    <w:rPr>
                      <w:rFonts w:ascii="Times New Roman" w:hAnsi="Times New Roman" w:cs="Times New Roman"/>
                      <w:sz w:val="18"/>
                      <w:szCs w:val="18"/>
                    </w:rPr>
                    <w:t>Piešķirtais finansējums</w:t>
                  </w:r>
                </w:p>
              </w:tc>
              <w:tc>
                <w:tcPr>
                  <w:tcW w:w="1518" w:type="dxa"/>
                  <w:vAlign w:val="center"/>
                </w:tcPr>
                <w:p w:rsidR="003179BD" w:rsidRPr="0098404C" w:rsidRDefault="003179BD" w:rsidP="004A544B">
                  <w:pPr>
                    <w:framePr w:hSpace="180" w:wrap="around" w:vAnchor="text" w:hAnchor="margin" w:xAlign="center" w:y="149"/>
                    <w:jc w:val="center"/>
                    <w:rPr>
                      <w:rFonts w:ascii="Times New Roman" w:hAnsi="Times New Roman" w:cs="Times New Roman"/>
                      <w:sz w:val="18"/>
                      <w:szCs w:val="18"/>
                    </w:rPr>
                  </w:pPr>
                  <w:r w:rsidRPr="0098404C">
                    <w:rPr>
                      <w:rFonts w:ascii="Times New Roman" w:hAnsi="Times New Roman" w:cs="Times New Roman"/>
                      <w:sz w:val="18"/>
                      <w:szCs w:val="18"/>
                    </w:rPr>
                    <w:t xml:space="preserve">Pārdale saskaņā ar MK 17.09.2015. </w:t>
                  </w:r>
                  <w:proofErr w:type="spellStart"/>
                  <w:r w:rsidRPr="0098404C">
                    <w:rPr>
                      <w:rFonts w:ascii="Times New Roman" w:hAnsi="Times New Roman" w:cs="Times New Roman"/>
                      <w:sz w:val="18"/>
                      <w:szCs w:val="18"/>
                    </w:rPr>
                    <w:t>rīk</w:t>
                  </w:r>
                  <w:proofErr w:type="spellEnd"/>
                  <w:r w:rsidRPr="0098404C">
                    <w:rPr>
                      <w:rFonts w:ascii="Times New Roman" w:hAnsi="Times New Roman" w:cs="Times New Roman"/>
                      <w:sz w:val="18"/>
                      <w:szCs w:val="18"/>
                    </w:rPr>
                    <w:t>. Nr.568</w:t>
                  </w:r>
                </w:p>
              </w:tc>
              <w:tc>
                <w:tcPr>
                  <w:tcW w:w="1159" w:type="dxa"/>
                  <w:vAlign w:val="center"/>
                </w:tcPr>
                <w:p w:rsidR="003179BD" w:rsidRPr="00626F16" w:rsidRDefault="003179BD" w:rsidP="004A544B">
                  <w:pPr>
                    <w:framePr w:hSpace="180" w:wrap="around" w:vAnchor="text" w:hAnchor="margin" w:xAlign="center" w:y="149"/>
                    <w:jc w:val="center"/>
                    <w:rPr>
                      <w:rFonts w:ascii="Times New Roman" w:hAnsi="Times New Roman" w:cs="Times New Roman"/>
                      <w:sz w:val="18"/>
                      <w:szCs w:val="18"/>
                    </w:rPr>
                  </w:pPr>
                  <w:r w:rsidRPr="00626F16">
                    <w:rPr>
                      <w:rFonts w:ascii="Times New Roman" w:hAnsi="Times New Roman" w:cs="Times New Roman"/>
                      <w:sz w:val="18"/>
                      <w:szCs w:val="18"/>
                    </w:rPr>
                    <w:t>Neizlietotais finansējums (pārdale psiholoģiskā atbalsta pakalpojuma izveidei)</w:t>
                  </w:r>
                </w:p>
              </w:tc>
              <w:tc>
                <w:tcPr>
                  <w:tcW w:w="936" w:type="dxa"/>
                  <w:vAlign w:val="center"/>
                </w:tcPr>
                <w:p w:rsidR="003179BD" w:rsidRPr="0098404C" w:rsidRDefault="003179BD" w:rsidP="004A544B">
                  <w:pPr>
                    <w:framePr w:hSpace="180" w:wrap="around" w:vAnchor="text" w:hAnchor="margin" w:xAlign="center" w:y="149"/>
                    <w:jc w:val="center"/>
                    <w:rPr>
                      <w:sz w:val="18"/>
                      <w:szCs w:val="18"/>
                    </w:rPr>
                  </w:pPr>
                  <w:r w:rsidRPr="0098404C">
                    <w:rPr>
                      <w:rFonts w:ascii="Times New Roman" w:hAnsi="Times New Roman" w:cs="Times New Roman"/>
                      <w:sz w:val="18"/>
                      <w:szCs w:val="18"/>
                    </w:rPr>
                    <w:t>Neizlietotais finansējums</w:t>
                  </w:r>
                </w:p>
              </w:tc>
            </w:tr>
            <w:tr w:rsidR="003179BD" w:rsidRPr="0098404C" w:rsidTr="006A32EF">
              <w:tc>
                <w:tcPr>
                  <w:tcW w:w="1876" w:type="dxa"/>
                  <w:shd w:val="clear" w:color="auto" w:fill="auto"/>
                  <w:vAlign w:val="center"/>
                </w:tcPr>
                <w:p w:rsidR="003179BD" w:rsidRPr="0098404C" w:rsidRDefault="003179BD" w:rsidP="004A544B">
                  <w:pPr>
                    <w:framePr w:hSpace="180" w:wrap="around" w:vAnchor="text" w:hAnchor="margin" w:xAlign="center" w:y="149"/>
                    <w:spacing w:after="0" w:line="240" w:lineRule="auto"/>
                    <w:jc w:val="center"/>
                    <w:rPr>
                      <w:rFonts w:ascii="Times New Roman" w:hAnsi="Times New Roman" w:cs="Times New Roman"/>
                      <w:sz w:val="18"/>
                      <w:szCs w:val="18"/>
                    </w:rPr>
                  </w:pPr>
                  <w:proofErr w:type="gramStart"/>
                  <w:r w:rsidRPr="0098404C">
                    <w:rPr>
                      <w:rFonts w:ascii="Times New Roman" w:hAnsi="Times New Roman" w:cs="Times New Roman"/>
                      <w:sz w:val="18"/>
                      <w:szCs w:val="18"/>
                    </w:rPr>
                    <w:t>2013.gada</w:t>
                  </w:r>
                  <w:proofErr w:type="gramEnd"/>
                  <w:r w:rsidRPr="0098404C">
                    <w:rPr>
                      <w:rFonts w:ascii="Times New Roman" w:hAnsi="Times New Roman" w:cs="Times New Roman"/>
                      <w:sz w:val="18"/>
                      <w:szCs w:val="18"/>
                    </w:rPr>
                    <w:t xml:space="preserve"> 19.decembrī pieņemtie grozījumi Valsts un pašvaldību institūciju amatpersonu un darbinieku atlīdzības likumā</w:t>
                  </w:r>
                </w:p>
              </w:tc>
              <w:tc>
                <w:tcPr>
                  <w:tcW w:w="1685" w:type="dxa"/>
                  <w:shd w:val="clear" w:color="auto" w:fill="auto"/>
                  <w:vAlign w:val="center"/>
                </w:tcPr>
                <w:p w:rsidR="003179BD" w:rsidRPr="0098404C" w:rsidRDefault="003179BD" w:rsidP="004A544B">
                  <w:pPr>
                    <w:framePr w:hSpace="180" w:wrap="around" w:vAnchor="text" w:hAnchor="margin" w:xAlign="center" w:y="149"/>
                    <w:spacing w:after="0" w:line="240" w:lineRule="auto"/>
                    <w:ind w:left="40" w:hanging="40"/>
                    <w:jc w:val="center"/>
                    <w:rPr>
                      <w:rFonts w:ascii="Times New Roman" w:hAnsi="Times New Roman" w:cs="Times New Roman"/>
                      <w:bCs/>
                      <w:sz w:val="18"/>
                      <w:szCs w:val="18"/>
                    </w:rPr>
                  </w:pPr>
                  <w:r w:rsidRPr="0098404C">
                    <w:rPr>
                      <w:rFonts w:ascii="Times New Roman" w:hAnsi="Times New Roman" w:cs="Times New Roman"/>
                      <w:bCs/>
                      <w:sz w:val="18"/>
                      <w:szCs w:val="18"/>
                    </w:rPr>
                    <w:t>Amatpersonu ar speciālajām dienesta pakāpēm sociālo garantiju uzlabošana un veselības aprūpes pakalpojumu sniegšana</w:t>
                  </w:r>
                </w:p>
              </w:tc>
              <w:tc>
                <w:tcPr>
                  <w:tcW w:w="1122" w:type="dxa"/>
                  <w:shd w:val="clear" w:color="auto" w:fill="auto"/>
                  <w:vAlign w:val="center"/>
                </w:tcPr>
                <w:p w:rsidR="003179BD" w:rsidRPr="002F3B27" w:rsidRDefault="003179BD" w:rsidP="004A544B">
                  <w:pPr>
                    <w:framePr w:hSpace="180" w:wrap="around" w:vAnchor="text" w:hAnchor="margin" w:xAlign="center" w:y="149"/>
                    <w:jc w:val="center"/>
                    <w:rPr>
                      <w:rFonts w:ascii="Times New Roman" w:hAnsi="Times New Roman" w:cs="Times New Roman"/>
                      <w:sz w:val="18"/>
                      <w:szCs w:val="18"/>
                    </w:rPr>
                  </w:pPr>
                  <w:r w:rsidRPr="002F3B27">
                    <w:rPr>
                      <w:rFonts w:ascii="Times New Roman" w:hAnsi="Times New Roman" w:cs="Times New Roman"/>
                      <w:sz w:val="18"/>
                      <w:szCs w:val="18"/>
                    </w:rPr>
                    <w:t>4 392 559</w:t>
                  </w:r>
                </w:p>
              </w:tc>
              <w:tc>
                <w:tcPr>
                  <w:tcW w:w="1518" w:type="dxa"/>
                  <w:vAlign w:val="center"/>
                </w:tcPr>
                <w:p w:rsidR="003179BD" w:rsidRPr="002F3B27" w:rsidRDefault="003179BD" w:rsidP="004A544B">
                  <w:pPr>
                    <w:framePr w:hSpace="180" w:wrap="around" w:vAnchor="text" w:hAnchor="margin" w:xAlign="center" w:y="149"/>
                    <w:jc w:val="center"/>
                    <w:rPr>
                      <w:rFonts w:ascii="Times New Roman" w:hAnsi="Times New Roman" w:cs="Times New Roman"/>
                      <w:sz w:val="18"/>
                      <w:szCs w:val="18"/>
                    </w:rPr>
                  </w:pPr>
                  <w:r w:rsidRPr="002F3B27">
                    <w:rPr>
                      <w:rFonts w:ascii="Times New Roman" w:hAnsi="Times New Roman" w:cs="Times New Roman"/>
                      <w:sz w:val="18"/>
                      <w:szCs w:val="18"/>
                    </w:rPr>
                    <w:t>- 1 242 753</w:t>
                  </w:r>
                </w:p>
              </w:tc>
              <w:tc>
                <w:tcPr>
                  <w:tcW w:w="1159" w:type="dxa"/>
                  <w:vAlign w:val="center"/>
                </w:tcPr>
                <w:p w:rsidR="003179BD" w:rsidRPr="002F3B27" w:rsidRDefault="003179BD" w:rsidP="004A544B">
                  <w:pPr>
                    <w:framePr w:hSpace="180" w:wrap="around" w:vAnchor="text" w:hAnchor="margin" w:xAlign="center" w:y="149"/>
                    <w:jc w:val="center"/>
                    <w:rPr>
                      <w:rFonts w:ascii="Times New Roman" w:hAnsi="Times New Roman" w:cs="Times New Roman"/>
                      <w:sz w:val="18"/>
                      <w:szCs w:val="18"/>
                    </w:rPr>
                  </w:pPr>
                  <w:r w:rsidRPr="002F3B27">
                    <w:rPr>
                      <w:rFonts w:ascii="Times New Roman" w:hAnsi="Times New Roman" w:cs="Times New Roman"/>
                      <w:sz w:val="18"/>
                      <w:szCs w:val="18"/>
                    </w:rPr>
                    <w:t>-88 452</w:t>
                  </w:r>
                </w:p>
              </w:tc>
              <w:tc>
                <w:tcPr>
                  <w:tcW w:w="936" w:type="dxa"/>
                  <w:vAlign w:val="center"/>
                </w:tcPr>
                <w:p w:rsidR="003179BD" w:rsidRPr="002F3B27" w:rsidRDefault="003179BD" w:rsidP="004A544B">
                  <w:pPr>
                    <w:framePr w:hSpace="180" w:wrap="around" w:vAnchor="text" w:hAnchor="margin" w:xAlign="center" w:y="149"/>
                    <w:jc w:val="center"/>
                    <w:rPr>
                      <w:rFonts w:ascii="Times New Roman" w:hAnsi="Times New Roman" w:cs="Times New Roman"/>
                      <w:b/>
                      <w:sz w:val="18"/>
                      <w:szCs w:val="18"/>
                    </w:rPr>
                  </w:pPr>
                  <w:r w:rsidRPr="002F3B27">
                    <w:rPr>
                      <w:rFonts w:ascii="Times New Roman" w:hAnsi="Times New Roman" w:cs="Times New Roman"/>
                      <w:b/>
                      <w:sz w:val="18"/>
                      <w:szCs w:val="18"/>
                    </w:rPr>
                    <w:t>240 770</w:t>
                  </w:r>
                </w:p>
              </w:tc>
            </w:tr>
          </w:tbl>
          <w:p w:rsidR="00AF4354" w:rsidRDefault="00AF4354" w:rsidP="00AF4354">
            <w:pPr>
              <w:spacing w:after="0" w:line="240" w:lineRule="auto"/>
              <w:jc w:val="both"/>
              <w:rPr>
                <w:rFonts w:ascii="Times New Roman" w:hAnsi="Times New Roman" w:cs="Times New Roman"/>
                <w:sz w:val="24"/>
                <w:szCs w:val="24"/>
              </w:rPr>
            </w:pPr>
          </w:p>
          <w:p w:rsidR="00AF4354" w:rsidRPr="00626F16" w:rsidRDefault="003C30ED" w:rsidP="000B42F6">
            <w:pPr>
              <w:spacing w:after="0" w:line="240" w:lineRule="auto"/>
              <w:ind w:firstLine="506"/>
              <w:jc w:val="both"/>
              <w:rPr>
                <w:rFonts w:ascii="Times New Roman" w:hAnsi="Times New Roman" w:cs="Times New Roman"/>
                <w:iCs/>
                <w:sz w:val="24"/>
                <w:szCs w:val="24"/>
              </w:rPr>
            </w:pPr>
            <w:r>
              <w:rPr>
                <w:rFonts w:ascii="Times New Roman" w:hAnsi="Times New Roman" w:cs="Times New Roman"/>
                <w:sz w:val="24"/>
                <w:szCs w:val="24"/>
              </w:rPr>
              <w:t>Finansējums a</w:t>
            </w:r>
            <w:r w:rsidR="00626F16" w:rsidRPr="00626F16">
              <w:rPr>
                <w:rFonts w:ascii="Times New Roman" w:hAnsi="Times New Roman" w:cs="Times New Roman"/>
                <w:sz w:val="24"/>
                <w:szCs w:val="24"/>
              </w:rPr>
              <w:t>matpersonu ar speciālajām dienesta pakāpēm sociālo garantiju uzlabošana</w:t>
            </w:r>
            <w:r>
              <w:rPr>
                <w:rFonts w:ascii="Times New Roman" w:hAnsi="Times New Roman" w:cs="Times New Roman"/>
                <w:sz w:val="24"/>
                <w:szCs w:val="24"/>
              </w:rPr>
              <w:t>i</w:t>
            </w:r>
            <w:r w:rsidR="00626F16" w:rsidRPr="00626F16">
              <w:rPr>
                <w:rFonts w:ascii="Times New Roman" w:hAnsi="Times New Roman" w:cs="Times New Roman"/>
                <w:sz w:val="24"/>
                <w:szCs w:val="24"/>
              </w:rPr>
              <w:t xml:space="preserve"> un veselība</w:t>
            </w:r>
            <w:r>
              <w:rPr>
                <w:rFonts w:ascii="Times New Roman" w:hAnsi="Times New Roman" w:cs="Times New Roman"/>
                <w:sz w:val="24"/>
                <w:szCs w:val="24"/>
              </w:rPr>
              <w:t>s aprūpes pakalpojumu sniegšanai</w:t>
            </w:r>
            <w:r w:rsidR="00626F16" w:rsidRPr="00626F16">
              <w:rPr>
                <w:rFonts w:ascii="Times New Roman" w:hAnsi="Times New Roman" w:cs="Times New Roman"/>
                <w:sz w:val="24"/>
                <w:szCs w:val="24"/>
              </w:rPr>
              <w:t xml:space="preserve"> netiks apgūts pilnā apjomā, jo atbilstoši faktiskajai situācijai (amatpersonu ar speciālajām dienesta pakāpēm nepieciešamību pēc veselības aprūpes pakalpojumiem un sociālajām garantijām ir grūti precīzi prognozēt) precizēts nepieciešamo līdzekļu apjoms (tajā skaitā sadalījumā pa EKK). Līdz </w:t>
            </w:r>
            <w:proofErr w:type="gramStart"/>
            <w:r w:rsidR="00626F16" w:rsidRPr="00626F16">
              <w:rPr>
                <w:rFonts w:ascii="Times New Roman" w:hAnsi="Times New Roman" w:cs="Times New Roman"/>
                <w:sz w:val="24"/>
                <w:szCs w:val="24"/>
              </w:rPr>
              <w:t>2015.gada</w:t>
            </w:r>
            <w:proofErr w:type="gramEnd"/>
            <w:r w:rsidR="00626F16" w:rsidRPr="00626F16">
              <w:rPr>
                <w:rFonts w:ascii="Times New Roman" w:hAnsi="Times New Roman" w:cs="Times New Roman"/>
                <w:sz w:val="24"/>
                <w:szCs w:val="24"/>
              </w:rPr>
              <w:t xml:space="preserve"> beigām tiek plānots apgūt finansējumu ne vairāk kā </w:t>
            </w:r>
            <w:r w:rsidR="00626F16">
              <w:rPr>
                <w:rFonts w:ascii="Times New Roman" w:hAnsi="Times New Roman" w:cs="Times New Roman"/>
                <w:sz w:val="24"/>
                <w:szCs w:val="24"/>
              </w:rPr>
              <w:t>2 820 584</w:t>
            </w:r>
            <w:r w:rsidR="00626F16" w:rsidRPr="00626F16">
              <w:rPr>
                <w:rFonts w:ascii="Times New Roman" w:hAnsi="Times New Roman" w:cs="Times New Roman"/>
                <w:sz w:val="24"/>
                <w:szCs w:val="24"/>
              </w:rPr>
              <w:t xml:space="preserve"> </w:t>
            </w:r>
            <w:proofErr w:type="spellStart"/>
            <w:r w:rsidR="00626F16" w:rsidRPr="00626F16">
              <w:rPr>
                <w:rFonts w:ascii="Times New Roman" w:hAnsi="Times New Roman" w:cs="Times New Roman"/>
                <w:i/>
                <w:sz w:val="24"/>
                <w:szCs w:val="24"/>
              </w:rPr>
              <w:t>euro</w:t>
            </w:r>
            <w:proofErr w:type="spellEnd"/>
            <w:r w:rsidR="00626F16" w:rsidRPr="00626F16">
              <w:rPr>
                <w:rFonts w:ascii="Times New Roman" w:hAnsi="Times New Roman" w:cs="Times New Roman"/>
                <w:i/>
                <w:sz w:val="24"/>
                <w:szCs w:val="24"/>
              </w:rPr>
              <w:t xml:space="preserve"> </w:t>
            </w:r>
            <w:r w:rsidR="00626F16" w:rsidRPr="00626F16">
              <w:rPr>
                <w:rFonts w:ascii="Times New Roman" w:hAnsi="Times New Roman" w:cs="Times New Roman"/>
                <w:sz w:val="24"/>
                <w:szCs w:val="24"/>
              </w:rPr>
              <w:t xml:space="preserve">apmērā. Tādējādi </w:t>
            </w:r>
            <w:proofErr w:type="gramStart"/>
            <w:r w:rsidR="00626F16" w:rsidRPr="00626F16">
              <w:rPr>
                <w:rFonts w:ascii="Times New Roman" w:hAnsi="Times New Roman" w:cs="Times New Roman"/>
                <w:sz w:val="24"/>
                <w:szCs w:val="24"/>
              </w:rPr>
              <w:t>2015.gadā</w:t>
            </w:r>
            <w:proofErr w:type="gramEnd"/>
            <w:r w:rsidR="00626F16" w:rsidRPr="00626F16">
              <w:rPr>
                <w:rFonts w:ascii="Times New Roman" w:hAnsi="Times New Roman" w:cs="Times New Roman"/>
                <w:sz w:val="24"/>
                <w:szCs w:val="24"/>
              </w:rPr>
              <w:t xml:space="preserve"> iespējams veikt </w:t>
            </w:r>
            <w:r w:rsidR="00626F16">
              <w:rPr>
                <w:rFonts w:ascii="Times New Roman" w:hAnsi="Times New Roman" w:cs="Times New Roman"/>
                <w:sz w:val="24"/>
                <w:szCs w:val="24"/>
              </w:rPr>
              <w:t xml:space="preserve">papildu </w:t>
            </w:r>
            <w:r w:rsidR="00626F16" w:rsidRPr="00626F16">
              <w:rPr>
                <w:rFonts w:ascii="Times New Roman" w:hAnsi="Times New Roman" w:cs="Times New Roman"/>
                <w:sz w:val="24"/>
                <w:szCs w:val="24"/>
              </w:rPr>
              <w:t xml:space="preserve">apropriācijas pārdali </w:t>
            </w:r>
            <w:r w:rsidR="00626F16">
              <w:rPr>
                <w:rFonts w:ascii="Times New Roman" w:hAnsi="Times New Roman" w:cs="Times New Roman"/>
                <w:sz w:val="24"/>
                <w:szCs w:val="24"/>
              </w:rPr>
              <w:t>240 770</w:t>
            </w:r>
            <w:r w:rsidR="00626F16" w:rsidRPr="00626F16">
              <w:rPr>
                <w:rFonts w:ascii="Times New Roman" w:hAnsi="Times New Roman" w:cs="Times New Roman"/>
                <w:sz w:val="24"/>
                <w:szCs w:val="24"/>
              </w:rPr>
              <w:t xml:space="preserve"> </w:t>
            </w:r>
            <w:proofErr w:type="spellStart"/>
            <w:r w:rsidR="00626F16" w:rsidRPr="00626F16">
              <w:rPr>
                <w:rFonts w:ascii="Times New Roman" w:hAnsi="Times New Roman" w:cs="Times New Roman"/>
                <w:i/>
                <w:sz w:val="24"/>
                <w:szCs w:val="24"/>
              </w:rPr>
              <w:t>euro</w:t>
            </w:r>
            <w:proofErr w:type="spellEnd"/>
            <w:r w:rsidR="00626F16" w:rsidRPr="00626F16">
              <w:rPr>
                <w:rFonts w:ascii="Times New Roman" w:hAnsi="Times New Roman" w:cs="Times New Roman"/>
                <w:sz w:val="24"/>
                <w:szCs w:val="24"/>
              </w:rPr>
              <w:t xml:space="preserve"> (4 392 559 </w:t>
            </w:r>
            <w:proofErr w:type="spellStart"/>
            <w:r w:rsidR="00626F16" w:rsidRPr="00626F16">
              <w:rPr>
                <w:rFonts w:ascii="Times New Roman" w:hAnsi="Times New Roman" w:cs="Times New Roman"/>
                <w:i/>
                <w:iCs/>
                <w:sz w:val="24"/>
                <w:szCs w:val="24"/>
              </w:rPr>
              <w:t>euro</w:t>
            </w:r>
            <w:proofErr w:type="spellEnd"/>
            <w:r w:rsidR="00626F16" w:rsidRPr="00626F16">
              <w:rPr>
                <w:rFonts w:ascii="Times New Roman" w:hAnsi="Times New Roman" w:cs="Times New Roman"/>
                <w:iCs/>
                <w:sz w:val="24"/>
                <w:szCs w:val="24"/>
              </w:rPr>
              <w:t xml:space="preserve"> –</w:t>
            </w:r>
            <w:r w:rsidR="00626F16">
              <w:rPr>
                <w:rFonts w:ascii="Times New Roman" w:hAnsi="Times New Roman" w:cs="Times New Roman"/>
                <w:iCs/>
                <w:sz w:val="24"/>
                <w:szCs w:val="24"/>
              </w:rPr>
              <w:t xml:space="preserve"> 2 820 584 </w:t>
            </w:r>
            <w:proofErr w:type="spellStart"/>
            <w:r w:rsidR="00626F16" w:rsidRPr="00626F16">
              <w:rPr>
                <w:rFonts w:ascii="Times New Roman" w:hAnsi="Times New Roman" w:cs="Times New Roman"/>
                <w:i/>
                <w:iCs/>
                <w:sz w:val="24"/>
                <w:szCs w:val="24"/>
              </w:rPr>
              <w:t>euro</w:t>
            </w:r>
            <w:proofErr w:type="spellEnd"/>
            <w:r w:rsidR="00626F16">
              <w:rPr>
                <w:rFonts w:ascii="Times New Roman" w:hAnsi="Times New Roman" w:cs="Times New Roman"/>
                <w:iCs/>
                <w:sz w:val="24"/>
                <w:szCs w:val="24"/>
              </w:rPr>
              <w:t xml:space="preserve"> = 1 571 975 </w:t>
            </w:r>
            <w:proofErr w:type="spellStart"/>
            <w:r w:rsidR="00626F16" w:rsidRPr="00626F16">
              <w:rPr>
                <w:rFonts w:ascii="Times New Roman" w:hAnsi="Times New Roman" w:cs="Times New Roman"/>
                <w:i/>
                <w:iCs/>
                <w:sz w:val="24"/>
                <w:szCs w:val="24"/>
              </w:rPr>
              <w:t>euro</w:t>
            </w:r>
            <w:proofErr w:type="spellEnd"/>
            <w:r w:rsidR="00626F16">
              <w:rPr>
                <w:rFonts w:ascii="Times New Roman" w:hAnsi="Times New Roman" w:cs="Times New Roman"/>
                <w:iCs/>
                <w:sz w:val="24"/>
                <w:szCs w:val="24"/>
              </w:rPr>
              <w:t xml:space="preserve"> (no tiem 1 242 753 </w:t>
            </w:r>
            <w:proofErr w:type="spellStart"/>
            <w:r w:rsidR="00626F16" w:rsidRPr="00626F16">
              <w:rPr>
                <w:rFonts w:ascii="Times New Roman" w:hAnsi="Times New Roman" w:cs="Times New Roman"/>
                <w:i/>
                <w:iCs/>
                <w:sz w:val="24"/>
                <w:szCs w:val="24"/>
              </w:rPr>
              <w:t>euro</w:t>
            </w:r>
            <w:proofErr w:type="spellEnd"/>
            <w:r w:rsidR="00626F16">
              <w:rPr>
                <w:rFonts w:ascii="Times New Roman" w:hAnsi="Times New Roman" w:cs="Times New Roman"/>
                <w:iCs/>
                <w:sz w:val="24"/>
                <w:szCs w:val="24"/>
              </w:rPr>
              <w:t xml:space="preserve"> pārdalīts saskaņā ar Ministru kabineta 2015.gada 17.septembra rīkojumu Nr.568 </w:t>
            </w:r>
            <w:r w:rsidR="00B01E2A" w:rsidRPr="00B01E2A">
              <w:rPr>
                <w:rFonts w:ascii="Times New Roman" w:hAnsi="Times New Roman" w:cs="Times New Roman"/>
                <w:iCs/>
                <w:sz w:val="24"/>
                <w:szCs w:val="24"/>
              </w:rPr>
              <w:t>“</w:t>
            </w:r>
            <w:r w:rsidR="00B01E2A" w:rsidRPr="00B01E2A">
              <w:rPr>
                <w:rFonts w:ascii="Times New Roman" w:hAnsi="Times New Roman" w:cs="Times New Roman"/>
                <w:sz w:val="24"/>
                <w:szCs w:val="24"/>
              </w:rPr>
              <w:t xml:space="preserve">Par apropriācijas pārdali starp Iekšlietu ministrijas budžeta programmām, apakšprogrammām un pasākumiem 2015. gadā un bāzes izdevumu pārdali” </w:t>
            </w:r>
            <w:r w:rsidR="00626F16" w:rsidRPr="00B01E2A">
              <w:rPr>
                <w:rFonts w:ascii="Times New Roman" w:hAnsi="Times New Roman" w:cs="Times New Roman"/>
                <w:iCs/>
                <w:sz w:val="24"/>
                <w:szCs w:val="24"/>
              </w:rPr>
              <w:t xml:space="preserve">un </w:t>
            </w:r>
            <w:r w:rsidR="00626F16">
              <w:rPr>
                <w:rFonts w:ascii="Times New Roman" w:hAnsi="Times New Roman" w:cs="Times New Roman"/>
                <w:iCs/>
                <w:sz w:val="24"/>
                <w:szCs w:val="24"/>
              </w:rPr>
              <w:t xml:space="preserve">88 452 </w:t>
            </w:r>
            <w:proofErr w:type="spellStart"/>
            <w:r w:rsidR="00626F16" w:rsidRPr="00626F16">
              <w:rPr>
                <w:rFonts w:ascii="Times New Roman" w:hAnsi="Times New Roman" w:cs="Times New Roman"/>
                <w:i/>
                <w:iCs/>
                <w:sz w:val="24"/>
                <w:szCs w:val="24"/>
              </w:rPr>
              <w:t>euro</w:t>
            </w:r>
            <w:proofErr w:type="spellEnd"/>
            <w:r w:rsidR="00626F16">
              <w:rPr>
                <w:rFonts w:ascii="Times New Roman" w:hAnsi="Times New Roman" w:cs="Times New Roman"/>
                <w:iCs/>
                <w:sz w:val="24"/>
                <w:szCs w:val="24"/>
              </w:rPr>
              <w:t xml:space="preserve"> plānotā apropriācijas pārdale psiholoģiskā atbalsta pakalpojuma izveidei (informatīvā ziņojuma projekts </w:t>
            </w:r>
            <w:r w:rsidR="00626F16" w:rsidRPr="00626F16">
              <w:rPr>
                <w:rFonts w:ascii="Times New Roman" w:hAnsi="Times New Roman" w:cs="Times New Roman"/>
                <w:iCs/>
                <w:sz w:val="24"/>
                <w:szCs w:val="24"/>
              </w:rPr>
              <w:t xml:space="preserve">“Par psiholoģiskā atbalsta pakalpojuma izveidi </w:t>
            </w:r>
            <w:r w:rsidR="00626F16" w:rsidRPr="00626F16">
              <w:rPr>
                <w:rFonts w:ascii="Times New Roman" w:hAnsi="Times New Roman" w:cs="Times New Roman"/>
                <w:iCs/>
                <w:sz w:val="24"/>
                <w:szCs w:val="24"/>
              </w:rPr>
              <w:lastRenderedPageBreak/>
              <w:t>Iekšlietu ministrijas sistēmas iestāžu un Ieslodzījuma vietu pārvaldes amatpersonām ar speciālajām dienesta pakāpēm”</w:t>
            </w:r>
            <w:r w:rsidR="007777B9">
              <w:rPr>
                <w:rFonts w:ascii="Times New Roman" w:hAnsi="Times New Roman" w:cs="Times New Roman"/>
                <w:iCs/>
                <w:sz w:val="24"/>
                <w:szCs w:val="24"/>
              </w:rPr>
              <w:t xml:space="preserve"> (turpmāk – informatīvā ziņojuma projekts)</w:t>
            </w:r>
            <w:r w:rsidR="00501EB3">
              <w:rPr>
                <w:rFonts w:ascii="Times New Roman" w:hAnsi="Times New Roman" w:cs="Times New Roman"/>
                <w:iCs/>
                <w:sz w:val="24"/>
                <w:szCs w:val="24"/>
              </w:rPr>
              <w:t>).</w:t>
            </w:r>
            <w:r w:rsidR="000B42F6">
              <w:rPr>
                <w:rFonts w:ascii="Times New Roman" w:hAnsi="Times New Roman" w:cs="Times New Roman"/>
                <w:iCs/>
                <w:sz w:val="24"/>
                <w:szCs w:val="24"/>
              </w:rPr>
              <w:t xml:space="preserve"> </w:t>
            </w:r>
            <w:r w:rsidR="00AF4354">
              <w:rPr>
                <w:rFonts w:ascii="Times New Roman" w:hAnsi="Times New Roman" w:cs="Times New Roman"/>
                <w:iCs/>
                <w:sz w:val="24"/>
                <w:szCs w:val="24"/>
              </w:rPr>
              <w:t xml:space="preserve">Detalizēts aprēķins iekļauts </w:t>
            </w:r>
            <w:r w:rsidR="000B42F6">
              <w:rPr>
                <w:rFonts w:ascii="Times New Roman" w:hAnsi="Times New Roman" w:cs="Times New Roman"/>
                <w:iCs/>
                <w:sz w:val="24"/>
                <w:szCs w:val="24"/>
              </w:rPr>
              <w:t xml:space="preserve">informatīvā ziņojuma </w:t>
            </w:r>
            <w:r w:rsidR="007777B9">
              <w:rPr>
                <w:rFonts w:ascii="Times New Roman" w:hAnsi="Times New Roman" w:cs="Times New Roman"/>
                <w:iCs/>
                <w:sz w:val="24"/>
                <w:szCs w:val="24"/>
              </w:rPr>
              <w:t xml:space="preserve">projekta </w:t>
            </w:r>
            <w:r w:rsidR="00AF4354" w:rsidRPr="009F27AD">
              <w:rPr>
                <w:rFonts w:ascii="Times New Roman" w:hAnsi="Times New Roman" w:cs="Times New Roman"/>
                <w:iCs/>
                <w:sz w:val="24"/>
                <w:szCs w:val="24"/>
              </w:rPr>
              <w:t>pielikumā.</w:t>
            </w:r>
          </w:p>
          <w:p w:rsidR="00523629" w:rsidRDefault="00626F16" w:rsidP="006017AF">
            <w:pPr>
              <w:spacing w:after="0" w:line="240" w:lineRule="auto"/>
              <w:ind w:firstLine="283"/>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4</w:t>
            </w:r>
            <w:r w:rsidRPr="00B41719">
              <w:rPr>
                <w:rFonts w:ascii="Times New Roman" w:hAnsi="Times New Roman" w:cs="Times New Roman"/>
                <w:sz w:val="24"/>
                <w:szCs w:val="24"/>
              </w:rPr>
              <w:t xml:space="preserve">. budžeta </w:t>
            </w:r>
            <w:r w:rsidR="00054DF4">
              <w:rPr>
                <w:rFonts w:ascii="Times New Roman" w:hAnsi="Times New Roman" w:cs="Times New Roman"/>
                <w:sz w:val="24"/>
                <w:szCs w:val="24"/>
              </w:rPr>
              <w:t>apakš</w:t>
            </w:r>
            <w:r w:rsidRPr="00B41719">
              <w:rPr>
                <w:rFonts w:ascii="Times New Roman" w:hAnsi="Times New Roman" w:cs="Times New Roman"/>
                <w:sz w:val="24"/>
                <w:szCs w:val="24"/>
              </w:rPr>
              <w:t xml:space="preserve">programmā </w:t>
            </w:r>
            <w:r>
              <w:rPr>
                <w:rFonts w:ascii="Times New Roman" w:hAnsi="Times New Roman" w:cs="Times New Roman"/>
                <w:sz w:val="24"/>
                <w:szCs w:val="24"/>
              </w:rPr>
              <w:t>40.02.00 „Nekustamais īpašums un centralizētais iepirkums</w:t>
            </w:r>
            <w:r w:rsidRPr="002F3B27">
              <w:rPr>
                <w:rFonts w:ascii="Times New Roman" w:hAnsi="Times New Roman" w:cs="Times New Roman"/>
                <w:sz w:val="24"/>
                <w:szCs w:val="24"/>
              </w:rPr>
              <w:t>”</w:t>
            </w:r>
            <w:r w:rsidRPr="00B41719">
              <w:rPr>
                <w:rFonts w:ascii="Times New Roman" w:hAnsi="Times New Roman" w:cs="Times New Roman"/>
                <w:sz w:val="24"/>
                <w:szCs w:val="24"/>
              </w:rPr>
              <w:t xml:space="preserve"> </w:t>
            </w:r>
            <w:r w:rsidR="00F46DCD">
              <w:rPr>
                <w:rFonts w:ascii="Times New Roman" w:hAnsi="Times New Roman" w:cs="Times New Roman"/>
                <w:b/>
                <w:sz w:val="24"/>
                <w:szCs w:val="24"/>
              </w:rPr>
              <w:t>12 384</w:t>
            </w:r>
            <w:r w:rsidRPr="00B41719">
              <w:rPr>
                <w:rFonts w:ascii="Times New Roman" w:hAnsi="Times New Roman" w:cs="Times New Roman"/>
                <w:sz w:val="24"/>
                <w:szCs w:val="24"/>
              </w:rPr>
              <w:t xml:space="preserve"> </w:t>
            </w:r>
            <w:proofErr w:type="spellStart"/>
            <w:r w:rsidRPr="002F3B27">
              <w:rPr>
                <w:rFonts w:ascii="Times New Roman" w:hAnsi="Times New Roman" w:cs="Times New Roman"/>
                <w:i/>
                <w:sz w:val="24"/>
                <w:szCs w:val="24"/>
              </w:rPr>
              <w:t>euro</w:t>
            </w:r>
            <w:proofErr w:type="spellEnd"/>
            <w:r>
              <w:rPr>
                <w:rFonts w:ascii="Times New Roman" w:hAnsi="Times New Roman" w:cs="Times New Roman"/>
                <w:sz w:val="24"/>
                <w:szCs w:val="24"/>
              </w:rPr>
              <w:t>,</w:t>
            </w:r>
            <w:r w:rsidRPr="00B41719">
              <w:rPr>
                <w:rFonts w:ascii="Times New Roman" w:hAnsi="Times New Roman" w:cs="Times New Roman"/>
                <w:sz w:val="24"/>
                <w:szCs w:val="24"/>
              </w:rPr>
              <w:t xml:space="preserve"> ka</w:t>
            </w:r>
            <w:r w:rsidR="00DB4163">
              <w:rPr>
                <w:rFonts w:ascii="Times New Roman" w:hAnsi="Times New Roman" w:cs="Times New Roman"/>
                <w:sz w:val="24"/>
                <w:szCs w:val="24"/>
              </w:rPr>
              <w:t>s tika paredzēts šādam mērķim</w:t>
            </w:r>
            <w:r w:rsidRPr="00B41719">
              <w:rPr>
                <w:rFonts w:ascii="Times New Roman" w:hAnsi="Times New Roman" w:cs="Times New Roman"/>
                <w:sz w:val="24"/>
                <w:szCs w:val="24"/>
              </w:rPr>
              <w:t>:</w:t>
            </w: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747"/>
              <w:gridCol w:w="1477"/>
              <w:gridCol w:w="1296"/>
            </w:tblGrid>
            <w:tr w:rsidR="00D61C5B" w:rsidRPr="00B41719" w:rsidTr="006A32EF">
              <w:trPr>
                <w:jc w:val="center"/>
              </w:trPr>
              <w:tc>
                <w:tcPr>
                  <w:tcW w:w="2689" w:type="dxa"/>
                  <w:shd w:val="clear" w:color="auto" w:fill="auto"/>
                  <w:vAlign w:val="center"/>
                </w:tcPr>
                <w:p w:rsidR="00D61C5B" w:rsidRPr="00B41719" w:rsidRDefault="00D61C5B" w:rsidP="004A544B">
                  <w:pPr>
                    <w:framePr w:hSpace="180" w:wrap="around" w:vAnchor="text" w:hAnchor="margin" w:xAlign="center" w:y="149"/>
                    <w:jc w:val="center"/>
                    <w:rPr>
                      <w:rFonts w:ascii="Times New Roman" w:hAnsi="Times New Roman" w:cs="Times New Roman"/>
                      <w:sz w:val="18"/>
                      <w:szCs w:val="18"/>
                    </w:rPr>
                  </w:pPr>
                  <w:r w:rsidRPr="00B41719">
                    <w:rPr>
                      <w:rFonts w:ascii="Times New Roman" w:hAnsi="Times New Roman" w:cs="Times New Roman"/>
                      <w:sz w:val="18"/>
                      <w:szCs w:val="18"/>
                    </w:rPr>
                    <w:t>Finansējuma piešķiršanas pamatojums</w:t>
                  </w:r>
                </w:p>
              </w:tc>
              <w:tc>
                <w:tcPr>
                  <w:tcW w:w="2747" w:type="dxa"/>
                  <w:shd w:val="clear" w:color="auto" w:fill="auto"/>
                  <w:vAlign w:val="center"/>
                </w:tcPr>
                <w:p w:rsidR="00D61C5B" w:rsidRPr="00B41719" w:rsidRDefault="00B177E3" w:rsidP="004A544B">
                  <w:pPr>
                    <w:framePr w:hSpace="180" w:wrap="around" w:vAnchor="text" w:hAnchor="margin" w:xAlign="center" w:y="149"/>
                    <w:jc w:val="center"/>
                    <w:rPr>
                      <w:rFonts w:ascii="Times New Roman" w:hAnsi="Times New Roman" w:cs="Times New Roman"/>
                      <w:sz w:val="18"/>
                      <w:szCs w:val="18"/>
                    </w:rPr>
                  </w:pPr>
                  <w:r>
                    <w:rPr>
                      <w:rFonts w:ascii="Times New Roman" w:hAnsi="Times New Roman" w:cs="Times New Roman"/>
                      <w:sz w:val="18"/>
                      <w:szCs w:val="18"/>
                    </w:rPr>
                    <w:t>N</w:t>
                  </w:r>
                  <w:r w:rsidR="00D61C5B" w:rsidRPr="00B41719">
                    <w:rPr>
                      <w:rFonts w:ascii="Times New Roman" w:hAnsi="Times New Roman" w:cs="Times New Roman"/>
                      <w:sz w:val="18"/>
                      <w:szCs w:val="18"/>
                    </w:rPr>
                    <w:t>osaukums</w:t>
                  </w:r>
                </w:p>
              </w:tc>
              <w:tc>
                <w:tcPr>
                  <w:tcW w:w="1477" w:type="dxa"/>
                  <w:shd w:val="clear" w:color="auto" w:fill="auto"/>
                  <w:vAlign w:val="center"/>
                </w:tcPr>
                <w:p w:rsidR="00D61C5B" w:rsidRPr="00B41719" w:rsidRDefault="00D61C5B" w:rsidP="004A544B">
                  <w:pPr>
                    <w:framePr w:hSpace="180" w:wrap="around" w:vAnchor="text" w:hAnchor="margin" w:xAlign="center" w:y="149"/>
                    <w:jc w:val="center"/>
                    <w:rPr>
                      <w:rFonts w:ascii="Times New Roman" w:hAnsi="Times New Roman" w:cs="Times New Roman"/>
                      <w:sz w:val="18"/>
                      <w:szCs w:val="18"/>
                    </w:rPr>
                  </w:pPr>
                  <w:r w:rsidRPr="00B41719">
                    <w:rPr>
                      <w:rFonts w:ascii="Times New Roman" w:hAnsi="Times New Roman" w:cs="Times New Roman"/>
                      <w:sz w:val="18"/>
                      <w:szCs w:val="18"/>
                    </w:rPr>
                    <w:t>Piešķirtais finansējums</w:t>
                  </w:r>
                </w:p>
              </w:tc>
              <w:tc>
                <w:tcPr>
                  <w:tcW w:w="1296" w:type="dxa"/>
                  <w:vAlign w:val="center"/>
                </w:tcPr>
                <w:p w:rsidR="00D61C5B" w:rsidRPr="00B41719" w:rsidRDefault="00D61C5B" w:rsidP="004A544B">
                  <w:pPr>
                    <w:framePr w:hSpace="180" w:wrap="around" w:vAnchor="text" w:hAnchor="margin" w:xAlign="center" w:y="149"/>
                    <w:jc w:val="center"/>
                    <w:rPr>
                      <w:rFonts w:ascii="Times New Roman" w:hAnsi="Times New Roman" w:cs="Times New Roman"/>
                      <w:sz w:val="18"/>
                      <w:szCs w:val="18"/>
                    </w:rPr>
                  </w:pPr>
                  <w:r w:rsidRPr="00B41719">
                    <w:rPr>
                      <w:rFonts w:ascii="Times New Roman" w:hAnsi="Times New Roman" w:cs="Times New Roman"/>
                      <w:sz w:val="18"/>
                      <w:szCs w:val="18"/>
                    </w:rPr>
                    <w:t>Neizlietotais finansējums</w:t>
                  </w:r>
                </w:p>
              </w:tc>
            </w:tr>
            <w:tr w:rsidR="00D61C5B" w:rsidRPr="00B41719" w:rsidTr="006A32EF">
              <w:trPr>
                <w:trHeight w:val="763"/>
                <w:jc w:val="center"/>
              </w:trPr>
              <w:tc>
                <w:tcPr>
                  <w:tcW w:w="2689" w:type="dxa"/>
                  <w:shd w:val="clear" w:color="auto" w:fill="auto"/>
                  <w:vAlign w:val="center"/>
                </w:tcPr>
                <w:p w:rsidR="00D61C5B" w:rsidRPr="00B41719" w:rsidRDefault="00D61C5B" w:rsidP="004A544B">
                  <w:pPr>
                    <w:framePr w:hSpace="180" w:wrap="around" w:vAnchor="text" w:hAnchor="margin" w:xAlign="center" w:y="149"/>
                    <w:jc w:val="center"/>
                    <w:rPr>
                      <w:rFonts w:ascii="Times New Roman" w:hAnsi="Times New Roman" w:cs="Times New Roman"/>
                      <w:sz w:val="18"/>
                      <w:szCs w:val="18"/>
                    </w:rPr>
                  </w:pPr>
                  <w:r w:rsidRPr="004C010F">
                    <w:rPr>
                      <w:rFonts w:ascii="Times New Roman" w:hAnsi="Times New Roman" w:cs="Times New Roman"/>
                      <w:sz w:val="18"/>
                      <w:szCs w:val="18"/>
                    </w:rPr>
                    <w:t>Minist</w:t>
                  </w:r>
                  <w:r>
                    <w:rPr>
                      <w:rFonts w:ascii="Times New Roman" w:hAnsi="Times New Roman" w:cs="Times New Roman"/>
                      <w:sz w:val="18"/>
                      <w:szCs w:val="18"/>
                    </w:rPr>
                    <w:t xml:space="preserve">ru kabineta </w:t>
                  </w:r>
                  <w:proofErr w:type="gramStart"/>
                  <w:r>
                    <w:rPr>
                      <w:rFonts w:ascii="Times New Roman" w:hAnsi="Times New Roman" w:cs="Times New Roman"/>
                      <w:sz w:val="18"/>
                      <w:szCs w:val="18"/>
                    </w:rPr>
                    <w:t>2014.gada</w:t>
                  </w:r>
                  <w:proofErr w:type="gramEnd"/>
                  <w:r>
                    <w:rPr>
                      <w:rFonts w:ascii="Times New Roman" w:hAnsi="Times New Roman" w:cs="Times New Roman"/>
                      <w:sz w:val="18"/>
                      <w:szCs w:val="18"/>
                    </w:rPr>
                    <w:t xml:space="preserve"> 29.jūlija prot. Nr.41 22.§ 5.punkts </w:t>
                  </w:r>
                </w:p>
              </w:tc>
              <w:tc>
                <w:tcPr>
                  <w:tcW w:w="2747" w:type="dxa"/>
                  <w:shd w:val="clear" w:color="auto" w:fill="auto"/>
                  <w:vAlign w:val="center"/>
                </w:tcPr>
                <w:p w:rsidR="00D61C5B" w:rsidRPr="00FC59C8" w:rsidRDefault="00D61C5B" w:rsidP="004A544B">
                  <w:pPr>
                    <w:framePr w:hSpace="180" w:wrap="around" w:vAnchor="text" w:hAnchor="margin" w:xAlign="center" w:y="149"/>
                    <w:ind w:left="360"/>
                    <w:jc w:val="center"/>
                    <w:rPr>
                      <w:rFonts w:ascii="Times New Roman" w:hAnsi="Times New Roman" w:cs="Times New Roman"/>
                      <w:sz w:val="18"/>
                      <w:szCs w:val="18"/>
                    </w:rPr>
                  </w:pPr>
                  <w:r w:rsidRPr="00FC59C8">
                    <w:rPr>
                      <w:rFonts w:ascii="Times New Roman" w:hAnsi="Times New Roman" w:cs="Times New Roman"/>
                      <w:bCs/>
                      <w:sz w:val="18"/>
                      <w:szCs w:val="18"/>
                    </w:rPr>
                    <w:t xml:space="preserve">Robežšķērsošanas vietas “Vientuļi” aprīkojuma iegāde </w:t>
                  </w:r>
                </w:p>
              </w:tc>
              <w:tc>
                <w:tcPr>
                  <w:tcW w:w="1477" w:type="dxa"/>
                  <w:shd w:val="clear" w:color="auto" w:fill="auto"/>
                  <w:vAlign w:val="center"/>
                </w:tcPr>
                <w:p w:rsidR="00D61C5B" w:rsidRPr="00B41719" w:rsidRDefault="00E24D34" w:rsidP="004A544B">
                  <w:pPr>
                    <w:framePr w:hSpace="180" w:wrap="around" w:vAnchor="text" w:hAnchor="margin" w:xAlign="center" w:y="149"/>
                    <w:jc w:val="center"/>
                    <w:rPr>
                      <w:rFonts w:ascii="Times New Roman" w:hAnsi="Times New Roman" w:cs="Times New Roman"/>
                      <w:sz w:val="18"/>
                      <w:szCs w:val="18"/>
                    </w:rPr>
                  </w:pPr>
                  <w:r w:rsidRPr="00EB29B2">
                    <w:rPr>
                      <w:rFonts w:ascii="Times New Roman" w:hAnsi="Times New Roman" w:cs="Times New Roman"/>
                      <w:sz w:val="18"/>
                      <w:szCs w:val="18"/>
                    </w:rPr>
                    <w:t>12 384</w:t>
                  </w:r>
                </w:p>
              </w:tc>
              <w:tc>
                <w:tcPr>
                  <w:tcW w:w="1296" w:type="dxa"/>
                  <w:vAlign w:val="center"/>
                </w:tcPr>
                <w:p w:rsidR="00D61C5B" w:rsidRPr="00B41719" w:rsidRDefault="002768A0" w:rsidP="004A544B">
                  <w:pPr>
                    <w:framePr w:hSpace="180" w:wrap="around" w:vAnchor="text" w:hAnchor="margin" w:xAlign="center" w:y="149"/>
                    <w:jc w:val="center"/>
                    <w:rPr>
                      <w:rFonts w:ascii="Times New Roman" w:hAnsi="Times New Roman" w:cs="Times New Roman"/>
                      <w:b/>
                      <w:sz w:val="18"/>
                      <w:szCs w:val="18"/>
                    </w:rPr>
                  </w:pPr>
                  <w:r>
                    <w:rPr>
                      <w:rFonts w:ascii="Times New Roman" w:hAnsi="Times New Roman" w:cs="Times New Roman"/>
                      <w:b/>
                      <w:sz w:val="18"/>
                      <w:szCs w:val="18"/>
                    </w:rPr>
                    <w:t>12 384</w:t>
                  </w:r>
                </w:p>
              </w:tc>
            </w:tr>
          </w:tbl>
          <w:p w:rsidR="00CA68F3" w:rsidRDefault="00CA68F3" w:rsidP="004C010F">
            <w:pPr>
              <w:spacing w:after="0" w:line="240" w:lineRule="auto"/>
              <w:ind w:firstLine="283"/>
              <w:jc w:val="both"/>
              <w:rPr>
                <w:rFonts w:ascii="Times New Roman" w:hAnsi="Times New Roman" w:cs="Times New Roman"/>
                <w:bCs/>
                <w:sz w:val="24"/>
                <w:szCs w:val="24"/>
              </w:rPr>
            </w:pPr>
            <w:r w:rsidRPr="00B41719">
              <w:rPr>
                <w:rFonts w:ascii="Times New Roman" w:hAnsi="Times New Roman" w:cs="Times New Roman"/>
                <w:sz w:val="24"/>
                <w:szCs w:val="24"/>
              </w:rPr>
              <w:t>Finansējums</w:t>
            </w:r>
            <w:r>
              <w:rPr>
                <w:rFonts w:ascii="Times New Roman" w:hAnsi="Times New Roman" w:cs="Times New Roman"/>
                <w:sz w:val="24"/>
                <w:szCs w:val="24"/>
              </w:rPr>
              <w:t>, kas piešķirts r</w:t>
            </w:r>
            <w:r w:rsidRPr="00B41719">
              <w:rPr>
                <w:rFonts w:ascii="Times New Roman" w:hAnsi="Times New Roman" w:cs="Times New Roman"/>
                <w:bCs/>
                <w:sz w:val="24"/>
                <w:szCs w:val="24"/>
              </w:rPr>
              <w:t>obežšķērsošanas vietas “Vientuļi” apr</w:t>
            </w:r>
            <w:r>
              <w:rPr>
                <w:rFonts w:ascii="Times New Roman" w:hAnsi="Times New Roman" w:cs="Times New Roman"/>
                <w:bCs/>
                <w:sz w:val="24"/>
                <w:szCs w:val="24"/>
              </w:rPr>
              <w:t xml:space="preserve">īkojumam, netiks apgūts, jo </w:t>
            </w:r>
            <w:r w:rsidR="001F5815">
              <w:rPr>
                <w:rFonts w:ascii="Times New Roman" w:hAnsi="Times New Roman" w:cs="Times New Roman"/>
                <w:bCs/>
                <w:sz w:val="24"/>
                <w:szCs w:val="24"/>
              </w:rPr>
              <w:t xml:space="preserve">VAS “Valsts nekustamie īpašumi”, </w:t>
            </w:r>
            <w:r>
              <w:rPr>
                <w:rFonts w:ascii="Times New Roman" w:hAnsi="Times New Roman" w:cs="Times New Roman"/>
                <w:bCs/>
                <w:sz w:val="24"/>
                <w:szCs w:val="24"/>
              </w:rPr>
              <w:t xml:space="preserve">veicot būvniecības darbus, piešķirtā finansējuma ietvaros jau </w:t>
            </w:r>
            <w:r w:rsidR="001F5815">
              <w:rPr>
                <w:rFonts w:ascii="Times New Roman" w:hAnsi="Times New Roman" w:cs="Times New Roman"/>
                <w:bCs/>
                <w:sz w:val="24"/>
                <w:szCs w:val="24"/>
              </w:rPr>
              <w:t>iegādājās un uzstādīja</w:t>
            </w:r>
            <w:r>
              <w:rPr>
                <w:rFonts w:ascii="Times New Roman" w:hAnsi="Times New Roman" w:cs="Times New Roman"/>
                <w:bCs/>
                <w:sz w:val="24"/>
                <w:szCs w:val="24"/>
              </w:rPr>
              <w:t xml:space="preserve"> kondicionieru</w:t>
            </w:r>
            <w:r w:rsidR="001F5815">
              <w:rPr>
                <w:rFonts w:ascii="Times New Roman" w:hAnsi="Times New Roman" w:cs="Times New Roman"/>
                <w:bCs/>
                <w:sz w:val="24"/>
                <w:szCs w:val="24"/>
              </w:rPr>
              <w:t xml:space="preserve">s. </w:t>
            </w:r>
            <w:r>
              <w:rPr>
                <w:rFonts w:ascii="Times New Roman" w:hAnsi="Times New Roman" w:cs="Times New Roman"/>
                <w:bCs/>
                <w:sz w:val="24"/>
                <w:szCs w:val="24"/>
              </w:rPr>
              <w:t xml:space="preserve">Tādejādi Nodrošinājuma valsts aģentūrai nav nepieciešams </w:t>
            </w:r>
            <w:r w:rsidR="001F5815">
              <w:rPr>
                <w:rFonts w:ascii="Times New Roman" w:hAnsi="Times New Roman" w:cs="Times New Roman"/>
                <w:bCs/>
                <w:sz w:val="24"/>
                <w:szCs w:val="24"/>
              </w:rPr>
              <w:t xml:space="preserve">finansējums, kas tika plānots </w:t>
            </w:r>
            <w:r>
              <w:rPr>
                <w:rFonts w:ascii="Times New Roman" w:hAnsi="Times New Roman" w:cs="Times New Roman"/>
                <w:sz w:val="24"/>
                <w:szCs w:val="24"/>
              </w:rPr>
              <w:t>r</w:t>
            </w:r>
            <w:r w:rsidRPr="00B41719">
              <w:rPr>
                <w:rFonts w:ascii="Times New Roman" w:hAnsi="Times New Roman" w:cs="Times New Roman"/>
                <w:bCs/>
                <w:sz w:val="24"/>
                <w:szCs w:val="24"/>
              </w:rPr>
              <w:t xml:space="preserve">obežšķērsošanas vietas “Vientuļi” </w:t>
            </w:r>
            <w:r>
              <w:rPr>
                <w:rFonts w:ascii="Times New Roman" w:hAnsi="Times New Roman" w:cs="Times New Roman"/>
                <w:bCs/>
                <w:sz w:val="24"/>
                <w:szCs w:val="24"/>
              </w:rPr>
              <w:t>ko</w:t>
            </w:r>
            <w:r w:rsidR="001F5815">
              <w:rPr>
                <w:rFonts w:ascii="Times New Roman" w:hAnsi="Times New Roman" w:cs="Times New Roman"/>
                <w:bCs/>
                <w:sz w:val="24"/>
                <w:szCs w:val="24"/>
              </w:rPr>
              <w:t>ndicionieru iegādei.</w:t>
            </w:r>
          </w:p>
          <w:p w:rsidR="009C310A" w:rsidRPr="00FA35E3" w:rsidRDefault="00CA68F3" w:rsidP="006C2FAB">
            <w:pPr>
              <w:spacing w:after="0" w:line="240" w:lineRule="auto"/>
              <w:ind w:firstLine="283"/>
              <w:jc w:val="both"/>
              <w:rPr>
                <w:rFonts w:ascii="Times New Roman" w:hAnsi="Times New Roman" w:cs="Times New Roman"/>
                <w:sz w:val="24"/>
                <w:szCs w:val="24"/>
              </w:rPr>
            </w:pPr>
            <w:r>
              <w:rPr>
                <w:rFonts w:ascii="Times New Roman" w:hAnsi="Times New Roman" w:cs="Times New Roman"/>
                <w:bCs/>
                <w:sz w:val="24"/>
                <w:szCs w:val="24"/>
              </w:rPr>
              <w:t xml:space="preserve"> </w:t>
            </w:r>
            <w:r w:rsidR="009C310A" w:rsidRPr="00FA35E3">
              <w:rPr>
                <w:rFonts w:ascii="Times New Roman" w:hAnsi="Times New Roman" w:cs="Times New Roman"/>
                <w:sz w:val="24"/>
                <w:szCs w:val="24"/>
              </w:rPr>
              <w:t xml:space="preserve">Ieņēmumu un izdevumu (neizlietotā finansējuma) kopsavilkums sadalījumā pa budžeta programmām/apakšprogrammām un ieņēmumu un izdevumu veidiem iekļauts anotācijas </w:t>
            </w:r>
            <w:r w:rsidR="000C1C8B" w:rsidRPr="00054DF4">
              <w:rPr>
                <w:rFonts w:ascii="Times New Roman" w:hAnsi="Times New Roman" w:cs="Times New Roman"/>
                <w:sz w:val="24"/>
                <w:szCs w:val="24"/>
              </w:rPr>
              <w:t>1</w:t>
            </w:r>
            <w:r w:rsidR="009C310A" w:rsidRPr="00054DF4">
              <w:rPr>
                <w:rFonts w:ascii="Times New Roman" w:hAnsi="Times New Roman" w:cs="Times New Roman"/>
                <w:sz w:val="24"/>
                <w:szCs w:val="24"/>
              </w:rPr>
              <w:t>.pielikumā.</w:t>
            </w:r>
            <w:r w:rsidR="009C310A" w:rsidRPr="00FA35E3">
              <w:rPr>
                <w:rFonts w:ascii="Times New Roman" w:hAnsi="Times New Roman" w:cs="Times New Roman"/>
                <w:sz w:val="24"/>
                <w:szCs w:val="24"/>
              </w:rPr>
              <w:t xml:space="preserve"> </w:t>
            </w:r>
          </w:p>
          <w:p w:rsidR="005039D7" w:rsidRDefault="000C16DB" w:rsidP="00EF2D9A">
            <w:pPr>
              <w:spacing w:after="0" w:line="240" w:lineRule="auto"/>
              <w:ind w:firstLine="573"/>
              <w:jc w:val="both"/>
              <w:rPr>
                <w:rFonts w:ascii="Times New Roman" w:hAnsi="Times New Roman" w:cs="Times New Roman"/>
                <w:i/>
                <w:sz w:val="24"/>
                <w:szCs w:val="24"/>
              </w:rPr>
            </w:pPr>
            <w:r>
              <w:rPr>
                <w:rFonts w:ascii="Times New Roman" w:hAnsi="Times New Roman" w:cs="Times New Roman"/>
                <w:i/>
                <w:sz w:val="24"/>
                <w:szCs w:val="24"/>
              </w:rPr>
              <w:t xml:space="preserve">I. </w:t>
            </w:r>
            <w:r w:rsidR="005039D7" w:rsidRPr="00EF2D9A">
              <w:rPr>
                <w:rFonts w:ascii="Times New Roman" w:hAnsi="Times New Roman" w:cs="Times New Roman"/>
                <w:i/>
                <w:sz w:val="24"/>
                <w:szCs w:val="24"/>
              </w:rPr>
              <w:t xml:space="preserve">Neizlietoto finansējumu ilgtermiņa saistību pasākumam “Eiropas Savienības prasībām atbilstošu pasu, elektronisko identifikācijas karšu un uzturēšanās atļauju izsniegšana” </w:t>
            </w:r>
            <w:r w:rsidR="00EF2D9A">
              <w:rPr>
                <w:rFonts w:ascii="Times New Roman" w:hAnsi="Times New Roman" w:cs="Times New Roman"/>
                <w:b/>
                <w:i/>
                <w:sz w:val="24"/>
                <w:szCs w:val="24"/>
              </w:rPr>
              <w:t>697 550</w:t>
            </w:r>
            <w:r w:rsidR="005039D7" w:rsidRPr="00EF2D9A">
              <w:rPr>
                <w:rFonts w:ascii="Times New Roman" w:hAnsi="Times New Roman" w:cs="Times New Roman"/>
                <w:b/>
                <w:i/>
                <w:sz w:val="24"/>
                <w:szCs w:val="24"/>
              </w:rPr>
              <w:t xml:space="preserve"> </w:t>
            </w:r>
            <w:proofErr w:type="spellStart"/>
            <w:r w:rsidR="005039D7" w:rsidRPr="00EF2D9A">
              <w:rPr>
                <w:rFonts w:ascii="Times New Roman" w:hAnsi="Times New Roman" w:cs="Times New Roman"/>
                <w:i/>
                <w:sz w:val="24"/>
                <w:szCs w:val="24"/>
              </w:rPr>
              <w:t>euro</w:t>
            </w:r>
            <w:proofErr w:type="spellEnd"/>
            <w:r w:rsidR="005039D7" w:rsidRPr="00EF2D9A">
              <w:rPr>
                <w:rFonts w:ascii="Times New Roman" w:hAnsi="Times New Roman" w:cs="Times New Roman"/>
                <w:i/>
                <w:sz w:val="24"/>
                <w:szCs w:val="24"/>
              </w:rPr>
              <w:t xml:space="preserve"> apmērā Iekšlietu ministrija ierosina, veicot apropriācijas pārdali </w:t>
            </w:r>
            <w:proofErr w:type="gramStart"/>
            <w:r w:rsidR="005039D7" w:rsidRPr="00EF2D9A">
              <w:rPr>
                <w:rFonts w:ascii="Times New Roman" w:hAnsi="Times New Roman" w:cs="Times New Roman"/>
                <w:i/>
                <w:sz w:val="24"/>
                <w:szCs w:val="24"/>
              </w:rPr>
              <w:t>2015.gadā</w:t>
            </w:r>
            <w:proofErr w:type="gramEnd"/>
            <w:r w:rsidR="005039D7" w:rsidRPr="00EF2D9A">
              <w:rPr>
                <w:rFonts w:ascii="Times New Roman" w:hAnsi="Times New Roman" w:cs="Times New Roman"/>
                <w:i/>
                <w:sz w:val="24"/>
                <w:szCs w:val="24"/>
              </w:rPr>
              <w:t xml:space="preserve"> starp budžeta programmām un apakšprogrammām, kā arī starp EKK, </w:t>
            </w:r>
            <w:r w:rsidR="005039D7" w:rsidRPr="00EF2D9A">
              <w:rPr>
                <w:rFonts w:ascii="Times New Roman" w:hAnsi="Times New Roman" w:cs="Times New Roman"/>
                <w:b/>
                <w:i/>
                <w:sz w:val="24"/>
                <w:szCs w:val="24"/>
              </w:rPr>
              <w:t xml:space="preserve"> </w:t>
            </w:r>
            <w:r w:rsidR="005039D7" w:rsidRPr="00EF2D9A">
              <w:rPr>
                <w:rFonts w:ascii="Times New Roman" w:hAnsi="Times New Roman" w:cs="Times New Roman"/>
                <w:i/>
                <w:sz w:val="24"/>
                <w:szCs w:val="24"/>
              </w:rPr>
              <w:t>paredzēt  šādiem prioritāriem, ar pamatfunkciju izpildi saistītiem pasākumiem:</w:t>
            </w:r>
          </w:p>
          <w:p w:rsidR="00EF2D9A" w:rsidRPr="00EF2D9A" w:rsidRDefault="00402A75" w:rsidP="00B650FC">
            <w:pPr>
              <w:spacing w:after="0" w:line="240" w:lineRule="auto"/>
              <w:ind w:firstLine="364"/>
              <w:jc w:val="both"/>
              <w:rPr>
                <w:rFonts w:ascii="Times New Roman" w:hAnsi="Times New Roman" w:cs="Times New Roman"/>
                <w:sz w:val="24"/>
                <w:szCs w:val="24"/>
              </w:rPr>
            </w:pPr>
            <w:r w:rsidRPr="00A84269">
              <w:rPr>
                <w:rFonts w:ascii="Times New Roman" w:hAnsi="Times New Roman" w:cs="Times New Roman"/>
                <w:b/>
                <w:sz w:val="24"/>
                <w:szCs w:val="24"/>
              </w:rPr>
              <w:t>1.</w:t>
            </w:r>
            <w:r>
              <w:rPr>
                <w:rFonts w:ascii="Times New Roman" w:hAnsi="Times New Roman" w:cs="Times New Roman"/>
                <w:sz w:val="24"/>
                <w:szCs w:val="24"/>
              </w:rPr>
              <w:t xml:space="preserve"> </w:t>
            </w:r>
            <w:r w:rsidRPr="00512B41">
              <w:rPr>
                <w:rFonts w:ascii="Times New Roman" w:hAnsi="Times New Roman" w:cs="Times New Roman"/>
                <w:b/>
                <w:sz w:val="24"/>
                <w:szCs w:val="24"/>
              </w:rPr>
              <w:t>Personu apliecinošu dokumentu informācijas sistēmas (PADIS) izmitināšanas infrastruktūras kritisko komponentu ražotāj</w:t>
            </w:r>
            <w:r w:rsidR="00842573">
              <w:rPr>
                <w:rFonts w:ascii="Times New Roman" w:hAnsi="Times New Roman" w:cs="Times New Roman"/>
                <w:b/>
                <w:sz w:val="24"/>
                <w:szCs w:val="24"/>
              </w:rPr>
              <w:t>a tehniskā atbalsta atjaunošana</w:t>
            </w:r>
            <w:r>
              <w:rPr>
                <w:rFonts w:ascii="Times New Roman" w:hAnsi="Times New Roman" w:cs="Times New Roman"/>
                <w:sz w:val="24"/>
                <w:szCs w:val="24"/>
              </w:rPr>
              <w:t xml:space="preserve"> </w:t>
            </w:r>
            <w:r>
              <w:rPr>
                <w:rFonts w:ascii="Times New Roman" w:hAnsi="Times New Roman" w:cs="Times New Roman"/>
                <w:sz w:val="24"/>
                <w:szCs w:val="24"/>
              </w:rPr>
              <w:softHyphen/>
            </w:r>
            <w:r w:rsidR="00CD63CC">
              <w:rPr>
                <w:rFonts w:ascii="Times New Roman" w:hAnsi="Times New Roman" w:cs="Times New Roman"/>
                <w:sz w:val="24"/>
                <w:szCs w:val="24"/>
              </w:rPr>
              <w:t xml:space="preserve">(budžeta apakšprogramma </w:t>
            </w:r>
            <w:r w:rsidR="00294D01">
              <w:rPr>
                <w:rFonts w:ascii="Times New Roman" w:hAnsi="Times New Roman" w:cs="Times New Roman"/>
                <w:sz w:val="24"/>
                <w:szCs w:val="24"/>
              </w:rPr>
              <w:t>02.03.00</w:t>
            </w:r>
            <w:r w:rsidR="003B079D">
              <w:rPr>
                <w:rFonts w:ascii="Times New Roman" w:hAnsi="Times New Roman" w:cs="Times New Roman"/>
                <w:sz w:val="24"/>
                <w:szCs w:val="24"/>
              </w:rPr>
              <w:t xml:space="preserve"> </w:t>
            </w:r>
            <w:r w:rsidR="00512B41">
              <w:rPr>
                <w:rFonts w:ascii="Times New Roman" w:hAnsi="Times New Roman" w:cs="Times New Roman"/>
                <w:sz w:val="24"/>
                <w:szCs w:val="24"/>
              </w:rPr>
              <w:t>“</w:t>
            </w:r>
            <w:r w:rsidR="00294D01" w:rsidRPr="00294D01">
              <w:rPr>
                <w:rFonts w:ascii="Times New Roman" w:hAnsi="Times New Roman" w:cs="Times New Roman"/>
                <w:sz w:val="24"/>
                <w:szCs w:val="24"/>
              </w:rPr>
              <w:t>Vienotās sakaru un informācija</w:t>
            </w:r>
            <w:r w:rsidR="00512B41">
              <w:rPr>
                <w:rFonts w:ascii="Times New Roman" w:hAnsi="Times New Roman" w:cs="Times New Roman"/>
                <w:sz w:val="24"/>
                <w:szCs w:val="24"/>
              </w:rPr>
              <w:t>s sistēmas uzturēšana un vadība”</w:t>
            </w:r>
            <w:r w:rsidR="00622743">
              <w:rPr>
                <w:rFonts w:ascii="Times New Roman" w:hAnsi="Times New Roman" w:cs="Times New Roman"/>
                <w:sz w:val="24"/>
                <w:szCs w:val="24"/>
              </w:rPr>
              <w:t>)</w:t>
            </w:r>
            <w:r w:rsidR="00294D01" w:rsidRPr="00294D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63CC">
              <w:rPr>
                <w:rFonts w:ascii="Times New Roman" w:hAnsi="Times New Roman" w:cs="Times New Roman"/>
                <w:b/>
                <w:sz w:val="24"/>
                <w:szCs w:val="24"/>
              </w:rPr>
              <w:t>108 900</w:t>
            </w:r>
            <w:r>
              <w:rPr>
                <w:rFonts w:ascii="Times New Roman" w:hAnsi="Times New Roman" w:cs="Times New Roman"/>
                <w:sz w:val="24"/>
                <w:szCs w:val="24"/>
              </w:rPr>
              <w:t xml:space="preserve"> </w:t>
            </w:r>
            <w:proofErr w:type="spellStart"/>
            <w:r w:rsidRPr="00402A75">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00054DF4" w:rsidRPr="00054DF4">
              <w:rPr>
                <w:rFonts w:ascii="Times New Roman" w:hAnsi="Times New Roman" w:cs="Times New Roman"/>
                <w:sz w:val="24"/>
                <w:szCs w:val="24"/>
              </w:rPr>
              <w:t>EKK 2243</w:t>
            </w:r>
            <w:r w:rsidRPr="00054DF4">
              <w:rPr>
                <w:rFonts w:ascii="Times New Roman" w:hAnsi="Times New Roman" w:cs="Times New Roman"/>
                <w:sz w:val="24"/>
                <w:szCs w:val="24"/>
              </w:rPr>
              <w:t>)</w:t>
            </w:r>
            <w:r w:rsidR="003B079D" w:rsidRPr="00054DF4">
              <w:rPr>
                <w:rFonts w:ascii="Times New Roman" w:hAnsi="Times New Roman" w:cs="Times New Roman"/>
                <w:sz w:val="24"/>
                <w:szCs w:val="24"/>
              </w:rPr>
              <w:t>.</w:t>
            </w:r>
          </w:p>
          <w:p w:rsidR="007F6B1C" w:rsidRDefault="00294D01" w:rsidP="00F72BA7">
            <w:pPr>
              <w:pStyle w:val="Heading3"/>
              <w:shd w:val="clear" w:color="auto" w:fill="FFFFFF"/>
              <w:spacing w:before="0" w:beforeAutospacing="0" w:after="0" w:afterAutospacing="0"/>
              <w:ind w:right="57" w:firstLine="364"/>
              <w:jc w:val="both"/>
              <w:rPr>
                <w:sz w:val="24"/>
                <w:szCs w:val="24"/>
              </w:rPr>
            </w:pPr>
            <w:r>
              <w:rPr>
                <w:b w:val="0"/>
                <w:sz w:val="24"/>
                <w:szCs w:val="24"/>
              </w:rPr>
              <w:t xml:space="preserve">Iekšlietu ministrijas Informācijas centram </w:t>
            </w:r>
            <w:r w:rsidR="00F72BA7">
              <w:rPr>
                <w:b w:val="0"/>
                <w:sz w:val="24"/>
                <w:szCs w:val="24"/>
              </w:rPr>
              <w:t>papildu f</w:t>
            </w:r>
            <w:r w:rsidR="003B079D">
              <w:rPr>
                <w:b w:val="0"/>
                <w:sz w:val="24"/>
                <w:szCs w:val="24"/>
              </w:rPr>
              <w:t>inans</w:t>
            </w:r>
            <w:r w:rsidR="00F72BA7">
              <w:rPr>
                <w:b w:val="0"/>
                <w:sz w:val="24"/>
                <w:szCs w:val="24"/>
              </w:rPr>
              <w:t xml:space="preserve">ējums </w:t>
            </w:r>
            <w:r w:rsidR="003B079D">
              <w:rPr>
                <w:b w:val="0"/>
                <w:sz w:val="24"/>
                <w:szCs w:val="24"/>
              </w:rPr>
              <w:t xml:space="preserve">nepieciešams, lai </w:t>
            </w:r>
            <w:r>
              <w:rPr>
                <w:b w:val="0"/>
                <w:sz w:val="24"/>
                <w:szCs w:val="24"/>
              </w:rPr>
              <w:t xml:space="preserve">nodrošinātu Iekšlietu ministrijas Informācijas centram nodotās </w:t>
            </w:r>
            <w:r w:rsidR="00F72BA7" w:rsidRPr="00F72BA7">
              <w:rPr>
                <w:b w:val="0"/>
                <w:sz w:val="24"/>
                <w:szCs w:val="24"/>
              </w:rPr>
              <w:t>Personu apliecinošu dokumentu informācijas sistēmas (PADIS) izmitināšanas infrastruktūras kritisko komponentu ražotāja tehniskā atbalsta atjaunošanu.</w:t>
            </w:r>
            <w:r w:rsidR="00F72BA7">
              <w:rPr>
                <w:sz w:val="24"/>
                <w:szCs w:val="24"/>
              </w:rPr>
              <w:t xml:space="preserve"> </w:t>
            </w:r>
          </w:p>
          <w:p w:rsidR="00A84269" w:rsidRPr="00A84269" w:rsidRDefault="00A84269" w:rsidP="00F72BA7">
            <w:pPr>
              <w:pStyle w:val="Heading3"/>
              <w:shd w:val="clear" w:color="auto" w:fill="FFFFFF"/>
              <w:spacing w:before="0" w:beforeAutospacing="0" w:after="0" w:afterAutospacing="0"/>
              <w:ind w:right="57" w:firstLine="364"/>
              <w:jc w:val="both"/>
              <w:rPr>
                <w:b w:val="0"/>
                <w:sz w:val="24"/>
                <w:szCs w:val="24"/>
              </w:rPr>
            </w:pPr>
            <w:r w:rsidRPr="00A84269">
              <w:rPr>
                <w:b w:val="0"/>
                <w:sz w:val="24"/>
                <w:szCs w:val="24"/>
              </w:rPr>
              <w:t xml:space="preserve">Detalizēts aprēķins pievienots </w:t>
            </w:r>
            <w:r w:rsidRPr="004C596A">
              <w:rPr>
                <w:b w:val="0"/>
                <w:sz w:val="24"/>
                <w:szCs w:val="24"/>
              </w:rPr>
              <w:t xml:space="preserve">anotācijas </w:t>
            </w:r>
            <w:r w:rsidR="000C1C8B" w:rsidRPr="004C596A">
              <w:rPr>
                <w:b w:val="0"/>
                <w:sz w:val="24"/>
                <w:szCs w:val="24"/>
              </w:rPr>
              <w:t>2</w:t>
            </w:r>
            <w:r w:rsidRPr="004C596A">
              <w:rPr>
                <w:b w:val="0"/>
                <w:sz w:val="24"/>
                <w:szCs w:val="24"/>
              </w:rPr>
              <w:t>.pielikum</w:t>
            </w:r>
            <w:r w:rsidR="00E678FC" w:rsidRPr="004C596A">
              <w:rPr>
                <w:b w:val="0"/>
                <w:sz w:val="24"/>
                <w:szCs w:val="24"/>
              </w:rPr>
              <w:t>a 1.tabulā</w:t>
            </w:r>
            <w:r w:rsidRPr="004C596A">
              <w:rPr>
                <w:b w:val="0"/>
                <w:sz w:val="24"/>
                <w:szCs w:val="24"/>
              </w:rPr>
              <w:t>.</w:t>
            </w:r>
          </w:p>
          <w:p w:rsidR="00A84269" w:rsidRPr="001630B8" w:rsidRDefault="00DC045E" w:rsidP="00F72BA7">
            <w:pPr>
              <w:pStyle w:val="Heading3"/>
              <w:shd w:val="clear" w:color="auto" w:fill="FFFFFF"/>
              <w:spacing w:before="0" w:beforeAutospacing="0" w:after="0" w:afterAutospacing="0"/>
              <w:ind w:right="57" w:firstLine="364"/>
              <w:jc w:val="both"/>
              <w:rPr>
                <w:b w:val="0"/>
                <w:sz w:val="24"/>
                <w:szCs w:val="24"/>
              </w:rPr>
            </w:pPr>
            <w:r w:rsidRPr="001630B8">
              <w:rPr>
                <w:sz w:val="24"/>
                <w:szCs w:val="24"/>
              </w:rPr>
              <w:t>2. Civilstāvokļa aktu reģistrācijas informācijas sistēmas (CARIS) serv</w:t>
            </w:r>
            <w:r w:rsidR="00842573">
              <w:rPr>
                <w:sz w:val="24"/>
                <w:szCs w:val="24"/>
              </w:rPr>
              <w:t>e</w:t>
            </w:r>
            <w:r w:rsidR="00F96D10">
              <w:rPr>
                <w:sz w:val="24"/>
                <w:szCs w:val="24"/>
              </w:rPr>
              <w:t>ru licenču atjaunošanas iegādes (</w:t>
            </w:r>
            <w:r w:rsidRPr="00DC045E">
              <w:rPr>
                <w:b w:val="0"/>
                <w:sz w:val="24"/>
                <w:szCs w:val="24"/>
              </w:rPr>
              <w:t>budžeta apakšprogramma 02.03.00 “Vienotās sakaru un informācijas sistēmas uzturēšana un vadība”</w:t>
            </w:r>
            <w:r w:rsidR="00622743">
              <w:rPr>
                <w:b w:val="0"/>
                <w:sz w:val="24"/>
                <w:szCs w:val="24"/>
              </w:rPr>
              <w:t>)</w:t>
            </w:r>
            <w:r w:rsidRPr="00DC045E">
              <w:rPr>
                <w:b w:val="0"/>
                <w:sz w:val="24"/>
                <w:szCs w:val="24"/>
              </w:rPr>
              <w:t xml:space="preserve"> </w:t>
            </w:r>
            <w:r>
              <w:rPr>
                <w:b w:val="0"/>
                <w:sz w:val="24"/>
                <w:szCs w:val="24"/>
              </w:rPr>
              <w:t xml:space="preserve">– </w:t>
            </w:r>
            <w:r w:rsidRPr="001630B8">
              <w:rPr>
                <w:sz w:val="24"/>
                <w:szCs w:val="24"/>
              </w:rPr>
              <w:t>88 876</w:t>
            </w:r>
            <w:r w:rsidRPr="00DC045E">
              <w:rPr>
                <w:b w:val="0"/>
                <w:sz w:val="24"/>
                <w:szCs w:val="24"/>
              </w:rPr>
              <w:t xml:space="preserve"> </w:t>
            </w:r>
            <w:proofErr w:type="spellStart"/>
            <w:r w:rsidRPr="00DC045E">
              <w:rPr>
                <w:b w:val="0"/>
                <w:i/>
                <w:sz w:val="24"/>
                <w:szCs w:val="24"/>
              </w:rPr>
              <w:t>euro</w:t>
            </w:r>
            <w:proofErr w:type="spellEnd"/>
            <w:r w:rsidR="001630B8">
              <w:rPr>
                <w:b w:val="0"/>
                <w:sz w:val="24"/>
                <w:szCs w:val="24"/>
              </w:rPr>
              <w:t xml:space="preserve"> </w:t>
            </w:r>
            <w:r w:rsidR="0042053F" w:rsidRPr="007C242C">
              <w:rPr>
                <w:b w:val="0"/>
                <w:sz w:val="24"/>
                <w:szCs w:val="24"/>
              </w:rPr>
              <w:t>(EKK 5121</w:t>
            </w:r>
            <w:r w:rsidR="001630B8" w:rsidRPr="007C242C">
              <w:rPr>
                <w:b w:val="0"/>
                <w:sz w:val="24"/>
                <w:szCs w:val="24"/>
              </w:rPr>
              <w:t>).</w:t>
            </w:r>
            <w:r w:rsidR="001630B8">
              <w:rPr>
                <w:b w:val="0"/>
                <w:sz w:val="24"/>
                <w:szCs w:val="24"/>
              </w:rPr>
              <w:t xml:space="preserve"> </w:t>
            </w:r>
          </w:p>
          <w:p w:rsidR="00DC045E" w:rsidRDefault="00BB0F81" w:rsidP="00F72BA7">
            <w:pPr>
              <w:pStyle w:val="Heading3"/>
              <w:shd w:val="clear" w:color="auto" w:fill="FFFFFF"/>
              <w:spacing w:before="0" w:beforeAutospacing="0" w:after="0" w:afterAutospacing="0"/>
              <w:ind w:right="57" w:firstLine="364"/>
              <w:jc w:val="both"/>
              <w:rPr>
                <w:b w:val="0"/>
                <w:sz w:val="24"/>
                <w:szCs w:val="24"/>
              </w:rPr>
            </w:pPr>
            <w:r>
              <w:rPr>
                <w:b w:val="0"/>
                <w:sz w:val="24"/>
                <w:szCs w:val="24"/>
              </w:rPr>
              <w:t>Iekšlietu ministrijas Informācijas centram papildu finansējums nepieciešams, lai segtu izdevumus, kas saistīti ar licenču atjaunošanas iegādēm.</w:t>
            </w:r>
          </w:p>
          <w:p w:rsidR="00BB0F81" w:rsidRPr="00A84269" w:rsidRDefault="00BB0F81" w:rsidP="00BB0F81">
            <w:pPr>
              <w:pStyle w:val="Heading3"/>
              <w:shd w:val="clear" w:color="auto" w:fill="FFFFFF"/>
              <w:spacing w:before="0" w:beforeAutospacing="0" w:after="0" w:afterAutospacing="0"/>
              <w:ind w:right="57" w:firstLine="364"/>
              <w:jc w:val="both"/>
              <w:rPr>
                <w:b w:val="0"/>
                <w:sz w:val="24"/>
                <w:szCs w:val="24"/>
              </w:rPr>
            </w:pPr>
            <w:r w:rsidRPr="00A84269">
              <w:rPr>
                <w:b w:val="0"/>
                <w:sz w:val="24"/>
                <w:szCs w:val="24"/>
              </w:rPr>
              <w:t xml:space="preserve">Detalizēts aprēķins pievienots anotācijas </w:t>
            </w:r>
            <w:r w:rsidR="000C1C8B" w:rsidRPr="004C596A">
              <w:rPr>
                <w:b w:val="0"/>
                <w:sz w:val="24"/>
                <w:szCs w:val="24"/>
              </w:rPr>
              <w:t>2</w:t>
            </w:r>
            <w:r w:rsidRPr="004C596A">
              <w:rPr>
                <w:b w:val="0"/>
                <w:sz w:val="24"/>
                <w:szCs w:val="24"/>
              </w:rPr>
              <w:t>.pielikuma 2.tabulā</w:t>
            </w:r>
            <w:r w:rsidRPr="00A84269">
              <w:rPr>
                <w:b w:val="0"/>
                <w:sz w:val="24"/>
                <w:szCs w:val="24"/>
              </w:rPr>
              <w:t>.</w:t>
            </w:r>
          </w:p>
          <w:p w:rsidR="006E1B95" w:rsidRPr="001630B8" w:rsidRDefault="00F05486" w:rsidP="006E1B95">
            <w:pPr>
              <w:pStyle w:val="Heading3"/>
              <w:shd w:val="clear" w:color="auto" w:fill="FFFFFF"/>
              <w:spacing w:before="0" w:beforeAutospacing="0" w:after="0" w:afterAutospacing="0"/>
              <w:ind w:right="57" w:firstLine="364"/>
              <w:jc w:val="both"/>
              <w:rPr>
                <w:b w:val="0"/>
                <w:sz w:val="24"/>
                <w:szCs w:val="24"/>
              </w:rPr>
            </w:pPr>
            <w:r w:rsidRPr="006E1B95">
              <w:rPr>
                <w:sz w:val="24"/>
                <w:szCs w:val="24"/>
              </w:rPr>
              <w:t xml:space="preserve">3. </w:t>
            </w:r>
            <w:r w:rsidR="006E1B95" w:rsidRPr="006E1B95">
              <w:rPr>
                <w:sz w:val="24"/>
                <w:szCs w:val="24"/>
              </w:rPr>
              <w:t xml:space="preserve">DOC </w:t>
            </w:r>
            <w:proofErr w:type="spellStart"/>
            <w:r w:rsidR="006E1B95" w:rsidRPr="006E1B95">
              <w:rPr>
                <w:sz w:val="24"/>
                <w:szCs w:val="24"/>
              </w:rPr>
              <w:t>Vision</w:t>
            </w:r>
            <w:proofErr w:type="spellEnd"/>
            <w:r w:rsidR="006E1B95" w:rsidRPr="006E1B95">
              <w:rPr>
                <w:sz w:val="24"/>
                <w:szCs w:val="24"/>
              </w:rPr>
              <w:t xml:space="preserve"> licences </w:t>
            </w:r>
            <w:r w:rsidR="006E1B95">
              <w:rPr>
                <w:b w:val="0"/>
                <w:sz w:val="24"/>
                <w:szCs w:val="24"/>
              </w:rPr>
              <w:t>(</w:t>
            </w:r>
            <w:r w:rsidR="006E1B95" w:rsidRPr="00DC045E">
              <w:rPr>
                <w:b w:val="0"/>
                <w:sz w:val="24"/>
                <w:szCs w:val="24"/>
              </w:rPr>
              <w:t>budžeta apakšprogramma 02.03.00 “Vienotās sakaru un informācijas sistēmas uzturēšana un vadība”</w:t>
            </w:r>
            <w:r w:rsidR="006E1B95">
              <w:rPr>
                <w:b w:val="0"/>
                <w:sz w:val="24"/>
                <w:szCs w:val="24"/>
              </w:rPr>
              <w:t>)</w:t>
            </w:r>
            <w:r w:rsidR="006E1B95" w:rsidRPr="00DC045E">
              <w:rPr>
                <w:b w:val="0"/>
                <w:sz w:val="24"/>
                <w:szCs w:val="24"/>
              </w:rPr>
              <w:t xml:space="preserve"> </w:t>
            </w:r>
            <w:r w:rsidR="006E1B95">
              <w:rPr>
                <w:b w:val="0"/>
                <w:sz w:val="24"/>
                <w:szCs w:val="24"/>
              </w:rPr>
              <w:t xml:space="preserve">– </w:t>
            </w:r>
            <w:r w:rsidR="006E1B95">
              <w:rPr>
                <w:sz w:val="24"/>
                <w:szCs w:val="24"/>
              </w:rPr>
              <w:t>7</w:t>
            </w:r>
            <w:r w:rsidR="00B57317">
              <w:rPr>
                <w:sz w:val="24"/>
                <w:szCs w:val="24"/>
              </w:rPr>
              <w:t xml:space="preserve"> </w:t>
            </w:r>
            <w:r w:rsidR="006E1B95">
              <w:rPr>
                <w:sz w:val="24"/>
                <w:szCs w:val="24"/>
              </w:rPr>
              <w:t>200</w:t>
            </w:r>
            <w:r w:rsidR="006E1B95" w:rsidRPr="00DC045E">
              <w:rPr>
                <w:b w:val="0"/>
                <w:sz w:val="24"/>
                <w:szCs w:val="24"/>
              </w:rPr>
              <w:t xml:space="preserve"> </w:t>
            </w:r>
            <w:proofErr w:type="spellStart"/>
            <w:r w:rsidR="006E1B95" w:rsidRPr="00DC045E">
              <w:rPr>
                <w:b w:val="0"/>
                <w:i/>
                <w:sz w:val="24"/>
                <w:szCs w:val="24"/>
              </w:rPr>
              <w:t>euro</w:t>
            </w:r>
            <w:proofErr w:type="spellEnd"/>
            <w:r w:rsidR="006E1B95">
              <w:rPr>
                <w:b w:val="0"/>
                <w:sz w:val="24"/>
                <w:szCs w:val="24"/>
              </w:rPr>
              <w:t xml:space="preserve"> </w:t>
            </w:r>
            <w:r w:rsidR="006E1B95" w:rsidRPr="007C242C">
              <w:rPr>
                <w:b w:val="0"/>
                <w:sz w:val="24"/>
                <w:szCs w:val="24"/>
              </w:rPr>
              <w:t>(EKK 5121).</w:t>
            </w:r>
            <w:r w:rsidR="006E1B95">
              <w:rPr>
                <w:b w:val="0"/>
                <w:sz w:val="24"/>
                <w:szCs w:val="24"/>
              </w:rPr>
              <w:t xml:space="preserve"> </w:t>
            </w:r>
          </w:p>
          <w:p w:rsidR="006E1B95" w:rsidRDefault="006E1B95" w:rsidP="006E1B95">
            <w:pPr>
              <w:pStyle w:val="Heading3"/>
              <w:shd w:val="clear" w:color="auto" w:fill="FFFFFF"/>
              <w:spacing w:before="0" w:beforeAutospacing="0" w:after="0" w:afterAutospacing="0"/>
              <w:ind w:right="57" w:firstLine="364"/>
              <w:jc w:val="both"/>
              <w:rPr>
                <w:b w:val="0"/>
                <w:sz w:val="24"/>
                <w:szCs w:val="24"/>
              </w:rPr>
            </w:pPr>
            <w:r>
              <w:rPr>
                <w:b w:val="0"/>
                <w:sz w:val="24"/>
                <w:szCs w:val="24"/>
              </w:rPr>
              <w:t>Iekšlietu ministrijas Informācijas centram papildu finansējums nepieciešams</w:t>
            </w:r>
            <w:r w:rsidR="00B57317">
              <w:rPr>
                <w:b w:val="0"/>
                <w:sz w:val="24"/>
                <w:szCs w:val="24"/>
              </w:rPr>
              <w:t xml:space="preserve"> licencēm</w:t>
            </w:r>
            <w:r>
              <w:rPr>
                <w:b w:val="0"/>
                <w:sz w:val="24"/>
                <w:szCs w:val="24"/>
              </w:rPr>
              <w:t xml:space="preserve">, </w:t>
            </w:r>
            <w:r w:rsidR="00B57317">
              <w:rPr>
                <w:b w:val="0"/>
                <w:sz w:val="24"/>
                <w:szCs w:val="24"/>
              </w:rPr>
              <w:t xml:space="preserve">lai </w:t>
            </w:r>
            <w:r w:rsidR="00892A95">
              <w:rPr>
                <w:b w:val="0"/>
                <w:sz w:val="24"/>
                <w:szCs w:val="24"/>
              </w:rPr>
              <w:t>Pilsonības un migrācijas lietu pārvaldē uzlabotu dokumentu apriti un uzdevumu izpildes kontroli.</w:t>
            </w:r>
          </w:p>
          <w:p w:rsidR="006E1B95" w:rsidRPr="00A84269" w:rsidRDefault="006E1B95" w:rsidP="006E1B95">
            <w:pPr>
              <w:pStyle w:val="Heading3"/>
              <w:shd w:val="clear" w:color="auto" w:fill="FFFFFF"/>
              <w:spacing w:before="0" w:beforeAutospacing="0" w:after="0" w:afterAutospacing="0"/>
              <w:ind w:right="57" w:firstLine="364"/>
              <w:jc w:val="both"/>
              <w:rPr>
                <w:b w:val="0"/>
                <w:sz w:val="24"/>
                <w:szCs w:val="24"/>
              </w:rPr>
            </w:pPr>
            <w:r w:rsidRPr="00A84269">
              <w:rPr>
                <w:b w:val="0"/>
                <w:sz w:val="24"/>
                <w:szCs w:val="24"/>
              </w:rPr>
              <w:t xml:space="preserve">Detalizēts aprēķins pievienots anotācijas </w:t>
            </w:r>
            <w:r w:rsidR="000C1C8B" w:rsidRPr="004C596A">
              <w:rPr>
                <w:b w:val="0"/>
                <w:sz w:val="24"/>
                <w:szCs w:val="24"/>
              </w:rPr>
              <w:t>2</w:t>
            </w:r>
            <w:r w:rsidRPr="004C596A">
              <w:rPr>
                <w:b w:val="0"/>
                <w:sz w:val="24"/>
                <w:szCs w:val="24"/>
              </w:rPr>
              <w:t>.pielikum</w:t>
            </w:r>
            <w:r w:rsidR="00B57317" w:rsidRPr="004C596A">
              <w:rPr>
                <w:b w:val="0"/>
                <w:sz w:val="24"/>
                <w:szCs w:val="24"/>
              </w:rPr>
              <w:t>a 3</w:t>
            </w:r>
            <w:r w:rsidRPr="004C596A">
              <w:rPr>
                <w:b w:val="0"/>
                <w:sz w:val="24"/>
                <w:szCs w:val="24"/>
              </w:rPr>
              <w:t>.tabulā.</w:t>
            </w:r>
          </w:p>
          <w:p w:rsidR="00D80B81" w:rsidRPr="001630B8" w:rsidRDefault="0018161D" w:rsidP="00D80B81">
            <w:pPr>
              <w:pStyle w:val="Heading3"/>
              <w:shd w:val="clear" w:color="auto" w:fill="FFFFFF"/>
              <w:spacing w:before="0" w:beforeAutospacing="0" w:after="0" w:afterAutospacing="0"/>
              <w:ind w:right="57" w:firstLine="364"/>
              <w:jc w:val="both"/>
              <w:rPr>
                <w:b w:val="0"/>
                <w:sz w:val="24"/>
                <w:szCs w:val="24"/>
              </w:rPr>
            </w:pPr>
            <w:r w:rsidRPr="00E24423">
              <w:rPr>
                <w:sz w:val="24"/>
                <w:szCs w:val="24"/>
              </w:rPr>
              <w:t>4.</w:t>
            </w:r>
            <w:r>
              <w:rPr>
                <w:b w:val="0"/>
                <w:sz w:val="24"/>
                <w:szCs w:val="24"/>
              </w:rPr>
              <w:t xml:space="preserve"> </w:t>
            </w:r>
            <w:r w:rsidR="00EE2703">
              <w:t xml:space="preserve"> </w:t>
            </w:r>
            <w:r w:rsidR="00E24423">
              <w:rPr>
                <w:sz w:val="24"/>
                <w:szCs w:val="24"/>
              </w:rPr>
              <w:t>Skeneru iegāde</w:t>
            </w:r>
            <w:r w:rsidR="004F53A5">
              <w:rPr>
                <w:sz w:val="24"/>
                <w:szCs w:val="24"/>
              </w:rPr>
              <w:t>, lai uzlabotu</w:t>
            </w:r>
            <w:r w:rsidR="00EE2703" w:rsidRPr="00E24423">
              <w:rPr>
                <w:sz w:val="24"/>
                <w:szCs w:val="24"/>
              </w:rPr>
              <w:t xml:space="preserve"> Pilsonības un migrācijas lietu pārvaldes klien</w:t>
            </w:r>
            <w:r w:rsidR="004F53A5">
              <w:rPr>
                <w:sz w:val="24"/>
                <w:szCs w:val="24"/>
              </w:rPr>
              <w:t>tu apkalpošanas kvalitāti un dokumentu apriti</w:t>
            </w:r>
            <w:r w:rsidR="00D80B81">
              <w:rPr>
                <w:sz w:val="24"/>
                <w:szCs w:val="24"/>
              </w:rPr>
              <w:t xml:space="preserve"> </w:t>
            </w:r>
            <w:r w:rsidR="00D80B81">
              <w:rPr>
                <w:b w:val="0"/>
                <w:sz w:val="24"/>
                <w:szCs w:val="24"/>
              </w:rPr>
              <w:t>(budžeta apakšprogramma 11.01</w:t>
            </w:r>
            <w:r w:rsidR="00D80B81" w:rsidRPr="00DC045E">
              <w:rPr>
                <w:b w:val="0"/>
                <w:sz w:val="24"/>
                <w:szCs w:val="24"/>
              </w:rPr>
              <w:t>.00 “</w:t>
            </w:r>
            <w:r w:rsidR="00D80B81" w:rsidRPr="00D80B81">
              <w:rPr>
                <w:b w:val="0"/>
                <w:sz w:val="24"/>
                <w:szCs w:val="24"/>
              </w:rPr>
              <w:t>Pilsonības un migrācijas lietu pārvalde</w:t>
            </w:r>
            <w:r w:rsidR="00D80B81" w:rsidRPr="00DC045E">
              <w:rPr>
                <w:b w:val="0"/>
                <w:sz w:val="24"/>
                <w:szCs w:val="24"/>
              </w:rPr>
              <w:t>”</w:t>
            </w:r>
            <w:r w:rsidR="00D80B81">
              <w:rPr>
                <w:b w:val="0"/>
                <w:sz w:val="24"/>
                <w:szCs w:val="24"/>
              </w:rPr>
              <w:t>)</w:t>
            </w:r>
            <w:r w:rsidR="00D80B81" w:rsidRPr="00DC045E">
              <w:rPr>
                <w:b w:val="0"/>
                <w:sz w:val="24"/>
                <w:szCs w:val="24"/>
              </w:rPr>
              <w:t xml:space="preserve"> </w:t>
            </w:r>
            <w:r w:rsidR="00D80B81">
              <w:rPr>
                <w:b w:val="0"/>
                <w:sz w:val="24"/>
                <w:szCs w:val="24"/>
              </w:rPr>
              <w:t xml:space="preserve">– </w:t>
            </w:r>
            <w:r w:rsidR="00D80B81">
              <w:rPr>
                <w:sz w:val="24"/>
                <w:szCs w:val="24"/>
              </w:rPr>
              <w:t>16 456</w:t>
            </w:r>
            <w:r w:rsidR="00D80B81" w:rsidRPr="00DC045E">
              <w:rPr>
                <w:b w:val="0"/>
                <w:sz w:val="24"/>
                <w:szCs w:val="24"/>
              </w:rPr>
              <w:t xml:space="preserve"> </w:t>
            </w:r>
            <w:proofErr w:type="spellStart"/>
            <w:r w:rsidR="00D80B81" w:rsidRPr="00DC045E">
              <w:rPr>
                <w:b w:val="0"/>
                <w:i/>
                <w:sz w:val="24"/>
                <w:szCs w:val="24"/>
              </w:rPr>
              <w:t>euro</w:t>
            </w:r>
            <w:proofErr w:type="spellEnd"/>
            <w:r w:rsidR="00D80B81">
              <w:rPr>
                <w:b w:val="0"/>
                <w:sz w:val="24"/>
                <w:szCs w:val="24"/>
              </w:rPr>
              <w:t xml:space="preserve"> </w:t>
            </w:r>
            <w:r w:rsidR="00D80B81" w:rsidRPr="007C242C">
              <w:rPr>
                <w:b w:val="0"/>
                <w:sz w:val="24"/>
                <w:szCs w:val="24"/>
              </w:rPr>
              <w:t xml:space="preserve">(EKK 5121 – 11 616 </w:t>
            </w:r>
            <w:proofErr w:type="spellStart"/>
            <w:r w:rsidR="00D80B81" w:rsidRPr="007C242C">
              <w:rPr>
                <w:b w:val="0"/>
                <w:i/>
                <w:sz w:val="24"/>
                <w:szCs w:val="24"/>
              </w:rPr>
              <w:t>euro</w:t>
            </w:r>
            <w:proofErr w:type="spellEnd"/>
            <w:r w:rsidR="00D80B81" w:rsidRPr="007C242C">
              <w:rPr>
                <w:b w:val="0"/>
                <w:sz w:val="24"/>
                <w:szCs w:val="24"/>
              </w:rPr>
              <w:t xml:space="preserve">; EKK 5238 – 4 840 </w:t>
            </w:r>
            <w:proofErr w:type="spellStart"/>
            <w:r w:rsidR="00D80B81" w:rsidRPr="007C242C">
              <w:rPr>
                <w:b w:val="0"/>
                <w:i/>
                <w:sz w:val="24"/>
                <w:szCs w:val="24"/>
              </w:rPr>
              <w:t>euro</w:t>
            </w:r>
            <w:proofErr w:type="spellEnd"/>
            <w:r w:rsidR="00D80B81" w:rsidRPr="007C242C">
              <w:rPr>
                <w:b w:val="0"/>
                <w:sz w:val="24"/>
                <w:szCs w:val="24"/>
              </w:rPr>
              <w:t>).</w:t>
            </w:r>
            <w:r w:rsidR="00D80B81">
              <w:rPr>
                <w:b w:val="0"/>
                <w:sz w:val="24"/>
                <w:szCs w:val="24"/>
              </w:rPr>
              <w:t xml:space="preserve"> </w:t>
            </w:r>
          </w:p>
          <w:p w:rsidR="00BB0F81" w:rsidRDefault="00D80B81" w:rsidP="00F72BA7">
            <w:pPr>
              <w:pStyle w:val="Heading3"/>
              <w:shd w:val="clear" w:color="auto" w:fill="FFFFFF"/>
              <w:spacing w:before="0" w:beforeAutospacing="0" w:after="0" w:afterAutospacing="0"/>
              <w:ind w:right="57" w:firstLine="364"/>
              <w:jc w:val="both"/>
              <w:rPr>
                <w:sz w:val="24"/>
                <w:szCs w:val="24"/>
              </w:rPr>
            </w:pPr>
            <w:r>
              <w:rPr>
                <w:b w:val="0"/>
                <w:sz w:val="24"/>
                <w:szCs w:val="24"/>
              </w:rPr>
              <w:t xml:space="preserve">Pilsonības un migrācijas lietu pārvaldei nepieciešams iegādāties divus specifiskus skenerus, lai uzlabotu teritoriālo nodaļu </w:t>
            </w:r>
            <w:r w:rsidRPr="00D80B81">
              <w:rPr>
                <w:b w:val="0"/>
                <w:sz w:val="24"/>
                <w:szCs w:val="24"/>
              </w:rPr>
              <w:t>klientu apkalpošanas kvalitāti un dokumentu apriti.</w:t>
            </w:r>
          </w:p>
          <w:p w:rsidR="00AF798C" w:rsidRPr="00A84269" w:rsidRDefault="00AF798C" w:rsidP="00AF798C">
            <w:pPr>
              <w:pStyle w:val="Heading3"/>
              <w:shd w:val="clear" w:color="auto" w:fill="FFFFFF"/>
              <w:spacing w:before="0" w:beforeAutospacing="0" w:after="0" w:afterAutospacing="0"/>
              <w:ind w:right="57" w:firstLine="364"/>
              <w:jc w:val="both"/>
              <w:rPr>
                <w:b w:val="0"/>
                <w:sz w:val="24"/>
                <w:szCs w:val="24"/>
              </w:rPr>
            </w:pPr>
            <w:r w:rsidRPr="00A84269">
              <w:rPr>
                <w:b w:val="0"/>
                <w:sz w:val="24"/>
                <w:szCs w:val="24"/>
              </w:rPr>
              <w:lastRenderedPageBreak/>
              <w:t xml:space="preserve">Detalizēts aprēķins pievienots anotācijas </w:t>
            </w:r>
            <w:r w:rsidR="000C1C8B" w:rsidRPr="004E7960">
              <w:rPr>
                <w:b w:val="0"/>
                <w:sz w:val="24"/>
                <w:szCs w:val="24"/>
              </w:rPr>
              <w:t>2</w:t>
            </w:r>
            <w:r w:rsidRPr="004E7960">
              <w:rPr>
                <w:b w:val="0"/>
                <w:sz w:val="24"/>
                <w:szCs w:val="24"/>
              </w:rPr>
              <w:t>.pielikuma 4.tabulā.</w:t>
            </w:r>
          </w:p>
          <w:p w:rsidR="00D80B81" w:rsidRPr="00AF798C" w:rsidRDefault="00AF798C" w:rsidP="00F72BA7">
            <w:pPr>
              <w:pStyle w:val="Heading3"/>
              <w:shd w:val="clear" w:color="auto" w:fill="FFFFFF"/>
              <w:spacing w:before="0" w:beforeAutospacing="0" w:after="0" w:afterAutospacing="0"/>
              <w:ind w:right="57" w:firstLine="364"/>
              <w:jc w:val="both"/>
              <w:rPr>
                <w:sz w:val="24"/>
                <w:szCs w:val="24"/>
              </w:rPr>
            </w:pPr>
            <w:r w:rsidRPr="00AF798C">
              <w:rPr>
                <w:sz w:val="24"/>
                <w:szCs w:val="24"/>
              </w:rPr>
              <w:t xml:space="preserve">5. </w:t>
            </w:r>
            <w:r w:rsidR="0007000B">
              <w:t xml:space="preserve"> </w:t>
            </w:r>
            <w:r w:rsidR="003D54C1">
              <w:rPr>
                <w:sz w:val="24"/>
                <w:szCs w:val="24"/>
              </w:rPr>
              <w:t>Patvēruma meklētāju izmitināšanas centra</w:t>
            </w:r>
            <w:r w:rsidR="0007000B">
              <w:rPr>
                <w:sz w:val="24"/>
                <w:szCs w:val="24"/>
              </w:rPr>
              <w:t xml:space="preserve"> “Mucenieki”</w:t>
            </w:r>
            <w:r w:rsidR="0007000B" w:rsidRPr="0007000B">
              <w:rPr>
                <w:sz w:val="24"/>
                <w:szCs w:val="24"/>
              </w:rPr>
              <w:t xml:space="preserve"> telpu remontam</w:t>
            </w:r>
            <w:r w:rsidR="003D54C1">
              <w:rPr>
                <w:sz w:val="24"/>
                <w:szCs w:val="24"/>
              </w:rPr>
              <w:t xml:space="preserve"> </w:t>
            </w:r>
            <w:r w:rsidR="003D54C1" w:rsidRPr="003D54C1">
              <w:rPr>
                <w:b w:val="0"/>
                <w:sz w:val="24"/>
                <w:szCs w:val="24"/>
              </w:rPr>
              <w:t>(</w:t>
            </w:r>
            <w:r w:rsidR="003D54C1" w:rsidRPr="00DC045E">
              <w:rPr>
                <w:b w:val="0"/>
                <w:sz w:val="24"/>
                <w:szCs w:val="24"/>
              </w:rPr>
              <w:t>budžeta apakšprogramma</w:t>
            </w:r>
            <w:r w:rsidR="003D54C1">
              <w:rPr>
                <w:b w:val="0"/>
                <w:sz w:val="24"/>
                <w:szCs w:val="24"/>
              </w:rPr>
              <w:t xml:space="preserve"> 40.02.00 “</w:t>
            </w:r>
            <w:r w:rsidR="003D54C1" w:rsidRPr="003D54C1">
              <w:rPr>
                <w:b w:val="0"/>
                <w:sz w:val="24"/>
                <w:szCs w:val="24"/>
              </w:rPr>
              <w:t>Nekustamais īpaš</w:t>
            </w:r>
            <w:r w:rsidR="003D54C1">
              <w:rPr>
                <w:b w:val="0"/>
                <w:sz w:val="24"/>
                <w:szCs w:val="24"/>
              </w:rPr>
              <w:t>ums un centralizētais iepirkums”</w:t>
            </w:r>
            <w:r w:rsidR="00622743">
              <w:rPr>
                <w:b w:val="0"/>
                <w:sz w:val="24"/>
                <w:szCs w:val="24"/>
              </w:rPr>
              <w:t xml:space="preserve">) </w:t>
            </w:r>
            <w:r w:rsidR="003D54C1">
              <w:rPr>
                <w:b w:val="0"/>
                <w:sz w:val="24"/>
                <w:szCs w:val="24"/>
              </w:rPr>
              <w:t xml:space="preserve">– </w:t>
            </w:r>
            <w:r w:rsidR="003D54C1">
              <w:rPr>
                <w:sz w:val="24"/>
                <w:szCs w:val="24"/>
              </w:rPr>
              <w:t>50 000</w:t>
            </w:r>
            <w:r w:rsidR="003D54C1" w:rsidRPr="00DC045E">
              <w:rPr>
                <w:b w:val="0"/>
                <w:sz w:val="24"/>
                <w:szCs w:val="24"/>
              </w:rPr>
              <w:t xml:space="preserve"> </w:t>
            </w:r>
            <w:proofErr w:type="spellStart"/>
            <w:r w:rsidR="003D54C1" w:rsidRPr="00DC045E">
              <w:rPr>
                <w:b w:val="0"/>
                <w:i/>
                <w:sz w:val="24"/>
                <w:szCs w:val="24"/>
              </w:rPr>
              <w:t>euro</w:t>
            </w:r>
            <w:proofErr w:type="spellEnd"/>
            <w:r w:rsidR="003D54C1">
              <w:rPr>
                <w:b w:val="0"/>
                <w:sz w:val="24"/>
                <w:szCs w:val="24"/>
              </w:rPr>
              <w:t xml:space="preserve"> </w:t>
            </w:r>
            <w:r w:rsidR="003D54C1" w:rsidRPr="00E01FC7">
              <w:rPr>
                <w:b w:val="0"/>
                <w:sz w:val="24"/>
                <w:szCs w:val="24"/>
              </w:rPr>
              <w:t>(EKK</w:t>
            </w:r>
            <w:r w:rsidR="00E01FC7">
              <w:rPr>
                <w:b w:val="0"/>
                <w:sz w:val="24"/>
                <w:szCs w:val="24"/>
              </w:rPr>
              <w:t xml:space="preserve"> </w:t>
            </w:r>
            <w:r w:rsidR="00E01FC7" w:rsidRPr="00E01FC7">
              <w:rPr>
                <w:b w:val="0"/>
                <w:sz w:val="24"/>
                <w:szCs w:val="24"/>
              </w:rPr>
              <w:t>2000</w:t>
            </w:r>
            <w:r w:rsidR="003D54C1" w:rsidRPr="00E01FC7">
              <w:rPr>
                <w:b w:val="0"/>
                <w:sz w:val="24"/>
                <w:szCs w:val="24"/>
              </w:rPr>
              <w:t>).</w:t>
            </w:r>
          </w:p>
          <w:p w:rsidR="00AF798C" w:rsidRPr="0052773D" w:rsidRDefault="0052773D" w:rsidP="00F72BA7">
            <w:pPr>
              <w:pStyle w:val="Heading3"/>
              <w:shd w:val="clear" w:color="auto" w:fill="FFFFFF"/>
              <w:spacing w:before="0" w:beforeAutospacing="0" w:after="0" w:afterAutospacing="0"/>
              <w:ind w:right="57" w:firstLine="364"/>
              <w:jc w:val="both"/>
              <w:rPr>
                <w:b w:val="0"/>
                <w:sz w:val="24"/>
                <w:szCs w:val="24"/>
              </w:rPr>
            </w:pPr>
            <w:r w:rsidRPr="0052773D">
              <w:rPr>
                <w:b w:val="0"/>
                <w:sz w:val="24"/>
                <w:szCs w:val="24"/>
              </w:rPr>
              <w:t>Lai patvēruma meklētāju izmitināšanas centrā “Mucenieki”</w:t>
            </w:r>
            <w:r>
              <w:rPr>
                <w:b w:val="0"/>
                <w:sz w:val="24"/>
                <w:szCs w:val="24"/>
              </w:rPr>
              <w:t xml:space="preserve"> uzņemtu lielāku skaitu patvēruma meklētāju, ir jāveic telpu remonts. </w:t>
            </w:r>
          </w:p>
          <w:p w:rsidR="0052773D" w:rsidRPr="00A84269" w:rsidRDefault="0052773D" w:rsidP="0052773D">
            <w:pPr>
              <w:pStyle w:val="Heading3"/>
              <w:shd w:val="clear" w:color="auto" w:fill="FFFFFF"/>
              <w:spacing w:before="0" w:beforeAutospacing="0" w:after="0" w:afterAutospacing="0"/>
              <w:ind w:right="57" w:firstLine="364"/>
              <w:jc w:val="both"/>
              <w:rPr>
                <w:b w:val="0"/>
                <w:sz w:val="24"/>
                <w:szCs w:val="24"/>
              </w:rPr>
            </w:pPr>
            <w:r w:rsidRPr="00A84269">
              <w:rPr>
                <w:b w:val="0"/>
                <w:sz w:val="24"/>
                <w:szCs w:val="24"/>
              </w:rPr>
              <w:t xml:space="preserve">Detalizēts aprēķins pievienots anotācijas </w:t>
            </w:r>
            <w:r w:rsidR="000C1C8B" w:rsidRPr="004E7960">
              <w:rPr>
                <w:b w:val="0"/>
                <w:sz w:val="24"/>
                <w:szCs w:val="24"/>
              </w:rPr>
              <w:t>2</w:t>
            </w:r>
            <w:r w:rsidRPr="004E7960">
              <w:rPr>
                <w:b w:val="0"/>
                <w:sz w:val="24"/>
                <w:szCs w:val="24"/>
              </w:rPr>
              <w:t>.pielikuma 5.tabulā.</w:t>
            </w:r>
          </w:p>
          <w:p w:rsidR="00674A10" w:rsidRDefault="00674A10" w:rsidP="007E31E0">
            <w:pPr>
              <w:pStyle w:val="Heading3"/>
              <w:shd w:val="clear" w:color="auto" w:fill="FFFFFF"/>
              <w:spacing w:before="0" w:beforeAutospacing="0" w:after="0" w:afterAutospacing="0"/>
              <w:ind w:right="57" w:firstLine="364"/>
              <w:jc w:val="both"/>
              <w:rPr>
                <w:b w:val="0"/>
                <w:sz w:val="24"/>
                <w:szCs w:val="24"/>
              </w:rPr>
            </w:pPr>
            <w:r w:rsidRPr="0023282D">
              <w:rPr>
                <w:sz w:val="24"/>
                <w:szCs w:val="24"/>
              </w:rPr>
              <w:t>6. Remontdarbiem</w:t>
            </w:r>
            <w:r w:rsidR="007E31E0">
              <w:rPr>
                <w:sz w:val="24"/>
                <w:szCs w:val="24"/>
              </w:rPr>
              <w:t xml:space="preserve"> </w:t>
            </w:r>
            <w:r w:rsidR="005B664B">
              <w:rPr>
                <w:sz w:val="24"/>
                <w:szCs w:val="24"/>
              </w:rPr>
              <w:t xml:space="preserve">dažādos objektos </w:t>
            </w:r>
            <w:r w:rsidRPr="003D54C1">
              <w:rPr>
                <w:b w:val="0"/>
                <w:sz w:val="24"/>
                <w:szCs w:val="24"/>
              </w:rPr>
              <w:t>(</w:t>
            </w:r>
            <w:r w:rsidRPr="00DC045E">
              <w:rPr>
                <w:b w:val="0"/>
                <w:sz w:val="24"/>
                <w:szCs w:val="24"/>
              </w:rPr>
              <w:t>budžeta apakšprogramma</w:t>
            </w:r>
            <w:r>
              <w:rPr>
                <w:b w:val="0"/>
                <w:sz w:val="24"/>
                <w:szCs w:val="24"/>
              </w:rPr>
              <w:t xml:space="preserve"> 40.02.00 “</w:t>
            </w:r>
            <w:r w:rsidRPr="003D54C1">
              <w:rPr>
                <w:b w:val="0"/>
                <w:sz w:val="24"/>
                <w:szCs w:val="24"/>
              </w:rPr>
              <w:t>Nekustamais īpaš</w:t>
            </w:r>
            <w:r>
              <w:rPr>
                <w:b w:val="0"/>
                <w:sz w:val="24"/>
                <w:szCs w:val="24"/>
              </w:rPr>
              <w:t>ums un centralizētais iepirkums</w:t>
            </w:r>
            <w:r w:rsidR="00622743">
              <w:rPr>
                <w:b w:val="0"/>
                <w:sz w:val="24"/>
                <w:szCs w:val="24"/>
              </w:rPr>
              <w:t>)</w:t>
            </w:r>
            <w:r w:rsidR="004E7960">
              <w:rPr>
                <w:b w:val="0"/>
                <w:sz w:val="24"/>
                <w:szCs w:val="24"/>
              </w:rPr>
              <w:t xml:space="preserve"> </w:t>
            </w:r>
            <w:r>
              <w:rPr>
                <w:b w:val="0"/>
                <w:sz w:val="24"/>
                <w:szCs w:val="24"/>
              </w:rPr>
              <w:t xml:space="preserve">– </w:t>
            </w:r>
            <w:r>
              <w:rPr>
                <w:sz w:val="24"/>
                <w:szCs w:val="24"/>
              </w:rPr>
              <w:t>426 118</w:t>
            </w:r>
            <w:r w:rsidRPr="00DC045E">
              <w:rPr>
                <w:b w:val="0"/>
                <w:sz w:val="24"/>
                <w:szCs w:val="24"/>
              </w:rPr>
              <w:t xml:space="preserve"> </w:t>
            </w:r>
            <w:proofErr w:type="spellStart"/>
            <w:r w:rsidRPr="00DC045E">
              <w:rPr>
                <w:b w:val="0"/>
                <w:i/>
                <w:sz w:val="24"/>
                <w:szCs w:val="24"/>
              </w:rPr>
              <w:t>euro</w:t>
            </w:r>
            <w:proofErr w:type="spellEnd"/>
            <w:r>
              <w:rPr>
                <w:b w:val="0"/>
                <w:sz w:val="24"/>
                <w:szCs w:val="24"/>
              </w:rPr>
              <w:t xml:space="preserve"> </w:t>
            </w:r>
            <w:r w:rsidRPr="00674A10">
              <w:rPr>
                <w:b w:val="0"/>
                <w:sz w:val="24"/>
                <w:szCs w:val="24"/>
              </w:rPr>
              <w:t>(EKK 5250).</w:t>
            </w:r>
          </w:p>
          <w:p w:rsidR="00B826DA" w:rsidRPr="004D2F40" w:rsidRDefault="00B826DA" w:rsidP="004D2F40">
            <w:pPr>
              <w:spacing w:after="0" w:line="240" w:lineRule="auto"/>
              <w:ind w:firstLine="506"/>
              <w:jc w:val="both"/>
              <w:rPr>
                <w:rFonts w:ascii="Times New Roman" w:hAnsi="Times New Roman" w:cs="Times New Roman"/>
                <w:sz w:val="24"/>
                <w:szCs w:val="24"/>
              </w:rPr>
            </w:pPr>
            <w:r w:rsidRPr="004D2F40">
              <w:rPr>
                <w:rFonts w:ascii="Times New Roman" w:hAnsi="Times New Roman" w:cs="Times New Roman"/>
                <w:sz w:val="24"/>
                <w:szCs w:val="24"/>
              </w:rPr>
              <w:t xml:space="preserve">Saskaņā ar </w:t>
            </w:r>
            <w:proofErr w:type="gramStart"/>
            <w:r w:rsidRPr="004D2F40">
              <w:rPr>
                <w:rFonts w:ascii="Times New Roman" w:hAnsi="Times New Roman" w:cs="Times New Roman"/>
                <w:sz w:val="24"/>
                <w:szCs w:val="24"/>
              </w:rPr>
              <w:t>2012.gada</w:t>
            </w:r>
            <w:proofErr w:type="gramEnd"/>
            <w:r w:rsidRPr="004D2F40">
              <w:rPr>
                <w:rFonts w:ascii="Times New Roman" w:hAnsi="Times New Roman" w:cs="Times New Roman"/>
                <w:sz w:val="24"/>
                <w:szCs w:val="24"/>
              </w:rPr>
              <w:t xml:space="preserve"> 11.decembra Minis</w:t>
            </w:r>
            <w:r w:rsidR="004E7960">
              <w:rPr>
                <w:rFonts w:ascii="Times New Roman" w:hAnsi="Times New Roman" w:cs="Times New Roman"/>
                <w:sz w:val="24"/>
                <w:szCs w:val="24"/>
              </w:rPr>
              <w:t>tru kabineta noteikumu Nr. 839 “</w:t>
            </w:r>
            <w:r w:rsidRPr="004D2F40">
              <w:rPr>
                <w:rFonts w:ascii="Times New Roman" w:hAnsi="Times New Roman" w:cs="Times New Roman"/>
                <w:sz w:val="24"/>
                <w:szCs w:val="24"/>
              </w:rPr>
              <w:t>Nodrošin</w:t>
            </w:r>
            <w:r w:rsidR="004E7960">
              <w:rPr>
                <w:rFonts w:ascii="Times New Roman" w:hAnsi="Times New Roman" w:cs="Times New Roman"/>
                <w:sz w:val="24"/>
                <w:szCs w:val="24"/>
              </w:rPr>
              <w:t>ājuma valsts aģentūras nolikums”</w:t>
            </w:r>
            <w:r w:rsidRPr="004D2F40">
              <w:rPr>
                <w:rFonts w:ascii="Times New Roman" w:hAnsi="Times New Roman" w:cs="Times New Roman"/>
                <w:sz w:val="24"/>
                <w:szCs w:val="24"/>
              </w:rPr>
              <w:t xml:space="preserve"> 3.2.</w:t>
            </w:r>
            <w:r w:rsidR="004E7960">
              <w:rPr>
                <w:rFonts w:ascii="Times New Roman" w:hAnsi="Times New Roman" w:cs="Times New Roman"/>
                <w:sz w:val="24"/>
                <w:szCs w:val="24"/>
              </w:rPr>
              <w:t>apakš</w:t>
            </w:r>
            <w:r w:rsidRPr="004D2F40">
              <w:rPr>
                <w:rFonts w:ascii="Times New Roman" w:hAnsi="Times New Roman" w:cs="Times New Roman"/>
                <w:sz w:val="24"/>
                <w:szCs w:val="24"/>
              </w:rPr>
              <w:t xml:space="preserve">punktu viena no Nodrošinājuma valsts aģentūras funkcijām ir apsaimniekot un pārvaldīt iestāžu īpašumā, valdījumā vai lietošanā esošos nekustamos īpašumus, kas nodoti </w:t>
            </w:r>
            <w:r w:rsidR="00F442F0" w:rsidRPr="004D2F40">
              <w:rPr>
                <w:rFonts w:ascii="Times New Roman" w:hAnsi="Times New Roman" w:cs="Times New Roman"/>
                <w:sz w:val="24"/>
                <w:szCs w:val="24"/>
              </w:rPr>
              <w:t xml:space="preserve">Nodrošinājuma valsts </w:t>
            </w:r>
            <w:r w:rsidRPr="004D2F40">
              <w:rPr>
                <w:rFonts w:ascii="Times New Roman" w:hAnsi="Times New Roman" w:cs="Times New Roman"/>
                <w:sz w:val="24"/>
                <w:szCs w:val="24"/>
              </w:rPr>
              <w:t xml:space="preserve">aģentūrai pārvaldīšanā. Bieži vien nekustamo īpašumu stāvoklis ir ļoti sliktā stāvoklī un, pat veicot rūpīgu finanšu plānošanu un izstrādājot atbilstošu apsaimniekošanas plānu, rodas situācijas, kad neplānotu ārēju faktoru </w:t>
            </w:r>
            <w:r w:rsidR="00F442F0" w:rsidRPr="004D2F40">
              <w:rPr>
                <w:rFonts w:ascii="Times New Roman" w:hAnsi="Times New Roman" w:cs="Times New Roman"/>
                <w:sz w:val="24"/>
                <w:szCs w:val="24"/>
              </w:rPr>
              <w:t xml:space="preserve">ietekmē </w:t>
            </w:r>
            <w:r w:rsidRPr="004D2F40">
              <w:rPr>
                <w:rFonts w:ascii="Times New Roman" w:hAnsi="Times New Roman" w:cs="Times New Roman"/>
                <w:sz w:val="24"/>
                <w:szCs w:val="24"/>
              </w:rPr>
              <w:t xml:space="preserve">nekustamais īpašums tiek bojāts, līdz ar to nepieciešams veikt ārkārtas pasākumus. </w:t>
            </w:r>
            <w:proofErr w:type="gramStart"/>
            <w:r w:rsidRPr="004D2F40">
              <w:rPr>
                <w:rFonts w:ascii="Times New Roman" w:hAnsi="Times New Roman" w:cs="Times New Roman"/>
                <w:sz w:val="24"/>
                <w:szCs w:val="24"/>
              </w:rPr>
              <w:t>2015.gadā</w:t>
            </w:r>
            <w:proofErr w:type="gramEnd"/>
            <w:r w:rsidRPr="004D2F40">
              <w:rPr>
                <w:rFonts w:ascii="Times New Roman" w:hAnsi="Times New Roman" w:cs="Times New Roman"/>
                <w:sz w:val="24"/>
                <w:szCs w:val="24"/>
              </w:rPr>
              <w:t xml:space="preserve"> </w:t>
            </w:r>
            <w:r w:rsidR="00F442F0" w:rsidRPr="004D2F40">
              <w:rPr>
                <w:rFonts w:ascii="Times New Roman" w:hAnsi="Times New Roman" w:cs="Times New Roman"/>
                <w:sz w:val="24"/>
                <w:szCs w:val="24"/>
              </w:rPr>
              <w:t>Nodrošinājuma valsts a</w:t>
            </w:r>
            <w:r w:rsidRPr="004D2F40">
              <w:rPr>
                <w:rFonts w:ascii="Times New Roman" w:hAnsi="Times New Roman" w:cs="Times New Roman"/>
                <w:sz w:val="24"/>
                <w:szCs w:val="24"/>
              </w:rPr>
              <w:t>ģentūra piešķirtā budžeta ietvaros ir veikusi normatīvajos aktos noteiktās darbības, taču ierobežotā finansējuma dēļ nebija iespējams veikt virkni būtisku, iepriekš neparedzētus uzdevumus:</w:t>
            </w:r>
          </w:p>
          <w:p w:rsidR="006A2C83" w:rsidRPr="004D2F40" w:rsidRDefault="005B6BA2" w:rsidP="006A32EF">
            <w:pPr>
              <w:spacing w:after="0" w:line="240" w:lineRule="auto"/>
              <w:ind w:firstLine="506"/>
              <w:jc w:val="both"/>
              <w:rPr>
                <w:rFonts w:ascii="Times New Roman" w:hAnsi="Times New Roman" w:cs="Times New Roman"/>
                <w:sz w:val="24"/>
                <w:szCs w:val="24"/>
              </w:rPr>
            </w:pPr>
            <w:r>
              <w:rPr>
                <w:rFonts w:ascii="Times New Roman" w:hAnsi="Times New Roman" w:cs="Times New Roman"/>
                <w:sz w:val="24"/>
                <w:szCs w:val="24"/>
              </w:rPr>
              <w:t>1)</w:t>
            </w:r>
            <w:r w:rsidR="006A2C83" w:rsidRPr="004D2F40">
              <w:rPr>
                <w:rFonts w:ascii="Times New Roman" w:hAnsi="Times New Roman" w:cs="Times New Roman"/>
                <w:sz w:val="24"/>
                <w:szCs w:val="24"/>
              </w:rPr>
              <w:t xml:space="preserve"> Ļoti sliktā tehniskā stāvoklī ir ēka Vestienas ielā</w:t>
            </w:r>
            <w:r w:rsidR="006A32EF" w:rsidRPr="004D2F40">
              <w:rPr>
                <w:rFonts w:ascii="Times New Roman" w:hAnsi="Times New Roman" w:cs="Times New Roman"/>
                <w:sz w:val="24"/>
                <w:szCs w:val="24"/>
              </w:rPr>
              <w:t xml:space="preserve"> 4, Rīgā. Ēkas</w:t>
            </w:r>
            <w:r w:rsidR="006A2C83" w:rsidRPr="004D2F40">
              <w:rPr>
                <w:rFonts w:ascii="Times New Roman" w:hAnsi="Times New Roman" w:cs="Times New Roman"/>
                <w:sz w:val="24"/>
                <w:szCs w:val="24"/>
              </w:rPr>
              <w:t xml:space="preserve"> nesošajās konstrukcijās (kolonās) ir radušās plaisas, kas palielina ēkas sabrukšanas risku, ko </w:t>
            </w:r>
            <w:proofErr w:type="gramStart"/>
            <w:r w:rsidR="006A2C83" w:rsidRPr="004D2F40">
              <w:rPr>
                <w:rFonts w:ascii="Times New Roman" w:hAnsi="Times New Roman" w:cs="Times New Roman"/>
                <w:sz w:val="24"/>
                <w:szCs w:val="24"/>
              </w:rPr>
              <w:t>2014.gadā</w:t>
            </w:r>
            <w:proofErr w:type="gramEnd"/>
            <w:r w:rsidR="006A2C83" w:rsidRPr="004D2F40">
              <w:rPr>
                <w:rFonts w:ascii="Times New Roman" w:hAnsi="Times New Roman" w:cs="Times New Roman"/>
                <w:sz w:val="24"/>
                <w:szCs w:val="24"/>
              </w:rPr>
              <w:t xml:space="preserve"> konstatēja eksperti, veicot ēkas būvkonstrukciju tehnisko apsekošanu un izmaksu apzināšanu.  Šāda veida riski nav prognozējami un rada paaugstinātus drošības draudus tās tuvumā </w:t>
            </w:r>
            <w:r w:rsidR="00D6090E" w:rsidRPr="004D2F40">
              <w:rPr>
                <w:rFonts w:ascii="Times New Roman" w:hAnsi="Times New Roman" w:cs="Times New Roman"/>
                <w:sz w:val="24"/>
                <w:szCs w:val="24"/>
              </w:rPr>
              <w:t>vai ēkās strādājošiem cilvēkiem.</w:t>
            </w:r>
            <w:r w:rsidR="006A2C83" w:rsidRPr="004D2F40">
              <w:rPr>
                <w:rFonts w:ascii="Times New Roman" w:hAnsi="Times New Roman" w:cs="Times New Roman"/>
                <w:sz w:val="24"/>
                <w:szCs w:val="24"/>
              </w:rPr>
              <w:t xml:space="preserve"> </w:t>
            </w:r>
            <w:r w:rsidR="00D6090E" w:rsidRPr="004D2F40">
              <w:rPr>
                <w:rFonts w:ascii="Times New Roman" w:hAnsi="Times New Roman" w:cs="Times New Roman"/>
                <w:sz w:val="24"/>
                <w:szCs w:val="24"/>
              </w:rPr>
              <w:t>Š</w:t>
            </w:r>
            <w:r w:rsidR="006A2C83" w:rsidRPr="004D2F40">
              <w:rPr>
                <w:rFonts w:ascii="Times New Roman" w:hAnsi="Times New Roman" w:cs="Times New Roman"/>
                <w:sz w:val="24"/>
                <w:szCs w:val="24"/>
              </w:rPr>
              <w:t>ādiem bojājumiem palielinoties, ēkas kopējais stāvoklis strauji pasliktinās, radot arvien jaunus un plašākus bojājumus. Ēkai nepieciešams veikt jumta seguma atjaunošanu ar energoefektivitātes paaugstināšanu, kā arī ēku konstrukciju pastiprināšanu un logu bloku nomaiņu.</w:t>
            </w:r>
          </w:p>
          <w:p w:rsidR="006A2C83" w:rsidRPr="004D2F40" w:rsidRDefault="006A2C83" w:rsidP="006A2C83">
            <w:pPr>
              <w:spacing w:after="0" w:line="240" w:lineRule="auto"/>
              <w:ind w:firstLine="360"/>
              <w:jc w:val="both"/>
              <w:rPr>
                <w:rFonts w:ascii="Times New Roman" w:hAnsi="Times New Roman" w:cs="Times New Roman"/>
                <w:sz w:val="24"/>
                <w:szCs w:val="24"/>
              </w:rPr>
            </w:pPr>
            <w:r w:rsidRPr="004D2F40">
              <w:rPr>
                <w:rFonts w:ascii="Times New Roman" w:hAnsi="Times New Roman" w:cs="Times New Roman"/>
                <w:sz w:val="24"/>
                <w:szCs w:val="24"/>
              </w:rPr>
              <w:t xml:space="preserve">Ņemot vērā iepriekš minēto, </w:t>
            </w:r>
            <w:proofErr w:type="gramStart"/>
            <w:r w:rsidRPr="004D2F40">
              <w:rPr>
                <w:rFonts w:ascii="Times New Roman" w:hAnsi="Times New Roman" w:cs="Times New Roman"/>
                <w:sz w:val="24"/>
                <w:szCs w:val="24"/>
              </w:rPr>
              <w:t>2015.gada</w:t>
            </w:r>
            <w:proofErr w:type="gramEnd"/>
            <w:r w:rsidRPr="004D2F40">
              <w:rPr>
                <w:rFonts w:ascii="Times New Roman" w:hAnsi="Times New Roman" w:cs="Times New Roman"/>
                <w:sz w:val="24"/>
                <w:szCs w:val="24"/>
              </w:rPr>
              <w:t xml:space="preserve"> 19.martā tika izsludināts iepirkums Nr. IeM NVA 2015/23 par „Garāžas ēkas karkasa pārbūves darbiem Vestienas ielā 4, Rīgā”, un konkursā uzvarēj</w:t>
            </w:r>
            <w:r w:rsidR="005B2F8E">
              <w:rPr>
                <w:rFonts w:ascii="Times New Roman" w:hAnsi="Times New Roman" w:cs="Times New Roman"/>
                <w:sz w:val="24"/>
                <w:szCs w:val="24"/>
              </w:rPr>
              <w:t>a SIA “</w:t>
            </w:r>
            <w:proofErr w:type="spellStart"/>
            <w:r w:rsidR="005B2F8E">
              <w:rPr>
                <w:rFonts w:ascii="Times New Roman" w:hAnsi="Times New Roman" w:cs="Times New Roman"/>
                <w:sz w:val="24"/>
                <w:szCs w:val="24"/>
              </w:rPr>
              <w:t>I.K.Būve</w:t>
            </w:r>
            <w:proofErr w:type="spellEnd"/>
            <w:r w:rsidR="005B2F8E">
              <w:rPr>
                <w:rFonts w:ascii="Times New Roman" w:hAnsi="Times New Roman" w:cs="Times New Roman"/>
                <w:sz w:val="24"/>
                <w:szCs w:val="24"/>
              </w:rPr>
              <w:t>”</w:t>
            </w:r>
            <w:r w:rsidRPr="004D2F40">
              <w:rPr>
                <w:rFonts w:ascii="Times New Roman" w:hAnsi="Times New Roman" w:cs="Times New Roman"/>
                <w:sz w:val="24"/>
                <w:szCs w:val="24"/>
              </w:rPr>
              <w:t>. Ēkai nepieciešamie remontdarbi tika iedalīti četros posmos:</w:t>
            </w:r>
          </w:p>
          <w:p w:rsidR="006A2C83" w:rsidRPr="004D2F40" w:rsidRDefault="006A2C83" w:rsidP="00ED6686">
            <w:pPr>
              <w:pStyle w:val="ListParagraph"/>
              <w:widowControl w:val="0"/>
              <w:numPr>
                <w:ilvl w:val="0"/>
                <w:numId w:val="4"/>
              </w:numPr>
              <w:spacing w:after="0" w:line="240" w:lineRule="auto"/>
              <w:ind w:left="506" w:hanging="284"/>
              <w:jc w:val="both"/>
              <w:rPr>
                <w:rFonts w:ascii="Times New Roman" w:hAnsi="Times New Roman" w:cs="Times New Roman"/>
                <w:sz w:val="24"/>
                <w:szCs w:val="24"/>
              </w:rPr>
            </w:pPr>
            <w:r w:rsidRPr="004D2F40">
              <w:rPr>
                <w:rFonts w:ascii="Times New Roman" w:hAnsi="Times New Roman" w:cs="Times New Roman"/>
                <w:sz w:val="24"/>
                <w:szCs w:val="24"/>
              </w:rPr>
              <w:t xml:space="preserve">jumta seguma atjaunošana – 67 078,65 </w:t>
            </w:r>
            <w:proofErr w:type="spellStart"/>
            <w:r w:rsidRPr="004D2F40">
              <w:rPr>
                <w:rFonts w:ascii="Times New Roman" w:hAnsi="Times New Roman" w:cs="Times New Roman"/>
                <w:i/>
                <w:sz w:val="24"/>
                <w:szCs w:val="24"/>
              </w:rPr>
              <w:t>euro</w:t>
            </w:r>
            <w:proofErr w:type="spellEnd"/>
            <w:r w:rsidRPr="004D2F40">
              <w:rPr>
                <w:rFonts w:ascii="Times New Roman" w:hAnsi="Times New Roman" w:cs="Times New Roman"/>
                <w:sz w:val="24"/>
                <w:szCs w:val="24"/>
              </w:rPr>
              <w:t>;</w:t>
            </w:r>
          </w:p>
          <w:p w:rsidR="006A2C83" w:rsidRPr="004D2F40" w:rsidRDefault="006A2C83" w:rsidP="00ED6686">
            <w:pPr>
              <w:pStyle w:val="ListParagraph"/>
              <w:widowControl w:val="0"/>
              <w:numPr>
                <w:ilvl w:val="0"/>
                <w:numId w:val="4"/>
              </w:numPr>
              <w:spacing w:after="0" w:line="240" w:lineRule="auto"/>
              <w:ind w:left="506" w:hanging="284"/>
              <w:jc w:val="both"/>
              <w:rPr>
                <w:rFonts w:ascii="Times New Roman" w:hAnsi="Times New Roman" w:cs="Times New Roman"/>
                <w:sz w:val="24"/>
                <w:szCs w:val="24"/>
              </w:rPr>
            </w:pPr>
            <w:r w:rsidRPr="004D2F40">
              <w:rPr>
                <w:rFonts w:ascii="Times New Roman" w:hAnsi="Times New Roman" w:cs="Times New Roman"/>
                <w:sz w:val="24"/>
                <w:szCs w:val="24"/>
              </w:rPr>
              <w:t xml:space="preserve">logu bloku nomaiņa tehniskajā stāvā – 24 688,34 </w:t>
            </w:r>
            <w:proofErr w:type="spellStart"/>
            <w:r w:rsidRPr="004D2F40">
              <w:rPr>
                <w:rFonts w:ascii="Times New Roman" w:hAnsi="Times New Roman" w:cs="Times New Roman"/>
                <w:i/>
                <w:sz w:val="24"/>
                <w:szCs w:val="24"/>
              </w:rPr>
              <w:t>euro</w:t>
            </w:r>
            <w:proofErr w:type="spellEnd"/>
            <w:r w:rsidRPr="004D2F40">
              <w:rPr>
                <w:rFonts w:ascii="Times New Roman" w:hAnsi="Times New Roman" w:cs="Times New Roman"/>
                <w:sz w:val="24"/>
                <w:szCs w:val="24"/>
              </w:rPr>
              <w:t>;</w:t>
            </w:r>
          </w:p>
          <w:p w:rsidR="006A2C83" w:rsidRPr="004D2F40" w:rsidRDefault="006A2C83" w:rsidP="00ED6686">
            <w:pPr>
              <w:pStyle w:val="ListParagraph"/>
              <w:widowControl w:val="0"/>
              <w:numPr>
                <w:ilvl w:val="0"/>
                <w:numId w:val="4"/>
              </w:numPr>
              <w:spacing w:after="0" w:line="240" w:lineRule="auto"/>
              <w:ind w:left="506" w:hanging="284"/>
              <w:jc w:val="both"/>
              <w:rPr>
                <w:rFonts w:ascii="Times New Roman" w:hAnsi="Times New Roman" w:cs="Times New Roman"/>
                <w:sz w:val="24"/>
                <w:szCs w:val="24"/>
              </w:rPr>
            </w:pPr>
            <w:r w:rsidRPr="004D2F40">
              <w:rPr>
                <w:rFonts w:ascii="Times New Roman" w:hAnsi="Times New Roman" w:cs="Times New Roman"/>
                <w:sz w:val="24"/>
                <w:szCs w:val="24"/>
              </w:rPr>
              <w:t xml:space="preserve">garāžas ēkas karkasa nesošo konstrukciju pastiprināšanas tehniskā projekta izstrādāšana – 2 182,13 </w:t>
            </w:r>
            <w:proofErr w:type="spellStart"/>
            <w:r w:rsidRPr="004D2F40">
              <w:rPr>
                <w:rFonts w:ascii="Times New Roman" w:hAnsi="Times New Roman" w:cs="Times New Roman"/>
                <w:i/>
                <w:sz w:val="24"/>
                <w:szCs w:val="24"/>
              </w:rPr>
              <w:t>euro</w:t>
            </w:r>
            <w:proofErr w:type="spellEnd"/>
          </w:p>
          <w:p w:rsidR="006A2C83" w:rsidRPr="004D2F40" w:rsidRDefault="006A2C83" w:rsidP="00ED6686">
            <w:pPr>
              <w:pStyle w:val="ListParagraph"/>
              <w:widowControl w:val="0"/>
              <w:numPr>
                <w:ilvl w:val="0"/>
                <w:numId w:val="4"/>
              </w:numPr>
              <w:spacing w:after="0" w:line="240" w:lineRule="auto"/>
              <w:ind w:left="506" w:hanging="284"/>
              <w:jc w:val="both"/>
              <w:rPr>
                <w:rFonts w:ascii="Times New Roman" w:hAnsi="Times New Roman" w:cs="Times New Roman"/>
                <w:sz w:val="24"/>
                <w:szCs w:val="24"/>
              </w:rPr>
            </w:pPr>
            <w:r w:rsidRPr="004D2F40">
              <w:rPr>
                <w:rFonts w:ascii="Times New Roman" w:hAnsi="Times New Roman" w:cs="Times New Roman"/>
                <w:sz w:val="24"/>
                <w:szCs w:val="24"/>
              </w:rPr>
              <w:t xml:space="preserve">garāžas ēkas karkasa nesošo konstrukciju pastiprināšana – 73 250,22 </w:t>
            </w:r>
            <w:proofErr w:type="spellStart"/>
            <w:r w:rsidRPr="004D2F40">
              <w:rPr>
                <w:rFonts w:ascii="Times New Roman" w:hAnsi="Times New Roman" w:cs="Times New Roman"/>
                <w:i/>
                <w:sz w:val="24"/>
                <w:szCs w:val="24"/>
              </w:rPr>
              <w:t>euro</w:t>
            </w:r>
            <w:proofErr w:type="spellEnd"/>
            <w:proofErr w:type="gramStart"/>
            <w:r w:rsidRPr="004D2F40">
              <w:rPr>
                <w:rFonts w:ascii="Times New Roman" w:hAnsi="Times New Roman" w:cs="Times New Roman"/>
                <w:sz w:val="24"/>
                <w:szCs w:val="24"/>
              </w:rPr>
              <w:t xml:space="preserve"> .</w:t>
            </w:r>
            <w:proofErr w:type="gramEnd"/>
          </w:p>
          <w:p w:rsidR="006A2C83" w:rsidRPr="004D2F40" w:rsidRDefault="006A2C83" w:rsidP="00ED6686">
            <w:pPr>
              <w:spacing w:after="0" w:line="240" w:lineRule="auto"/>
              <w:ind w:firstLine="506"/>
              <w:jc w:val="both"/>
              <w:rPr>
                <w:rFonts w:ascii="Times New Roman" w:hAnsi="Times New Roman" w:cs="Times New Roman"/>
                <w:sz w:val="24"/>
                <w:szCs w:val="24"/>
              </w:rPr>
            </w:pPr>
            <w:r w:rsidRPr="004D2F40">
              <w:rPr>
                <w:rFonts w:ascii="Times New Roman" w:hAnsi="Times New Roman" w:cs="Times New Roman"/>
                <w:sz w:val="24"/>
                <w:szCs w:val="24"/>
              </w:rPr>
              <w:t xml:space="preserve">Līgums paredz slēgt vienošanos par katru kārtu atsevišķi, paredzot darbu izpildi atbilstoši piešķirtajam finansējumam. </w:t>
            </w:r>
            <w:proofErr w:type="gramStart"/>
            <w:r w:rsidRPr="004D2F40">
              <w:rPr>
                <w:rFonts w:ascii="Times New Roman" w:hAnsi="Times New Roman" w:cs="Times New Roman"/>
                <w:sz w:val="24"/>
                <w:szCs w:val="24"/>
              </w:rPr>
              <w:t>2015.gadā</w:t>
            </w:r>
            <w:proofErr w:type="gramEnd"/>
            <w:r w:rsidRPr="004D2F40">
              <w:rPr>
                <w:rFonts w:ascii="Times New Roman" w:hAnsi="Times New Roman" w:cs="Times New Roman"/>
                <w:sz w:val="24"/>
                <w:szCs w:val="24"/>
              </w:rPr>
              <w:t xml:space="preserve"> ir iespējams veikt pirmos trīs posmus (93 949 </w:t>
            </w:r>
            <w:proofErr w:type="spellStart"/>
            <w:r w:rsidRPr="004D2F40">
              <w:rPr>
                <w:rFonts w:ascii="Times New Roman" w:hAnsi="Times New Roman" w:cs="Times New Roman"/>
                <w:i/>
                <w:sz w:val="24"/>
                <w:szCs w:val="24"/>
              </w:rPr>
              <w:t>euro</w:t>
            </w:r>
            <w:proofErr w:type="spellEnd"/>
            <w:r w:rsidRPr="004D2F40">
              <w:rPr>
                <w:rFonts w:ascii="Times New Roman" w:hAnsi="Times New Roman" w:cs="Times New Roman"/>
                <w:sz w:val="24"/>
                <w:szCs w:val="24"/>
              </w:rPr>
              <w:t xml:space="preserve">). </w:t>
            </w:r>
          </w:p>
          <w:p w:rsidR="00ED6686" w:rsidRPr="004D2F40" w:rsidRDefault="005B6BA2" w:rsidP="00ED6686">
            <w:pPr>
              <w:spacing w:after="0" w:line="240" w:lineRule="auto"/>
              <w:ind w:firstLine="364"/>
              <w:jc w:val="both"/>
              <w:rPr>
                <w:rFonts w:ascii="Times New Roman" w:hAnsi="Times New Roman" w:cs="Times New Roman"/>
                <w:sz w:val="24"/>
                <w:szCs w:val="24"/>
              </w:rPr>
            </w:pPr>
            <w:r>
              <w:rPr>
                <w:rFonts w:ascii="Times New Roman" w:hAnsi="Times New Roman" w:cs="Times New Roman"/>
                <w:sz w:val="24"/>
                <w:szCs w:val="24"/>
              </w:rPr>
              <w:t>2)</w:t>
            </w:r>
            <w:r w:rsidR="00ED6686" w:rsidRPr="004D2F40">
              <w:rPr>
                <w:rFonts w:ascii="Times New Roman" w:hAnsi="Times New Roman" w:cs="Times New Roman"/>
                <w:sz w:val="24"/>
                <w:szCs w:val="24"/>
              </w:rPr>
              <w:t xml:space="preserve"> Esošais noliktavu un darba kabinetu ēkas jumts Liepājas ielā 2b, Ludzā, kur atrodas Valsts</w:t>
            </w:r>
            <w:r w:rsidR="005B2F8E">
              <w:rPr>
                <w:rFonts w:ascii="Times New Roman" w:hAnsi="Times New Roman" w:cs="Times New Roman"/>
                <w:sz w:val="24"/>
                <w:szCs w:val="24"/>
              </w:rPr>
              <w:t xml:space="preserve"> robežsardzes Ludzas pārvalde, </w:t>
            </w:r>
            <w:r w:rsidR="00ED6686" w:rsidRPr="004D2F40">
              <w:rPr>
                <w:rFonts w:ascii="Times New Roman" w:hAnsi="Times New Roman" w:cs="Times New Roman"/>
                <w:sz w:val="24"/>
                <w:szCs w:val="24"/>
              </w:rPr>
              <w:t xml:space="preserve">ir pārklāts ar bituma klājumu, kas gadu gaitā ir izkaltis un saplaisājis. Caur jumta segumu sāka ieplūst ūdens, bojājot kosmētisko apdari. Papildus tam </w:t>
            </w:r>
            <w:proofErr w:type="gramStart"/>
            <w:r w:rsidR="00ED6686" w:rsidRPr="004D2F40">
              <w:rPr>
                <w:rFonts w:ascii="Times New Roman" w:hAnsi="Times New Roman" w:cs="Times New Roman"/>
                <w:sz w:val="24"/>
                <w:szCs w:val="24"/>
              </w:rPr>
              <w:t>2015.gada</w:t>
            </w:r>
            <w:proofErr w:type="gramEnd"/>
            <w:r w:rsidR="00ED6686" w:rsidRPr="004D2F40">
              <w:rPr>
                <w:rFonts w:ascii="Times New Roman" w:hAnsi="Times New Roman" w:cs="Times New Roman"/>
                <w:sz w:val="24"/>
                <w:szCs w:val="24"/>
              </w:rPr>
              <w:t xml:space="preserve"> 29.maijā izcēlās ugunsgrēks, kam par iemeslu bija elektroinstalācijas īssavienojums, jo caur bojāto jumtu ieplūdušais ūdens nokļuva uz rozetes. Jumta remonta darbiem nepieciešams finansējums 31 562 </w:t>
            </w:r>
            <w:proofErr w:type="spellStart"/>
            <w:r w:rsidR="00ED6686" w:rsidRPr="004D2F40">
              <w:rPr>
                <w:rFonts w:ascii="Times New Roman" w:hAnsi="Times New Roman" w:cs="Times New Roman"/>
                <w:i/>
                <w:sz w:val="24"/>
                <w:szCs w:val="24"/>
              </w:rPr>
              <w:t>euro</w:t>
            </w:r>
            <w:proofErr w:type="spellEnd"/>
            <w:r w:rsidR="00ED6686" w:rsidRPr="004D2F40">
              <w:rPr>
                <w:rFonts w:ascii="Times New Roman" w:hAnsi="Times New Roman" w:cs="Times New Roman"/>
                <w:sz w:val="24"/>
                <w:szCs w:val="24"/>
              </w:rPr>
              <w:t xml:space="preserve"> apmērā. </w:t>
            </w:r>
          </w:p>
          <w:p w:rsidR="00ED6686" w:rsidRPr="004D2F40" w:rsidRDefault="00ED6686" w:rsidP="00ED6686">
            <w:pPr>
              <w:spacing w:after="0" w:line="240" w:lineRule="auto"/>
              <w:ind w:firstLine="364"/>
              <w:jc w:val="both"/>
              <w:rPr>
                <w:rFonts w:ascii="Times New Roman" w:hAnsi="Times New Roman" w:cs="Times New Roman"/>
                <w:sz w:val="24"/>
                <w:szCs w:val="24"/>
              </w:rPr>
            </w:pPr>
            <w:r w:rsidRPr="004D2F40">
              <w:rPr>
                <w:rFonts w:ascii="Times New Roman" w:hAnsi="Times New Roman" w:cs="Times New Roman"/>
                <w:sz w:val="24"/>
                <w:szCs w:val="24"/>
              </w:rPr>
              <w:t xml:space="preserve">Liepājas ielā 2b, Ludzā, </w:t>
            </w:r>
            <w:proofErr w:type="gramStart"/>
            <w:r w:rsidRPr="004D2F40">
              <w:rPr>
                <w:rFonts w:ascii="Times New Roman" w:hAnsi="Times New Roman" w:cs="Times New Roman"/>
                <w:sz w:val="24"/>
                <w:szCs w:val="24"/>
              </w:rPr>
              <w:t>2015.gada</w:t>
            </w:r>
            <w:proofErr w:type="gramEnd"/>
            <w:r w:rsidRPr="004D2F40">
              <w:rPr>
                <w:rFonts w:ascii="Times New Roman" w:hAnsi="Times New Roman" w:cs="Times New Roman"/>
                <w:sz w:val="24"/>
                <w:szCs w:val="24"/>
              </w:rPr>
              <w:t xml:space="preserve"> 19.jūnijā, iebruka garāžu jumta pārseguma dzelzsbetona panelis. Steidzami nepieciešams veikt remontdarbus, pretējā gadījumā pieaugs ēkas ekspluatācijas drošības riski, kā arī pati ēka tiks bojāta arvien vairāk, tādējādi palielinot remontdarbu izmaksas bojājumu seku likvidēšanā. Remontdarbu veikšanai nepieciešams finansējums 19 941 </w:t>
            </w:r>
            <w:proofErr w:type="spellStart"/>
            <w:r w:rsidRPr="004D2F40">
              <w:rPr>
                <w:rFonts w:ascii="Times New Roman" w:hAnsi="Times New Roman" w:cs="Times New Roman"/>
                <w:i/>
                <w:sz w:val="24"/>
                <w:szCs w:val="24"/>
              </w:rPr>
              <w:t>euro</w:t>
            </w:r>
            <w:proofErr w:type="spellEnd"/>
            <w:r w:rsidRPr="004D2F40">
              <w:rPr>
                <w:rFonts w:ascii="Times New Roman" w:hAnsi="Times New Roman" w:cs="Times New Roman"/>
                <w:sz w:val="24"/>
                <w:szCs w:val="24"/>
              </w:rPr>
              <w:t xml:space="preserve"> apmērā.</w:t>
            </w:r>
          </w:p>
          <w:p w:rsidR="00ED6686" w:rsidRPr="004D2F40" w:rsidRDefault="005B6BA2" w:rsidP="00ED6686">
            <w:pPr>
              <w:spacing w:after="0" w:line="240" w:lineRule="auto"/>
              <w:ind w:firstLine="506"/>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D6686" w:rsidRPr="004D2F40">
              <w:rPr>
                <w:rFonts w:ascii="Times New Roman" w:hAnsi="Times New Roman" w:cs="Times New Roman"/>
                <w:sz w:val="24"/>
                <w:szCs w:val="24"/>
              </w:rPr>
              <w:t>Norvēģijas finanšu instrumenta 2009.-</w:t>
            </w:r>
            <w:proofErr w:type="gramStart"/>
            <w:r w:rsidR="00ED6686" w:rsidRPr="004D2F40">
              <w:rPr>
                <w:rFonts w:ascii="Times New Roman" w:hAnsi="Times New Roman" w:cs="Times New Roman"/>
                <w:sz w:val="24"/>
                <w:szCs w:val="24"/>
              </w:rPr>
              <w:t>2014.gada</w:t>
            </w:r>
            <w:proofErr w:type="gramEnd"/>
            <w:r w:rsidR="00ED6686" w:rsidRPr="004D2F40">
              <w:rPr>
                <w:rFonts w:ascii="Times New Roman" w:hAnsi="Times New Roman" w:cs="Times New Roman"/>
                <w:sz w:val="24"/>
                <w:szCs w:val="24"/>
              </w:rPr>
              <w:t xml:space="preserve"> programmas LV08 „Latvijas korekcijas dienestu un Valsts policijas īslaicīgās aizturēšanas vietu reforma” ietvaros ir plānots veikt Īslaicīgas aizturēšanas vietu pārbūvi Gaitnieku ielā 2b, Gulbenē un Bērzu ielā 3, Aizkrauklē. Viena no problēmām šajās vietās ir nesakārtotā lietus kanalizācijas sistēma, kuras dēļ ēku pagrabos ieplūst gruntsūdeņi. Lai nodrošinātu kvalitatīvu telpu pārbūvi ir nepieciešams izveidot lietus novadīšanas sistēmu (izmaksas 59 911 </w:t>
            </w:r>
            <w:proofErr w:type="spellStart"/>
            <w:r w:rsidR="00ED6686" w:rsidRPr="004E7960">
              <w:rPr>
                <w:rFonts w:ascii="Times New Roman" w:hAnsi="Times New Roman" w:cs="Times New Roman"/>
                <w:i/>
                <w:sz w:val="24"/>
                <w:szCs w:val="24"/>
              </w:rPr>
              <w:t>euro</w:t>
            </w:r>
            <w:proofErr w:type="spellEnd"/>
            <w:r w:rsidR="00ED6686" w:rsidRPr="004D2F40">
              <w:rPr>
                <w:rFonts w:ascii="Times New Roman" w:hAnsi="Times New Roman" w:cs="Times New Roman"/>
                <w:sz w:val="24"/>
                <w:szCs w:val="24"/>
              </w:rPr>
              <w:t>), kas nodrošinātu gruntsūdeņu novadīšanu pilsētas lietus kanalizācij</w:t>
            </w:r>
            <w:r w:rsidR="000E3747" w:rsidRPr="004D2F40">
              <w:rPr>
                <w:rFonts w:ascii="Times New Roman" w:hAnsi="Times New Roman" w:cs="Times New Roman"/>
                <w:sz w:val="24"/>
                <w:szCs w:val="24"/>
              </w:rPr>
              <w:t>as sistēmā, nevis nokļūšanu ēkā,</w:t>
            </w:r>
            <w:proofErr w:type="gramStart"/>
            <w:r w:rsidR="00ED6686" w:rsidRPr="004D2F40">
              <w:rPr>
                <w:rFonts w:ascii="Times New Roman" w:hAnsi="Times New Roman" w:cs="Times New Roman"/>
                <w:sz w:val="24"/>
                <w:szCs w:val="24"/>
              </w:rPr>
              <w:t xml:space="preserve">  </w:t>
            </w:r>
            <w:proofErr w:type="gramEnd"/>
            <w:r w:rsidR="00ED6686" w:rsidRPr="004D2F40">
              <w:rPr>
                <w:rFonts w:ascii="Times New Roman" w:hAnsi="Times New Roman" w:cs="Times New Roman"/>
                <w:sz w:val="24"/>
                <w:szCs w:val="24"/>
              </w:rPr>
              <w:t>kā rezultātā rodas defekti, kas ietekmē telpu pārbūves kvalitāti un noturību pret bojājumiem ilg</w:t>
            </w:r>
            <w:r w:rsidR="000E3747" w:rsidRPr="004D2F40">
              <w:rPr>
                <w:rFonts w:ascii="Times New Roman" w:hAnsi="Times New Roman" w:cs="Times New Roman"/>
                <w:sz w:val="24"/>
                <w:szCs w:val="24"/>
              </w:rPr>
              <w:t>stošā laika periodā.  F</w:t>
            </w:r>
            <w:r w:rsidR="00ED6686" w:rsidRPr="004D2F40">
              <w:rPr>
                <w:rFonts w:ascii="Times New Roman" w:hAnsi="Times New Roman" w:cs="Times New Roman"/>
                <w:sz w:val="24"/>
                <w:szCs w:val="24"/>
              </w:rPr>
              <w:t>inansējums nepieciešams, lai nodrošinātu, ka Norvēģijas finanšu instrumenta programmas ietvaros veikto pasākumu īstenošana netiek apdraudēta, novēršot risku, ka tikko izremontētā īslaicīgās aizturēšan</w:t>
            </w:r>
            <w:r w:rsidR="000E3747" w:rsidRPr="004D2F40">
              <w:rPr>
                <w:rFonts w:ascii="Times New Roman" w:hAnsi="Times New Roman" w:cs="Times New Roman"/>
                <w:sz w:val="24"/>
                <w:szCs w:val="24"/>
              </w:rPr>
              <w:t xml:space="preserve">as vieta pirmajās lietusgāzēs </w:t>
            </w:r>
            <w:r w:rsidR="00ED6686" w:rsidRPr="004D2F40">
              <w:rPr>
                <w:rFonts w:ascii="Times New Roman" w:hAnsi="Times New Roman" w:cs="Times New Roman"/>
                <w:sz w:val="24"/>
                <w:szCs w:val="24"/>
              </w:rPr>
              <w:t xml:space="preserve">tiek appludināta. </w:t>
            </w:r>
          </w:p>
          <w:p w:rsidR="003C39A4" w:rsidRPr="004D2F40" w:rsidRDefault="005B6BA2" w:rsidP="00061364">
            <w:pPr>
              <w:spacing w:after="0" w:line="240" w:lineRule="auto"/>
              <w:ind w:firstLine="506"/>
              <w:jc w:val="both"/>
              <w:rPr>
                <w:rFonts w:ascii="Times New Roman" w:hAnsi="Times New Roman" w:cs="Times New Roman"/>
                <w:sz w:val="24"/>
                <w:szCs w:val="24"/>
              </w:rPr>
            </w:pPr>
            <w:r>
              <w:rPr>
                <w:rFonts w:ascii="Times New Roman" w:hAnsi="Times New Roman" w:cs="Times New Roman"/>
                <w:sz w:val="24"/>
                <w:szCs w:val="24"/>
              </w:rPr>
              <w:t>4)</w:t>
            </w:r>
            <w:r w:rsidR="00061364" w:rsidRPr="004D2F40">
              <w:rPr>
                <w:rFonts w:ascii="Times New Roman" w:hAnsi="Times New Roman" w:cs="Times New Roman"/>
                <w:sz w:val="24"/>
                <w:szCs w:val="24"/>
              </w:rPr>
              <w:t xml:space="preserve"> </w:t>
            </w:r>
            <w:r w:rsidR="003C39A4" w:rsidRPr="004D2F40">
              <w:rPr>
                <w:rFonts w:ascii="Times New Roman" w:hAnsi="Times New Roman" w:cs="Times New Roman"/>
                <w:sz w:val="24"/>
                <w:szCs w:val="24"/>
              </w:rPr>
              <w:t xml:space="preserve">Ministru kabinets </w:t>
            </w:r>
            <w:proofErr w:type="gramStart"/>
            <w:r w:rsidR="003C39A4" w:rsidRPr="004D2F40">
              <w:rPr>
                <w:rFonts w:ascii="Times New Roman" w:hAnsi="Times New Roman" w:cs="Times New Roman"/>
                <w:sz w:val="24"/>
                <w:szCs w:val="24"/>
              </w:rPr>
              <w:t>2014.gada</w:t>
            </w:r>
            <w:proofErr w:type="gramEnd"/>
            <w:r w:rsidR="003C39A4" w:rsidRPr="004D2F40">
              <w:rPr>
                <w:rFonts w:ascii="Times New Roman" w:hAnsi="Times New Roman" w:cs="Times New Roman"/>
                <w:sz w:val="24"/>
                <w:szCs w:val="24"/>
              </w:rPr>
              <w:t xml:space="preserve"> 9.decembrī </w:t>
            </w:r>
            <w:r w:rsidR="00061364" w:rsidRPr="004D2F40">
              <w:rPr>
                <w:rFonts w:ascii="Times New Roman" w:hAnsi="Times New Roman" w:cs="Times New Roman"/>
                <w:sz w:val="24"/>
                <w:szCs w:val="24"/>
              </w:rPr>
              <w:t xml:space="preserve">(prot Nr.69, 39.§) </w:t>
            </w:r>
            <w:r w:rsidR="003C39A4" w:rsidRPr="004D2F40">
              <w:rPr>
                <w:rFonts w:ascii="Times New Roman" w:hAnsi="Times New Roman" w:cs="Times New Roman"/>
                <w:sz w:val="24"/>
                <w:szCs w:val="24"/>
              </w:rPr>
              <w:t>atbalstīja nekustamā īpašuma Jelgavas ielā 65, Kuldīga, Kuldīgas novadā (nekustamā īpašuma kadastra Nr.6201 026 0025), labprātīgu atsavināšanu sabiedrības vajadzībām, tādējādi nodrošinot Valsts policijas Kurzemes reģiona pārval</w:t>
            </w:r>
            <w:r w:rsidR="00061364" w:rsidRPr="004D2F40">
              <w:rPr>
                <w:rFonts w:ascii="Times New Roman" w:hAnsi="Times New Roman" w:cs="Times New Roman"/>
                <w:sz w:val="24"/>
                <w:szCs w:val="24"/>
              </w:rPr>
              <w:t>des Kuldīgas iecirkni</w:t>
            </w:r>
            <w:r w:rsidR="003C39A4" w:rsidRPr="004D2F40">
              <w:rPr>
                <w:rFonts w:ascii="Times New Roman" w:hAnsi="Times New Roman" w:cs="Times New Roman"/>
                <w:sz w:val="24"/>
                <w:szCs w:val="24"/>
              </w:rPr>
              <w:t xml:space="preserve"> ar darbam piemērotām telpām</w:t>
            </w:r>
            <w:r w:rsidR="00061364" w:rsidRPr="004D2F40">
              <w:rPr>
                <w:rFonts w:ascii="Times New Roman" w:hAnsi="Times New Roman" w:cs="Times New Roman"/>
                <w:sz w:val="24"/>
                <w:szCs w:val="24"/>
              </w:rPr>
              <w:t>.</w:t>
            </w:r>
            <w:r w:rsidR="003C39A4" w:rsidRPr="004D2F40">
              <w:rPr>
                <w:rFonts w:ascii="Times New Roman" w:hAnsi="Times New Roman" w:cs="Times New Roman"/>
                <w:sz w:val="24"/>
                <w:szCs w:val="24"/>
              </w:rPr>
              <w:t xml:space="preserve"> Pirms </w:t>
            </w:r>
            <w:r w:rsidR="00061364" w:rsidRPr="004D2F40">
              <w:rPr>
                <w:rFonts w:ascii="Times New Roman" w:hAnsi="Times New Roman" w:cs="Times New Roman"/>
                <w:sz w:val="24"/>
                <w:szCs w:val="24"/>
              </w:rPr>
              <w:t>V</w:t>
            </w:r>
            <w:r w:rsidR="003C39A4" w:rsidRPr="004D2F40">
              <w:rPr>
                <w:rFonts w:ascii="Times New Roman" w:hAnsi="Times New Roman" w:cs="Times New Roman"/>
                <w:sz w:val="24"/>
                <w:szCs w:val="24"/>
              </w:rPr>
              <w:t xml:space="preserve">alsts policijas Kurzemes reģiona pārvaldes Kuldīgas iecirkņa pārcelšanas, nepieciešams nodrošināt rekonstrukcijas un renovācijas darbus, atbilstoši drošības un darba prasībām. </w:t>
            </w:r>
            <w:r w:rsidR="00B0122C">
              <w:rPr>
                <w:rFonts w:ascii="Times New Roman" w:hAnsi="Times New Roman" w:cs="Times New Roman"/>
                <w:sz w:val="24"/>
                <w:szCs w:val="24"/>
              </w:rPr>
              <w:t xml:space="preserve">Saskaņā ar Ministru kabinetā </w:t>
            </w:r>
            <w:proofErr w:type="gramStart"/>
            <w:r w:rsidR="00B0122C" w:rsidRPr="004D2F40">
              <w:rPr>
                <w:rFonts w:ascii="Times New Roman" w:hAnsi="Times New Roman" w:cs="Times New Roman"/>
                <w:sz w:val="24"/>
                <w:szCs w:val="24"/>
              </w:rPr>
              <w:t>2014.gada</w:t>
            </w:r>
            <w:proofErr w:type="gramEnd"/>
            <w:r w:rsidR="00B0122C" w:rsidRPr="004D2F40">
              <w:rPr>
                <w:rFonts w:ascii="Times New Roman" w:hAnsi="Times New Roman" w:cs="Times New Roman"/>
                <w:sz w:val="24"/>
                <w:szCs w:val="24"/>
              </w:rPr>
              <w:t xml:space="preserve"> 9.decembrī </w:t>
            </w:r>
            <w:r w:rsidR="00B0122C">
              <w:rPr>
                <w:rFonts w:ascii="Times New Roman" w:hAnsi="Times New Roman" w:cs="Times New Roman"/>
                <w:sz w:val="24"/>
                <w:szCs w:val="24"/>
              </w:rPr>
              <w:t xml:space="preserve">nolemto (prot. Nr.69 39.§ 5.p) Iekšlietu ministrijai nekustamā īpašuma </w:t>
            </w:r>
            <w:r w:rsidR="00B0122C" w:rsidRPr="004D2F40">
              <w:rPr>
                <w:rFonts w:ascii="Times New Roman" w:hAnsi="Times New Roman" w:cs="Times New Roman"/>
                <w:sz w:val="24"/>
                <w:szCs w:val="24"/>
              </w:rPr>
              <w:t xml:space="preserve"> </w:t>
            </w:r>
            <w:r w:rsidR="00B0122C">
              <w:rPr>
                <w:rFonts w:ascii="Times New Roman" w:hAnsi="Times New Roman" w:cs="Times New Roman"/>
                <w:sz w:val="24"/>
                <w:szCs w:val="24"/>
              </w:rPr>
              <w:t>(</w:t>
            </w:r>
            <w:r w:rsidR="00B0122C" w:rsidRPr="004D2F40">
              <w:rPr>
                <w:rFonts w:ascii="Times New Roman" w:hAnsi="Times New Roman" w:cs="Times New Roman"/>
                <w:sz w:val="24"/>
                <w:szCs w:val="24"/>
              </w:rPr>
              <w:t>kadastra Nr.6201 026 0025)</w:t>
            </w:r>
            <w:r w:rsidR="00B0122C">
              <w:rPr>
                <w:rFonts w:ascii="Times New Roman" w:hAnsi="Times New Roman" w:cs="Times New Roman"/>
                <w:sz w:val="24"/>
                <w:szCs w:val="24"/>
              </w:rPr>
              <w:t xml:space="preserve"> remontdarbu izmaksas ne vairāk kā 373 000 </w:t>
            </w:r>
            <w:proofErr w:type="spellStart"/>
            <w:r w:rsidR="00B0122C" w:rsidRPr="00B0122C">
              <w:rPr>
                <w:rFonts w:ascii="Times New Roman" w:hAnsi="Times New Roman" w:cs="Times New Roman"/>
                <w:i/>
                <w:sz w:val="24"/>
                <w:szCs w:val="24"/>
              </w:rPr>
              <w:t>euro</w:t>
            </w:r>
            <w:proofErr w:type="spellEnd"/>
            <w:r w:rsidR="00B0122C">
              <w:rPr>
                <w:rFonts w:ascii="Times New Roman" w:hAnsi="Times New Roman" w:cs="Times New Roman"/>
                <w:sz w:val="24"/>
                <w:szCs w:val="24"/>
              </w:rPr>
              <w:t xml:space="preserve"> apmērā 2015.gadā segt piešķirto valsts budžeta līdzekļu ietvaros. Ņemot vērā faktisko situāciju, </w:t>
            </w:r>
            <w:r w:rsidR="003C39A4" w:rsidRPr="004D2F40">
              <w:rPr>
                <w:rFonts w:ascii="Times New Roman" w:hAnsi="Times New Roman" w:cs="Times New Roman"/>
                <w:sz w:val="24"/>
                <w:szCs w:val="24"/>
              </w:rPr>
              <w:t xml:space="preserve">2015.gadā nepieciešami finanšu līdzekļi 95 000 </w:t>
            </w:r>
            <w:proofErr w:type="spellStart"/>
            <w:r w:rsidR="003C39A4" w:rsidRPr="004D2F40">
              <w:rPr>
                <w:rFonts w:ascii="Times New Roman" w:hAnsi="Times New Roman" w:cs="Times New Roman"/>
                <w:i/>
                <w:sz w:val="24"/>
                <w:szCs w:val="24"/>
              </w:rPr>
              <w:t>euro</w:t>
            </w:r>
            <w:proofErr w:type="spellEnd"/>
            <w:r w:rsidR="003C39A4" w:rsidRPr="004D2F40">
              <w:rPr>
                <w:rFonts w:ascii="Times New Roman" w:hAnsi="Times New Roman" w:cs="Times New Roman"/>
                <w:sz w:val="24"/>
                <w:szCs w:val="24"/>
              </w:rPr>
              <w:t xml:space="preserve"> apmērā. </w:t>
            </w:r>
          </w:p>
          <w:p w:rsidR="00061364" w:rsidRPr="004D2F40" w:rsidRDefault="005B6BA2" w:rsidP="00061364">
            <w:pPr>
              <w:spacing w:after="0" w:line="240" w:lineRule="auto"/>
              <w:ind w:firstLine="506"/>
              <w:jc w:val="both"/>
              <w:rPr>
                <w:rFonts w:ascii="Times New Roman" w:hAnsi="Times New Roman" w:cs="Times New Roman"/>
                <w:sz w:val="24"/>
                <w:szCs w:val="24"/>
              </w:rPr>
            </w:pPr>
            <w:r>
              <w:rPr>
                <w:rFonts w:ascii="Times New Roman" w:hAnsi="Times New Roman" w:cs="Times New Roman"/>
                <w:sz w:val="24"/>
                <w:szCs w:val="24"/>
              </w:rPr>
              <w:t>5)</w:t>
            </w:r>
            <w:r w:rsidR="00061364" w:rsidRPr="004D2F40">
              <w:rPr>
                <w:rFonts w:ascii="Times New Roman" w:hAnsi="Times New Roman" w:cs="Times New Roman"/>
                <w:sz w:val="24"/>
                <w:szCs w:val="24"/>
              </w:rPr>
              <w:t xml:space="preserve"> Lielākai daļai nekustamo īpašumu apkures katli ir ļoti nolietoti un rada avārijas draudus ne tikai apkures sezonas laikā, bet arī ēkas drošībai kopumā. To efektivitāte ir ļoti maza (lieli apkures izdevumi). Lai samazināto remontu izdevumus, </w:t>
            </w:r>
            <w:r w:rsidR="004E7960">
              <w:rPr>
                <w:rFonts w:ascii="Times New Roman" w:hAnsi="Times New Roman" w:cs="Times New Roman"/>
                <w:sz w:val="24"/>
                <w:szCs w:val="24"/>
              </w:rPr>
              <w:t>mazinātu kaitīgo ietekmi uz</w:t>
            </w:r>
            <w:r w:rsidR="00061364" w:rsidRPr="004D2F40">
              <w:rPr>
                <w:rFonts w:ascii="Times New Roman" w:hAnsi="Times New Roman" w:cs="Times New Roman"/>
                <w:sz w:val="24"/>
                <w:szCs w:val="24"/>
              </w:rPr>
              <w:t xml:space="preserve"> apkārtējo vidi un taupītu valsts budžeta līdzekļus, </w:t>
            </w:r>
            <w:proofErr w:type="spellStart"/>
            <w:r w:rsidR="00A230B5" w:rsidRPr="004D2F40">
              <w:rPr>
                <w:rFonts w:ascii="Times New Roman" w:hAnsi="Times New Roman" w:cs="Times New Roman"/>
                <w:sz w:val="24"/>
                <w:szCs w:val="24"/>
              </w:rPr>
              <w:t>Kr.Valdemāra</w:t>
            </w:r>
            <w:proofErr w:type="spellEnd"/>
            <w:r w:rsidR="00A230B5" w:rsidRPr="004D2F40">
              <w:rPr>
                <w:rFonts w:ascii="Times New Roman" w:hAnsi="Times New Roman" w:cs="Times New Roman"/>
                <w:sz w:val="24"/>
                <w:szCs w:val="24"/>
              </w:rPr>
              <w:t xml:space="preserve"> ielā 94, Talsos, </w:t>
            </w:r>
            <w:proofErr w:type="spellStart"/>
            <w:r w:rsidR="00A230B5" w:rsidRPr="004D2F40">
              <w:rPr>
                <w:rFonts w:ascii="Times New Roman" w:hAnsi="Times New Roman" w:cs="Times New Roman"/>
                <w:sz w:val="24"/>
                <w:szCs w:val="24"/>
              </w:rPr>
              <w:t>Saltupes</w:t>
            </w:r>
            <w:proofErr w:type="spellEnd"/>
            <w:r w:rsidR="00A230B5" w:rsidRPr="004D2F40">
              <w:rPr>
                <w:rFonts w:ascii="Times New Roman" w:hAnsi="Times New Roman" w:cs="Times New Roman"/>
                <w:sz w:val="24"/>
                <w:szCs w:val="24"/>
              </w:rPr>
              <w:t xml:space="preserve"> ielā 7, </w:t>
            </w:r>
            <w:proofErr w:type="spellStart"/>
            <w:r w:rsidR="00A230B5" w:rsidRPr="004D2F40">
              <w:rPr>
                <w:rFonts w:ascii="Times New Roman" w:hAnsi="Times New Roman" w:cs="Times New Roman"/>
                <w:sz w:val="24"/>
                <w:szCs w:val="24"/>
              </w:rPr>
              <w:t>Anīkstē</w:t>
            </w:r>
            <w:proofErr w:type="spellEnd"/>
            <w:r w:rsidR="00A230B5" w:rsidRPr="004D2F40">
              <w:rPr>
                <w:rFonts w:ascii="Times New Roman" w:hAnsi="Times New Roman" w:cs="Times New Roman"/>
                <w:sz w:val="24"/>
                <w:szCs w:val="24"/>
              </w:rPr>
              <w:t xml:space="preserve">, Lielā ielā 45, Daugavpilī un Noliktavas ielā 1, Limbažos </w:t>
            </w:r>
            <w:r w:rsidR="00061364" w:rsidRPr="004D2F40">
              <w:rPr>
                <w:rFonts w:ascii="Times New Roman" w:hAnsi="Times New Roman" w:cs="Times New Roman"/>
                <w:sz w:val="24"/>
                <w:szCs w:val="24"/>
              </w:rPr>
              <w:t>jāveic a</w:t>
            </w:r>
            <w:r w:rsidR="00A230B5" w:rsidRPr="004D2F40">
              <w:rPr>
                <w:rFonts w:ascii="Times New Roman" w:hAnsi="Times New Roman" w:cs="Times New Roman"/>
                <w:sz w:val="24"/>
                <w:szCs w:val="24"/>
              </w:rPr>
              <w:t xml:space="preserve">pkures katlu nomaiņa.  </w:t>
            </w:r>
            <w:proofErr w:type="gramStart"/>
            <w:r w:rsidR="00061364" w:rsidRPr="004D2F40">
              <w:rPr>
                <w:rFonts w:ascii="Times New Roman" w:hAnsi="Times New Roman" w:cs="Times New Roman"/>
                <w:sz w:val="24"/>
                <w:szCs w:val="24"/>
              </w:rPr>
              <w:t>2015.gadā</w:t>
            </w:r>
            <w:proofErr w:type="gramEnd"/>
            <w:r w:rsidR="00061364" w:rsidRPr="004D2F40">
              <w:rPr>
                <w:rFonts w:ascii="Times New Roman" w:hAnsi="Times New Roman" w:cs="Times New Roman"/>
                <w:sz w:val="24"/>
                <w:szCs w:val="24"/>
              </w:rPr>
              <w:t xml:space="preserve"> nepieciešams finansējums apkures katlu nomaiņai un apkures sistēmu rekonstrukcijai</w:t>
            </w:r>
            <w:r w:rsidR="00A230B5" w:rsidRPr="004D2F40">
              <w:rPr>
                <w:rFonts w:ascii="Times New Roman" w:hAnsi="Times New Roman" w:cs="Times New Roman"/>
                <w:sz w:val="24"/>
                <w:szCs w:val="24"/>
              </w:rPr>
              <w:t xml:space="preserve"> 59</w:t>
            </w:r>
            <w:r w:rsidR="00061364" w:rsidRPr="004D2F40">
              <w:rPr>
                <w:rFonts w:ascii="Times New Roman" w:hAnsi="Times New Roman" w:cs="Times New Roman"/>
                <w:sz w:val="24"/>
                <w:szCs w:val="24"/>
              </w:rPr>
              <w:t xml:space="preserve"> 163 </w:t>
            </w:r>
            <w:proofErr w:type="spellStart"/>
            <w:r w:rsidR="00061364" w:rsidRPr="004D2F40">
              <w:rPr>
                <w:rFonts w:ascii="Times New Roman" w:hAnsi="Times New Roman" w:cs="Times New Roman"/>
                <w:i/>
                <w:sz w:val="24"/>
                <w:szCs w:val="24"/>
              </w:rPr>
              <w:t>euro</w:t>
            </w:r>
            <w:proofErr w:type="spellEnd"/>
            <w:r w:rsidR="00061364" w:rsidRPr="004D2F40">
              <w:rPr>
                <w:rFonts w:ascii="Times New Roman" w:hAnsi="Times New Roman" w:cs="Times New Roman"/>
                <w:sz w:val="24"/>
                <w:szCs w:val="24"/>
              </w:rPr>
              <w:t xml:space="preserve"> apmērā.</w:t>
            </w:r>
          </w:p>
          <w:p w:rsidR="004D73A8" w:rsidRPr="004D2F40" w:rsidRDefault="005B6BA2" w:rsidP="004D73A8">
            <w:pPr>
              <w:spacing w:after="0" w:line="240" w:lineRule="auto"/>
              <w:ind w:firstLine="506"/>
              <w:jc w:val="both"/>
              <w:rPr>
                <w:rFonts w:ascii="Times New Roman" w:hAnsi="Times New Roman" w:cs="Times New Roman"/>
                <w:sz w:val="24"/>
                <w:szCs w:val="24"/>
              </w:rPr>
            </w:pPr>
            <w:r>
              <w:rPr>
                <w:rFonts w:ascii="Times New Roman" w:hAnsi="Times New Roman" w:cs="Times New Roman"/>
                <w:sz w:val="24"/>
                <w:szCs w:val="24"/>
              </w:rPr>
              <w:t>6)</w:t>
            </w:r>
            <w:r w:rsidR="004D73A8" w:rsidRPr="004D2F40">
              <w:rPr>
                <w:rFonts w:ascii="Times New Roman" w:hAnsi="Times New Roman" w:cs="Times New Roman"/>
                <w:sz w:val="24"/>
                <w:szCs w:val="24"/>
              </w:rPr>
              <w:t xml:space="preserve"> Valsts ugunsdzēsības un glābšanas dienesta Bauskas depo Skolas ielā 17, Bauskā, nepieciešams veikt ceļa seguma remontu. Esošais asfalta segums ir paredzēts ugunsdzēsēju mašīnām, kuru svars ir ap 5 tonnām, savukārt modernizētajām maš</w:t>
            </w:r>
            <w:r w:rsidR="00CC6ACA">
              <w:rPr>
                <w:rFonts w:ascii="Times New Roman" w:hAnsi="Times New Roman" w:cs="Times New Roman"/>
                <w:sz w:val="24"/>
                <w:szCs w:val="24"/>
              </w:rPr>
              <w:t xml:space="preserve">īnām svars sasniedz 20 tonnas. </w:t>
            </w:r>
            <w:r w:rsidR="004D73A8" w:rsidRPr="004D2F40">
              <w:rPr>
                <w:rFonts w:ascii="Times New Roman" w:hAnsi="Times New Roman" w:cs="Times New Roman"/>
                <w:sz w:val="24"/>
                <w:szCs w:val="24"/>
              </w:rPr>
              <w:t xml:space="preserve">Tādējādi pašreizējais ceļa segums </w:t>
            </w:r>
            <w:r w:rsidR="008964CB" w:rsidRPr="004D2F40">
              <w:rPr>
                <w:rFonts w:ascii="Times New Roman" w:hAnsi="Times New Roman" w:cs="Times New Roman"/>
                <w:sz w:val="24"/>
                <w:szCs w:val="24"/>
              </w:rPr>
              <w:t>strauji nolietojas</w:t>
            </w:r>
            <w:r w:rsidR="004D73A8" w:rsidRPr="004D2F40">
              <w:rPr>
                <w:rFonts w:ascii="Times New Roman" w:hAnsi="Times New Roman" w:cs="Times New Roman"/>
                <w:sz w:val="24"/>
                <w:szCs w:val="24"/>
              </w:rPr>
              <w:t xml:space="preserve"> un deformē</w:t>
            </w:r>
            <w:r w:rsidR="008964CB" w:rsidRPr="004D2F40">
              <w:rPr>
                <w:rFonts w:ascii="Times New Roman" w:hAnsi="Times New Roman" w:cs="Times New Roman"/>
                <w:sz w:val="24"/>
                <w:szCs w:val="24"/>
              </w:rPr>
              <w:t>ja</w:t>
            </w:r>
            <w:r w:rsidR="004D73A8" w:rsidRPr="004D2F40">
              <w:rPr>
                <w:rFonts w:ascii="Times New Roman" w:hAnsi="Times New Roman" w:cs="Times New Roman"/>
                <w:sz w:val="24"/>
                <w:szCs w:val="24"/>
              </w:rPr>
              <w:t>s, kā rezultātā</w:t>
            </w:r>
            <w:r w:rsidR="008964CB" w:rsidRPr="004D2F40">
              <w:rPr>
                <w:rFonts w:ascii="Times New Roman" w:hAnsi="Times New Roman" w:cs="Times New Roman"/>
                <w:sz w:val="24"/>
                <w:szCs w:val="24"/>
              </w:rPr>
              <w:t xml:space="preserve"> ir </w:t>
            </w:r>
            <w:r w:rsidR="004D73A8" w:rsidRPr="004D2F40">
              <w:rPr>
                <w:rFonts w:ascii="Times New Roman" w:hAnsi="Times New Roman" w:cs="Times New Roman"/>
                <w:sz w:val="24"/>
                <w:szCs w:val="24"/>
              </w:rPr>
              <w:t xml:space="preserve">radušās lielas bedres, bojājot kanalizācijas un notekūdeņu sistēmas. Jauna un atbilstoša seguma ierīkošanai nepieciešami līdzekļi 7 860 </w:t>
            </w:r>
            <w:proofErr w:type="spellStart"/>
            <w:r w:rsidR="004D73A8" w:rsidRPr="004D2F40">
              <w:rPr>
                <w:rFonts w:ascii="Times New Roman" w:hAnsi="Times New Roman" w:cs="Times New Roman"/>
                <w:i/>
                <w:sz w:val="24"/>
                <w:szCs w:val="24"/>
              </w:rPr>
              <w:t>euro</w:t>
            </w:r>
            <w:proofErr w:type="spellEnd"/>
            <w:r w:rsidR="004D73A8" w:rsidRPr="004D2F40">
              <w:rPr>
                <w:rFonts w:ascii="Times New Roman" w:hAnsi="Times New Roman" w:cs="Times New Roman"/>
                <w:sz w:val="24"/>
                <w:szCs w:val="24"/>
              </w:rPr>
              <w:t xml:space="preserve"> apmērā.</w:t>
            </w:r>
          </w:p>
          <w:p w:rsidR="008964CB" w:rsidRPr="004D2F40" w:rsidRDefault="005B6BA2" w:rsidP="008964CB">
            <w:pPr>
              <w:spacing w:after="0" w:line="240" w:lineRule="auto"/>
              <w:ind w:firstLine="506"/>
              <w:jc w:val="both"/>
              <w:rPr>
                <w:rFonts w:ascii="Times New Roman" w:hAnsi="Times New Roman" w:cs="Times New Roman"/>
                <w:sz w:val="24"/>
                <w:szCs w:val="24"/>
              </w:rPr>
            </w:pPr>
            <w:r>
              <w:rPr>
                <w:rFonts w:ascii="Times New Roman" w:hAnsi="Times New Roman" w:cs="Times New Roman"/>
                <w:sz w:val="24"/>
                <w:szCs w:val="24"/>
              </w:rPr>
              <w:t>7)</w:t>
            </w:r>
            <w:r w:rsidR="008964CB" w:rsidRPr="004D2F40">
              <w:rPr>
                <w:rFonts w:ascii="Times New Roman" w:hAnsi="Times New Roman" w:cs="Times New Roman"/>
                <w:sz w:val="24"/>
                <w:szCs w:val="24"/>
              </w:rPr>
              <w:t xml:space="preserve"> Ezermalas ielā 8A, Rīgā aukstā ūdens sistēma ir nolietojusies, ūdensvadi ir izrūsējuši un arvien biežāk caurules tiek pārrautas, kā rezultātā remontu nepieciešamība katru gadu pieaug. Pašlaik ūdensvadu sistēma ir praktiski nelietojama un tās remontam nepieciešami līdzekļi 7 281 </w:t>
            </w:r>
            <w:proofErr w:type="spellStart"/>
            <w:r w:rsidR="008964CB" w:rsidRPr="004D2F40">
              <w:rPr>
                <w:rFonts w:ascii="Times New Roman" w:hAnsi="Times New Roman" w:cs="Times New Roman"/>
                <w:i/>
                <w:sz w:val="24"/>
                <w:szCs w:val="24"/>
              </w:rPr>
              <w:t>euro</w:t>
            </w:r>
            <w:proofErr w:type="spellEnd"/>
            <w:r w:rsidR="008964CB" w:rsidRPr="004D2F40">
              <w:rPr>
                <w:rFonts w:ascii="Times New Roman" w:hAnsi="Times New Roman" w:cs="Times New Roman"/>
                <w:sz w:val="24"/>
                <w:szCs w:val="24"/>
              </w:rPr>
              <w:t xml:space="preserve"> apmērā. </w:t>
            </w:r>
          </w:p>
          <w:p w:rsidR="008964CB" w:rsidRPr="004D2F40" w:rsidRDefault="005B6BA2" w:rsidP="008964CB">
            <w:pPr>
              <w:spacing w:after="0" w:line="240" w:lineRule="auto"/>
              <w:ind w:firstLine="506"/>
              <w:jc w:val="both"/>
              <w:rPr>
                <w:rFonts w:ascii="Times New Roman" w:hAnsi="Times New Roman" w:cs="Times New Roman"/>
                <w:sz w:val="24"/>
                <w:szCs w:val="24"/>
              </w:rPr>
            </w:pPr>
            <w:r>
              <w:rPr>
                <w:rFonts w:ascii="Times New Roman" w:hAnsi="Times New Roman" w:cs="Times New Roman"/>
                <w:sz w:val="24"/>
                <w:szCs w:val="24"/>
              </w:rPr>
              <w:t>8)</w:t>
            </w:r>
            <w:r w:rsidR="008964CB" w:rsidRPr="004D2F40">
              <w:rPr>
                <w:rFonts w:ascii="Times New Roman" w:hAnsi="Times New Roman" w:cs="Times New Roman"/>
                <w:sz w:val="24"/>
                <w:szCs w:val="24"/>
              </w:rPr>
              <w:t xml:space="preserve"> Lielākās problēmas ēku uzturēšanai bieži sagādā slikts vai bojāts jumta segums.  Lietus ūdens iesūcas apdares materiālos, nokļūst uz elektroinstalācijas sistēmām un rada lielus riskus gan ēkas, gan cilvēku drošībai. Steidzami nepieciešama bojāta jumta seguma renovācija Jelgavas ielā 58, Kuldīgā (8 966 </w:t>
            </w:r>
            <w:proofErr w:type="spellStart"/>
            <w:r w:rsidR="008964CB" w:rsidRPr="004D2F40">
              <w:rPr>
                <w:rFonts w:ascii="Times New Roman" w:hAnsi="Times New Roman" w:cs="Times New Roman"/>
                <w:i/>
                <w:sz w:val="24"/>
                <w:szCs w:val="24"/>
              </w:rPr>
              <w:t>euro</w:t>
            </w:r>
            <w:proofErr w:type="spellEnd"/>
            <w:r w:rsidR="008964CB" w:rsidRPr="004D2F40">
              <w:rPr>
                <w:rFonts w:ascii="Times New Roman" w:hAnsi="Times New Roman" w:cs="Times New Roman"/>
                <w:sz w:val="24"/>
                <w:szCs w:val="24"/>
              </w:rPr>
              <w:t xml:space="preserve">) un Indras </w:t>
            </w:r>
            <w:proofErr w:type="spellStart"/>
            <w:r w:rsidR="008964CB" w:rsidRPr="004D2F40">
              <w:rPr>
                <w:rFonts w:ascii="Times New Roman" w:hAnsi="Times New Roman" w:cs="Times New Roman"/>
                <w:sz w:val="24"/>
                <w:szCs w:val="24"/>
              </w:rPr>
              <w:t>DzRKP</w:t>
            </w:r>
            <w:proofErr w:type="spellEnd"/>
            <w:r w:rsidR="008964CB" w:rsidRPr="004D2F40">
              <w:rPr>
                <w:rFonts w:ascii="Times New Roman" w:hAnsi="Times New Roman" w:cs="Times New Roman"/>
                <w:sz w:val="24"/>
                <w:szCs w:val="24"/>
              </w:rPr>
              <w:t xml:space="preserve"> „Robežkontrole”, Indras pagastā (14 500 </w:t>
            </w:r>
            <w:proofErr w:type="spellStart"/>
            <w:r w:rsidR="008964CB" w:rsidRPr="004D2F40">
              <w:rPr>
                <w:rFonts w:ascii="Times New Roman" w:hAnsi="Times New Roman" w:cs="Times New Roman"/>
                <w:i/>
                <w:sz w:val="24"/>
                <w:szCs w:val="24"/>
              </w:rPr>
              <w:t>euro</w:t>
            </w:r>
            <w:proofErr w:type="spellEnd"/>
            <w:r w:rsidR="008964CB" w:rsidRPr="004D2F40">
              <w:rPr>
                <w:rFonts w:ascii="Times New Roman" w:hAnsi="Times New Roman" w:cs="Times New Roman"/>
                <w:sz w:val="24"/>
                <w:szCs w:val="24"/>
              </w:rPr>
              <w:t>).</w:t>
            </w:r>
          </w:p>
          <w:p w:rsidR="001536C4" w:rsidRPr="004D2F40" w:rsidRDefault="005B6BA2" w:rsidP="001536C4">
            <w:pPr>
              <w:spacing w:after="0" w:line="240" w:lineRule="auto"/>
              <w:ind w:firstLine="506"/>
              <w:jc w:val="both"/>
              <w:rPr>
                <w:rFonts w:ascii="Times New Roman" w:hAnsi="Times New Roman" w:cs="Times New Roman"/>
                <w:sz w:val="24"/>
                <w:szCs w:val="24"/>
              </w:rPr>
            </w:pPr>
            <w:r>
              <w:rPr>
                <w:rFonts w:ascii="Times New Roman" w:hAnsi="Times New Roman" w:cs="Times New Roman"/>
                <w:sz w:val="24"/>
                <w:szCs w:val="24"/>
              </w:rPr>
              <w:t>9)</w:t>
            </w:r>
            <w:r w:rsidR="001536C4" w:rsidRPr="004D2F40">
              <w:rPr>
                <w:rFonts w:ascii="Times New Roman" w:hAnsi="Times New Roman" w:cs="Times New Roman"/>
                <w:sz w:val="24"/>
                <w:szCs w:val="24"/>
              </w:rPr>
              <w:t xml:space="preserve"> Ēku tehniskais stāvoklis bieži ir atkarīgs arī no logu kvalitātes. Logu nomaiņa tiek veikta pakāpeniski, tomēr vēl ir daudz ēku, kurās logu stāvoklis ir kritisks, tie ir izpuvuši, krīt ārā, traucējot ikdienas darbu. Nomainot logus, tiks uzlabot</w:t>
            </w:r>
            <w:r w:rsidR="00FE68F8" w:rsidRPr="004D2F40">
              <w:rPr>
                <w:rFonts w:ascii="Times New Roman" w:hAnsi="Times New Roman" w:cs="Times New Roman"/>
                <w:sz w:val="24"/>
                <w:szCs w:val="24"/>
              </w:rPr>
              <w:t xml:space="preserve">a </w:t>
            </w:r>
            <w:r w:rsidR="001536C4" w:rsidRPr="004D2F40">
              <w:rPr>
                <w:rFonts w:ascii="Times New Roman" w:hAnsi="Times New Roman" w:cs="Times New Roman"/>
                <w:sz w:val="24"/>
                <w:szCs w:val="24"/>
              </w:rPr>
              <w:t xml:space="preserve">energoefektivitāte un ietaupīti ēku uzturēšanas līdzekļi.  </w:t>
            </w:r>
            <w:proofErr w:type="gramStart"/>
            <w:r w:rsidR="00FE68F8" w:rsidRPr="004D2F40">
              <w:rPr>
                <w:rFonts w:ascii="Times New Roman" w:hAnsi="Times New Roman" w:cs="Times New Roman"/>
                <w:sz w:val="24"/>
                <w:szCs w:val="24"/>
              </w:rPr>
              <w:t>2015.gadā</w:t>
            </w:r>
            <w:proofErr w:type="gramEnd"/>
            <w:r w:rsidR="00FE68F8" w:rsidRPr="004D2F40">
              <w:rPr>
                <w:rFonts w:ascii="Times New Roman" w:hAnsi="Times New Roman" w:cs="Times New Roman"/>
                <w:sz w:val="24"/>
                <w:szCs w:val="24"/>
              </w:rPr>
              <w:t xml:space="preserve"> </w:t>
            </w:r>
            <w:r w:rsidR="001536C4" w:rsidRPr="004D2F40">
              <w:rPr>
                <w:rFonts w:ascii="Times New Roman" w:hAnsi="Times New Roman" w:cs="Times New Roman"/>
                <w:sz w:val="24"/>
                <w:szCs w:val="24"/>
              </w:rPr>
              <w:t xml:space="preserve">nepieciešams nomainīt logus ēkās Jelgavas ielā 41, Liepājā, Skolas ielā 24, Alsungā,  Rīgas ielā 14, </w:t>
            </w:r>
            <w:r w:rsidR="001536C4" w:rsidRPr="004D2F40">
              <w:rPr>
                <w:rFonts w:ascii="Times New Roman" w:hAnsi="Times New Roman" w:cs="Times New Roman"/>
                <w:sz w:val="24"/>
                <w:szCs w:val="24"/>
              </w:rPr>
              <w:lastRenderedPageBreak/>
              <w:t xml:space="preserve">Olainē un Dobeles ielā 16, Jelgavā. </w:t>
            </w:r>
            <w:r w:rsidR="009F4B2B" w:rsidRPr="004D2F40">
              <w:rPr>
                <w:rFonts w:ascii="Times New Roman" w:hAnsi="Times New Roman" w:cs="Times New Roman"/>
                <w:sz w:val="24"/>
                <w:szCs w:val="24"/>
              </w:rPr>
              <w:t>Nepieciešamais finansējums</w:t>
            </w:r>
            <w:r w:rsidR="001536C4" w:rsidRPr="004D2F40">
              <w:rPr>
                <w:rFonts w:ascii="Times New Roman" w:hAnsi="Times New Roman" w:cs="Times New Roman"/>
                <w:sz w:val="24"/>
                <w:szCs w:val="24"/>
              </w:rPr>
              <w:t xml:space="preserve"> logu nomaiņai ir 27 985 </w:t>
            </w:r>
            <w:proofErr w:type="spellStart"/>
            <w:r w:rsidR="001536C4" w:rsidRPr="004D2F40">
              <w:rPr>
                <w:rFonts w:ascii="Times New Roman" w:hAnsi="Times New Roman" w:cs="Times New Roman"/>
                <w:i/>
                <w:sz w:val="24"/>
                <w:szCs w:val="24"/>
              </w:rPr>
              <w:t>euro</w:t>
            </w:r>
            <w:proofErr w:type="spellEnd"/>
            <w:r w:rsidR="001536C4" w:rsidRPr="004D2F40">
              <w:rPr>
                <w:rFonts w:ascii="Times New Roman" w:hAnsi="Times New Roman" w:cs="Times New Roman"/>
                <w:sz w:val="24"/>
                <w:szCs w:val="24"/>
              </w:rPr>
              <w:t>.</w:t>
            </w:r>
          </w:p>
          <w:p w:rsidR="0081399B" w:rsidRPr="00A84269" w:rsidRDefault="0081399B" w:rsidP="0081399B">
            <w:pPr>
              <w:pStyle w:val="Heading3"/>
              <w:shd w:val="clear" w:color="auto" w:fill="FFFFFF"/>
              <w:spacing w:before="0" w:beforeAutospacing="0" w:after="0" w:afterAutospacing="0"/>
              <w:ind w:right="57" w:firstLine="364"/>
              <w:jc w:val="both"/>
              <w:rPr>
                <w:b w:val="0"/>
                <w:sz w:val="24"/>
                <w:szCs w:val="24"/>
              </w:rPr>
            </w:pPr>
            <w:r w:rsidRPr="00A84269">
              <w:rPr>
                <w:b w:val="0"/>
                <w:sz w:val="24"/>
                <w:szCs w:val="24"/>
              </w:rPr>
              <w:t xml:space="preserve">Detalizēts aprēķins pievienots anotācijas </w:t>
            </w:r>
            <w:r w:rsidR="000C1C8B" w:rsidRPr="002745F3">
              <w:rPr>
                <w:b w:val="0"/>
                <w:sz w:val="24"/>
                <w:szCs w:val="24"/>
              </w:rPr>
              <w:t>2</w:t>
            </w:r>
            <w:r w:rsidRPr="002745F3">
              <w:rPr>
                <w:b w:val="0"/>
                <w:sz w:val="24"/>
                <w:szCs w:val="24"/>
              </w:rPr>
              <w:t>.pielikuma 6.tabulā</w:t>
            </w:r>
            <w:r w:rsidRPr="00A84269">
              <w:rPr>
                <w:b w:val="0"/>
                <w:sz w:val="24"/>
                <w:szCs w:val="24"/>
              </w:rPr>
              <w:t>.</w:t>
            </w:r>
          </w:p>
          <w:p w:rsidR="00A7505D" w:rsidRPr="00CC6D6A" w:rsidRDefault="000C16DB" w:rsidP="00A7505D">
            <w:pPr>
              <w:spacing w:after="0" w:line="240" w:lineRule="auto"/>
              <w:ind w:firstLine="573"/>
              <w:jc w:val="both"/>
              <w:rPr>
                <w:rFonts w:ascii="Times New Roman" w:hAnsi="Times New Roman" w:cs="Times New Roman"/>
                <w:sz w:val="24"/>
                <w:szCs w:val="24"/>
              </w:rPr>
            </w:pPr>
            <w:r>
              <w:rPr>
                <w:rFonts w:ascii="Times New Roman" w:hAnsi="Times New Roman" w:cs="Times New Roman"/>
                <w:i/>
                <w:sz w:val="24"/>
                <w:szCs w:val="24"/>
              </w:rPr>
              <w:t xml:space="preserve">II. </w:t>
            </w:r>
            <w:r w:rsidR="00A7505D">
              <w:rPr>
                <w:rFonts w:ascii="Times New Roman" w:hAnsi="Times New Roman" w:cs="Times New Roman"/>
                <w:i/>
                <w:sz w:val="24"/>
                <w:szCs w:val="24"/>
              </w:rPr>
              <w:t xml:space="preserve">Neizlietoto finansējumu, kas tika plānots budžeta programmā 10.00.00 “Valsts robežsardzes darbība” </w:t>
            </w:r>
            <w:r w:rsidR="003E4A60" w:rsidRPr="003E4A60">
              <w:rPr>
                <w:rFonts w:ascii="Times New Roman" w:hAnsi="Times New Roman" w:cs="Times New Roman"/>
                <w:i/>
                <w:sz w:val="24"/>
                <w:szCs w:val="24"/>
              </w:rPr>
              <w:t>robežšķērsošanas vietas “Vientuļi” aprīkojuma iegāde</w:t>
            </w:r>
            <w:r w:rsidR="005703A9">
              <w:rPr>
                <w:rFonts w:ascii="Times New Roman" w:hAnsi="Times New Roman" w:cs="Times New Roman"/>
                <w:i/>
                <w:sz w:val="24"/>
                <w:szCs w:val="24"/>
              </w:rPr>
              <w:t>i</w:t>
            </w:r>
            <w:r w:rsidR="003E4A60" w:rsidRPr="00FC59C8">
              <w:rPr>
                <w:rFonts w:ascii="Times New Roman" w:hAnsi="Times New Roman" w:cs="Times New Roman"/>
                <w:bCs/>
                <w:sz w:val="18"/>
                <w:szCs w:val="18"/>
              </w:rPr>
              <w:t xml:space="preserve"> </w:t>
            </w:r>
            <w:r w:rsidR="00A7505D">
              <w:rPr>
                <w:rFonts w:ascii="Times New Roman" w:hAnsi="Times New Roman" w:cs="Times New Roman"/>
                <w:b/>
                <w:i/>
                <w:sz w:val="24"/>
                <w:szCs w:val="24"/>
              </w:rPr>
              <w:t>57 384</w:t>
            </w:r>
            <w:r w:rsidR="00A7505D" w:rsidRPr="00EF2D9A">
              <w:rPr>
                <w:rFonts w:ascii="Times New Roman" w:hAnsi="Times New Roman" w:cs="Times New Roman"/>
                <w:b/>
                <w:i/>
                <w:sz w:val="24"/>
                <w:szCs w:val="24"/>
              </w:rPr>
              <w:t xml:space="preserve"> </w:t>
            </w:r>
            <w:proofErr w:type="spellStart"/>
            <w:r w:rsidR="00A7505D" w:rsidRPr="00EF2D9A">
              <w:rPr>
                <w:rFonts w:ascii="Times New Roman" w:hAnsi="Times New Roman" w:cs="Times New Roman"/>
                <w:i/>
                <w:sz w:val="24"/>
                <w:szCs w:val="24"/>
              </w:rPr>
              <w:t>euro</w:t>
            </w:r>
            <w:proofErr w:type="spellEnd"/>
            <w:r w:rsidR="00A7505D" w:rsidRPr="00EF2D9A">
              <w:rPr>
                <w:rFonts w:ascii="Times New Roman" w:hAnsi="Times New Roman" w:cs="Times New Roman"/>
                <w:i/>
                <w:sz w:val="24"/>
                <w:szCs w:val="24"/>
              </w:rPr>
              <w:t xml:space="preserve"> apmērā</w:t>
            </w:r>
            <w:r w:rsidR="005703A9">
              <w:rPr>
                <w:rFonts w:ascii="Times New Roman" w:hAnsi="Times New Roman" w:cs="Times New Roman"/>
                <w:i/>
                <w:sz w:val="24"/>
                <w:szCs w:val="24"/>
              </w:rPr>
              <w:t>,</w:t>
            </w:r>
            <w:r w:rsidR="00A7505D" w:rsidRPr="00EF2D9A">
              <w:rPr>
                <w:rFonts w:ascii="Times New Roman" w:hAnsi="Times New Roman" w:cs="Times New Roman"/>
                <w:i/>
                <w:sz w:val="24"/>
                <w:szCs w:val="24"/>
              </w:rPr>
              <w:t xml:space="preserve"> Iekšlietu ministrija ierosina, veicot apropriācijas pārdali </w:t>
            </w:r>
            <w:proofErr w:type="gramStart"/>
            <w:r w:rsidR="00A7505D" w:rsidRPr="00EF2D9A">
              <w:rPr>
                <w:rFonts w:ascii="Times New Roman" w:hAnsi="Times New Roman" w:cs="Times New Roman"/>
                <w:i/>
                <w:sz w:val="24"/>
                <w:szCs w:val="24"/>
              </w:rPr>
              <w:t>2015.gadā</w:t>
            </w:r>
            <w:proofErr w:type="gramEnd"/>
            <w:r w:rsidR="00A7505D" w:rsidRPr="00EF2D9A">
              <w:rPr>
                <w:rFonts w:ascii="Times New Roman" w:hAnsi="Times New Roman" w:cs="Times New Roman"/>
                <w:i/>
                <w:sz w:val="24"/>
                <w:szCs w:val="24"/>
              </w:rPr>
              <w:t xml:space="preserve"> starp </w:t>
            </w:r>
            <w:r w:rsidR="00CC6D6A">
              <w:rPr>
                <w:rFonts w:ascii="Times New Roman" w:hAnsi="Times New Roman" w:cs="Times New Roman"/>
                <w:i/>
                <w:sz w:val="24"/>
                <w:szCs w:val="24"/>
              </w:rPr>
              <w:t xml:space="preserve">pasākumiem un </w:t>
            </w:r>
            <w:r w:rsidR="00A7505D" w:rsidRPr="00EF2D9A">
              <w:rPr>
                <w:rFonts w:ascii="Times New Roman" w:hAnsi="Times New Roman" w:cs="Times New Roman"/>
                <w:i/>
                <w:sz w:val="24"/>
                <w:szCs w:val="24"/>
              </w:rPr>
              <w:t xml:space="preserve">EKK, </w:t>
            </w:r>
            <w:r w:rsidR="00A7505D" w:rsidRPr="00EF2D9A">
              <w:rPr>
                <w:rFonts w:ascii="Times New Roman" w:hAnsi="Times New Roman" w:cs="Times New Roman"/>
                <w:b/>
                <w:i/>
                <w:sz w:val="24"/>
                <w:szCs w:val="24"/>
              </w:rPr>
              <w:t xml:space="preserve"> </w:t>
            </w:r>
            <w:r w:rsidR="00A7505D" w:rsidRPr="0011356C">
              <w:rPr>
                <w:rFonts w:ascii="Times New Roman" w:hAnsi="Times New Roman" w:cs="Times New Roman"/>
                <w:sz w:val="24"/>
                <w:szCs w:val="24"/>
              </w:rPr>
              <w:t>pared</w:t>
            </w:r>
            <w:r w:rsidR="00CC6D6A" w:rsidRPr="0011356C">
              <w:rPr>
                <w:rFonts w:ascii="Times New Roman" w:hAnsi="Times New Roman" w:cs="Times New Roman"/>
                <w:sz w:val="24"/>
                <w:szCs w:val="24"/>
              </w:rPr>
              <w:t>zēt</w:t>
            </w:r>
            <w:r w:rsidR="00E91C83">
              <w:rPr>
                <w:rFonts w:ascii="Times New Roman" w:hAnsi="Times New Roman" w:cs="Times New Roman"/>
                <w:b/>
                <w:sz w:val="24"/>
                <w:szCs w:val="24"/>
              </w:rPr>
              <w:t xml:space="preserve"> tulkošanas</w:t>
            </w:r>
            <w:r w:rsidR="00CC6D6A" w:rsidRPr="00CC6D6A">
              <w:rPr>
                <w:rFonts w:ascii="Times New Roman" w:hAnsi="Times New Roman" w:cs="Times New Roman"/>
                <w:b/>
                <w:sz w:val="24"/>
                <w:szCs w:val="24"/>
              </w:rPr>
              <w:t xml:space="preserve"> un aizturēto </w:t>
            </w:r>
            <w:r w:rsidR="00E125D7">
              <w:rPr>
                <w:rFonts w:ascii="Times New Roman" w:hAnsi="Times New Roman" w:cs="Times New Roman"/>
                <w:b/>
                <w:sz w:val="24"/>
                <w:szCs w:val="24"/>
              </w:rPr>
              <w:t xml:space="preserve">ārzemnieku </w:t>
            </w:r>
            <w:r w:rsidR="00E91C83">
              <w:rPr>
                <w:rFonts w:ascii="Times New Roman" w:hAnsi="Times New Roman" w:cs="Times New Roman"/>
                <w:b/>
                <w:sz w:val="24"/>
                <w:szCs w:val="24"/>
              </w:rPr>
              <w:t>ēdināšanas pakalpojumiem</w:t>
            </w:r>
            <w:r w:rsidR="00CC6D6A">
              <w:rPr>
                <w:rFonts w:ascii="Times New Roman" w:hAnsi="Times New Roman" w:cs="Times New Roman"/>
                <w:i/>
                <w:sz w:val="24"/>
                <w:szCs w:val="24"/>
              </w:rPr>
              <w:t xml:space="preserve"> </w:t>
            </w:r>
            <w:r w:rsidR="00CC6D6A" w:rsidRPr="00CC6D6A">
              <w:rPr>
                <w:rFonts w:ascii="Times New Roman" w:hAnsi="Times New Roman" w:cs="Times New Roman"/>
                <w:sz w:val="24"/>
                <w:szCs w:val="24"/>
              </w:rPr>
              <w:t xml:space="preserve">(budžeta programmā 10.00.00 “Valsts robežsardzes darbība”– </w:t>
            </w:r>
            <w:r w:rsidR="00CC6D6A" w:rsidRPr="00CC6D6A">
              <w:rPr>
                <w:rFonts w:ascii="Times New Roman" w:hAnsi="Times New Roman" w:cs="Times New Roman"/>
                <w:b/>
                <w:sz w:val="24"/>
                <w:szCs w:val="24"/>
              </w:rPr>
              <w:t xml:space="preserve">57 384 </w:t>
            </w:r>
            <w:proofErr w:type="spellStart"/>
            <w:r w:rsidR="00CC6D6A" w:rsidRPr="00CC6D6A">
              <w:rPr>
                <w:rFonts w:ascii="Times New Roman" w:hAnsi="Times New Roman" w:cs="Times New Roman"/>
                <w:i/>
                <w:sz w:val="24"/>
                <w:szCs w:val="24"/>
              </w:rPr>
              <w:t>euro</w:t>
            </w:r>
            <w:proofErr w:type="spellEnd"/>
            <w:r w:rsidR="00CC6D6A" w:rsidRPr="00CC6D6A">
              <w:rPr>
                <w:rFonts w:ascii="Times New Roman" w:hAnsi="Times New Roman" w:cs="Times New Roman"/>
                <w:sz w:val="24"/>
                <w:szCs w:val="24"/>
              </w:rPr>
              <w:t xml:space="preserve"> </w:t>
            </w:r>
            <w:r w:rsidR="00CC6D6A" w:rsidRPr="00CC4390">
              <w:rPr>
                <w:rFonts w:ascii="Times New Roman" w:hAnsi="Times New Roman" w:cs="Times New Roman"/>
                <w:sz w:val="24"/>
                <w:szCs w:val="24"/>
              </w:rPr>
              <w:t>(EKK</w:t>
            </w:r>
            <w:r w:rsidR="00DD2AF7">
              <w:rPr>
                <w:rFonts w:ascii="Times New Roman" w:hAnsi="Times New Roman" w:cs="Times New Roman"/>
                <w:sz w:val="24"/>
                <w:szCs w:val="24"/>
              </w:rPr>
              <w:t xml:space="preserve"> 2232 – 27 384 </w:t>
            </w:r>
            <w:proofErr w:type="spellStart"/>
            <w:r w:rsidR="00DD2AF7" w:rsidRPr="00DD2AF7">
              <w:rPr>
                <w:rFonts w:ascii="Times New Roman" w:hAnsi="Times New Roman" w:cs="Times New Roman"/>
                <w:i/>
                <w:sz w:val="24"/>
                <w:szCs w:val="24"/>
              </w:rPr>
              <w:t>euro</w:t>
            </w:r>
            <w:proofErr w:type="spellEnd"/>
            <w:r w:rsidR="00DD2AF7">
              <w:rPr>
                <w:rFonts w:ascii="Times New Roman" w:hAnsi="Times New Roman" w:cs="Times New Roman"/>
                <w:sz w:val="24"/>
                <w:szCs w:val="24"/>
              </w:rPr>
              <w:t>; EKK</w:t>
            </w:r>
            <w:r w:rsidR="00ED7E01">
              <w:rPr>
                <w:rFonts w:ascii="Times New Roman" w:hAnsi="Times New Roman" w:cs="Times New Roman"/>
                <w:sz w:val="24"/>
                <w:szCs w:val="24"/>
              </w:rPr>
              <w:t xml:space="preserve"> 2363 – 30 000 </w:t>
            </w:r>
            <w:proofErr w:type="spellStart"/>
            <w:r w:rsidR="00ED7E01" w:rsidRPr="00DD2AF7">
              <w:rPr>
                <w:rFonts w:ascii="Times New Roman" w:hAnsi="Times New Roman" w:cs="Times New Roman"/>
                <w:i/>
                <w:sz w:val="24"/>
                <w:szCs w:val="24"/>
              </w:rPr>
              <w:t>euro</w:t>
            </w:r>
            <w:proofErr w:type="spellEnd"/>
            <w:r w:rsidR="00ED7E01">
              <w:rPr>
                <w:rFonts w:ascii="Times New Roman" w:hAnsi="Times New Roman" w:cs="Times New Roman"/>
                <w:sz w:val="24"/>
                <w:szCs w:val="24"/>
              </w:rPr>
              <w:t xml:space="preserve">). </w:t>
            </w:r>
          </w:p>
          <w:p w:rsidR="00B40F2A" w:rsidRPr="00C146F5" w:rsidRDefault="00B40F2A" w:rsidP="00B40F2A">
            <w:pPr>
              <w:spacing w:after="0" w:line="240" w:lineRule="auto"/>
              <w:ind w:firstLine="720"/>
              <w:jc w:val="both"/>
              <w:rPr>
                <w:rFonts w:ascii="Times New Roman" w:hAnsi="Times New Roman" w:cs="Times New Roman"/>
                <w:color w:val="000000"/>
                <w:sz w:val="24"/>
                <w:szCs w:val="24"/>
              </w:rPr>
            </w:pPr>
            <w:r w:rsidRPr="00C146F5">
              <w:rPr>
                <w:rFonts w:ascii="Times New Roman" w:hAnsi="Times New Roman" w:cs="Times New Roman"/>
                <w:sz w:val="24"/>
                <w:szCs w:val="24"/>
              </w:rPr>
              <w:t xml:space="preserve">Sākot ar </w:t>
            </w:r>
            <w:proofErr w:type="gramStart"/>
            <w:r w:rsidRPr="00C146F5">
              <w:rPr>
                <w:rFonts w:ascii="Times New Roman" w:hAnsi="Times New Roman" w:cs="Times New Roman"/>
                <w:sz w:val="24"/>
                <w:szCs w:val="24"/>
              </w:rPr>
              <w:t>2014.ga</w:t>
            </w:r>
            <w:r w:rsidR="006214EC">
              <w:rPr>
                <w:rFonts w:ascii="Times New Roman" w:hAnsi="Times New Roman" w:cs="Times New Roman"/>
                <w:sz w:val="24"/>
                <w:szCs w:val="24"/>
              </w:rPr>
              <w:t>da</w:t>
            </w:r>
            <w:proofErr w:type="gramEnd"/>
            <w:r w:rsidR="006214EC">
              <w:rPr>
                <w:rFonts w:ascii="Times New Roman" w:hAnsi="Times New Roman" w:cs="Times New Roman"/>
                <w:sz w:val="24"/>
                <w:szCs w:val="24"/>
              </w:rPr>
              <w:t xml:space="preserve"> februāri, pieaug</w:t>
            </w:r>
            <w:r w:rsidRPr="00C146F5">
              <w:rPr>
                <w:rFonts w:ascii="Times New Roman" w:hAnsi="Times New Roman" w:cs="Times New Roman"/>
                <w:sz w:val="24"/>
                <w:szCs w:val="24"/>
              </w:rPr>
              <w:t xml:space="preserve"> aizturēto ārzemnieku (īpaši Vjetnamas Republikas pilsoņu) skaits Latvijas teritorijā. 2013.gadā tika aizturētas 175 personas (tajā skaitā 10 Vjetnamas Republikas pilsoņi), 2014.gada – 263  personas (tajā skaitā Vjetnamas Republikas pilsoņi – 98), </w:t>
            </w:r>
            <w:r w:rsidRPr="00C146F5">
              <w:rPr>
                <w:rFonts w:ascii="Times New Roman" w:hAnsi="Times New Roman" w:cs="Times New Roman"/>
                <w:color w:val="000000"/>
                <w:sz w:val="24"/>
                <w:szCs w:val="24"/>
              </w:rPr>
              <w:t xml:space="preserve">uz 2015.gada 7.oktobri </w:t>
            </w:r>
            <w:r w:rsidR="006214EC" w:rsidRPr="00C146F5">
              <w:rPr>
                <w:rFonts w:ascii="Times New Roman" w:hAnsi="Times New Roman" w:cs="Times New Roman"/>
                <w:sz w:val="24"/>
                <w:szCs w:val="24"/>
              </w:rPr>
              <w:t>–</w:t>
            </w:r>
            <w:r w:rsidRPr="00C146F5">
              <w:rPr>
                <w:rFonts w:ascii="Times New Roman" w:hAnsi="Times New Roman" w:cs="Times New Roman"/>
                <w:color w:val="000000"/>
                <w:sz w:val="24"/>
                <w:szCs w:val="24"/>
              </w:rPr>
              <w:t xml:space="preserve"> 562 personas (tajā skaitā Vjetnamas Republikas pilsoņi – 401, Irākas pilsoņi </w:t>
            </w:r>
            <w:r w:rsidR="006214EC" w:rsidRPr="00C146F5">
              <w:rPr>
                <w:rFonts w:ascii="Times New Roman" w:hAnsi="Times New Roman" w:cs="Times New Roman"/>
                <w:sz w:val="24"/>
                <w:szCs w:val="24"/>
              </w:rPr>
              <w:t>–</w:t>
            </w:r>
            <w:r w:rsidRPr="00C146F5">
              <w:rPr>
                <w:rFonts w:ascii="Times New Roman" w:hAnsi="Times New Roman" w:cs="Times New Roman"/>
                <w:color w:val="000000"/>
                <w:sz w:val="24"/>
                <w:szCs w:val="24"/>
              </w:rPr>
              <w:t xml:space="preserve"> 41). </w:t>
            </w:r>
          </w:p>
          <w:p w:rsidR="0011356C" w:rsidRDefault="00B40F2A" w:rsidP="00DD2AF7">
            <w:pPr>
              <w:pStyle w:val="Heading3"/>
              <w:shd w:val="clear" w:color="auto" w:fill="FFFFFF"/>
              <w:spacing w:before="0" w:beforeAutospacing="0" w:after="0" w:afterAutospacing="0"/>
              <w:ind w:right="57" w:firstLine="364"/>
              <w:jc w:val="both"/>
              <w:rPr>
                <w:b w:val="0"/>
                <w:sz w:val="24"/>
                <w:szCs w:val="24"/>
              </w:rPr>
            </w:pPr>
            <w:r>
              <w:rPr>
                <w:b w:val="0"/>
                <w:sz w:val="24"/>
                <w:szCs w:val="24"/>
              </w:rPr>
              <w:t>Izdevumi, kas nepieciešami, lai nodrošinātu aizturēto ārzemnieku ēdināšanu un segtu tulkošanas izmaksas,</w:t>
            </w:r>
            <w:r w:rsidR="006D1851">
              <w:rPr>
                <w:b w:val="0"/>
                <w:sz w:val="24"/>
                <w:szCs w:val="24"/>
              </w:rPr>
              <w:t xml:space="preserve"> daļēji tiks segti arī no </w:t>
            </w:r>
            <w:r>
              <w:rPr>
                <w:b w:val="0"/>
                <w:sz w:val="24"/>
                <w:szCs w:val="24"/>
              </w:rPr>
              <w:t>Patvēruma, migrācijas un integrācijas fonda 201</w:t>
            </w:r>
            <w:r w:rsidR="002745F3">
              <w:rPr>
                <w:b w:val="0"/>
                <w:sz w:val="24"/>
                <w:szCs w:val="24"/>
              </w:rPr>
              <w:t>4</w:t>
            </w:r>
            <w:r>
              <w:rPr>
                <w:b w:val="0"/>
                <w:sz w:val="24"/>
                <w:szCs w:val="24"/>
              </w:rPr>
              <w:t>.-</w:t>
            </w:r>
            <w:proofErr w:type="gramStart"/>
            <w:r>
              <w:rPr>
                <w:b w:val="0"/>
                <w:sz w:val="24"/>
                <w:szCs w:val="24"/>
              </w:rPr>
              <w:t>2020.gada</w:t>
            </w:r>
            <w:proofErr w:type="gramEnd"/>
            <w:r>
              <w:rPr>
                <w:b w:val="0"/>
                <w:sz w:val="24"/>
                <w:szCs w:val="24"/>
              </w:rPr>
              <w:t xml:space="preserve"> plānošanas periodam </w:t>
            </w:r>
            <w:r w:rsidR="006D1851">
              <w:rPr>
                <w:b w:val="0"/>
                <w:sz w:val="24"/>
                <w:szCs w:val="24"/>
              </w:rPr>
              <w:t xml:space="preserve">plānotā finansējuma. </w:t>
            </w:r>
            <w:r w:rsidR="00CA68BE">
              <w:rPr>
                <w:b w:val="0"/>
                <w:sz w:val="24"/>
                <w:szCs w:val="24"/>
              </w:rPr>
              <w:t xml:space="preserve"> </w:t>
            </w:r>
            <w:r>
              <w:rPr>
                <w:b w:val="0"/>
                <w:sz w:val="24"/>
                <w:szCs w:val="24"/>
              </w:rPr>
              <w:t xml:space="preserve">Ņemot vērā faktisko situāciju un piešķirto finansējumu </w:t>
            </w:r>
            <w:proofErr w:type="gramStart"/>
            <w:r>
              <w:rPr>
                <w:b w:val="0"/>
                <w:sz w:val="24"/>
                <w:szCs w:val="24"/>
              </w:rPr>
              <w:t>2015.gadā</w:t>
            </w:r>
            <w:proofErr w:type="gramEnd"/>
            <w:r>
              <w:rPr>
                <w:b w:val="0"/>
                <w:sz w:val="24"/>
                <w:szCs w:val="24"/>
              </w:rPr>
              <w:t xml:space="preserve"> ir izveidojusies šāda situācija:</w:t>
            </w:r>
          </w:p>
          <w:p w:rsidR="00B40F2A" w:rsidRDefault="00CA68BE" w:rsidP="00D34D63">
            <w:pPr>
              <w:pStyle w:val="Heading3"/>
              <w:numPr>
                <w:ilvl w:val="0"/>
                <w:numId w:val="5"/>
              </w:numPr>
              <w:shd w:val="clear" w:color="auto" w:fill="FFFFFF"/>
              <w:spacing w:before="0" w:beforeAutospacing="0" w:after="0" w:afterAutospacing="0"/>
              <w:ind w:left="0" w:right="57" w:firstLine="364"/>
              <w:jc w:val="both"/>
              <w:rPr>
                <w:b w:val="0"/>
                <w:sz w:val="24"/>
                <w:szCs w:val="24"/>
              </w:rPr>
            </w:pPr>
            <w:r>
              <w:rPr>
                <w:b w:val="0"/>
                <w:sz w:val="24"/>
                <w:szCs w:val="24"/>
              </w:rPr>
              <w:t xml:space="preserve">tulkošanai nepieciešami izdevumi: uz </w:t>
            </w:r>
            <w:proofErr w:type="gramStart"/>
            <w:r>
              <w:rPr>
                <w:b w:val="0"/>
                <w:sz w:val="24"/>
                <w:szCs w:val="24"/>
              </w:rPr>
              <w:t>2015.gada</w:t>
            </w:r>
            <w:proofErr w:type="gramEnd"/>
            <w:r>
              <w:rPr>
                <w:b w:val="0"/>
                <w:sz w:val="24"/>
                <w:szCs w:val="24"/>
              </w:rPr>
              <w:t xml:space="preserve"> oktobra sākumu izlietoti līdzekļi 139 274 </w:t>
            </w:r>
            <w:proofErr w:type="spellStart"/>
            <w:r w:rsidRPr="00CA68BE">
              <w:rPr>
                <w:b w:val="0"/>
                <w:i/>
                <w:sz w:val="24"/>
                <w:szCs w:val="24"/>
              </w:rPr>
              <w:t>euro</w:t>
            </w:r>
            <w:proofErr w:type="spellEnd"/>
            <w:r>
              <w:rPr>
                <w:b w:val="0"/>
                <w:sz w:val="24"/>
                <w:szCs w:val="24"/>
              </w:rPr>
              <w:t xml:space="preserve"> apmērā, sākotnējā tāme – 110 383 </w:t>
            </w:r>
            <w:proofErr w:type="spellStart"/>
            <w:r w:rsidRPr="00CA68BE">
              <w:rPr>
                <w:b w:val="0"/>
                <w:i/>
                <w:sz w:val="24"/>
                <w:szCs w:val="24"/>
              </w:rPr>
              <w:t>euro</w:t>
            </w:r>
            <w:proofErr w:type="spellEnd"/>
            <w:r>
              <w:rPr>
                <w:b w:val="0"/>
                <w:sz w:val="24"/>
                <w:szCs w:val="24"/>
              </w:rPr>
              <w:t xml:space="preserve">.  Papildu līdz </w:t>
            </w:r>
            <w:proofErr w:type="gramStart"/>
            <w:r>
              <w:rPr>
                <w:b w:val="0"/>
                <w:sz w:val="24"/>
                <w:szCs w:val="24"/>
              </w:rPr>
              <w:t>2015.gada</w:t>
            </w:r>
            <w:proofErr w:type="gramEnd"/>
            <w:r>
              <w:rPr>
                <w:b w:val="0"/>
                <w:sz w:val="24"/>
                <w:szCs w:val="24"/>
              </w:rPr>
              <w:t xml:space="preserve"> beigām nepieciešams finansējums 69 720 </w:t>
            </w:r>
            <w:proofErr w:type="spellStart"/>
            <w:r w:rsidRPr="00D34D63">
              <w:rPr>
                <w:b w:val="0"/>
                <w:i/>
                <w:sz w:val="24"/>
                <w:szCs w:val="24"/>
              </w:rPr>
              <w:t>euro</w:t>
            </w:r>
            <w:proofErr w:type="spellEnd"/>
            <w:r>
              <w:rPr>
                <w:b w:val="0"/>
                <w:sz w:val="24"/>
                <w:szCs w:val="24"/>
              </w:rPr>
              <w:t xml:space="preserve"> apmērā</w:t>
            </w:r>
            <w:r w:rsidR="00D34D63">
              <w:rPr>
                <w:b w:val="0"/>
                <w:sz w:val="24"/>
                <w:szCs w:val="24"/>
              </w:rPr>
              <w:t xml:space="preserve"> (20 lapas x 14 </w:t>
            </w:r>
            <w:proofErr w:type="spellStart"/>
            <w:r w:rsidR="00D34D63" w:rsidRPr="00D34D63">
              <w:rPr>
                <w:b w:val="0"/>
                <w:i/>
                <w:sz w:val="24"/>
                <w:szCs w:val="24"/>
              </w:rPr>
              <w:t>euro</w:t>
            </w:r>
            <w:proofErr w:type="spellEnd"/>
            <w:r w:rsidR="00D34D63">
              <w:rPr>
                <w:b w:val="0"/>
                <w:sz w:val="24"/>
                <w:szCs w:val="24"/>
              </w:rPr>
              <w:t xml:space="preserve"> par vienu lapu x 3 mēneši (oktobris, novembris, decembris) x 83 cilvēki (vidēji mēnesī))</w:t>
            </w:r>
            <w:r>
              <w:rPr>
                <w:b w:val="0"/>
                <w:sz w:val="24"/>
                <w:szCs w:val="24"/>
              </w:rPr>
              <w:t xml:space="preserve">, lai segtu </w:t>
            </w:r>
            <w:r w:rsidR="00D34D63">
              <w:rPr>
                <w:b w:val="0"/>
                <w:sz w:val="24"/>
                <w:szCs w:val="24"/>
              </w:rPr>
              <w:t xml:space="preserve">izveidojušos deficītu (28 891 </w:t>
            </w:r>
            <w:proofErr w:type="spellStart"/>
            <w:r w:rsidR="00D34D63" w:rsidRPr="00D34D63">
              <w:rPr>
                <w:b w:val="0"/>
                <w:i/>
                <w:sz w:val="24"/>
                <w:szCs w:val="24"/>
              </w:rPr>
              <w:t>euro</w:t>
            </w:r>
            <w:proofErr w:type="spellEnd"/>
            <w:r w:rsidR="00D34D63">
              <w:rPr>
                <w:b w:val="0"/>
                <w:sz w:val="24"/>
                <w:szCs w:val="24"/>
              </w:rPr>
              <w:t>) un izdevumus līdz 2015.gada beigām.</w:t>
            </w:r>
          </w:p>
          <w:p w:rsidR="00D34D63" w:rsidRPr="00D30AB4" w:rsidRDefault="00890339" w:rsidP="00890339">
            <w:pPr>
              <w:pStyle w:val="Heading3"/>
              <w:numPr>
                <w:ilvl w:val="0"/>
                <w:numId w:val="5"/>
              </w:numPr>
              <w:shd w:val="clear" w:color="auto" w:fill="FFFFFF"/>
              <w:spacing w:before="0" w:beforeAutospacing="0" w:after="0" w:afterAutospacing="0"/>
              <w:ind w:left="0" w:right="57" w:firstLine="364"/>
              <w:jc w:val="both"/>
              <w:rPr>
                <w:b w:val="0"/>
                <w:sz w:val="24"/>
                <w:szCs w:val="24"/>
              </w:rPr>
            </w:pPr>
            <w:r w:rsidRPr="00D30AB4">
              <w:rPr>
                <w:b w:val="0"/>
                <w:sz w:val="24"/>
                <w:szCs w:val="24"/>
              </w:rPr>
              <w:t xml:space="preserve">ēdināšanas nodrošināšanai nepieciešamie izdevumi: </w:t>
            </w:r>
            <w:r w:rsidR="00D4036D" w:rsidRPr="00D30AB4">
              <w:rPr>
                <w:b w:val="0"/>
                <w:sz w:val="24"/>
                <w:szCs w:val="24"/>
              </w:rPr>
              <w:t xml:space="preserve">uz </w:t>
            </w:r>
            <w:proofErr w:type="gramStart"/>
            <w:r w:rsidR="00D4036D" w:rsidRPr="00D30AB4">
              <w:rPr>
                <w:b w:val="0"/>
                <w:sz w:val="24"/>
                <w:szCs w:val="24"/>
              </w:rPr>
              <w:t>2015.gada</w:t>
            </w:r>
            <w:proofErr w:type="gramEnd"/>
            <w:r w:rsidR="00D4036D" w:rsidRPr="00D30AB4">
              <w:rPr>
                <w:b w:val="0"/>
                <w:sz w:val="24"/>
                <w:szCs w:val="24"/>
              </w:rPr>
              <w:t xml:space="preserve"> oktobra sākumu no valsts budžeta līdzekļiem izlietoti līdzekļi 81 499 </w:t>
            </w:r>
            <w:proofErr w:type="spellStart"/>
            <w:r w:rsidR="00D4036D" w:rsidRPr="00D30AB4">
              <w:rPr>
                <w:b w:val="0"/>
                <w:i/>
                <w:sz w:val="24"/>
                <w:szCs w:val="24"/>
              </w:rPr>
              <w:t>euro</w:t>
            </w:r>
            <w:proofErr w:type="spellEnd"/>
            <w:r w:rsidR="00D4036D" w:rsidRPr="00D30AB4">
              <w:rPr>
                <w:b w:val="0"/>
                <w:sz w:val="24"/>
                <w:szCs w:val="24"/>
              </w:rPr>
              <w:t xml:space="preserve"> apmērā, sākotnējā tāme – 4 075 </w:t>
            </w:r>
            <w:proofErr w:type="spellStart"/>
            <w:r w:rsidR="00D4036D" w:rsidRPr="00D30AB4">
              <w:rPr>
                <w:b w:val="0"/>
                <w:i/>
                <w:sz w:val="24"/>
                <w:szCs w:val="24"/>
              </w:rPr>
              <w:t>euro</w:t>
            </w:r>
            <w:proofErr w:type="spellEnd"/>
            <w:r w:rsidR="00D4036D" w:rsidRPr="00D30AB4">
              <w:rPr>
                <w:b w:val="0"/>
                <w:sz w:val="24"/>
                <w:szCs w:val="24"/>
              </w:rPr>
              <w:t>.</w:t>
            </w:r>
            <w:r w:rsidR="00BB3668" w:rsidRPr="00D30AB4">
              <w:rPr>
                <w:b w:val="0"/>
                <w:sz w:val="24"/>
                <w:szCs w:val="24"/>
              </w:rPr>
              <w:t xml:space="preserve"> </w:t>
            </w:r>
            <w:r w:rsidR="000F11B4" w:rsidRPr="00D30AB4">
              <w:rPr>
                <w:b w:val="0"/>
                <w:sz w:val="24"/>
                <w:szCs w:val="24"/>
              </w:rPr>
              <w:t>F</w:t>
            </w:r>
            <w:r w:rsidR="00BB3668" w:rsidRPr="00D30AB4">
              <w:rPr>
                <w:b w:val="0"/>
                <w:sz w:val="24"/>
                <w:szCs w:val="24"/>
              </w:rPr>
              <w:t>inansējums</w:t>
            </w:r>
            <w:r w:rsidR="00566910" w:rsidRPr="00D30AB4">
              <w:rPr>
                <w:b w:val="0"/>
                <w:sz w:val="24"/>
                <w:szCs w:val="24"/>
              </w:rPr>
              <w:t xml:space="preserve">, kas tika piešķirts ar </w:t>
            </w:r>
            <w:r w:rsidR="00BB3668" w:rsidRPr="00D30AB4">
              <w:rPr>
                <w:b w:val="0"/>
                <w:sz w:val="24"/>
                <w:szCs w:val="24"/>
              </w:rPr>
              <w:t xml:space="preserve">Ministru kabineta </w:t>
            </w:r>
            <w:proofErr w:type="gramStart"/>
            <w:r w:rsidR="00BB3668" w:rsidRPr="00D30AB4">
              <w:rPr>
                <w:b w:val="0"/>
                <w:sz w:val="24"/>
                <w:szCs w:val="24"/>
              </w:rPr>
              <w:t>2015.gada</w:t>
            </w:r>
            <w:proofErr w:type="gramEnd"/>
            <w:r w:rsidR="00BB3668" w:rsidRPr="00D30AB4">
              <w:rPr>
                <w:b w:val="0"/>
                <w:sz w:val="24"/>
                <w:szCs w:val="24"/>
              </w:rPr>
              <w:t xml:space="preserve"> 17.septembra r</w:t>
            </w:r>
            <w:r w:rsidR="00566910" w:rsidRPr="00D30AB4">
              <w:rPr>
                <w:b w:val="0"/>
                <w:sz w:val="24"/>
                <w:szCs w:val="24"/>
              </w:rPr>
              <w:t>īkojumu</w:t>
            </w:r>
            <w:r w:rsidR="00BB3668" w:rsidRPr="00D30AB4">
              <w:rPr>
                <w:b w:val="0"/>
                <w:sz w:val="24"/>
                <w:szCs w:val="24"/>
              </w:rPr>
              <w:t xml:space="preserve"> Nr.568 </w:t>
            </w:r>
            <w:r w:rsidR="00566910" w:rsidRPr="00D30AB4">
              <w:rPr>
                <w:b w:val="0"/>
                <w:iCs/>
                <w:sz w:val="24"/>
                <w:szCs w:val="24"/>
              </w:rPr>
              <w:t>“</w:t>
            </w:r>
            <w:r w:rsidR="00566910" w:rsidRPr="00D30AB4">
              <w:rPr>
                <w:b w:val="0"/>
                <w:sz w:val="24"/>
                <w:szCs w:val="24"/>
              </w:rPr>
              <w:t>Par apropriācijas pārdali starp Iekšlietu ministrijas budžeta programmām, apak</w:t>
            </w:r>
            <w:r w:rsidR="00366C28">
              <w:rPr>
                <w:b w:val="0"/>
                <w:sz w:val="24"/>
                <w:szCs w:val="24"/>
              </w:rPr>
              <w:t>šprogrammām un pasākumiem 2015.</w:t>
            </w:r>
            <w:r w:rsidR="00566910" w:rsidRPr="00D30AB4">
              <w:rPr>
                <w:b w:val="0"/>
                <w:sz w:val="24"/>
                <w:szCs w:val="24"/>
              </w:rPr>
              <w:t xml:space="preserve">gadā un bāzes izdevumu pārdali” 86 160 </w:t>
            </w:r>
            <w:proofErr w:type="spellStart"/>
            <w:r w:rsidR="00566910" w:rsidRPr="00D30AB4">
              <w:rPr>
                <w:b w:val="0"/>
                <w:i/>
                <w:sz w:val="24"/>
                <w:szCs w:val="24"/>
              </w:rPr>
              <w:t>euro</w:t>
            </w:r>
            <w:proofErr w:type="spellEnd"/>
            <w:r w:rsidR="00566910" w:rsidRPr="00D30AB4">
              <w:rPr>
                <w:b w:val="0"/>
                <w:sz w:val="24"/>
                <w:szCs w:val="24"/>
              </w:rPr>
              <w:t xml:space="preserve"> apmērā, nodrošinās tikai to izdevumu segšanu, kas radušies līdz oktobra sākumam. </w:t>
            </w:r>
            <w:r w:rsidR="000F11B4" w:rsidRPr="00D30AB4">
              <w:rPr>
                <w:b w:val="0"/>
                <w:sz w:val="24"/>
                <w:szCs w:val="24"/>
              </w:rPr>
              <w:t xml:space="preserve">Papildu līdz </w:t>
            </w:r>
            <w:proofErr w:type="gramStart"/>
            <w:r w:rsidR="000F11B4" w:rsidRPr="00D30AB4">
              <w:rPr>
                <w:b w:val="0"/>
                <w:sz w:val="24"/>
                <w:szCs w:val="24"/>
              </w:rPr>
              <w:t>2015.gada</w:t>
            </w:r>
            <w:proofErr w:type="gramEnd"/>
            <w:r w:rsidR="000F11B4" w:rsidRPr="00D30AB4">
              <w:rPr>
                <w:b w:val="0"/>
                <w:sz w:val="24"/>
                <w:szCs w:val="24"/>
              </w:rPr>
              <w:t xml:space="preserve"> beigām nepieciešams finansējums 69</w:t>
            </w:r>
            <w:r w:rsidR="00B568ED" w:rsidRPr="00D30AB4">
              <w:rPr>
                <w:b w:val="0"/>
                <w:sz w:val="24"/>
                <w:szCs w:val="24"/>
              </w:rPr>
              <w:t> </w:t>
            </w:r>
            <w:r w:rsidR="000F11B4" w:rsidRPr="00D30AB4">
              <w:rPr>
                <w:b w:val="0"/>
                <w:sz w:val="24"/>
                <w:szCs w:val="24"/>
              </w:rPr>
              <w:t>084</w:t>
            </w:r>
            <w:r w:rsidR="00B568ED" w:rsidRPr="00D30AB4">
              <w:rPr>
                <w:b w:val="0"/>
                <w:sz w:val="24"/>
                <w:szCs w:val="24"/>
              </w:rPr>
              <w:t xml:space="preserve">  </w:t>
            </w:r>
            <w:r w:rsidR="00B568ED" w:rsidRPr="00D30AB4">
              <w:rPr>
                <w:b w:val="0"/>
                <w:i/>
                <w:sz w:val="24"/>
                <w:szCs w:val="24"/>
              </w:rPr>
              <w:t xml:space="preserve"> </w:t>
            </w:r>
            <w:proofErr w:type="spellStart"/>
            <w:r w:rsidR="00B568ED" w:rsidRPr="00D30AB4">
              <w:rPr>
                <w:b w:val="0"/>
                <w:i/>
                <w:sz w:val="24"/>
                <w:szCs w:val="24"/>
              </w:rPr>
              <w:t>euro</w:t>
            </w:r>
            <w:proofErr w:type="spellEnd"/>
            <w:r w:rsidR="00B568ED" w:rsidRPr="00D30AB4">
              <w:rPr>
                <w:b w:val="0"/>
                <w:sz w:val="24"/>
                <w:szCs w:val="24"/>
              </w:rPr>
              <w:t xml:space="preserve"> apmērā (</w:t>
            </w:r>
            <w:r w:rsidR="00FA4F4D">
              <w:rPr>
                <w:b w:val="0"/>
                <w:sz w:val="24"/>
                <w:szCs w:val="24"/>
              </w:rPr>
              <w:t>v</w:t>
            </w:r>
            <w:r w:rsidR="00B568ED" w:rsidRPr="00D30AB4">
              <w:rPr>
                <w:b w:val="0"/>
                <w:sz w:val="24"/>
                <w:szCs w:val="24"/>
              </w:rPr>
              <w:t xml:space="preserve">idēji  19 dienas x  vid. 120 personas  x 10,10 </w:t>
            </w:r>
            <w:proofErr w:type="spellStart"/>
            <w:r w:rsidR="00B568ED" w:rsidRPr="00D30AB4">
              <w:rPr>
                <w:b w:val="0"/>
                <w:i/>
                <w:iCs/>
                <w:sz w:val="24"/>
                <w:szCs w:val="24"/>
              </w:rPr>
              <w:t>euro</w:t>
            </w:r>
            <w:proofErr w:type="spellEnd"/>
            <w:r w:rsidR="00B568ED" w:rsidRPr="00D30AB4">
              <w:rPr>
                <w:b w:val="0"/>
                <w:sz w:val="24"/>
                <w:szCs w:val="24"/>
              </w:rPr>
              <w:t xml:space="preserve"> vidēji dienā x 3 mēneši</w:t>
            </w:r>
            <w:r w:rsidR="00793F93">
              <w:rPr>
                <w:b w:val="0"/>
                <w:sz w:val="24"/>
                <w:szCs w:val="24"/>
              </w:rPr>
              <w:t xml:space="preserve"> (oktobris, novembris, </w:t>
            </w:r>
            <w:r w:rsidR="00B568ED" w:rsidRPr="00D30AB4">
              <w:rPr>
                <w:b w:val="0"/>
                <w:sz w:val="24"/>
                <w:szCs w:val="24"/>
              </w:rPr>
              <w:t>decembris)</w:t>
            </w:r>
            <w:r w:rsidR="00FA4F4D">
              <w:rPr>
                <w:b w:val="0"/>
                <w:sz w:val="24"/>
                <w:szCs w:val="24"/>
              </w:rPr>
              <w:t>)</w:t>
            </w:r>
            <w:r w:rsidR="00793F93">
              <w:rPr>
                <w:b w:val="0"/>
                <w:sz w:val="24"/>
                <w:szCs w:val="24"/>
              </w:rPr>
              <w:t>.</w:t>
            </w:r>
            <w:r w:rsidR="00B568ED" w:rsidRPr="00D30AB4">
              <w:rPr>
                <w:b w:val="0"/>
                <w:sz w:val="24"/>
                <w:szCs w:val="24"/>
              </w:rPr>
              <w:t xml:space="preserve"> </w:t>
            </w:r>
            <w:r w:rsidR="000F11B4" w:rsidRPr="00D30AB4">
              <w:rPr>
                <w:b w:val="0"/>
                <w:sz w:val="24"/>
                <w:szCs w:val="24"/>
              </w:rPr>
              <w:t xml:space="preserve"> </w:t>
            </w:r>
          </w:p>
          <w:p w:rsidR="006D1851" w:rsidRDefault="006D1851" w:rsidP="00DD2AF7">
            <w:pPr>
              <w:pStyle w:val="Heading3"/>
              <w:shd w:val="clear" w:color="auto" w:fill="FFFFFF"/>
              <w:spacing w:before="0" w:beforeAutospacing="0" w:after="0" w:afterAutospacing="0"/>
              <w:ind w:right="57" w:firstLine="364"/>
              <w:jc w:val="both"/>
              <w:rPr>
                <w:b w:val="0"/>
                <w:sz w:val="24"/>
                <w:szCs w:val="24"/>
              </w:rPr>
            </w:pPr>
            <w:r>
              <w:rPr>
                <w:b w:val="0"/>
                <w:sz w:val="24"/>
                <w:szCs w:val="24"/>
              </w:rPr>
              <w:t xml:space="preserve">Ņemot vērā iepriekš minēto, lai nodrošinātu tulkošanu un aizturēto ārzemnieku ēdināšanu, papildus no valsts budžeta līdzekļiem nepieciešams finansējums 57 384 </w:t>
            </w:r>
            <w:proofErr w:type="spellStart"/>
            <w:r w:rsidRPr="006D1851">
              <w:rPr>
                <w:b w:val="0"/>
                <w:i/>
                <w:sz w:val="24"/>
                <w:szCs w:val="24"/>
              </w:rPr>
              <w:t>euro</w:t>
            </w:r>
            <w:proofErr w:type="spellEnd"/>
            <w:r>
              <w:rPr>
                <w:b w:val="0"/>
                <w:sz w:val="24"/>
                <w:szCs w:val="24"/>
              </w:rPr>
              <w:t>.</w:t>
            </w:r>
          </w:p>
          <w:p w:rsidR="00DD2AF7" w:rsidRPr="00A84269" w:rsidRDefault="00DD2AF7" w:rsidP="00DD2AF7">
            <w:pPr>
              <w:pStyle w:val="Heading3"/>
              <w:shd w:val="clear" w:color="auto" w:fill="FFFFFF"/>
              <w:spacing w:before="0" w:beforeAutospacing="0" w:after="0" w:afterAutospacing="0"/>
              <w:ind w:right="57" w:firstLine="364"/>
              <w:jc w:val="both"/>
              <w:rPr>
                <w:b w:val="0"/>
                <w:sz w:val="24"/>
                <w:szCs w:val="24"/>
              </w:rPr>
            </w:pPr>
            <w:r w:rsidRPr="00A84269">
              <w:rPr>
                <w:b w:val="0"/>
                <w:sz w:val="24"/>
                <w:szCs w:val="24"/>
              </w:rPr>
              <w:t xml:space="preserve">Detalizēts aprēķins pievienots anotācijas </w:t>
            </w:r>
            <w:r w:rsidR="000C1C8B" w:rsidRPr="00BA6E1C">
              <w:rPr>
                <w:b w:val="0"/>
                <w:sz w:val="24"/>
                <w:szCs w:val="24"/>
              </w:rPr>
              <w:t>2</w:t>
            </w:r>
            <w:r w:rsidRPr="00BA6E1C">
              <w:rPr>
                <w:b w:val="0"/>
                <w:sz w:val="24"/>
                <w:szCs w:val="24"/>
              </w:rPr>
              <w:t>.pielikuma 7.tabulā.</w:t>
            </w:r>
          </w:p>
          <w:p w:rsidR="005703A9" w:rsidRPr="005703A9" w:rsidRDefault="000C16DB" w:rsidP="005703A9">
            <w:pPr>
              <w:spacing w:after="0" w:line="240" w:lineRule="auto"/>
              <w:ind w:firstLine="573"/>
              <w:jc w:val="both"/>
              <w:rPr>
                <w:rFonts w:ascii="Times New Roman" w:hAnsi="Times New Roman" w:cs="Times New Roman"/>
                <w:i/>
                <w:sz w:val="24"/>
                <w:szCs w:val="24"/>
              </w:rPr>
            </w:pPr>
            <w:r>
              <w:rPr>
                <w:rFonts w:ascii="Times New Roman" w:hAnsi="Times New Roman" w:cs="Times New Roman"/>
                <w:i/>
                <w:sz w:val="24"/>
                <w:szCs w:val="24"/>
              </w:rPr>
              <w:t xml:space="preserve">III. </w:t>
            </w:r>
            <w:r w:rsidR="005703A9" w:rsidRPr="005703A9">
              <w:rPr>
                <w:rFonts w:ascii="Times New Roman" w:hAnsi="Times New Roman" w:cs="Times New Roman"/>
                <w:i/>
                <w:sz w:val="24"/>
                <w:szCs w:val="24"/>
              </w:rPr>
              <w:t xml:space="preserve">Neizlietoto finansējumu, kas tika plānots budžeta apakšprogrammā 38.05.00 “Veselības aprūpe un fiziskā sagatavotība” </w:t>
            </w:r>
            <w:r w:rsidR="005703A9" w:rsidRPr="005703A9">
              <w:rPr>
                <w:rFonts w:ascii="Times New Roman" w:hAnsi="Times New Roman" w:cs="Times New Roman"/>
                <w:bCs/>
                <w:i/>
                <w:sz w:val="24"/>
                <w:szCs w:val="24"/>
              </w:rPr>
              <w:t xml:space="preserve">amatpersonu ar speciālajām dienesta pakāpēm sociālo garantiju uzlabošanai un veselības aprūpes pakalpojumu sniegšanai </w:t>
            </w:r>
            <w:r w:rsidR="005703A9" w:rsidRPr="005703A9">
              <w:rPr>
                <w:rFonts w:ascii="Times New Roman" w:hAnsi="Times New Roman" w:cs="Times New Roman"/>
                <w:b/>
                <w:bCs/>
                <w:i/>
                <w:sz w:val="24"/>
                <w:szCs w:val="24"/>
              </w:rPr>
              <w:t>240 770</w:t>
            </w:r>
            <w:r w:rsidR="005703A9" w:rsidRPr="005703A9">
              <w:rPr>
                <w:rFonts w:ascii="Times New Roman" w:hAnsi="Times New Roman" w:cs="Times New Roman"/>
                <w:bCs/>
                <w:i/>
                <w:sz w:val="24"/>
                <w:szCs w:val="24"/>
              </w:rPr>
              <w:t xml:space="preserve"> </w:t>
            </w:r>
            <w:proofErr w:type="spellStart"/>
            <w:r w:rsidR="005703A9" w:rsidRPr="005703A9">
              <w:rPr>
                <w:rFonts w:ascii="Times New Roman" w:hAnsi="Times New Roman" w:cs="Times New Roman"/>
                <w:i/>
                <w:sz w:val="24"/>
                <w:szCs w:val="24"/>
              </w:rPr>
              <w:t>euro</w:t>
            </w:r>
            <w:proofErr w:type="spellEnd"/>
            <w:r w:rsidR="005703A9" w:rsidRPr="005703A9">
              <w:rPr>
                <w:rFonts w:ascii="Times New Roman" w:hAnsi="Times New Roman" w:cs="Times New Roman"/>
                <w:i/>
                <w:sz w:val="24"/>
                <w:szCs w:val="24"/>
              </w:rPr>
              <w:t xml:space="preserve"> apmērā, Iekšlietu ministrija ierosina, veicot apropriācijas pārdali </w:t>
            </w:r>
            <w:proofErr w:type="gramStart"/>
            <w:r w:rsidR="005703A9" w:rsidRPr="005703A9">
              <w:rPr>
                <w:rFonts w:ascii="Times New Roman" w:hAnsi="Times New Roman" w:cs="Times New Roman"/>
                <w:i/>
                <w:sz w:val="24"/>
                <w:szCs w:val="24"/>
              </w:rPr>
              <w:t>2015.gadā</w:t>
            </w:r>
            <w:proofErr w:type="gramEnd"/>
            <w:r w:rsidR="005703A9" w:rsidRPr="005703A9">
              <w:rPr>
                <w:rFonts w:ascii="Times New Roman" w:hAnsi="Times New Roman" w:cs="Times New Roman"/>
                <w:i/>
                <w:sz w:val="24"/>
                <w:szCs w:val="24"/>
              </w:rPr>
              <w:t xml:space="preserve"> starp budžeta programmām un apakšprogrammām, kā arī starp EKK, </w:t>
            </w:r>
            <w:r w:rsidR="005703A9" w:rsidRPr="005703A9">
              <w:rPr>
                <w:rFonts w:ascii="Times New Roman" w:hAnsi="Times New Roman" w:cs="Times New Roman"/>
                <w:b/>
                <w:i/>
                <w:sz w:val="24"/>
                <w:szCs w:val="24"/>
              </w:rPr>
              <w:t xml:space="preserve"> </w:t>
            </w:r>
            <w:r w:rsidR="005703A9" w:rsidRPr="005703A9">
              <w:rPr>
                <w:rFonts w:ascii="Times New Roman" w:hAnsi="Times New Roman" w:cs="Times New Roman"/>
                <w:i/>
                <w:sz w:val="24"/>
                <w:szCs w:val="24"/>
              </w:rPr>
              <w:t>paredzēt  šādiem prioritāriem, ar pamatfunkciju izpildi saistītiem pasākumiem:</w:t>
            </w:r>
          </w:p>
          <w:p w:rsidR="00622743" w:rsidRDefault="005703A9" w:rsidP="00622743">
            <w:pPr>
              <w:pStyle w:val="Heading3"/>
              <w:shd w:val="clear" w:color="auto" w:fill="FFFFFF"/>
              <w:spacing w:before="0" w:beforeAutospacing="0" w:after="0" w:afterAutospacing="0"/>
              <w:ind w:right="57" w:firstLine="364"/>
              <w:jc w:val="both"/>
              <w:rPr>
                <w:b w:val="0"/>
                <w:sz w:val="24"/>
                <w:szCs w:val="24"/>
              </w:rPr>
            </w:pPr>
            <w:r w:rsidRPr="00622743">
              <w:rPr>
                <w:sz w:val="24"/>
                <w:szCs w:val="24"/>
              </w:rPr>
              <w:t>1.</w:t>
            </w:r>
            <w:r w:rsidR="00622743">
              <w:rPr>
                <w:b w:val="0"/>
                <w:sz w:val="24"/>
                <w:szCs w:val="24"/>
              </w:rPr>
              <w:t xml:space="preserve"> </w:t>
            </w:r>
            <w:r w:rsidR="005B664B" w:rsidRPr="005B664B">
              <w:rPr>
                <w:sz w:val="24"/>
                <w:szCs w:val="24"/>
              </w:rPr>
              <w:t>Centralizētai d</w:t>
            </w:r>
            <w:r w:rsidRPr="005B664B">
              <w:rPr>
                <w:sz w:val="24"/>
                <w:szCs w:val="24"/>
              </w:rPr>
              <w:t>atortehnikas</w:t>
            </w:r>
            <w:r w:rsidRPr="00622743">
              <w:rPr>
                <w:sz w:val="24"/>
                <w:szCs w:val="24"/>
              </w:rPr>
              <w:t xml:space="preserve"> atjaunošanai</w:t>
            </w:r>
            <w:r w:rsidR="00622743" w:rsidRPr="00DC045E">
              <w:rPr>
                <w:b w:val="0"/>
                <w:sz w:val="24"/>
                <w:szCs w:val="24"/>
              </w:rPr>
              <w:t xml:space="preserve"> </w:t>
            </w:r>
            <w:r w:rsidR="00622743">
              <w:rPr>
                <w:b w:val="0"/>
                <w:sz w:val="24"/>
                <w:szCs w:val="24"/>
              </w:rPr>
              <w:t>(</w:t>
            </w:r>
            <w:r w:rsidR="00622743" w:rsidRPr="00DC045E">
              <w:rPr>
                <w:b w:val="0"/>
                <w:sz w:val="24"/>
                <w:szCs w:val="24"/>
              </w:rPr>
              <w:t>budžeta apakšprogramma</w:t>
            </w:r>
            <w:r w:rsidR="00622743">
              <w:rPr>
                <w:b w:val="0"/>
                <w:sz w:val="24"/>
                <w:szCs w:val="24"/>
              </w:rPr>
              <w:t xml:space="preserve"> </w:t>
            </w:r>
            <w:r w:rsidR="00622743" w:rsidRPr="007F55A5">
              <w:rPr>
                <w:b w:val="0"/>
                <w:sz w:val="24"/>
                <w:szCs w:val="24"/>
              </w:rPr>
              <w:t>40.02.00 “Nekustamais īpašums un centralizētais iepirkums”)</w:t>
            </w:r>
            <w:r w:rsidR="003F0BAB">
              <w:rPr>
                <w:b w:val="0"/>
                <w:sz w:val="24"/>
                <w:szCs w:val="24"/>
              </w:rPr>
              <w:t xml:space="preserve"> </w:t>
            </w:r>
            <w:r w:rsidR="00622743">
              <w:rPr>
                <w:b w:val="0"/>
                <w:sz w:val="24"/>
                <w:szCs w:val="24"/>
              </w:rPr>
              <w:t xml:space="preserve">– </w:t>
            </w:r>
            <w:r w:rsidR="00622743">
              <w:rPr>
                <w:sz w:val="24"/>
                <w:szCs w:val="24"/>
              </w:rPr>
              <w:t>224 680</w:t>
            </w:r>
            <w:r w:rsidR="00622743" w:rsidRPr="00DC045E">
              <w:rPr>
                <w:b w:val="0"/>
                <w:sz w:val="24"/>
                <w:szCs w:val="24"/>
              </w:rPr>
              <w:t xml:space="preserve"> </w:t>
            </w:r>
            <w:proofErr w:type="spellStart"/>
            <w:r w:rsidR="00622743" w:rsidRPr="00DC045E">
              <w:rPr>
                <w:b w:val="0"/>
                <w:i/>
                <w:sz w:val="24"/>
                <w:szCs w:val="24"/>
              </w:rPr>
              <w:t>euro</w:t>
            </w:r>
            <w:proofErr w:type="spellEnd"/>
            <w:r w:rsidR="00622743">
              <w:rPr>
                <w:b w:val="0"/>
                <w:sz w:val="24"/>
                <w:szCs w:val="24"/>
              </w:rPr>
              <w:t xml:space="preserve"> </w:t>
            </w:r>
            <w:r w:rsidR="00622743" w:rsidRPr="007955EC">
              <w:rPr>
                <w:b w:val="0"/>
                <w:sz w:val="24"/>
                <w:szCs w:val="24"/>
              </w:rPr>
              <w:t>(EKK</w:t>
            </w:r>
            <w:r w:rsidR="007955EC" w:rsidRPr="007955EC">
              <w:rPr>
                <w:b w:val="0"/>
                <w:sz w:val="24"/>
                <w:szCs w:val="24"/>
              </w:rPr>
              <w:t xml:space="preserve"> 2312 – 51 880; EKK 5238 – 172 800</w:t>
            </w:r>
            <w:r w:rsidR="00622743" w:rsidRPr="007955EC">
              <w:rPr>
                <w:b w:val="0"/>
                <w:sz w:val="24"/>
                <w:szCs w:val="24"/>
              </w:rPr>
              <w:t>).</w:t>
            </w:r>
          </w:p>
          <w:p w:rsidR="00516201" w:rsidRPr="00937B6B" w:rsidRDefault="00516201" w:rsidP="00697D42">
            <w:pPr>
              <w:spacing w:after="0" w:line="240" w:lineRule="auto"/>
              <w:ind w:left="7" w:firstLine="284"/>
              <w:jc w:val="both"/>
              <w:rPr>
                <w:rFonts w:ascii="Times New Roman" w:hAnsi="Times New Roman" w:cs="Times New Roman"/>
                <w:sz w:val="24"/>
                <w:szCs w:val="24"/>
              </w:rPr>
            </w:pPr>
            <w:r w:rsidRPr="00937B6B">
              <w:rPr>
                <w:rFonts w:ascii="Times New Roman" w:hAnsi="Times New Roman" w:cs="Times New Roman"/>
                <w:sz w:val="24"/>
                <w:szCs w:val="24"/>
              </w:rPr>
              <w:t xml:space="preserve">No </w:t>
            </w:r>
            <w:proofErr w:type="gramStart"/>
            <w:r w:rsidRPr="00937B6B">
              <w:rPr>
                <w:rFonts w:ascii="Times New Roman" w:hAnsi="Times New Roman" w:cs="Times New Roman"/>
                <w:sz w:val="24"/>
                <w:szCs w:val="24"/>
              </w:rPr>
              <w:t>2014.gada</w:t>
            </w:r>
            <w:proofErr w:type="gramEnd"/>
            <w:r w:rsidRPr="00937B6B">
              <w:rPr>
                <w:rFonts w:ascii="Times New Roman" w:hAnsi="Times New Roman" w:cs="Times New Roman"/>
                <w:sz w:val="24"/>
                <w:szCs w:val="24"/>
              </w:rPr>
              <w:t xml:space="preserve"> 8.aprīļa Microsoft korporācija pārtrauca atbalstu operētājsistēmai Microsoft </w:t>
            </w:r>
            <w:proofErr w:type="spellStart"/>
            <w:r w:rsidRPr="00937B6B">
              <w:rPr>
                <w:rFonts w:ascii="Times New Roman" w:hAnsi="Times New Roman" w:cs="Times New Roman"/>
                <w:sz w:val="24"/>
                <w:szCs w:val="24"/>
              </w:rPr>
              <w:t>Windows</w:t>
            </w:r>
            <w:proofErr w:type="spellEnd"/>
            <w:r w:rsidRPr="00937B6B">
              <w:rPr>
                <w:rFonts w:ascii="Times New Roman" w:hAnsi="Times New Roman" w:cs="Times New Roman"/>
                <w:sz w:val="24"/>
                <w:szCs w:val="24"/>
              </w:rPr>
              <w:t xml:space="preserve"> XP un lietojumprogrammai Microsoft </w:t>
            </w:r>
            <w:proofErr w:type="spellStart"/>
            <w:r w:rsidRPr="00937B6B">
              <w:rPr>
                <w:rFonts w:ascii="Times New Roman" w:hAnsi="Times New Roman" w:cs="Times New Roman"/>
                <w:sz w:val="24"/>
                <w:szCs w:val="24"/>
              </w:rPr>
              <w:t>Office</w:t>
            </w:r>
            <w:proofErr w:type="spellEnd"/>
            <w:r w:rsidRPr="00937B6B">
              <w:rPr>
                <w:rFonts w:ascii="Times New Roman" w:hAnsi="Times New Roman" w:cs="Times New Roman"/>
                <w:sz w:val="24"/>
                <w:szCs w:val="24"/>
              </w:rPr>
              <w:t xml:space="preserve"> 2003. Pašlaik iekšlietu resora iestādēs ir 8783 datori, no kuriem 4269 datori ir ar Microsoft </w:t>
            </w:r>
            <w:proofErr w:type="spellStart"/>
            <w:r w:rsidRPr="00937B6B">
              <w:rPr>
                <w:rFonts w:ascii="Times New Roman" w:hAnsi="Times New Roman" w:cs="Times New Roman"/>
                <w:sz w:val="24"/>
                <w:szCs w:val="24"/>
              </w:rPr>
              <w:t>Windows</w:t>
            </w:r>
            <w:proofErr w:type="spellEnd"/>
            <w:r w:rsidRPr="00937B6B">
              <w:rPr>
                <w:rFonts w:ascii="Times New Roman" w:hAnsi="Times New Roman" w:cs="Times New Roman"/>
                <w:sz w:val="24"/>
                <w:szCs w:val="24"/>
              </w:rPr>
              <w:t xml:space="preserve"> XP programmatūru un 387 datori ir ar Microsoft </w:t>
            </w:r>
            <w:proofErr w:type="spellStart"/>
            <w:r w:rsidRPr="00937B6B">
              <w:rPr>
                <w:rFonts w:ascii="Times New Roman" w:hAnsi="Times New Roman" w:cs="Times New Roman"/>
                <w:sz w:val="24"/>
                <w:szCs w:val="24"/>
              </w:rPr>
              <w:t>Office</w:t>
            </w:r>
            <w:proofErr w:type="spellEnd"/>
            <w:r w:rsidRPr="00937B6B">
              <w:rPr>
                <w:rFonts w:ascii="Times New Roman" w:hAnsi="Times New Roman" w:cs="Times New Roman"/>
                <w:sz w:val="24"/>
                <w:szCs w:val="24"/>
              </w:rPr>
              <w:t xml:space="preserve"> 2003 programmatūru. Minētā problēma tika izskatīta </w:t>
            </w:r>
            <w:proofErr w:type="gramStart"/>
            <w:r w:rsidRPr="00937B6B">
              <w:rPr>
                <w:rFonts w:ascii="Times New Roman" w:hAnsi="Times New Roman" w:cs="Times New Roman"/>
                <w:sz w:val="24"/>
                <w:szCs w:val="24"/>
              </w:rPr>
              <w:t>2014.gada</w:t>
            </w:r>
            <w:proofErr w:type="gramEnd"/>
            <w:r w:rsidRPr="00937B6B">
              <w:rPr>
                <w:rFonts w:ascii="Times New Roman" w:hAnsi="Times New Roman" w:cs="Times New Roman"/>
                <w:sz w:val="24"/>
                <w:szCs w:val="24"/>
              </w:rPr>
              <w:t xml:space="preserve"> 12.marta un 2015.gada 1.jūlija Iekšlietu ministrijas Informācijas un komunikācijas tehnoloģiju resursu drošības pārvaldības padomes sēdē, kurā tika identificēts drošības risku būtisks pieaugums, kas var izraisīt darbstaciju </w:t>
            </w:r>
            <w:r w:rsidRPr="00937B6B">
              <w:rPr>
                <w:rFonts w:ascii="Times New Roman" w:hAnsi="Times New Roman" w:cs="Times New Roman"/>
                <w:sz w:val="24"/>
                <w:szCs w:val="24"/>
              </w:rPr>
              <w:lastRenderedPageBreak/>
              <w:t xml:space="preserve">“ievainojamību”, līdz ar to paralizēt un negatīvi ietekmēt Iekšlietu ministrijas datu pārraides tīkla darbību un pie tā pieslēgtās iekārtas. Iekšlietu ministrijas Informācijas centrs ir izvērtējis vairākus iespējamos risinājumus operētājsistēmas un lietojumprogrammas pārejai uz jaunākiem produktiem, kuriem ir paredzēts Microsoft atbalsts, kuru ietvaros kā viens no risinājumiem skar jaunu Microsoft licenču iegādi, kur papildus nepieciešama datortehnikas modernizēšana (cieto disku HDD nomaiņa uz SSD cieta diska tipiem, operatīvās atmiņas moduļu paplašināšana, mātes plates nomaiņa), lai paātrinātu datortehnikas veiktspēju un iespēju darboties ar jaunās paaudzes </w:t>
            </w:r>
            <w:r w:rsidR="00966D4C" w:rsidRPr="00937B6B">
              <w:rPr>
                <w:rFonts w:ascii="Times New Roman" w:hAnsi="Times New Roman" w:cs="Times New Roman"/>
                <w:sz w:val="24"/>
                <w:szCs w:val="24"/>
              </w:rPr>
              <w:t>operētājsistēmām un lietojum</w:t>
            </w:r>
            <w:r w:rsidRPr="00937B6B">
              <w:rPr>
                <w:rFonts w:ascii="Times New Roman" w:hAnsi="Times New Roman" w:cs="Times New Roman"/>
                <w:sz w:val="24"/>
                <w:szCs w:val="24"/>
              </w:rPr>
              <w:t>programmām.</w:t>
            </w:r>
            <w:r w:rsidR="00966D4C" w:rsidRPr="00937B6B">
              <w:rPr>
                <w:rFonts w:ascii="Times New Roman" w:hAnsi="Times New Roman" w:cs="Times New Roman"/>
                <w:sz w:val="24"/>
                <w:szCs w:val="24"/>
              </w:rPr>
              <w:t xml:space="preserve"> </w:t>
            </w:r>
            <w:r w:rsidRPr="00937B6B">
              <w:rPr>
                <w:rFonts w:ascii="Times New Roman" w:hAnsi="Times New Roman" w:cs="Times New Roman"/>
                <w:sz w:val="24"/>
                <w:szCs w:val="24"/>
              </w:rPr>
              <w:t xml:space="preserve">Tomēr, izvērtējot 4269 datortehnikas vienību tehniskās specifikācijas un to ražošanas gadus, tika konstatēts, ka šīs datortehnikas iegāde tika veikta laika posmā no 1998. līdz </w:t>
            </w:r>
            <w:proofErr w:type="gramStart"/>
            <w:r w:rsidRPr="00937B6B">
              <w:rPr>
                <w:rFonts w:ascii="Times New Roman" w:hAnsi="Times New Roman" w:cs="Times New Roman"/>
                <w:sz w:val="24"/>
                <w:szCs w:val="24"/>
              </w:rPr>
              <w:t>2007.gadam</w:t>
            </w:r>
            <w:proofErr w:type="gramEnd"/>
            <w:r w:rsidRPr="00937B6B">
              <w:rPr>
                <w:rFonts w:ascii="Times New Roman" w:hAnsi="Times New Roman" w:cs="Times New Roman"/>
                <w:sz w:val="24"/>
                <w:szCs w:val="24"/>
              </w:rPr>
              <w:t>. Šī datortehnika novecojošo tehnoloģiju dēļ nav savietojama ar jaunās paaudzes  operētājsistēmām un lietojumprogrammām, kā arī ar jauniem SDD cietā diska tipiem un operatīvās atmiņas moduļiem, tādēļ būtu nepieciešams iegādāties minēto programmatūru kopā ar jaunu datortehniku. Ja problēma netiks risināta piedāvātajā variantā, tad, lai aizsargātu Iekšlietu ministrijas datu pārraides tīklu, būs nepieciešams atslēgt minētos datorus no tīkla, kas krasi ierobežos visu iekšlietu resora iestāžu lietotāju darbu (šie datori faktiski būs lietojami tikai dokumentu sagatavošanai), kas negatīvi ietekmēs arī cīņu pret noziedzības (t.sk. organizētās) apkarošanas un novēršanas jomā.</w:t>
            </w:r>
          </w:p>
          <w:p w:rsidR="00516201" w:rsidRPr="00697D42" w:rsidRDefault="00516201" w:rsidP="00DA72B7">
            <w:pPr>
              <w:spacing w:after="0" w:line="240" w:lineRule="auto"/>
              <w:ind w:left="7" w:firstLine="357"/>
              <w:jc w:val="both"/>
              <w:rPr>
                <w:rFonts w:ascii="Times New Roman" w:hAnsi="Times New Roman" w:cs="Times New Roman"/>
                <w:sz w:val="24"/>
                <w:szCs w:val="24"/>
              </w:rPr>
            </w:pPr>
            <w:r w:rsidRPr="00937B6B">
              <w:rPr>
                <w:rFonts w:ascii="Times New Roman" w:hAnsi="Times New Roman" w:cs="Times New Roman"/>
                <w:sz w:val="24"/>
                <w:szCs w:val="24"/>
              </w:rPr>
              <w:t>Iekšlietu ministrija ir sagatavojusi un noteiktā kārtībā iesniegusi arī veidlapu “Jaunā politikas iniciatīva, kurai tiek vērtēta atbilstība attīstības plānošanas dokumentiem, vidējam termiņam. Informācijas tehnoloģiju pilnveidošana un attīstība” (JPI 14_05_P), kurā norādīts, ka 2016.-</w:t>
            </w:r>
            <w:proofErr w:type="gramStart"/>
            <w:r w:rsidRPr="00937B6B">
              <w:rPr>
                <w:rFonts w:ascii="Times New Roman" w:hAnsi="Times New Roman" w:cs="Times New Roman"/>
                <w:sz w:val="24"/>
                <w:szCs w:val="24"/>
              </w:rPr>
              <w:t>2018.gadā</w:t>
            </w:r>
            <w:proofErr w:type="gramEnd"/>
            <w:r w:rsidRPr="00937B6B">
              <w:rPr>
                <w:rFonts w:ascii="Times New Roman" w:hAnsi="Times New Roman" w:cs="Times New Roman"/>
                <w:sz w:val="24"/>
                <w:szCs w:val="24"/>
              </w:rPr>
              <w:t xml:space="preserve"> problēmas risināšanai nepieciešami kopsummā 2 813 932 </w:t>
            </w:r>
            <w:proofErr w:type="spellStart"/>
            <w:r w:rsidRPr="00937B6B">
              <w:rPr>
                <w:rFonts w:ascii="Times New Roman" w:hAnsi="Times New Roman" w:cs="Times New Roman"/>
                <w:i/>
                <w:sz w:val="24"/>
                <w:szCs w:val="24"/>
              </w:rPr>
              <w:t>euro</w:t>
            </w:r>
            <w:proofErr w:type="spellEnd"/>
            <w:r w:rsidRPr="00937B6B">
              <w:rPr>
                <w:rFonts w:ascii="Times New Roman" w:hAnsi="Times New Roman" w:cs="Times New Roman"/>
                <w:sz w:val="24"/>
                <w:szCs w:val="24"/>
              </w:rPr>
              <w:t xml:space="preserve">. Lai </w:t>
            </w:r>
            <w:r w:rsidR="00366C28">
              <w:rPr>
                <w:rFonts w:ascii="Times New Roman" w:hAnsi="Times New Roman" w:cs="Times New Roman"/>
                <w:sz w:val="24"/>
                <w:szCs w:val="24"/>
              </w:rPr>
              <w:t xml:space="preserve">kaut daļēji </w:t>
            </w:r>
            <w:r w:rsidRPr="00937B6B">
              <w:rPr>
                <w:rFonts w:ascii="Times New Roman" w:hAnsi="Times New Roman" w:cs="Times New Roman"/>
                <w:sz w:val="24"/>
                <w:szCs w:val="24"/>
              </w:rPr>
              <w:t xml:space="preserve">risinātu problēmu, tika veikta apropriācijas pārdale 707 181 </w:t>
            </w:r>
            <w:proofErr w:type="spellStart"/>
            <w:r w:rsidRPr="00937B6B">
              <w:rPr>
                <w:rFonts w:ascii="Times New Roman" w:hAnsi="Times New Roman" w:cs="Times New Roman"/>
                <w:i/>
                <w:sz w:val="24"/>
                <w:szCs w:val="24"/>
              </w:rPr>
              <w:t>euro</w:t>
            </w:r>
            <w:proofErr w:type="spellEnd"/>
            <w:r w:rsidRPr="00937B6B">
              <w:rPr>
                <w:rFonts w:ascii="Times New Roman" w:hAnsi="Times New Roman" w:cs="Times New Roman"/>
                <w:i/>
                <w:sz w:val="24"/>
                <w:szCs w:val="24"/>
              </w:rPr>
              <w:t xml:space="preserve"> </w:t>
            </w:r>
            <w:r w:rsidRPr="00937B6B">
              <w:rPr>
                <w:rFonts w:ascii="Times New Roman" w:hAnsi="Times New Roman" w:cs="Times New Roman"/>
                <w:sz w:val="24"/>
                <w:szCs w:val="24"/>
              </w:rPr>
              <w:t xml:space="preserve">apmērā (Ministru kabineta </w:t>
            </w:r>
            <w:proofErr w:type="gramStart"/>
            <w:r w:rsidRPr="00937B6B">
              <w:rPr>
                <w:rFonts w:ascii="Times New Roman" w:hAnsi="Times New Roman" w:cs="Times New Roman"/>
                <w:sz w:val="24"/>
                <w:szCs w:val="24"/>
              </w:rPr>
              <w:t>2015.gada</w:t>
            </w:r>
            <w:proofErr w:type="gramEnd"/>
            <w:r w:rsidRPr="00937B6B">
              <w:rPr>
                <w:rFonts w:ascii="Times New Roman" w:hAnsi="Times New Roman" w:cs="Times New Roman"/>
                <w:sz w:val="24"/>
                <w:szCs w:val="24"/>
              </w:rPr>
              <w:t xml:space="preserve"> 17.septembra rīkojums Nr.568 </w:t>
            </w:r>
            <w:r w:rsidR="00966D4C" w:rsidRPr="00937B6B">
              <w:rPr>
                <w:rFonts w:ascii="Times New Roman" w:hAnsi="Times New Roman" w:cs="Times New Roman"/>
                <w:sz w:val="24"/>
                <w:szCs w:val="24"/>
              </w:rPr>
              <w:t>“</w:t>
            </w:r>
            <w:r w:rsidR="00966D4C" w:rsidRPr="00697D42">
              <w:rPr>
                <w:rFonts w:ascii="Times New Roman" w:hAnsi="Times New Roman" w:cs="Times New Roman"/>
                <w:bCs/>
                <w:sz w:val="24"/>
                <w:szCs w:val="24"/>
              </w:rPr>
              <w:t>Par apropriācijas pārdali starp Iekšlietu ministrijas budžeta programmām, apakšprogrammām un pasākumiem 2015.gadā un bāzes izdevumu pārdali ”</w:t>
            </w:r>
            <w:r w:rsidR="00937B6B" w:rsidRPr="00697D42">
              <w:rPr>
                <w:rFonts w:ascii="Times New Roman" w:hAnsi="Times New Roman" w:cs="Times New Roman"/>
                <w:bCs/>
                <w:sz w:val="24"/>
                <w:szCs w:val="24"/>
              </w:rPr>
              <w:t>.</w:t>
            </w:r>
          </w:p>
          <w:p w:rsidR="009512EC" w:rsidRPr="00937B6B" w:rsidRDefault="009512EC" w:rsidP="00697D42">
            <w:pPr>
              <w:pStyle w:val="Heading3"/>
              <w:shd w:val="clear" w:color="auto" w:fill="FFFFFF"/>
              <w:spacing w:before="0" w:beforeAutospacing="0" w:after="0" w:afterAutospacing="0"/>
              <w:ind w:right="57" w:firstLine="364"/>
              <w:jc w:val="both"/>
              <w:rPr>
                <w:b w:val="0"/>
                <w:sz w:val="24"/>
                <w:szCs w:val="24"/>
              </w:rPr>
            </w:pPr>
            <w:r w:rsidRPr="00937B6B">
              <w:rPr>
                <w:b w:val="0"/>
                <w:sz w:val="24"/>
                <w:szCs w:val="24"/>
              </w:rPr>
              <w:t xml:space="preserve">Detalizēts aprēķins pievienots anotācijas </w:t>
            </w:r>
            <w:r w:rsidRPr="00366C28">
              <w:rPr>
                <w:b w:val="0"/>
                <w:sz w:val="24"/>
                <w:szCs w:val="24"/>
              </w:rPr>
              <w:t>2.pielikuma 8.tabulā.</w:t>
            </w:r>
          </w:p>
          <w:p w:rsidR="005703A9" w:rsidRDefault="00AB6808" w:rsidP="003B0B3A">
            <w:pPr>
              <w:pStyle w:val="Heading3"/>
              <w:shd w:val="clear" w:color="auto" w:fill="FFFFFF"/>
              <w:spacing w:before="0" w:beforeAutospacing="0" w:after="0" w:afterAutospacing="0"/>
              <w:ind w:right="57" w:firstLine="364"/>
              <w:jc w:val="both"/>
              <w:rPr>
                <w:b w:val="0"/>
                <w:sz w:val="24"/>
                <w:szCs w:val="24"/>
              </w:rPr>
            </w:pPr>
            <w:r w:rsidRPr="00AB6808">
              <w:rPr>
                <w:sz w:val="24"/>
                <w:szCs w:val="24"/>
              </w:rPr>
              <w:t xml:space="preserve">2. </w:t>
            </w:r>
            <w:r w:rsidR="00AA3B38">
              <w:rPr>
                <w:sz w:val="24"/>
                <w:szCs w:val="24"/>
              </w:rPr>
              <w:t xml:space="preserve">Resursu vadības sistēmas </w:t>
            </w:r>
            <w:r w:rsidR="00AA3B38" w:rsidRPr="00B65C58">
              <w:rPr>
                <w:i/>
                <w:sz w:val="24"/>
                <w:szCs w:val="24"/>
              </w:rPr>
              <w:t>“</w:t>
            </w:r>
            <w:proofErr w:type="spellStart"/>
            <w:r w:rsidR="00AA3B38" w:rsidRPr="00B65C58">
              <w:rPr>
                <w:i/>
                <w:sz w:val="24"/>
                <w:szCs w:val="24"/>
              </w:rPr>
              <w:t>Horizon</w:t>
            </w:r>
            <w:proofErr w:type="spellEnd"/>
            <w:r w:rsidR="00AA3B38" w:rsidRPr="00B65C58">
              <w:rPr>
                <w:i/>
                <w:sz w:val="24"/>
                <w:szCs w:val="24"/>
              </w:rPr>
              <w:t>”</w:t>
            </w:r>
            <w:r w:rsidR="00AA3B38" w:rsidRPr="00AA3B38">
              <w:rPr>
                <w:sz w:val="24"/>
                <w:szCs w:val="24"/>
              </w:rPr>
              <w:t xml:space="preserve"> Iekšlietu ministrijas grāmat</w:t>
            </w:r>
            <w:r w:rsidR="00AA3B38">
              <w:rPr>
                <w:sz w:val="24"/>
                <w:szCs w:val="24"/>
              </w:rPr>
              <w:t>vedības uzskaites vadlīniju un p</w:t>
            </w:r>
            <w:r w:rsidR="00AA3B38" w:rsidRPr="00AA3B38">
              <w:rPr>
                <w:sz w:val="24"/>
                <w:szCs w:val="24"/>
              </w:rPr>
              <w:t>ersonāla moduļa vadlīniju izstrādei</w:t>
            </w:r>
            <w:r w:rsidR="003F0BAB">
              <w:rPr>
                <w:sz w:val="24"/>
                <w:szCs w:val="24"/>
              </w:rPr>
              <w:t xml:space="preserve"> </w:t>
            </w:r>
            <w:r w:rsidR="003F0BAB">
              <w:rPr>
                <w:b w:val="0"/>
                <w:sz w:val="24"/>
                <w:szCs w:val="24"/>
              </w:rPr>
              <w:t>(</w:t>
            </w:r>
            <w:r w:rsidR="002160EE">
              <w:rPr>
                <w:b w:val="0"/>
                <w:sz w:val="24"/>
                <w:szCs w:val="24"/>
              </w:rPr>
              <w:t xml:space="preserve">budžeta </w:t>
            </w:r>
            <w:r w:rsidR="003F0BAB" w:rsidRPr="00DC045E">
              <w:rPr>
                <w:b w:val="0"/>
                <w:sz w:val="24"/>
                <w:szCs w:val="24"/>
              </w:rPr>
              <w:t>programma</w:t>
            </w:r>
            <w:r w:rsidR="003F0BAB">
              <w:rPr>
                <w:b w:val="0"/>
                <w:sz w:val="24"/>
                <w:szCs w:val="24"/>
              </w:rPr>
              <w:t xml:space="preserve"> 97.00.00 “Nozaru vadība un politikas plānošana”) </w:t>
            </w:r>
            <w:r w:rsidR="003F0BAB">
              <w:rPr>
                <w:b w:val="0"/>
                <w:sz w:val="24"/>
                <w:szCs w:val="24"/>
              </w:rPr>
              <w:softHyphen/>
              <w:t xml:space="preserve">– </w:t>
            </w:r>
            <w:r w:rsidR="003F0BAB" w:rsidRPr="003F0BAB">
              <w:rPr>
                <w:sz w:val="24"/>
                <w:szCs w:val="24"/>
              </w:rPr>
              <w:t>16 090</w:t>
            </w:r>
            <w:r w:rsidR="003F0BAB">
              <w:rPr>
                <w:b w:val="0"/>
                <w:sz w:val="24"/>
                <w:szCs w:val="24"/>
              </w:rPr>
              <w:t xml:space="preserve"> </w:t>
            </w:r>
            <w:proofErr w:type="spellStart"/>
            <w:r w:rsidR="003F0BAB" w:rsidRPr="00DC045E">
              <w:rPr>
                <w:b w:val="0"/>
                <w:i/>
                <w:sz w:val="24"/>
                <w:szCs w:val="24"/>
              </w:rPr>
              <w:t>euro</w:t>
            </w:r>
            <w:proofErr w:type="spellEnd"/>
            <w:r w:rsidR="003F0BAB">
              <w:rPr>
                <w:b w:val="0"/>
                <w:sz w:val="24"/>
                <w:szCs w:val="24"/>
              </w:rPr>
              <w:t xml:space="preserve"> (EKK 2259).</w:t>
            </w:r>
          </w:p>
          <w:p w:rsidR="009512EC" w:rsidRPr="00FC2E21" w:rsidRDefault="00221047" w:rsidP="003B0B3A">
            <w:pPr>
              <w:spacing w:after="0" w:line="240" w:lineRule="auto"/>
              <w:ind w:firstLine="506"/>
              <w:jc w:val="both"/>
              <w:rPr>
                <w:sz w:val="24"/>
                <w:szCs w:val="24"/>
              </w:rPr>
            </w:pPr>
            <w:r w:rsidRPr="006F2976">
              <w:rPr>
                <w:rFonts w:ascii="Times New Roman" w:hAnsi="Times New Roman" w:cs="Times New Roman"/>
                <w:sz w:val="24"/>
                <w:szCs w:val="24"/>
              </w:rPr>
              <w:t xml:space="preserve">Resursu vadības sistēmas </w:t>
            </w:r>
            <w:r w:rsidRPr="006F2976">
              <w:rPr>
                <w:rFonts w:ascii="Times New Roman" w:hAnsi="Times New Roman" w:cs="Times New Roman"/>
                <w:i/>
                <w:sz w:val="24"/>
                <w:szCs w:val="24"/>
              </w:rPr>
              <w:t>“</w:t>
            </w:r>
            <w:proofErr w:type="spellStart"/>
            <w:r w:rsidRPr="006F2976">
              <w:rPr>
                <w:rFonts w:ascii="Times New Roman" w:hAnsi="Times New Roman" w:cs="Times New Roman"/>
                <w:i/>
                <w:sz w:val="24"/>
                <w:szCs w:val="24"/>
              </w:rPr>
              <w:t>Horizon</w:t>
            </w:r>
            <w:proofErr w:type="spellEnd"/>
            <w:r w:rsidRPr="006F2976">
              <w:rPr>
                <w:rFonts w:ascii="Times New Roman" w:hAnsi="Times New Roman" w:cs="Times New Roman"/>
                <w:i/>
                <w:sz w:val="24"/>
                <w:szCs w:val="24"/>
              </w:rPr>
              <w:t>”</w:t>
            </w:r>
            <w:r w:rsidRPr="006F2976">
              <w:rPr>
                <w:rFonts w:ascii="Times New Roman" w:hAnsi="Times New Roman" w:cs="Times New Roman"/>
                <w:sz w:val="24"/>
                <w:szCs w:val="24"/>
              </w:rPr>
              <w:t xml:space="preserve"> Iekšlietu ministrijas grāmatvedības uzskaites vadlīnijas un personāla moduļa vadlīnijas ir izstrādātas un apstiprinātas </w:t>
            </w:r>
            <w:proofErr w:type="gramStart"/>
            <w:r w:rsidRPr="006F2976">
              <w:rPr>
                <w:rFonts w:ascii="Times New Roman" w:hAnsi="Times New Roman" w:cs="Times New Roman"/>
                <w:sz w:val="24"/>
                <w:szCs w:val="24"/>
              </w:rPr>
              <w:t>2010.gadā</w:t>
            </w:r>
            <w:proofErr w:type="gramEnd"/>
            <w:r w:rsidRPr="006F2976">
              <w:rPr>
                <w:rFonts w:ascii="Times New Roman" w:hAnsi="Times New Roman" w:cs="Times New Roman"/>
                <w:sz w:val="24"/>
                <w:szCs w:val="24"/>
              </w:rPr>
              <w:t xml:space="preserve">. Mainoties normatīvo aktu bāzei, kā arī, ieviešot jaunus efektīvākus konkrētu jautājumu risinājumus, tika konstatēts, ka vadlīnijas ir būtiski novecojušas. Lai minimizētu iespējamos riskus un panāktu vienotas pieejas piemērošanu iekšlietu resora grāmatvedības un personālvadības uzskaitē, ir nepieciešams izstrādāt jaunas, aktuālas resursu vadības sistēmas </w:t>
            </w:r>
            <w:r w:rsidRPr="006F2976">
              <w:rPr>
                <w:rFonts w:ascii="Times New Roman" w:hAnsi="Times New Roman" w:cs="Times New Roman"/>
                <w:i/>
                <w:sz w:val="24"/>
                <w:szCs w:val="24"/>
              </w:rPr>
              <w:t>“</w:t>
            </w:r>
            <w:proofErr w:type="spellStart"/>
            <w:r w:rsidRPr="006F2976">
              <w:rPr>
                <w:rFonts w:ascii="Times New Roman" w:hAnsi="Times New Roman" w:cs="Times New Roman"/>
                <w:i/>
                <w:sz w:val="24"/>
                <w:szCs w:val="24"/>
              </w:rPr>
              <w:t>Horizon</w:t>
            </w:r>
            <w:proofErr w:type="spellEnd"/>
            <w:r w:rsidRPr="006F2976">
              <w:rPr>
                <w:rFonts w:ascii="Times New Roman" w:hAnsi="Times New Roman" w:cs="Times New Roman"/>
                <w:i/>
                <w:sz w:val="24"/>
                <w:szCs w:val="24"/>
              </w:rPr>
              <w:t>”</w:t>
            </w:r>
            <w:r w:rsidR="00B20337">
              <w:rPr>
                <w:rFonts w:ascii="Times New Roman" w:hAnsi="Times New Roman" w:cs="Times New Roman"/>
                <w:sz w:val="24"/>
                <w:szCs w:val="24"/>
              </w:rPr>
              <w:t xml:space="preserve"> </w:t>
            </w:r>
            <w:r w:rsidRPr="006F2976">
              <w:rPr>
                <w:rFonts w:ascii="Times New Roman" w:hAnsi="Times New Roman" w:cs="Times New Roman"/>
                <w:sz w:val="24"/>
                <w:szCs w:val="24"/>
              </w:rPr>
              <w:t>Iekšlietu ministrijas grāmatvedības uzskaites vadlīnijas</w:t>
            </w:r>
            <w:r w:rsidR="002160EE">
              <w:rPr>
                <w:rFonts w:ascii="Times New Roman" w:hAnsi="Times New Roman" w:cs="Times New Roman"/>
                <w:sz w:val="24"/>
                <w:szCs w:val="24"/>
              </w:rPr>
              <w:t xml:space="preserve"> un p</w:t>
            </w:r>
            <w:r w:rsidRPr="006F2976">
              <w:rPr>
                <w:rFonts w:ascii="Times New Roman" w:hAnsi="Times New Roman" w:cs="Times New Roman"/>
                <w:sz w:val="24"/>
                <w:szCs w:val="24"/>
              </w:rPr>
              <w:t>ersonāla moduļa vadlīnijas.</w:t>
            </w:r>
            <w:r w:rsidR="00F278BC" w:rsidRPr="006F2976">
              <w:rPr>
                <w:rFonts w:ascii="Times New Roman" w:hAnsi="Times New Roman" w:cs="Times New Roman"/>
                <w:sz w:val="24"/>
                <w:szCs w:val="24"/>
              </w:rPr>
              <w:t xml:space="preserve"> </w:t>
            </w:r>
            <w:r w:rsidRPr="006F2976">
              <w:rPr>
                <w:rFonts w:ascii="Times New Roman" w:hAnsi="Times New Roman" w:cs="Times New Roman"/>
                <w:sz w:val="24"/>
                <w:szCs w:val="24"/>
              </w:rPr>
              <w:t xml:space="preserve">Vadlīniju izstrādi nodrošina SIA “VISMA </w:t>
            </w:r>
            <w:proofErr w:type="spellStart"/>
            <w:r w:rsidRPr="006F2976">
              <w:rPr>
                <w:rFonts w:ascii="Times New Roman" w:hAnsi="Times New Roman" w:cs="Times New Roman"/>
                <w:sz w:val="24"/>
                <w:szCs w:val="24"/>
              </w:rPr>
              <w:t>Enterprise</w:t>
            </w:r>
            <w:proofErr w:type="spellEnd"/>
            <w:r w:rsidRPr="006F2976">
              <w:rPr>
                <w:rFonts w:ascii="Times New Roman" w:hAnsi="Times New Roman" w:cs="Times New Roman"/>
                <w:sz w:val="24"/>
                <w:szCs w:val="24"/>
              </w:rPr>
              <w:t>” atbilstoši noslēgtajos līgumos norādītajam izcenojumam. Plānots</w:t>
            </w:r>
            <w:r w:rsidR="00B20337">
              <w:rPr>
                <w:rFonts w:ascii="Times New Roman" w:hAnsi="Times New Roman" w:cs="Times New Roman"/>
                <w:sz w:val="24"/>
                <w:szCs w:val="24"/>
              </w:rPr>
              <w:t xml:space="preserve">, ka vadlīniju izstrādei nepieciešamas 267 </w:t>
            </w:r>
            <w:r w:rsidRPr="006F2976">
              <w:rPr>
                <w:rFonts w:ascii="Times New Roman" w:hAnsi="Times New Roman" w:cs="Times New Roman"/>
                <w:sz w:val="24"/>
                <w:szCs w:val="24"/>
              </w:rPr>
              <w:t xml:space="preserve">stundas. </w:t>
            </w:r>
          </w:p>
          <w:p w:rsidR="00750974" w:rsidRPr="00A84269" w:rsidRDefault="00750974" w:rsidP="006F2976">
            <w:pPr>
              <w:pStyle w:val="Heading3"/>
              <w:shd w:val="clear" w:color="auto" w:fill="FFFFFF"/>
              <w:spacing w:before="0" w:beforeAutospacing="0" w:after="0" w:afterAutospacing="0"/>
              <w:ind w:right="57" w:firstLine="364"/>
              <w:jc w:val="both"/>
              <w:rPr>
                <w:b w:val="0"/>
                <w:sz w:val="24"/>
                <w:szCs w:val="24"/>
              </w:rPr>
            </w:pPr>
            <w:r w:rsidRPr="00A84269">
              <w:rPr>
                <w:b w:val="0"/>
                <w:sz w:val="24"/>
                <w:szCs w:val="24"/>
              </w:rPr>
              <w:t xml:space="preserve">Detalizēts aprēķins pievienots anotācijas </w:t>
            </w:r>
            <w:r w:rsidRPr="00366C28">
              <w:rPr>
                <w:b w:val="0"/>
                <w:sz w:val="24"/>
                <w:szCs w:val="24"/>
              </w:rPr>
              <w:t>2.pielikum</w:t>
            </w:r>
            <w:r w:rsidR="009512EC" w:rsidRPr="00366C28">
              <w:rPr>
                <w:b w:val="0"/>
                <w:sz w:val="24"/>
                <w:szCs w:val="24"/>
              </w:rPr>
              <w:t>a 9</w:t>
            </w:r>
            <w:r w:rsidRPr="00366C28">
              <w:rPr>
                <w:b w:val="0"/>
                <w:sz w:val="24"/>
                <w:szCs w:val="24"/>
              </w:rPr>
              <w:t>.tabulā.</w:t>
            </w:r>
          </w:p>
          <w:p w:rsidR="005D3FF0" w:rsidRPr="00CC6D6A" w:rsidRDefault="00AA3CF7" w:rsidP="005D3FF0">
            <w:pPr>
              <w:spacing w:after="0" w:line="240" w:lineRule="auto"/>
              <w:ind w:firstLine="573"/>
              <w:jc w:val="both"/>
              <w:rPr>
                <w:rFonts w:ascii="Times New Roman" w:hAnsi="Times New Roman" w:cs="Times New Roman"/>
                <w:sz w:val="24"/>
                <w:szCs w:val="24"/>
              </w:rPr>
            </w:pPr>
            <w:r>
              <w:rPr>
                <w:rFonts w:ascii="Times New Roman" w:hAnsi="Times New Roman" w:cs="Times New Roman"/>
                <w:i/>
                <w:sz w:val="24"/>
                <w:szCs w:val="24"/>
              </w:rPr>
              <w:t xml:space="preserve">IV. </w:t>
            </w:r>
            <w:r w:rsidR="005D3FF0">
              <w:rPr>
                <w:rFonts w:ascii="Times New Roman" w:hAnsi="Times New Roman" w:cs="Times New Roman"/>
                <w:i/>
                <w:sz w:val="24"/>
                <w:szCs w:val="24"/>
              </w:rPr>
              <w:t xml:space="preserve">Neizlietoto finansējumu, kas tika plānots budžeta apakšprogrammā 40.02.00 </w:t>
            </w:r>
            <w:r w:rsidR="005D3FF0" w:rsidRPr="005D3FF0">
              <w:rPr>
                <w:rFonts w:ascii="Times New Roman" w:hAnsi="Times New Roman" w:cs="Times New Roman"/>
                <w:i/>
                <w:sz w:val="24"/>
                <w:szCs w:val="24"/>
              </w:rPr>
              <w:t>“Nekustamais īpašums un centralizētais iepirkums”</w:t>
            </w:r>
            <w:r w:rsidR="005D3FF0">
              <w:rPr>
                <w:rFonts w:ascii="Times New Roman" w:hAnsi="Times New Roman" w:cs="Times New Roman"/>
                <w:i/>
                <w:sz w:val="24"/>
                <w:szCs w:val="24"/>
              </w:rPr>
              <w:t xml:space="preserve"> </w:t>
            </w:r>
            <w:r w:rsidR="005D3FF0" w:rsidRPr="003E4A60">
              <w:rPr>
                <w:rFonts w:ascii="Times New Roman" w:hAnsi="Times New Roman" w:cs="Times New Roman"/>
                <w:i/>
                <w:sz w:val="24"/>
                <w:szCs w:val="24"/>
              </w:rPr>
              <w:t>robežšķērsošanas vietas “Vientuļi” aprīkojuma iegāde</w:t>
            </w:r>
            <w:r w:rsidR="005D3FF0">
              <w:rPr>
                <w:rFonts w:ascii="Times New Roman" w:hAnsi="Times New Roman" w:cs="Times New Roman"/>
                <w:i/>
                <w:sz w:val="24"/>
                <w:szCs w:val="24"/>
              </w:rPr>
              <w:t>i</w:t>
            </w:r>
            <w:r w:rsidR="005D3FF0" w:rsidRPr="00FC59C8">
              <w:rPr>
                <w:rFonts w:ascii="Times New Roman" w:hAnsi="Times New Roman" w:cs="Times New Roman"/>
                <w:bCs/>
                <w:sz w:val="18"/>
                <w:szCs w:val="18"/>
              </w:rPr>
              <w:t xml:space="preserve"> </w:t>
            </w:r>
            <w:r w:rsidR="005D3FF0">
              <w:rPr>
                <w:rFonts w:ascii="Times New Roman" w:hAnsi="Times New Roman" w:cs="Times New Roman"/>
                <w:b/>
                <w:i/>
                <w:sz w:val="24"/>
                <w:szCs w:val="24"/>
              </w:rPr>
              <w:t>12 384</w:t>
            </w:r>
            <w:r w:rsidR="005D3FF0" w:rsidRPr="00EF2D9A">
              <w:rPr>
                <w:rFonts w:ascii="Times New Roman" w:hAnsi="Times New Roman" w:cs="Times New Roman"/>
                <w:b/>
                <w:i/>
                <w:sz w:val="24"/>
                <w:szCs w:val="24"/>
              </w:rPr>
              <w:t xml:space="preserve"> </w:t>
            </w:r>
            <w:proofErr w:type="spellStart"/>
            <w:r w:rsidR="005D3FF0" w:rsidRPr="00EF2D9A">
              <w:rPr>
                <w:rFonts w:ascii="Times New Roman" w:hAnsi="Times New Roman" w:cs="Times New Roman"/>
                <w:i/>
                <w:sz w:val="24"/>
                <w:szCs w:val="24"/>
              </w:rPr>
              <w:t>euro</w:t>
            </w:r>
            <w:proofErr w:type="spellEnd"/>
            <w:r w:rsidR="005D3FF0" w:rsidRPr="00EF2D9A">
              <w:rPr>
                <w:rFonts w:ascii="Times New Roman" w:hAnsi="Times New Roman" w:cs="Times New Roman"/>
                <w:i/>
                <w:sz w:val="24"/>
                <w:szCs w:val="24"/>
              </w:rPr>
              <w:t xml:space="preserve"> apmērā</w:t>
            </w:r>
            <w:r w:rsidR="005D3FF0">
              <w:rPr>
                <w:rFonts w:ascii="Times New Roman" w:hAnsi="Times New Roman" w:cs="Times New Roman"/>
                <w:i/>
                <w:sz w:val="24"/>
                <w:szCs w:val="24"/>
              </w:rPr>
              <w:t>,</w:t>
            </w:r>
            <w:r w:rsidR="005D3FF0" w:rsidRPr="00EF2D9A">
              <w:rPr>
                <w:rFonts w:ascii="Times New Roman" w:hAnsi="Times New Roman" w:cs="Times New Roman"/>
                <w:i/>
                <w:sz w:val="24"/>
                <w:szCs w:val="24"/>
              </w:rPr>
              <w:t xml:space="preserve"> Iekšlietu ministrija ierosina, veicot apropriācijas pārdali </w:t>
            </w:r>
            <w:proofErr w:type="gramStart"/>
            <w:r w:rsidR="005D3FF0" w:rsidRPr="00EF2D9A">
              <w:rPr>
                <w:rFonts w:ascii="Times New Roman" w:hAnsi="Times New Roman" w:cs="Times New Roman"/>
                <w:i/>
                <w:sz w:val="24"/>
                <w:szCs w:val="24"/>
              </w:rPr>
              <w:t>2015.gadā</w:t>
            </w:r>
            <w:proofErr w:type="gramEnd"/>
            <w:r w:rsidR="005D3FF0" w:rsidRPr="00EF2D9A">
              <w:rPr>
                <w:rFonts w:ascii="Times New Roman" w:hAnsi="Times New Roman" w:cs="Times New Roman"/>
                <w:i/>
                <w:sz w:val="24"/>
                <w:szCs w:val="24"/>
              </w:rPr>
              <w:t xml:space="preserve"> starp </w:t>
            </w:r>
            <w:r w:rsidR="004572F3">
              <w:rPr>
                <w:rFonts w:ascii="Times New Roman" w:hAnsi="Times New Roman" w:cs="Times New Roman"/>
                <w:i/>
                <w:sz w:val="24"/>
                <w:szCs w:val="24"/>
              </w:rPr>
              <w:t>pasākumiem</w:t>
            </w:r>
            <w:r w:rsidR="005D3FF0" w:rsidRPr="00EF2D9A">
              <w:rPr>
                <w:rFonts w:ascii="Times New Roman" w:hAnsi="Times New Roman" w:cs="Times New Roman"/>
                <w:i/>
                <w:sz w:val="24"/>
                <w:szCs w:val="24"/>
              </w:rPr>
              <w:t xml:space="preserve">, </w:t>
            </w:r>
            <w:r w:rsidR="005D3FF0" w:rsidRPr="00EF2D9A">
              <w:rPr>
                <w:rFonts w:ascii="Times New Roman" w:hAnsi="Times New Roman" w:cs="Times New Roman"/>
                <w:b/>
                <w:i/>
                <w:sz w:val="24"/>
                <w:szCs w:val="24"/>
              </w:rPr>
              <w:t xml:space="preserve"> </w:t>
            </w:r>
            <w:r w:rsidR="005D3FF0" w:rsidRPr="0011356C">
              <w:rPr>
                <w:rFonts w:ascii="Times New Roman" w:hAnsi="Times New Roman" w:cs="Times New Roman"/>
                <w:sz w:val="24"/>
                <w:szCs w:val="24"/>
              </w:rPr>
              <w:t>paredzēt</w:t>
            </w:r>
            <w:r w:rsidR="005D3FF0" w:rsidRPr="00CC6D6A">
              <w:rPr>
                <w:rFonts w:ascii="Times New Roman" w:hAnsi="Times New Roman" w:cs="Times New Roman"/>
                <w:b/>
                <w:sz w:val="24"/>
                <w:szCs w:val="24"/>
              </w:rPr>
              <w:t xml:space="preserve"> </w:t>
            </w:r>
            <w:r w:rsidR="004572F3">
              <w:rPr>
                <w:rFonts w:ascii="Times New Roman" w:hAnsi="Times New Roman" w:cs="Times New Roman"/>
                <w:b/>
                <w:sz w:val="24"/>
                <w:szCs w:val="24"/>
              </w:rPr>
              <w:t>kondicionieru iegādei</w:t>
            </w:r>
            <w:r w:rsidR="005D3FF0">
              <w:rPr>
                <w:rFonts w:ascii="Times New Roman" w:hAnsi="Times New Roman" w:cs="Times New Roman"/>
                <w:i/>
                <w:sz w:val="24"/>
                <w:szCs w:val="24"/>
              </w:rPr>
              <w:t xml:space="preserve"> </w:t>
            </w:r>
            <w:r w:rsidR="005D3FF0" w:rsidRPr="00366C28">
              <w:rPr>
                <w:rFonts w:ascii="Times New Roman" w:hAnsi="Times New Roman" w:cs="Times New Roman"/>
                <w:i/>
                <w:sz w:val="24"/>
                <w:szCs w:val="24"/>
              </w:rPr>
              <w:t>(</w:t>
            </w:r>
            <w:r w:rsidR="00366C28" w:rsidRPr="00366C28">
              <w:rPr>
                <w:rFonts w:ascii="Times New Roman" w:hAnsi="Times New Roman" w:cs="Times New Roman"/>
                <w:i/>
                <w:sz w:val="24"/>
                <w:szCs w:val="24"/>
              </w:rPr>
              <w:t>budžeta</w:t>
            </w:r>
            <w:r w:rsidR="00366C28">
              <w:rPr>
                <w:rFonts w:ascii="Times New Roman" w:hAnsi="Times New Roman" w:cs="Times New Roman"/>
                <w:sz w:val="24"/>
                <w:szCs w:val="24"/>
              </w:rPr>
              <w:t xml:space="preserve"> </w:t>
            </w:r>
            <w:r w:rsidR="00366C28">
              <w:rPr>
                <w:rFonts w:ascii="Times New Roman" w:hAnsi="Times New Roman" w:cs="Times New Roman"/>
                <w:i/>
                <w:sz w:val="24"/>
                <w:szCs w:val="24"/>
              </w:rPr>
              <w:t>apakšprogramma</w:t>
            </w:r>
            <w:r w:rsidR="004572F3">
              <w:rPr>
                <w:rFonts w:ascii="Times New Roman" w:hAnsi="Times New Roman" w:cs="Times New Roman"/>
                <w:i/>
                <w:sz w:val="24"/>
                <w:szCs w:val="24"/>
              </w:rPr>
              <w:t xml:space="preserve"> 40.02.00 </w:t>
            </w:r>
            <w:r w:rsidR="004572F3" w:rsidRPr="005D3FF0">
              <w:rPr>
                <w:rFonts w:ascii="Times New Roman" w:hAnsi="Times New Roman" w:cs="Times New Roman"/>
                <w:i/>
                <w:sz w:val="24"/>
                <w:szCs w:val="24"/>
              </w:rPr>
              <w:t>“Nekustamais īpaš</w:t>
            </w:r>
            <w:r w:rsidR="004572F3">
              <w:rPr>
                <w:rFonts w:ascii="Times New Roman" w:hAnsi="Times New Roman" w:cs="Times New Roman"/>
                <w:i/>
                <w:sz w:val="24"/>
                <w:szCs w:val="24"/>
              </w:rPr>
              <w:t>ums un centralizētais iepirkums</w:t>
            </w:r>
            <w:r w:rsidR="005D3FF0" w:rsidRPr="00CC6D6A">
              <w:rPr>
                <w:rFonts w:ascii="Times New Roman" w:hAnsi="Times New Roman" w:cs="Times New Roman"/>
                <w:sz w:val="24"/>
                <w:szCs w:val="24"/>
              </w:rPr>
              <w:t>”</w:t>
            </w:r>
            <w:r w:rsidR="00261284">
              <w:rPr>
                <w:rFonts w:ascii="Times New Roman" w:hAnsi="Times New Roman" w:cs="Times New Roman"/>
                <w:sz w:val="24"/>
                <w:szCs w:val="24"/>
              </w:rPr>
              <w:t xml:space="preserve">) </w:t>
            </w:r>
            <w:r w:rsidR="005D3FF0" w:rsidRPr="00CC6D6A">
              <w:rPr>
                <w:rFonts w:ascii="Times New Roman" w:hAnsi="Times New Roman" w:cs="Times New Roman"/>
                <w:sz w:val="24"/>
                <w:szCs w:val="24"/>
              </w:rPr>
              <w:t xml:space="preserve">– </w:t>
            </w:r>
            <w:r w:rsidR="004572F3">
              <w:rPr>
                <w:rFonts w:ascii="Times New Roman" w:hAnsi="Times New Roman" w:cs="Times New Roman"/>
                <w:b/>
                <w:sz w:val="24"/>
                <w:szCs w:val="24"/>
              </w:rPr>
              <w:t>12  384</w:t>
            </w:r>
            <w:r w:rsidR="005D3FF0" w:rsidRPr="00CC6D6A">
              <w:rPr>
                <w:rFonts w:ascii="Times New Roman" w:hAnsi="Times New Roman" w:cs="Times New Roman"/>
                <w:b/>
                <w:sz w:val="24"/>
                <w:szCs w:val="24"/>
              </w:rPr>
              <w:t xml:space="preserve"> </w:t>
            </w:r>
            <w:proofErr w:type="spellStart"/>
            <w:r w:rsidR="005D3FF0" w:rsidRPr="00CC6D6A">
              <w:rPr>
                <w:rFonts w:ascii="Times New Roman" w:hAnsi="Times New Roman" w:cs="Times New Roman"/>
                <w:i/>
                <w:sz w:val="24"/>
                <w:szCs w:val="24"/>
              </w:rPr>
              <w:t>euro</w:t>
            </w:r>
            <w:proofErr w:type="spellEnd"/>
            <w:r w:rsidR="005D3FF0" w:rsidRPr="00CC6D6A">
              <w:rPr>
                <w:rFonts w:ascii="Times New Roman" w:hAnsi="Times New Roman" w:cs="Times New Roman"/>
                <w:sz w:val="24"/>
                <w:szCs w:val="24"/>
              </w:rPr>
              <w:t xml:space="preserve"> </w:t>
            </w:r>
            <w:r w:rsidR="005D3FF0" w:rsidRPr="00CC4390">
              <w:rPr>
                <w:rFonts w:ascii="Times New Roman" w:hAnsi="Times New Roman" w:cs="Times New Roman"/>
                <w:sz w:val="24"/>
                <w:szCs w:val="24"/>
              </w:rPr>
              <w:t>(EKK</w:t>
            </w:r>
            <w:r w:rsidR="004572F3">
              <w:rPr>
                <w:rFonts w:ascii="Times New Roman" w:hAnsi="Times New Roman" w:cs="Times New Roman"/>
                <w:sz w:val="24"/>
                <w:szCs w:val="24"/>
              </w:rPr>
              <w:t xml:space="preserve"> 5232</w:t>
            </w:r>
            <w:r w:rsidR="005D3FF0">
              <w:rPr>
                <w:rFonts w:ascii="Times New Roman" w:hAnsi="Times New Roman" w:cs="Times New Roman"/>
                <w:sz w:val="24"/>
                <w:szCs w:val="24"/>
              </w:rPr>
              <w:t xml:space="preserve">). </w:t>
            </w:r>
          </w:p>
          <w:p w:rsidR="00A7505D" w:rsidRPr="00DD2AF7" w:rsidRDefault="001F119D" w:rsidP="0082505A">
            <w:pPr>
              <w:spacing w:after="0" w:line="240" w:lineRule="auto"/>
              <w:ind w:firstLine="450"/>
              <w:jc w:val="both"/>
              <w:rPr>
                <w:rFonts w:ascii="Times New Roman" w:hAnsi="Times New Roman" w:cs="Times New Roman"/>
                <w:sz w:val="24"/>
                <w:szCs w:val="24"/>
              </w:rPr>
            </w:pPr>
            <w:r w:rsidRPr="00902AF8">
              <w:rPr>
                <w:rFonts w:ascii="Times New Roman" w:hAnsi="Times New Roman" w:cs="Times New Roman"/>
                <w:sz w:val="24"/>
                <w:szCs w:val="24"/>
              </w:rPr>
              <w:t xml:space="preserve">Kondicionieru stāvoklis Nodrošinājuma valsts aģentūras pārņemtajos īpašumos ir kritisks. Kondicionieru ir fiziski un morāli novecojuši, tiem bieži nepieciešams veikt remontus. Problemātiska ir bojāto detaļu labošana, jo vecajiem kondicionieru </w:t>
            </w:r>
            <w:r w:rsidRPr="00902AF8">
              <w:rPr>
                <w:rFonts w:ascii="Times New Roman" w:hAnsi="Times New Roman" w:cs="Times New Roman"/>
                <w:sz w:val="24"/>
                <w:szCs w:val="24"/>
              </w:rPr>
              <w:lastRenderedPageBreak/>
              <w:t xml:space="preserve">modeļiem detaļas vairs netiek ražotas (kondicionieri ir praktiski neremontējami). Atsevišķās telpās, piemēram, telpās, kurās atrodas serveri, kondicionieru maiņa ir īpaši aktuāla, lai pasargātu tehniku no pārkaršanas. </w:t>
            </w:r>
          </w:p>
          <w:p w:rsidR="006C4BD5" w:rsidRPr="00A84269" w:rsidRDefault="006C4BD5" w:rsidP="0082505A">
            <w:pPr>
              <w:pStyle w:val="Heading3"/>
              <w:shd w:val="clear" w:color="auto" w:fill="FFFFFF"/>
              <w:spacing w:before="0" w:beforeAutospacing="0" w:after="0" w:afterAutospacing="0"/>
              <w:ind w:right="57" w:firstLine="364"/>
              <w:jc w:val="both"/>
              <w:rPr>
                <w:b w:val="0"/>
                <w:sz w:val="24"/>
                <w:szCs w:val="24"/>
              </w:rPr>
            </w:pPr>
            <w:r w:rsidRPr="00A84269">
              <w:rPr>
                <w:b w:val="0"/>
                <w:sz w:val="24"/>
                <w:szCs w:val="24"/>
              </w:rPr>
              <w:t xml:space="preserve">Detalizēts aprēķins pievienots </w:t>
            </w:r>
            <w:r w:rsidRPr="00366C28">
              <w:rPr>
                <w:b w:val="0"/>
                <w:sz w:val="24"/>
                <w:szCs w:val="24"/>
              </w:rPr>
              <w:t>anotācijas 2.pielikuma 10.tabulā.</w:t>
            </w:r>
          </w:p>
          <w:p w:rsidR="003B4E8D" w:rsidRPr="00926E30" w:rsidRDefault="003B4E8D" w:rsidP="00926E30">
            <w:pPr>
              <w:spacing w:after="0" w:line="240" w:lineRule="auto"/>
              <w:ind w:firstLine="319"/>
              <w:jc w:val="both"/>
              <w:rPr>
                <w:rFonts w:ascii="Times New Roman" w:hAnsi="Times New Roman" w:cs="Times New Roman"/>
                <w:sz w:val="24"/>
                <w:szCs w:val="24"/>
                <w:shd w:val="clear" w:color="auto" w:fill="FFFFFF"/>
              </w:rPr>
            </w:pPr>
            <w:r w:rsidRPr="00926E30">
              <w:rPr>
                <w:rFonts w:ascii="Times New Roman" w:hAnsi="Times New Roman" w:cs="Times New Roman"/>
                <w:sz w:val="24"/>
                <w:szCs w:val="24"/>
                <w:shd w:val="clear" w:color="auto" w:fill="FFFFFF"/>
              </w:rPr>
              <w:t>Saskaņā ar</w:t>
            </w:r>
            <w:r w:rsidR="00AF34EE" w:rsidRPr="00926E30">
              <w:rPr>
                <w:rFonts w:ascii="Times New Roman" w:hAnsi="Times New Roman" w:cs="Times New Roman"/>
                <w:sz w:val="24"/>
                <w:szCs w:val="24"/>
                <w:shd w:val="clear" w:color="auto" w:fill="FFFFFF"/>
              </w:rPr>
              <w:t xml:space="preserve"> likuma „Par valsts budžetu </w:t>
            </w:r>
            <w:proofErr w:type="gramStart"/>
            <w:r w:rsidR="00AF34EE" w:rsidRPr="00926E30">
              <w:rPr>
                <w:rFonts w:ascii="Times New Roman" w:hAnsi="Times New Roman" w:cs="Times New Roman"/>
                <w:sz w:val="24"/>
                <w:szCs w:val="24"/>
                <w:shd w:val="clear" w:color="auto" w:fill="FFFFFF"/>
              </w:rPr>
              <w:t>2015</w:t>
            </w:r>
            <w:r w:rsidR="00A3211C" w:rsidRPr="00926E30">
              <w:rPr>
                <w:rFonts w:ascii="Times New Roman" w:hAnsi="Times New Roman" w:cs="Times New Roman"/>
                <w:sz w:val="24"/>
                <w:szCs w:val="24"/>
                <w:shd w:val="clear" w:color="auto" w:fill="FFFFFF"/>
              </w:rPr>
              <w:t>.gadam</w:t>
            </w:r>
            <w:proofErr w:type="gramEnd"/>
            <w:r w:rsidR="00A3211C" w:rsidRPr="00926E30">
              <w:rPr>
                <w:rFonts w:ascii="Times New Roman" w:hAnsi="Times New Roman" w:cs="Times New Roman"/>
                <w:sz w:val="24"/>
                <w:szCs w:val="24"/>
                <w:shd w:val="clear" w:color="auto" w:fill="FFFFFF"/>
              </w:rPr>
              <w:t>” 30</w:t>
            </w:r>
            <w:r w:rsidRPr="00926E30">
              <w:rPr>
                <w:rFonts w:ascii="Times New Roman" w:hAnsi="Times New Roman" w:cs="Times New Roman"/>
                <w:sz w:val="24"/>
                <w:szCs w:val="24"/>
                <w:shd w:val="clear" w:color="auto" w:fill="FFFFFF"/>
              </w:rPr>
              <w:t>.panta pirmo daļu finanšu ministram ir tiesības budžeta resoram likumā noteiktās apropriācijas ietvaros pārdalīt apropriāciju starp programmām, apakšprogrammām un budžeta izdevumu kodiem atbilstoši ekonomiskajām kategorijām, ievērojot nosacījumu, ka  kopējais pārdales apjoms starp pamatbudžeta programmām (apakšprogrammām) nedrīkst izraisīt katras atsevišķās programmas (apakšprogrammas) palielinājumu, kas būtu lielāks par 5 procentiem no programmai (apakšprogrammai) apstiprinātās gada apropriācijas apjoma.</w:t>
            </w:r>
          </w:p>
          <w:p w:rsidR="003B4E8D" w:rsidRPr="00926E30" w:rsidRDefault="00A3211C" w:rsidP="00926E30">
            <w:pPr>
              <w:spacing w:after="0" w:line="240" w:lineRule="auto"/>
              <w:ind w:left="35" w:firstLine="329"/>
              <w:jc w:val="both"/>
              <w:rPr>
                <w:rFonts w:ascii="Times New Roman" w:hAnsi="Times New Roman" w:cs="Times New Roman"/>
                <w:color w:val="538135"/>
                <w:sz w:val="24"/>
                <w:szCs w:val="24"/>
                <w:shd w:val="clear" w:color="auto" w:fill="FFFFFF"/>
              </w:rPr>
            </w:pPr>
            <w:r w:rsidRPr="00926E30">
              <w:rPr>
                <w:rFonts w:ascii="Times New Roman" w:hAnsi="Times New Roman" w:cs="Times New Roman"/>
                <w:sz w:val="24"/>
                <w:szCs w:val="24"/>
                <w:shd w:val="clear" w:color="auto" w:fill="FFFFFF"/>
              </w:rPr>
              <w:t xml:space="preserve">Rīkojuma projektā </w:t>
            </w:r>
            <w:r w:rsidR="003B4E8D" w:rsidRPr="00926E30">
              <w:rPr>
                <w:rFonts w:ascii="Times New Roman" w:hAnsi="Times New Roman" w:cs="Times New Roman"/>
                <w:sz w:val="24"/>
                <w:szCs w:val="24"/>
              </w:rPr>
              <w:t>budžeta apakšprogrammai</w:t>
            </w:r>
            <w:r w:rsidRPr="00926E30">
              <w:rPr>
                <w:rFonts w:ascii="Times New Roman" w:hAnsi="Times New Roman" w:cs="Times New Roman"/>
                <w:sz w:val="24"/>
                <w:szCs w:val="24"/>
              </w:rPr>
              <w:t xml:space="preserve"> </w:t>
            </w:r>
            <w:r w:rsidR="00A017FF">
              <w:rPr>
                <w:rFonts w:ascii="Times New Roman" w:hAnsi="Times New Roman" w:cs="Times New Roman"/>
                <w:sz w:val="24"/>
                <w:szCs w:val="24"/>
              </w:rPr>
              <w:t>02.03.00 “</w:t>
            </w:r>
            <w:r w:rsidR="00A017FF" w:rsidRPr="00294D01">
              <w:rPr>
                <w:rFonts w:ascii="Times New Roman" w:hAnsi="Times New Roman" w:cs="Times New Roman"/>
                <w:sz w:val="24"/>
                <w:szCs w:val="24"/>
              </w:rPr>
              <w:t>Vienotās sakaru un informācija</w:t>
            </w:r>
            <w:r w:rsidR="00A017FF">
              <w:rPr>
                <w:rFonts w:ascii="Times New Roman" w:hAnsi="Times New Roman" w:cs="Times New Roman"/>
                <w:sz w:val="24"/>
                <w:szCs w:val="24"/>
              </w:rPr>
              <w:t xml:space="preserve">s sistēmas uzturēšana un vadība” </w:t>
            </w:r>
            <w:r w:rsidR="00A017FF" w:rsidRPr="00926E30">
              <w:rPr>
                <w:rFonts w:ascii="Times New Roman" w:hAnsi="Times New Roman" w:cs="Times New Roman"/>
                <w:sz w:val="24"/>
                <w:szCs w:val="24"/>
                <w:shd w:val="clear" w:color="auto" w:fill="FFFFFF"/>
              </w:rPr>
              <w:t xml:space="preserve">iekļautā apropriācijas pārdale </w:t>
            </w:r>
            <w:r w:rsidR="00A017FF">
              <w:rPr>
                <w:rFonts w:ascii="Times New Roman" w:hAnsi="Times New Roman" w:cs="Times New Roman"/>
                <w:sz w:val="24"/>
                <w:szCs w:val="24"/>
              </w:rPr>
              <w:t>204 976</w:t>
            </w:r>
            <w:proofErr w:type="gramStart"/>
            <w:r w:rsidR="00A017FF">
              <w:rPr>
                <w:rFonts w:ascii="Times New Roman" w:hAnsi="Times New Roman" w:cs="Times New Roman"/>
                <w:sz w:val="24"/>
                <w:szCs w:val="24"/>
              </w:rPr>
              <w:t xml:space="preserve">  </w:t>
            </w:r>
            <w:proofErr w:type="spellStart"/>
            <w:proofErr w:type="gramEnd"/>
            <w:r w:rsidR="00A017FF" w:rsidRPr="00366C28">
              <w:rPr>
                <w:rFonts w:ascii="Times New Roman" w:hAnsi="Times New Roman" w:cs="Times New Roman"/>
                <w:i/>
                <w:sz w:val="24"/>
                <w:szCs w:val="24"/>
              </w:rPr>
              <w:t>euro</w:t>
            </w:r>
            <w:proofErr w:type="spellEnd"/>
            <w:r w:rsidR="00A017FF">
              <w:rPr>
                <w:rFonts w:ascii="Times New Roman" w:hAnsi="Times New Roman" w:cs="Times New Roman"/>
                <w:sz w:val="24"/>
                <w:szCs w:val="24"/>
              </w:rPr>
              <w:t xml:space="preserve"> apmērā </w:t>
            </w:r>
            <w:r w:rsidR="00A017FF" w:rsidRPr="00926E30">
              <w:rPr>
                <w:rFonts w:ascii="Times New Roman" w:hAnsi="Times New Roman" w:cs="Times New Roman"/>
                <w:sz w:val="24"/>
                <w:szCs w:val="24"/>
                <w:shd w:val="clear" w:color="auto" w:fill="FFFFFF"/>
              </w:rPr>
              <w:t xml:space="preserve">izraisa apakšprogrammas palielinājumu par </w:t>
            </w:r>
            <w:r w:rsidR="00A017FF" w:rsidRPr="00A017FF">
              <w:rPr>
                <w:rFonts w:ascii="Times New Roman" w:hAnsi="Times New Roman" w:cs="Times New Roman"/>
                <w:sz w:val="24"/>
                <w:szCs w:val="24"/>
                <w:shd w:val="clear" w:color="auto" w:fill="FFFFFF"/>
              </w:rPr>
              <w:t xml:space="preserve">5,7% un </w:t>
            </w:r>
            <w:r w:rsidR="00A017FF" w:rsidRPr="00A017FF">
              <w:rPr>
                <w:rFonts w:ascii="Times New Roman" w:hAnsi="Times New Roman" w:cs="Times New Roman"/>
                <w:sz w:val="24"/>
                <w:szCs w:val="24"/>
              </w:rPr>
              <w:t xml:space="preserve">budžeta apakšprogrammai </w:t>
            </w:r>
            <w:r w:rsidRPr="00A017FF">
              <w:rPr>
                <w:rFonts w:ascii="Times New Roman" w:hAnsi="Times New Roman" w:cs="Times New Roman"/>
                <w:sz w:val="24"/>
                <w:szCs w:val="24"/>
              </w:rPr>
              <w:t>40.02</w:t>
            </w:r>
            <w:r w:rsidR="003B4E8D" w:rsidRPr="00A017FF">
              <w:rPr>
                <w:rFonts w:ascii="Times New Roman" w:hAnsi="Times New Roman" w:cs="Times New Roman"/>
                <w:sz w:val="24"/>
                <w:szCs w:val="24"/>
              </w:rPr>
              <w:t xml:space="preserve">.00 </w:t>
            </w:r>
            <w:r w:rsidR="00926E30" w:rsidRPr="00A017FF">
              <w:rPr>
                <w:rFonts w:ascii="Times New Roman" w:hAnsi="Times New Roman" w:cs="Times New Roman"/>
                <w:sz w:val="24"/>
                <w:szCs w:val="24"/>
              </w:rPr>
              <w:t xml:space="preserve">“Nekustamais īpašums un centralizētais iepirkums” </w:t>
            </w:r>
            <w:r w:rsidR="00A017FF" w:rsidRPr="00A017FF">
              <w:rPr>
                <w:rFonts w:ascii="Times New Roman" w:hAnsi="Times New Roman" w:cs="Times New Roman"/>
                <w:sz w:val="24"/>
                <w:szCs w:val="24"/>
                <w:shd w:val="clear" w:color="auto" w:fill="FFFFFF"/>
              </w:rPr>
              <w:t xml:space="preserve">iekļautā apropriācijas pārdale 700 798 </w:t>
            </w:r>
            <w:proofErr w:type="spellStart"/>
            <w:r w:rsidR="00A017FF" w:rsidRPr="00A017FF">
              <w:rPr>
                <w:rFonts w:ascii="Times New Roman" w:hAnsi="Times New Roman" w:cs="Times New Roman"/>
                <w:i/>
                <w:sz w:val="24"/>
                <w:szCs w:val="24"/>
                <w:shd w:val="clear" w:color="auto" w:fill="FFFFFF"/>
              </w:rPr>
              <w:t>euro</w:t>
            </w:r>
            <w:proofErr w:type="spellEnd"/>
            <w:r w:rsidR="00A017FF" w:rsidRPr="00A017FF">
              <w:rPr>
                <w:rFonts w:ascii="Times New Roman" w:hAnsi="Times New Roman" w:cs="Times New Roman"/>
                <w:color w:val="538135"/>
                <w:sz w:val="24"/>
                <w:szCs w:val="24"/>
                <w:shd w:val="clear" w:color="auto" w:fill="FFFFFF"/>
              </w:rPr>
              <w:t xml:space="preserve"> </w:t>
            </w:r>
            <w:r w:rsidR="00A017FF" w:rsidRPr="00A017FF">
              <w:rPr>
                <w:rFonts w:ascii="Times New Roman" w:hAnsi="Times New Roman" w:cs="Times New Roman"/>
                <w:sz w:val="24"/>
                <w:szCs w:val="24"/>
                <w:shd w:val="clear" w:color="auto" w:fill="FFFFFF"/>
              </w:rPr>
              <w:t xml:space="preserve"> apmērā – </w:t>
            </w:r>
            <w:r w:rsidR="003B4E8D" w:rsidRPr="00A017FF">
              <w:rPr>
                <w:rFonts w:ascii="Times New Roman" w:hAnsi="Times New Roman" w:cs="Times New Roman"/>
                <w:sz w:val="24"/>
                <w:szCs w:val="24"/>
                <w:shd w:val="clear" w:color="auto" w:fill="FFFFFF"/>
              </w:rPr>
              <w:t xml:space="preserve">par </w:t>
            </w:r>
            <w:r w:rsidRPr="00A017FF">
              <w:rPr>
                <w:rFonts w:ascii="Times New Roman" w:hAnsi="Times New Roman" w:cs="Times New Roman"/>
                <w:sz w:val="24"/>
                <w:szCs w:val="24"/>
                <w:shd w:val="clear" w:color="auto" w:fill="FFFFFF"/>
              </w:rPr>
              <w:t>5,8</w:t>
            </w:r>
            <w:r w:rsidR="003B4E8D" w:rsidRPr="00A017FF">
              <w:rPr>
                <w:rFonts w:ascii="Times New Roman" w:hAnsi="Times New Roman" w:cs="Times New Roman"/>
                <w:sz w:val="24"/>
                <w:szCs w:val="24"/>
                <w:shd w:val="clear" w:color="auto" w:fill="FFFFFF"/>
              </w:rPr>
              <w:t>%</w:t>
            </w:r>
            <w:r w:rsidR="00A017FF" w:rsidRPr="00A017FF">
              <w:rPr>
                <w:rFonts w:ascii="Times New Roman" w:hAnsi="Times New Roman" w:cs="Times New Roman"/>
                <w:sz w:val="24"/>
                <w:szCs w:val="24"/>
                <w:shd w:val="clear" w:color="auto" w:fill="FFFFFF"/>
              </w:rPr>
              <w:t>.</w:t>
            </w:r>
          </w:p>
          <w:p w:rsidR="003B4E8D" w:rsidRPr="00926E30" w:rsidRDefault="003B4E8D" w:rsidP="00926E30">
            <w:pPr>
              <w:spacing w:after="0" w:line="240" w:lineRule="auto"/>
              <w:ind w:firstLine="505"/>
              <w:jc w:val="both"/>
              <w:rPr>
                <w:rFonts w:ascii="Times New Roman" w:hAnsi="Times New Roman" w:cs="Times New Roman"/>
                <w:sz w:val="24"/>
                <w:szCs w:val="24"/>
                <w:shd w:val="clear" w:color="auto" w:fill="FFFFFF"/>
              </w:rPr>
            </w:pPr>
            <w:r w:rsidRPr="00926E30">
              <w:rPr>
                <w:rFonts w:ascii="Times New Roman" w:hAnsi="Times New Roman" w:cs="Times New Roman"/>
                <w:sz w:val="24"/>
                <w:szCs w:val="24"/>
                <w:shd w:val="clear" w:color="auto" w:fill="FFFFFF"/>
              </w:rPr>
              <w:t xml:space="preserve">Saskaņā ar likuma „Par valsts budžetu </w:t>
            </w:r>
            <w:proofErr w:type="gramStart"/>
            <w:r w:rsidR="00926E30" w:rsidRPr="00926E30">
              <w:rPr>
                <w:rFonts w:ascii="Times New Roman" w:hAnsi="Times New Roman" w:cs="Times New Roman"/>
                <w:sz w:val="24"/>
                <w:szCs w:val="24"/>
                <w:shd w:val="clear" w:color="auto" w:fill="FFFFFF"/>
              </w:rPr>
              <w:t>2015.gadam</w:t>
            </w:r>
            <w:proofErr w:type="gramEnd"/>
            <w:r w:rsidR="00926E30" w:rsidRPr="00926E30">
              <w:rPr>
                <w:rFonts w:ascii="Times New Roman" w:hAnsi="Times New Roman" w:cs="Times New Roman"/>
                <w:sz w:val="24"/>
                <w:szCs w:val="24"/>
                <w:shd w:val="clear" w:color="auto" w:fill="FFFFFF"/>
              </w:rPr>
              <w:t>” 31.panta ceturto</w:t>
            </w:r>
            <w:r w:rsidRPr="00926E30">
              <w:rPr>
                <w:rFonts w:ascii="Times New Roman" w:hAnsi="Times New Roman" w:cs="Times New Roman"/>
                <w:sz w:val="24"/>
                <w:szCs w:val="24"/>
                <w:shd w:val="clear" w:color="auto" w:fill="FFFFFF"/>
              </w:rPr>
              <w:t xml:space="preserve"> daļu</w:t>
            </w:r>
            <w:r w:rsidR="00926E30" w:rsidRPr="00926E30">
              <w:rPr>
                <w:rFonts w:ascii="Times New Roman" w:hAnsi="Times New Roman" w:cs="Times New Roman"/>
                <w:sz w:val="24"/>
                <w:szCs w:val="24"/>
                <w:shd w:val="clear" w:color="auto" w:fill="FFFFFF"/>
              </w:rPr>
              <w:t xml:space="preserve"> likuma „Par valsts budžetu 2015.gadam” 30</w:t>
            </w:r>
            <w:r w:rsidRPr="00926E30">
              <w:rPr>
                <w:rFonts w:ascii="Times New Roman" w:hAnsi="Times New Roman" w:cs="Times New Roman"/>
                <w:sz w:val="24"/>
                <w:szCs w:val="24"/>
                <w:shd w:val="clear" w:color="auto" w:fill="FFFFFF"/>
              </w:rPr>
              <w:t>.panta nosacījumi neattiecas uz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likuma „Par valsts b</w:t>
            </w:r>
            <w:r w:rsidR="00926E30" w:rsidRPr="00926E30">
              <w:rPr>
                <w:rFonts w:ascii="Times New Roman" w:hAnsi="Times New Roman" w:cs="Times New Roman"/>
                <w:sz w:val="24"/>
                <w:szCs w:val="24"/>
                <w:shd w:val="clear" w:color="auto" w:fill="FFFFFF"/>
              </w:rPr>
              <w:t>udžetu 2015</w:t>
            </w:r>
            <w:r w:rsidRPr="00926E30">
              <w:rPr>
                <w:rFonts w:ascii="Times New Roman" w:hAnsi="Times New Roman" w:cs="Times New Roman"/>
                <w:sz w:val="24"/>
                <w:szCs w:val="24"/>
                <w:shd w:val="clear" w:color="auto" w:fill="FFFFFF"/>
              </w:rPr>
              <w:t xml:space="preserve">.gadam” </w:t>
            </w:r>
            <w:hyperlink r:id="rId8" w:anchor="p32" w:history="1">
              <w:r w:rsidR="00926E30" w:rsidRPr="00926E30">
                <w:rPr>
                  <w:rFonts w:ascii="Times New Roman" w:hAnsi="Times New Roman" w:cs="Times New Roman"/>
                  <w:sz w:val="24"/>
                  <w:szCs w:val="24"/>
                  <w:shd w:val="clear" w:color="auto" w:fill="FFFFFF"/>
                </w:rPr>
                <w:t>30</w:t>
              </w:r>
              <w:r w:rsidRPr="00926E30">
                <w:rPr>
                  <w:rFonts w:ascii="Times New Roman" w:hAnsi="Times New Roman" w:cs="Times New Roman"/>
                  <w:sz w:val="24"/>
                  <w:szCs w:val="24"/>
                  <w:shd w:val="clear" w:color="auto" w:fill="FFFFFF"/>
                </w:rPr>
                <w:t>.panta</w:t>
              </w:r>
            </w:hyperlink>
            <w:r w:rsidRPr="00926E30">
              <w:rPr>
                <w:rFonts w:ascii="Times New Roman" w:hAnsi="Times New Roman" w:cs="Times New Roman"/>
                <w:sz w:val="24"/>
                <w:szCs w:val="24"/>
                <w:shd w:val="clear" w:color="auto" w:fill="FFFFFF"/>
              </w:rPr>
              <w:t xml:space="preserve"> nosacījumus. Šādu apropriācijas pārdali atļauts veikt, ja Saeimas Budžeta un finanšu (nodokļu) komisija piecu darba dienu laikā no attiecīgās informācijas saņemšanas nav iebildusi pret apropriācijas pārdali.</w:t>
            </w:r>
          </w:p>
          <w:p w:rsidR="003B4E8D" w:rsidRPr="00926E30" w:rsidRDefault="003B4E8D" w:rsidP="009A2D67">
            <w:pPr>
              <w:spacing w:after="0" w:line="240" w:lineRule="auto"/>
              <w:ind w:firstLine="363"/>
              <w:jc w:val="both"/>
              <w:rPr>
                <w:rFonts w:ascii="Times New Roman" w:hAnsi="Times New Roman" w:cs="Times New Roman"/>
                <w:sz w:val="24"/>
                <w:szCs w:val="24"/>
                <w:shd w:val="clear" w:color="auto" w:fill="FFFFFF"/>
              </w:rPr>
            </w:pPr>
            <w:r w:rsidRPr="00926E30">
              <w:rPr>
                <w:rFonts w:ascii="Times New Roman" w:hAnsi="Times New Roman" w:cs="Times New Roman"/>
                <w:sz w:val="24"/>
                <w:szCs w:val="24"/>
                <w:shd w:val="clear" w:color="auto" w:fill="FFFFFF"/>
              </w:rPr>
              <w:t>K</w:t>
            </w:r>
            <w:r w:rsidRPr="00926E30">
              <w:rPr>
                <w:rFonts w:ascii="Times New Roman" w:hAnsi="Times New Roman" w:cs="Times New Roman"/>
                <w:sz w:val="24"/>
                <w:szCs w:val="24"/>
              </w:rPr>
              <w:t xml:space="preserve">opējais pārdales apjoms budžeta </w:t>
            </w:r>
            <w:r w:rsidR="00926E30" w:rsidRPr="00926E30">
              <w:rPr>
                <w:rFonts w:ascii="Times New Roman" w:hAnsi="Times New Roman" w:cs="Times New Roman"/>
                <w:sz w:val="24"/>
                <w:szCs w:val="24"/>
              </w:rPr>
              <w:t xml:space="preserve">apakšprogrammai </w:t>
            </w:r>
            <w:r w:rsidR="00A017FF">
              <w:rPr>
                <w:rFonts w:ascii="Times New Roman" w:hAnsi="Times New Roman" w:cs="Times New Roman"/>
                <w:sz w:val="24"/>
                <w:szCs w:val="24"/>
              </w:rPr>
              <w:t>02.03.00 “</w:t>
            </w:r>
            <w:r w:rsidR="00A017FF" w:rsidRPr="00294D01">
              <w:rPr>
                <w:rFonts w:ascii="Times New Roman" w:hAnsi="Times New Roman" w:cs="Times New Roman"/>
                <w:sz w:val="24"/>
                <w:szCs w:val="24"/>
              </w:rPr>
              <w:t>Vienotās sakaru un informācija</w:t>
            </w:r>
            <w:r w:rsidR="00A017FF">
              <w:rPr>
                <w:rFonts w:ascii="Times New Roman" w:hAnsi="Times New Roman" w:cs="Times New Roman"/>
                <w:sz w:val="24"/>
                <w:szCs w:val="24"/>
              </w:rPr>
              <w:t xml:space="preserve">s sistēmas uzturēšana un vadība” un </w:t>
            </w:r>
            <w:r w:rsidR="00926E30" w:rsidRPr="00926E30">
              <w:rPr>
                <w:rFonts w:ascii="Times New Roman" w:hAnsi="Times New Roman" w:cs="Times New Roman"/>
                <w:sz w:val="24"/>
                <w:szCs w:val="24"/>
              </w:rPr>
              <w:t xml:space="preserve">40.02.00 “Nekustamais īpašums un centralizētais iepirkums” </w:t>
            </w:r>
            <w:r w:rsidRPr="00926E30">
              <w:rPr>
                <w:rFonts w:ascii="Times New Roman" w:hAnsi="Times New Roman" w:cs="Times New Roman"/>
                <w:sz w:val="24"/>
                <w:szCs w:val="24"/>
                <w:shd w:val="clear" w:color="auto" w:fill="FFFFFF"/>
              </w:rPr>
              <w:t xml:space="preserve">izraisa palielinājumu, kas </w:t>
            </w:r>
            <w:r w:rsidR="00A017FF">
              <w:rPr>
                <w:rFonts w:ascii="Times New Roman" w:hAnsi="Times New Roman" w:cs="Times New Roman"/>
                <w:sz w:val="24"/>
                <w:szCs w:val="24"/>
                <w:shd w:val="clear" w:color="auto" w:fill="FFFFFF"/>
              </w:rPr>
              <w:t xml:space="preserve">attiecīgi </w:t>
            </w:r>
            <w:r w:rsidRPr="00926E30">
              <w:rPr>
                <w:rFonts w:ascii="Times New Roman" w:hAnsi="Times New Roman" w:cs="Times New Roman"/>
                <w:sz w:val="24"/>
                <w:szCs w:val="24"/>
                <w:shd w:val="clear" w:color="auto" w:fill="FFFFFF"/>
              </w:rPr>
              <w:t xml:space="preserve">ir lielāks par 5 procentiem no apakšprogrammai apstiprinātās gada apropriācijas apjoma, tādējādi </w:t>
            </w:r>
            <w:r w:rsidRPr="00926E30">
              <w:rPr>
                <w:rFonts w:ascii="Times New Roman" w:hAnsi="Times New Roman" w:cs="Times New Roman"/>
                <w:sz w:val="24"/>
                <w:szCs w:val="24"/>
              </w:rPr>
              <w:t>ņemot vērā</w:t>
            </w:r>
            <w:proofErr w:type="gramStart"/>
            <w:r w:rsidRPr="00926E30">
              <w:rPr>
                <w:rFonts w:ascii="Times New Roman" w:hAnsi="Times New Roman" w:cs="Times New Roman"/>
                <w:sz w:val="24"/>
                <w:szCs w:val="24"/>
              </w:rPr>
              <w:t xml:space="preserve"> </w:t>
            </w:r>
            <w:r w:rsidRPr="00926E30">
              <w:rPr>
                <w:rFonts w:ascii="Times New Roman" w:hAnsi="Times New Roman" w:cs="Times New Roman"/>
                <w:sz w:val="24"/>
                <w:szCs w:val="24"/>
                <w:shd w:val="clear" w:color="auto" w:fill="FFFFFF"/>
              </w:rPr>
              <w:t xml:space="preserve"> </w:t>
            </w:r>
            <w:proofErr w:type="gramEnd"/>
            <w:r w:rsidRPr="00926E30">
              <w:rPr>
                <w:rFonts w:ascii="Times New Roman" w:hAnsi="Times New Roman" w:cs="Times New Roman"/>
                <w:sz w:val="24"/>
                <w:szCs w:val="24"/>
                <w:shd w:val="clear" w:color="auto" w:fill="FFFFFF"/>
              </w:rPr>
              <w:t>likuma „Par valsts bu</w:t>
            </w:r>
            <w:r w:rsidR="00926E30" w:rsidRPr="00926E30">
              <w:rPr>
                <w:rFonts w:ascii="Times New Roman" w:hAnsi="Times New Roman" w:cs="Times New Roman"/>
                <w:sz w:val="24"/>
                <w:szCs w:val="24"/>
                <w:shd w:val="clear" w:color="auto" w:fill="FFFFFF"/>
              </w:rPr>
              <w:t>džetu 2015.gadam” 31.panta ceturtajā</w:t>
            </w:r>
            <w:r w:rsidRPr="00926E30">
              <w:rPr>
                <w:rFonts w:ascii="Times New Roman" w:hAnsi="Times New Roman" w:cs="Times New Roman"/>
                <w:sz w:val="24"/>
                <w:szCs w:val="24"/>
                <w:shd w:val="clear" w:color="auto" w:fill="FFFFFF"/>
              </w:rPr>
              <w:t xml:space="preserve"> daļā noteikto, apropriācijas pārdali šajā</w:t>
            </w:r>
            <w:r w:rsidR="00A017FF">
              <w:rPr>
                <w:rFonts w:ascii="Times New Roman" w:hAnsi="Times New Roman" w:cs="Times New Roman"/>
                <w:sz w:val="24"/>
                <w:szCs w:val="24"/>
                <w:shd w:val="clear" w:color="auto" w:fill="FFFFFF"/>
              </w:rPr>
              <w:t>s</w:t>
            </w:r>
            <w:r w:rsidRPr="00926E30">
              <w:rPr>
                <w:rFonts w:ascii="Times New Roman" w:hAnsi="Times New Roman" w:cs="Times New Roman"/>
                <w:sz w:val="24"/>
                <w:szCs w:val="24"/>
                <w:shd w:val="clear" w:color="auto" w:fill="FFFFFF"/>
              </w:rPr>
              <w:t xml:space="preserve"> budžeta apakšprogrammā</w:t>
            </w:r>
            <w:r w:rsidR="00A017FF">
              <w:rPr>
                <w:rFonts w:ascii="Times New Roman" w:hAnsi="Times New Roman" w:cs="Times New Roman"/>
                <w:sz w:val="24"/>
                <w:szCs w:val="24"/>
                <w:shd w:val="clear" w:color="auto" w:fill="FFFFFF"/>
              </w:rPr>
              <w:t>s</w:t>
            </w:r>
            <w:r w:rsidRPr="00926E30">
              <w:rPr>
                <w:rFonts w:ascii="Times New Roman" w:hAnsi="Times New Roman" w:cs="Times New Roman"/>
                <w:sz w:val="24"/>
                <w:szCs w:val="24"/>
                <w:shd w:val="clear" w:color="auto" w:fill="FFFFFF"/>
              </w:rPr>
              <w:t xml:space="preserve"> var veikt, ja Saeimas Budžeta un finanšu (nodokļu) komisija piecu darba dienu laikā no attiecīgās informācijas saņemšanas nav iebildusi pret apropriācijas pārdali.</w:t>
            </w:r>
          </w:p>
          <w:p w:rsidR="00A7505D" w:rsidRPr="00B26813" w:rsidRDefault="00B26813" w:rsidP="009A2D67">
            <w:pPr>
              <w:pStyle w:val="naiskr"/>
              <w:spacing w:before="0" w:beforeAutospacing="0" w:after="0" w:afterAutospacing="0"/>
              <w:ind w:left="35" w:firstLine="425"/>
              <w:jc w:val="both"/>
              <w:rPr>
                <w:b/>
              </w:rPr>
            </w:pPr>
            <w:r w:rsidRPr="00206E5B">
              <w:t xml:space="preserve">Rīkojuma </w:t>
            </w:r>
            <w:r w:rsidR="00666400">
              <w:t>projekts paredz</w:t>
            </w:r>
            <w:r w:rsidRPr="00206E5B">
              <w:t xml:space="preserve"> atļaut Iekšlietu ministrijai veikt apropriācijas pārdali </w:t>
            </w:r>
            <w:proofErr w:type="gramStart"/>
            <w:r w:rsidRPr="00206E5B">
              <w:t>2015.gadā</w:t>
            </w:r>
            <w:proofErr w:type="gramEnd"/>
            <w:r w:rsidRPr="00206E5B">
              <w:t xml:space="preserve"> starp programmām</w:t>
            </w:r>
            <w:r w:rsidR="00666400">
              <w:t xml:space="preserve">, apakšprogrammām, </w:t>
            </w:r>
            <w:r w:rsidRPr="00206E5B">
              <w:t>pasākumiem</w:t>
            </w:r>
            <w:r w:rsidR="00666400">
              <w:t xml:space="preserve"> un EKK.</w:t>
            </w:r>
            <w:r w:rsidRPr="00206E5B">
              <w:t xml:space="preserve"> </w:t>
            </w:r>
            <w:r w:rsidRPr="00666400">
              <w:t>Rīkojuma projekts daļēji atrisina iepriekš minētās problēmas, vienlaikus tiek rasta iespēja daļēji finansēt pieteiktās jaunās politikas iniciatīvas.</w:t>
            </w:r>
          </w:p>
        </w:tc>
      </w:tr>
      <w:tr w:rsidR="007F6B1C" w:rsidRPr="005128C9" w:rsidTr="000A25FF">
        <w:trPr>
          <w:trHeight w:val="476"/>
        </w:trPr>
        <w:tc>
          <w:tcPr>
            <w:tcW w:w="227" w:type="pct"/>
          </w:tcPr>
          <w:p w:rsidR="007F6B1C" w:rsidRPr="005128C9" w:rsidRDefault="007F6B1C" w:rsidP="006A32EF">
            <w:pPr>
              <w:pStyle w:val="naiskr"/>
              <w:spacing w:before="0" w:beforeAutospacing="0" w:after="0" w:afterAutospacing="0"/>
              <w:ind w:left="57" w:right="57"/>
              <w:jc w:val="center"/>
            </w:pPr>
            <w:r w:rsidRPr="005128C9">
              <w:lastRenderedPageBreak/>
              <w:t>3.</w:t>
            </w:r>
          </w:p>
        </w:tc>
        <w:tc>
          <w:tcPr>
            <w:tcW w:w="1004" w:type="pct"/>
          </w:tcPr>
          <w:p w:rsidR="007F6B1C" w:rsidRPr="005128C9" w:rsidRDefault="007F6B1C" w:rsidP="006A32EF">
            <w:pPr>
              <w:pStyle w:val="naiskr"/>
              <w:spacing w:before="0" w:beforeAutospacing="0" w:after="0" w:afterAutospacing="0"/>
              <w:ind w:left="57" w:right="57"/>
            </w:pPr>
            <w:r w:rsidRPr="005128C9">
              <w:t>Projekta izstrādē iesaistītās institūcijas</w:t>
            </w:r>
          </w:p>
        </w:tc>
        <w:tc>
          <w:tcPr>
            <w:tcW w:w="3769" w:type="pct"/>
          </w:tcPr>
          <w:p w:rsidR="007F6B1C" w:rsidRPr="005128C9" w:rsidRDefault="00687885" w:rsidP="00E8460E">
            <w:pPr>
              <w:pStyle w:val="naiskr"/>
              <w:spacing w:before="0" w:beforeAutospacing="0" w:after="0" w:afterAutospacing="0"/>
              <w:ind w:left="57" w:right="57" w:firstLine="449"/>
              <w:jc w:val="both"/>
              <w:rPr>
                <w:b/>
              </w:rPr>
            </w:pPr>
            <w:r>
              <w:t>Iekšlietu ministrija, Valsts robežsardze, Nodrošinājuma valsts aģentūra, Iekšlietu ministrijas veselības un sporta centrs, Iekšlietu ministrijas Informācijas centrs, Pilsonības un migrācijas lietu pārvalde.</w:t>
            </w:r>
          </w:p>
        </w:tc>
      </w:tr>
      <w:tr w:rsidR="007F6B1C" w:rsidRPr="005128C9" w:rsidTr="000A25FF">
        <w:tc>
          <w:tcPr>
            <w:tcW w:w="227" w:type="pct"/>
          </w:tcPr>
          <w:p w:rsidR="007F6B1C" w:rsidRPr="005128C9" w:rsidRDefault="007F6B1C" w:rsidP="006A32EF">
            <w:pPr>
              <w:pStyle w:val="naiskr"/>
              <w:spacing w:before="0" w:beforeAutospacing="0" w:after="0" w:afterAutospacing="0"/>
              <w:ind w:left="57" w:right="57"/>
              <w:jc w:val="center"/>
            </w:pPr>
            <w:r w:rsidRPr="005128C9">
              <w:t>4.</w:t>
            </w:r>
          </w:p>
        </w:tc>
        <w:tc>
          <w:tcPr>
            <w:tcW w:w="1004" w:type="pct"/>
          </w:tcPr>
          <w:p w:rsidR="007F6B1C" w:rsidRPr="005128C9" w:rsidRDefault="007F6B1C" w:rsidP="006A32EF">
            <w:pPr>
              <w:pStyle w:val="naiskr"/>
              <w:spacing w:before="0" w:beforeAutospacing="0" w:after="0" w:afterAutospacing="0"/>
              <w:ind w:left="57" w:right="57"/>
            </w:pPr>
            <w:r w:rsidRPr="005128C9">
              <w:t>Cita informācija</w:t>
            </w:r>
          </w:p>
        </w:tc>
        <w:tc>
          <w:tcPr>
            <w:tcW w:w="3769" w:type="pct"/>
          </w:tcPr>
          <w:p w:rsidR="007F6B1C" w:rsidRPr="005128C9" w:rsidRDefault="00687885" w:rsidP="006A32EF">
            <w:pPr>
              <w:pStyle w:val="naiskr"/>
              <w:spacing w:before="0" w:beforeAutospacing="0" w:after="0" w:afterAutospacing="0"/>
              <w:ind w:left="57" w:right="57"/>
            </w:pPr>
            <w:r>
              <w:t>Nav.</w:t>
            </w:r>
          </w:p>
        </w:tc>
      </w:tr>
    </w:tbl>
    <w:p w:rsidR="007F6B1C" w:rsidRPr="005128C9" w:rsidRDefault="004A544B" w:rsidP="004A544B">
      <w:pPr>
        <w:tabs>
          <w:tab w:val="left" w:pos="913"/>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7F6B1C" w:rsidRPr="005128C9" w:rsidRDefault="007F6B1C" w:rsidP="007F6B1C">
      <w:pPr>
        <w:spacing w:after="0" w:line="240" w:lineRule="auto"/>
        <w:rPr>
          <w:rFonts w:ascii="Times New Roman" w:hAnsi="Times New Roman" w:cs="Times New Roman"/>
          <w:sz w:val="24"/>
          <w:szCs w:val="24"/>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64"/>
        <w:gridCol w:w="1426"/>
        <w:gridCol w:w="1150"/>
        <w:gridCol w:w="1223"/>
        <w:gridCol w:w="1223"/>
      </w:tblGrid>
      <w:tr w:rsidR="007F6B1C" w:rsidRPr="005128C9" w:rsidTr="00A75633">
        <w:trPr>
          <w:trHeight w:val="361"/>
          <w:jc w:val="center"/>
        </w:trPr>
        <w:tc>
          <w:tcPr>
            <w:tcW w:w="9403" w:type="dxa"/>
            <w:gridSpan w:val="6"/>
            <w:vAlign w:val="center"/>
          </w:tcPr>
          <w:p w:rsidR="007F6B1C" w:rsidRPr="005128C9" w:rsidRDefault="007F6B1C" w:rsidP="006A32EF">
            <w:pPr>
              <w:pStyle w:val="naisnod"/>
              <w:spacing w:before="0" w:beforeAutospacing="0" w:after="0" w:afterAutospacing="0"/>
              <w:jc w:val="center"/>
              <w:rPr>
                <w:b/>
                <w:i/>
              </w:rPr>
            </w:pPr>
            <w:r w:rsidRPr="005128C9">
              <w:lastRenderedPageBreak/>
              <w:br w:type="page"/>
            </w:r>
            <w:r w:rsidRPr="005128C9">
              <w:rPr>
                <w:b/>
              </w:rPr>
              <w:t>III. Tiesību akta projekta ietekme uz valsts budžetu un pašvaldību budžetiem</w:t>
            </w:r>
          </w:p>
        </w:tc>
      </w:tr>
      <w:tr w:rsidR="007F6B1C" w:rsidRPr="005128C9" w:rsidTr="00A75633">
        <w:trPr>
          <w:jc w:val="center"/>
        </w:trPr>
        <w:tc>
          <w:tcPr>
            <w:tcW w:w="3117" w:type="dxa"/>
            <w:vMerge w:val="restart"/>
            <w:vAlign w:val="center"/>
          </w:tcPr>
          <w:p w:rsidR="007F6B1C" w:rsidRPr="005128C9" w:rsidRDefault="007F6B1C" w:rsidP="006A32EF">
            <w:pPr>
              <w:pStyle w:val="naisf"/>
              <w:spacing w:before="0" w:beforeAutospacing="0" w:after="0" w:afterAutospacing="0"/>
              <w:jc w:val="center"/>
              <w:rPr>
                <w:b/>
              </w:rPr>
            </w:pPr>
            <w:r w:rsidRPr="005128C9">
              <w:rPr>
                <w:b/>
              </w:rPr>
              <w:t>Rādītāji</w:t>
            </w:r>
          </w:p>
        </w:tc>
        <w:tc>
          <w:tcPr>
            <w:tcW w:w="2690" w:type="dxa"/>
            <w:gridSpan w:val="2"/>
            <w:vMerge w:val="restart"/>
            <w:vAlign w:val="center"/>
          </w:tcPr>
          <w:p w:rsidR="007F6B1C" w:rsidRPr="005128C9" w:rsidRDefault="001204D1" w:rsidP="006A32EF">
            <w:pPr>
              <w:pStyle w:val="naisf"/>
              <w:spacing w:before="0" w:beforeAutospacing="0" w:after="0" w:afterAutospacing="0"/>
              <w:jc w:val="center"/>
              <w:rPr>
                <w:b/>
              </w:rPr>
            </w:pPr>
            <w:r>
              <w:rPr>
                <w:b/>
              </w:rPr>
              <w:t>2015</w:t>
            </w:r>
          </w:p>
        </w:tc>
        <w:tc>
          <w:tcPr>
            <w:tcW w:w="3596" w:type="dxa"/>
            <w:gridSpan w:val="3"/>
            <w:vAlign w:val="center"/>
          </w:tcPr>
          <w:p w:rsidR="007F6B1C" w:rsidRPr="005128C9" w:rsidRDefault="00E7737A" w:rsidP="006A32EF">
            <w:pPr>
              <w:pStyle w:val="naisf"/>
              <w:spacing w:before="0" w:beforeAutospacing="0" w:after="0" w:afterAutospacing="0"/>
              <w:jc w:val="center"/>
              <w:rPr>
                <w:b/>
                <w:i/>
              </w:rPr>
            </w:pPr>
            <w:r>
              <w:t>Turpmākie trīs gadi (</w:t>
            </w:r>
            <w:proofErr w:type="spellStart"/>
            <w:r w:rsidRPr="00E7737A">
              <w:rPr>
                <w:i/>
              </w:rPr>
              <w:t>euro</w:t>
            </w:r>
            <w:proofErr w:type="spellEnd"/>
            <w:r w:rsidR="007F6B1C" w:rsidRPr="005128C9">
              <w:t>)</w:t>
            </w:r>
          </w:p>
        </w:tc>
      </w:tr>
      <w:tr w:rsidR="007F6B1C" w:rsidRPr="005128C9" w:rsidTr="00A75633">
        <w:trPr>
          <w:jc w:val="center"/>
        </w:trPr>
        <w:tc>
          <w:tcPr>
            <w:tcW w:w="3117" w:type="dxa"/>
            <w:vMerge/>
            <w:vAlign w:val="center"/>
          </w:tcPr>
          <w:p w:rsidR="007F6B1C" w:rsidRPr="005128C9" w:rsidRDefault="007F6B1C" w:rsidP="006A32EF">
            <w:pPr>
              <w:pStyle w:val="naisf"/>
              <w:spacing w:before="0" w:beforeAutospacing="0" w:after="0" w:afterAutospacing="0"/>
              <w:jc w:val="center"/>
              <w:rPr>
                <w:b/>
                <w:i/>
              </w:rPr>
            </w:pPr>
          </w:p>
        </w:tc>
        <w:tc>
          <w:tcPr>
            <w:tcW w:w="2690" w:type="dxa"/>
            <w:gridSpan w:val="2"/>
            <w:vMerge/>
            <w:vAlign w:val="center"/>
          </w:tcPr>
          <w:p w:rsidR="007F6B1C" w:rsidRPr="005128C9" w:rsidRDefault="007F6B1C" w:rsidP="006A32EF">
            <w:pPr>
              <w:pStyle w:val="naisf"/>
              <w:spacing w:before="0" w:beforeAutospacing="0" w:after="0" w:afterAutospacing="0"/>
              <w:jc w:val="center"/>
              <w:rPr>
                <w:b/>
                <w:i/>
              </w:rPr>
            </w:pPr>
          </w:p>
        </w:tc>
        <w:tc>
          <w:tcPr>
            <w:tcW w:w="1150" w:type="dxa"/>
            <w:vAlign w:val="center"/>
          </w:tcPr>
          <w:p w:rsidR="007F6B1C" w:rsidRPr="005128C9" w:rsidRDefault="001204D1" w:rsidP="006A32EF">
            <w:pPr>
              <w:pStyle w:val="naisf"/>
              <w:spacing w:before="0" w:beforeAutospacing="0" w:after="0" w:afterAutospacing="0"/>
              <w:jc w:val="center"/>
              <w:rPr>
                <w:b/>
                <w:i/>
              </w:rPr>
            </w:pPr>
            <w:r>
              <w:rPr>
                <w:b/>
                <w:bCs/>
              </w:rPr>
              <w:t>2016</w:t>
            </w:r>
          </w:p>
        </w:tc>
        <w:tc>
          <w:tcPr>
            <w:tcW w:w="1223" w:type="dxa"/>
            <w:vAlign w:val="center"/>
          </w:tcPr>
          <w:p w:rsidR="007F6B1C" w:rsidRPr="005128C9" w:rsidRDefault="001204D1" w:rsidP="006A32EF">
            <w:pPr>
              <w:pStyle w:val="naisf"/>
              <w:spacing w:before="0" w:beforeAutospacing="0" w:after="0" w:afterAutospacing="0"/>
              <w:jc w:val="center"/>
              <w:rPr>
                <w:b/>
                <w:i/>
              </w:rPr>
            </w:pPr>
            <w:r>
              <w:rPr>
                <w:b/>
                <w:bCs/>
              </w:rPr>
              <w:t>2017</w:t>
            </w:r>
          </w:p>
        </w:tc>
        <w:tc>
          <w:tcPr>
            <w:tcW w:w="1223" w:type="dxa"/>
            <w:vAlign w:val="center"/>
          </w:tcPr>
          <w:p w:rsidR="007F6B1C" w:rsidRPr="005128C9" w:rsidRDefault="001204D1" w:rsidP="006A32EF">
            <w:pPr>
              <w:pStyle w:val="naisf"/>
              <w:spacing w:before="0" w:beforeAutospacing="0" w:after="0" w:afterAutospacing="0"/>
              <w:jc w:val="center"/>
              <w:rPr>
                <w:b/>
                <w:i/>
              </w:rPr>
            </w:pPr>
            <w:r>
              <w:rPr>
                <w:b/>
                <w:bCs/>
              </w:rPr>
              <w:t>2018</w:t>
            </w:r>
          </w:p>
        </w:tc>
      </w:tr>
      <w:tr w:rsidR="007F6B1C" w:rsidRPr="005128C9" w:rsidTr="00A75633">
        <w:trPr>
          <w:jc w:val="center"/>
        </w:trPr>
        <w:tc>
          <w:tcPr>
            <w:tcW w:w="3117" w:type="dxa"/>
            <w:vMerge/>
            <w:vAlign w:val="center"/>
          </w:tcPr>
          <w:p w:rsidR="007F6B1C" w:rsidRPr="005128C9" w:rsidRDefault="007F6B1C" w:rsidP="006A32EF">
            <w:pPr>
              <w:pStyle w:val="naisf"/>
              <w:spacing w:before="0" w:beforeAutospacing="0" w:after="0" w:afterAutospacing="0"/>
              <w:jc w:val="center"/>
              <w:rPr>
                <w:b/>
                <w:i/>
              </w:rPr>
            </w:pPr>
          </w:p>
        </w:tc>
        <w:tc>
          <w:tcPr>
            <w:tcW w:w="1264" w:type="dxa"/>
            <w:vAlign w:val="center"/>
          </w:tcPr>
          <w:p w:rsidR="007F6B1C" w:rsidRPr="005128C9" w:rsidRDefault="007F6B1C" w:rsidP="006A32EF">
            <w:pPr>
              <w:pStyle w:val="naisf"/>
              <w:spacing w:before="0" w:beforeAutospacing="0" w:after="0" w:afterAutospacing="0"/>
              <w:jc w:val="center"/>
              <w:rPr>
                <w:b/>
                <w:i/>
              </w:rPr>
            </w:pPr>
            <w:r w:rsidRPr="005128C9">
              <w:t xml:space="preserve">saskaņā ar valsts budžetu </w:t>
            </w:r>
            <w:r w:rsidRPr="005128C9">
              <w:lastRenderedPageBreak/>
              <w:t>kārtējam gadam</w:t>
            </w:r>
          </w:p>
        </w:tc>
        <w:tc>
          <w:tcPr>
            <w:tcW w:w="1426" w:type="dxa"/>
            <w:vAlign w:val="center"/>
          </w:tcPr>
          <w:p w:rsidR="007F6B1C" w:rsidRPr="005128C9" w:rsidRDefault="007F6B1C" w:rsidP="006A32EF">
            <w:pPr>
              <w:pStyle w:val="naisf"/>
              <w:spacing w:before="0" w:beforeAutospacing="0" w:after="0" w:afterAutospacing="0"/>
              <w:jc w:val="center"/>
              <w:rPr>
                <w:b/>
                <w:i/>
              </w:rPr>
            </w:pPr>
            <w:r w:rsidRPr="005128C9">
              <w:lastRenderedPageBreak/>
              <w:t xml:space="preserve">izmaiņas kārtējā gadā, salīdzinot ar </w:t>
            </w:r>
            <w:r w:rsidRPr="005128C9">
              <w:lastRenderedPageBreak/>
              <w:t>budžetu kārtējam gadam</w:t>
            </w:r>
          </w:p>
        </w:tc>
        <w:tc>
          <w:tcPr>
            <w:tcW w:w="1150" w:type="dxa"/>
            <w:vAlign w:val="center"/>
          </w:tcPr>
          <w:p w:rsidR="007F6B1C" w:rsidRPr="005128C9" w:rsidRDefault="007F6B1C" w:rsidP="006A32EF">
            <w:pPr>
              <w:pStyle w:val="naisf"/>
              <w:spacing w:before="0" w:beforeAutospacing="0" w:after="0" w:afterAutospacing="0"/>
              <w:jc w:val="center"/>
              <w:rPr>
                <w:b/>
                <w:i/>
              </w:rPr>
            </w:pPr>
            <w:r w:rsidRPr="005128C9">
              <w:lastRenderedPageBreak/>
              <w:t>izm</w:t>
            </w:r>
            <w:r w:rsidR="001204D1">
              <w:t xml:space="preserve">aiņas, salīdzinot ar kārtējo </w:t>
            </w:r>
            <w:r w:rsidR="001204D1">
              <w:lastRenderedPageBreak/>
              <w:t>2015.</w:t>
            </w:r>
            <w:r w:rsidRPr="005128C9">
              <w:t xml:space="preserve"> gadu</w:t>
            </w:r>
          </w:p>
        </w:tc>
        <w:tc>
          <w:tcPr>
            <w:tcW w:w="1223" w:type="dxa"/>
            <w:vAlign w:val="center"/>
          </w:tcPr>
          <w:p w:rsidR="007F6B1C" w:rsidRPr="005128C9" w:rsidRDefault="007F6B1C" w:rsidP="006A32EF">
            <w:pPr>
              <w:pStyle w:val="naisf"/>
              <w:spacing w:before="0" w:beforeAutospacing="0" w:after="0" w:afterAutospacing="0"/>
              <w:jc w:val="center"/>
              <w:rPr>
                <w:b/>
                <w:i/>
              </w:rPr>
            </w:pPr>
            <w:r w:rsidRPr="005128C9">
              <w:lastRenderedPageBreak/>
              <w:t>izma</w:t>
            </w:r>
            <w:r w:rsidR="001204D1">
              <w:t xml:space="preserve">iņas, salīdzinot ar kārtējo </w:t>
            </w:r>
            <w:proofErr w:type="gramStart"/>
            <w:r w:rsidR="001204D1">
              <w:t>2015.</w:t>
            </w:r>
            <w:r w:rsidRPr="005128C9">
              <w:t>gadu</w:t>
            </w:r>
            <w:proofErr w:type="gramEnd"/>
          </w:p>
        </w:tc>
        <w:tc>
          <w:tcPr>
            <w:tcW w:w="1223" w:type="dxa"/>
            <w:vAlign w:val="center"/>
          </w:tcPr>
          <w:p w:rsidR="007F6B1C" w:rsidRPr="005128C9" w:rsidRDefault="007F6B1C" w:rsidP="006A32EF">
            <w:pPr>
              <w:pStyle w:val="naisf"/>
              <w:spacing w:before="0" w:beforeAutospacing="0" w:after="0" w:afterAutospacing="0"/>
              <w:jc w:val="center"/>
              <w:rPr>
                <w:b/>
                <w:i/>
              </w:rPr>
            </w:pPr>
            <w:r w:rsidRPr="005128C9">
              <w:t>izmaiņas,</w:t>
            </w:r>
            <w:r w:rsidR="001204D1">
              <w:t xml:space="preserve"> salīdzinot ar kārtējo </w:t>
            </w:r>
            <w:proofErr w:type="gramStart"/>
            <w:r w:rsidR="001204D1">
              <w:t>2015.</w:t>
            </w:r>
            <w:r w:rsidRPr="005128C9">
              <w:t>gadu</w:t>
            </w:r>
            <w:proofErr w:type="gramEnd"/>
          </w:p>
        </w:tc>
      </w:tr>
      <w:tr w:rsidR="007F6B1C" w:rsidRPr="005128C9" w:rsidTr="00A75633">
        <w:trPr>
          <w:jc w:val="center"/>
        </w:trPr>
        <w:tc>
          <w:tcPr>
            <w:tcW w:w="3117" w:type="dxa"/>
            <w:vAlign w:val="center"/>
          </w:tcPr>
          <w:p w:rsidR="007F6B1C" w:rsidRPr="001204D1" w:rsidRDefault="007F6B1C" w:rsidP="006A32EF">
            <w:pPr>
              <w:pStyle w:val="naisf"/>
              <w:spacing w:before="0" w:beforeAutospacing="0" w:after="0" w:afterAutospacing="0"/>
              <w:jc w:val="center"/>
              <w:rPr>
                <w:bCs/>
                <w:sz w:val="18"/>
                <w:szCs w:val="18"/>
              </w:rPr>
            </w:pPr>
            <w:r w:rsidRPr="001204D1">
              <w:rPr>
                <w:bCs/>
                <w:sz w:val="18"/>
                <w:szCs w:val="18"/>
              </w:rPr>
              <w:lastRenderedPageBreak/>
              <w:t>1</w:t>
            </w:r>
          </w:p>
        </w:tc>
        <w:tc>
          <w:tcPr>
            <w:tcW w:w="1264" w:type="dxa"/>
            <w:vAlign w:val="center"/>
          </w:tcPr>
          <w:p w:rsidR="007F6B1C" w:rsidRPr="001204D1" w:rsidRDefault="007F6B1C" w:rsidP="006A32EF">
            <w:pPr>
              <w:pStyle w:val="naisf"/>
              <w:spacing w:before="0" w:beforeAutospacing="0" w:after="0" w:afterAutospacing="0"/>
              <w:jc w:val="center"/>
              <w:rPr>
                <w:bCs/>
                <w:sz w:val="18"/>
                <w:szCs w:val="18"/>
              </w:rPr>
            </w:pPr>
            <w:r w:rsidRPr="001204D1">
              <w:rPr>
                <w:bCs/>
                <w:sz w:val="18"/>
                <w:szCs w:val="18"/>
              </w:rPr>
              <w:t>2</w:t>
            </w:r>
          </w:p>
        </w:tc>
        <w:tc>
          <w:tcPr>
            <w:tcW w:w="1426" w:type="dxa"/>
            <w:vAlign w:val="center"/>
          </w:tcPr>
          <w:p w:rsidR="007F6B1C" w:rsidRPr="001204D1" w:rsidRDefault="007F6B1C" w:rsidP="006A32EF">
            <w:pPr>
              <w:pStyle w:val="naisf"/>
              <w:spacing w:before="0" w:beforeAutospacing="0" w:after="0" w:afterAutospacing="0"/>
              <w:jc w:val="center"/>
              <w:rPr>
                <w:bCs/>
                <w:sz w:val="18"/>
                <w:szCs w:val="18"/>
              </w:rPr>
            </w:pPr>
            <w:r w:rsidRPr="001204D1">
              <w:rPr>
                <w:bCs/>
                <w:sz w:val="18"/>
                <w:szCs w:val="18"/>
              </w:rPr>
              <w:t>3</w:t>
            </w:r>
          </w:p>
        </w:tc>
        <w:tc>
          <w:tcPr>
            <w:tcW w:w="1150" w:type="dxa"/>
            <w:vAlign w:val="center"/>
          </w:tcPr>
          <w:p w:rsidR="007F6B1C" w:rsidRPr="001204D1" w:rsidRDefault="007F6B1C" w:rsidP="006A32EF">
            <w:pPr>
              <w:pStyle w:val="naisf"/>
              <w:spacing w:before="0" w:beforeAutospacing="0" w:after="0" w:afterAutospacing="0"/>
              <w:jc w:val="center"/>
              <w:rPr>
                <w:bCs/>
                <w:sz w:val="18"/>
                <w:szCs w:val="18"/>
              </w:rPr>
            </w:pPr>
            <w:r w:rsidRPr="001204D1">
              <w:rPr>
                <w:bCs/>
                <w:sz w:val="18"/>
                <w:szCs w:val="18"/>
              </w:rPr>
              <w:t>4</w:t>
            </w:r>
          </w:p>
        </w:tc>
        <w:tc>
          <w:tcPr>
            <w:tcW w:w="1223" w:type="dxa"/>
            <w:vAlign w:val="center"/>
          </w:tcPr>
          <w:p w:rsidR="007F6B1C" w:rsidRPr="001204D1" w:rsidRDefault="007F6B1C" w:rsidP="006A32EF">
            <w:pPr>
              <w:pStyle w:val="naisf"/>
              <w:spacing w:before="0" w:beforeAutospacing="0" w:after="0" w:afterAutospacing="0"/>
              <w:jc w:val="center"/>
              <w:rPr>
                <w:bCs/>
                <w:sz w:val="18"/>
                <w:szCs w:val="18"/>
              </w:rPr>
            </w:pPr>
            <w:r w:rsidRPr="001204D1">
              <w:rPr>
                <w:bCs/>
                <w:sz w:val="18"/>
                <w:szCs w:val="18"/>
              </w:rPr>
              <w:t>5</w:t>
            </w:r>
          </w:p>
        </w:tc>
        <w:tc>
          <w:tcPr>
            <w:tcW w:w="1223" w:type="dxa"/>
            <w:vAlign w:val="center"/>
          </w:tcPr>
          <w:p w:rsidR="007F6B1C" w:rsidRPr="001204D1" w:rsidRDefault="007F6B1C" w:rsidP="006A32EF">
            <w:pPr>
              <w:pStyle w:val="naisf"/>
              <w:spacing w:before="0" w:beforeAutospacing="0" w:after="0" w:afterAutospacing="0"/>
              <w:jc w:val="center"/>
              <w:rPr>
                <w:bCs/>
                <w:sz w:val="18"/>
                <w:szCs w:val="18"/>
              </w:rPr>
            </w:pPr>
            <w:r w:rsidRPr="001204D1">
              <w:rPr>
                <w:bCs/>
                <w:sz w:val="18"/>
                <w:szCs w:val="18"/>
              </w:rPr>
              <w:t>6</w:t>
            </w:r>
          </w:p>
        </w:tc>
      </w:tr>
      <w:tr w:rsidR="007F6B1C" w:rsidRPr="005128C9" w:rsidTr="00A75633">
        <w:trPr>
          <w:jc w:val="center"/>
        </w:trPr>
        <w:tc>
          <w:tcPr>
            <w:tcW w:w="3117" w:type="dxa"/>
          </w:tcPr>
          <w:p w:rsidR="007F6B1C" w:rsidRPr="005128C9" w:rsidRDefault="007F6B1C" w:rsidP="006A32EF">
            <w:pPr>
              <w:pStyle w:val="naisf"/>
              <w:spacing w:before="0" w:beforeAutospacing="0" w:after="0" w:afterAutospacing="0"/>
              <w:rPr>
                <w:i/>
              </w:rPr>
            </w:pPr>
            <w:r w:rsidRPr="005128C9">
              <w:t>1. Budžeta ieņēmumi:</w:t>
            </w:r>
          </w:p>
        </w:tc>
        <w:tc>
          <w:tcPr>
            <w:tcW w:w="1264" w:type="dxa"/>
          </w:tcPr>
          <w:p w:rsidR="007F6B1C" w:rsidRPr="00E7737A" w:rsidRDefault="00E7737A" w:rsidP="00E7737A">
            <w:pPr>
              <w:pStyle w:val="naisf"/>
              <w:spacing w:before="0" w:beforeAutospacing="0" w:after="0" w:afterAutospacing="0"/>
              <w:jc w:val="center"/>
            </w:pPr>
            <w:r w:rsidRPr="00E7737A">
              <w:t>0</w:t>
            </w:r>
          </w:p>
        </w:tc>
        <w:tc>
          <w:tcPr>
            <w:tcW w:w="1426"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pStyle w:val="naisf"/>
              <w:spacing w:before="0" w:beforeAutospacing="0" w:after="0" w:afterAutospacing="0"/>
              <w:rPr>
                <w:i/>
              </w:rPr>
            </w:pPr>
            <w:r w:rsidRPr="005128C9">
              <w:t>1.1. valsts pamatbudžets, tai skaitā ieņēmumi no maksas pakalpojumiem un citi pašu ieņēmumi</w:t>
            </w:r>
          </w:p>
        </w:tc>
        <w:tc>
          <w:tcPr>
            <w:tcW w:w="1264" w:type="dxa"/>
          </w:tcPr>
          <w:p w:rsidR="007F6B1C" w:rsidRPr="00E7737A" w:rsidRDefault="00E7737A" w:rsidP="00E7737A">
            <w:pPr>
              <w:pStyle w:val="naisf"/>
              <w:spacing w:before="0" w:beforeAutospacing="0" w:after="0" w:afterAutospacing="0"/>
              <w:jc w:val="center"/>
            </w:pPr>
            <w:r w:rsidRPr="00E7737A">
              <w:t>0</w:t>
            </w:r>
          </w:p>
        </w:tc>
        <w:tc>
          <w:tcPr>
            <w:tcW w:w="1426"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pStyle w:val="naisf"/>
              <w:spacing w:before="0" w:beforeAutospacing="0" w:after="0" w:afterAutospacing="0"/>
              <w:rPr>
                <w:i/>
              </w:rPr>
            </w:pPr>
            <w:r w:rsidRPr="005128C9">
              <w:t>1.2. valsts speciālais budžets</w:t>
            </w:r>
          </w:p>
        </w:tc>
        <w:tc>
          <w:tcPr>
            <w:tcW w:w="1264" w:type="dxa"/>
          </w:tcPr>
          <w:p w:rsidR="007F6B1C" w:rsidRPr="00E7737A" w:rsidRDefault="00E7737A" w:rsidP="00E7737A">
            <w:pPr>
              <w:pStyle w:val="naisf"/>
              <w:spacing w:before="0" w:beforeAutospacing="0" w:after="0" w:afterAutospacing="0"/>
              <w:jc w:val="center"/>
            </w:pPr>
            <w:r w:rsidRPr="00E7737A">
              <w:t>0</w:t>
            </w:r>
          </w:p>
        </w:tc>
        <w:tc>
          <w:tcPr>
            <w:tcW w:w="1426"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pStyle w:val="naisf"/>
              <w:spacing w:before="0" w:beforeAutospacing="0" w:after="0" w:afterAutospacing="0"/>
              <w:rPr>
                <w:i/>
              </w:rPr>
            </w:pPr>
            <w:r w:rsidRPr="005128C9">
              <w:t>1.3. pašvaldību budžets</w:t>
            </w:r>
          </w:p>
        </w:tc>
        <w:tc>
          <w:tcPr>
            <w:tcW w:w="1264" w:type="dxa"/>
          </w:tcPr>
          <w:p w:rsidR="007F6B1C" w:rsidRPr="00E7737A" w:rsidRDefault="00E7737A" w:rsidP="00E7737A">
            <w:pPr>
              <w:pStyle w:val="naisf"/>
              <w:spacing w:before="0" w:beforeAutospacing="0" w:after="0" w:afterAutospacing="0"/>
              <w:jc w:val="center"/>
            </w:pPr>
            <w:r w:rsidRPr="00E7737A">
              <w:t>0</w:t>
            </w:r>
          </w:p>
        </w:tc>
        <w:tc>
          <w:tcPr>
            <w:tcW w:w="1426"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 Budžeta izdevumi:</w:t>
            </w:r>
          </w:p>
        </w:tc>
        <w:tc>
          <w:tcPr>
            <w:tcW w:w="1264" w:type="dxa"/>
          </w:tcPr>
          <w:p w:rsidR="007F6B1C" w:rsidRPr="00E7737A" w:rsidRDefault="00E7737A" w:rsidP="00E7737A">
            <w:pPr>
              <w:pStyle w:val="naisf"/>
              <w:spacing w:before="0" w:beforeAutospacing="0" w:after="0" w:afterAutospacing="0"/>
              <w:jc w:val="center"/>
            </w:pPr>
            <w:r w:rsidRPr="00E7737A">
              <w:t>0</w:t>
            </w:r>
          </w:p>
        </w:tc>
        <w:tc>
          <w:tcPr>
            <w:tcW w:w="1426" w:type="dxa"/>
          </w:tcPr>
          <w:p w:rsidR="007F6B1C" w:rsidRPr="00E7737A" w:rsidRDefault="00A75633" w:rsidP="00E7737A">
            <w:pPr>
              <w:pStyle w:val="naisf"/>
              <w:spacing w:before="0" w:beforeAutospacing="0" w:after="0" w:afterAutospacing="0"/>
              <w:jc w:val="center"/>
            </w:pPr>
            <w:r>
              <w:t>1 008 088</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2.1. valsts pamatbudžets</w:t>
            </w:r>
          </w:p>
        </w:tc>
        <w:tc>
          <w:tcPr>
            <w:tcW w:w="1264" w:type="dxa"/>
          </w:tcPr>
          <w:p w:rsidR="007F6B1C" w:rsidRPr="00E7737A" w:rsidRDefault="00E7737A" w:rsidP="00E7737A">
            <w:pPr>
              <w:pStyle w:val="naisf"/>
              <w:spacing w:before="0" w:beforeAutospacing="0" w:after="0" w:afterAutospacing="0"/>
              <w:jc w:val="center"/>
            </w:pPr>
            <w:r w:rsidRPr="00E7737A">
              <w:t>0</w:t>
            </w:r>
          </w:p>
        </w:tc>
        <w:tc>
          <w:tcPr>
            <w:tcW w:w="1426" w:type="dxa"/>
          </w:tcPr>
          <w:p w:rsidR="007F6B1C" w:rsidRPr="00E7737A" w:rsidRDefault="00A75633" w:rsidP="00E7737A">
            <w:pPr>
              <w:pStyle w:val="naisf"/>
              <w:spacing w:before="0" w:beforeAutospacing="0" w:after="0" w:afterAutospacing="0"/>
              <w:jc w:val="center"/>
            </w:pPr>
            <w:r>
              <w:t>1 008 088</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2.2. valsts speciālais budžets</w:t>
            </w:r>
          </w:p>
        </w:tc>
        <w:tc>
          <w:tcPr>
            <w:tcW w:w="1264" w:type="dxa"/>
          </w:tcPr>
          <w:p w:rsidR="007F6B1C" w:rsidRPr="00E7737A" w:rsidRDefault="00E7737A" w:rsidP="00E7737A">
            <w:pPr>
              <w:pStyle w:val="naisf"/>
              <w:spacing w:before="0" w:beforeAutospacing="0" w:after="0" w:afterAutospacing="0"/>
              <w:jc w:val="center"/>
            </w:pPr>
            <w:r w:rsidRPr="00E7737A">
              <w:t>0</w:t>
            </w:r>
          </w:p>
        </w:tc>
        <w:tc>
          <w:tcPr>
            <w:tcW w:w="1426"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2.3. pašvaldību budžets </w:t>
            </w:r>
          </w:p>
        </w:tc>
        <w:tc>
          <w:tcPr>
            <w:tcW w:w="1264" w:type="dxa"/>
          </w:tcPr>
          <w:p w:rsidR="007F6B1C" w:rsidRPr="00E7737A" w:rsidRDefault="00E7737A" w:rsidP="00E7737A">
            <w:pPr>
              <w:pStyle w:val="naisf"/>
              <w:spacing w:before="0" w:beforeAutospacing="0" w:after="0" w:afterAutospacing="0"/>
              <w:jc w:val="center"/>
            </w:pPr>
            <w:r w:rsidRPr="00E7737A">
              <w:t>0</w:t>
            </w:r>
          </w:p>
        </w:tc>
        <w:tc>
          <w:tcPr>
            <w:tcW w:w="1426"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 Finansiālā ietekme:</w:t>
            </w:r>
          </w:p>
        </w:tc>
        <w:tc>
          <w:tcPr>
            <w:tcW w:w="1264" w:type="dxa"/>
            <w:shd w:val="clear" w:color="auto" w:fill="auto"/>
            <w:vAlign w:val="center"/>
          </w:tcPr>
          <w:p w:rsidR="007F6B1C" w:rsidRPr="00E7737A" w:rsidRDefault="00E7737A" w:rsidP="00E7737A">
            <w:pPr>
              <w:pStyle w:val="naisf"/>
              <w:spacing w:before="0" w:beforeAutospacing="0" w:after="0" w:afterAutospacing="0"/>
              <w:jc w:val="center"/>
            </w:pPr>
            <w:r w:rsidRPr="00E7737A">
              <w:t>0</w:t>
            </w:r>
          </w:p>
        </w:tc>
        <w:tc>
          <w:tcPr>
            <w:tcW w:w="1426" w:type="dxa"/>
          </w:tcPr>
          <w:p w:rsidR="007F6B1C" w:rsidRPr="00E7737A" w:rsidRDefault="00A75633" w:rsidP="00E7737A">
            <w:pPr>
              <w:pStyle w:val="naisf"/>
              <w:spacing w:before="0" w:beforeAutospacing="0" w:after="0" w:afterAutospacing="0"/>
              <w:jc w:val="center"/>
            </w:pPr>
            <w:r>
              <w:t>-1 008 088</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3.1. valsts pamatbudžets</w:t>
            </w:r>
          </w:p>
        </w:tc>
        <w:tc>
          <w:tcPr>
            <w:tcW w:w="1264" w:type="dxa"/>
            <w:shd w:val="clear" w:color="auto" w:fill="auto"/>
          </w:tcPr>
          <w:p w:rsidR="007F6B1C" w:rsidRPr="00E7737A" w:rsidRDefault="00E7737A" w:rsidP="00E7737A">
            <w:pPr>
              <w:pStyle w:val="naisf"/>
              <w:spacing w:before="0" w:beforeAutospacing="0" w:after="0" w:afterAutospacing="0"/>
              <w:jc w:val="center"/>
            </w:pPr>
            <w:r w:rsidRPr="00E7737A">
              <w:t>0</w:t>
            </w:r>
          </w:p>
        </w:tc>
        <w:tc>
          <w:tcPr>
            <w:tcW w:w="1426" w:type="dxa"/>
          </w:tcPr>
          <w:p w:rsidR="007F6B1C" w:rsidRPr="00E7737A" w:rsidRDefault="00A75633" w:rsidP="00E7737A">
            <w:pPr>
              <w:pStyle w:val="naisf"/>
              <w:spacing w:before="0" w:beforeAutospacing="0" w:after="0" w:afterAutospacing="0"/>
              <w:jc w:val="center"/>
            </w:pPr>
            <w:r>
              <w:t>-1 008 088</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3.2. speciālais budžets</w:t>
            </w:r>
          </w:p>
        </w:tc>
        <w:tc>
          <w:tcPr>
            <w:tcW w:w="1264" w:type="dxa"/>
            <w:shd w:val="clear" w:color="auto" w:fill="auto"/>
          </w:tcPr>
          <w:p w:rsidR="007F6B1C" w:rsidRPr="00E7737A" w:rsidRDefault="00E7737A" w:rsidP="00E7737A">
            <w:pPr>
              <w:pStyle w:val="naisf"/>
              <w:spacing w:before="0" w:beforeAutospacing="0" w:after="0" w:afterAutospacing="0"/>
              <w:jc w:val="center"/>
            </w:pPr>
            <w:r w:rsidRPr="00E7737A">
              <w:t>0</w:t>
            </w:r>
          </w:p>
        </w:tc>
        <w:tc>
          <w:tcPr>
            <w:tcW w:w="1426"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3.3. pašvaldību budžets </w:t>
            </w:r>
          </w:p>
        </w:tc>
        <w:tc>
          <w:tcPr>
            <w:tcW w:w="1264" w:type="dxa"/>
            <w:shd w:val="clear" w:color="auto" w:fill="auto"/>
          </w:tcPr>
          <w:p w:rsidR="007F6B1C" w:rsidRPr="00E7737A" w:rsidRDefault="00E7737A" w:rsidP="00E7737A">
            <w:pPr>
              <w:pStyle w:val="naisf"/>
              <w:spacing w:before="0" w:beforeAutospacing="0" w:after="0" w:afterAutospacing="0"/>
              <w:jc w:val="center"/>
            </w:pPr>
            <w:r w:rsidRPr="00E7737A">
              <w:t>0</w:t>
            </w:r>
          </w:p>
        </w:tc>
        <w:tc>
          <w:tcPr>
            <w:tcW w:w="1426"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A75633" w:rsidRPr="005128C9" w:rsidTr="00A75633">
        <w:trPr>
          <w:jc w:val="center"/>
        </w:trPr>
        <w:tc>
          <w:tcPr>
            <w:tcW w:w="3117" w:type="dxa"/>
            <w:vMerge w:val="restart"/>
          </w:tcPr>
          <w:p w:rsidR="00A75633" w:rsidRPr="005128C9" w:rsidRDefault="00A75633"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4. Finanšu līdzekļi papildu izdevumu finansēšanai (kompensējošu izdevumu samazinājumu norāda ar "+" zīmi)</w:t>
            </w:r>
          </w:p>
        </w:tc>
        <w:tc>
          <w:tcPr>
            <w:tcW w:w="1264" w:type="dxa"/>
            <w:vMerge w:val="restart"/>
          </w:tcPr>
          <w:p w:rsidR="00A75633" w:rsidRPr="005128C9" w:rsidRDefault="00A75633" w:rsidP="006A32EF">
            <w:pPr>
              <w:pStyle w:val="naisf"/>
              <w:spacing w:before="0" w:beforeAutospacing="0" w:after="0" w:afterAutospacing="0"/>
              <w:jc w:val="center"/>
              <w:rPr>
                <w:i/>
              </w:rPr>
            </w:pPr>
            <w:r w:rsidRPr="005128C9">
              <w:t>X</w:t>
            </w:r>
          </w:p>
        </w:tc>
        <w:tc>
          <w:tcPr>
            <w:tcW w:w="1426" w:type="dxa"/>
            <w:vMerge w:val="restart"/>
            <w:vAlign w:val="center"/>
          </w:tcPr>
          <w:p w:rsidR="00A75633" w:rsidRPr="00E7737A" w:rsidRDefault="00A75633" w:rsidP="00A75633">
            <w:pPr>
              <w:pStyle w:val="naisf"/>
              <w:spacing w:before="0" w:beforeAutospacing="0" w:after="0" w:afterAutospacing="0"/>
              <w:jc w:val="center"/>
            </w:pPr>
            <w:r>
              <w:t>+1 008 088</w:t>
            </w:r>
          </w:p>
        </w:tc>
        <w:tc>
          <w:tcPr>
            <w:tcW w:w="1150" w:type="dxa"/>
          </w:tcPr>
          <w:p w:rsidR="00A75633" w:rsidRPr="00E7737A" w:rsidRDefault="00A75633" w:rsidP="00E7737A">
            <w:pPr>
              <w:pStyle w:val="naisf"/>
              <w:spacing w:before="0" w:beforeAutospacing="0" w:after="0" w:afterAutospacing="0"/>
              <w:jc w:val="center"/>
            </w:pPr>
            <w:r w:rsidRPr="00E7737A">
              <w:t>0</w:t>
            </w:r>
          </w:p>
        </w:tc>
        <w:tc>
          <w:tcPr>
            <w:tcW w:w="1223" w:type="dxa"/>
          </w:tcPr>
          <w:p w:rsidR="00A75633" w:rsidRPr="00E7737A" w:rsidRDefault="00A75633" w:rsidP="00E7737A">
            <w:pPr>
              <w:pStyle w:val="naisf"/>
              <w:spacing w:before="0" w:beforeAutospacing="0" w:after="0" w:afterAutospacing="0"/>
              <w:jc w:val="center"/>
            </w:pPr>
            <w:r w:rsidRPr="00E7737A">
              <w:t>0</w:t>
            </w:r>
          </w:p>
        </w:tc>
        <w:tc>
          <w:tcPr>
            <w:tcW w:w="1223" w:type="dxa"/>
          </w:tcPr>
          <w:p w:rsidR="00A75633" w:rsidRPr="00E7737A" w:rsidRDefault="00A75633" w:rsidP="00E7737A">
            <w:pPr>
              <w:pStyle w:val="naisf"/>
              <w:spacing w:before="0" w:beforeAutospacing="0" w:after="0" w:afterAutospacing="0"/>
              <w:jc w:val="center"/>
            </w:pPr>
            <w:r w:rsidRPr="00E7737A">
              <w:t>0</w:t>
            </w:r>
          </w:p>
        </w:tc>
      </w:tr>
      <w:tr w:rsidR="00A75633" w:rsidRPr="005128C9" w:rsidTr="00A75633">
        <w:trPr>
          <w:jc w:val="center"/>
        </w:trPr>
        <w:tc>
          <w:tcPr>
            <w:tcW w:w="3117" w:type="dxa"/>
            <w:vMerge/>
          </w:tcPr>
          <w:p w:rsidR="00A75633" w:rsidRPr="005128C9" w:rsidRDefault="00A75633" w:rsidP="006A32EF">
            <w:pPr>
              <w:spacing w:after="0" w:line="240" w:lineRule="auto"/>
              <w:rPr>
                <w:rFonts w:ascii="Times New Roman" w:hAnsi="Times New Roman" w:cs="Times New Roman"/>
                <w:sz w:val="24"/>
                <w:szCs w:val="24"/>
              </w:rPr>
            </w:pPr>
          </w:p>
        </w:tc>
        <w:tc>
          <w:tcPr>
            <w:tcW w:w="1264" w:type="dxa"/>
            <w:vMerge/>
          </w:tcPr>
          <w:p w:rsidR="00A75633" w:rsidRPr="005128C9" w:rsidRDefault="00A75633" w:rsidP="006A32EF">
            <w:pPr>
              <w:pStyle w:val="naisf"/>
              <w:spacing w:before="0" w:beforeAutospacing="0" w:after="0" w:afterAutospacing="0"/>
              <w:jc w:val="center"/>
              <w:rPr>
                <w:i/>
              </w:rPr>
            </w:pPr>
          </w:p>
        </w:tc>
        <w:tc>
          <w:tcPr>
            <w:tcW w:w="1426" w:type="dxa"/>
            <w:vMerge/>
          </w:tcPr>
          <w:p w:rsidR="00A75633" w:rsidRPr="00E7737A" w:rsidRDefault="00A75633" w:rsidP="00E7737A">
            <w:pPr>
              <w:pStyle w:val="naisf"/>
              <w:spacing w:before="0" w:beforeAutospacing="0" w:after="0" w:afterAutospacing="0"/>
              <w:jc w:val="center"/>
            </w:pPr>
          </w:p>
        </w:tc>
        <w:tc>
          <w:tcPr>
            <w:tcW w:w="1150" w:type="dxa"/>
          </w:tcPr>
          <w:p w:rsidR="00A75633" w:rsidRPr="00E7737A" w:rsidRDefault="00A75633" w:rsidP="00E7737A">
            <w:pPr>
              <w:pStyle w:val="naisf"/>
              <w:spacing w:before="0" w:beforeAutospacing="0" w:after="0" w:afterAutospacing="0"/>
              <w:jc w:val="center"/>
            </w:pPr>
            <w:r w:rsidRPr="00E7737A">
              <w:t>0</w:t>
            </w:r>
          </w:p>
        </w:tc>
        <w:tc>
          <w:tcPr>
            <w:tcW w:w="1223" w:type="dxa"/>
          </w:tcPr>
          <w:p w:rsidR="00A75633" w:rsidRPr="00E7737A" w:rsidRDefault="00A75633" w:rsidP="00E7737A">
            <w:pPr>
              <w:pStyle w:val="naisf"/>
              <w:spacing w:before="0" w:beforeAutospacing="0" w:after="0" w:afterAutospacing="0"/>
              <w:jc w:val="center"/>
            </w:pPr>
            <w:r w:rsidRPr="00E7737A">
              <w:t>0</w:t>
            </w:r>
          </w:p>
        </w:tc>
        <w:tc>
          <w:tcPr>
            <w:tcW w:w="1223" w:type="dxa"/>
          </w:tcPr>
          <w:p w:rsidR="00A75633" w:rsidRPr="00E7737A" w:rsidRDefault="00A75633" w:rsidP="00E7737A">
            <w:pPr>
              <w:pStyle w:val="naisf"/>
              <w:spacing w:before="0" w:beforeAutospacing="0" w:after="0" w:afterAutospacing="0"/>
              <w:jc w:val="center"/>
            </w:pPr>
            <w:r w:rsidRPr="00E7737A">
              <w:t>0</w:t>
            </w:r>
          </w:p>
        </w:tc>
      </w:tr>
      <w:tr w:rsidR="00A75633" w:rsidRPr="005128C9" w:rsidTr="00A75633">
        <w:trPr>
          <w:jc w:val="center"/>
        </w:trPr>
        <w:tc>
          <w:tcPr>
            <w:tcW w:w="3117" w:type="dxa"/>
            <w:vMerge/>
          </w:tcPr>
          <w:p w:rsidR="00A75633" w:rsidRPr="005128C9" w:rsidRDefault="00A75633" w:rsidP="006A32EF">
            <w:pPr>
              <w:spacing w:after="0" w:line="240" w:lineRule="auto"/>
              <w:rPr>
                <w:rFonts w:ascii="Times New Roman" w:hAnsi="Times New Roman" w:cs="Times New Roman"/>
                <w:sz w:val="24"/>
                <w:szCs w:val="24"/>
              </w:rPr>
            </w:pPr>
          </w:p>
        </w:tc>
        <w:tc>
          <w:tcPr>
            <w:tcW w:w="1264" w:type="dxa"/>
            <w:vMerge/>
          </w:tcPr>
          <w:p w:rsidR="00A75633" w:rsidRPr="005128C9" w:rsidRDefault="00A75633" w:rsidP="006A32EF">
            <w:pPr>
              <w:pStyle w:val="naisf"/>
              <w:spacing w:before="0" w:beforeAutospacing="0" w:after="0" w:afterAutospacing="0"/>
              <w:jc w:val="center"/>
              <w:rPr>
                <w:i/>
              </w:rPr>
            </w:pPr>
          </w:p>
        </w:tc>
        <w:tc>
          <w:tcPr>
            <w:tcW w:w="1426" w:type="dxa"/>
            <w:vMerge/>
          </w:tcPr>
          <w:p w:rsidR="00A75633" w:rsidRPr="00E7737A" w:rsidRDefault="00A75633" w:rsidP="00E7737A">
            <w:pPr>
              <w:pStyle w:val="naisf"/>
              <w:spacing w:before="0" w:beforeAutospacing="0" w:after="0" w:afterAutospacing="0"/>
              <w:jc w:val="center"/>
            </w:pPr>
          </w:p>
        </w:tc>
        <w:tc>
          <w:tcPr>
            <w:tcW w:w="1150" w:type="dxa"/>
          </w:tcPr>
          <w:p w:rsidR="00A75633" w:rsidRPr="00E7737A" w:rsidRDefault="00A75633" w:rsidP="00E7737A">
            <w:pPr>
              <w:pStyle w:val="naisf"/>
              <w:spacing w:before="0" w:beforeAutospacing="0" w:after="0" w:afterAutospacing="0"/>
              <w:jc w:val="center"/>
            </w:pPr>
            <w:r w:rsidRPr="00E7737A">
              <w:t>0</w:t>
            </w:r>
          </w:p>
        </w:tc>
        <w:tc>
          <w:tcPr>
            <w:tcW w:w="1223" w:type="dxa"/>
          </w:tcPr>
          <w:p w:rsidR="00A75633" w:rsidRPr="00E7737A" w:rsidRDefault="00A75633" w:rsidP="00E7737A">
            <w:pPr>
              <w:pStyle w:val="naisf"/>
              <w:spacing w:before="0" w:beforeAutospacing="0" w:after="0" w:afterAutospacing="0"/>
              <w:jc w:val="center"/>
            </w:pPr>
            <w:r w:rsidRPr="00E7737A">
              <w:t>0</w:t>
            </w:r>
          </w:p>
        </w:tc>
        <w:tc>
          <w:tcPr>
            <w:tcW w:w="1223" w:type="dxa"/>
          </w:tcPr>
          <w:p w:rsidR="00A75633" w:rsidRPr="00E7737A" w:rsidRDefault="00A75633"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 Precizēta finansiālā ietekme:</w:t>
            </w:r>
          </w:p>
        </w:tc>
        <w:tc>
          <w:tcPr>
            <w:tcW w:w="1264" w:type="dxa"/>
            <w:vMerge w:val="restart"/>
          </w:tcPr>
          <w:p w:rsidR="007F6B1C" w:rsidRPr="005128C9" w:rsidRDefault="007F6B1C" w:rsidP="006A32EF">
            <w:pPr>
              <w:pStyle w:val="naisf"/>
              <w:spacing w:before="0" w:beforeAutospacing="0" w:after="0" w:afterAutospacing="0"/>
              <w:jc w:val="center"/>
              <w:rPr>
                <w:i/>
              </w:rPr>
            </w:pPr>
            <w:r w:rsidRPr="005128C9">
              <w:t>X</w:t>
            </w:r>
          </w:p>
        </w:tc>
        <w:tc>
          <w:tcPr>
            <w:tcW w:w="1426"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5.1. valsts pamatbudžets</w:t>
            </w:r>
          </w:p>
        </w:tc>
        <w:tc>
          <w:tcPr>
            <w:tcW w:w="1264" w:type="dxa"/>
            <w:vMerge/>
            <w:vAlign w:val="center"/>
          </w:tcPr>
          <w:p w:rsidR="007F6B1C" w:rsidRPr="005128C9" w:rsidRDefault="007F6B1C" w:rsidP="006A32EF">
            <w:pPr>
              <w:pStyle w:val="naisf"/>
              <w:spacing w:before="0" w:beforeAutospacing="0" w:after="0" w:afterAutospacing="0"/>
              <w:jc w:val="center"/>
              <w:rPr>
                <w:i/>
              </w:rPr>
            </w:pPr>
          </w:p>
        </w:tc>
        <w:tc>
          <w:tcPr>
            <w:tcW w:w="1426"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5.2. speciālais budžets</w:t>
            </w:r>
          </w:p>
        </w:tc>
        <w:tc>
          <w:tcPr>
            <w:tcW w:w="1264" w:type="dxa"/>
            <w:vMerge/>
            <w:vAlign w:val="center"/>
          </w:tcPr>
          <w:p w:rsidR="007F6B1C" w:rsidRPr="005128C9" w:rsidRDefault="007F6B1C" w:rsidP="006A32EF">
            <w:pPr>
              <w:pStyle w:val="naisf"/>
              <w:spacing w:before="0" w:beforeAutospacing="0" w:after="0" w:afterAutospacing="0"/>
              <w:jc w:val="center"/>
              <w:rPr>
                <w:i/>
              </w:rPr>
            </w:pPr>
          </w:p>
        </w:tc>
        <w:tc>
          <w:tcPr>
            <w:tcW w:w="1426"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5.3. pašvaldību budžets </w:t>
            </w:r>
          </w:p>
        </w:tc>
        <w:tc>
          <w:tcPr>
            <w:tcW w:w="1264" w:type="dxa"/>
            <w:vMerge/>
            <w:vAlign w:val="center"/>
          </w:tcPr>
          <w:p w:rsidR="007F6B1C" w:rsidRPr="005128C9" w:rsidRDefault="007F6B1C" w:rsidP="006A32EF">
            <w:pPr>
              <w:pStyle w:val="naisf"/>
              <w:spacing w:before="0" w:beforeAutospacing="0" w:after="0" w:afterAutospacing="0"/>
              <w:jc w:val="center"/>
              <w:rPr>
                <w:i/>
              </w:rPr>
            </w:pPr>
          </w:p>
        </w:tc>
        <w:tc>
          <w:tcPr>
            <w:tcW w:w="1426"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c>
          <w:tcPr>
            <w:tcW w:w="1223"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 Detalizēts ieņēmumu un izdevumu aprēķins (ja nepie</w:t>
            </w:r>
            <w:r w:rsidRPr="005128C9">
              <w:rPr>
                <w:rFonts w:ascii="Times New Roman" w:hAnsi="Times New Roman" w:cs="Times New Roman"/>
                <w:sz w:val="24"/>
                <w:szCs w:val="24"/>
              </w:rPr>
              <w:softHyphen/>
              <w:t>ciešams, detalizētu ieņēmumu un izdevumu aprēķinu var pie</w:t>
            </w:r>
            <w:r w:rsidRPr="005128C9">
              <w:rPr>
                <w:rFonts w:ascii="Times New Roman" w:hAnsi="Times New Roman" w:cs="Times New Roman"/>
                <w:sz w:val="24"/>
                <w:szCs w:val="24"/>
              </w:rPr>
              <w:softHyphen/>
              <w:t>vienot anotācijas pielikumā):</w:t>
            </w:r>
          </w:p>
        </w:tc>
        <w:tc>
          <w:tcPr>
            <w:tcW w:w="6286" w:type="dxa"/>
            <w:gridSpan w:val="5"/>
            <w:vMerge w:val="restart"/>
            <w:vAlign w:val="center"/>
          </w:tcPr>
          <w:p w:rsidR="003B0EF5" w:rsidRDefault="003B0EF5" w:rsidP="003B0EF5">
            <w:pPr>
              <w:pStyle w:val="naisf"/>
              <w:spacing w:before="0" w:after="0"/>
            </w:pPr>
            <w:r w:rsidRPr="00B334FF">
              <w:t xml:space="preserve">Detalizēta informācija par apropriācijas pārdali atspoguļota šīs anotācijas </w:t>
            </w:r>
            <w:r>
              <w:t>1., 2 un 3.</w:t>
            </w:r>
            <w:r w:rsidRPr="00B334FF">
              <w:t>pielikum</w:t>
            </w:r>
            <w:r>
              <w:t>ā</w:t>
            </w:r>
            <w:r w:rsidRPr="00B334FF">
              <w:t>.</w:t>
            </w:r>
          </w:p>
          <w:p w:rsidR="007F6B1C" w:rsidRPr="005128C9" w:rsidRDefault="007F6B1C" w:rsidP="006A32EF">
            <w:pPr>
              <w:pStyle w:val="naisf"/>
              <w:spacing w:before="0" w:beforeAutospacing="0" w:after="0" w:afterAutospacing="0"/>
              <w:rPr>
                <w:b/>
                <w:i/>
              </w:rPr>
            </w:pP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6.1. detalizēts ieņēmumu aprēķins</w:t>
            </w:r>
          </w:p>
        </w:tc>
        <w:tc>
          <w:tcPr>
            <w:tcW w:w="6286" w:type="dxa"/>
            <w:gridSpan w:val="5"/>
            <w:vMerge/>
          </w:tcPr>
          <w:p w:rsidR="007F6B1C" w:rsidRPr="005128C9" w:rsidRDefault="007F6B1C" w:rsidP="006A32EF">
            <w:pPr>
              <w:pStyle w:val="naisf"/>
              <w:spacing w:before="0" w:beforeAutospacing="0" w:after="0" w:afterAutospacing="0"/>
              <w:rPr>
                <w:b/>
                <w:i/>
              </w:rPr>
            </w:pPr>
          </w:p>
        </w:tc>
      </w:tr>
      <w:tr w:rsidR="007F6B1C" w:rsidRPr="005128C9" w:rsidTr="00A75633">
        <w:trPr>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6.2. detalizēts izdevumu aprēķins</w:t>
            </w:r>
          </w:p>
        </w:tc>
        <w:tc>
          <w:tcPr>
            <w:tcW w:w="6286" w:type="dxa"/>
            <w:gridSpan w:val="5"/>
            <w:vMerge/>
          </w:tcPr>
          <w:p w:rsidR="007F6B1C" w:rsidRPr="005128C9" w:rsidRDefault="007F6B1C" w:rsidP="006A32EF">
            <w:pPr>
              <w:pStyle w:val="naisf"/>
              <w:spacing w:before="0" w:beforeAutospacing="0" w:after="0" w:afterAutospacing="0"/>
              <w:rPr>
                <w:b/>
                <w:i/>
              </w:rPr>
            </w:pPr>
          </w:p>
        </w:tc>
      </w:tr>
      <w:tr w:rsidR="007F6B1C" w:rsidRPr="005128C9" w:rsidTr="00A75633">
        <w:trPr>
          <w:trHeight w:val="556"/>
          <w:jc w:val="center"/>
        </w:trPr>
        <w:tc>
          <w:tcPr>
            <w:tcW w:w="3117" w:type="dxa"/>
          </w:tcPr>
          <w:p w:rsidR="007F6B1C" w:rsidRPr="005128C9" w:rsidRDefault="007F6B1C" w:rsidP="006A32EF">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7. Cita informācija</w:t>
            </w:r>
          </w:p>
        </w:tc>
        <w:tc>
          <w:tcPr>
            <w:tcW w:w="6286" w:type="dxa"/>
            <w:gridSpan w:val="5"/>
          </w:tcPr>
          <w:p w:rsidR="007F6B1C" w:rsidRPr="003B0EF5" w:rsidRDefault="003B0EF5" w:rsidP="003B0EF5">
            <w:pPr>
              <w:pStyle w:val="naisf"/>
              <w:tabs>
                <w:tab w:val="left" w:pos="4644"/>
              </w:tabs>
              <w:spacing w:before="0" w:beforeAutospacing="0" w:after="0" w:afterAutospacing="0"/>
              <w:jc w:val="both"/>
              <w:rPr>
                <w:b/>
              </w:rPr>
            </w:pPr>
            <w:r w:rsidRPr="00AC64D1">
              <w:t xml:space="preserve">Izdevumi pa </w:t>
            </w:r>
            <w:proofErr w:type="spellStart"/>
            <w:r w:rsidRPr="00AC64D1">
              <w:t>apakšpasākumiem</w:t>
            </w:r>
            <w:proofErr w:type="spellEnd"/>
            <w:r w:rsidRPr="00AC64D1">
              <w:t xml:space="preserve"> (izdevumu veidiem) pasākumam noteiktās summas ietvaros un EKK var tikt precizēti atbilstoši veiktajam iepirkumam un faktiskajai situācijai.</w:t>
            </w:r>
          </w:p>
        </w:tc>
      </w:tr>
    </w:tbl>
    <w:p w:rsidR="007F6B1C" w:rsidRPr="005128C9" w:rsidRDefault="007F6B1C" w:rsidP="007F6B1C">
      <w:pPr>
        <w:spacing w:after="0" w:line="240" w:lineRule="auto"/>
        <w:rPr>
          <w:rFonts w:ascii="Times New Roman" w:hAnsi="Times New Roman" w:cs="Times New Roman"/>
          <w:sz w:val="24"/>
          <w:szCs w:val="24"/>
        </w:rPr>
      </w:pPr>
    </w:p>
    <w:p w:rsidR="007F6B1C" w:rsidRPr="005128C9" w:rsidRDefault="007F6B1C" w:rsidP="007F6B1C">
      <w:pPr>
        <w:spacing w:after="0" w:line="240" w:lineRule="auto"/>
        <w:rPr>
          <w:rFonts w:ascii="Times New Roman" w:hAnsi="Times New Roman" w:cs="Times New Roman"/>
          <w:sz w:val="24"/>
          <w:szCs w:val="24"/>
        </w:rPr>
      </w:pPr>
    </w:p>
    <w:p w:rsidR="007F6B1C" w:rsidRPr="005128C9" w:rsidRDefault="007F6B1C" w:rsidP="007F6B1C">
      <w:pPr>
        <w:spacing w:after="0" w:line="240" w:lineRule="auto"/>
        <w:rPr>
          <w:rFonts w:ascii="Times New Roman" w:hAnsi="Times New Roman"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7F6B1C" w:rsidRPr="005128C9" w:rsidTr="005128C9">
        <w:trPr>
          <w:trHeight w:val="381"/>
          <w:jc w:val="center"/>
        </w:trPr>
        <w:tc>
          <w:tcPr>
            <w:tcW w:w="9296" w:type="dxa"/>
            <w:gridSpan w:val="3"/>
            <w:vAlign w:val="center"/>
          </w:tcPr>
          <w:p w:rsidR="007F6B1C" w:rsidRPr="005128C9" w:rsidRDefault="007F6B1C" w:rsidP="006A32EF">
            <w:pPr>
              <w:pStyle w:val="naisnod"/>
              <w:spacing w:before="0" w:beforeAutospacing="0" w:after="0" w:afterAutospacing="0"/>
              <w:ind w:left="57" w:right="57"/>
              <w:jc w:val="center"/>
            </w:pPr>
            <w:r w:rsidRPr="005128C9">
              <w:rPr>
                <w:b/>
              </w:rPr>
              <w:t>VII. Tiesību akta projekta izpildes nodrošināšana un tās ietekme uz institūcijām</w:t>
            </w:r>
          </w:p>
        </w:tc>
      </w:tr>
      <w:tr w:rsidR="007F6B1C" w:rsidRPr="005128C9" w:rsidTr="005128C9">
        <w:trPr>
          <w:trHeight w:val="427"/>
          <w:jc w:val="center"/>
        </w:trPr>
        <w:tc>
          <w:tcPr>
            <w:tcW w:w="437" w:type="dxa"/>
          </w:tcPr>
          <w:p w:rsidR="007F6B1C" w:rsidRPr="005128C9" w:rsidRDefault="007F6B1C" w:rsidP="006A32EF">
            <w:pPr>
              <w:pStyle w:val="naisnod"/>
              <w:spacing w:before="0" w:beforeAutospacing="0" w:after="0" w:afterAutospacing="0"/>
              <w:ind w:left="57" w:right="57"/>
              <w:jc w:val="both"/>
            </w:pPr>
            <w:r w:rsidRPr="005128C9">
              <w:t>1.</w:t>
            </w:r>
          </w:p>
        </w:tc>
        <w:tc>
          <w:tcPr>
            <w:tcW w:w="3615" w:type="dxa"/>
          </w:tcPr>
          <w:p w:rsidR="007F6B1C" w:rsidRPr="005128C9" w:rsidRDefault="007F6B1C" w:rsidP="006A32EF">
            <w:pPr>
              <w:pStyle w:val="naisf"/>
              <w:spacing w:before="0" w:beforeAutospacing="0" w:after="0" w:afterAutospacing="0"/>
              <w:ind w:left="57" w:right="57"/>
            </w:pPr>
            <w:r w:rsidRPr="005128C9">
              <w:t>Projekta izpildē iesaistītās institūcijas</w:t>
            </w:r>
          </w:p>
        </w:tc>
        <w:tc>
          <w:tcPr>
            <w:tcW w:w="5244" w:type="dxa"/>
          </w:tcPr>
          <w:p w:rsidR="007F6B1C" w:rsidRPr="00793F29" w:rsidRDefault="00793F29" w:rsidP="006A32EF">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sidRPr="00793F29">
              <w:rPr>
                <w:rFonts w:ascii="Times New Roman" w:hAnsi="Times New Roman" w:cs="Times New Roman"/>
                <w:sz w:val="24"/>
                <w:szCs w:val="24"/>
              </w:rPr>
              <w:t xml:space="preserve">Iekšlietu ministrija, Valsts robežsardze, Nodrošinājuma valsts aģentūra, Iekšlietu ministrijas veselības un sporta centrs, Iekšlietu ministrijas </w:t>
            </w:r>
            <w:r w:rsidRPr="00793F29">
              <w:rPr>
                <w:rFonts w:ascii="Times New Roman" w:hAnsi="Times New Roman" w:cs="Times New Roman"/>
                <w:sz w:val="24"/>
                <w:szCs w:val="24"/>
              </w:rPr>
              <w:lastRenderedPageBreak/>
              <w:t>Informācijas centrs, Pilsonības un migrācijas lietu pārvalde.</w:t>
            </w:r>
          </w:p>
        </w:tc>
      </w:tr>
      <w:tr w:rsidR="007F6B1C" w:rsidRPr="005128C9" w:rsidTr="005128C9">
        <w:trPr>
          <w:trHeight w:val="463"/>
          <w:jc w:val="center"/>
        </w:trPr>
        <w:tc>
          <w:tcPr>
            <w:tcW w:w="437" w:type="dxa"/>
          </w:tcPr>
          <w:p w:rsidR="007F6B1C" w:rsidRPr="005128C9" w:rsidRDefault="007F6B1C" w:rsidP="006A32EF">
            <w:pPr>
              <w:pStyle w:val="naisnod"/>
              <w:spacing w:before="0" w:beforeAutospacing="0" w:after="0" w:afterAutospacing="0"/>
              <w:ind w:left="57" w:right="57"/>
              <w:jc w:val="both"/>
            </w:pPr>
            <w:r w:rsidRPr="005128C9">
              <w:lastRenderedPageBreak/>
              <w:t>2.</w:t>
            </w:r>
          </w:p>
        </w:tc>
        <w:tc>
          <w:tcPr>
            <w:tcW w:w="3615" w:type="dxa"/>
          </w:tcPr>
          <w:p w:rsidR="007F6B1C" w:rsidRPr="005128C9" w:rsidRDefault="007F6B1C" w:rsidP="006A32EF">
            <w:pPr>
              <w:pStyle w:val="naisf"/>
              <w:spacing w:before="0" w:beforeAutospacing="0" w:after="0" w:afterAutospacing="0"/>
              <w:ind w:left="57" w:right="57"/>
            </w:pPr>
            <w:r w:rsidRPr="005128C9">
              <w:t>Projekta izpildes ietekme uz pār</w:t>
            </w:r>
            <w:r w:rsidRPr="005128C9">
              <w:softHyphen/>
              <w:t>valdes funkcijām un institucionālo struktūru.</w:t>
            </w:r>
          </w:p>
          <w:p w:rsidR="007F6B1C" w:rsidRPr="005128C9" w:rsidRDefault="007F6B1C" w:rsidP="006A32EF">
            <w:pPr>
              <w:pStyle w:val="naisf"/>
              <w:spacing w:before="0" w:beforeAutospacing="0" w:after="0" w:afterAutospacing="0"/>
              <w:ind w:left="57" w:right="57"/>
            </w:pPr>
            <w:r w:rsidRPr="005128C9">
              <w:t>Jaunu institūciju izveide, esošu institūciju likvidācija vai reorga</w:t>
            </w:r>
            <w:r w:rsidRPr="005128C9">
              <w:softHyphen/>
              <w:t>nizācija, to ietekme uz institūcijas cilvēkresursiem.</w:t>
            </w:r>
          </w:p>
        </w:tc>
        <w:tc>
          <w:tcPr>
            <w:tcW w:w="5244" w:type="dxa"/>
          </w:tcPr>
          <w:p w:rsidR="007F6B1C" w:rsidRPr="005128C9" w:rsidRDefault="00793F29" w:rsidP="006A32EF">
            <w:pPr>
              <w:shd w:val="clear" w:color="auto" w:fill="FFFFFF"/>
              <w:spacing w:after="0" w:line="240" w:lineRule="auto"/>
              <w:jc w:val="both"/>
              <w:rPr>
                <w:rFonts w:ascii="Times New Roman" w:hAnsi="Times New Roman" w:cs="Times New Roman"/>
                <w:sz w:val="24"/>
                <w:szCs w:val="24"/>
                <w:lang w:eastAsia="lv-LV"/>
              </w:rPr>
            </w:pPr>
            <w:r w:rsidRPr="00793F29">
              <w:rPr>
                <w:rFonts w:ascii="Times New Roman" w:hAnsi="Times New Roman" w:cs="Times New Roman"/>
                <w:sz w:val="24"/>
                <w:szCs w:val="24"/>
              </w:rPr>
              <w:t>Projekts šo jomu neskar.</w:t>
            </w:r>
          </w:p>
        </w:tc>
      </w:tr>
      <w:tr w:rsidR="007F6B1C" w:rsidRPr="005128C9" w:rsidTr="005128C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7F6B1C" w:rsidRPr="005128C9" w:rsidRDefault="007F6B1C" w:rsidP="006A32EF">
            <w:pPr>
              <w:pStyle w:val="naisnod"/>
              <w:spacing w:before="0" w:beforeAutospacing="0" w:after="0" w:afterAutospacing="0"/>
              <w:ind w:left="57" w:right="57"/>
              <w:jc w:val="both"/>
            </w:pPr>
            <w:r w:rsidRPr="005128C9">
              <w:t>3.</w:t>
            </w:r>
          </w:p>
        </w:tc>
        <w:tc>
          <w:tcPr>
            <w:tcW w:w="3615" w:type="dxa"/>
            <w:tcBorders>
              <w:top w:val="single" w:sz="4" w:space="0" w:color="auto"/>
              <w:left w:val="single" w:sz="4" w:space="0" w:color="auto"/>
              <w:bottom w:val="single" w:sz="4" w:space="0" w:color="auto"/>
              <w:right w:val="single" w:sz="4" w:space="0" w:color="auto"/>
            </w:tcBorders>
          </w:tcPr>
          <w:p w:rsidR="007F6B1C" w:rsidRPr="005128C9" w:rsidRDefault="007F6B1C" w:rsidP="006A32EF">
            <w:pPr>
              <w:pStyle w:val="naisf"/>
              <w:spacing w:before="0" w:beforeAutospacing="0" w:after="0" w:afterAutospacing="0"/>
              <w:ind w:left="57" w:right="57"/>
            </w:pPr>
            <w:r w:rsidRPr="005128C9">
              <w:t>Cita informācija</w:t>
            </w:r>
          </w:p>
        </w:tc>
        <w:tc>
          <w:tcPr>
            <w:tcW w:w="5244" w:type="dxa"/>
            <w:tcBorders>
              <w:top w:val="single" w:sz="4" w:space="0" w:color="auto"/>
              <w:left w:val="single" w:sz="4" w:space="0" w:color="auto"/>
              <w:bottom w:val="single" w:sz="4" w:space="0" w:color="auto"/>
              <w:right w:val="single" w:sz="4" w:space="0" w:color="auto"/>
            </w:tcBorders>
          </w:tcPr>
          <w:p w:rsidR="007F6B1C" w:rsidRPr="005128C9" w:rsidRDefault="00793F29" w:rsidP="006A32EF">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A85A6B" w:rsidRDefault="00A85A6B" w:rsidP="005128C9">
      <w:pPr>
        <w:pStyle w:val="naisf"/>
        <w:spacing w:before="0" w:beforeAutospacing="0" w:after="0" w:afterAutospacing="0"/>
      </w:pPr>
    </w:p>
    <w:p w:rsidR="005128C9" w:rsidRPr="005128C9" w:rsidRDefault="005128C9" w:rsidP="005128C9">
      <w:pPr>
        <w:pStyle w:val="naisf"/>
        <w:spacing w:before="0" w:beforeAutospacing="0" w:after="0" w:afterAutospacing="0"/>
      </w:pPr>
      <w:r w:rsidRPr="001204D1">
        <w:t xml:space="preserve">Anotācijas II, IV, V, </w:t>
      </w:r>
      <w:r w:rsidRPr="001204D1">
        <w:rPr>
          <w:bCs/>
        </w:rPr>
        <w:t xml:space="preserve">VI </w:t>
      </w:r>
      <w:r w:rsidRPr="001204D1">
        <w:t>sadaļa</w:t>
      </w:r>
      <w:r w:rsidRPr="005128C9">
        <w:t xml:space="preserve"> – projekts šīs jomas neskar.</w:t>
      </w:r>
    </w:p>
    <w:p w:rsidR="005128C9" w:rsidRDefault="005128C9" w:rsidP="005128C9">
      <w:pPr>
        <w:spacing w:after="0" w:line="240" w:lineRule="auto"/>
        <w:ind w:left="283" w:firstLine="437"/>
        <w:rPr>
          <w:rFonts w:ascii="Times New Roman" w:hAnsi="Times New Roman" w:cs="Times New Roman"/>
          <w:sz w:val="28"/>
          <w:szCs w:val="28"/>
        </w:rPr>
      </w:pPr>
    </w:p>
    <w:p w:rsidR="005128C9" w:rsidRDefault="005128C9" w:rsidP="005128C9">
      <w:pPr>
        <w:spacing w:after="0" w:line="240" w:lineRule="auto"/>
        <w:ind w:left="283" w:firstLine="437"/>
        <w:rPr>
          <w:rFonts w:ascii="Times New Roman" w:hAnsi="Times New Roman" w:cs="Times New Roman"/>
          <w:sz w:val="28"/>
          <w:szCs w:val="28"/>
        </w:rPr>
      </w:pPr>
    </w:p>
    <w:p w:rsidR="005128C9" w:rsidRPr="005128C9" w:rsidRDefault="00577B1B" w:rsidP="003B27F0">
      <w:pPr>
        <w:tabs>
          <w:tab w:val="left" w:pos="6379"/>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sidR="005128C9" w:rsidRPr="005128C9">
        <w:rPr>
          <w:rFonts w:ascii="Times New Roman" w:hAnsi="Times New Roman" w:cs="Times New Roman"/>
          <w:sz w:val="28"/>
          <w:szCs w:val="28"/>
        </w:rPr>
        <w:t>R.Kozlovskis</w:t>
      </w:r>
    </w:p>
    <w:p w:rsidR="009430FC" w:rsidRDefault="009430FC" w:rsidP="005128C9">
      <w:pPr>
        <w:spacing w:after="0" w:line="240" w:lineRule="auto"/>
        <w:rPr>
          <w:rFonts w:ascii="Times New Roman" w:hAnsi="Times New Roman" w:cs="Times New Roman"/>
          <w:sz w:val="28"/>
          <w:szCs w:val="28"/>
        </w:rPr>
      </w:pPr>
    </w:p>
    <w:p w:rsidR="005128C9" w:rsidRPr="005128C9" w:rsidRDefault="005128C9" w:rsidP="005128C9">
      <w:pPr>
        <w:spacing w:after="0" w:line="240" w:lineRule="auto"/>
        <w:rPr>
          <w:rFonts w:ascii="Times New Roman" w:hAnsi="Times New Roman" w:cs="Times New Roman"/>
          <w:sz w:val="28"/>
          <w:szCs w:val="28"/>
        </w:rPr>
      </w:pP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p>
    <w:p w:rsidR="005128C9" w:rsidRPr="005128C9" w:rsidRDefault="005128C9" w:rsidP="003B27F0">
      <w:pPr>
        <w:pStyle w:val="naisf"/>
        <w:tabs>
          <w:tab w:val="left" w:pos="6379"/>
        </w:tabs>
        <w:spacing w:before="0" w:beforeAutospacing="0" w:after="0" w:afterAutospacing="0"/>
        <w:rPr>
          <w:sz w:val="28"/>
          <w:szCs w:val="28"/>
        </w:rPr>
      </w:pPr>
      <w:r w:rsidRPr="005128C9">
        <w:rPr>
          <w:sz w:val="28"/>
          <w:szCs w:val="28"/>
        </w:rPr>
        <w:t xml:space="preserve">Vīza: valsts sekretāre </w:t>
      </w:r>
      <w:r w:rsidR="00577B1B">
        <w:rPr>
          <w:sz w:val="28"/>
          <w:szCs w:val="28"/>
        </w:rPr>
        <w:tab/>
      </w:r>
      <w:r w:rsidRPr="005128C9">
        <w:rPr>
          <w:sz w:val="28"/>
          <w:szCs w:val="28"/>
        </w:rPr>
        <w:t>I.Pētersone</w:t>
      </w:r>
      <w:r>
        <w:rPr>
          <w:sz w:val="28"/>
          <w:szCs w:val="28"/>
        </w:rPr>
        <w:t>–</w:t>
      </w:r>
      <w:r w:rsidRPr="005128C9">
        <w:rPr>
          <w:sz w:val="28"/>
          <w:szCs w:val="28"/>
        </w:rPr>
        <w:t>Godmane</w:t>
      </w:r>
    </w:p>
    <w:p w:rsidR="005128C9" w:rsidRPr="005128C9" w:rsidRDefault="005128C9" w:rsidP="005128C9">
      <w:pPr>
        <w:pStyle w:val="naisf"/>
        <w:spacing w:before="0" w:beforeAutospacing="0" w:after="0" w:afterAutospacing="0"/>
        <w:rPr>
          <w:sz w:val="28"/>
          <w:szCs w:val="28"/>
        </w:rPr>
      </w:pPr>
    </w:p>
    <w:p w:rsidR="005128C9" w:rsidRDefault="005128C9" w:rsidP="005128C9">
      <w:pPr>
        <w:pStyle w:val="naisf"/>
        <w:spacing w:before="0" w:beforeAutospacing="0" w:after="0" w:afterAutospacing="0"/>
        <w:rPr>
          <w:sz w:val="28"/>
          <w:szCs w:val="28"/>
        </w:rPr>
      </w:pPr>
    </w:p>
    <w:p w:rsidR="005E62FF" w:rsidRDefault="005E62FF" w:rsidP="005128C9">
      <w:pPr>
        <w:pStyle w:val="naisf"/>
        <w:spacing w:before="0" w:beforeAutospacing="0" w:after="0" w:afterAutospacing="0"/>
        <w:rPr>
          <w:sz w:val="28"/>
          <w:szCs w:val="28"/>
        </w:rPr>
      </w:pPr>
    </w:p>
    <w:p w:rsidR="005E62FF" w:rsidRDefault="005E62FF" w:rsidP="005128C9">
      <w:pPr>
        <w:pStyle w:val="naisf"/>
        <w:spacing w:before="0" w:beforeAutospacing="0" w:after="0" w:afterAutospacing="0"/>
        <w:rPr>
          <w:sz w:val="28"/>
          <w:szCs w:val="28"/>
        </w:rPr>
      </w:pPr>
    </w:p>
    <w:p w:rsidR="005E62FF" w:rsidRDefault="005E62FF" w:rsidP="005128C9">
      <w:pPr>
        <w:pStyle w:val="naisf"/>
        <w:spacing w:before="0" w:beforeAutospacing="0" w:after="0" w:afterAutospacing="0"/>
        <w:rPr>
          <w:sz w:val="28"/>
          <w:szCs w:val="28"/>
        </w:rPr>
      </w:pPr>
    </w:p>
    <w:p w:rsidR="005E62FF" w:rsidRDefault="005E62FF" w:rsidP="005128C9">
      <w:pPr>
        <w:pStyle w:val="naisf"/>
        <w:spacing w:before="0" w:beforeAutospacing="0" w:after="0" w:afterAutospacing="0"/>
        <w:rPr>
          <w:sz w:val="28"/>
          <w:szCs w:val="28"/>
        </w:rPr>
      </w:pPr>
    </w:p>
    <w:p w:rsidR="005E62FF" w:rsidRDefault="005E62FF" w:rsidP="005128C9">
      <w:pPr>
        <w:pStyle w:val="naisf"/>
        <w:spacing w:before="0" w:beforeAutospacing="0" w:after="0" w:afterAutospacing="0"/>
        <w:rPr>
          <w:sz w:val="28"/>
          <w:szCs w:val="28"/>
        </w:rPr>
      </w:pPr>
    </w:p>
    <w:p w:rsidR="005E62FF" w:rsidRDefault="005E62FF"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Default="009430FC" w:rsidP="005128C9">
      <w:pPr>
        <w:pStyle w:val="naisf"/>
        <w:spacing w:before="0" w:beforeAutospacing="0" w:after="0" w:afterAutospacing="0"/>
        <w:rPr>
          <w:sz w:val="28"/>
          <w:szCs w:val="28"/>
        </w:rPr>
      </w:pPr>
    </w:p>
    <w:p w:rsidR="009430FC" w:rsidRPr="005128C9" w:rsidRDefault="009430FC" w:rsidP="005128C9">
      <w:pPr>
        <w:pStyle w:val="naisf"/>
        <w:spacing w:before="0" w:beforeAutospacing="0" w:after="0" w:afterAutospacing="0"/>
        <w:rPr>
          <w:sz w:val="28"/>
          <w:szCs w:val="28"/>
        </w:rPr>
      </w:pPr>
    </w:p>
    <w:p w:rsidR="005128C9" w:rsidRPr="005128C9" w:rsidRDefault="005128C9" w:rsidP="005128C9">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4A544B">
        <w:rPr>
          <w:noProof/>
          <w:sz w:val="20"/>
          <w:szCs w:val="20"/>
          <w:lang w:val="ru-RU"/>
        </w:rPr>
        <w:t>23.10.2015 8:01</w:t>
      </w:r>
      <w:r w:rsidRPr="005128C9">
        <w:rPr>
          <w:sz w:val="20"/>
          <w:szCs w:val="20"/>
        </w:rPr>
        <w:fldChar w:fldCharType="end"/>
      </w:r>
    </w:p>
    <w:p w:rsidR="005128C9" w:rsidRPr="00D91C88" w:rsidRDefault="005128C9" w:rsidP="005128C9">
      <w:pPr>
        <w:spacing w:after="0" w:line="240" w:lineRule="auto"/>
        <w:rPr>
          <w:rFonts w:ascii="Times New Roman" w:hAnsi="Times New Roman" w:cs="Times New Roman"/>
          <w:sz w:val="20"/>
          <w:szCs w:val="20"/>
        </w:rPr>
      </w:pPr>
      <w:r w:rsidRPr="00D91C88">
        <w:rPr>
          <w:rFonts w:ascii="Times New Roman" w:hAnsi="Times New Roman" w:cs="Times New Roman"/>
          <w:sz w:val="20"/>
          <w:szCs w:val="20"/>
        </w:rPr>
        <w:fldChar w:fldCharType="begin"/>
      </w:r>
      <w:r w:rsidRPr="00D91C88">
        <w:rPr>
          <w:rFonts w:ascii="Times New Roman" w:hAnsi="Times New Roman" w:cs="Times New Roman"/>
          <w:sz w:val="20"/>
          <w:szCs w:val="20"/>
        </w:rPr>
        <w:instrText xml:space="preserve"> NUMWORDS   \* MERGEFORMAT </w:instrText>
      </w:r>
      <w:r w:rsidRPr="00D91C88">
        <w:rPr>
          <w:rFonts w:ascii="Times New Roman" w:hAnsi="Times New Roman" w:cs="Times New Roman"/>
          <w:sz w:val="20"/>
          <w:szCs w:val="20"/>
        </w:rPr>
        <w:fldChar w:fldCharType="separate"/>
      </w:r>
      <w:r w:rsidR="00244611">
        <w:rPr>
          <w:rFonts w:ascii="Times New Roman" w:hAnsi="Times New Roman" w:cs="Times New Roman"/>
          <w:noProof/>
          <w:sz w:val="20"/>
          <w:szCs w:val="20"/>
        </w:rPr>
        <w:t>3803</w:t>
      </w:r>
      <w:r w:rsidRPr="00D91C88">
        <w:rPr>
          <w:rFonts w:ascii="Times New Roman" w:hAnsi="Times New Roman" w:cs="Times New Roman"/>
          <w:sz w:val="20"/>
          <w:szCs w:val="20"/>
        </w:rPr>
        <w:fldChar w:fldCharType="end"/>
      </w:r>
    </w:p>
    <w:p w:rsidR="00A3364E" w:rsidRPr="00A3364E" w:rsidRDefault="00A3364E" w:rsidP="00A3364E">
      <w:pPr>
        <w:pStyle w:val="naisf"/>
        <w:spacing w:before="0" w:beforeAutospacing="0" w:after="0" w:afterAutospacing="0"/>
        <w:rPr>
          <w:noProof/>
          <w:sz w:val="20"/>
          <w:szCs w:val="20"/>
          <w:lang w:val="en-US"/>
        </w:rPr>
      </w:pPr>
      <w:r w:rsidRPr="00A3364E">
        <w:rPr>
          <w:noProof/>
          <w:sz w:val="20"/>
          <w:szCs w:val="20"/>
          <w:lang w:val="en-US"/>
        </w:rPr>
        <w:t>I.Potjomkina</w:t>
      </w:r>
    </w:p>
    <w:p w:rsidR="00A3364E" w:rsidRPr="00A3364E" w:rsidRDefault="00A3364E" w:rsidP="00A3364E">
      <w:pPr>
        <w:pStyle w:val="naisf"/>
        <w:spacing w:before="0" w:beforeAutospacing="0" w:after="0" w:afterAutospacing="0"/>
        <w:rPr>
          <w:noProof/>
          <w:sz w:val="20"/>
          <w:szCs w:val="20"/>
          <w:lang w:val="en-US"/>
        </w:rPr>
      </w:pPr>
      <w:r w:rsidRPr="00A3364E">
        <w:rPr>
          <w:noProof/>
          <w:sz w:val="20"/>
          <w:szCs w:val="20"/>
          <w:lang w:val="en-US"/>
        </w:rPr>
        <w:t>6721960</w:t>
      </w:r>
      <w:r>
        <w:rPr>
          <w:noProof/>
          <w:sz w:val="20"/>
          <w:szCs w:val="20"/>
        </w:rPr>
        <w:t>6</w:t>
      </w:r>
      <w:r w:rsidRPr="00A3364E">
        <w:rPr>
          <w:noProof/>
          <w:sz w:val="20"/>
          <w:szCs w:val="20"/>
          <w:lang w:val="en-US"/>
        </w:rPr>
        <w:t xml:space="preserve">, </w:t>
      </w:r>
      <w:hyperlink r:id="rId9" w:history="1">
        <w:r w:rsidRPr="005E61ED">
          <w:rPr>
            <w:rStyle w:val="Hyperlink"/>
            <w:noProof/>
            <w:sz w:val="20"/>
            <w:szCs w:val="20"/>
            <w:lang w:val="en-US"/>
          </w:rPr>
          <w:t>ieva.potjomkina@iem.gov.lv</w:t>
        </w:r>
      </w:hyperlink>
    </w:p>
    <w:p w:rsidR="007F6B1C" w:rsidRPr="005128C9" w:rsidRDefault="007F6B1C" w:rsidP="005128C9">
      <w:pPr>
        <w:spacing w:after="0" w:line="240" w:lineRule="auto"/>
        <w:rPr>
          <w:rFonts w:ascii="Times New Roman" w:hAnsi="Times New Roman" w:cs="Times New Roman"/>
        </w:rPr>
      </w:pPr>
    </w:p>
    <w:p w:rsidR="007F6B1C" w:rsidRPr="005128C9" w:rsidRDefault="007F6B1C" w:rsidP="005128C9">
      <w:pPr>
        <w:spacing w:after="0" w:line="240" w:lineRule="auto"/>
        <w:rPr>
          <w:rFonts w:ascii="Times New Roman" w:hAnsi="Times New Roman" w:cs="Times New Roman"/>
        </w:rPr>
      </w:pPr>
    </w:p>
    <w:sectPr w:rsidR="007F6B1C" w:rsidRPr="005128C9" w:rsidSect="00855CB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8A" w:rsidRDefault="00592A8A" w:rsidP="00A61504">
      <w:pPr>
        <w:spacing w:after="0" w:line="240" w:lineRule="auto"/>
      </w:pPr>
      <w:r>
        <w:separator/>
      </w:r>
    </w:p>
  </w:endnote>
  <w:endnote w:type="continuationSeparator" w:id="0">
    <w:p w:rsidR="00592A8A" w:rsidRDefault="00592A8A"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4B" w:rsidRDefault="004A5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047" w:rsidRPr="003C73C4" w:rsidRDefault="00221047" w:rsidP="003C73C4">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4A544B">
      <w:rPr>
        <w:noProof/>
        <w:sz w:val="18"/>
        <w:szCs w:val="18"/>
      </w:rPr>
      <w:t>IEMAnot_231015_AP</w:t>
    </w:r>
    <w:r w:rsidRPr="008B5BA6">
      <w:rPr>
        <w:sz w:val="18"/>
        <w:szCs w:val="18"/>
      </w:rPr>
      <w:fldChar w:fldCharType="end"/>
    </w:r>
    <w:bookmarkStart w:id="4" w:name="_GoBack"/>
    <w:bookmarkEnd w:id="4"/>
    <w:r w:rsidRPr="008B5BA6">
      <w:rPr>
        <w:sz w:val="18"/>
        <w:szCs w:val="18"/>
      </w:rPr>
      <w:t xml:space="preserve">; </w:t>
    </w:r>
    <w:r w:rsidRPr="00350D58">
      <w:rPr>
        <w:bCs/>
        <w:sz w:val="18"/>
        <w:szCs w:val="18"/>
      </w:rPr>
      <w:t xml:space="preserve">Ministru kabineta </w:t>
    </w:r>
    <w:r w:rsidRPr="00CE22F1">
      <w:rPr>
        <w:bCs/>
        <w:sz w:val="18"/>
        <w:szCs w:val="18"/>
      </w:rPr>
      <w:t xml:space="preserve">„Par apropriācijas pārdali starp Iekšlietu ministrijas budžeta programmām, apakšprogrammām un pasākumiem </w:t>
    </w:r>
    <w:proofErr w:type="gramStart"/>
    <w:r w:rsidRPr="00CE22F1">
      <w:rPr>
        <w:bCs/>
        <w:sz w:val="18"/>
        <w:szCs w:val="18"/>
      </w:rPr>
      <w:t>2015.gadā</w:t>
    </w:r>
    <w:proofErr w:type="gramEnd"/>
    <w:r w:rsidRPr="00CE22F1">
      <w:rPr>
        <w:bCs/>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047" w:rsidRPr="00CE22F1" w:rsidRDefault="00221047" w:rsidP="00CE22F1">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4A544B">
      <w:rPr>
        <w:noProof/>
        <w:sz w:val="18"/>
        <w:szCs w:val="18"/>
      </w:rPr>
      <w:t>IEMAnot_231015_AP</w:t>
    </w:r>
    <w:r w:rsidRPr="008B5BA6">
      <w:rPr>
        <w:sz w:val="18"/>
        <w:szCs w:val="18"/>
      </w:rPr>
      <w:fldChar w:fldCharType="end"/>
    </w:r>
    <w:r w:rsidRPr="008B5BA6">
      <w:rPr>
        <w:sz w:val="18"/>
        <w:szCs w:val="18"/>
      </w:rPr>
      <w:t xml:space="preserve">; </w:t>
    </w:r>
    <w:r w:rsidRPr="00350D58">
      <w:rPr>
        <w:bCs/>
        <w:sz w:val="18"/>
        <w:szCs w:val="18"/>
      </w:rPr>
      <w:t xml:space="preserve">Ministru kabineta </w:t>
    </w:r>
    <w:r w:rsidRPr="00CE22F1">
      <w:rPr>
        <w:bCs/>
        <w:sz w:val="18"/>
        <w:szCs w:val="18"/>
      </w:rPr>
      <w:t xml:space="preserve">„Par apropriācijas pārdali starp Iekšlietu ministrijas budžeta programmām, apakšprogrammām un pasākumiem </w:t>
    </w:r>
    <w:proofErr w:type="gramStart"/>
    <w:r w:rsidRPr="00CE22F1">
      <w:rPr>
        <w:bCs/>
        <w:sz w:val="18"/>
        <w:szCs w:val="18"/>
      </w:rPr>
      <w:t>2015.gadā</w:t>
    </w:r>
    <w:proofErr w:type="gramEnd"/>
    <w:r w:rsidRPr="00CE22F1">
      <w:rPr>
        <w:bCs/>
        <w:sz w:val="18"/>
        <w:szCs w:val="18"/>
      </w:rPr>
      <w:t xml:space="preserve">” </w:t>
    </w:r>
  </w:p>
  <w:p w:rsidR="00221047" w:rsidRDefault="00221047" w:rsidP="00CE22F1">
    <w:pPr>
      <w:pStyle w:val="NormalWeb"/>
      <w:spacing w:before="0" w:beforeAutospacing="0" w:after="0" w:afterAutospacing="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8A" w:rsidRDefault="00592A8A" w:rsidP="00A61504">
      <w:pPr>
        <w:spacing w:after="0" w:line="240" w:lineRule="auto"/>
      </w:pPr>
      <w:r>
        <w:separator/>
      </w:r>
    </w:p>
  </w:footnote>
  <w:footnote w:type="continuationSeparator" w:id="0">
    <w:p w:rsidR="00592A8A" w:rsidRDefault="00592A8A"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4B" w:rsidRDefault="004A5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221047" w:rsidRPr="00855CB7" w:rsidRDefault="00221047">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4A544B">
          <w:rPr>
            <w:rFonts w:ascii="Times New Roman" w:hAnsi="Times New Roman" w:cs="Times New Roman"/>
            <w:noProof/>
            <w:sz w:val="20"/>
            <w:szCs w:val="20"/>
          </w:rPr>
          <w:t>10</w:t>
        </w:r>
        <w:r w:rsidRPr="00855CB7">
          <w:rPr>
            <w:rFonts w:ascii="Times New Roman" w:hAnsi="Times New Roman" w:cs="Times New Roman"/>
            <w:noProof/>
            <w:sz w:val="20"/>
            <w:szCs w:val="20"/>
          </w:rPr>
          <w:fldChar w:fldCharType="end"/>
        </w:r>
      </w:p>
    </w:sdtContent>
  </w:sdt>
  <w:p w:rsidR="00221047" w:rsidRDefault="00221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4B" w:rsidRDefault="004A5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110C7B"/>
    <w:multiLevelType w:val="hybridMultilevel"/>
    <w:tmpl w:val="F9E2D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84021A"/>
    <w:multiLevelType w:val="hybridMultilevel"/>
    <w:tmpl w:val="9F32AE8A"/>
    <w:lvl w:ilvl="0" w:tplc="2FF2A8D8">
      <w:start w:val="1"/>
      <w:numFmt w:val="bullet"/>
      <w:lvlText w:val=""/>
      <w:lvlJc w:val="left"/>
      <w:pPr>
        <w:ind w:left="1084" w:hanging="360"/>
      </w:pPr>
      <w:rPr>
        <w:rFonts w:ascii="Symbol" w:hAnsi="Symbol" w:hint="default"/>
      </w:rPr>
    </w:lvl>
    <w:lvl w:ilvl="1" w:tplc="04260003" w:tentative="1">
      <w:start w:val="1"/>
      <w:numFmt w:val="bullet"/>
      <w:lvlText w:val="o"/>
      <w:lvlJc w:val="left"/>
      <w:pPr>
        <w:ind w:left="1804" w:hanging="360"/>
      </w:pPr>
      <w:rPr>
        <w:rFonts w:ascii="Courier New" w:hAnsi="Courier New" w:cs="Courier New" w:hint="default"/>
      </w:rPr>
    </w:lvl>
    <w:lvl w:ilvl="2" w:tplc="04260005" w:tentative="1">
      <w:start w:val="1"/>
      <w:numFmt w:val="bullet"/>
      <w:lvlText w:val=""/>
      <w:lvlJc w:val="left"/>
      <w:pPr>
        <w:ind w:left="2524" w:hanging="360"/>
      </w:pPr>
      <w:rPr>
        <w:rFonts w:ascii="Wingdings" w:hAnsi="Wingdings" w:hint="default"/>
      </w:rPr>
    </w:lvl>
    <w:lvl w:ilvl="3" w:tplc="04260001" w:tentative="1">
      <w:start w:val="1"/>
      <w:numFmt w:val="bullet"/>
      <w:lvlText w:val=""/>
      <w:lvlJc w:val="left"/>
      <w:pPr>
        <w:ind w:left="3244" w:hanging="360"/>
      </w:pPr>
      <w:rPr>
        <w:rFonts w:ascii="Symbol" w:hAnsi="Symbol" w:hint="default"/>
      </w:rPr>
    </w:lvl>
    <w:lvl w:ilvl="4" w:tplc="04260003" w:tentative="1">
      <w:start w:val="1"/>
      <w:numFmt w:val="bullet"/>
      <w:lvlText w:val="o"/>
      <w:lvlJc w:val="left"/>
      <w:pPr>
        <w:ind w:left="3964" w:hanging="360"/>
      </w:pPr>
      <w:rPr>
        <w:rFonts w:ascii="Courier New" w:hAnsi="Courier New" w:cs="Courier New" w:hint="default"/>
      </w:rPr>
    </w:lvl>
    <w:lvl w:ilvl="5" w:tplc="04260005" w:tentative="1">
      <w:start w:val="1"/>
      <w:numFmt w:val="bullet"/>
      <w:lvlText w:val=""/>
      <w:lvlJc w:val="left"/>
      <w:pPr>
        <w:ind w:left="4684" w:hanging="360"/>
      </w:pPr>
      <w:rPr>
        <w:rFonts w:ascii="Wingdings" w:hAnsi="Wingdings" w:hint="default"/>
      </w:rPr>
    </w:lvl>
    <w:lvl w:ilvl="6" w:tplc="04260001" w:tentative="1">
      <w:start w:val="1"/>
      <w:numFmt w:val="bullet"/>
      <w:lvlText w:val=""/>
      <w:lvlJc w:val="left"/>
      <w:pPr>
        <w:ind w:left="5404" w:hanging="360"/>
      </w:pPr>
      <w:rPr>
        <w:rFonts w:ascii="Symbol" w:hAnsi="Symbol" w:hint="default"/>
      </w:rPr>
    </w:lvl>
    <w:lvl w:ilvl="7" w:tplc="04260003" w:tentative="1">
      <w:start w:val="1"/>
      <w:numFmt w:val="bullet"/>
      <w:lvlText w:val="o"/>
      <w:lvlJc w:val="left"/>
      <w:pPr>
        <w:ind w:left="6124" w:hanging="360"/>
      </w:pPr>
      <w:rPr>
        <w:rFonts w:ascii="Courier New" w:hAnsi="Courier New" w:cs="Courier New" w:hint="default"/>
      </w:rPr>
    </w:lvl>
    <w:lvl w:ilvl="8" w:tplc="04260005" w:tentative="1">
      <w:start w:val="1"/>
      <w:numFmt w:val="bullet"/>
      <w:lvlText w:val=""/>
      <w:lvlJc w:val="left"/>
      <w:pPr>
        <w:ind w:left="6844" w:hanging="360"/>
      </w:pPr>
      <w:rPr>
        <w:rFonts w:ascii="Wingdings" w:hAnsi="Wingdings" w:hint="default"/>
      </w:rPr>
    </w:lvl>
  </w:abstractNum>
  <w:abstractNum w:abstractNumId="3">
    <w:nsid w:val="4B9006B3"/>
    <w:multiLevelType w:val="hybridMultilevel"/>
    <w:tmpl w:val="7FBAA624"/>
    <w:lvl w:ilvl="0" w:tplc="2FF2A8D8">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4">
    <w:nsid w:val="6E643AAC"/>
    <w:multiLevelType w:val="hybridMultilevel"/>
    <w:tmpl w:val="159696B6"/>
    <w:lvl w:ilvl="0" w:tplc="2FF2A8D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12896"/>
    <w:rsid w:val="000151E2"/>
    <w:rsid w:val="00054DF4"/>
    <w:rsid w:val="00061364"/>
    <w:rsid w:val="000633DD"/>
    <w:rsid w:val="0007000B"/>
    <w:rsid w:val="000A0997"/>
    <w:rsid w:val="000A25FF"/>
    <w:rsid w:val="000A2CE4"/>
    <w:rsid w:val="000B42F6"/>
    <w:rsid w:val="000C16DB"/>
    <w:rsid w:val="000C1C8B"/>
    <w:rsid w:val="000E1FA9"/>
    <w:rsid w:val="000E3747"/>
    <w:rsid w:val="000F11B4"/>
    <w:rsid w:val="0011356C"/>
    <w:rsid w:val="00113A21"/>
    <w:rsid w:val="001204D1"/>
    <w:rsid w:val="001536C4"/>
    <w:rsid w:val="001630B8"/>
    <w:rsid w:val="00175F96"/>
    <w:rsid w:val="0018161D"/>
    <w:rsid w:val="001F119D"/>
    <w:rsid w:val="001F5815"/>
    <w:rsid w:val="001F63DB"/>
    <w:rsid w:val="00206EB2"/>
    <w:rsid w:val="002137D1"/>
    <w:rsid w:val="002160EE"/>
    <w:rsid w:val="00221047"/>
    <w:rsid w:val="0023282D"/>
    <w:rsid w:val="002402B9"/>
    <w:rsid w:val="00244611"/>
    <w:rsid w:val="00261284"/>
    <w:rsid w:val="00270810"/>
    <w:rsid w:val="002745F3"/>
    <w:rsid w:val="002768A0"/>
    <w:rsid w:val="00276D0F"/>
    <w:rsid w:val="00294D01"/>
    <w:rsid w:val="00296342"/>
    <w:rsid w:val="002C57AF"/>
    <w:rsid w:val="002C584B"/>
    <w:rsid w:val="002E41A1"/>
    <w:rsid w:val="002F0CF9"/>
    <w:rsid w:val="002F3B27"/>
    <w:rsid w:val="002F5386"/>
    <w:rsid w:val="003179BD"/>
    <w:rsid w:val="00355839"/>
    <w:rsid w:val="00366C28"/>
    <w:rsid w:val="00373006"/>
    <w:rsid w:val="00381BBA"/>
    <w:rsid w:val="003B079D"/>
    <w:rsid w:val="003B0B3A"/>
    <w:rsid w:val="003B0EF5"/>
    <w:rsid w:val="003B27F0"/>
    <w:rsid w:val="003B4E8D"/>
    <w:rsid w:val="003C30ED"/>
    <w:rsid w:val="003C39A4"/>
    <w:rsid w:val="003C73C4"/>
    <w:rsid w:val="003D54C1"/>
    <w:rsid w:val="003E4A60"/>
    <w:rsid w:val="003E708D"/>
    <w:rsid w:val="003F0AA4"/>
    <w:rsid w:val="003F0BAB"/>
    <w:rsid w:val="00402A75"/>
    <w:rsid w:val="004106EE"/>
    <w:rsid w:val="0042053F"/>
    <w:rsid w:val="00442772"/>
    <w:rsid w:val="00453B99"/>
    <w:rsid w:val="004572F3"/>
    <w:rsid w:val="00462ACB"/>
    <w:rsid w:val="00480764"/>
    <w:rsid w:val="00486655"/>
    <w:rsid w:val="00494BDF"/>
    <w:rsid w:val="004A544B"/>
    <w:rsid w:val="004B4383"/>
    <w:rsid w:val="004C010F"/>
    <w:rsid w:val="004C1170"/>
    <w:rsid w:val="004C40CA"/>
    <w:rsid w:val="004C596A"/>
    <w:rsid w:val="004D2F40"/>
    <w:rsid w:val="004D73A8"/>
    <w:rsid w:val="004E456A"/>
    <w:rsid w:val="004E69F3"/>
    <w:rsid w:val="004E7960"/>
    <w:rsid w:val="004F53A5"/>
    <w:rsid w:val="00501EB3"/>
    <w:rsid w:val="005039D7"/>
    <w:rsid w:val="00507B59"/>
    <w:rsid w:val="005128C9"/>
    <w:rsid w:val="00512B41"/>
    <w:rsid w:val="00516201"/>
    <w:rsid w:val="00523629"/>
    <w:rsid w:val="0052442F"/>
    <w:rsid w:val="0052773D"/>
    <w:rsid w:val="00532841"/>
    <w:rsid w:val="00566910"/>
    <w:rsid w:val="005703A9"/>
    <w:rsid w:val="00577B1B"/>
    <w:rsid w:val="00592A8A"/>
    <w:rsid w:val="005B2F8E"/>
    <w:rsid w:val="005B664B"/>
    <w:rsid w:val="005B6BA2"/>
    <w:rsid w:val="005D3FF0"/>
    <w:rsid w:val="005D4098"/>
    <w:rsid w:val="005D4BBC"/>
    <w:rsid w:val="005E62FF"/>
    <w:rsid w:val="005F06D6"/>
    <w:rsid w:val="006017AF"/>
    <w:rsid w:val="0061711F"/>
    <w:rsid w:val="006214EC"/>
    <w:rsid w:val="00622743"/>
    <w:rsid w:val="00626F16"/>
    <w:rsid w:val="006411A2"/>
    <w:rsid w:val="00654056"/>
    <w:rsid w:val="00654250"/>
    <w:rsid w:val="00660E8D"/>
    <w:rsid w:val="00666400"/>
    <w:rsid w:val="00666F26"/>
    <w:rsid w:val="006726AF"/>
    <w:rsid w:val="00674A10"/>
    <w:rsid w:val="006873B9"/>
    <w:rsid w:val="00687885"/>
    <w:rsid w:val="00697D42"/>
    <w:rsid w:val="006A2C83"/>
    <w:rsid w:val="006A32EF"/>
    <w:rsid w:val="006A37D2"/>
    <w:rsid w:val="006A58DD"/>
    <w:rsid w:val="006B4385"/>
    <w:rsid w:val="006C2FAB"/>
    <w:rsid w:val="006C4BD5"/>
    <w:rsid w:val="006D1851"/>
    <w:rsid w:val="006E1317"/>
    <w:rsid w:val="006E1B95"/>
    <w:rsid w:val="006E334B"/>
    <w:rsid w:val="006F2976"/>
    <w:rsid w:val="007208E0"/>
    <w:rsid w:val="00750974"/>
    <w:rsid w:val="00772B7E"/>
    <w:rsid w:val="007777B9"/>
    <w:rsid w:val="0078619B"/>
    <w:rsid w:val="00793F29"/>
    <w:rsid w:val="00793F93"/>
    <w:rsid w:val="007955EC"/>
    <w:rsid w:val="007C242C"/>
    <w:rsid w:val="007E31E0"/>
    <w:rsid w:val="007F443B"/>
    <w:rsid w:val="007F55A5"/>
    <w:rsid w:val="007F601A"/>
    <w:rsid w:val="007F6B1C"/>
    <w:rsid w:val="00811544"/>
    <w:rsid w:val="0081399B"/>
    <w:rsid w:val="0082505A"/>
    <w:rsid w:val="0082519E"/>
    <w:rsid w:val="0084195E"/>
    <w:rsid w:val="00842573"/>
    <w:rsid w:val="008501FE"/>
    <w:rsid w:val="00855CB7"/>
    <w:rsid w:val="00890339"/>
    <w:rsid w:val="00892A95"/>
    <w:rsid w:val="008964CB"/>
    <w:rsid w:val="008D15DE"/>
    <w:rsid w:val="008F3877"/>
    <w:rsid w:val="00900E86"/>
    <w:rsid w:val="00902AF8"/>
    <w:rsid w:val="00922983"/>
    <w:rsid w:val="00926E30"/>
    <w:rsid w:val="0093413E"/>
    <w:rsid w:val="00937B6B"/>
    <w:rsid w:val="009430FC"/>
    <w:rsid w:val="009512EC"/>
    <w:rsid w:val="00966D4C"/>
    <w:rsid w:val="00974374"/>
    <w:rsid w:val="00997D1C"/>
    <w:rsid w:val="009A2D67"/>
    <w:rsid w:val="009C310A"/>
    <w:rsid w:val="009C4288"/>
    <w:rsid w:val="009E755D"/>
    <w:rsid w:val="009F27AD"/>
    <w:rsid w:val="009F4B2B"/>
    <w:rsid w:val="00A017FF"/>
    <w:rsid w:val="00A12148"/>
    <w:rsid w:val="00A230B5"/>
    <w:rsid w:val="00A27AA8"/>
    <w:rsid w:val="00A3211C"/>
    <w:rsid w:val="00A3364E"/>
    <w:rsid w:val="00A5227C"/>
    <w:rsid w:val="00A61504"/>
    <w:rsid w:val="00A626B2"/>
    <w:rsid w:val="00A64D8F"/>
    <w:rsid w:val="00A7505D"/>
    <w:rsid w:val="00A75633"/>
    <w:rsid w:val="00A84269"/>
    <w:rsid w:val="00A85A6B"/>
    <w:rsid w:val="00A85D64"/>
    <w:rsid w:val="00AA3B38"/>
    <w:rsid w:val="00AA3CF7"/>
    <w:rsid w:val="00AB6808"/>
    <w:rsid w:val="00AD0530"/>
    <w:rsid w:val="00AF1646"/>
    <w:rsid w:val="00AF34EE"/>
    <w:rsid w:val="00AF4354"/>
    <w:rsid w:val="00AF798C"/>
    <w:rsid w:val="00B0122C"/>
    <w:rsid w:val="00B01E2A"/>
    <w:rsid w:val="00B077A5"/>
    <w:rsid w:val="00B14C19"/>
    <w:rsid w:val="00B177E3"/>
    <w:rsid w:val="00B20337"/>
    <w:rsid w:val="00B26813"/>
    <w:rsid w:val="00B31433"/>
    <w:rsid w:val="00B342E5"/>
    <w:rsid w:val="00B40F2A"/>
    <w:rsid w:val="00B41719"/>
    <w:rsid w:val="00B45526"/>
    <w:rsid w:val="00B568ED"/>
    <w:rsid w:val="00B57317"/>
    <w:rsid w:val="00B650FC"/>
    <w:rsid w:val="00B65C58"/>
    <w:rsid w:val="00B72D92"/>
    <w:rsid w:val="00B826DA"/>
    <w:rsid w:val="00BA6E1C"/>
    <w:rsid w:val="00BB0F81"/>
    <w:rsid w:val="00BB3668"/>
    <w:rsid w:val="00BC2AAC"/>
    <w:rsid w:val="00BE201E"/>
    <w:rsid w:val="00C146F5"/>
    <w:rsid w:val="00C154E9"/>
    <w:rsid w:val="00C22E47"/>
    <w:rsid w:val="00C303A5"/>
    <w:rsid w:val="00C61C43"/>
    <w:rsid w:val="00C76ED3"/>
    <w:rsid w:val="00CA68BE"/>
    <w:rsid w:val="00CA68F3"/>
    <w:rsid w:val="00CA6FB7"/>
    <w:rsid w:val="00CB4301"/>
    <w:rsid w:val="00CC4390"/>
    <w:rsid w:val="00CC6ACA"/>
    <w:rsid w:val="00CC6D6A"/>
    <w:rsid w:val="00CC7EAF"/>
    <w:rsid w:val="00CD17CD"/>
    <w:rsid w:val="00CD63CC"/>
    <w:rsid w:val="00CD6B8D"/>
    <w:rsid w:val="00CE136D"/>
    <w:rsid w:val="00CE22F1"/>
    <w:rsid w:val="00CF0DF5"/>
    <w:rsid w:val="00D058F0"/>
    <w:rsid w:val="00D30AB4"/>
    <w:rsid w:val="00D32E0D"/>
    <w:rsid w:val="00D34D63"/>
    <w:rsid w:val="00D4036D"/>
    <w:rsid w:val="00D6090E"/>
    <w:rsid w:val="00D61C5B"/>
    <w:rsid w:val="00D72CE8"/>
    <w:rsid w:val="00D80B81"/>
    <w:rsid w:val="00D96D63"/>
    <w:rsid w:val="00DA72B7"/>
    <w:rsid w:val="00DB4163"/>
    <w:rsid w:val="00DC045E"/>
    <w:rsid w:val="00DD2AF7"/>
    <w:rsid w:val="00DE7370"/>
    <w:rsid w:val="00E01FC7"/>
    <w:rsid w:val="00E125D7"/>
    <w:rsid w:val="00E24423"/>
    <w:rsid w:val="00E24D34"/>
    <w:rsid w:val="00E35508"/>
    <w:rsid w:val="00E47A7C"/>
    <w:rsid w:val="00E57FA2"/>
    <w:rsid w:val="00E678FC"/>
    <w:rsid w:val="00E770FB"/>
    <w:rsid w:val="00E7737A"/>
    <w:rsid w:val="00E82C06"/>
    <w:rsid w:val="00E8460E"/>
    <w:rsid w:val="00E91C83"/>
    <w:rsid w:val="00EB1DCF"/>
    <w:rsid w:val="00EB29B2"/>
    <w:rsid w:val="00ED329B"/>
    <w:rsid w:val="00ED6686"/>
    <w:rsid w:val="00ED7E01"/>
    <w:rsid w:val="00EE2703"/>
    <w:rsid w:val="00EF2D9A"/>
    <w:rsid w:val="00F05486"/>
    <w:rsid w:val="00F21548"/>
    <w:rsid w:val="00F278BC"/>
    <w:rsid w:val="00F4121E"/>
    <w:rsid w:val="00F442F0"/>
    <w:rsid w:val="00F46DCD"/>
    <w:rsid w:val="00F6781E"/>
    <w:rsid w:val="00F72BA7"/>
    <w:rsid w:val="00F94283"/>
    <w:rsid w:val="00F96D10"/>
    <w:rsid w:val="00FA14E1"/>
    <w:rsid w:val="00FA35E3"/>
    <w:rsid w:val="00FA36B2"/>
    <w:rsid w:val="00FA4F4D"/>
    <w:rsid w:val="00FC2E21"/>
    <w:rsid w:val="00FC59C8"/>
    <w:rsid w:val="00FE6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C5846AD-F4AF-4E76-8407-B8B9EB54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ListParagraph">
    <w:name w:val="List Paragraph"/>
    <w:basedOn w:val="Normal"/>
    <w:uiPriority w:val="34"/>
    <w:qFormat/>
    <w:rsid w:val="006E334B"/>
    <w:pPr>
      <w:ind w:left="720"/>
      <w:contextualSpacing/>
    </w:pPr>
  </w:style>
  <w:style w:type="character" w:customStyle="1" w:styleId="apple-converted-space">
    <w:name w:val="apple-converted-space"/>
    <w:basedOn w:val="DefaultParagraphFont"/>
    <w:rsid w:val="00C154E9"/>
  </w:style>
  <w:style w:type="paragraph" w:styleId="BalloonText">
    <w:name w:val="Balloon Text"/>
    <w:basedOn w:val="Normal"/>
    <w:link w:val="BalloonTextChar"/>
    <w:uiPriority w:val="99"/>
    <w:semiHidden/>
    <w:unhideWhenUsed/>
    <w:rsid w:val="0066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31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233825-par-informacijas-sistemas-darbibas-koncepcijas-aprakstu-pasu-sistemas-un-vienotas-migracijas-informacijas-sistemas-attistiba-e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va.potjomkina@i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19687</Words>
  <Characters>11223</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Ieva Potjomkina</cp:lastModifiedBy>
  <cp:revision>4</cp:revision>
  <cp:lastPrinted>2015-10-14T12:50:00Z</cp:lastPrinted>
  <dcterms:created xsi:type="dcterms:W3CDTF">2015-10-23T04:40:00Z</dcterms:created>
  <dcterms:modified xsi:type="dcterms:W3CDTF">2015-10-23T05:01:00Z</dcterms:modified>
</cp:coreProperties>
</file>