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p>
    <w:p w:rsidR="00585B7B" w:rsidRPr="009B2F21" w:rsidRDefault="005D66E2" w:rsidP="007720DF">
      <w:pPr>
        <w:pStyle w:val="BodyText"/>
        <w:spacing w:after="0"/>
        <w:jc w:val="center"/>
        <w:rPr>
          <w:b/>
          <w:sz w:val="28"/>
          <w:szCs w:val="28"/>
        </w:rPr>
      </w:pPr>
      <w:r w:rsidRPr="006914B3">
        <w:rPr>
          <w:b/>
          <w:sz w:val="26"/>
          <w:szCs w:val="26"/>
        </w:rPr>
        <w:t>„</w:t>
      </w:r>
      <w:r w:rsidR="007720DF" w:rsidRPr="007720DF">
        <w:rPr>
          <w:b/>
          <w:sz w:val="26"/>
          <w:szCs w:val="26"/>
        </w:rPr>
        <w:t>Grozījumi Ministru kabineta 2007.gada 22.augusta rīkojumā Nr.543 „Par Zemgales olimpiskā centra Jelgavā projekta un Olimpiskā centra „Ventspils” attīstības projekta „Ventspils peldbaseina rekonstrukcija” īstenošanu”</w:t>
      </w:r>
      <w:r w:rsidR="00CA693C" w:rsidRPr="006914B3">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835"/>
        <w:gridCol w:w="6516"/>
      </w:tblGrid>
      <w:tr w:rsidR="00585B7B" w:rsidRPr="00E14286" w:rsidTr="00520B00">
        <w:tc>
          <w:tcPr>
            <w:tcW w:w="10060"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520B00">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835"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516" w:type="dxa"/>
          </w:tcPr>
          <w:p w:rsidR="00EA2797" w:rsidRPr="00CF694A" w:rsidRDefault="00EA2797" w:rsidP="00C13BBA">
            <w:pPr>
              <w:pStyle w:val="ListParagraph"/>
              <w:numPr>
                <w:ilvl w:val="0"/>
                <w:numId w:val="9"/>
              </w:numPr>
              <w:ind w:right="127"/>
              <w:jc w:val="both"/>
              <w:rPr>
                <w:sz w:val="25"/>
                <w:szCs w:val="25"/>
              </w:rPr>
            </w:pPr>
            <w:r w:rsidRPr="00CF694A">
              <w:rPr>
                <w:sz w:val="25"/>
                <w:szCs w:val="25"/>
              </w:rPr>
              <w:t xml:space="preserve">Nepieciešamība nodrošināt </w:t>
            </w:r>
            <w:r w:rsidRPr="00CF694A">
              <w:rPr>
                <w:rFonts w:eastAsia="Times New Roman"/>
                <w:color w:val="000000"/>
                <w:sz w:val="25"/>
                <w:szCs w:val="25"/>
              </w:rPr>
              <w:t>likumprojektā „Par valsts budžetu 2016.gadam” (</w:t>
            </w:r>
            <w:proofErr w:type="spellStart"/>
            <w:r w:rsidRPr="00CF694A">
              <w:rPr>
                <w:rFonts w:eastAsia="Times New Roman"/>
                <w:color w:val="000000"/>
                <w:sz w:val="25"/>
                <w:szCs w:val="25"/>
              </w:rPr>
              <w:t>Nr</w:t>
            </w:r>
            <w:proofErr w:type="spellEnd"/>
            <w:r w:rsidRPr="00CF694A">
              <w:rPr>
                <w:rFonts w:eastAsia="Times New Roman"/>
                <w:color w:val="000000"/>
                <w:sz w:val="25"/>
                <w:szCs w:val="25"/>
              </w:rPr>
              <w:t xml:space="preserve">: 390/Lp12) </w:t>
            </w:r>
            <w:r w:rsidR="00CF694A" w:rsidRPr="00CF694A">
              <w:rPr>
                <w:rFonts w:eastAsia="Times New Roman"/>
                <w:color w:val="000000"/>
                <w:sz w:val="25"/>
                <w:szCs w:val="25"/>
              </w:rPr>
              <w:t xml:space="preserve">un </w:t>
            </w:r>
            <w:r w:rsidRPr="00CF694A">
              <w:rPr>
                <w:sz w:val="25"/>
                <w:szCs w:val="25"/>
              </w:rPr>
              <w:t>likumprojektā „Par vidēja termiņa budžeta ietvaru 2016., 2017. un 2018.gadam” (</w:t>
            </w:r>
            <w:proofErr w:type="spellStart"/>
            <w:r w:rsidRPr="00CF694A">
              <w:rPr>
                <w:sz w:val="25"/>
                <w:szCs w:val="25"/>
              </w:rPr>
              <w:t>Nr</w:t>
            </w:r>
            <w:proofErr w:type="spellEnd"/>
            <w:r w:rsidRPr="00CF694A">
              <w:rPr>
                <w:sz w:val="25"/>
                <w:szCs w:val="25"/>
              </w:rPr>
              <w:t xml:space="preserve">: 389/Lp12) </w:t>
            </w:r>
            <w:r w:rsidR="00955AF6" w:rsidRPr="00015D79">
              <w:rPr>
                <w:sz w:val="25"/>
                <w:szCs w:val="25"/>
              </w:rPr>
              <w:t xml:space="preserve"> </w:t>
            </w:r>
            <w:r w:rsidR="00C13BBA">
              <w:t xml:space="preserve"> </w:t>
            </w:r>
            <w:r w:rsidR="00C13BBA" w:rsidRPr="00C13BBA">
              <w:rPr>
                <w:sz w:val="25"/>
                <w:szCs w:val="25"/>
              </w:rPr>
              <w:t>Zemgales olimpiskā centra Jelgavā projekta un Olimpiskā centra „Ventspils” attīstības projekta „Ventspils peldbaseina rekonstrukcija”</w:t>
            </w:r>
            <w:r w:rsidR="00C13BBA">
              <w:rPr>
                <w:sz w:val="25"/>
                <w:szCs w:val="25"/>
              </w:rPr>
              <w:t xml:space="preserve"> </w:t>
            </w:r>
            <w:r w:rsidR="00955AF6">
              <w:rPr>
                <w:sz w:val="25"/>
                <w:szCs w:val="25"/>
              </w:rPr>
              <w:t>īstenošanai paredzēto</w:t>
            </w:r>
            <w:r w:rsidRPr="00CF694A">
              <w:rPr>
                <w:sz w:val="25"/>
                <w:szCs w:val="25"/>
              </w:rPr>
              <w:t xml:space="preserve"> valsts budžeta ilgtermiņa saistību atbilstību </w:t>
            </w:r>
            <w:r w:rsidR="0097189A">
              <w:rPr>
                <w:sz w:val="25"/>
                <w:szCs w:val="25"/>
              </w:rPr>
              <w:t xml:space="preserve"> faktiski nepieciešamajām valsts budžeta </w:t>
            </w:r>
            <w:r w:rsidR="00CF694A">
              <w:rPr>
                <w:sz w:val="25"/>
                <w:szCs w:val="25"/>
              </w:rPr>
              <w:t>ilgtermiņa saistībām;</w:t>
            </w:r>
          </w:p>
          <w:p w:rsidR="00520B00" w:rsidRPr="00E14286" w:rsidRDefault="00520B00" w:rsidP="000505C1">
            <w:pPr>
              <w:pStyle w:val="ListParagraph"/>
              <w:numPr>
                <w:ilvl w:val="0"/>
                <w:numId w:val="9"/>
              </w:numPr>
              <w:ind w:right="127"/>
              <w:jc w:val="both"/>
              <w:rPr>
                <w:sz w:val="25"/>
                <w:szCs w:val="25"/>
              </w:rPr>
            </w:pPr>
            <w:r w:rsidRPr="00E14286">
              <w:rPr>
                <w:sz w:val="25"/>
                <w:szCs w:val="25"/>
              </w:rPr>
              <w:t xml:space="preserve">Nepieciešamība </w:t>
            </w:r>
            <w:r w:rsidRPr="00E14286">
              <w:rPr>
                <w:rFonts w:eastAsia="Times New Roman"/>
                <w:color w:val="000000"/>
                <w:sz w:val="25"/>
                <w:szCs w:val="25"/>
              </w:rPr>
              <w:t>nodrošināt sporta nozares budžeta prioritāšu īstenošanu</w:t>
            </w:r>
            <w:r w:rsidRPr="00E14286">
              <w:rPr>
                <w:sz w:val="25"/>
                <w:szCs w:val="25"/>
              </w:rPr>
              <w:t xml:space="preserve"> </w:t>
            </w:r>
            <w:r w:rsidR="0051334F" w:rsidRPr="00E14286">
              <w:rPr>
                <w:sz w:val="25"/>
                <w:szCs w:val="25"/>
              </w:rPr>
              <w:t xml:space="preserve"> Izglītības un zinātnes ministrijas (turpmāk – IZM) </w:t>
            </w:r>
            <w:r w:rsidRPr="00E14286">
              <w:rPr>
                <w:sz w:val="25"/>
                <w:szCs w:val="25"/>
              </w:rPr>
              <w:t xml:space="preserve">2016.gada </w:t>
            </w:r>
            <w:r w:rsidRPr="00E14286">
              <w:rPr>
                <w:rFonts w:eastAsia="Times New Roman"/>
                <w:color w:val="000000"/>
                <w:sz w:val="25"/>
                <w:szCs w:val="25"/>
              </w:rPr>
              <w:t>valsts budžeta programmā 09.00.00 „Sports” paredzēto līdzekļu ietvaros;</w:t>
            </w:r>
          </w:p>
          <w:p w:rsidR="00466E6C" w:rsidRPr="000505C1" w:rsidRDefault="005D66E2" w:rsidP="00CF694A">
            <w:pPr>
              <w:pStyle w:val="ListParagraph"/>
              <w:numPr>
                <w:ilvl w:val="0"/>
                <w:numId w:val="9"/>
              </w:numPr>
              <w:ind w:right="127"/>
              <w:jc w:val="both"/>
              <w:rPr>
                <w:sz w:val="25"/>
                <w:szCs w:val="25"/>
              </w:rPr>
            </w:pPr>
            <w:r w:rsidRPr="00E14286">
              <w:rPr>
                <w:sz w:val="25"/>
                <w:szCs w:val="25"/>
              </w:rPr>
              <w:t xml:space="preserve">Jautājuma saistība </w:t>
            </w:r>
            <w:r w:rsidR="0051334F" w:rsidRPr="00E14286">
              <w:rPr>
                <w:sz w:val="25"/>
                <w:szCs w:val="25"/>
              </w:rPr>
              <w:t xml:space="preserve">ar IZM </w:t>
            </w:r>
            <w:r w:rsidRPr="00E14286">
              <w:rPr>
                <w:sz w:val="25"/>
                <w:szCs w:val="25"/>
              </w:rPr>
              <w:t xml:space="preserve">izstrādāto </w:t>
            </w:r>
            <w:r w:rsidR="00D60813" w:rsidRPr="00E14286">
              <w:rPr>
                <w:sz w:val="25"/>
                <w:szCs w:val="25"/>
              </w:rPr>
              <w:t xml:space="preserve">informatīvo ziņojumu „Par līdzekļu </w:t>
            </w:r>
            <w:r w:rsidR="00F53178" w:rsidRPr="00E14286">
              <w:rPr>
                <w:sz w:val="25"/>
                <w:szCs w:val="25"/>
              </w:rPr>
              <w:t xml:space="preserve">iekšējo </w:t>
            </w:r>
            <w:r w:rsidR="00D60813" w:rsidRPr="00E14286">
              <w:rPr>
                <w:sz w:val="25"/>
                <w:szCs w:val="25"/>
              </w:rPr>
              <w:t>pārdali 2016.gada valsts budžeta programmā 09.00.00 „Sports”” un attiecīgu Ministru kabinet</w:t>
            </w:r>
            <w:r w:rsidR="00CF694A">
              <w:rPr>
                <w:sz w:val="25"/>
                <w:szCs w:val="25"/>
              </w:rPr>
              <w:t>a sēdes protokollēmuma projektu.</w:t>
            </w:r>
          </w:p>
        </w:tc>
      </w:tr>
      <w:tr w:rsidR="00585B7B" w:rsidRPr="00E14286" w:rsidTr="00520B00">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835"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516" w:type="dxa"/>
          </w:tcPr>
          <w:p w:rsidR="00B251F9" w:rsidRPr="00E14286" w:rsidRDefault="00BC10F5" w:rsidP="000B1367">
            <w:pPr>
              <w:ind w:left="132" w:right="127"/>
              <w:jc w:val="both"/>
              <w:rPr>
                <w:rFonts w:eastAsia="Times New Roman"/>
                <w:color w:val="000000"/>
                <w:sz w:val="25"/>
                <w:szCs w:val="25"/>
              </w:rPr>
            </w:pPr>
            <w:r w:rsidRPr="00E14286">
              <w:rPr>
                <w:rFonts w:eastAsia="Times New Roman"/>
                <w:color w:val="000000"/>
                <w:sz w:val="25"/>
                <w:szCs w:val="25"/>
              </w:rPr>
              <w:tab/>
            </w:r>
            <w:r w:rsidR="000B1367" w:rsidRPr="00E14286">
              <w:rPr>
                <w:rFonts w:eastAsia="Times New Roman"/>
                <w:color w:val="000000"/>
                <w:sz w:val="25"/>
                <w:szCs w:val="25"/>
              </w:rPr>
              <w:t>Atbilstoši Likuma par budžetu un finanšu vadību 16.</w:t>
            </w:r>
            <w:r w:rsidR="000B1367" w:rsidRPr="00E14286">
              <w:rPr>
                <w:rFonts w:eastAsia="Times New Roman"/>
                <w:color w:val="000000"/>
                <w:sz w:val="25"/>
                <w:szCs w:val="25"/>
                <w:vertAlign w:val="superscript"/>
              </w:rPr>
              <w:t>1</w:t>
            </w:r>
            <w:r w:rsidR="000B1367" w:rsidRPr="00E14286">
              <w:rPr>
                <w:rFonts w:eastAsia="Times New Roman"/>
                <w:color w:val="000000"/>
                <w:sz w:val="25"/>
                <w:szCs w:val="25"/>
              </w:rPr>
              <w:t xml:space="preserve">panta otrajā daļā noteiktajam, kā arī, ņemot vērā makroekonomiskās attīstības prognozes, ar Ministru kabineta 2015.gada 13.aprīļa sēdes </w:t>
            </w:r>
            <w:r w:rsidR="00455F8A" w:rsidRPr="00E14286">
              <w:rPr>
                <w:rFonts w:eastAsia="Times New Roman"/>
                <w:color w:val="000000"/>
                <w:sz w:val="25"/>
                <w:szCs w:val="25"/>
              </w:rPr>
              <w:t>protokollēmuma „Programmas projekts „Latvijas Stabilitātes programma 2015.–2018.gadam”” (</w:t>
            </w:r>
            <w:r w:rsidR="000B1367" w:rsidRPr="00E14286">
              <w:rPr>
                <w:rFonts w:eastAsia="Times New Roman"/>
                <w:color w:val="000000"/>
                <w:sz w:val="25"/>
                <w:szCs w:val="25"/>
              </w:rPr>
              <w:t>prot. Nr.19 1.§) 6.punktu ministrijām un citām centrālajām valsts iestādēm tika uzdots negatavot un neiesniegt priekšlikumus jaunajām politikas iniciatīvām 2016., 2017. un 2018.gadam, izņemot veselības un izglītības jomu saistībā ar strukturālām reformām, kā arī iekšējās un ārējās drošības jomu.</w:t>
            </w:r>
            <w:r w:rsidR="003D5EAB" w:rsidRPr="00E14286">
              <w:rPr>
                <w:rFonts w:eastAsia="Times New Roman"/>
                <w:color w:val="000000"/>
                <w:sz w:val="25"/>
                <w:szCs w:val="25"/>
              </w:rPr>
              <w:t xml:space="preserve"> Ievērojot minēto un to, ka sporta nozare 2016.gada </w:t>
            </w:r>
            <w:r w:rsidR="00B251F9" w:rsidRPr="00E14286">
              <w:rPr>
                <w:rFonts w:eastAsia="Times New Roman"/>
                <w:color w:val="000000"/>
                <w:sz w:val="25"/>
                <w:szCs w:val="25"/>
              </w:rPr>
              <w:t xml:space="preserve">valsts </w:t>
            </w:r>
            <w:r w:rsidR="003D5EAB" w:rsidRPr="00E14286">
              <w:rPr>
                <w:rFonts w:eastAsia="Times New Roman"/>
                <w:color w:val="000000"/>
                <w:sz w:val="25"/>
                <w:szCs w:val="25"/>
              </w:rPr>
              <w:t xml:space="preserve">budžeta projekta izstrādes </w:t>
            </w:r>
            <w:r w:rsidR="00B251F9" w:rsidRPr="00E14286">
              <w:rPr>
                <w:rFonts w:eastAsia="Times New Roman"/>
                <w:color w:val="000000"/>
                <w:sz w:val="25"/>
                <w:szCs w:val="25"/>
              </w:rPr>
              <w:t>procesā</w:t>
            </w:r>
            <w:r w:rsidR="003D5EAB" w:rsidRPr="00E14286">
              <w:rPr>
                <w:rFonts w:eastAsia="Times New Roman"/>
                <w:color w:val="000000"/>
                <w:sz w:val="25"/>
                <w:szCs w:val="25"/>
              </w:rPr>
              <w:t xml:space="preserve"> netika atzīta par vienu no prioritātēm</w:t>
            </w:r>
            <w:r w:rsidR="00B251F9" w:rsidRPr="00E14286">
              <w:rPr>
                <w:rFonts w:eastAsia="Times New Roman"/>
                <w:color w:val="000000"/>
                <w:sz w:val="25"/>
                <w:szCs w:val="25"/>
              </w:rPr>
              <w:t xml:space="preserve">, </w:t>
            </w:r>
            <w:r w:rsidR="000B1367" w:rsidRPr="00E14286">
              <w:rPr>
                <w:rFonts w:eastAsia="Times New Roman"/>
                <w:color w:val="000000"/>
                <w:sz w:val="25"/>
                <w:szCs w:val="25"/>
              </w:rPr>
              <w:t>Ministru kabineta izstrādātājā un Saeimā iesniegtajā likumprojektā „Par valsts budžetu 2016.gadam” (</w:t>
            </w:r>
            <w:proofErr w:type="spellStart"/>
            <w:r w:rsidR="000B1367" w:rsidRPr="00E14286">
              <w:rPr>
                <w:rFonts w:eastAsia="Times New Roman"/>
                <w:color w:val="000000"/>
                <w:sz w:val="25"/>
                <w:szCs w:val="25"/>
              </w:rPr>
              <w:t>Nr</w:t>
            </w:r>
            <w:proofErr w:type="spellEnd"/>
            <w:r w:rsidR="000B1367" w:rsidRPr="00E14286">
              <w:rPr>
                <w:rFonts w:eastAsia="Times New Roman"/>
                <w:color w:val="000000"/>
                <w:sz w:val="25"/>
                <w:szCs w:val="25"/>
              </w:rPr>
              <w:t>: 390/Lp12) IZM valsts budžeta programm</w:t>
            </w:r>
            <w:r w:rsidR="00B251F9" w:rsidRPr="00E14286">
              <w:rPr>
                <w:rFonts w:eastAsia="Times New Roman"/>
                <w:color w:val="000000"/>
                <w:sz w:val="25"/>
                <w:szCs w:val="25"/>
              </w:rPr>
              <w:t>ai</w:t>
            </w:r>
            <w:r w:rsidR="000B1367" w:rsidRPr="00E14286">
              <w:rPr>
                <w:rFonts w:eastAsia="Times New Roman"/>
                <w:color w:val="000000"/>
                <w:sz w:val="25"/>
                <w:szCs w:val="25"/>
              </w:rPr>
              <w:t xml:space="preserve"> 09.00.00 „Sports” </w:t>
            </w:r>
            <w:r w:rsidR="00B251F9" w:rsidRPr="00E14286">
              <w:rPr>
                <w:rFonts w:eastAsia="Times New Roman"/>
                <w:color w:val="000000"/>
                <w:sz w:val="25"/>
                <w:szCs w:val="25"/>
              </w:rPr>
              <w:t>papildus 2016.gada bāzes izdevumiem līdzekļi netika piešķirti</w:t>
            </w:r>
            <w:r w:rsidR="00D66BC1" w:rsidRPr="00E14286">
              <w:rPr>
                <w:rFonts w:eastAsia="Times New Roman"/>
                <w:color w:val="000000"/>
                <w:sz w:val="25"/>
                <w:szCs w:val="25"/>
              </w:rPr>
              <w:t xml:space="preserve">, kā rezultātā </w:t>
            </w:r>
            <w:r w:rsidR="00B251F9" w:rsidRPr="00E14286">
              <w:rPr>
                <w:rFonts w:eastAsia="Times New Roman"/>
                <w:color w:val="000000"/>
                <w:sz w:val="25"/>
                <w:szCs w:val="25"/>
              </w:rPr>
              <w:t>sporta nozares pamatfunkcijām 2016.gadā valsts budžeta finansējums ir saglabājies 2015.gada līmenī</w:t>
            </w:r>
            <w:r w:rsidR="00B251F9" w:rsidRPr="00E14286">
              <w:rPr>
                <w:rStyle w:val="FootnoteReference"/>
                <w:rFonts w:eastAsia="Times New Roman"/>
                <w:color w:val="000000"/>
                <w:sz w:val="25"/>
                <w:szCs w:val="25"/>
              </w:rPr>
              <w:footnoteReference w:id="1"/>
            </w:r>
            <w:r w:rsidR="00D66BC1" w:rsidRPr="00E14286">
              <w:rPr>
                <w:rFonts w:eastAsia="Times New Roman"/>
                <w:color w:val="000000"/>
                <w:sz w:val="25"/>
                <w:szCs w:val="25"/>
              </w:rPr>
              <w:t>.</w:t>
            </w:r>
          </w:p>
          <w:p w:rsidR="003A3EAD" w:rsidRPr="00E14286" w:rsidRDefault="00D66BC1" w:rsidP="0018701C">
            <w:pPr>
              <w:ind w:left="132" w:right="127"/>
              <w:jc w:val="both"/>
              <w:rPr>
                <w:rFonts w:eastAsia="Times New Roman"/>
                <w:color w:val="000000"/>
                <w:sz w:val="25"/>
                <w:szCs w:val="25"/>
              </w:rPr>
            </w:pPr>
            <w:r w:rsidRPr="00E14286">
              <w:rPr>
                <w:rFonts w:eastAsia="Times New Roman"/>
                <w:color w:val="000000"/>
                <w:sz w:val="25"/>
                <w:szCs w:val="25"/>
              </w:rPr>
              <w:tab/>
              <w:t xml:space="preserve">2016.gads sportā ir īpaši nozīmīgs, jo </w:t>
            </w:r>
            <w:r w:rsidR="00397ECE" w:rsidRPr="00E14286">
              <w:rPr>
                <w:rFonts w:eastAsia="Times New Roman"/>
                <w:color w:val="000000"/>
                <w:sz w:val="25"/>
                <w:szCs w:val="25"/>
              </w:rPr>
              <w:t>Riodeženeiro (Brazīlija) norisināsies Vasaras Olimpiskās spēles</w:t>
            </w:r>
            <w:r w:rsidR="0003044F" w:rsidRPr="00E14286">
              <w:rPr>
                <w:rFonts w:eastAsia="Times New Roman"/>
                <w:color w:val="000000"/>
                <w:sz w:val="25"/>
                <w:szCs w:val="25"/>
              </w:rPr>
              <w:t xml:space="preserve"> un</w:t>
            </w:r>
            <w:r w:rsidR="00397ECE" w:rsidRPr="00E14286">
              <w:rPr>
                <w:rFonts w:eastAsia="Times New Roman"/>
                <w:color w:val="000000"/>
                <w:sz w:val="25"/>
                <w:szCs w:val="25"/>
              </w:rPr>
              <w:t xml:space="preserve"> Vasaras </w:t>
            </w:r>
            <w:r w:rsidR="00397ECE" w:rsidRPr="00E14286">
              <w:rPr>
                <w:rFonts w:eastAsia="Times New Roman"/>
                <w:color w:val="000000"/>
                <w:sz w:val="25"/>
                <w:szCs w:val="25"/>
              </w:rPr>
              <w:lastRenderedPageBreak/>
              <w:t>Paraolimpiskās spēles, kurām Latvijas augstas klases olimpiskie un paraolimpiskie sportisti ir gatavojušies daudzu gadu garumā.</w:t>
            </w:r>
            <w:r w:rsidR="0003044F" w:rsidRPr="00E14286">
              <w:rPr>
                <w:rFonts w:eastAsia="Times New Roman"/>
                <w:color w:val="000000"/>
                <w:sz w:val="25"/>
                <w:szCs w:val="25"/>
              </w:rPr>
              <w:t xml:space="preserve"> </w:t>
            </w:r>
            <w:r w:rsidR="0018701C" w:rsidRPr="00E14286">
              <w:rPr>
                <w:rFonts w:eastAsia="Times New Roman"/>
                <w:color w:val="000000"/>
                <w:sz w:val="25"/>
                <w:szCs w:val="25"/>
              </w:rPr>
              <w:t xml:space="preserve">Šo sportistu sagatavošanās un dalība minētajās sporta sacensībās prasa ievērojamus papildus līdzekļus. Tāpat 2016.gadā Latvijā norisināsies vairākas iepriekšējos gados Latvijas Nacionālajā sporta padomē saskaņotas nacionālas nozīmes starptautiskas sporta sacensības (piemēram, Pasaules kausa posms skeletonā un bobslejā divniekiem, Pasaules kausa posms kamaniņu sportā, 2018.gada Ziemas Olimpisko spēļu kvalifikācijas turnīrs hokejā vīriešiem, CEV Eiropas čempionāta pludmales volejbolā posms </w:t>
            </w:r>
            <w:proofErr w:type="spellStart"/>
            <w:r w:rsidR="0018701C" w:rsidRPr="00E14286">
              <w:rPr>
                <w:rFonts w:eastAsia="Times New Roman"/>
                <w:i/>
                <w:color w:val="000000"/>
                <w:sz w:val="25"/>
                <w:szCs w:val="25"/>
              </w:rPr>
              <w:t>Masters</w:t>
            </w:r>
            <w:proofErr w:type="spellEnd"/>
            <w:r w:rsidR="0018701C" w:rsidRPr="00E14286">
              <w:rPr>
                <w:rFonts w:eastAsia="Times New Roman"/>
                <w:color w:val="000000"/>
                <w:sz w:val="25"/>
                <w:szCs w:val="25"/>
              </w:rPr>
              <w:t xml:space="preserve"> (vīrieši un sievietes), pasaules čempionāts florbolā vīriešiem, Eiropas čempionāts grieķu romiešu, brīvajā cīņa un brīvajā cīņā sievietēm), kuru sekmīgai norisei arī nepieciešami ievērojami papildus līdzek</w:t>
            </w:r>
            <w:r w:rsidR="003A3EAD" w:rsidRPr="00E14286">
              <w:rPr>
                <w:rFonts w:eastAsia="Times New Roman"/>
                <w:color w:val="000000"/>
                <w:sz w:val="25"/>
                <w:szCs w:val="25"/>
              </w:rPr>
              <w:t xml:space="preserve">ļi. </w:t>
            </w:r>
            <w:bookmarkStart w:id="3" w:name="_GoBack"/>
            <w:bookmarkEnd w:id="3"/>
            <w:r w:rsidR="00BD3825">
              <w:rPr>
                <w:rFonts w:eastAsia="Times New Roman"/>
                <w:color w:val="000000"/>
                <w:sz w:val="25"/>
                <w:szCs w:val="25"/>
              </w:rPr>
              <w:t xml:space="preserve">Papildus finansējums nepieciešams arī Augstas klases sportistu sagatavošanas centru sistēmas ieviešanas pirmā posma īstenošanai. </w:t>
            </w:r>
            <w:r w:rsidR="003A3EAD" w:rsidRPr="00E14286">
              <w:rPr>
                <w:rFonts w:eastAsia="Times New Roman"/>
                <w:color w:val="000000"/>
                <w:sz w:val="25"/>
                <w:szCs w:val="25"/>
              </w:rPr>
              <w:t xml:space="preserve">Šo un citu </w:t>
            </w:r>
            <w:r w:rsidR="00274B5E" w:rsidRPr="00E14286">
              <w:rPr>
                <w:rFonts w:eastAsia="Times New Roman"/>
                <w:color w:val="000000"/>
                <w:sz w:val="25"/>
                <w:szCs w:val="25"/>
              </w:rPr>
              <w:t xml:space="preserve">programmu un pasākumu </w:t>
            </w:r>
            <w:r w:rsidR="003A3EAD" w:rsidRPr="00E14286">
              <w:rPr>
                <w:rFonts w:eastAsia="Times New Roman"/>
                <w:color w:val="000000"/>
                <w:sz w:val="25"/>
                <w:szCs w:val="25"/>
              </w:rPr>
              <w:t>atbalsts 2016.gada IZM valsts budžeta programmas 09.00.00 „Sports” ietvaros ir nepietiekams.</w:t>
            </w:r>
          </w:p>
          <w:p w:rsidR="000B1367" w:rsidRPr="00E14286" w:rsidRDefault="003A3EAD" w:rsidP="000B1367">
            <w:pPr>
              <w:ind w:left="132" w:right="127"/>
              <w:jc w:val="both"/>
              <w:rPr>
                <w:rFonts w:eastAsia="Times New Roman"/>
                <w:color w:val="000000"/>
                <w:sz w:val="25"/>
                <w:szCs w:val="25"/>
              </w:rPr>
            </w:pPr>
            <w:r w:rsidRPr="00E14286">
              <w:rPr>
                <w:rFonts w:eastAsia="Times New Roman"/>
                <w:color w:val="000000"/>
                <w:sz w:val="25"/>
                <w:szCs w:val="25"/>
              </w:rPr>
              <w:tab/>
              <w:t xml:space="preserve">Apzinoties reālo budžeta situāciju (t.i., ka papildus finansējuma piešķiršana </w:t>
            </w:r>
            <w:r w:rsidR="00F53178" w:rsidRPr="00E14286">
              <w:rPr>
                <w:rFonts w:eastAsia="Times New Roman"/>
                <w:color w:val="000000"/>
                <w:sz w:val="25"/>
                <w:szCs w:val="25"/>
              </w:rPr>
              <w:t xml:space="preserve">sporta nozarei </w:t>
            </w:r>
            <w:r w:rsidRPr="00E14286">
              <w:rPr>
                <w:rFonts w:eastAsia="Times New Roman"/>
                <w:color w:val="000000"/>
                <w:sz w:val="25"/>
                <w:szCs w:val="25"/>
              </w:rPr>
              <w:t>nav iespējama), IZM k</w:t>
            </w:r>
            <w:r w:rsidR="000B1367" w:rsidRPr="00E14286">
              <w:rPr>
                <w:rFonts w:eastAsia="Times New Roman"/>
                <w:color w:val="000000"/>
                <w:sz w:val="25"/>
                <w:szCs w:val="25"/>
              </w:rPr>
              <w:t>opīgi ar sporta nozares sociālajiem partneriem</w:t>
            </w:r>
            <w:r w:rsidRPr="00E14286">
              <w:rPr>
                <w:rFonts w:eastAsia="Times New Roman"/>
                <w:color w:val="000000"/>
                <w:sz w:val="25"/>
                <w:szCs w:val="25"/>
              </w:rPr>
              <w:t xml:space="preserve"> (</w:t>
            </w:r>
            <w:r w:rsidR="00991845" w:rsidRPr="00E14286">
              <w:rPr>
                <w:rFonts w:eastAsia="Times New Roman"/>
                <w:color w:val="000000"/>
                <w:sz w:val="25"/>
                <w:szCs w:val="25"/>
              </w:rPr>
              <w:t xml:space="preserve">t.sk. </w:t>
            </w:r>
            <w:r w:rsidRPr="00E14286">
              <w:rPr>
                <w:rFonts w:eastAsia="Times New Roman"/>
                <w:color w:val="000000"/>
                <w:sz w:val="25"/>
                <w:szCs w:val="25"/>
              </w:rPr>
              <w:t xml:space="preserve">biedrību „Latvijas Olimpiskā komiteja” un biedrību „Latvija </w:t>
            </w:r>
            <w:r w:rsidR="00991845" w:rsidRPr="00E14286">
              <w:rPr>
                <w:rFonts w:eastAsia="Times New Roman"/>
                <w:color w:val="000000"/>
                <w:sz w:val="25"/>
                <w:szCs w:val="25"/>
              </w:rPr>
              <w:t>Sporta f</w:t>
            </w:r>
            <w:r w:rsidRPr="00E14286">
              <w:rPr>
                <w:rFonts w:eastAsia="Times New Roman"/>
                <w:color w:val="000000"/>
                <w:sz w:val="25"/>
                <w:szCs w:val="25"/>
              </w:rPr>
              <w:t>ederāciju padome”)</w:t>
            </w:r>
            <w:r w:rsidR="000B1367" w:rsidRPr="00E14286">
              <w:rPr>
                <w:rFonts w:eastAsia="Times New Roman"/>
                <w:color w:val="000000"/>
                <w:sz w:val="25"/>
                <w:szCs w:val="25"/>
              </w:rPr>
              <w:t xml:space="preserve"> </w:t>
            </w:r>
            <w:r w:rsidRPr="00E14286">
              <w:rPr>
                <w:rFonts w:eastAsia="Times New Roman"/>
                <w:color w:val="000000"/>
                <w:sz w:val="25"/>
                <w:szCs w:val="25"/>
              </w:rPr>
              <w:t xml:space="preserve">detalizēti ir izvērtējusi </w:t>
            </w:r>
            <w:r w:rsidR="00405E52" w:rsidRPr="00E14286">
              <w:rPr>
                <w:rFonts w:eastAsia="Times New Roman"/>
                <w:color w:val="000000"/>
                <w:sz w:val="25"/>
                <w:szCs w:val="25"/>
              </w:rPr>
              <w:t>iespēju</w:t>
            </w:r>
            <w:r w:rsidR="000B1367" w:rsidRPr="00E14286">
              <w:rPr>
                <w:rFonts w:eastAsia="Times New Roman"/>
                <w:color w:val="000000"/>
                <w:sz w:val="25"/>
                <w:szCs w:val="25"/>
              </w:rPr>
              <w:t xml:space="preserve"> </w:t>
            </w:r>
            <w:r w:rsidR="00405E52" w:rsidRPr="00E14286">
              <w:rPr>
                <w:rFonts w:eastAsia="Times New Roman"/>
                <w:color w:val="000000"/>
                <w:sz w:val="25"/>
                <w:szCs w:val="25"/>
              </w:rPr>
              <w:t xml:space="preserve">valsts budžeta programmā 09.00.00 „Sports” </w:t>
            </w:r>
            <w:r w:rsidR="000B1367" w:rsidRPr="00E14286">
              <w:rPr>
                <w:rFonts w:eastAsia="Times New Roman"/>
                <w:color w:val="000000"/>
                <w:sz w:val="25"/>
                <w:szCs w:val="25"/>
              </w:rPr>
              <w:t xml:space="preserve">veikt līdzekļu </w:t>
            </w:r>
            <w:r w:rsidR="00F53178" w:rsidRPr="00E14286">
              <w:rPr>
                <w:rFonts w:eastAsia="Times New Roman"/>
                <w:color w:val="000000"/>
                <w:sz w:val="25"/>
                <w:szCs w:val="25"/>
              </w:rPr>
              <w:t xml:space="preserve"> iekšējo </w:t>
            </w:r>
            <w:r w:rsidR="000B1367" w:rsidRPr="00E14286">
              <w:rPr>
                <w:rFonts w:eastAsia="Times New Roman"/>
                <w:color w:val="000000"/>
                <w:sz w:val="25"/>
                <w:szCs w:val="25"/>
              </w:rPr>
              <w:t>pārdali</w:t>
            </w:r>
            <w:r w:rsidR="00405E52" w:rsidRPr="00E14286">
              <w:rPr>
                <w:rFonts w:eastAsia="Times New Roman"/>
                <w:color w:val="000000"/>
                <w:sz w:val="25"/>
                <w:szCs w:val="25"/>
              </w:rPr>
              <w:t xml:space="preserve">, lai nodrošinātu iepriekšminēto un citu </w:t>
            </w:r>
            <w:r w:rsidR="000B1367" w:rsidRPr="00E14286">
              <w:rPr>
                <w:rFonts w:eastAsia="Times New Roman"/>
                <w:color w:val="000000"/>
                <w:sz w:val="25"/>
                <w:szCs w:val="25"/>
              </w:rPr>
              <w:t xml:space="preserve">sporta nozares budžeta prioritāšu </w:t>
            </w:r>
            <w:r w:rsidR="00405E52" w:rsidRPr="00E14286">
              <w:rPr>
                <w:rFonts w:eastAsia="Times New Roman"/>
                <w:color w:val="000000"/>
                <w:sz w:val="25"/>
                <w:szCs w:val="25"/>
              </w:rPr>
              <w:t>īstenošanu</w:t>
            </w:r>
            <w:r w:rsidR="003F0BF1" w:rsidRPr="00E14286">
              <w:rPr>
                <w:rFonts w:eastAsia="Times New Roman"/>
                <w:color w:val="000000"/>
                <w:sz w:val="25"/>
                <w:szCs w:val="25"/>
              </w:rPr>
              <w:t xml:space="preserve">, kā rezultātā ir sagatavoti vairāki priekšlikumi līdzekļu </w:t>
            </w:r>
            <w:r w:rsidR="00F53178" w:rsidRPr="00E14286">
              <w:rPr>
                <w:rFonts w:eastAsia="Times New Roman"/>
                <w:color w:val="000000"/>
                <w:sz w:val="25"/>
                <w:szCs w:val="25"/>
              </w:rPr>
              <w:t xml:space="preserve">iekšējai </w:t>
            </w:r>
            <w:r w:rsidR="003F0BF1" w:rsidRPr="00E14286">
              <w:rPr>
                <w:rFonts w:eastAsia="Times New Roman"/>
                <w:color w:val="000000"/>
                <w:sz w:val="25"/>
                <w:szCs w:val="25"/>
              </w:rPr>
              <w:t>pārdalei.</w:t>
            </w:r>
          </w:p>
          <w:p w:rsidR="00BF2F07" w:rsidRDefault="002E09A5" w:rsidP="00EC5AE4">
            <w:pPr>
              <w:ind w:left="132" w:right="127"/>
              <w:jc w:val="both"/>
              <w:rPr>
                <w:rFonts w:eastAsia="Times New Roman"/>
                <w:color w:val="000000"/>
                <w:sz w:val="25"/>
                <w:szCs w:val="25"/>
              </w:rPr>
            </w:pPr>
            <w:r>
              <w:rPr>
                <w:rFonts w:eastAsia="Times New Roman"/>
                <w:color w:val="000000"/>
                <w:sz w:val="25"/>
                <w:szCs w:val="25"/>
              </w:rPr>
              <w:tab/>
              <w:t>I</w:t>
            </w:r>
            <w:r w:rsidR="00BF2F07" w:rsidRPr="00BF2F07">
              <w:rPr>
                <w:rFonts w:eastAsia="Times New Roman"/>
                <w:color w:val="000000"/>
                <w:sz w:val="25"/>
                <w:szCs w:val="25"/>
              </w:rPr>
              <w:t xml:space="preserve">zvērtējot biedrības </w:t>
            </w:r>
            <w:r>
              <w:rPr>
                <w:rFonts w:eastAsia="Times New Roman"/>
                <w:color w:val="000000"/>
                <w:sz w:val="25"/>
                <w:szCs w:val="25"/>
              </w:rPr>
              <w:t>„</w:t>
            </w:r>
            <w:r w:rsidR="00BF2F07" w:rsidRPr="00BF2F07">
              <w:rPr>
                <w:rFonts w:eastAsia="Times New Roman"/>
                <w:color w:val="000000"/>
                <w:sz w:val="25"/>
                <w:szCs w:val="25"/>
              </w:rPr>
              <w:t xml:space="preserve">Latvijas Olimpiskā komiteja” 2015.gada 25.augusta vēstulē Nr.175 sniegto informāciju par 2016.gadā atmaksājamām summām kredītiestādēm, kuras izsniegušas valsts galvotos aizdevumus, secināts, ka 2016.gadā </w:t>
            </w:r>
            <w:r w:rsidR="00244EF5">
              <w:rPr>
                <w:rFonts w:eastAsia="Times New Roman"/>
                <w:color w:val="000000"/>
                <w:sz w:val="25"/>
                <w:szCs w:val="25"/>
              </w:rPr>
              <w:t xml:space="preserve">7 no 10 </w:t>
            </w:r>
            <w:r w:rsidR="00BF2F07" w:rsidRPr="00BF2F07">
              <w:rPr>
                <w:rFonts w:eastAsia="Times New Roman"/>
                <w:color w:val="000000"/>
                <w:sz w:val="25"/>
                <w:szCs w:val="25"/>
              </w:rPr>
              <w:t xml:space="preserve">plānoto valsts galvoto aizdevumu atmaksai nepieciešams mazāks finansējums. Tas saistīts ar faktu, ka laikā, kad tika izsniegti attiecīgie valsts galvotie aizdevumi, prognozes, uz kuru pamata tika uzņemtas valsts budžeta ilgtermiņa saistības, lai nodrošinātu valsts galvoto aizdevumu atmaksu, būtiski atšķiras no faktiskās situācijas (aizdevumu konvertācija no latiem uz </w:t>
            </w:r>
            <w:proofErr w:type="spellStart"/>
            <w:r w:rsidR="00BF2F07" w:rsidRPr="0057274A">
              <w:rPr>
                <w:rFonts w:eastAsia="Times New Roman"/>
                <w:i/>
                <w:color w:val="000000"/>
                <w:sz w:val="25"/>
                <w:szCs w:val="25"/>
              </w:rPr>
              <w:t>euro</w:t>
            </w:r>
            <w:proofErr w:type="spellEnd"/>
            <w:r w:rsidR="00BF2F07" w:rsidRPr="00BF2F07">
              <w:rPr>
                <w:rFonts w:eastAsia="Times New Roman"/>
                <w:color w:val="000000"/>
                <w:sz w:val="25"/>
                <w:szCs w:val="25"/>
              </w:rPr>
              <w:t>; aizdevumu pievienotās likmes (šobrīd EURIBOR) būtisks samazinājums, kā arī 2014.gada nogalē veikto aizdevumu ātrākas atmaksas pozitīvā ietekme).</w:t>
            </w:r>
          </w:p>
          <w:p w:rsidR="004F5EB9" w:rsidRDefault="00877B2E" w:rsidP="00EC5AE4">
            <w:pPr>
              <w:ind w:left="132" w:right="127"/>
              <w:jc w:val="both"/>
              <w:rPr>
                <w:rFonts w:eastAsia="Times New Roman"/>
                <w:color w:val="000000"/>
                <w:sz w:val="25"/>
                <w:szCs w:val="25"/>
              </w:rPr>
            </w:pPr>
            <w:r>
              <w:rPr>
                <w:rFonts w:eastAsia="Times New Roman"/>
                <w:color w:val="000000"/>
                <w:sz w:val="25"/>
                <w:szCs w:val="25"/>
              </w:rPr>
              <w:tab/>
            </w:r>
            <w:r w:rsidRPr="00877B2E">
              <w:rPr>
                <w:rFonts w:eastAsia="Times New Roman"/>
                <w:color w:val="000000"/>
                <w:sz w:val="25"/>
                <w:szCs w:val="25"/>
              </w:rPr>
              <w:t xml:space="preserve">No </w:t>
            </w:r>
            <w:r w:rsidR="00C13BBA">
              <w:t xml:space="preserve"> </w:t>
            </w:r>
            <w:r w:rsidR="00C13BBA" w:rsidRPr="00C13BBA">
              <w:rPr>
                <w:rFonts w:eastAsia="Times New Roman"/>
                <w:color w:val="000000"/>
                <w:sz w:val="25"/>
                <w:szCs w:val="25"/>
              </w:rPr>
              <w:t xml:space="preserve">Ministru kabineta 2007.gada 22.augusta rīkojumā Nr.543 „Par Zemgales olimpiskā centra Jelgavā projekta un Olimpiskā centra „Ventspils” attīstības projekta „Ventspils peldbaseina </w:t>
            </w:r>
            <w:r w:rsidR="00C13BBA">
              <w:rPr>
                <w:rFonts w:eastAsia="Times New Roman"/>
                <w:color w:val="000000"/>
                <w:sz w:val="25"/>
                <w:szCs w:val="25"/>
              </w:rPr>
              <w:t>rekonstrukcija” īstenošanu”</w:t>
            </w:r>
            <w:r w:rsidRPr="00877B2E">
              <w:rPr>
                <w:rFonts w:eastAsia="Times New Roman"/>
                <w:color w:val="000000"/>
                <w:sz w:val="25"/>
                <w:szCs w:val="25"/>
              </w:rPr>
              <w:t xml:space="preserve"> apstiprinātajām valsts budžeta ilgtermiņa saistībām </w:t>
            </w:r>
            <w:r w:rsidR="004F5EB9">
              <w:rPr>
                <w:rFonts w:eastAsia="Times New Roman"/>
                <w:color w:val="000000"/>
                <w:sz w:val="25"/>
                <w:szCs w:val="25"/>
              </w:rPr>
              <w:t xml:space="preserve">ietaupījums ir attiecināms uz </w:t>
            </w:r>
            <w:r w:rsidR="00C13BBA">
              <w:rPr>
                <w:rFonts w:eastAsia="Times New Roman"/>
                <w:color w:val="000000"/>
                <w:sz w:val="25"/>
                <w:szCs w:val="25"/>
              </w:rPr>
              <w:t>abiem</w:t>
            </w:r>
            <w:r w:rsidR="004F5EB9">
              <w:rPr>
                <w:rFonts w:eastAsia="Times New Roman"/>
                <w:color w:val="000000"/>
                <w:sz w:val="25"/>
                <w:szCs w:val="25"/>
              </w:rPr>
              <w:t xml:space="preserve"> Ministru kabineta rīkojumā minētajiem projektiem:</w:t>
            </w:r>
          </w:p>
          <w:p w:rsidR="001326B5" w:rsidRDefault="00C13BBA" w:rsidP="00C13BBA">
            <w:pPr>
              <w:pStyle w:val="ListParagraph"/>
              <w:numPr>
                <w:ilvl w:val="0"/>
                <w:numId w:val="19"/>
              </w:numPr>
              <w:ind w:right="127"/>
              <w:jc w:val="both"/>
              <w:rPr>
                <w:rFonts w:eastAsia="Times New Roman"/>
                <w:color w:val="000000"/>
                <w:sz w:val="25"/>
                <w:szCs w:val="25"/>
              </w:rPr>
            </w:pPr>
            <w:r w:rsidRPr="00C13BBA">
              <w:rPr>
                <w:rFonts w:eastAsia="Times New Roman"/>
                <w:color w:val="000000"/>
                <w:sz w:val="25"/>
                <w:szCs w:val="25"/>
              </w:rPr>
              <w:t xml:space="preserve">Zemgales olimpiskā centra Jelgavā projekta </w:t>
            </w:r>
            <w:r w:rsidR="001326B5">
              <w:rPr>
                <w:rFonts w:eastAsia="Times New Roman"/>
                <w:color w:val="000000"/>
                <w:sz w:val="25"/>
                <w:szCs w:val="25"/>
              </w:rPr>
              <w:t xml:space="preserve">īstenošanai izsniegtā valsts galvotā aizdevuma atmaksai 2016.gadā </w:t>
            </w:r>
            <w:r w:rsidR="001326B5">
              <w:rPr>
                <w:rFonts w:eastAsia="Times New Roman"/>
                <w:color w:val="000000"/>
                <w:sz w:val="25"/>
                <w:szCs w:val="25"/>
              </w:rPr>
              <w:lastRenderedPageBreak/>
              <w:t xml:space="preserve">nepieciešami </w:t>
            </w:r>
            <w:r>
              <w:rPr>
                <w:rFonts w:eastAsia="Times New Roman"/>
                <w:color w:val="000000"/>
                <w:sz w:val="25"/>
                <w:szCs w:val="25"/>
              </w:rPr>
              <w:t>558 410</w:t>
            </w:r>
            <w:r w:rsidR="001326B5">
              <w:rPr>
                <w:rFonts w:eastAsia="Times New Roman"/>
                <w:color w:val="000000"/>
                <w:sz w:val="25"/>
                <w:szCs w:val="25"/>
              </w:rPr>
              <w:t xml:space="preserve">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xml:space="preserve"> (valsts budžeta ilgtermiņa saistībās šim mērķim paredzēti </w:t>
            </w:r>
            <w:r>
              <w:rPr>
                <w:rFonts w:eastAsia="Times New Roman"/>
                <w:color w:val="000000"/>
                <w:sz w:val="25"/>
                <w:szCs w:val="25"/>
              </w:rPr>
              <w:t>760 591</w:t>
            </w:r>
            <w:r w:rsidR="001326B5">
              <w:rPr>
                <w:rFonts w:eastAsia="Times New Roman"/>
                <w:color w:val="000000"/>
                <w:sz w:val="25"/>
                <w:szCs w:val="25"/>
              </w:rPr>
              <w:t xml:space="preserve">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xml:space="preserve">), kā rezultātā ietaupītos līdzekļus </w:t>
            </w:r>
            <w:r>
              <w:rPr>
                <w:rFonts w:eastAsia="Times New Roman"/>
                <w:color w:val="000000"/>
                <w:sz w:val="25"/>
                <w:szCs w:val="25"/>
              </w:rPr>
              <w:t>202 181</w:t>
            </w:r>
            <w:r w:rsidR="001326B5" w:rsidRPr="001326B5">
              <w:rPr>
                <w:rFonts w:eastAsia="Times New Roman"/>
                <w:color w:val="000000"/>
                <w:sz w:val="25"/>
                <w:szCs w:val="25"/>
              </w:rPr>
              <w:t xml:space="preserve">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xml:space="preserve"> apmērā</w:t>
            </w:r>
            <w:r w:rsidR="001326B5" w:rsidRPr="004F5EB9">
              <w:rPr>
                <w:rFonts w:eastAsia="Times New Roman"/>
                <w:color w:val="000000"/>
                <w:sz w:val="25"/>
                <w:szCs w:val="25"/>
              </w:rPr>
              <w:t xml:space="preserve"> ir iespējams novirzīt citu pasākumu īsteno</w:t>
            </w:r>
            <w:r w:rsidR="001326B5">
              <w:rPr>
                <w:rFonts w:eastAsia="Times New Roman"/>
                <w:color w:val="000000"/>
                <w:sz w:val="25"/>
                <w:szCs w:val="25"/>
              </w:rPr>
              <w:t>šanai;</w:t>
            </w:r>
          </w:p>
          <w:p w:rsidR="00877B2E" w:rsidRDefault="00C13BBA" w:rsidP="001326B5">
            <w:pPr>
              <w:pStyle w:val="ListParagraph"/>
              <w:numPr>
                <w:ilvl w:val="0"/>
                <w:numId w:val="19"/>
              </w:numPr>
              <w:ind w:right="127"/>
              <w:jc w:val="both"/>
              <w:rPr>
                <w:rFonts w:eastAsia="Times New Roman"/>
                <w:color w:val="000000"/>
                <w:sz w:val="25"/>
                <w:szCs w:val="25"/>
              </w:rPr>
            </w:pPr>
            <w:r w:rsidRPr="00C13BBA">
              <w:rPr>
                <w:rFonts w:eastAsia="Times New Roman"/>
                <w:color w:val="000000"/>
                <w:sz w:val="25"/>
                <w:szCs w:val="25"/>
              </w:rPr>
              <w:t>Olimpiskā centra „Ventspils” attīstības projekta „Ventspils peldbaseina rekonstrukcija”</w:t>
            </w:r>
            <w:r>
              <w:rPr>
                <w:rFonts w:eastAsia="Times New Roman"/>
                <w:color w:val="000000"/>
                <w:sz w:val="25"/>
                <w:szCs w:val="25"/>
              </w:rPr>
              <w:t xml:space="preserve"> </w:t>
            </w:r>
            <w:r w:rsidR="00877B2E" w:rsidRPr="002E09A5">
              <w:rPr>
                <w:rFonts w:eastAsia="Times New Roman"/>
                <w:color w:val="000000"/>
                <w:sz w:val="25"/>
                <w:szCs w:val="25"/>
              </w:rPr>
              <w:t>īstenošanai</w:t>
            </w:r>
            <w:r w:rsidR="001326B5">
              <w:rPr>
                <w:rFonts w:eastAsia="Times New Roman"/>
                <w:color w:val="000000"/>
                <w:sz w:val="25"/>
                <w:szCs w:val="25"/>
              </w:rPr>
              <w:t xml:space="preserve"> izsniegtā valsts galvotā aizdevuma atmaksai 2016.gadā nepieciešami </w:t>
            </w:r>
            <w:r>
              <w:rPr>
                <w:rFonts w:eastAsia="Times New Roman"/>
                <w:color w:val="000000"/>
                <w:sz w:val="25"/>
                <w:szCs w:val="25"/>
              </w:rPr>
              <w:br/>
              <w:t>306 200</w:t>
            </w:r>
            <w:r w:rsidR="001326B5">
              <w:rPr>
                <w:rFonts w:eastAsia="Times New Roman"/>
                <w:color w:val="000000"/>
                <w:sz w:val="25"/>
                <w:szCs w:val="25"/>
              </w:rPr>
              <w:t xml:space="preserve">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xml:space="preserve"> (valsts budžeta ilgtermiņa saistībās šim mērķim paredzēti </w:t>
            </w:r>
            <w:r>
              <w:rPr>
                <w:rFonts w:eastAsia="Times New Roman"/>
                <w:color w:val="000000"/>
                <w:sz w:val="25"/>
                <w:szCs w:val="25"/>
              </w:rPr>
              <w:t>379 907</w:t>
            </w:r>
            <w:r w:rsidR="001326B5">
              <w:rPr>
                <w:rFonts w:eastAsia="Times New Roman"/>
                <w:color w:val="000000"/>
                <w:sz w:val="25"/>
                <w:szCs w:val="25"/>
              </w:rPr>
              <w:t xml:space="preserve">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xml:space="preserve">), kā rezultātā ietaupītos līdzekļus </w:t>
            </w:r>
            <w:r>
              <w:rPr>
                <w:rFonts w:eastAsia="Times New Roman"/>
                <w:color w:val="000000"/>
                <w:sz w:val="25"/>
                <w:szCs w:val="25"/>
              </w:rPr>
              <w:t>73 707</w:t>
            </w:r>
            <w:r w:rsidR="001326B5" w:rsidRPr="001326B5">
              <w:rPr>
                <w:rFonts w:eastAsia="Times New Roman"/>
                <w:color w:val="000000"/>
                <w:sz w:val="25"/>
                <w:szCs w:val="25"/>
              </w:rPr>
              <w:t xml:space="preserve">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xml:space="preserve"> apmērā</w:t>
            </w:r>
            <w:r w:rsidR="001326B5" w:rsidRPr="004F5EB9">
              <w:rPr>
                <w:rFonts w:eastAsia="Times New Roman"/>
                <w:color w:val="000000"/>
                <w:sz w:val="25"/>
                <w:szCs w:val="25"/>
              </w:rPr>
              <w:t xml:space="preserve"> ir iespējams novirzīt citu pasākumu īsteno</w:t>
            </w:r>
            <w:r w:rsidR="001326B5">
              <w:rPr>
                <w:rFonts w:eastAsia="Times New Roman"/>
                <w:color w:val="000000"/>
                <w:sz w:val="25"/>
                <w:szCs w:val="25"/>
              </w:rPr>
              <w:t>šanai.</w:t>
            </w:r>
          </w:p>
          <w:p w:rsidR="00BE31BF" w:rsidRDefault="00BE31BF" w:rsidP="00EC5AE4">
            <w:pPr>
              <w:ind w:left="132" w:right="127"/>
              <w:jc w:val="both"/>
              <w:rPr>
                <w:rFonts w:eastAsia="Times New Roman"/>
                <w:color w:val="000000"/>
                <w:sz w:val="25"/>
                <w:szCs w:val="25"/>
              </w:rPr>
            </w:pPr>
            <w:r>
              <w:rPr>
                <w:rFonts w:eastAsia="Times New Roman"/>
                <w:color w:val="000000"/>
                <w:sz w:val="25"/>
                <w:szCs w:val="25"/>
              </w:rPr>
              <w:tab/>
            </w:r>
          </w:p>
          <w:p w:rsidR="00913AF7" w:rsidRPr="00E14286" w:rsidRDefault="00BE31BF" w:rsidP="00EC5AE4">
            <w:pPr>
              <w:ind w:left="132" w:right="127"/>
              <w:jc w:val="both"/>
              <w:rPr>
                <w:rFonts w:eastAsia="Times New Roman"/>
                <w:color w:val="000000"/>
                <w:sz w:val="25"/>
                <w:szCs w:val="25"/>
              </w:rPr>
            </w:pPr>
            <w:r>
              <w:rPr>
                <w:rFonts w:eastAsia="Times New Roman"/>
                <w:color w:val="000000"/>
                <w:sz w:val="25"/>
                <w:szCs w:val="25"/>
              </w:rPr>
              <w:tab/>
            </w:r>
            <w:r w:rsidR="00EC5AE4" w:rsidRPr="00E14286">
              <w:rPr>
                <w:sz w:val="25"/>
                <w:szCs w:val="25"/>
              </w:rPr>
              <w:t xml:space="preserve">Ņemot vērā </w:t>
            </w:r>
            <w:r w:rsidR="00EC5AE4" w:rsidRPr="00E14286">
              <w:rPr>
                <w:rFonts w:eastAsia="Times New Roman"/>
                <w:color w:val="000000"/>
                <w:sz w:val="25"/>
                <w:szCs w:val="25"/>
              </w:rPr>
              <w:t xml:space="preserve">Ministru kabineta 2015.gada 29.septembra sēdes protokollēmuma „Likumprojekts „Par valsts budžetu 2016.gadam”” (prot. Nr.51 42.§) 10.1.apakšpunktā noteikto, </w:t>
            </w:r>
            <w:r w:rsidR="00EC5AE4" w:rsidRPr="00E14286">
              <w:rPr>
                <w:sz w:val="25"/>
                <w:szCs w:val="25"/>
              </w:rPr>
              <w:t xml:space="preserve"> lai nodrošinātu attiecīgu līdzekļu pārdali,</w:t>
            </w:r>
            <w:r w:rsidR="00EC5AE4" w:rsidRPr="00E14286">
              <w:rPr>
                <w:rFonts w:eastAsia="Times New Roman"/>
                <w:color w:val="000000"/>
                <w:sz w:val="25"/>
                <w:szCs w:val="25"/>
              </w:rPr>
              <w:t xml:space="preserve"> attiecīgus priekšlikumus </w:t>
            </w:r>
            <w:r w:rsidR="00EC5AE4" w:rsidRPr="00E14286">
              <w:rPr>
                <w:sz w:val="25"/>
                <w:szCs w:val="25"/>
              </w:rPr>
              <w:t>likumprojekta „Par valsts budžetu 2016.gadam” izskatīšanai Saeimā otrajā lasījumā IZM iesniegs Finanšu ministrijā termiņā, kādu Saeima noteiks otrā lasījuma priekšlikumu iesniegšanai. Uzdevums IZM iesniegt attiecīgus priekšlikumus</w:t>
            </w:r>
            <w:r>
              <w:rPr>
                <w:sz w:val="25"/>
                <w:szCs w:val="25"/>
              </w:rPr>
              <w:t xml:space="preserve"> ir noteikts, </w:t>
            </w:r>
            <w:r>
              <w:rPr>
                <w:rFonts w:eastAsia="Times New Roman"/>
                <w:color w:val="000000"/>
                <w:sz w:val="25"/>
                <w:szCs w:val="25"/>
              </w:rPr>
              <w:t xml:space="preserve">kā arī detalizēta informācija par ietaupīto līdzekļu pārdales mērķiem ir norādīta </w:t>
            </w:r>
            <w:r w:rsidR="00EC5AE4" w:rsidRPr="00E14286">
              <w:rPr>
                <w:sz w:val="25"/>
                <w:szCs w:val="25"/>
              </w:rPr>
              <w:t>IZM izstrādātajā informatīvajā ziņojumā „Par līdzekļu iekšējo pārdali 2016.gada valsts budžeta programmā 09.00.00 „Sports”” un ar to saistītajā Ministru kabineta sēdes protokollēmumā,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p w:rsidR="001326B5" w:rsidRDefault="00EC5AE4" w:rsidP="00913AF7">
            <w:pPr>
              <w:ind w:left="132" w:right="127"/>
              <w:jc w:val="both"/>
              <w:rPr>
                <w:sz w:val="25"/>
                <w:szCs w:val="25"/>
              </w:rPr>
            </w:pPr>
            <w:r w:rsidRPr="00E14286">
              <w:rPr>
                <w:sz w:val="25"/>
                <w:szCs w:val="25"/>
              </w:rPr>
              <w:tab/>
            </w:r>
            <w:r w:rsidR="00913AF7" w:rsidRPr="00E14286">
              <w:rPr>
                <w:sz w:val="25"/>
                <w:szCs w:val="25"/>
              </w:rPr>
              <w:t xml:space="preserve">Tomēr, ņemot vērā, ka </w:t>
            </w:r>
            <w:r w:rsidR="001326B5">
              <w:rPr>
                <w:sz w:val="25"/>
                <w:szCs w:val="25"/>
              </w:rPr>
              <w:t>valsts budžeta ilgtermiņa s</w:t>
            </w:r>
            <w:r w:rsidR="00C13BBA">
              <w:rPr>
                <w:sz w:val="25"/>
                <w:szCs w:val="25"/>
              </w:rPr>
              <w:t xml:space="preserve">aistības ir uzņemtas saskaņā ar </w:t>
            </w:r>
            <w:r w:rsidR="00C13BBA" w:rsidRPr="00C13BBA">
              <w:rPr>
                <w:rFonts w:eastAsia="Times New Roman"/>
                <w:color w:val="000000"/>
                <w:sz w:val="25"/>
                <w:szCs w:val="25"/>
              </w:rPr>
              <w:t xml:space="preserve">Ministru kabineta 2007.gada 22.augusta rīkojumā Nr.543 „Par Zemgales olimpiskā centra Jelgavā projekta un Olimpiskā centra „Ventspils” attīstības projekta „Ventspils peldbaseina </w:t>
            </w:r>
            <w:r w:rsidR="00C13BBA">
              <w:rPr>
                <w:rFonts w:eastAsia="Times New Roman"/>
                <w:color w:val="000000"/>
                <w:sz w:val="25"/>
                <w:szCs w:val="25"/>
              </w:rPr>
              <w:t>rekonstrukcija” īstenošanu”</w:t>
            </w:r>
            <w:r w:rsidR="001326B5" w:rsidRPr="00877B2E">
              <w:rPr>
                <w:rFonts w:eastAsia="Times New Roman"/>
                <w:color w:val="000000"/>
                <w:sz w:val="25"/>
                <w:szCs w:val="25"/>
              </w:rPr>
              <w:t xml:space="preserve"> </w:t>
            </w:r>
            <w:r w:rsidR="001326B5">
              <w:rPr>
                <w:rFonts w:eastAsia="Times New Roman"/>
                <w:color w:val="000000"/>
                <w:sz w:val="25"/>
                <w:szCs w:val="25"/>
              </w:rPr>
              <w:t xml:space="preserve">noteikto, </w:t>
            </w:r>
            <w:r w:rsidR="0097189A">
              <w:rPr>
                <w:rFonts w:eastAsia="Times New Roman"/>
                <w:color w:val="000000"/>
                <w:sz w:val="25"/>
                <w:szCs w:val="25"/>
              </w:rPr>
              <w:t xml:space="preserve">tajā ir </w:t>
            </w:r>
            <w:r w:rsidR="00913AF7" w:rsidRPr="00E14286">
              <w:rPr>
                <w:sz w:val="25"/>
                <w:szCs w:val="25"/>
              </w:rPr>
              <w:t>nepieciešams izdarīt grozījumu</w:t>
            </w:r>
            <w:r w:rsidR="001326B5">
              <w:rPr>
                <w:sz w:val="25"/>
                <w:szCs w:val="25"/>
              </w:rPr>
              <w:t>s</w:t>
            </w:r>
            <w:r w:rsidR="00913AF7" w:rsidRPr="00E14286">
              <w:rPr>
                <w:sz w:val="25"/>
                <w:szCs w:val="25"/>
              </w:rPr>
              <w:t xml:space="preserve">, </w:t>
            </w:r>
            <w:r w:rsidR="001326B5">
              <w:rPr>
                <w:sz w:val="25"/>
                <w:szCs w:val="25"/>
              </w:rPr>
              <w:t xml:space="preserve">lai nodrošinātu </w:t>
            </w:r>
            <w:r w:rsidR="00C13BBA" w:rsidRPr="00C13BBA">
              <w:rPr>
                <w:sz w:val="25"/>
                <w:szCs w:val="25"/>
              </w:rPr>
              <w:t xml:space="preserve"> Zemgales olimpiskā centra Jelgavā projekta un Olimpiskā centra „Ventspils” attīstības projekta „Ventspils peldbaseina rekonstrukcija”</w:t>
            </w:r>
            <w:r w:rsidR="001326B5">
              <w:rPr>
                <w:sz w:val="25"/>
                <w:szCs w:val="25"/>
              </w:rPr>
              <w:t xml:space="preserve"> īstenošanai paredzēto</w:t>
            </w:r>
            <w:r w:rsidR="001326B5" w:rsidRPr="00CF694A">
              <w:rPr>
                <w:sz w:val="25"/>
                <w:szCs w:val="25"/>
              </w:rPr>
              <w:t xml:space="preserve"> valsts budžeta ilgtermiņa saistību </w:t>
            </w:r>
            <w:r w:rsidR="0097189A" w:rsidRPr="00CF694A">
              <w:rPr>
                <w:sz w:val="25"/>
                <w:szCs w:val="25"/>
              </w:rPr>
              <w:t xml:space="preserve"> atbilstību </w:t>
            </w:r>
            <w:r w:rsidR="0097189A">
              <w:rPr>
                <w:sz w:val="25"/>
                <w:szCs w:val="25"/>
              </w:rPr>
              <w:t xml:space="preserve"> faktiski nepieciešamajām valsts budžeta ilgtermiņa saistībām.</w:t>
            </w:r>
          </w:p>
          <w:p w:rsidR="00C0400D" w:rsidRPr="00E14286" w:rsidRDefault="00913AF7" w:rsidP="00C13BBA">
            <w:pPr>
              <w:ind w:left="132" w:right="127"/>
              <w:jc w:val="both"/>
              <w:rPr>
                <w:rFonts w:eastAsia="Times New Roman"/>
                <w:color w:val="000000"/>
                <w:sz w:val="25"/>
                <w:szCs w:val="25"/>
              </w:rPr>
            </w:pPr>
            <w:r w:rsidRPr="00E14286">
              <w:rPr>
                <w:rFonts w:eastAsia="Times New Roman"/>
                <w:color w:val="000000"/>
                <w:sz w:val="25"/>
                <w:szCs w:val="25"/>
              </w:rPr>
              <w:tab/>
              <w:t xml:space="preserve">Ievērojot minēto, </w:t>
            </w:r>
            <w:r w:rsidR="0047568D" w:rsidRPr="00E14286">
              <w:rPr>
                <w:rFonts w:eastAsia="Times New Roman"/>
                <w:color w:val="000000"/>
                <w:sz w:val="25"/>
                <w:szCs w:val="25"/>
              </w:rPr>
              <w:t xml:space="preserve">IZM ir izstrādājusi Ministru kabineta rīkojuma projektu </w:t>
            </w:r>
            <w:r w:rsidR="005D66E2" w:rsidRPr="00E14286">
              <w:rPr>
                <w:rFonts w:eastAsia="Times New Roman"/>
                <w:color w:val="000000"/>
                <w:sz w:val="25"/>
                <w:szCs w:val="25"/>
              </w:rPr>
              <w:t>„</w:t>
            </w:r>
            <w:r w:rsidR="00C13BBA" w:rsidRPr="00C13BBA">
              <w:rPr>
                <w:rFonts w:eastAsia="Times New Roman"/>
                <w:color w:val="000000"/>
                <w:sz w:val="25"/>
                <w:szCs w:val="25"/>
              </w:rPr>
              <w:t>Grozījumi Ministru kabineta 2007.gada 22.augusta rīkojumā Nr.543 „Par Zemgales olimpiskā centra Jelgavā projekta un Olimpiskā centra „Ventspils” attīstības projekta „Ventspils peldbaseina rekonstrukcija” īstenošanu”</w:t>
            </w:r>
            <w:r w:rsidR="00C13BBA">
              <w:rPr>
                <w:rFonts w:eastAsia="Times New Roman"/>
                <w:color w:val="000000"/>
                <w:sz w:val="25"/>
                <w:szCs w:val="25"/>
              </w:rPr>
              <w:t xml:space="preserve">” </w:t>
            </w:r>
            <w:r w:rsidR="00991845" w:rsidRPr="00E14286">
              <w:rPr>
                <w:rFonts w:eastAsia="Times New Roman"/>
                <w:color w:val="000000"/>
                <w:sz w:val="25"/>
                <w:szCs w:val="25"/>
              </w:rPr>
              <w:t>(turpmāk – Ministru kabineta rīkojuma projekts)</w:t>
            </w:r>
            <w:r w:rsidR="0047568D" w:rsidRPr="00E14286">
              <w:rPr>
                <w:rFonts w:eastAsia="Times New Roman"/>
                <w:color w:val="000000"/>
                <w:sz w:val="25"/>
                <w:szCs w:val="25"/>
              </w:rPr>
              <w:t>.</w:t>
            </w:r>
            <w:r w:rsidR="00C0400D">
              <w:rPr>
                <w:rFonts w:eastAsia="Times New Roman"/>
                <w:color w:val="000000"/>
                <w:sz w:val="25"/>
                <w:szCs w:val="25"/>
              </w:rPr>
              <w:tab/>
            </w:r>
          </w:p>
        </w:tc>
      </w:tr>
      <w:tr w:rsidR="00585B7B" w:rsidRPr="00E14286" w:rsidTr="00520B00">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835"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516" w:type="dxa"/>
          </w:tcPr>
          <w:p w:rsidR="00643E6C" w:rsidRPr="00E14286" w:rsidRDefault="00DC332F" w:rsidP="00C206E8">
            <w:pPr>
              <w:ind w:left="82" w:right="141"/>
              <w:jc w:val="both"/>
              <w:rPr>
                <w:sz w:val="25"/>
                <w:szCs w:val="25"/>
              </w:rPr>
            </w:pPr>
            <w:r w:rsidRPr="00E14286">
              <w:rPr>
                <w:sz w:val="25"/>
                <w:szCs w:val="25"/>
              </w:rPr>
              <w:t>Ministru kabineta rīkojuma projektu</w:t>
            </w:r>
            <w:r w:rsidR="002D62A9">
              <w:rPr>
                <w:sz w:val="25"/>
                <w:szCs w:val="25"/>
              </w:rPr>
              <w:t xml:space="preserve"> </w:t>
            </w:r>
            <w:r w:rsidRPr="00E14286">
              <w:rPr>
                <w:sz w:val="25"/>
                <w:szCs w:val="25"/>
              </w:rPr>
              <w:t xml:space="preserve">izstrādāja IZM. </w:t>
            </w:r>
            <w:r w:rsidR="00C206E8">
              <w:rPr>
                <w:sz w:val="25"/>
                <w:szCs w:val="25"/>
              </w:rPr>
              <w:t>Ievērojot to</w:t>
            </w:r>
            <w:r w:rsidR="008C68D2" w:rsidRPr="00E14286">
              <w:rPr>
                <w:sz w:val="25"/>
                <w:szCs w:val="25"/>
              </w:rPr>
              <w:t xml:space="preserve">, ka Ministru kabineta rīkojuma projekts izstrādāts, ņemot vērā </w:t>
            </w:r>
            <w:r w:rsidR="00991845" w:rsidRPr="00E14286">
              <w:rPr>
                <w:sz w:val="25"/>
                <w:szCs w:val="25"/>
              </w:rPr>
              <w:t xml:space="preserve">notikušās konsultācijas ar sporta nozares sociālajiem </w:t>
            </w:r>
            <w:r w:rsidR="00991845" w:rsidRPr="00E14286">
              <w:rPr>
                <w:sz w:val="25"/>
                <w:szCs w:val="25"/>
              </w:rPr>
              <w:lastRenderedPageBreak/>
              <w:t xml:space="preserve">partneriem </w:t>
            </w:r>
            <w:r w:rsidR="00991845" w:rsidRPr="00E14286">
              <w:rPr>
                <w:rFonts w:eastAsia="Times New Roman"/>
                <w:color w:val="000000"/>
                <w:sz w:val="25"/>
                <w:szCs w:val="25"/>
              </w:rPr>
              <w:t xml:space="preserve">(t.sk. biedrību „Latvijas Olimpiskā komiteja” un biedrību „Latvija Sporta federāciju padome”),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520B00">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4</w:t>
            </w:r>
            <w:r w:rsidR="00585B7B" w:rsidRPr="00E14286">
              <w:rPr>
                <w:sz w:val="25"/>
                <w:szCs w:val="25"/>
              </w:rPr>
              <w:t>.</w:t>
            </w:r>
          </w:p>
        </w:tc>
        <w:tc>
          <w:tcPr>
            <w:tcW w:w="2835"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516" w:type="dxa"/>
          </w:tcPr>
          <w:p w:rsidR="006A26FB" w:rsidRPr="00E14286" w:rsidRDefault="00291AF4" w:rsidP="00C13BBA">
            <w:pPr>
              <w:ind w:left="114" w:right="127"/>
              <w:jc w:val="both"/>
              <w:rPr>
                <w:sz w:val="25"/>
                <w:szCs w:val="25"/>
              </w:rPr>
            </w:pPr>
            <w:r w:rsidRPr="00E14286">
              <w:rPr>
                <w:sz w:val="25"/>
                <w:szCs w:val="25"/>
              </w:rPr>
              <w:t>Ministru kabineta r</w:t>
            </w:r>
            <w:r w:rsidR="00E5461A" w:rsidRPr="00E14286">
              <w:rPr>
                <w:sz w:val="25"/>
                <w:szCs w:val="25"/>
              </w:rPr>
              <w:t xml:space="preserve">īkojuma projekts tiešā veidā attiecas uz </w:t>
            </w:r>
            <w:r w:rsidRPr="00E14286">
              <w:rPr>
                <w:sz w:val="25"/>
                <w:szCs w:val="25"/>
              </w:rPr>
              <w:t>tūrisma, sporta un brīvā laika politiku (sporta politiku). Pastarpināti Ministru kabineta rīkojuma projekts attiecas uz budžeta un finanšu politiku.</w:t>
            </w:r>
          </w:p>
        </w:tc>
      </w:tr>
    </w:tbl>
    <w:p w:rsidR="00CD6134" w:rsidRDefault="00CD613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E14286" w:rsidTr="00520B00">
        <w:trPr>
          <w:trHeight w:val="361"/>
          <w:jc w:val="center"/>
        </w:trPr>
        <w:tc>
          <w:tcPr>
            <w:tcW w:w="10060" w:type="dxa"/>
            <w:gridSpan w:val="6"/>
            <w:vAlign w:val="center"/>
          </w:tcPr>
          <w:p w:rsidR="009B774A" w:rsidRPr="00E14286" w:rsidRDefault="009B774A" w:rsidP="001A0506">
            <w:pPr>
              <w:jc w:val="center"/>
              <w:rPr>
                <w:b/>
                <w:i/>
                <w:sz w:val="25"/>
                <w:szCs w:val="25"/>
              </w:rPr>
            </w:pPr>
            <w:r w:rsidRPr="00E14286">
              <w:rPr>
                <w:sz w:val="25"/>
                <w:szCs w:val="25"/>
              </w:rPr>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3E1F5B">
        <w:trPr>
          <w:jc w:val="center"/>
        </w:trPr>
        <w:tc>
          <w:tcPr>
            <w:tcW w:w="3507"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2981"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572" w:type="dxa"/>
            <w:gridSpan w:val="3"/>
            <w:vAlign w:val="center"/>
          </w:tcPr>
          <w:p w:rsidR="009B774A" w:rsidRPr="00E14286" w:rsidRDefault="009B774A" w:rsidP="001A0506">
            <w:pPr>
              <w:jc w:val="center"/>
              <w:rPr>
                <w:b/>
                <w:i/>
                <w:sz w:val="25"/>
                <w:szCs w:val="25"/>
              </w:rPr>
            </w:pPr>
            <w:r w:rsidRPr="00E14286">
              <w:rPr>
                <w:sz w:val="25"/>
                <w:szCs w:val="25"/>
              </w:rPr>
              <w:t>Turpmākie trīs gadi (</w:t>
            </w:r>
            <w:proofErr w:type="spellStart"/>
            <w:r w:rsidRPr="00E14286">
              <w:rPr>
                <w:i/>
                <w:sz w:val="25"/>
                <w:szCs w:val="25"/>
              </w:rPr>
              <w:t>euro</w:t>
            </w:r>
            <w:proofErr w:type="spellEnd"/>
            <w:r w:rsidRPr="00E14286">
              <w:rPr>
                <w:sz w:val="25"/>
                <w:szCs w:val="25"/>
              </w:rPr>
              <w:t>)</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2981"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4"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1189"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1617"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64"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3E1F5B">
        <w:trPr>
          <w:jc w:val="center"/>
        </w:trPr>
        <w:tc>
          <w:tcPr>
            <w:tcW w:w="3507" w:type="dxa"/>
            <w:vAlign w:val="center"/>
          </w:tcPr>
          <w:p w:rsidR="009B774A" w:rsidRPr="00E14286" w:rsidRDefault="009B774A" w:rsidP="001A0506">
            <w:pPr>
              <w:jc w:val="center"/>
              <w:rPr>
                <w:bCs/>
                <w:sz w:val="25"/>
                <w:szCs w:val="25"/>
              </w:rPr>
            </w:pPr>
            <w:r w:rsidRPr="00E14286">
              <w:rPr>
                <w:bCs/>
                <w:sz w:val="25"/>
                <w:szCs w:val="25"/>
              </w:rPr>
              <w:t>1</w:t>
            </w:r>
          </w:p>
        </w:tc>
        <w:tc>
          <w:tcPr>
            <w:tcW w:w="1617" w:type="dxa"/>
            <w:vAlign w:val="center"/>
          </w:tcPr>
          <w:p w:rsidR="009B774A" w:rsidRPr="00E14286" w:rsidRDefault="009B774A" w:rsidP="001A0506">
            <w:pPr>
              <w:jc w:val="center"/>
              <w:rPr>
                <w:bCs/>
                <w:sz w:val="25"/>
                <w:szCs w:val="25"/>
              </w:rPr>
            </w:pPr>
            <w:r w:rsidRPr="00E14286">
              <w:rPr>
                <w:bCs/>
                <w:sz w:val="25"/>
                <w:szCs w:val="25"/>
              </w:rPr>
              <w:t>2</w:t>
            </w:r>
          </w:p>
        </w:tc>
        <w:tc>
          <w:tcPr>
            <w:tcW w:w="1364"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4" w:type="dxa"/>
            <w:vAlign w:val="center"/>
          </w:tcPr>
          <w:p w:rsidR="009B774A" w:rsidRPr="00E14286" w:rsidRDefault="009B774A" w:rsidP="001A0506">
            <w:pPr>
              <w:jc w:val="center"/>
              <w:rPr>
                <w:bCs/>
                <w:sz w:val="25"/>
                <w:szCs w:val="25"/>
              </w:rPr>
            </w:pPr>
            <w:r w:rsidRPr="00E14286">
              <w:rPr>
                <w:bCs/>
                <w:sz w:val="25"/>
                <w:szCs w:val="25"/>
              </w:rPr>
              <w:t>5</w:t>
            </w:r>
          </w:p>
        </w:tc>
        <w:tc>
          <w:tcPr>
            <w:tcW w:w="1189"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 Budžeta ieņēmumi:</w:t>
            </w:r>
          </w:p>
        </w:tc>
        <w:tc>
          <w:tcPr>
            <w:tcW w:w="1617" w:type="dxa"/>
          </w:tcPr>
          <w:p w:rsidR="0005209B" w:rsidRPr="00E14286" w:rsidRDefault="004A56AF" w:rsidP="0005209B">
            <w:pPr>
              <w:jc w:val="center"/>
              <w:rPr>
                <w:b/>
                <w:sz w:val="25"/>
                <w:szCs w:val="25"/>
              </w:rPr>
            </w:pPr>
            <w:r w:rsidRPr="00E14286">
              <w:rPr>
                <w:b/>
                <w:sz w:val="25"/>
                <w:szCs w:val="25"/>
              </w:rPr>
              <w:t>0</w:t>
            </w:r>
          </w:p>
        </w:tc>
        <w:tc>
          <w:tcPr>
            <w:tcW w:w="1364"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4" w:type="dxa"/>
          </w:tcPr>
          <w:p w:rsidR="0005209B" w:rsidRPr="00E14286" w:rsidRDefault="0005209B" w:rsidP="0005209B">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1.1. valsts pamatbudžets, tai skaitā ieņēmumi no maksas pakalpojumiem un citi pašu ieņēmumi</w:t>
            </w:r>
          </w:p>
        </w:tc>
        <w:tc>
          <w:tcPr>
            <w:tcW w:w="1617" w:type="dxa"/>
          </w:tcPr>
          <w:p w:rsidR="0005209B" w:rsidRPr="00E14286" w:rsidRDefault="0005209B" w:rsidP="0005209B">
            <w:pPr>
              <w:jc w:val="center"/>
              <w:rPr>
                <w:i/>
                <w:sz w:val="25"/>
                <w:szCs w:val="25"/>
              </w:rPr>
            </w:pPr>
          </w:p>
        </w:tc>
        <w:tc>
          <w:tcPr>
            <w:tcW w:w="136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1.3. pašvaldību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 Budžeta izdevumi:</w:t>
            </w:r>
          </w:p>
        </w:tc>
        <w:tc>
          <w:tcPr>
            <w:tcW w:w="1617" w:type="dxa"/>
          </w:tcPr>
          <w:p w:rsidR="007A1337" w:rsidRPr="00E14286" w:rsidRDefault="007A1337" w:rsidP="007A1337">
            <w:pPr>
              <w:jc w:val="center"/>
              <w:rPr>
                <w:b/>
                <w:sz w:val="25"/>
                <w:szCs w:val="25"/>
              </w:rPr>
            </w:pPr>
            <w:r w:rsidRPr="00E14286">
              <w:rPr>
                <w:b/>
                <w:sz w:val="25"/>
                <w:szCs w:val="25"/>
              </w:rPr>
              <w:t>0</w:t>
            </w:r>
          </w:p>
        </w:tc>
        <w:tc>
          <w:tcPr>
            <w:tcW w:w="136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2.1. valsts pamatbudžets</w:t>
            </w:r>
          </w:p>
        </w:tc>
        <w:tc>
          <w:tcPr>
            <w:tcW w:w="1617" w:type="dxa"/>
          </w:tcPr>
          <w:p w:rsidR="007A1337" w:rsidRPr="00E14286" w:rsidRDefault="007A1337" w:rsidP="007A1337">
            <w:pPr>
              <w:jc w:val="center"/>
              <w:rPr>
                <w:i/>
                <w:sz w:val="25"/>
                <w:szCs w:val="25"/>
              </w:rPr>
            </w:pPr>
            <w:r w:rsidRPr="00E14286">
              <w:rPr>
                <w:i/>
                <w:sz w:val="25"/>
                <w:szCs w:val="25"/>
              </w:rPr>
              <w:t>0</w:t>
            </w:r>
          </w:p>
        </w:tc>
        <w:tc>
          <w:tcPr>
            <w:tcW w:w="136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2.2.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2.3. pašvaldību budžets </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3. Finansiālā ietekme:</w:t>
            </w:r>
          </w:p>
        </w:tc>
        <w:tc>
          <w:tcPr>
            <w:tcW w:w="1617" w:type="dxa"/>
            <w:shd w:val="clear" w:color="auto" w:fill="auto"/>
          </w:tcPr>
          <w:p w:rsidR="007A1337" w:rsidRPr="00E14286" w:rsidRDefault="004A56AF" w:rsidP="007A1337">
            <w:pPr>
              <w:jc w:val="center"/>
              <w:rPr>
                <w:b/>
                <w:sz w:val="25"/>
                <w:szCs w:val="25"/>
              </w:rPr>
            </w:pPr>
            <w:r w:rsidRPr="00E14286">
              <w:rPr>
                <w:b/>
                <w:sz w:val="25"/>
                <w:szCs w:val="25"/>
              </w:rPr>
              <w:t>0</w:t>
            </w:r>
          </w:p>
        </w:tc>
        <w:tc>
          <w:tcPr>
            <w:tcW w:w="1364"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4A56AF" w:rsidRPr="00E14286" w:rsidTr="003E1F5B">
        <w:trPr>
          <w:jc w:val="center"/>
        </w:trPr>
        <w:tc>
          <w:tcPr>
            <w:tcW w:w="3507" w:type="dxa"/>
          </w:tcPr>
          <w:p w:rsidR="004A56AF" w:rsidRPr="00E14286" w:rsidRDefault="004A56AF" w:rsidP="004A56AF">
            <w:pPr>
              <w:rPr>
                <w:sz w:val="25"/>
                <w:szCs w:val="25"/>
              </w:rPr>
            </w:pPr>
            <w:r w:rsidRPr="00E14286">
              <w:rPr>
                <w:sz w:val="25"/>
                <w:szCs w:val="25"/>
              </w:rPr>
              <w:t>3.1. valsts pamatbudžets</w:t>
            </w:r>
          </w:p>
        </w:tc>
        <w:tc>
          <w:tcPr>
            <w:tcW w:w="1617" w:type="dxa"/>
            <w:shd w:val="clear" w:color="auto" w:fill="auto"/>
          </w:tcPr>
          <w:p w:rsidR="004A56AF" w:rsidRPr="00E14286" w:rsidRDefault="004A56AF" w:rsidP="004A56AF">
            <w:pPr>
              <w:jc w:val="center"/>
              <w:rPr>
                <w:i/>
                <w:sz w:val="25"/>
                <w:szCs w:val="25"/>
              </w:rPr>
            </w:pPr>
            <w:r w:rsidRPr="00E14286">
              <w:rPr>
                <w:i/>
                <w:sz w:val="25"/>
                <w:szCs w:val="25"/>
              </w:rPr>
              <w:t>0</w:t>
            </w:r>
          </w:p>
        </w:tc>
        <w:tc>
          <w:tcPr>
            <w:tcW w:w="136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3.2. speciālais budžets</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3.3. pašvaldību budžets </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val="restart"/>
          </w:tcPr>
          <w:p w:rsidR="009B774A" w:rsidRPr="00E14286" w:rsidRDefault="009B774A" w:rsidP="001A0506">
            <w:pPr>
              <w:rPr>
                <w:sz w:val="25"/>
                <w:szCs w:val="25"/>
              </w:rPr>
            </w:pPr>
            <w:r w:rsidRPr="00E14286">
              <w:rPr>
                <w:sz w:val="25"/>
                <w:szCs w:val="25"/>
              </w:rPr>
              <w:t>4. Finanšu līdzekļi papildu izdevumu finansēšanai (kompensējošu izdevumu samazinājumu norāda ar "+" zīmi)</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 Precizēta finansiālā ietekme:</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5.1. valsts pamatbudžets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5.2. speciālais 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5.3. pašvaldību budžets </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ciešams, detalizētu ieņēmumu un izdevumu aprēķinu var pie</w:t>
            </w:r>
            <w:r w:rsidRPr="00E14286">
              <w:rPr>
                <w:sz w:val="25"/>
                <w:szCs w:val="25"/>
              </w:rPr>
              <w:softHyphen/>
              <w:t>vienot anotācijas pielikumā):</w:t>
            </w:r>
          </w:p>
        </w:tc>
        <w:tc>
          <w:tcPr>
            <w:tcW w:w="6553" w:type="dxa"/>
            <w:gridSpan w:val="5"/>
            <w:vMerge w:val="restart"/>
            <w:shd w:val="clear" w:color="auto" w:fill="auto"/>
          </w:tcPr>
          <w:p w:rsidR="0047568D" w:rsidRDefault="00CD6134" w:rsidP="002D6D46">
            <w:pPr>
              <w:jc w:val="both"/>
              <w:rPr>
                <w:sz w:val="25"/>
                <w:szCs w:val="25"/>
              </w:rPr>
            </w:pPr>
            <w:r w:rsidRPr="00E14286">
              <w:rPr>
                <w:sz w:val="25"/>
                <w:szCs w:val="25"/>
              </w:rPr>
              <w:tab/>
            </w:r>
            <w:r w:rsidR="0047568D" w:rsidRPr="00E14286">
              <w:rPr>
                <w:sz w:val="25"/>
                <w:szCs w:val="25"/>
              </w:rPr>
              <w:t xml:space="preserve">Ņemot vērā to, ka jautājums ir saistīts ar līdzekļu </w:t>
            </w:r>
            <w:r w:rsidR="00F53178" w:rsidRPr="00E14286">
              <w:rPr>
                <w:sz w:val="25"/>
                <w:szCs w:val="25"/>
              </w:rPr>
              <w:t xml:space="preserve">iekšējo </w:t>
            </w:r>
            <w:r w:rsidR="0047568D" w:rsidRPr="00E14286">
              <w:rPr>
                <w:sz w:val="25"/>
                <w:szCs w:val="25"/>
              </w:rPr>
              <w:t xml:space="preserve">pārdali valsts budžeta programmai 09.00.00 </w:t>
            </w:r>
            <w:r w:rsidR="005D66E2" w:rsidRPr="00E14286">
              <w:rPr>
                <w:sz w:val="25"/>
                <w:szCs w:val="25"/>
              </w:rPr>
              <w:t>„</w:t>
            </w:r>
            <w:r w:rsidR="0047568D" w:rsidRPr="00E14286">
              <w:rPr>
                <w:sz w:val="25"/>
                <w:szCs w:val="25"/>
              </w:rPr>
              <w:t>Sports” noteikto 201</w:t>
            </w:r>
            <w:r w:rsidR="00991845" w:rsidRPr="00E14286">
              <w:rPr>
                <w:sz w:val="25"/>
                <w:szCs w:val="25"/>
              </w:rPr>
              <w:t>6</w:t>
            </w:r>
            <w:r w:rsidR="0047568D" w:rsidRPr="00E14286">
              <w:rPr>
                <w:sz w:val="25"/>
                <w:szCs w:val="25"/>
              </w:rPr>
              <w:t xml:space="preserve">.gada izdevumu ietvaros, </w:t>
            </w:r>
            <w:r w:rsidR="00991845" w:rsidRPr="00E14286">
              <w:rPr>
                <w:sz w:val="25"/>
                <w:szCs w:val="25"/>
              </w:rPr>
              <w:t>iekšējās pārdales rezultātā 2016</w:t>
            </w:r>
            <w:r w:rsidR="0047568D" w:rsidRPr="00E14286">
              <w:rPr>
                <w:sz w:val="25"/>
                <w:szCs w:val="25"/>
              </w:rPr>
              <w:t xml:space="preserve">.gada valsts budžeta programmas 09.00.00 </w:t>
            </w:r>
            <w:r w:rsidR="005D66E2" w:rsidRPr="00E14286">
              <w:rPr>
                <w:sz w:val="25"/>
                <w:szCs w:val="25"/>
              </w:rPr>
              <w:t>„</w:t>
            </w:r>
            <w:r w:rsidR="0047568D" w:rsidRPr="00E14286">
              <w:rPr>
                <w:sz w:val="25"/>
                <w:szCs w:val="25"/>
              </w:rPr>
              <w:t>Sports” izdevumi nemainās.</w:t>
            </w:r>
          </w:p>
          <w:p w:rsidR="00C0400D" w:rsidRPr="00C0400D" w:rsidRDefault="00CD6134" w:rsidP="009E06F9">
            <w:pPr>
              <w:jc w:val="both"/>
              <w:rPr>
                <w:rFonts w:eastAsia="Times New Roman"/>
                <w:color w:val="000000"/>
                <w:sz w:val="25"/>
                <w:szCs w:val="25"/>
              </w:rPr>
            </w:pPr>
            <w:r w:rsidRPr="00E14286">
              <w:rPr>
                <w:sz w:val="25"/>
                <w:szCs w:val="25"/>
              </w:rPr>
              <w:lastRenderedPageBreak/>
              <w:tab/>
            </w:r>
            <w:r w:rsidR="00D90152" w:rsidRPr="00E14286">
              <w:rPr>
                <w:sz w:val="25"/>
                <w:szCs w:val="25"/>
              </w:rPr>
              <w:t>Izdevumi 201</w:t>
            </w:r>
            <w:r w:rsidR="00991845" w:rsidRPr="00E14286">
              <w:rPr>
                <w:sz w:val="25"/>
                <w:szCs w:val="25"/>
              </w:rPr>
              <w:t>6</w:t>
            </w:r>
            <w:r w:rsidR="00D90152" w:rsidRPr="00E14286">
              <w:rPr>
                <w:sz w:val="25"/>
                <w:szCs w:val="25"/>
              </w:rPr>
              <w:t xml:space="preserve">.gada valsts budžeta programmas 09.00.00 </w:t>
            </w:r>
            <w:r w:rsidR="005D66E2" w:rsidRPr="00E14286">
              <w:rPr>
                <w:sz w:val="25"/>
                <w:szCs w:val="25"/>
              </w:rPr>
              <w:t>„</w:t>
            </w:r>
            <w:r w:rsidR="00D90152" w:rsidRPr="00E14286">
              <w:rPr>
                <w:sz w:val="25"/>
                <w:szCs w:val="25"/>
              </w:rPr>
              <w:t xml:space="preserve">Sports” apakšprogrammā </w:t>
            </w:r>
            <w:r w:rsidR="00BE31BF">
              <w:rPr>
                <w:sz w:val="25"/>
                <w:szCs w:val="25"/>
              </w:rPr>
              <w:t>09.23.00 „</w:t>
            </w:r>
            <w:r w:rsidR="00BE31BF" w:rsidRPr="00BE31BF">
              <w:rPr>
                <w:sz w:val="25"/>
                <w:szCs w:val="25"/>
              </w:rPr>
              <w:t>Valsts ilgtermiņa saistības sportā – Dotācija Latvijas Olimpiskajai komitejai (LOK) – valsts galvoto aizdevumu atmaksai</w:t>
            </w:r>
            <w:r w:rsidR="00BE31BF">
              <w:rPr>
                <w:sz w:val="25"/>
                <w:szCs w:val="25"/>
              </w:rPr>
              <w:t xml:space="preserve">” samazināsies, savukārt attiecīgi palielināsies citās </w:t>
            </w:r>
            <w:r w:rsidR="00BE31BF" w:rsidRPr="00E14286">
              <w:rPr>
                <w:sz w:val="25"/>
                <w:szCs w:val="25"/>
              </w:rPr>
              <w:t>2016.gada valsts budžeta programmas 09.00.00 „Sports” apakšprogrammā</w:t>
            </w:r>
            <w:r w:rsidR="00BE31BF">
              <w:rPr>
                <w:sz w:val="25"/>
                <w:szCs w:val="25"/>
              </w:rPr>
              <w:t>s paredzētie izdevumi.</w:t>
            </w:r>
            <w:r w:rsidR="00C0400D">
              <w:rPr>
                <w:sz w:val="25"/>
                <w:szCs w:val="25"/>
              </w:rPr>
              <w:t xml:space="preserve"> D</w:t>
            </w:r>
            <w:r w:rsidR="00C0400D">
              <w:rPr>
                <w:rFonts w:eastAsia="Times New Roman"/>
                <w:color w:val="000000"/>
                <w:sz w:val="25"/>
                <w:szCs w:val="25"/>
              </w:rPr>
              <w:t xml:space="preserve">etalizēta informācija par ietaupīto līdzekļu pārdales mērķiem ir norādīta </w:t>
            </w:r>
            <w:r w:rsidR="00C0400D" w:rsidRPr="00E14286">
              <w:rPr>
                <w:sz w:val="25"/>
                <w:szCs w:val="25"/>
              </w:rPr>
              <w:t>IZM izstrādātajā informatīvajā ziņojumā „Par līdzekļu iekšējo pārdali 2016.gada valsts budžeta programmā 09.00.00 „Sports”” un ar to saistītajā Ministru kabineta sēdes protokollēmum</w:t>
            </w:r>
            <w:r w:rsidR="009E06F9">
              <w:rPr>
                <w:sz w:val="25"/>
                <w:szCs w:val="25"/>
              </w:rPr>
              <w:t>a projektā</w:t>
            </w:r>
            <w:r w:rsidR="00C0400D" w:rsidRPr="00E14286">
              <w:rPr>
                <w:sz w:val="25"/>
                <w:szCs w:val="25"/>
              </w:rPr>
              <w:t>,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lastRenderedPageBreak/>
              <w:t>6.1. detalizēts ieņēmumu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lastRenderedPageBreak/>
              <w:t>6.2. detalizēts izdevumu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trHeight w:val="399"/>
          <w:jc w:val="center"/>
        </w:trPr>
        <w:tc>
          <w:tcPr>
            <w:tcW w:w="3507" w:type="dxa"/>
          </w:tcPr>
          <w:p w:rsidR="009B774A" w:rsidRPr="00E14286" w:rsidRDefault="009B774A" w:rsidP="001A0506">
            <w:pPr>
              <w:rPr>
                <w:sz w:val="25"/>
                <w:szCs w:val="25"/>
              </w:rPr>
            </w:pPr>
            <w:r w:rsidRPr="00E14286">
              <w:rPr>
                <w:sz w:val="25"/>
                <w:szCs w:val="25"/>
              </w:rPr>
              <w:t>7. Cita informācija</w:t>
            </w:r>
          </w:p>
        </w:tc>
        <w:tc>
          <w:tcPr>
            <w:tcW w:w="6553" w:type="dxa"/>
            <w:gridSpan w:val="5"/>
            <w:shd w:val="clear" w:color="auto" w:fill="auto"/>
          </w:tcPr>
          <w:p w:rsidR="009B774A" w:rsidRPr="00E14286" w:rsidRDefault="00E14286" w:rsidP="00F53178">
            <w:pPr>
              <w:jc w:val="both"/>
              <w:rPr>
                <w:sz w:val="25"/>
                <w:szCs w:val="25"/>
              </w:rPr>
            </w:pPr>
            <w:r w:rsidRPr="00E14286">
              <w:rPr>
                <w:sz w:val="25"/>
                <w:szCs w:val="25"/>
              </w:rPr>
              <w:t>Nav.</w:t>
            </w:r>
          </w:p>
        </w:tc>
      </w:tr>
    </w:tbl>
    <w:p w:rsidR="00520B00" w:rsidRDefault="00520B00" w:rsidP="00464CD0">
      <w:pPr>
        <w:ind w:left="-567" w:right="-427"/>
        <w:jc w:val="both"/>
        <w:rPr>
          <w:i/>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FA198A" w:rsidRDefault="00FA198A"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Default="00585B7B" w:rsidP="00D96FCD">
      <w:pPr>
        <w:rPr>
          <w:sz w:val="26"/>
          <w:szCs w:val="26"/>
        </w:rPr>
      </w:pPr>
    </w:p>
    <w:p w:rsidR="00E94769" w:rsidRDefault="00E94769"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520B00" w:rsidRDefault="00520B00" w:rsidP="00E244D0">
      <w:pPr>
        <w:ind w:left="720"/>
      </w:pPr>
    </w:p>
    <w:p w:rsidR="00E94769" w:rsidRDefault="00E94769" w:rsidP="00E244D0">
      <w:pPr>
        <w:ind w:left="720"/>
      </w:pPr>
    </w:p>
    <w:p w:rsidR="003A31E2" w:rsidRDefault="003A31E2" w:rsidP="00E244D0">
      <w:pPr>
        <w:ind w:left="720"/>
      </w:pPr>
    </w:p>
    <w:p w:rsidR="003A31E2" w:rsidRDefault="003A31E2" w:rsidP="00E244D0">
      <w:pPr>
        <w:ind w:left="720"/>
      </w:pPr>
    </w:p>
    <w:p w:rsidR="003A31E2" w:rsidRDefault="003A31E2" w:rsidP="00E244D0">
      <w:pPr>
        <w:ind w:left="720"/>
      </w:pPr>
    </w:p>
    <w:p w:rsidR="003A31E2" w:rsidRDefault="003A31E2" w:rsidP="00E244D0">
      <w:pPr>
        <w:ind w:left="720"/>
      </w:pPr>
    </w:p>
    <w:p w:rsidR="003A31E2" w:rsidRDefault="003A31E2" w:rsidP="00E244D0">
      <w:pPr>
        <w:ind w:left="720"/>
      </w:pPr>
    </w:p>
    <w:p w:rsidR="003A31E2" w:rsidRDefault="003A31E2" w:rsidP="00E244D0">
      <w:pPr>
        <w:ind w:left="720"/>
      </w:pPr>
    </w:p>
    <w:p w:rsidR="003A31E2" w:rsidRDefault="003A31E2" w:rsidP="00E244D0">
      <w:pPr>
        <w:ind w:left="720"/>
      </w:pPr>
    </w:p>
    <w:p w:rsidR="002D62A9" w:rsidRDefault="002D62A9" w:rsidP="00E244D0">
      <w:pPr>
        <w:ind w:left="720"/>
      </w:pPr>
    </w:p>
    <w:p w:rsidR="00E244D0" w:rsidRPr="002D62A9" w:rsidRDefault="00FA7821" w:rsidP="00E244D0">
      <w:pPr>
        <w:ind w:left="720"/>
        <w:rPr>
          <w:sz w:val="22"/>
          <w:szCs w:val="22"/>
        </w:rPr>
      </w:pPr>
      <w:r>
        <w:rPr>
          <w:sz w:val="22"/>
          <w:szCs w:val="22"/>
        </w:rPr>
        <w:t>2</w:t>
      </w:r>
      <w:r w:rsidR="003A31E2">
        <w:rPr>
          <w:sz w:val="22"/>
          <w:szCs w:val="22"/>
        </w:rPr>
        <w:t>6</w:t>
      </w:r>
      <w:r w:rsidR="00E244D0" w:rsidRPr="002D62A9">
        <w:rPr>
          <w:sz w:val="22"/>
          <w:szCs w:val="22"/>
        </w:rPr>
        <w:t>.</w:t>
      </w:r>
      <w:r w:rsidR="0014095C" w:rsidRPr="002D62A9">
        <w:rPr>
          <w:sz w:val="22"/>
          <w:szCs w:val="22"/>
        </w:rPr>
        <w:t>10</w:t>
      </w:r>
      <w:r w:rsidR="00E244D0" w:rsidRPr="002D62A9">
        <w:rPr>
          <w:sz w:val="22"/>
          <w:szCs w:val="22"/>
        </w:rPr>
        <w:t xml:space="preserve">.2015. </w:t>
      </w:r>
      <w:r w:rsidR="0014095C" w:rsidRPr="002D62A9">
        <w:rPr>
          <w:sz w:val="22"/>
          <w:szCs w:val="22"/>
        </w:rPr>
        <w:t>08</w:t>
      </w:r>
      <w:r w:rsidR="00E244D0" w:rsidRPr="002D62A9">
        <w:rPr>
          <w:sz w:val="22"/>
          <w:szCs w:val="22"/>
        </w:rPr>
        <w:t>:</w:t>
      </w:r>
      <w:r w:rsidR="0014095C" w:rsidRPr="002D62A9">
        <w:rPr>
          <w:sz w:val="22"/>
          <w:szCs w:val="22"/>
        </w:rPr>
        <w:t>44</w:t>
      </w:r>
    </w:p>
    <w:p w:rsidR="00E244D0" w:rsidRPr="002D62A9" w:rsidRDefault="003A31E2" w:rsidP="00E244D0">
      <w:pPr>
        <w:ind w:left="720"/>
        <w:rPr>
          <w:sz w:val="22"/>
          <w:szCs w:val="22"/>
        </w:rPr>
      </w:pPr>
      <w:r>
        <w:rPr>
          <w:sz w:val="22"/>
          <w:szCs w:val="22"/>
        </w:rPr>
        <w:t>1358</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 xml:space="preserve">Sporta departamenta direktora vietnieks </w:t>
      </w:r>
      <w:proofErr w:type="spellStart"/>
      <w:r w:rsidRPr="002D62A9">
        <w:rPr>
          <w:sz w:val="22"/>
          <w:szCs w:val="22"/>
        </w:rPr>
        <w:t>E.Severs</w:t>
      </w:r>
      <w:proofErr w:type="spellEnd"/>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9D" w:rsidRDefault="00A1519D" w:rsidP="00123E9B">
      <w:r>
        <w:separator/>
      </w:r>
    </w:p>
  </w:endnote>
  <w:endnote w:type="continuationSeparator" w:id="0">
    <w:p w:rsidR="00A1519D" w:rsidRDefault="00A1519D"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7720DF" w:rsidRDefault="007720DF" w:rsidP="007720DF">
    <w:pPr>
      <w:ind w:left="-567" w:right="-568"/>
      <w:jc w:val="both"/>
      <w:rPr>
        <w:sz w:val="22"/>
        <w:szCs w:val="22"/>
      </w:rPr>
    </w:pPr>
    <w:r>
      <w:rPr>
        <w:sz w:val="22"/>
        <w:szCs w:val="22"/>
      </w:rPr>
      <w:t>IZMAnot_</w:t>
    </w:r>
    <w:r w:rsidR="00F9547E">
      <w:rPr>
        <w:sz w:val="22"/>
        <w:szCs w:val="22"/>
      </w:rPr>
      <w:t>2</w:t>
    </w:r>
    <w:r w:rsidR="003A31E2">
      <w:rPr>
        <w:sz w:val="22"/>
        <w:szCs w:val="22"/>
      </w:rPr>
      <w:t>6</w:t>
    </w:r>
    <w:r>
      <w:rPr>
        <w:sz w:val="22"/>
        <w:szCs w:val="22"/>
      </w:rPr>
      <w:t>1015_groz-543</w:t>
    </w:r>
    <w:r w:rsidRPr="004816F6">
      <w:rPr>
        <w:sz w:val="22"/>
        <w:szCs w:val="22"/>
      </w:rPr>
      <w:t xml:space="preserve">; Ministru kabineta rīkojuma projekta </w:t>
    </w:r>
    <w:r>
      <w:rPr>
        <w:sz w:val="22"/>
        <w:szCs w:val="22"/>
      </w:rPr>
      <w:t>„</w:t>
    </w:r>
    <w:r w:rsidRPr="007720DF">
      <w:rPr>
        <w:sz w:val="22"/>
        <w:szCs w:val="22"/>
      </w:rPr>
      <w:t>Grozījumi Ministru kabineta 2007.gada 22.augusta rīkojumā Nr.543 „Par Zemgales olimpiskā centra Jelgavā projekta un Olimpiskā centra „Ventspils” attīstības projekta „Ventspils peldbaseina rekonstrukcija” īstenošanu”</w:t>
    </w:r>
    <w:r w:rsidRPr="00CA693C">
      <w:rPr>
        <w:sz w:val="22"/>
        <w:szCs w:val="22"/>
      </w:rPr>
      <w:t>”</w:t>
    </w:r>
    <w:r w:rsidRPr="004816F6">
      <w:rPr>
        <w:sz w:val="22"/>
        <w:szCs w:val="22"/>
      </w:rPr>
      <w:t xml:space="preserve"> sākotnējās ietekmes </w:t>
    </w:r>
    <w:r>
      <w:rPr>
        <w:sz w:val="22"/>
        <w:szCs w:val="22"/>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1A51C5">
    <w:pPr>
      <w:ind w:left="-567" w:right="-568"/>
      <w:jc w:val="both"/>
      <w:rPr>
        <w:sz w:val="22"/>
        <w:szCs w:val="22"/>
      </w:rPr>
    </w:pPr>
    <w:r>
      <w:rPr>
        <w:sz w:val="22"/>
        <w:szCs w:val="22"/>
      </w:rPr>
      <w:t>IZMAnot_</w:t>
    </w:r>
    <w:r w:rsidR="00F9547E">
      <w:rPr>
        <w:sz w:val="22"/>
        <w:szCs w:val="22"/>
      </w:rPr>
      <w:t>2</w:t>
    </w:r>
    <w:r w:rsidR="003A31E2">
      <w:rPr>
        <w:sz w:val="22"/>
        <w:szCs w:val="22"/>
      </w:rPr>
      <w:t>6</w:t>
    </w:r>
    <w:r w:rsidR="0014095C">
      <w:rPr>
        <w:sz w:val="22"/>
        <w:szCs w:val="22"/>
      </w:rPr>
      <w:t>10</w:t>
    </w:r>
    <w:r w:rsidR="004B0E92">
      <w:rPr>
        <w:sz w:val="22"/>
        <w:szCs w:val="22"/>
      </w:rPr>
      <w:t>15</w:t>
    </w:r>
    <w:r>
      <w:rPr>
        <w:sz w:val="22"/>
        <w:szCs w:val="22"/>
      </w:rPr>
      <w:t>_</w:t>
    </w:r>
    <w:r w:rsidR="00CA693C">
      <w:rPr>
        <w:sz w:val="22"/>
        <w:szCs w:val="22"/>
      </w:rPr>
      <w:t>groz-5</w:t>
    </w:r>
    <w:r w:rsidR="007720DF">
      <w:rPr>
        <w:sz w:val="22"/>
        <w:szCs w:val="22"/>
      </w:rPr>
      <w:t>43</w:t>
    </w:r>
    <w:r w:rsidRPr="004816F6">
      <w:rPr>
        <w:sz w:val="22"/>
        <w:szCs w:val="22"/>
      </w:rPr>
      <w:t xml:space="preserve">; Ministru kabineta rīkojuma projekta </w:t>
    </w:r>
    <w:r w:rsidR="005D66E2">
      <w:rPr>
        <w:sz w:val="22"/>
        <w:szCs w:val="22"/>
      </w:rPr>
      <w:t>„</w:t>
    </w:r>
    <w:r w:rsidR="007720DF" w:rsidRPr="007720DF">
      <w:rPr>
        <w:sz w:val="22"/>
        <w:szCs w:val="22"/>
      </w:rPr>
      <w:t>Grozījumi Ministru kabineta 2007.gada 22.augusta rīkojumā Nr.543 „Par Zemgales olimpiskā centra Jelgavā projekta un Olimpiskā centra „Ventspils” attīstības projekta „Ventspils peldbaseina rekonstrukcija” īstenošanu”</w:t>
    </w:r>
    <w:r w:rsidR="00CA693C" w:rsidRPr="00CA693C">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9D" w:rsidRDefault="00A1519D" w:rsidP="00123E9B">
      <w:r>
        <w:separator/>
      </w:r>
    </w:p>
  </w:footnote>
  <w:footnote w:type="continuationSeparator" w:id="0">
    <w:p w:rsidR="00A1519D" w:rsidRDefault="00A1519D" w:rsidP="00123E9B">
      <w:r>
        <w:continuationSeparator/>
      </w:r>
    </w:p>
  </w:footnote>
  <w:footnote w:id="1">
    <w:p w:rsidR="00B251F9" w:rsidRPr="0014095C" w:rsidRDefault="00B251F9" w:rsidP="00B251F9">
      <w:pPr>
        <w:pStyle w:val="FootnoteText"/>
        <w:ind w:left="-567" w:right="-568"/>
        <w:jc w:val="both"/>
        <w:rPr>
          <w:sz w:val="22"/>
          <w:szCs w:val="22"/>
        </w:rPr>
      </w:pPr>
      <w:r w:rsidRPr="0014095C">
        <w:rPr>
          <w:rStyle w:val="FootnoteReference"/>
          <w:sz w:val="22"/>
          <w:szCs w:val="22"/>
        </w:rPr>
        <w:footnoteRef/>
      </w:r>
      <w:r w:rsidRPr="0014095C">
        <w:rPr>
          <w:sz w:val="22"/>
          <w:szCs w:val="22"/>
        </w:rPr>
        <w:t xml:space="preserve"> Izņemot 2016.gada valsts budžeta bāzes izdevumu noteikšanas procesā palielināto finansējumu apakšprogrammai 09.19.00 „Finansējums profesionālās ievirzes sporta izglītības programmu pedagogu darba samaksai un valsts sociālās apdrošināšanas obligātajām iemaksām” (ņemot vērā iepriekšējos gados pieņemtos lēmumus), kā arī ar valsts budžeta ilgtermiņa saistībām saistītās izmaiņas.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BD382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14"/>
  </w:num>
  <w:num w:numId="3">
    <w:abstractNumId w:val="13"/>
  </w:num>
  <w:num w:numId="4">
    <w:abstractNumId w:val="17"/>
  </w:num>
  <w:num w:numId="5">
    <w:abstractNumId w:val="11"/>
  </w:num>
  <w:num w:numId="6">
    <w:abstractNumId w:val="12"/>
  </w:num>
  <w:num w:numId="7">
    <w:abstractNumId w:val="3"/>
  </w:num>
  <w:num w:numId="8">
    <w:abstractNumId w:val="0"/>
  </w:num>
  <w:num w:numId="9">
    <w:abstractNumId w:val="6"/>
  </w:num>
  <w:num w:numId="10">
    <w:abstractNumId w:val="18"/>
  </w:num>
  <w:num w:numId="11">
    <w:abstractNumId w:val="16"/>
  </w:num>
  <w:num w:numId="12">
    <w:abstractNumId w:val="4"/>
  </w:num>
  <w:num w:numId="13">
    <w:abstractNumId w:val="1"/>
  </w:num>
  <w:num w:numId="14">
    <w:abstractNumId w:val="2"/>
  </w:num>
  <w:num w:numId="15">
    <w:abstractNumId w:val="15"/>
  </w:num>
  <w:num w:numId="16">
    <w:abstractNumId w:val="19"/>
  </w:num>
  <w:num w:numId="17">
    <w:abstractNumId w:val="9"/>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05C1"/>
    <w:rsid w:val="0005209B"/>
    <w:rsid w:val="000541F8"/>
    <w:rsid w:val="00054553"/>
    <w:rsid w:val="00054FEE"/>
    <w:rsid w:val="00055608"/>
    <w:rsid w:val="00055F70"/>
    <w:rsid w:val="000577FD"/>
    <w:rsid w:val="000622F7"/>
    <w:rsid w:val="00063019"/>
    <w:rsid w:val="0006651A"/>
    <w:rsid w:val="000673CA"/>
    <w:rsid w:val="00070F02"/>
    <w:rsid w:val="00071BF9"/>
    <w:rsid w:val="00071C49"/>
    <w:rsid w:val="00072B98"/>
    <w:rsid w:val="00072F6C"/>
    <w:rsid w:val="000730C8"/>
    <w:rsid w:val="00073118"/>
    <w:rsid w:val="000732D1"/>
    <w:rsid w:val="00074405"/>
    <w:rsid w:val="00074B8C"/>
    <w:rsid w:val="00076F56"/>
    <w:rsid w:val="000777A0"/>
    <w:rsid w:val="000777F6"/>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8701C"/>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51C5"/>
    <w:rsid w:val="001A6E9C"/>
    <w:rsid w:val="001B05D5"/>
    <w:rsid w:val="001B1189"/>
    <w:rsid w:val="001B15B5"/>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4EF5"/>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408"/>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7C2B"/>
    <w:rsid w:val="002D4F98"/>
    <w:rsid w:val="002D50D6"/>
    <w:rsid w:val="002D53CD"/>
    <w:rsid w:val="002D5DA0"/>
    <w:rsid w:val="002D62A9"/>
    <w:rsid w:val="002D6D46"/>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37C76"/>
    <w:rsid w:val="00341757"/>
    <w:rsid w:val="003418C3"/>
    <w:rsid w:val="003435FA"/>
    <w:rsid w:val="003445A2"/>
    <w:rsid w:val="0034662D"/>
    <w:rsid w:val="003478B4"/>
    <w:rsid w:val="00350D8D"/>
    <w:rsid w:val="00351AA0"/>
    <w:rsid w:val="00352F47"/>
    <w:rsid w:val="00353516"/>
    <w:rsid w:val="0035463A"/>
    <w:rsid w:val="00357A2C"/>
    <w:rsid w:val="003608F0"/>
    <w:rsid w:val="003620CD"/>
    <w:rsid w:val="00363F09"/>
    <w:rsid w:val="00364A83"/>
    <w:rsid w:val="00367957"/>
    <w:rsid w:val="003705EF"/>
    <w:rsid w:val="003710C1"/>
    <w:rsid w:val="003719EC"/>
    <w:rsid w:val="00376CEF"/>
    <w:rsid w:val="003773F8"/>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1E2"/>
    <w:rsid w:val="003A3EAD"/>
    <w:rsid w:val="003A657F"/>
    <w:rsid w:val="003A6F5B"/>
    <w:rsid w:val="003B05AB"/>
    <w:rsid w:val="003B0922"/>
    <w:rsid w:val="003B0E4C"/>
    <w:rsid w:val="003B1A4F"/>
    <w:rsid w:val="003B2B5A"/>
    <w:rsid w:val="003B4005"/>
    <w:rsid w:val="003B465C"/>
    <w:rsid w:val="003B5F90"/>
    <w:rsid w:val="003B6D50"/>
    <w:rsid w:val="003C1075"/>
    <w:rsid w:val="003C2496"/>
    <w:rsid w:val="003C691E"/>
    <w:rsid w:val="003D01AF"/>
    <w:rsid w:val="003D4908"/>
    <w:rsid w:val="003D5EAB"/>
    <w:rsid w:val="003D7335"/>
    <w:rsid w:val="003E1F5B"/>
    <w:rsid w:val="003E40B5"/>
    <w:rsid w:val="003E4A67"/>
    <w:rsid w:val="003E4DD8"/>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5F8A"/>
    <w:rsid w:val="004560F5"/>
    <w:rsid w:val="004569F4"/>
    <w:rsid w:val="00456BC1"/>
    <w:rsid w:val="00463FD8"/>
    <w:rsid w:val="00464CD0"/>
    <w:rsid w:val="00466E6C"/>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3618"/>
    <w:rsid w:val="00504DBF"/>
    <w:rsid w:val="00506869"/>
    <w:rsid w:val="00506F79"/>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22A7"/>
    <w:rsid w:val="005F3AA1"/>
    <w:rsid w:val="005F6A42"/>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20DF"/>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7B2E"/>
    <w:rsid w:val="00880012"/>
    <w:rsid w:val="00882419"/>
    <w:rsid w:val="0088273C"/>
    <w:rsid w:val="00884A65"/>
    <w:rsid w:val="00887353"/>
    <w:rsid w:val="0089266F"/>
    <w:rsid w:val="008928E8"/>
    <w:rsid w:val="00892CEB"/>
    <w:rsid w:val="00892DC2"/>
    <w:rsid w:val="0089323C"/>
    <w:rsid w:val="00893CD2"/>
    <w:rsid w:val="008957F2"/>
    <w:rsid w:val="008A17E9"/>
    <w:rsid w:val="008A60A4"/>
    <w:rsid w:val="008B2279"/>
    <w:rsid w:val="008B27BF"/>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5AF6"/>
    <w:rsid w:val="0095616A"/>
    <w:rsid w:val="00956847"/>
    <w:rsid w:val="00957BFE"/>
    <w:rsid w:val="00961924"/>
    <w:rsid w:val="0096294C"/>
    <w:rsid w:val="009629C7"/>
    <w:rsid w:val="00962C97"/>
    <w:rsid w:val="009631D8"/>
    <w:rsid w:val="00964D71"/>
    <w:rsid w:val="009667F8"/>
    <w:rsid w:val="00967D62"/>
    <w:rsid w:val="00970D16"/>
    <w:rsid w:val="0097189A"/>
    <w:rsid w:val="0097200A"/>
    <w:rsid w:val="009734A7"/>
    <w:rsid w:val="00976CDB"/>
    <w:rsid w:val="009848C9"/>
    <w:rsid w:val="009849CF"/>
    <w:rsid w:val="009879C2"/>
    <w:rsid w:val="00987CF4"/>
    <w:rsid w:val="00990076"/>
    <w:rsid w:val="00991790"/>
    <w:rsid w:val="00991845"/>
    <w:rsid w:val="0099370A"/>
    <w:rsid w:val="009950B3"/>
    <w:rsid w:val="00995D97"/>
    <w:rsid w:val="00996AEB"/>
    <w:rsid w:val="009A4783"/>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6F9"/>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4C46"/>
    <w:rsid w:val="00A1519D"/>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0A8"/>
    <w:rsid w:val="00A6630D"/>
    <w:rsid w:val="00A71138"/>
    <w:rsid w:val="00A7205F"/>
    <w:rsid w:val="00A720FA"/>
    <w:rsid w:val="00A7341A"/>
    <w:rsid w:val="00A739AB"/>
    <w:rsid w:val="00A75FB6"/>
    <w:rsid w:val="00A81A75"/>
    <w:rsid w:val="00A820BD"/>
    <w:rsid w:val="00A8540A"/>
    <w:rsid w:val="00A861B7"/>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1F9"/>
    <w:rsid w:val="00B25F1D"/>
    <w:rsid w:val="00B2782A"/>
    <w:rsid w:val="00B324F4"/>
    <w:rsid w:val="00B336D8"/>
    <w:rsid w:val="00B34BFA"/>
    <w:rsid w:val="00B356A4"/>
    <w:rsid w:val="00B411EC"/>
    <w:rsid w:val="00B41C0A"/>
    <w:rsid w:val="00B429CA"/>
    <w:rsid w:val="00B44F22"/>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825"/>
    <w:rsid w:val="00BD3E66"/>
    <w:rsid w:val="00BD41A8"/>
    <w:rsid w:val="00BD696A"/>
    <w:rsid w:val="00BD6CDF"/>
    <w:rsid w:val="00BE01B3"/>
    <w:rsid w:val="00BE072E"/>
    <w:rsid w:val="00BE13F2"/>
    <w:rsid w:val="00BE1B08"/>
    <w:rsid w:val="00BE2B40"/>
    <w:rsid w:val="00BE31BF"/>
    <w:rsid w:val="00BE3D54"/>
    <w:rsid w:val="00BE70E1"/>
    <w:rsid w:val="00BF0939"/>
    <w:rsid w:val="00BF0C10"/>
    <w:rsid w:val="00BF1719"/>
    <w:rsid w:val="00BF196F"/>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3BBA"/>
    <w:rsid w:val="00C1447B"/>
    <w:rsid w:val="00C17CB6"/>
    <w:rsid w:val="00C206E8"/>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5545"/>
    <w:rsid w:val="00CB5F57"/>
    <w:rsid w:val="00CB6605"/>
    <w:rsid w:val="00CB7A72"/>
    <w:rsid w:val="00CC0D14"/>
    <w:rsid w:val="00CC3E80"/>
    <w:rsid w:val="00CC49D6"/>
    <w:rsid w:val="00CC5FD9"/>
    <w:rsid w:val="00CC7F63"/>
    <w:rsid w:val="00CD39F8"/>
    <w:rsid w:val="00CD5672"/>
    <w:rsid w:val="00CD6134"/>
    <w:rsid w:val="00CD7C93"/>
    <w:rsid w:val="00CE0B01"/>
    <w:rsid w:val="00CE133F"/>
    <w:rsid w:val="00CE2B81"/>
    <w:rsid w:val="00CE5941"/>
    <w:rsid w:val="00CE7BB7"/>
    <w:rsid w:val="00CF04D1"/>
    <w:rsid w:val="00CF16AE"/>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6BC1"/>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9547E"/>
    <w:rsid w:val="00FA0692"/>
    <w:rsid w:val="00FA198A"/>
    <w:rsid w:val="00FA1C8C"/>
    <w:rsid w:val="00FA2563"/>
    <w:rsid w:val="00FA3C12"/>
    <w:rsid w:val="00FA3EA3"/>
    <w:rsid w:val="00FA5D27"/>
    <w:rsid w:val="00FA6CFA"/>
    <w:rsid w:val="00FA7821"/>
    <w:rsid w:val="00FB0A94"/>
    <w:rsid w:val="00FB1C5D"/>
    <w:rsid w:val="00FB4613"/>
    <w:rsid w:val="00FB4C81"/>
    <w:rsid w:val="00FB6841"/>
    <w:rsid w:val="00FC1724"/>
    <w:rsid w:val="00FC6855"/>
    <w:rsid w:val="00FC73D9"/>
    <w:rsid w:val="00FC7A5E"/>
    <w:rsid w:val="00FD1F87"/>
    <w:rsid w:val="00FD35D0"/>
    <w:rsid w:val="00FD681B"/>
    <w:rsid w:val="00FD7331"/>
    <w:rsid w:val="00FD7FF0"/>
    <w:rsid w:val="00FE0E03"/>
    <w:rsid w:val="00FE3414"/>
    <w:rsid w:val="00FE3673"/>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3C64-03B5-4199-B569-A9228E26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7164</Words>
  <Characters>4084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2006.gada 10.jūlija rīkojumā Nr.512 „Par valsts galvoto reģionālo olimpisko centru projektu īstenošanu””</vt:lpstr>
    </vt:vector>
  </TitlesOfParts>
  <Company>Izglītības un zinātnes ministrija, Sporta departaments</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2006.gada 10.jūlija rīkojumā Nr.512 „Par valsts galvoto reģionālo olimpisko centru projektu īstenošanu””</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60</cp:revision>
  <cp:lastPrinted>2014-08-11T11:23:00Z</cp:lastPrinted>
  <dcterms:created xsi:type="dcterms:W3CDTF">2015-10-18T16:28:00Z</dcterms:created>
  <dcterms:modified xsi:type="dcterms:W3CDTF">2015-10-25T19:08:00Z</dcterms:modified>
</cp:coreProperties>
</file>