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7720DF">
      <w:pPr>
        <w:pStyle w:val="BodyText"/>
        <w:spacing w:after="0"/>
        <w:jc w:val="center"/>
        <w:rPr>
          <w:b/>
          <w:sz w:val="28"/>
          <w:szCs w:val="28"/>
        </w:rPr>
      </w:pPr>
      <w:r w:rsidRPr="006914B3">
        <w:rPr>
          <w:b/>
          <w:sz w:val="26"/>
          <w:szCs w:val="26"/>
        </w:rPr>
        <w:t>„</w:t>
      </w:r>
      <w:r w:rsidR="00700D34" w:rsidRPr="00700D34">
        <w:rPr>
          <w:b/>
          <w:sz w:val="26"/>
          <w:szCs w:val="26"/>
        </w:rPr>
        <w:t>Par apropriācijas pārdali Daugavas stadiona (Rīgā) teritorijas revitalizācijas programmas „Kultūras un sporta kvartāla izveide Grīziņkalna apkaimē” īstenošanas uzsākšanai</w:t>
      </w:r>
      <w:r w:rsidR="00CA693C" w:rsidRPr="006914B3">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E14286" w:rsidTr="00620785">
        <w:tc>
          <w:tcPr>
            <w:tcW w:w="9918"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620785">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547"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662" w:type="dxa"/>
          </w:tcPr>
          <w:p w:rsidR="00703271" w:rsidRDefault="00703271" w:rsidP="00703271">
            <w:pPr>
              <w:pStyle w:val="ListParagraph"/>
              <w:numPr>
                <w:ilvl w:val="0"/>
                <w:numId w:val="9"/>
              </w:numPr>
              <w:ind w:right="127"/>
              <w:jc w:val="both"/>
              <w:rPr>
                <w:sz w:val="25"/>
                <w:szCs w:val="25"/>
              </w:rPr>
            </w:pPr>
            <w:r>
              <w:rPr>
                <w:sz w:val="25"/>
                <w:szCs w:val="25"/>
              </w:rPr>
              <w:t>A</w:t>
            </w:r>
            <w:r w:rsidRPr="00703271">
              <w:rPr>
                <w:sz w:val="25"/>
                <w:szCs w:val="25"/>
              </w:rPr>
              <w:t>r Ministru kabineta 2015.g</w:t>
            </w:r>
            <w:r>
              <w:rPr>
                <w:sz w:val="25"/>
                <w:szCs w:val="25"/>
              </w:rPr>
              <w:t>ada 16.februāra rīkojuma Nr.78 „</w:t>
            </w:r>
            <w:r w:rsidRPr="00703271">
              <w:rPr>
                <w:sz w:val="25"/>
                <w:szCs w:val="25"/>
              </w:rPr>
              <w:t>Par Valdības rīcības plānu Deklarācijas par Laimdotas Straujumas vadītā Ministru kabineta iecerēto darbību īstenošanai” 1.punktu apstiprinātā Valdības rīcības plāna Deklarācijas par Laimdotas Straujumas vadītā Ministru kabineta iecerēto darbību īstenošanai 122.5.pasākums</w:t>
            </w:r>
            <w:r>
              <w:rPr>
                <w:sz w:val="25"/>
                <w:szCs w:val="25"/>
              </w:rPr>
              <w:t>.</w:t>
            </w:r>
          </w:p>
          <w:p w:rsidR="005158DD" w:rsidRDefault="00703271" w:rsidP="00633DA7">
            <w:pPr>
              <w:pStyle w:val="ListParagraph"/>
              <w:numPr>
                <w:ilvl w:val="0"/>
                <w:numId w:val="9"/>
              </w:numPr>
              <w:ind w:right="127"/>
              <w:jc w:val="both"/>
              <w:rPr>
                <w:sz w:val="25"/>
                <w:szCs w:val="25"/>
              </w:rPr>
            </w:pPr>
            <w:r>
              <w:rPr>
                <w:sz w:val="25"/>
                <w:szCs w:val="25"/>
              </w:rPr>
              <w:t>Nepieciešamība nodrošināt</w:t>
            </w:r>
            <w:r w:rsidR="005158DD">
              <w:rPr>
                <w:sz w:val="25"/>
                <w:szCs w:val="25"/>
              </w:rPr>
              <w:t xml:space="preserve"> </w:t>
            </w:r>
            <w:r w:rsidR="005158DD" w:rsidRPr="005158DD">
              <w:rPr>
                <w:sz w:val="25"/>
                <w:szCs w:val="25"/>
              </w:rPr>
              <w:t>Daugavas stadiona (Rīgā) teritorijas revitalizācijas programmas „Kultūras un sporta kvartāla izveide Grīziņkalna a</w:t>
            </w:r>
            <w:r w:rsidR="005158DD">
              <w:rPr>
                <w:sz w:val="25"/>
                <w:szCs w:val="25"/>
              </w:rPr>
              <w:t xml:space="preserve">pkaimē” </w:t>
            </w:r>
            <w:r w:rsidR="003436F2">
              <w:rPr>
                <w:sz w:val="25"/>
                <w:szCs w:val="25"/>
              </w:rPr>
              <w:t xml:space="preserve">(turpmāk – Programma) </w:t>
            </w:r>
            <w:r w:rsidR="005158DD">
              <w:rPr>
                <w:sz w:val="25"/>
                <w:szCs w:val="25"/>
              </w:rPr>
              <w:t xml:space="preserve">īstenošanas uzsākšanu iespējami drīzā laikā, lai līdz </w:t>
            </w:r>
            <w:r w:rsidR="00633DA7" w:rsidRPr="00633DA7">
              <w:rPr>
                <w:sz w:val="25"/>
                <w:szCs w:val="25"/>
              </w:rPr>
              <w:t>XXVI Vispārējo latviešu Dziesmu un XVI Deju svētku noris</w:t>
            </w:r>
            <w:r w:rsidR="00633DA7">
              <w:rPr>
                <w:sz w:val="25"/>
                <w:szCs w:val="25"/>
              </w:rPr>
              <w:t>e</w:t>
            </w:r>
            <w:r w:rsidR="00633DA7" w:rsidRPr="00633DA7">
              <w:rPr>
                <w:sz w:val="25"/>
                <w:szCs w:val="25"/>
              </w:rPr>
              <w:t>i 2018.gad</w:t>
            </w:r>
            <w:r w:rsidR="00633DA7">
              <w:rPr>
                <w:sz w:val="25"/>
                <w:szCs w:val="25"/>
              </w:rPr>
              <w:t>ā paplašinātu Daugavas stadiona tribīņu kapacitāti.</w:t>
            </w:r>
          </w:p>
          <w:p w:rsidR="00633DA7" w:rsidRDefault="00633DA7" w:rsidP="00633DA7">
            <w:pPr>
              <w:pStyle w:val="ListParagraph"/>
              <w:numPr>
                <w:ilvl w:val="0"/>
                <w:numId w:val="9"/>
              </w:numPr>
              <w:ind w:right="127"/>
              <w:jc w:val="both"/>
              <w:rPr>
                <w:sz w:val="25"/>
                <w:szCs w:val="25"/>
              </w:rPr>
            </w:pPr>
            <w:r>
              <w:rPr>
                <w:sz w:val="25"/>
                <w:szCs w:val="25"/>
              </w:rPr>
              <w:t xml:space="preserve">Jautājuma saistība ar </w:t>
            </w:r>
            <w:r w:rsidRPr="00700D34">
              <w:rPr>
                <w:rFonts w:eastAsia="Times New Roman"/>
                <w:color w:val="000000"/>
                <w:sz w:val="25"/>
                <w:szCs w:val="25"/>
              </w:rPr>
              <w:t xml:space="preserve"> Ministru kabineta 2015.gada 11.augusta sēdē </w:t>
            </w:r>
            <w:r>
              <w:rPr>
                <w:rFonts w:eastAsia="Times New Roman"/>
                <w:color w:val="000000"/>
                <w:sz w:val="25"/>
                <w:szCs w:val="25"/>
              </w:rPr>
              <w:t xml:space="preserve">atbalstīto </w:t>
            </w:r>
            <w:r w:rsidRPr="00700D34">
              <w:rPr>
                <w:rFonts w:eastAsia="Times New Roman"/>
                <w:color w:val="000000"/>
                <w:sz w:val="25"/>
                <w:szCs w:val="25"/>
              </w:rPr>
              <w:t>konceptuāl</w:t>
            </w:r>
            <w:r>
              <w:rPr>
                <w:rFonts w:eastAsia="Times New Roman"/>
                <w:color w:val="000000"/>
                <w:sz w:val="25"/>
                <w:szCs w:val="25"/>
              </w:rPr>
              <w:t>o</w:t>
            </w:r>
            <w:r w:rsidRPr="00700D34">
              <w:rPr>
                <w:rFonts w:eastAsia="Times New Roman"/>
                <w:color w:val="000000"/>
                <w:sz w:val="25"/>
                <w:szCs w:val="25"/>
              </w:rPr>
              <w:t xml:space="preserve"> ziņojum</w:t>
            </w:r>
            <w:r>
              <w:rPr>
                <w:rFonts w:eastAsia="Times New Roman"/>
                <w:color w:val="000000"/>
                <w:sz w:val="25"/>
                <w:szCs w:val="25"/>
              </w:rPr>
              <w:t>u</w:t>
            </w:r>
            <w:r w:rsidRPr="00700D34">
              <w:rPr>
                <w:rFonts w:eastAsia="Times New Roman"/>
                <w:color w:val="000000"/>
                <w:sz w:val="25"/>
                <w:szCs w:val="25"/>
              </w:rPr>
              <w:t xml:space="preserve"> „Par Daugavas stadiona (Rīgā) teritorijas revitalizācijas programmas „Kultūras un sporta kvartāla izveide Grīziņkalna apkaimē” īstenoš</w:t>
            </w:r>
            <w:r>
              <w:rPr>
                <w:rFonts w:eastAsia="Times New Roman"/>
                <w:color w:val="000000"/>
                <w:sz w:val="25"/>
                <w:szCs w:val="25"/>
              </w:rPr>
              <w:t>anu” (prot.Nr.38 48.§, TA-1688)</w:t>
            </w:r>
            <w:r w:rsidR="003436F2">
              <w:rPr>
                <w:rFonts w:eastAsia="Times New Roman"/>
                <w:color w:val="000000"/>
                <w:sz w:val="25"/>
                <w:szCs w:val="25"/>
              </w:rPr>
              <w:t xml:space="preserve"> un attiecīgu Ministru kabineta rīkojumu</w:t>
            </w:r>
            <w:r>
              <w:rPr>
                <w:rFonts w:eastAsia="Times New Roman"/>
                <w:color w:val="000000"/>
                <w:sz w:val="25"/>
                <w:szCs w:val="25"/>
              </w:rPr>
              <w:t>.</w:t>
            </w:r>
          </w:p>
          <w:p w:rsidR="001F49B0" w:rsidRPr="000505C1" w:rsidRDefault="00E95286" w:rsidP="00AA3BDD">
            <w:pPr>
              <w:pStyle w:val="ListParagraph"/>
              <w:numPr>
                <w:ilvl w:val="0"/>
                <w:numId w:val="9"/>
              </w:numPr>
              <w:ind w:right="127"/>
              <w:jc w:val="both"/>
              <w:rPr>
                <w:sz w:val="25"/>
                <w:szCs w:val="25"/>
              </w:rPr>
            </w:pPr>
            <w:r>
              <w:rPr>
                <w:sz w:val="25"/>
                <w:szCs w:val="25"/>
              </w:rPr>
              <w:t>Likuma „</w:t>
            </w:r>
            <w:r w:rsidR="00AA3BDD" w:rsidRPr="00AA3BDD">
              <w:rPr>
                <w:sz w:val="25"/>
                <w:szCs w:val="25"/>
              </w:rPr>
              <w:t>Par valsts budžetu 2015.gadam” 31.panta 4.punkts.</w:t>
            </w:r>
          </w:p>
        </w:tc>
      </w:tr>
      <w:tr w:rsidR="00585B7B" w:rsidRPr="00E14286" w:rsidTr="00620785">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547"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662" w:type="dxa"/>
          </w:tcPr>
          <w:p w:rsidR="003805D9" w:rsidRDefault="0055675D" w:rsidP="00F71E59">
            <w:pPr>
              <w:ind w:left="132" w:right="127"/>
              <w:jc w:val="both"/>
              <w:rPr>
                <w:rFonts w:eastAsia="Times New Roman"/>
                <w:color w:val="000000"/>
                <w:sz w:val="25"/>
                <w:szCs w:val="25"/>
              </w:rPr>
            </w:pPr>
            <w:r>
              <w:rPr>
                <w:rFonts w:eastAsia="Times New Roman"/>
                <w:color w:val="000000"/>
                <w:sz w:val="25"/>
                <w:szCs w:val="25"/>
              </w:rPr>
              <w:tab/>
            </w:r>
            <w:r w:rsidR="00700D34">
              <w:t xml:space="preserve"> </w:t>
            </w:r>
            <w:r w:rsidR="00700D34" w:rsidRPr="00700D34">
              <w:rPr>
                <w:rFonts w:eastAsia="Times New Roman"/>
                <w:color w:val="000000"/>
                <w:sz w:val="25"/>
                <w:szCs w:val="25"/>
              </w:rPr>
              <w:t>Ministru kabineta 2015.gada 11.augusta sēdē tika izskatīts un atbalstīts Izglītības un zinātnes ministrijas izstrādātais konceptuālais ziņojums „Par Daugavas stadiona (Rīgā) teritorijas revitalizācijas programmas „Kultūras un sporta kvartāla izveide Grīziņkalna apkaimē” īstenošanu” (prot.Nr.38 48.§, TA-1688) un ar to saist</w:t>
            </w:r>
            <w:r w:rsidR="003436F2">
              <w:rPr>
                <w:rFonts w:eastAsia="Times New Roman"/>
                <w:color w:val="000000"/>
                <w:sz w:val="25"/>
                <w:szCs w:val="25"/>
              </w:rPr>
              <w:t>ītais Ministru kabineta rīkojums</w:t>
            </w:r>
            <w:r w:rsidR="00700D34" w:rsidRPr="00700D34">
              <w:rPr>
                <w:rFonts w:eastAsia="Times New Roman"/>
                <w:color w:val="000000"/>
                <w:sz w:val="25"/>
                <w:szCs w:val="25"/>
              </w:rPr>
              <w:t>, kurš paredz turpmākās rīcības plānu Daugavas stadiona un tā apkārtējās teritorijas sakārtošanai, piesaistot 2014.–2020.gada plānošanas perioda Eiropas Savienības struktūrfondu darbības programmas „Izaugsme un nodarbinātība” 5.6.1.specifiskā atbalsta mērķa „Veicināt Rīgas pilsētas revitalizāciju, nodrošinot teritorijas efektīvu sociālekonomisko izmantošanu” īstenošanai paredzētos līdzekļus.</w:t>
            </w:r>
            <w:r w:rsidR="003436F2">
              <w:rPr>
                <w:rFonts w:eastAsia="Times New Roman"/>
                <w:color w:val="000000"/>
                <w:sz w:val="25"/>
                <w:szCs w:val="25"/>
              </w:rPr>
              <w:t xml:space="preserve"> Ņemot vērā minēto, papildus informācija par Programmas saturu šajā sākotnējās ietekmes novērtējuma ziņojumā (anotācijā) netiks sniegta.</w:t>
            </w:r>
          </w:p>
          <w:p w:rsidR="007E2684" w:rsidRDefault="003436F2" w:rsidP="007E2684">
            <w:pPr>
              <w:ind w:left="132" w:right="127"/>
              <w:jc w:val="both"/>
              <w:rPr>
                <w:rFonts w:eastAsia="Times New Roman"/>
                <w:color w:val="000000"/>
                <w:sz w:val="25"/>
                <w:szCs w:val="25"/>
              </w:rPr>
            </w:pPr>
            <w:r>
              <w:rPr>
                <w:rFonts w:eastAsia="Times New Roman"/>
                <w:color w:val="000000"/>
                <w:sz w:val="25"/>
                <w:szCs w:val="25"/>
              </w:rPr>
              <w:tab/>
              <w:t xml:space="preserve">Ar Ministru kabineta lēmumu par </w:t>
            </w:r>
            <w:r>
              <w:t xml:space="preserve"> Programmas </w:t>
            </w:r>
            <w:r w:rsidRPr="003436F2">
              <w:rPr>
                <w:rFonts w:eastAsia="Times New Roman"/>
                <w:color w:val="000000"/>
                <w:sz w:val="25"/>
                <w:szCs w:val="25"/>
              </w:rPr>
              <w:t xml:space="preserve">ietvaros paredzēto valsts pārziņā esošo Eiropas Savienības struktūrfondu projektu īstenotāju (finansējuma saņēmēju) </w:t>
            </w:r>
            <w:r>
              <w:rPr>
                <w:rFonts w:eastAsia="Times New Roman"/>
                <w:color w:val="000000"/>
                <w:sz w:val="25"/>
                <w:szCs w:val="25"/>
              </w:rPr>
              <w:t xml:space="preserve">tiek virzīta </w:t>
            </w:r>
            <w:r w:rsidRPr="003436F2">
              <w:rPr>
                <w:rFonts w:eastAsia="Times New Roman"/>
                <w:color w:val="000000"/>
                <w:sz w:val="25"/>
                <w:szCs w:val="25"/>
              </w:rPr>
              <w:t>Valsts sabiedrīb</w:t>
            </w:r>
            <w:r>
              <w:rPr>
                <w:rFonts w:eastAsia="Times New Roman"/>
                <w:color w:val="000000"/>
                <w:sz w:val="25"/>
                <w:szCs w:val="25"/>
              </w:rPr>
              <w:t>a</w:t>
            </w:r>
            <w:r w:rsidRPr="003436F2">
              <w:rPr>
                <w:rFonts w:eastAsia="Times New Roman"/>
                <w:color w:val="000000"/>
                <w:sz w:val="25"/>
                <w:szCs w:val="25"/>
              </w:rPr>
              <w:t xml:space="preserve"> ar ierobežotu atbildību “Kultūras un sporta centrs </w:t>
            </w:r>
            <w:r>
              <w:rPr>
                <w:rFonts w:eastAsia="Times New Roman"/>
                <w:color w:val="000000"/>
                <w:sz w:val="25"/>
                <w:szCs w:val="25"/>
              </w:rPr>
              <w:t>„Daugavas stadions”” (turpmāk – Kapitālsabiedrība)</w:t>
            </w:r>
            <w:r w:rsidR="007E2684">
              <w:rPr>
                <w:rFonts w:eastAsia="Times New Roman"/>
                <w:color w:val="000000"/>
                <w:sz w:val="25"/>
                <w:szCs w:val="25"/>
              </w:rPr>
              <w:t>, kurai līdz ar to noteikta atbildība par Programmas mērķu sasniegšanu noteiktajos termiņos.</w:t>
            </w:r>
          </w:p>
          <w:p w:rsidR="007E2684" w:rsidRDefault="007E2684" w:rsidP="007E2684">
            <w:pPr>
              <w:ind w:left="132" w:right="127"/>
              <w:jc w:val="both"/>
              <w:rPr>
                <w:sz w:val="25"/>
                <w:szCs w:val="25"/>
              </w:rPr>
            </w:pPr>
            <w:r>
              <w:rPr>
                <w:rFonts w:eastAsia="Times New Roman"/>
                <w:color w:val="000000"/>
                <w:sz w:val="25"/>
                <w:szCs w:val="25"/>
              </w:rPr>
              <w:lastRenderedPageBreak/>
              <w:tab/>
            </w:r>
            <w:r w:rsidRPr="007E2684">
              <w:rPr>
                <w:rFonts w:eastAsia="Times New Roman"/>
                <w:color w:val="000000"/>
                <w:sz w:val="25"/>
                <w:szCs w:val="25"/>
              </w:rPr>
              <w:t>Deklarācijas par Laimdotas Straujumas vadītā Ministru kabineta iecerēto darbību 122.punkts paredz uzdevumu savlaicīgi nodrošināt XXVI Vispārējo latviešu Dziesmu un XVI Deju svētku sagatavošanu un veiksmīgu norisi, t.sk. sagatavojot Deju svētku norisei atbilstošu mūsdienīgu nacionālo stadionu.</w:t>
            </w:r>
            <w:r>
              <w:rPr>
                <w:rFonts w:eastAsia="Times New Roman"/>
                <w:color w:val="000000"/>
                <w:sz w:val="25"/>
                <w:szCs w:val="25"/>
              </w:rPr>
              <w:t xml:space="preserve"> Lai līdz </w:t>
            </w:r>
            <w:r w:rsidRPr="007E2684">
              <w:rPr>
                <w:sz w:val="25"/>
                <w:szCs w:val="25"/>
              </w:rPr>
              <w:t>XXVI Vispārējo latviešu Dziesmu un XVI Deju svētku norisei 2018.gadā paplašinātu Daugavas stadiona tribīņu kapacitāt</w:t>
            </w:r>
            <w:r>
              <w:rPr>
                <w:sz w:val="25"/>
                <w:szCs w:val="25"/>
              </w:rPr>
              <w:t>i, nepieciešams steidzami uzsākt Programmas īstenošanu.</w:t>
            </w:r>
          </w:p>
          <w:p w:rsidR="00913B50" w:rsidRDefault="00913B50" w:rsidP="00F71E59">
            <w:pPr>
              <w:ind w:left="132" w:right="127"/>
              <w:jc w:val="both"/>
              <w:rPr>
                <w:rFonts w:eastAsia="Times New Roman"/>
                <w:color w:val="000000"/>
                <w:sz w:val="25"/>
                <w:szCs w:val="25"/>
              </w:rPr>
            </w:pPr>
            <w:r>
              <w:rPr>
                <w:rFonts w:eastAsia="Times New Roman"/>
                <w:color w:val="000000"/>
                <w:sz w:val="25"/>
                <w:szCs w:val="25"/>
              </w:rPr>
              <w:tab/>
              <w:t xml:space="preserve">Kapitālsabiedrība jau ir veikusi iepirkuma procedūru un noslēgusi līgumu par Daugavas </w:t>
            </w:r>
            <w:r w:rsidRPr="00913B50">
              <w:rPr>
                <w:rFonts w:eastAsia="Times New Roman"/>
                <w:color w:val="000000"/>
                <w:sz w:val="25"/>
                <w:szCs w:val="25"/>
              </w:rPr>
              <w:t>stadiona tribīņu pārbūves būvprojekta minimālā sastāvā izstrādi</w:t>
            </w:r>
            <w:r>
              <w:rPr>
                <w:rFonts w:eastAsia="Times New Roman"/>
                <w:color w:val="000000"/>
                <w:sz w:val="25"/>
                <w:szCs w:val="25"/>
              </w:rPr>
              <w:t>.</w:t>
            </w:r>
            <w:r w:rsidR="00EF6A04">
              <w:rPr>
                <w:rFonts w:eastAsia="Times New Roman"/>
                <w:color w:val="000000"/>
                <w:sz w:val="25"/>
                <w:szCs w:val="25"/>
              </w:rPr>
              <w:t xml:space="preserve"> Sagatavošanās darbu Programmas apguves uzsākšanai  ietvaros steidzami nepieciešams veikt arī šādus darbus:</w:t>
            </w:r>
          </w:p>
          <w:p w:rsidR="00EF6A04" w:rsidRDefault="00EF6A04" w:rsidP="00EF6A04">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v</w:t>
            </w:r>
            <w:r w:rsidRPr="00EF6A04">
              <w:rPr>
                <w:rFonts w:eastAsia="Times New Roman"/>
                <w:color w:val="000000"/>
                <w:sz w:val="25"/>
                <w:szCs w:val="25"/>
              </w:rPr>
              <w:t>eikt teritorijas topogrāfiskā plāna izstrādi;</w:t>
            </w:r>
          </w:p>
          <w:p w:rsidR="00EF6A04" w:rsidRDefault="00EF6A04" w:rsidP="00EF6A04">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v</w:t>
            </w:r>
            <w:r w:rsidRPr="00EF6A04">
              <w:rPr>
                <w:rFonts w:eastAsia="Times New Roman"/>
                <w:color w:val="000000"/>
                <w:sz w:val="25"/>
                <w:szCs w:val="25"/>
              </w:rPr>
              <w:t>eikt teritorijas ģeoloģisko izpēti;</w:t>
            </w:r>
          </w:p>
          <w:p w:rsidR="00EF6A04" w:rsidRDefault="00EF6A04" w:rsidP="00EF6A04">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i</w:t>
            </w:r>
            <w:r w:rsidRPr="00EF6A04">
              <w:rPr>
                <w:rFonts w:eastAsia="Times New Roman"/>
                <w:color w:val="000000"/>
                <w:sz w:val="25"/>
                <w:szCs w:val="25"/>
              </w:rPr>
              <w:t>zstrādāt tribīņu un inženierkomunikāciju pārbūves tehniskā projektu;</w:t>
            </w:r>
          </w:p>
          <w:p w:rsidR="00EF6A04" w:rsidRDefault="00EF6A04" w:rsidP="00EF6A04">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v</w:t>
            </w:r>
            <w:r w:rsidRPr="00EF6A04">
              <w:rPr>
                <w:rFonts w:eastAsia="Times New Roman"/>
                <w:color w:val="000000"/>
                <w:sz w:val="25"/>
                <w:szCs w:val="25"/>
              </w:rPr>
              <w:t>eikt būvdarbu iepirkumu;</w:t>
            </w:r>
          </w:p>
          <w:p w:rsidR="00EF6A04" w:rsidRDefault="00EF6A04" w:rsidP="00EF6A04">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i</w:t>
            </w:r>
            <w:r w:rsidRPr="00EF6A04">
              <w:rPr>
                <w:rFonts w:eastAsia="Times New Roman"/>
                <w:color w:val="000000"/>
                <w:sz w:val="25"/>
                <w:szCs w:val="25"/>
              </w:rPr>
              <w:t xml:space="preserve">zveidot </w:t>
            </w:r>
            <w:r>
              <w:rPr>
                <w:rFonts w:eastAsia="Times New Roman"/>
                <w:color w:val="000000"/>
                <w:sz w:val="25"/>
                <w:szCs w:val="25"/>
              </w:rPr>
              <w:t>P</w:t>
            </w:r>
            <w:r w:rsidRPr="00EF6A04">
              <w:rPr>
                <w:rFonts w:eastAsia="Times New Roman"/>
                <w:color w:val="000000"/>
                <w:sz w:val="25"/>
                <w:szCs w:val="25"/>
              </w:rPr>
              <w:t>rogrammas vadības biroju;</w:t>
            </w:r>
          </w:p>
          <w:p w:rsidR="00EF6A04" w:rsidRPr="00EF6A04" w:rsidRDefault="00EF6A04" w:rsidP="00EF6A04">
            <w:pPr>
              <w:pStyle w:val="ListParagraph"/>
              <w:numPr>
                <w:ilvl w:val="0"/>
                <w:numId w:val="22"/>
              </w:numPr>
              <w:ind w:right="127"/>
              <w:jc w:val="both"/>
              <w:rPr>
                <w:rFonts w:eastAsia="Times New Roman"/>
                <w:color w:val="000000"/>
                <w:sz w:val="25"/>
                <w:szCs w:val="25"/>
              </w:rPr>
            </w:pPr>
            <w:r>
              <w:rPr>
                <w:rFonts w:eastAsia="Times New Roman"/>
                <w:color w:val="000000"/>
                <w:sz w:val="25"/>
                <w:szCs w:val="25"/>
              </w:rPr>
              <w:t>s</w:t>
            </w:r>
            <w:r w:rsidRPr="00EF6A04">
              <w:rPr>
                <w:rFonts w:eastAsia="Times New Roman"/>
                <w:color w:val="000000"/>
                <w:sz w:val="25"/>
                <w:szCs w:val="25"/>
              </w:rPr>
              <w:t>agatavot un iesniegt projekta pieteikumu Eiropas Reģionālās attīstības fonda finansējuma saņemšanai.</w:t>
            </w:r>
          </w:p>
          <w:p w:rsidR="00913B50" w:rsidRDefault="00EF6A04" w:rsidP="00F71E59">
            <w:pPr>
              <w:ind w:left="132" w:right="127"/>
              <w:jc w:val="both"/>
              <w:rPr>
                <w:rFonts w:eastAsia="Times New Roman"/>
                <w:color w:val="000000"/>
                <w:sz w:val="25"/>
                <w:szCs w:val="25"/>
              </w:rPr>
            </w:pPr>
            <w:r>
              <w:rPr>
                <w:rFonts w:eastAsia="Times New Roman"/>
                <w:color w:val="000000"/>
                <w:sz w:val="25"/>
                <w:szCs w:val="25"/>
              </w:rPr>
              <w:tab/>
              <w:t xml:space="preserve">Tāpat </w:t>
            </w:r>
            <w:r w:rsidR="00913B50">
              <w:rPr>
                <w:rFonts w:eastAsia="Times New Roman"/>
                <w:color w:val="000000"/>
                <w:sz w:val="25"/>
                <w:szCs w:val="25"/>
              </w:rPr>
              <w:t xml:space="preserve">Kapitālsabiedrībai </w:t>
            </w:r>
            <w:r w:rsidR="00913B50" w:rsidRPr="00913B50">
              <w:rPr>
                <w:rFonts w:eastAsia="Times New Roman"/>
                <w:color w:val="000000"/>
                <w:sz w:val="25"/>
                <w:szCs w:val="25"/>
              </w:rPr>
              <w:t xml:space="preserve">nepieciešama administratīvā kapacitāte notifikācijas par </w:t>
            </w:r>
            <w:r>
              <w:rPr>
                <w:rFonts w:eastAsia="Times New Roman"/>
                <w:color w:val="000000"/>
                <w:sz w:val="25"/>
                <w:szCs w:val="25"/>
              </w:rPr>
              <w:t xml:space="preserve">Programmas ietvaros </w:t>
            </w:r>
            <w:r w:rsidR="00913B50" w:rsidRPr="00913B50">
              <w:rPr>
                <w:rFonts w:eastAsia="Times New Roman"/>
                <w:color w:val="000000"/>
                <w:sz w:val="25"/>
                <w:szCs w:val="25"/>
              </w:rPr>
              <w:t>realizējamajiem projektiem sagatavošanai, iesniegšanai un saskaņošanai Eiropas Komisijā.</w:t>
            </w:r>
          </w:p>
          <w:p w:rsidR="008006FA" w:rsidRDefault="00EF6A04" w:rsidP="00F71E59">
            <w:pPr>
              <w:ind w:left="132" w:right="127"/>
              <w:jc w:val="both"/>
              <w:rPr>
                <w:rFonts w:eastAsia="Times New Roman"/>
                <w:color w:val="000000"/>
                <w:sz w:val="25"/>
                <w:szCs w:val="25"/>
              </w:rPr>
            </w:pPr>
            <w:r>
              <w:rPr>
                <w:rFonts w:eastAsia="Times New Roman"/>
                <w:color w:val="000000"/>
                <w:sz w:val="25"/>
                <w:szCs w:val="25"/>
              </w:rPr>
              <w:tab/>
              <w:t xml:space="preserve">Minēto darbu apmaksai Kapitālsabiedrībai nepieciešams finansējums </w:t>
            </w:r>
            <w:r w:rsidRPr="00EF6A04">
              <w:rPr>
                <w:rFonts w:eastAsia="Times New Roman"/>
                <w:color w:val="000000"/>
                <w:sz w:val="25"/>
                <w:szCs w:val="25"/>
              </w:rPr>
              <w:t xml:space="preserve">199 850 </w:t>
            </w:r>
            <w:r w:rsidRPr="007E1CF4">
              <w:rPr>
                <w:rFonts w:eastAsia="Times New Roman"/>
                <w:i/>
                <w:color w:val="000000"/>
                <w:sz w:val="25"/>
                <w:szCs w:val="25"/>
              </w:rPr>
              <w:t>euro</w:t>
            </w:r>
            <w:r w:rsidRPr="00EF6A04">
              <w:rPr>
                <w:rFonts w:eastAsia="Times New Roman"/>
                <w:color w:val="000000"/>
                <w:sz w:val="25"/>
                <w:szCs w:val="25"/>
              </w:rPr>
              <w:t xml:space="preserve"> apmērā</w:t>
            </w:r>
            <w:r w:rsidR="008006FA">
              <w:rPr>
                <w:rFonts w:eastAsia="Times New Roman"/>
                <w:color w:val="000000"/>
                <w:sz w:val="25"/>
                <w:szCs w:val="25"/>
              </w:rPr>
              <w:t>.</w:t>
            </w:r>
          </w:p>
          <w:p w:rsidR="008006FA" w:rsidRDefault="008006FA" w:rsidP="008006FA">
            <w:pPr>
              <w:ind w:left="132" w:right="127"/>
              <w:jc w:val="both"/>
              <w:rPr>
                <w:rFonts w:eastAsia="Times New Roman"/>
                <w:color w:val="000000"/>
                <w:sz w:val="25"/>
                <w:szCs w:val="25"/>
              </w:rPr>
            </w:pPr>
            <w:r>
              <w:rPr>
                <w:rFonts w:eastAsia="Times New Roman"/>
                <w:color w:val="000000"/>
                <w:sz w:val="25"/>
                <w:szCs w:val="25"/>
              </w:rPr>
              <w:tab/>
            </w:r>
            <w:r w:rsidRPr="00700D34">
              <w:rPr>
                <w:rFonts w:eastAsia="Times New Roman"/>
                <w:color w:val="000000"/>
                <w:sz w:val="25"/>
                <w:szCs w:val="25"/>
              </w:rPr>
              <w:t xml:space="preserve">Ministru kabineta 2015.gada 11.augusta sēdē </w:t>
            </w:r>
            <w:r>
              <w:rPr>
                <w:rFonts w:eastAsia="Times New Roman"/>
                <w:color w:val="000000"/>
                <w:sz w:val="25"/>
                <w:szCs w:val="25"/>
              </w:rPr>
              <w:t>apstiprinātā Ministru kabineta rīkojuma „Par konceptuālo ziņojumu „</w:t>
            </w:r>
            <w:r w:rsidRPr="008006FA">
              <w:rPr>
                <w:rFonts w:eastAsia="Times New Roman"/>
                <w:color w:val="000000"/>
                <w:sz w:val="25"/>
                <w:szCs w:val="25"/>
              </w:rPr>
              <w:t>Par Daugavas stadiona (Rīgā) teritori</w:t>
            </w:r>
            <w:r>
              <w:rPr>
                <w:rFonts w:eastAsia="Times New Roman"/>
                <w:color w:val="000000"/>
                <w:sz w:val="25"/>
                <w:szCs w:val="25"/>
              </w:rPr>
              <w:t>jas revitalizācijas programmas „</w:t>
            </w:r>
            <w:r w:rsidRPr="008006FA">
              <w:rPr>
                <w:rFonts w:eastAsia="Times New Roman"/>
                <w:color w:val="000000"/>
                <w:sz w:val="25"/>
                <w:szCs w:val="25"/>
              </w:rPr>
              <w:t>Kultūras un sporta kvartāla izveide Grīziņkalna apkaimē” īstenošanu”</w:t>
            </w:r>
            <w:r>
              <w:rPr>
                <w:rFonts w:eastAsia="Times New Roman"/>
                <w:color w:val="000000"/>
                <w:sz w:val="25"/>
                <w:szCs w:val="25"/>
              </w:rPr>
              <w:t xml:space="preserve"> 5.punkts paredz, ka </w:t>
            </w:r>
          </w:p>
          <w:p w:rsidR="00EF6A04" w:rsidRDefault="008006FA" w:rsidP="00F71E59">
            <w:pPr>
              <w:ind w:left="132" w:right="127"/>
              <w:jc w:val="both"/>
              <w:rPr>
                <w:rFonts w:eastAsia="Times New Roman"/>
                <w:color w:val="000000"/>
                <w:sz w:val="25"/>
                <w:szCs w:val="25"/>
              </w:rPr>
            </w:pPr>
            <w:r>
              <w:rPr>
                <w:rFonts w:eastAsia="Times New Roman"/>
                <w:color w:val="000000"/>
                <w:sz w:val="25"/>
                <w:szCs w:val="25"/>
              </w:rPr>
              <w:t>i</w:t>
            </w:r>
            <w:r w:rsidRPr="008006FA">
              <w:rPr>
                <w:rFonts w:eastAsia="Times New Roman"/>
                <w:color w:val="000000"/>
                <w:sz w:val="25"/>
                <w:szCs w:val="25"/>
              </w:rPr>
              <w:t xml:space="preserve">zmaksas, kas radušās pirms līguma par projekta īstenošanu noslēgšanas, pilnā apmērā priekšfinansējamas no projekta īstenotāja </w:t>
            </w:r>
            <w:r>
              <w:rPr>
                <w:rFonts w:eastAsia="Times New Roman"/>
                <w:color w:val="000000"/>
                <w:sz w:val="25"/>
                <w:szCs w:val="25"/>
              </w:rPr>
              <w:t xml:space="preserve">(Kapitālsabiedrības) līdzekļiem. Šobrīd šāda apmēra finansējumu Kapitālsabiedrībai nav </w:t>
            </w:r>
            <w:r w:rsidR="00EF6A04">
              <w:rPr>
                <w:rFonts w:eastAsia="Times New Roman"/>
                <w:color w:val="000000"/>
                <w:sz w:val="25"/>
                <w:szCs w:val="25"/>
              </w:rPr>
              <w:t>iespējams piesaistīt no Kapitālsabiedrības saimnieciskās darbības rezultātā gūtajiem ieņēmumiem.</w:t>
            </w:r>
          </w:p>
          <w:p w:rsidR="00095510" w:rsidRDefault="008006FA" w:rsidP="00095510">
            <w:pPr>
              <w:ind w:left="132" w:right="127"/>
              <w:jc w:val="both"/>
              <w:rPr>
                <w:rFonts w:eastAsia="Times New Roman"/>
                <w:color w:val="000000"/>
                <w:sz w:val="25"/>
                <w:szCs w:val="25"/>
              </w:rPr>
            </w:pPr>
            <w:r>
              <w:rPr>
                <w:rFonts w:eastAsia="Times New Roman"/>
                <w:color w:val="000000"/>
                <w:sz w:val="25"/>
                <w:szCs w:val="25"/>
              </w:rPr>
              <w:tab/>
            </w:r>
            <w:r w:rsidR="00095510" w:rsidRPr="00095510">
              <w:rPr>
                <w:rFonts w:eastAsia="Times New Roman"/>
                <w:color w:val="000000"/>
                <w:sz w:val="25"/>
                <w:szCs w:val="25"/>
              </w:rPr>
              <w:t>Visi finanšu līdzekļi 2015.gadam val</w:t>
            </w:r>
            <w:r w:rsidR="00095510">
              <w:rPr>
                <w:rFonts w:eastAsia="Times New Roman"/>
                <w:color w:val="000000"/>
                <w:sz w:val="25"/>
                <w:szCs w:val="25"/>
              </w:rPr>
              <w:t>sts budžeta programmā 09.00.00 „</w:t>
            </w:r>
            <w:r w:rsidR="00095510" w:rsidRPr="00095510">
              <w:rPr>
                <w:rFonts w:eastAsia="Times New Roman"/>
                <w:color w:val="000000"/>
                <w:sz w:val="25"/>
                <w:szCs w:val="25"/>
              </w:rPr>
              <w:t>Spo</w:t>
            </w:r>
            <w:r w:rsidR="00095510">
              <w:rPr>
                <w:rFonts w:eastAsia="Times New Roman"/>
                <w:color w:val="000000"/>
                <w:sz w:val="25"/>
                <w:szCs w:val="25"/>
              </w:rPr>
              <w:t>rts”, t.sk. apakšprogrammās 09.04</w:t>
            </w:r>
            <w:r w:rsidR="00095510" w:rsidRPr="00095510">
              <w:rPr>
                <w:rFonts w:eastAsia="Times New Roman"/>
                <w:color w:val="000000"/>
                <w:sz w:val="25"/>
                <w:szCs w:val="25"/>
              </w:rPr>
              <w:t>.00</w:t>
            </w:r>
            <w:r w:rsidR="00095510">
              <w:rPr>
                <w:rFonts w:eastAsia="Times New Roman"/>
                <w:color w:val="000000"/>
                <w:sz w:val="25"/>
                <w:szCs w:val="25"/>
              </w:rPr>
              <w:t xml:space="preserve"> „Sporta būves”</w:t>
            </w:r>
            <w:r w:rsidR="00095510" w:rsidRPr="00095510">
              <w:rPr>
                <w:rFonts w:eastAsia="Times New Roman"/>
                <w:color w:val="000000"/>
                <w:sz w:val="25"/>
                <w:szCs w:val="25"/>
              </w:rPr>
              <w:t>, no kur</w:t>
            </w:r>
            <w:r w:rsidR="00095510">
              <w:rPr>
                <w:rFonts w:eastAsia="Times New Roman"/>
                <w:color w:val="000000"/>
                <w:sz w:val="25"/>
                <w:szCs w:val="25"/>
              </w:rPr>
              <w:t>as</w:t>
            </w:r>
            <w:r w:rsidR="00095510" w:rsidRPr="00095510">
              <w:rPr>
                <w:rFonts w:eastAsia="Times New Roman"/>
                <w:color w:val="000000"/>
                <w:sz w:val="25"/>
                <w:szCs w:val="25"/>
              </w:rPr>
              <w:t xml:space="preserve"> varētu piešķirt līdzekļus </w:t>
            </w:r>
            <w:r w:rsidR="00884423">
              <w:rPr>
                <w:rFonts w:eastAsia="Times New Roman"/>
                <w:color w:val="000000"/>
                <w:sz w:val="25"/>
                <w:szCs w:val="25"/>
              </w:rPr>
              <w:t>Kapitālsabiedrībai</w:t>
            </w:r>
            <w:r w:rsidR="00095510">
              <w:rPr>
                <w:rFonts w:eastAsia="Times New Roman"/>
                <w:color w:val="000000"/>
                <w:sz w:val="25"/>
                <w:szCs w:val="25"/>
              </w:rPr>
              <w:t xml:space="preserve">, </w:t>
            </w:r>
            <w:r w:rsidR="00095510" w:rsidRPr="00095510">
              <w:rPr>
                <w:rFonts w:eastAsia="Times New Roman"/>
                <w:color w:val="000000"/>
                <w:sz w:val="25"/>
                <w:szCs w:val="25"/>
              </w:rPr>
              <w:t xml:space="preserve">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w:t>
            </w:r>
            <w:r w:rsidR="008829F8">
              <w:rPr>
                <w:rFonts w:eastAsia="Times New Roman"/>
                <w:color w:val="000000"/>
                <w:sz w:val="25"/>
                <w:szCs w:val="25"/>
              </w:rPr>
              <w:t>organizācijām</w:t>
            </w:r>
            <w:r w:rsidR="00095510" w:rsidRPr="00095510">
              <w:rPr>
                <w:rFonts w:eastAsia="Times New Roman"/>
                <w:color w:val="000000"/>
                <w:sz w:val="25"/>
                <w:szCs w:val="25"/>
              </w:rPr>
              <w:t xml:space="preserve"> (līgums paredz IZM tiesības samazināt līguma summu tikai tad, ja tiek izdarīti grozījumi likumā </w:t>
            </w:r>
            <w:r w:rsidR="00095510">
              <w:rPr>
                <w:rFonts w:eastAsia="Times New Roman"/>
                <w:color w:val="000000"/>
                <w:sz w:val="25"/>
                <w:szCs w:val="25"/>
              </w:rPr>
              <w:t>„</w:t>
            </w:r>
            <w:r w:rsidR="00095510" w:rsidRPr="00095510">
              <w:rPr>
                <w:rFonts w:eastAsia="Times New Roman"/>
                <w:color w:val="000000"/>
                <w:sz w:val="25"/>
                <w:szCs w:val="25"/>
              </w:rPr>
              <w:t xml:space="preserve">Par valsts budžetu 2015.gadam”, vai sporta </w:t>
            </w:r>
            <w:r w:rsidR="00095510">
              <w:rPr>
                <w:rFonts w:eastAsia="Times New Roman"/>
                <w:color w:val="000000"/>
                <w:sz w:val="25"/>
                <w:szCs w:val="25"/>
              </w:rPr>
              <w:t>organizācija</w:t>
            </w:r>
            <w:r w:rsidR="00095510" w:rsidRPr="00095510">
              <w:rPr>
                <w:rFonts w:eastAsia="Times New Roman"/>
                <w:color w:val="000000"/>
                <w:sz w:val="25"/>
                <w:szCs w:val="25"/>
              </w:rPr>
              <w:t xml:space="preserve"> neievēro pielīgtās saistības). </w:t>
            </w:r>
            <w:r w:rsidR="00095510">
              <w:rPr>
                <w:rFonts w:eastAsia="Times New Roman"/>
                <w:color w:val="000000"/>
                <w:sz w:val="25"/>
                <w:szCs w:val="25"/>
              </w:rPr>
              <w:t xml:space="preserve">Tomēr, izvērtējot </w:t>
            </w:r>
            <w:r w:rsidR="00095510">
              <w:rPr>
                <w:rFonts w:eastAsia="Times New Roman"/>
                <w:color w:val="000000"/>
                <w:sz w:val="25"/>
                <w:szCs w:val="25"/>
              </w:rPr>
              <w:lastRenderedPageBreak/>
              <w:t xml:space="preserve">līdzekļu apguves prognozi IZM </w:t>
            </w:r>
            <w:r w:rsidR="00095510" w:rsidRPr="00095510">
              <w:rPr>
                <w:rFonts w:eastAsia="Times New Roman"/>
                <w:color w:val="000000"/>
                <w:sz w:val="25"/>
                <w:szCs w:val="25"/>
              </w:rPr>
              <w:t>budžeta apakšprogramm</w:t>
            </w:r>
            <w:r w:rsidR="00095510">
              <w:rPr>
                <w:rFonts w:eastAsia="Times New Roman"/>
                <w:color w:val="000000"/>
                <w:sz w:val="25"/>
                <w:szCs w:val="25"/>
              </w:rPr>
              <w:t>ā</w:t>
            </w:r>
            <w:r w:rsidR="00095510" w:rsidRPr="00095510">
              <w:rPr>
                <w:rFonts w:eastAsia="Times New Roman"/>
                <w:color w:val="000000"/>
                <w:sz w:val="25"/>
                <w:szCs w:val="25"/>
              </w:rPr>
              <w:t xml:space="preserve"> </w:t>
            </w:r>
            <w:r w:rsidR="00B92A07" w:rsidRPr="00B92A07">
              <w:rPr>
                <w:rFonts w:eastAsia="Times New Roman"/>
                <w:color w:val="000000"/>
                <w:sz w:val="25"/>
                <w:szCs w:val="25"/>
              </w:rPr>
              <w:t>42.03.00 „Skolu ja</w:t>
            </w:r>
            <w:r w:rsidR="00B92A07">
              <w:rPr>
                <w:rFonts w:eastAsia="Times New Roman"/>
                <w:color w:val="000000"/>
                <w:sz w:val="25"/>
                <w:szCs w:val="25"/>
              </w:rPr>
              <w:t>unatnes dziesmu un deju svētki”</w:t>
            </w:r>
            <w:r w:rsidR="00D46275">
              <w:rPr>
                <w:rFonts w:eastAsia="Times New Roman"/>
                <w:color w:val="000000"/>
                <w:sz w:val="25"/>
                <w:szCs w:val="25"/>
              </w:rPr>
              <w:t xml:space="preserve"> un apakšprogrammā</w:t>
            </w:r>
            <w:r w:rsidR="00D46275" w:rsidRPr="00D46275">
              <w:rPr>
                <w:rFonts w:eastAsia="Times New Roman"/>
                <w:color w:val="000000"/>
                <w:sz w:val="25"/>
                <w:szCs w:val="25"/>
              </w:rPr>
              <w:t xml:space="preserve"> 12.00.00 „Finansējums asistenta pakalpojuma nodrošināšanai personai ar invaliditāti pārvietošanas atbalstam un pašaprūpes </w:t>
            </w:r>
            <w:r w:rsidR="00D46275">
              <w:rPr>
                <w:rFonts w:eastAsia="Times New Roman"/>
                <w:color w:val="000000"/>
                <w:sz w:val="25"/>
                <w:szCs w:val="25"/>
              </w:rPr>
              <w:t>veikšanai”</w:t>
            </w:r>
            <w:r w:rsidR="00B92A07">
              <w:rPr>
                <w:rFonts w:eastAsia="Times New Roman"/>
                <w:color w:val="000000"/>
                <w:sz w:val="25"/>
                <w:szCs w:val="25"/>
              </w:rPr>
              <w:t>,</w:t>
            </w:r>
            <w:r w:rsidR="00D46275">
              <w:rPr>
                <w:rFonts w:eastAsia="Times New Roman"/>
                <w:color w:val="000000"/>
                <w:sz w:val="25"/>
                <w:szCs w:val="25"/>
              </w:rPr>
              <w:t xml:space="preserve"> </w:t>
            </w:r>
            <w:r w:rsidR="00095510">
              <w:rPr>
                <w:rFonts w:eastAsia="Times New Roman"/>
                <w:color w:val="000000"/>
                <w:sz w:val="25"/>
                <w:szCs w:val="25"/>
              </w:rPr>
              <w:t xml:space="preserve">konstatējams līdzekļu ietaupījums, no kura </w:t>
            </w:r>
            <w:r w:rsidR="00B92A07" w:rsidRPr="00B92A07">
              <w:rPr>
                <w:rFonts w:eastAsia="Times New Roman"/>
                <w:color w:val="000000"/>
                <w:sz w:val="25"/>
                <w:szCs w:val="25"/>
              </w:rPr>
              <w:t xml:space="preserve">199 850 </w:t>
            </w:r>
            <w:r w:rsidR="00095510" w:rsidRPr="00095510">
              <w:rPr>
                <w:rFonts w:eastAsia="Times New Roman"/>
                <w:i/>
                <w:color w:val="000000"/>
                <w:sz w:val="25"/>
                <w:szCs w:val="25"/>
              </w:rPr>
              <w:t>euro</w:t>
            </w:r>
            <w:r w:rsidR="00095510">
              <w:rPr>
                <w:rFonts w:eastAsia="Times New Roman"/>
                <w:color w:val="000000"/>
                <w:sz w:val="25"/>
                <w:szCs w:val="25"/>
              </w:rPr>
              <w:t xml:space="preserve"> būtu iespējams novirzīt </w:t>
            </w:r>
            <w:r w:rsidR="00B92A07">
              <w:rPr>
                <w:rFonts w:eastAsia="Times New Roman"/>
                <w:color w:val="000000"/>
                <w:sz w:val="25"/>
                <w:szCs w:val="25"/>
              </w:rPr>
              <w:t>Kapitālsabiedrībai</w:t>
            </w:r>
            <w:r w:rsidR="00095510">
              <w:rPr>
                <w:rFonts w:eastAsia="Times New Roman"/>
                <w:color w:val="000000"/>
                <w:sz w:val="25"/>
                <w:szCs w:val="25"/>
              </w:rPr>
              <w:t>.</w:t>
            </w:r>
            <w:r w:rsidR="00D550EC">
              <w:rPr>
                <w:rFonts w:eastAsia="Times New Roman"/>
                <w:color w:val="000000"/>
                <w:sz w:val="25"/>
                <w:szCs w:val="25"/>
              </w:rPr>
              <w:t xml:space="preserve"> Apakš</w:t>
            </w:r>
            <w:r w:rsidR="00D550EC" w:rsidRPr="00D550EC">
              <w:rPr>
                <w:rFonts w:eastAsia="Times New Roman"/>
                <w:color w:val="000000"/>
                <w:sz w:val="25"/>
                <w:szCs w:val="25"/>
              </w:rPr>
              <w:t>programmā 12.00.00 „Finansējums asistenta pakalpojuma nodrošināšanai personai ar invaliditāti pārvietošanas atbalstam un pašaprūpes veikšanai”</w:t>
            </w:r>
            <w:r w:rsidR="00D550EC">
              <w:rPr>
                <w:rFonts w:eastAsia="Times New Roman"/>
                <w:color w:val="000000"/>
                <w:sz w:val="25"/>
                <w:szCs w:val="25"/>
              </w:rPr>
              <w:t xml:space="preserve"> ietaupījums pamatojams ar faktu, ka </w:t>
            </w:r>
            <w:r w:rsidR="00D550EC" w:rsidRPr="00D550EC">
              <w:rPr>
                <w:rFonts w:eastAsia="Times New Roman"/>
                <w:color w:val="000000"/>
                <w:sz w:val="25"/>
                <w:szCs w:val="25"/>
              </w:rPr>
              <w:t>ir izlietots mazāks finansējums asistenta pakalpojuma nodrošināšanai personai ar invaliditāti pārvietošanas atbalstam un pašaprūpes veikšanai salīdzinājumā ar plānoto</w:t>
            </w:r>
            <w:r w:rsidR="00D550EC">
              <w:rPr>
                <w:rFonts w:eastAsia="Times New Roman"/>
                <w:color w:val="000000"/>
                <w:sz w:val="25"/>
                <w:szCs w:val="25"/>
              </w:rPr>
              <w:t xml:space="preserve">. Apakšprogrammā </w:t>
            </w:r>
            <w:r w:rsidR="00D550EC" w:rsidRPr="00B92A07">
              <w:rPr>
                <w:rFonts w:eastAsia="Times New Roman"/>
                <w:color w:val="000000"/>
                <w:sz w:val="25"/>
                <w:szCs w:val="25"/>
              </w:rPr>
              <w:t>42.03.00 „Skolu ja</w:t>
            </w:r>
            <w:r w:rsidR="00D550EC">
              <w:rPr>
                <w:rFonts w:eastAsia="Times New Roman"/>
                <w:color w:val="000000"/>
                <w:sz w:val="25"/>
                <w:szCs w:val="25"/>
              </w:rPr>
              <w:t xml:space="preserve">unatnes dziesmu un deju svētki” ietaupījums pamatojams ar faktu, ka finansējums </w:t>
            </w:r>
            <w:r w:rsidR="00D550EC" w:rsidRPr="00D550EC">
              <w:rPr>
                <w:rFonts w:eastAsia="Times New Roman"/>
                <w:color w:val="000000"/>
                <w:sz w:val="25"/>
                <w:szCs w:val="25"/>
              </w:rPr>
              <w:t>XI Latvijas skolu jaunatnes dziesmu un deju svētki</w:t>
            </w:r>
            <w:r w:rsidR="00D550EC">
              <w:rPr>
                <w:rFonts w:eastAsia="Times New Roman"/>
                <w:color w:val="000000"/>
                <w:sz w:val="25"/>
                <w:szCs w:val="25"/>
              </w:rPr>
              <w:t xml:space="preserve">em valsts budžetā tika plānots divus gadus pirms svētku norises, kā rezultātā, veicot publiskā iepirkuma procedūras, kā arī, piesaistot atbalstītājus, faktiskais valsts budžeta dotācijas izlietojums ir mazāks salīdzinājumā ar plānoto. </w:t>
            </w:r>
          </w:p>
          <w:p w:rsidR="008829F8" w:rsidRPr="008829F8" w:rsidRDefault="008829F8" w:rsidP="008829F8">
            <w:pPr>
              <w:ind w:left="132" w:right="127"/>
              <w:jc w:val="both"/>
              <w:rPr>
                <w:rFonts w:eastAsia="Times New Roman"/>
                <w:color w:val="000000"/>
                <w:sz w:val="25"/>
                <w:szCs w:val="25"/>
              </w:rPr>
            </w:pPr>
            <w:r>
              <w:rPr>
                <w:rFonts w:eastAsia="Times New Roman"/>
                <w:color w:val="000000"/>
                <w:sz w:val="25"/>
                <w:szCs w:val="25"/>
              </w:rPr>
              <w:tab/>
            </w:r>
            <w:r w:rsidRPr="008829F8">
              <w:rPr>
                <w:rFonts w:eastAsia="Times New Roman"/>
                <w:color w:val="000000"/>
                <w:sz w:val="25"/>
                <w:szCs w:val="25"/>
              </w:rPr>
              <w:t>Saskaņā ar likuma “Par valsts budžetu 2015.gadam” 31.panta 4.punktu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30.panta nosacījumus. Minētā norma arī nosaka, ka šādu apropriācijas pārdali atļauts veikt, ja Saeimas Budžeta un finanšu (nodokļu) komisija piecu dienu laikā no attiecīgās informācijas saņemšanas nav iebildusi pret apropriācijas pārdali.</w:t>
            </w:r>
          </w:p>
          <w:p w:rsidR="00C0400D" w:rsidRDefault="008829F8" w:rsidP="00D46275">
            <w:pPr>
              <w:ind w:left="132" w:right="127"/>
              <w:jc w:val="both"/>
              <w:rPr>
                <w:rFonts w:eastAsia="Times New Roman"/>
                <w:color w:val="000000"/>
                <w:sz w:val="25"/>
                <w:szCs w:val="25"/>
              </w:rPr>
            </w:pPr>
            <w:r w:rsidRPr="008829F8">
              <w:rPr>
                <w:rFonts w:eastAsia="Times New Roman"/>
                <w:color w:val="000000"/>
                <w:sz w:val="25"/>
                <w:szCs w:val="25"/>
              </w:rPr>
              <w:tab/>
              <w:t>Ievērojot minēto,  IZM ir izstrādājusi Mini</w:t>
            </w:r>
            <w:r w:rsidR="00270772">
              <w:rPr>
                <w:rFonts w:eastAsia="Times New Roman"/>
                <w:color w:val="000000"/>
                <w:sz w:val="25"/>
                <w:szCs w:val="25"/>
              </w:rPr>
              <w:t>stru kabineta rīkojuma projektu „</w:t>
            </w:r>
            <w:r w:rsidR="00E547A9" w:rsidRPr="00E547A9">
              <w:rPr>
                <w:rFonts w:eastAsia="Times New Roman"/>
                <w:color w:val="000000"/>
                <w:sz w:val="25"/>
                <w:szCs w:val="25"/>
              </w:rPr>
              <w:t>Par apropriācijas pārdali Daugavas stadiona (Rīgā) teritorijas revitalizācijas programmas „Kultūras un sporta kvartāla izveide Grīziņkalna apkaimē” īstenošanas uzsākšanai</w:t>
            </w:r>
            <w:r w:rsidR="00270772">
              <w:rPr>
                <w:rFonts w:eastAsia="Times New Roman"/>
                <w:color w:val="000000"/>
                <w:sz w:val="25"/>
                <w:szCs w:val="25"/>
              </w:rPr>
              <w:t xml:space="preserve">” (turpmāk – Ministru kabineta rīkojuma projekts), kurš paredz </w:t>
            </w:r>
            <w:r w:rsidR="00D46275">
              <w:rPr>
                <w:rFonts w:eastAsia="Times New Roman"/>
                <w:color w:val="000000"/>
                <w:sz w:val="25"/>
                <w:szCs w:val="25"/>
              </w:rPr>
              <w:t xml:space="preserve">atbalstīt </w:t>
            </w:r>
            <w:r w:rsidR="00D46275" w:rsidRPr="00D46275">
              <w:rPr>
                <w:rFonts w:eastAsia="Times New Roman"/>
                <w:color w:val="000000"/>
                <w:sz w:val="25"/>
                <w:szCs w:val="25"/>
              </w:rPr>
              <w:t xml:space="preserve">apropriācijas pārdali 199 850 </w:t>
            </w:r>
            <w:r w:rsidR="00D46275" w:rsidRPr="00D46275">
              <w:rPr>
                <w:rFonts w:eastAsia="Times New Roman"/>
                <w:i/>
                <w:color w:val="000000"/>
                <w:sz w:val="25"/>
                <w:szCs w:val="25"/>
              </w:rPr>
              <w:t>euro</w:t>
            </w:r>
            <w:r w:rsidR="00D46275" w:rsidRPr="00D46275">
              <w:rPr>
                <w:rFonts w:eastAsia="Times New Roman"/>
                <w:color w:val="000000"/>
                <w:sz w:val="25"/>
                <w:szCs w:val="25"/>
              </w:rPr>
              <w:t xml:space="preserve"> apmērā </w:t>
            </w:r>
            <w:r w:rsidR="00D46275">
              <w:rPr>
                <w:rFonts w:eastAsia="Times New Roman"/>
                <w:color w:val="000000"/>
                <w:sz w:val="25"/>
                <w:szCs w:val="25"/>
              </w:rPr>
              <w:t>IZM</w:t>
            </w:r>
            <w:r w:rsidR="00D46275" w:rsidRPr="00D46275">
              <w:rPr>
                <w:rFonts w:eastAsia="Times New Roman"/>
                <w:color w:val="000000"/>
                <w:sz w:val="25"/>
                <w:szCs w:val="25"/>
              </w:rPr>
              <w:t xml:space="preserve"> 2015.gada apakšprogrammai 09.04.00 „Sporta būves” no </w:t>
            </w:r>
            <w:r w:rsidR="00D46275">
              <w:rPr>
                <w:rFonts w:eastAsia="Times New Roman"/>
                <w:color w:val="000000"/>
                <w:sz w:val="25"/>
                <w:szCs w:val="25"/>
              </w:rPr>
              <w:t xml:space="preserve">IZM </w:t>
            </w:r>
            <w:r w:rsidR="00D46275" w:rsidRPr="00D46275">
              <w:rPr>
                <w:rFonts w:eastAsia="Times New Roman"/>
                <w:color w:val="000000"/>
                <w:sz w:val="25"/>
                <w:szCs w:val="25"/>
              </w:rPr>
              <w:t>budžeta apakšprogramm</w:t>
            </w:r>
            <w:r w:rsidR="00D46275">
              <w:rPr>
                <w:rFonts w:eastAsia="Times New Roman"/>
                <w:color w:val="000000"/>
                <w:sz w:val="25"/>
                <w:szCs w:val="25"/>
              </w:rPr>
              <w:t xml:space="preserve">as </w:t>
            </w:r>
            <w:r w:rsidR="00D46275" w:rsidRPr="00D46275">
              <w:rPr>
                <w:rFonts w:eastAsia="Times New Roman"/>
                <w:color w:val="000000"/>
                <w:sz w:val="25"/>
                <w:szCs w:val="25"/>
              </w:rPr>
              <w:t xml:space="preserve">42.03.00 „Skolu jaunatnes dziesmu un </w:t>
            </w:r>
            <w:r w:rsidR="00D46275">
              <w:rPr>
                <w:rFonts w:eastAsia="Times New Roman"/>
                <w:color w:val="000000"/>
                <w:sz w:val="25"/>
                <w:szCs w:val="25"/>
              </w:rPr>
              <w:t xml:space="preserve">deju svētki” 90 000 </w:t>
            </w:r>
            <w:r w:rsidR="00D46275" w:rsidRPr="00D46275">
              <w:rPr>
                <w:rFonts w:eastAsia="Times New Roman"/>
                <w:i/>
                <w:color w:val="000000"/>
                <w:sz w:val="25"/>
                <w:szCs w:val="25"/>
              </w:rPr>
              <w:t>euro</w:t>
            </w:r>
            <w:r w:rsidR="00D46275">
              <w:rPr>
                <w:rFonts w:eastAsia="Times New Roman"/>
                <w:color w:val="000000"/>
                <w:sz w:val="25"/>
                <w:szCs w:val="25"/>
              </w:rPr>
              <w:t xml:space="preserve"> apmērā un </w:t>
            </w:r>
            <w:r w:rsidR="00D46275" w:rsidRPr="00D46275">
              <w:rPr>
                <w:rFonts w:eastAsia="Times New Roman"/>
                <w:color w:val="000000"/>
                <w:sz w:val="25"/>
                <w:szCs w:val="25"/>
              </w:rPr>
              <w:t xml:space="preserve">apakšprogrammas 12.00.00 „Finansējums asistenta pakalpojuma nodrošināšanai personai ar invaliditāti pārvietošanas atbalstam un pašaprūpes veikšanai” 109 850 </w:t>
            </w:r>
            <w:r w:rsidR="00D46275" w:rsidRPr="00D46275">
              <w:rPr>
                <w:rFonts w:eastAsia="Times New Roman"/>
                <w:i/>
                <w:color w:val="000000"/>
                <w:sz w:val="25"/>
                <w:szCs w:val="25"/>
              </w:rPr>
              <w:t>euro</w:t>
            </w:r>
            <w:r w:rsidR="00D46275">
              <w:rPr>
                <w:rFonts w:eastAsia="Times New Roman"/>
                <w:color w:val="000000"/>
                <w:sz w:val="25"/>
                <w:szCs w:val="25"/>
              </w:rPr>
              <w:t xml:space="preserve"> apmērā, tādejādi nodrošinot </w:t>
            </w:r>
            <w:r w:rsidR="00E547A9">
              <w:rPr>
                <w:rFonts w:eastAsia="Times New Roman"/>
                <w:color w:val="000000"/>
                <w:sz w:val="25"/>
                <w:szCs w:val="25"/>
              </w:rPr>
              <w:t>Programmas īstenošanas uzsākšanai nepieciešamo sagatavošanās darbu finansēšanu.</w:t>
            </w:r>
          </w:p>
          <w:p w:rsidR="00D46275" w:rsidRDefault="00D46275" w:rsidP="00D46275">
            <w:pPr>
              <w:ind w:left="132" w:right="127"/>
              <w:jc w:val="both"/>
              <w:rPr>
                <w:rFonts w:eastAsia="Times New Roman"/>
                <w:color w:val="000000"/>
                <w:sz w:val="25"/>
                <w:szCs w:val="25"/>
              </w:rPr>
            </w:pPr>
            <w:r>
              <w:rPr>
                <w:rFonts w:eastAsia="Times New Roman"/>
                <w:color w:val="000000"/>
                <w:sz w:val="25"/>
                <w:szCs w:val="25"/>
              </w:rPr>
              <w:tab/>
              <w:t xml:space="preserve">Vienlaikus Ministru kabineta rīkojuma projekts paredz uzdevumu IZM </w:t>
            </w:r>
            <w:r w:rsidRPr="00D46275">
              <w:rPr>
                <w:rFonts w:eastAsia="Times New Roman"/>
                <w:color w:val="000000"/>
                <w:sz w:val="25"/>
                <w:szCs w:val="25"/>
              </w:rPr>
              <w:t xml:space="preserve">nodrošināt budžeta apakšprogrammās 42.03.00 „Skolu jaunatnes dziesmu un deju svētki” un 12.00.00 „Finansējums asistenta pakalpojuma nodrošināšanai personai ar invaliditāti pārvietošanas atbalstam un pašaprūpes veikšanai” </w:t>
            </w:r>
            <w:r w:rsidRPr="00D46275">
              <w:rPr>
                <w:rFonts w:eastAsia="Times New Roman"/>
                <w:color w:val="000000"/>
                <w:sz w:val="25"/>
                <w:szCs w:val="25"/>
              </w:rPr>
              <w:lastRenderedPageBreak/>
              <w:t>plānoto pamatfunkciju īstenošanu valsts budžeta līdzekļu ietvaros, neveidojot maksājumu parādus.</w:t>
            </w:r>
          </w:p>
          <w:p w:rsidR="00FA350A" w:rsidRPr="00E14286" w:rsidRDefault="00FA350A" w:rsidP="00FA350A">
            <w:pPr>
              <w:ind w:left="132" w:right="127"/>
              <w:jc w:val="both"/>
              <w:rPr>
                <w:rFonts w:eastAsia="Times New Roman"/>
                <w:color w:val="000000"/>
                <w:sz w:val="25"/>
                <w:szCs w:val="25"/>
              </w:rPr>
            </w:pPr>
            <w:r>
              <w:rPr>
                <w:rFonts w:eastAsia="Times New Roman"/>
                <w:color w:val="000000"/>
                <w:sz w:val="25"/>
                <w:szCs w:val="25"/>
              </w:rPr>
              <w:tab/>
            </w:r>
            <w:r w:rsidRPr="00FA350A">
              <w:rPr>
                <w:rFonts w:eastAsia="Times New Roman"/>
                <w:color w:val="000000"/>
                <w:sz w:val="25"/>
                <w:szCs w:val="25"/>
              </w:rPr>
              <w:t xml:space="preserve">Ņemot vērā to, ka piešķiramā atbalsta summa </w:t>
            </w:r>
            <w:r>
              <w:rPr>
                <w:rFonts w:eastAsia="Times New Roman"/>
                <w:color w:val="000000"/>
                <w:sz w:val="25"/>
                <w:szCs w:val="25"/>
              </w:rPr>
              <w:t xml:space="preserve">nepārsniedz 200 000 </w:t>
            </w:r>
            <w:r w:rsidRPr="00FA350A">
              <w:rPr>
                <w:rFonts w:eastAsia="Times New Roman"/>
                <w:i/>
                <w:color w:val="000000"/>
                <w:sz w:val="25"/>
                <w:szCs w:val="25"/>
              </w:rPr>
              <w:t>euro</w:t>
            </w:r>
            <w:r w:rsidRPr="00FA350A">
              <w:rPr>
                <w:rFonts w:eastAsia="Times New Roman"/>
                <w:color w:val="000000"/>
                <w:sz w:val="25"/>
                <w:szCs w:val="25"/>
              </w:rPr>
              <w:t xml:space="preserve">, </w:t>
            </w:r>
            <w:r>
              <w:rPr>
                <w:rFonts w:eastAsia="Times New Roman"/>
                <w:color w:val="000000"/>
                <w:sz w:val="25"/>
                <w:szCs w:val="25"/>
              </w:rPr>
              <w:t xml:space="preserve">valsts budžeta līdzekļu piešķiršanu Kapitālsabiedrībai </w:t>
            </w:r>
            <w:r w:rsidRPr="00FA350A">
              <w:rPr>
                <w:rFonts w:eastAsia="Times New Roman"/>
                <w:color w:val="000000"/>
                <w:sz w:val="25"/>
                <w:szCs w:val="25"/>
              </w:rPr>
              <w:t xml:space="preserve">būtu pieļaujams veikt, ievērojot Komisijas 2013.gada 18.decembra Regulas (ES) Nr. 1407/2013 par Līguma par ES darbību 107. un 108.panta piemērošanu </w:t>
            </w:r>
            <w:r w:rsidRPr="00FA350A">
              <w:rPr>
                <w:rFonts w:eastAsia="Times New Roman"/>
                <w:i/>
                <w:color w:val="000000"/>
                <w:sz w:val="25"/>
                <w:szCs w:val="25"/>
              </w:rPr>
              <w:t>de minimis</w:t>
            </w:r>
            <w:r w:rsidRPr="00FA350A">
              <w:rPr>
                <w:rFonts w:eastAsia="Times New Roman"/>
                <w:color w:val="000000"/>
                <w:sz w:val="25"/>
                <w:szCs w:val="25"/>
              </w:rPr>
              <w:t xml:space="preserve"> atbalstam (ES Oficiālais Vēstnesis, 2013. gada 24. decembris, Nr.</w:t>
            </w:r>
            <w:r>
              <w:rPr>
                <w:rFonts w:eastAsia="Times New Roman"/>
                <w:color w:val="000000"/>
                <w:sz w:val="25"/>
                <w:szCs w:val="25"/>
              </w:rPr>
              <w:t xml:space="preserve"> </w:t>
            </w:r>
            <w:r w:rsidRPr="00FA350A">
              <w:rPr>
                <w:rFonts w:eastAsia="Times New Roman"/>
                <w:color w:val="000000"/>
                <w:sz w:val="25"/>
                <w:szCs w:val="25"/>
              </w:rPr>
              <w:t xml:space="preserve">L 352) (turpmāk – Komisijas regula Nr.1407/2013) prasības. Piešķirot </w:t>
            </w:r>
            <w:r>
              <w:rPr>
                <w:rFonts w:eastAsia="Times New Roman"/>
                <w:color w:val="000000"/>
                <w:sz w:val="25"/>
                <w:szCs w:val="25"/>
              </w:rPr>
              <w:t>Kapitālsabiedrībai ar Ministru kabineta rīkojuma projektu</w:t>
            </w:r>
            <w:r w:rsidRPr="00FA350A">
              <w:rPr>
                <w:rFonts w:eastAsia="Times New Roman"/>
                <w:color w:val="000000"/>
                <w:sz w:val="25"/>
                <w:szCs w:val="25"/>
              </w:rPr>
              <w:t xml:space="preserve"> paredzēto </w:t>
            </w:r>
            <w:r w:rsidRPr="00FA350A">
              <w:rPr>
                <w:rFonts w:eastAsia="Times New Roman"/>
                <w:i/>
                <w:color w:val="000000"/>
                <w:sz w:val="25"/>
                <w:szCs w:val="25"/>
              </w:rPr>
              <w:t>de minimis</w:t>
            </w:r>
            <w:r w:rsidRPr="00FA350A">
              <w:rPr>
                <w:rFonts w:eastAsia="Times New Roman"/>
                <w:color w:val="000000"/>
                <w:sz w:val="25"/>
                <w:szCs w:val="25"/>
              </w:rPr>
              <w:t xml:space="preserve"> atbalstu, jāievēro Ministru kabineta 2014.gada 2.decembra noteikumu Nr.740 „</w:t>
            </w:r>
            <w:r w:rsidRPr="00FA350A">
              <w:rPr>
                <w:rFonts w:eastAsia="Times New Roman"/>
                <w:i/>
                <w:color w:val="000000"/>
                <w:sz w:val="25"/>
                <w:szCs w:val="25"/>
              </w:rPr>
              <w:t>De minimis</w:t>
            </w:r>
            <w:r w:rsidRPr="00FA350A">
              <w:rPr>
                <w:rFonts w:eastAsia="Times New Roman"/>
                <w:color w:val="000000"/>
                <w:sz w:val="25"/>
                <w:szCs w:val="25"/>
              </w:rPr>
              <w:t xml:space="preserve"> atbalsta uzskaites un piešķiršanas kārtība un uzskaites veidlapu paraugi” (turpmāk – noteikumi Nr. 740) nosacījumus. Proti, lai saņemtu </w:t>
            </w:r>
            <w:r>
              <w:rPr>
                <w:rFonts w:eastAsia="Times New Roman"/>
                <w:color w:val="000000"/>
                <w:sz w:val="25"/>
                <w:szCs w:val="25"/>
              </w:rPr>
              <w:t>valsts budžeta finanšu līdzekļus</w:t>
            </w:r>
            <w:r w:rsidRPr="00FA350A">
              <w:rPr>
                <w:rFonts w:eastAsia="Times New Roman"/>
                <w:color w:val="000000"/>
                <w:sz w:val="25"/>
                <w:szCs w:val="25"/>
              </w:rPr>
              <w:t xml:space="preserve">, </w:t>
            </w:r>
            <w:r>
              <w:rPr>
                <w:rFonts w:eastAsia="Times New Roman"/>
                <w:color w:val="000000"/>
                <w:sz w:val="25"/>
                <w:szCs w:val="25"/>
              </w:rPr>
              <w:t>Kapitālsabiedrībai</w:t>
            </w:r>
            <w:r w:rsidRPr="00FA350A">
              <w:rPr>
                <w:rFonts w:eastAsia="Times New Roman"/>
                <w:color w:val="000000"/>
                <w:sz w:val="25"/>
                <w:szCs w:val="25"/>
              </w:rPr>
              <w:t xml:space="preserve"> ir jāpiesakās </w:t>
            </w:r>
            <w:r w:rsidRPr="00FA350A">
              <w:rPr>
                <w:rFonts w:eastAsia="Times New Roman"/>
                <w:i/>
                <w:color w:val="000000"/>
                <w:sz w:val="25"/>
                <w:szCs w:val="25"/>
              </w:rPr>
              <w:t>de minimis</w:t>
            </w:r>
            <w:r w:rsidRPr="00FA350A">
              <w:rPr>
                <w:rFonts w:eastAsia="Times New Roman"/>
                <w:color w:val="000000"/>
                <w:sz w:val="25"/>
                <w:szCs w:val="25"/>
              </w:rPr>
              <w:t xml:space="preserve"> atbalstam, </w:t>
            </w:r>
            <w:r>
              <w:rPr>
                <w:rFonts w:eastAsia="Times New Roman"/>
                <w:color w:val="000000"/>
                <w:sz w:val="25"/>
                <w:szCs w:val="25"/>
              </w:rPr>
              <w:t xml:space="preserve">IZM </w:t>
            </w:r>
            <w:r w:rsidRPr="00FA350A">
              <w:rPr>
                <w:rFonts w:eastAsia="Times New Roman"/>
                <w:color w:val="000000"/>
                <w:sz w:val="25"/>
                <w:szCs w:val="25"/>
              </w:rPr>
              <w:t xml:space="preserve">iesniedzot aizpildītu noteikumu Nr.740 1.pielikumā noteikto veidlapu, norādot savus datus, ziņas par trīs fiskālo gadu periodā saņemto jebkādu </w:t>
            </w:r>
            <w:r w:rsidRPr="00FA350A">
              <w:rPr>
                <w:rFonts w:eastAsia="Times New Roman"/>
                <w:i/>
                <w:color w:val="000000"/>
                <w:sz w:val="25"/>
                <w:szCs w:val="25"/>
              </w:rPr>
              <w:t>de minimis</w:t>
            </w:r>
            <w:r w:rsidRPr="00FA350A">
              <w:rPr>
                <w:rFonts w:eastAsia="Times New Roman"/>
                <w:color w:val="000000"/>
                <w:sz w:val="25"/>
                <w:szCs w:val="25"/>
              </w:rPr>
              <w:t xml:space="preserve"> atbalstu, kā arī datus par citu </w:t>
            </w:r>
            <w:r>
              <w:rPr>
                <w:rFonts w:eastAsia="Times New Roman"/>
                <w:color w:val="000000"/>
                <w:sz w:val="25"/>
                <w:szCs w:val="25"/>
              </w:rPr>
              <w:t>Kapitālsabiedrībai</w:t>
            </w:r>
            <w:r w:rsidRPr="00FA350A">
              <w:rPr>
                <w:rFonts w:eastAsia="Times New Roman"/>
                <w:color w:val="000000"/>
                <w:sz w:val="25"/>
                <w:szCs w:val="25"/>
              </w:rPr>
              <w:t xml:space="preserve"> piešķirto valsts atbalstu iepriekšējo trīs fiskālo gadu periodā, kas sniegts tām pašām attiecināmajām izmaksām. Tāpat </w:t>
            </w:r>
            <w:r>
              <w:rPr>
                <w:rFonts w:eastAsia="Times New Roman"/>
                <w:color w:val="000000"/>
                <w:sz w:val="25"/>
                <w:szCs w:val="25"/>
              </w:rPr>
              <w:t>Kapitālsabiedrībai</w:t>
            </w:r>
            <w:r w:rsidRPr="00FA350A">
              <w:rPr>
                <w:rFonts w:eastAsia="Times New Roman"/>
                <w:color w:val="000000"/>
                <w:sz w:val="25"/>
                <w:szCs w:val="25"/>
              </w:rPr>
              <w:t xml:space="preserve"> ir jānorāda ziņas par tā atbilstību vienas vienotas komercsabiedrības definīcijai, ziņas par to, vai pēdējo trīs fiskālo gadu laikā atbalsta pretendents ir sadalījies, apvienots vai iegādāts, kā arī jāapliecina, ka tas nav grūtībās nonācis (nav uzsākts tiesiskās aizsardzības vai maksātnespējas process). Attiecīgi pēc šāda pieteikuma un apliecinājuma saņemšanas un izvērtēšanas </w:t>
            </w:r>
            <w:r>
              <w:rPr>
                <w:rFonts w:eastAsia="Times New Roman"/>
                <w:color w:val="000000"/>
                <w:sz w:val="25"/>
                <w:szCs w:val="25"/>
              </w:rPr>
              <w:t xml:space="preserve">IZM </w:t>
            </w:r>
            <w:r w:rsidRPr="00FA350A">
              <w:rPr>
                <w:rFonts w:eastAsia="Times New Roman"/>
                <w:color w:val="000000"/>
                <w:sz w:val="25"/>
                <w:szCs w:val="25"/>
              </w:rPr>
              <w:t xml:space="preserve">noteikumos Nr.740 noteiktajā kārtībā varēs pieņemt lēmumu par </w:t>
            </w:r>
            <w:r w:rsidRPr="00FA350A">
              <w:rPr>
                <w:rFonts w:eastAsia="Times New Roman"/>
                <w:i/>
                <w:color w:val="000000"/>
                <w:sz w:val="25"/>
                <w:szCs w:val="25"/>
              </w:rPr>
              <w:t>de minimis</w:t>
            </w:r>
            <w:r w:rsidRPr="00FA350A">
              <w:rPr>
                <w:rFonts w:eastAsia="Times New Roman"/>
                <w:color w:val="000000"/>
                <w:sz w:val="25"/>
                <w:szCs w:val="25"/>
              </w:rPr>
              <w:t xml:space="preserve"> atbalsta sniegšanu.</w:t>
            </w:r>
            <w:r>
              <w:rPr>
                <w:rFonts w:eastAsia="Times New Roman"/>
                <w:color w:val="000000"/>
                <w:sz w:val="25"/>
                <w:szCs w:val="25"/>
              </w:rPr>
              <w:t xml:space="preserve"> </w:t>
            </w:r>
            <w:r w:rsidRPr="00FA350A">
              <w:rPr>
                <w:rFonts w:eastAsia="Times New Roman"/>
                <w:color w:val="000000"/>
                <w:sz w:val="25"/>
                <w:szCs w:val="25"/>
              </w:rPr>
              <w:t xml:space="preserve">Attiecīgi </w:t>
            </w:r>
            <w:r>
              <w:rPr>
                <w:rFonts w:eastAsia="Times New Roman"/>
                <w:color w:val="000000"/>
                <w:sz w:val="25"/>
                <w:szCs w:val="25"/>
              </w:rPr>
              <w:t xml:space="preserve">Ministru kabineta rīkojuma projekts paredz </w:t>
            </w:r>
            <w:r w:rsidRPr="00FA350A">
              <w:rPr>
                <w:rFonts w:eastAsia="Times New Roman"/>
                <w:color w:val="000000"/>
                <w:sz w:val="25"/>
                <w:szCs w:val="25"/>
              </w:rPr>
              <w:t xml:space="preserve">atrunu, ka finanšu atbalstu </w:t>
            </w:r>
            <w:r>
              <w:rPr>
                <w:rFonts w:eastAsia="Times New Roman"/>
                <w:color w:val="000000"/>
                <w:sz w:val="25"/>
                <w:szCs w:val="25"/>
              </w:rPr>
              <w:t xml:space="preserve">Kapitālsabiedrībai </w:t>
            </w:r>
            <w:r w:rsidRPr="00FA350A">
              <w:rPr>
                <w:rFonts w:eastAsia="Times New Roman"/>
                <w:color w:val="000000"/>
                <w:sz w:val="25"/>
                <w:szCs w:val="25"/>
              </w:rPr>
              <w:t xml:space="preserve">sniedz saskaņā ar Komisijas regulu Nr.1407/2013. Tāpat ar Ministru kabineta rīkojuma projektu noteikts, ka normatīvajos aktos par </w:t>
            </w:r>
            <w:r w:rsidRPr="00FA350A">
              <w:rPr>
                <w:rFonts w:eastAsia="Times New Roman"/>
                <w:i/>
                <w:color w:val="000000"/>
                <w:sz w:val="25"/>
                <w:szCs w:val="25"/>
              </w:rPr>
              <w:t>de minimis</w:t>
            </w:r>
            <w:r w:rsidRPr="00FA350A">
              <w:rPr>
                <w:rFonts w:eastAsia="Times New Roman"/>
                <w:color w:val="000000"/>
                <w:sz w:val="25"/>
                <w:szCs w:val="25"/>
              </w:rPr>
              <w:t xml:space="preserve"> atbalsta piešķiršanu un uzskaiti atbalsta sniedzējam noteiktās funkcijas veic IZM, ievērojot Sporta likuma 5.panta pirmajā daļā noteikto kompetenci pildīt valsts pārvaldes funkcijas sporta nozarē</w:t>
            </w:r>
            <w:r>
              <w:rPr>
                <w:rFonts w:eastAsia="Times New Roman"/>
                <w:color w:val="000000"/>
                <w:sz w:val="25"/>
                <w:szCs w:val="25"/>
              </w:rPr>
              <w:t xml:space="preserve">, kā arī </w:t>
            </w:r>
            <w:r w:rsidRPr="00FA350A">
              <w:rPr>
                <w:sz w:val="25"/>
                <w:szCs w:val="25"/>
              </w:rPr>
              <w:t>Ministru kabineta 2003.gada</w:t>
            </w:r>
            <w:r>
              <w:rPr>
                <w:sz w:val="25"/>
                <w:szCs w:val="25"/>
              </w:rPr>
              <w:t xml:space="preserve"> 16.septembra noteikumu Nr.528 „</w:t>
            </w:r>
            <w:r w:rsidRPr="00FA350A">
              <w:rPr>
                <w:sz w:val="25"/>
                <w:szCs w:val="25"/>
              </w:rPr>
              <w:t xml:space="preserve">Izglītības un zinātnes ministrijas nolikums” </w:t>
            </w:r>
            <w:r>
              <w:rPr>
                <w:sz w:val="25"/>
                <w:szCs w:val="25"/>
              </w:rPr>
              <w:t xml:space="preserve">5.21.punktā noteikto IZM kompetenci nodrošināt </w:t>
            </w:r>
            <w:r w:rsidRPr="00FA350A">
              <w:rPr>
                <w:sz w:val="25"/>
                <w:szCs w:val="25"/>
              </w:rPr>
              <w:t xml:space="preserve">IZM iedalīto valsts budžeta līdzekļu izmantošanu paredzētajiem mērķiem un </w:t>
            </w:r>
            <w:r>
              <w:rPr>
                <w:sz w:val="25"/>
                <w:szCs w:val="25"/>
              </w:rPr>
              <w:t xml:space="preserve">ar </w:t>
            </w:r>
            <w:r w:rsidRPr="00FA350A">
              <w:rPr>
                <w:sz w:val="25"/>
                <w:szCs w:val="25"/>
              </w:rPr>
              <w:t>5.21.</w:t>
            </w:r>
            <w:r w:rsidRPr="00FA350A">
              <w:rPr>
                <w:sz w:val="25"/>
                <w:szCs w:val="25"/>
                <w:vertAlign w:val="superscript"/>
              </w:rPr>
              <w:t>5</w:t>
            </w:r>
            <w:r w:rsidRPr="00FA350A">
              <w:rPr>
                <w:sz w:val="25"/>
                <w:szCs w:val="25"/>
              </w:rPr>
              <w:t xml:space="preserve">punktu </w:t>
            </w:r>
            <w:r>
              <w:rPr>
                <w:sz w:val="25"/>
                <w:szCs w:val="25"/>
              </w:rPr>
              <w:t xml:space="preserve">noteikto IZM kompetenci </w:t>
            </w:r>
            <w:r w:rsidRPr="00FA350A">
              <w:rPr>
                <w:sz w:val="25"/>
                <w:szCs w:val="25"/>
              </w:rPr>
              <w:t>atbilstoši likumā par valsts budžetu kārtējam gadam piešķirtajai apropriācijai administrē</w:t>
            </w:r>
            <w:r>
              <w:rPr>
                <w:sz w:val="25"/>
                <w:szCs w:val="25"/>
              </w:rPr>
              <w:t>t</w:t>
            </w:r>
            <w:r w:rsidRPr="00FA350A">
              <w:rPr>
                <w:sz w:val="25"/>
                <w:szCs w:val="25"/>
              </w:rPr>
              <w:t xml:space="preserve"> sportam piešķirtos valsts budžeta līdzekļus</w:t>
            </w:r>
            <w:r>
              <w:rPr>
                <w:sz w:val="25"/>
                <w:szCs w:val="25"/>
              </w:rPr>
              <w:t>.</w:t>
            </w:r>
          </w:p>
        </w:tc>
      </w:tr>
      <w:tr w:rsidR="00585B7B" w:rsidRPr="00E14286" w:rsidTr="00620785">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547"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662" w:type="dxa"/>
          </w:tcPr>
          <w:p w:rsidR="00643E6C" w:rsidRPr="00E14286" w:rsidRDefault="00DC332F" w:rsidP="00EF00B1">
            <w:pPr>
              <w:ind w:left="82" w:right="141"/>
              <w:jc w:val="both"/>
              <w:rPr>
                <w:sz w:val="25"/>
                <w:szCs w:val="25"/>
              </w:rPr>
            </w:pPr>
            <w:r w:rsidRPr="00E14286">
              <w:rPr>
                <w:sz w:val="25"/>
                <w:szCs w:val="25"/>
              </w:rPr>
              <w:t>Ministru kabineta rīkojuma projektu</w:t>
            </w:r>
            <w:r w:rsidR="002D62A9">
              <w:rPr>
                <w:sz w:val="25"/>
                <w:szCs w:val="25"/>
              </w:rPr>
              <w:t xml:space="preserve"> </w:t>
            </w:r>
            <w:r w:rsidRPr="00E14286">
              <w:rPr>
                <w:sz w:val="25"/>
                <w:szCs w:val="25"/>
              </w:rPr>
              <w:t>izstrādāja IZM</w:t>
            </w:r>
            <w:r w:rsidR="00E547A9">
              <w:rPr>
                <w:sz w:val="25"/>
                <w:szCs w:val="25"/>
              </w:rPr>
              <w:t xml:space="preserve"> sadarbībā ar Kapitālsabiedrību</w:t>
            </w:r>
            <w:r w:rsidRPr="00E14286">
              <w:rPr>
                <w:sz w:val="25"/>
                <w:szCs w:val="25"/>
              </w:rPr>
              <w:t xml:space="preserve">. </w:t>
            </w:r>
            <w:r w:rsidR="00C206E8">
              <w:rPr>
                <w:sz w:val="25"/>
                <w:szCs w:val="25"/>
              </w:rPr>
              <w:t>Ievērojot to</w:t>
            </w:r>
            <w:r w:rsidR="008C68D2" w:rsidRPr="00E14286">
              <w:rPr>
                <w:sz w:val="25"/>
                <w:szCs w:val="25"/>
              </w:rPr>
              <w:t>, ka Ministru kabineta rīkojuma projekts izstrādāts</w:t>
            </w:r>
            <w:r w:rsidR="00E547A9">
              <w:rPr>
                <w:sz w:val="25"/>
                <w:szCs w:val="25"/>
              </w:rPr>
              <w:t xml:space="preserve"> saskaņā ar </w:t>
            </w:r>
            <w:r w:rsidR="00E547A9" w:rsidRPr="00700D34">
              <w:rPr>
                <w:rFonts w:eastAsia="Times New Roman"/>
                <w:color w:val="000000"/>
                <w:sz w:val="25"/>
                <w:szCs w:val="25"/>
              </w:rPr>
              <w:t xml:space="preserve">Ministru kabineta 2015.gada 11.augusta sēdē tika </w:t>
            </w:r>
            <w:r w:rsidR="00E547A9">
              <w:rPr>
                <w:rFonts w:eastAsia="Times New Roman"/>
                <w:color w:val="000000"/>
                <w:sz w:val="25"/>
                <w:szCs w:val="25"/>
              </w:rPr>
              <w:t>atbalstīto</w:t>
            </w:r>
            <w:r w:rsidR="00E547A9" w:rsidRPr="00700D34">
              <w:rPr>
                <w:rFonts w:eastAsia="Times New Roman"/>
                <w:color w:val="000000"/>
                <w:sz w:val="25"/>
                <w:szCs w:val="25"/>
              </w:rPr>
              <w:t xml:space="preserve"> konceptuāl</w:t>
            </w:r>
            <w:r w:rsidR="00E547A9">
              <w:rPr>
                <w:rFonts w:eastAsia="Times New Roman"/>
                <w:color w:val="000000"/>
                <w:sz w:val="25"/>
                <w:szCs w:val="25"/>
              </w:rPr>
              <w:t>o</w:t>
            </w:r>
            <w:r w:rsidR="00E547A9" w:rsidRPr="00700D34">
              <w:rPr>
                <w:rFonts w:eastAsia="Times New Roman"/>
                <w:color w:val="000000"/>
                <w:sz w:val="25"/>
                <w:szCs w:val="25"/>
              </w:rPr>
              <w:t xml:space="preserve"> ziņojum</w:t>
            </w:r>
            <w:r w:rsidR="00E547A9">
              <w:rPr>
                <w:rFonts w:eastAsia="Times New Roman"/>
                <w:color w:val="000000"/>
                <w:sz w:val="25"/>
                <w:szCs w:val="25"/>
              </w:rPr>
              <w:t>u</w:t>
            </w:r>
            <w:r w:rsidR="00E547A9" w:rsidRPr="00700D34">
              <w:rPr>
                <w:rFonts w:eastAsia="Times New Roman"/>
                <w:color w:val="000000"/>
                <w:sz w:val="25"/>
                <w:szCs w:val="25"/>
              </w:rPr>
              <w:t xml:space="preserve"> „Par Daugavas stadiona (Rīgā) teritorijas revitalizācijas programmas „Kultūras un sporta kvartāla izveide Grīziņkalna apkaimē” </w:t>
            </w:r>
            <w:r w:rsidR="00E547A9" w:rsidRPr="00700D34">
              <w:rPr>
                <w:rFonts w:eastAsia="Times New Roman"/>
                <w:color w:val="000000"/>
                <w:sz w:val="25"/>
                <w:szCs w:val="25"/>
              </w:rPr>
              <w:lastRenderedPageBreak/>
              <w:t>īstenošanu” (prot.Nr.38 48.§, TA-1688)</w:t>
            </w:r>
            <w:r w:rsidR="00E547A9">
              <w:rPr>
                <w:rFonts w:eastAsia="Times New Roman"/>
                <w:color w:val="000000"/>
                <w:sz w:val="25"/>
                <w:szCs w:val="25"/>
              </w:rPr>
              <w:t>,</w:t>
            </w:r>
            <w:r w:rsidR="00EF00B1">
              <w:rPr>
                <w:rFonts w:eastAsia="Times New Roman"/>
                <w:color w:val="000000"/>
                <w:sz w:val="25"/>
                <w:szCs w:val="25"/>
              </w:rPr>
              <w:t xml:space="preserv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620785">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4</w:t>
            </w:r>
            <w:r w:rsidR="00585B7B" w:rsidRPr="00E14286">
              <w:rPr>
                <w:sz w:val="25"/>
                <w:szCs w:val="25"/>
              </w:rPr>
              <w:t>.</w:t>
            </w:r>
          </w:p>
        </w:tc>
        <w:tc>
          <w:tcPr>
            <w:tcW w:w="2547"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662" w:type="dxa"/>
          </w:tcPr>
          <w:p w:rsidR="007D6850" w:rsidRPr="007D6850" w:rsidRDefault="007D6850" w:rsidP="007D6850">
            <w:pPr>
              <w:ind w:left="132" w:right="127"/>
              <w:jc w:val="both"/>
              <w:rPr>
                <w:rFonts w:eastAsia="Times New Roman"/>
                <w:color w:val="000000"/>
                <w:sz w:val="25"/>
                <w:szCs w:val="25"/>
              </w:rPr>
            </w:pPr>
            <w:r>
              <w:rPr>
                <w:rFonts w:eastAsia="Times New Roman"/>
                <w:color w:val="000000"/>
                <w:sz w:val="25"/>
                <w:szCs w:val="25"/>
              </w:rPr>
              <w:tab/>
            </w:r>
            <w:r w:rsidR="00C84DE8">
              <w:rPr>
                <w:rFonts w:eastAsia="Times New Roman"/>
                <w:color w:val="000000"/>
                <w:sz w:val="25"/>
                <w:szCs w:val="25"/>
              </w:rPr>
              <w:t>Steidzami n</w:t>
            </w:r>
            <w:r w:rsidRPr="007D6850">
              <w:rPr>
                <w:rFonts w:eastAsia="Times New Roman"/>
                <w:color w:val="000000"/>
                <w:sz w:val="25"/>
                <w:szCs w:val="25"/>
              </w:rPr>
              <w:t xml:space="preserve">eveicot apropriācijas pārdali un nenodrošinot finansējumu Programmas īstenošanas uzsākšanai nepieciešamajiem sagatavošanās darbiem, līdz </w:t>
            </w:r>
            <w:r w:rsidRPr="007D6850">
              <w:rPr>
                <w:sz w:val="25"/>
                <w:szCs w:val="25"/>
              </w:rPr>
              <w:t>XXVI Vispārējo latviešu Dziesmu un XVI Deju svētku norisei 2018.gadā nevarēs nodrošināt Daugavas stadiona tribīņu kapacitātes palielināšanu.</w:t>
            </w:r>
          </w:p>
          <w:p w:rsidR="007D0D80" w:rsidRDefault="007D6850" w:rsidP="00884423">
            <w:pPr>
              <w:ind w:left="114" w:right="127"/>
              <w:jc w:val="both"/>
              <w:rPr>
                <w:sz w:val="25"/>
                <w:szCs w:val="25"/>
              </w:rPr>
            </w:pPr>
            <w:r>
              <w:rPr>
                <w:sz w:val="25"/>
                <w:szCs w:val="25"/>
              </w:rPr>
              <w:tab/>
            </w:r>
            <w:r w:rsidR="00291AF4" w:rsidRPr="00E14286">
              <w:rPr>
                <w:sz w:val="25"/>
                <w:szCs w:val="25"/>
              </w:rPr>
              <w:t>Ministru kabineta r</w:t>
            </w:r>
            <w:r w:rsidR="00E5461A" w:rsidRPr="00E14286">
              <w:rPr>
                <w:sz w:val="25"/>
                <w:szCs w:val="25"/>
              </w:rPr>
              <w:t xml:space="preserve">īkojuma projekts tiešā veidā attiecas uz </w:t>
            </w:r>
            <w:r w:rsidR="00291AF4" w:rsidRPr="00E14286">
              <w:rPr>
                <w:sz w:val="25"/>
                <w:szCs w:val="25"/>
              </w:rPr>
              <w:t>tūrisma, sporta un brīvā laika politiku (sporta politiku). Pastarpināti Ministru kabineta rīkojuma projekts attiecas uz budžeta un finanšu politiku.</w:t>
            </w:r>
          </w:p>
          <w:p w:rsidR="00C80637" w:rsidRDefault="007D6850" w:rsidP="00C80637">
            <w:pPr>
              <w:ind w:left="114" w:right="127"/>
              <w:jc w:val="both"/>
              <w:rPr>
                <w:sz w:val="25"/>
                <w:szCs w:val="25"/>
              </w:rPr>
            </w:pPr>
            <w:r>
              <w:rPr>
                <w:sz w:val="25"/>
                <w:szCs w:val="25"/>
              </w:rPr>
              <w:tab/>
            </w:r>
            <w:r w:rsidR="00C80637">
              <w:rPr>
                <w:sz w:val="25"/>
                <w:szCs w:val="25"/>
              </w:rPr>
              <w:t>Ņemot vērā nepieciešamību organizēt attiecīgas procedūras piešķirto līdzekļu apguves uzsākšanai, ar Ministru kabineta rīkojuma projektu piešķirto finansējumu pilnā apmērā plānots apgūt 2016.gadā.</w:t>
            </w:r>
          </w:p>
          <w:p w:rsidR="002A4C43" w:rsidRPr="00E14286" w:rsidRDefault="002A4C43" w:rsidP="002A4C43">
            <w:pPr>
              <w:ind w:left="114" w:right="127"/>
              <w:jc w:val="both"/>
              <w:rPr>
                <w:sz w:val="25"/>
                <w:szCs w:val="25"/>
              </w:rPr>
            </w:pPr>
            <w:r>
              <w:rPr>
                <w:sz w:val="25"/>
                <w:szCs w:val="25"/>
              </w:rPr>
              <w:tab/>
              <w:t xml:space="preserve">Programma </w:t>
            </w:r>
            <w:r w:rsidRPr="002A4C43">
              <w:rPr>
                <w:sz w:val="25"/>
                <w:szCs w:val="25"/>
              </w:rPr>
              <w:t>tiks paziņota Eiropas Komisijai un par to tiks saņemts Eiropas Komisijas lēmums.</w:t>
            </w:r>
          </w:p>
        </w:tc>
      </w:tr>
    </w:tbl>
    <w:p w:rsidR="00884423" w:rsidRDefault="00884423"/>
    <w:p w:rsidR="00620785" w:rsidRDefault="00620785"/>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56"/>
        <w:gridCol w:w="1344"/>
        <w:gridCol w:w="1189"/>
        <w:gridCol w:w="1193"/>
        <w:gridCol w:w="1473"/>
      </w:tblGrid>
      <w:tr w:rsidR="009B774A" w:rsidRPr="00E14286" w:rsidTr="00620785">
        <w:trPr>
          <w:trHeight w:val="361"/>
          <w:jc w:val="center"/>
        </w:trPr>
        <w:tc>
          <w:tcPr>
            <w:tcW w:w="9923"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620785">
        <w:trPr>
          <w:jc w:val="center"/>
        </w:trPr>
        <w:tc>
          <w:tcPr>
            <w:tcW w:w="3168"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00"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855" w:type="dxa"/>
            <w:gridSpan w:val="3"/>
            <w:vAlign w:val="center"/>
          </w:tcPr>
          <w:p w:rsidR="009B774A" w:rsidRPr="00E14286" w:rsidRDefault="009B774A" w:rsidP="001A0506">
            <w:pPr>
              <w:jc w:val="center"/>
              <w:rPr>
                <w:b/>
                <w:i/>
                <w:sz w:val="25"/>
                <w:szCs w:val="25"/>
              </w:rPr>
            </w:pPr>
            <w:r w:rsidRPr="00E14286">
              <w:rPr>
                <w:sz w:val="25"/>
                <w:szCs w:val="25"/>
              </w:rPr>
              <w:t>Turpmākie trīs gadi (</w:t>
            </w:r>
            <w:r w:rsidRPr="00E14286">
              <w:rPr>
                <w:i/>
                <w:sz w:val="25"/>
                <w:szCs w:val="25"/>
              </w:rPr>
              <w:t>euro</w:t>
            </w:r>
            <w:r w:rsidRPr="00E14286">
              <w:rPr>
                <w:sz w:val="25"/>
                <w:szCs w:val="25"/>
              </w:rPr>
              <w:t>)</w:t>
            </w:r>
          </w:p>
        </w:tc>
      </w:tr>
      <w:tr w:rsidR="009B774A" w:rsidRPr="00E14286" w:rsidTr="00620785">
        <w:trPr>
          <w:jc w:val="center"/>
        </w:trPr>
        <w:tc>
          <w:tcPr>
            <w:tcW w:w="3168" w:type="dxa"/>
            <w:vMerge/>
            <w:vAlign w:val="center"/>
          </w:tcPr>
          <w:p w:rsidR="009B774A" w:rsidRPr="00E14286" w:rsidRDefault="009B774A" w:rsidP="001A0506">
            <w:pPr>
              <w:jc w:val="center"/>
              <w:rPr>
                <w:b/>
                <w:i/>
                <w:sz w:val="25"/>
                <w:szCs w:val="25"/>
              </w:rPr>
            </w:pPr>
          </w:p>
        </w:tc>
        <w:tc>
          <w:tcPr>
            <w:tcW w:w="2900"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3"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473"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620785">
        <w:trPr>
          <w:jc w:val="center"/>
        </w:trPr>
        <w:tc>
          <w:tcPr>
            <w:tcW w:w="3168" w:type="dxa"/>
            <w:vMerge/>
            <w:vAlign w:val="center"/>
          </w:tcPr>
          <w:p w:rsidR="009B774A" w:rsidRPr="00E14286" w:rsidRDefault="009B774A" w:rsidP="001A0506">
            <w:pPr>
              <w:jc w:val="center"/>
              <w:rPr>
                <w:b/>
                <w:i/>
                <w:sz w:val="25"/>
                <w:szCs w:val="25"/>
              </w:rPr>
            </w:pPr>
          </w:p>
        </w:tc>
        <w:tc>
          <w:tcPr>
            <w:tcW w:w="1556"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4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3"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473"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620785">
        <w:trPr>
          <w:jc w:val="center"/>
        </w:trPr>
        <w:tc>
          <w:tcPr>
            <w:tcW w:w="3168" w:type="dxa"/>
            <w:vAlign w:val="center"/>
          </w:tcPr>
          <w:p w:rsidR="009B774A" w:rsidRPr="00E14286" w:rsidRDefault="009B774A" w:rsidP="001A0506">
            <w:pPr>
              <w:jc w:val="center"/>
              <w:rPr>
                <w:bCs/>
                <w:sz w:val="25"/>
                <w:szCs w:val="25"/>
              </w:rPr>
            </w:pPr>
            <w:r w:rsidRPr="00E14286">
              <w:rPr>
                <w:bCs/>
                <w:sz w:val="25"/>
                <w:szCs w:val="25"/>
              </w:rPr>
              <w:t>1</w:t>
            </w:r>
          </w:p>
        </w:tc>
        <w:tc>
          <w:tcPr>
            <w:tcW w:w="1556" w:type="dxa"/>
            <w:vAlign w:val="center"/>
          </w:tcPr>
          <w:p w:rsidR="009B774A" w:rsidRPr="00E14286" w:rsidRDefault="009B774A" w:rsidP="001A0506">
            <w:pPr>
              <w:jc w:val="center"/>
              <w:rPr>
                <w:bCs/>
                <w:sz w:val="25"/>
                <w:szCs w:val="25"/>
              </w:rPr>
            </w:pPr>
            <w:r w:rsidRPr="00E14286">
              <w:rPr>
                <w:bCs/>
                <w:sz w:val="25"/>
                <w:szCs w:val="25"/>
              </w:rPr>
              <w:t>2</w:t>
            </w:r>
          </w:p>
        </w:tc>
        <w:tc>
          <w:tcPr>
            <w:tcW w:w="134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3" w:type="dxa"/>
            <w:vAlign w:val="center"/>
          </w:tcPr>
          <w:p w:rsidR="009B774A" w:rsidRPr="00E14286" w:rsidRDefault="009B774A" w:rsidP="001A0506">
            <w:pPr>
              <w:jc w:val="center"/>
              <w:rPr>
                <w:bCs/>
                <w:sz w:val="25"/>
                <w:szCs w:val="25"/>
              </w:rPr>
            </w:pPr>
            <w:r w:rsidRPr="00E14286">
              <w:rPr>
                <w:bCs/>
                <w:sz w:val="25"/>
                <w:szCs w:val="25"/>
              </w:rPr>
              <w:t>5</w:t>
            </w:r>
          </w:p>
        </w:tc>
        <w:tc>
          <w:tcPr>
            <w:tcW w:w="1473"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620785">
        <w:trPr>
          <w:jc w:val="center"/>
        </w:trPr>
        <w:tc>
          <w:tcPr>
            <w:tcW w:w="3168" w:type="dxa"/>
          </w:tcPr>
          <w:p w:rsidR="0005209B" w:rsidRPr="00E14286" w:rsidRDefault="0005209B" w:rsidP="0005209B">
            <w:pPr>
              <w:rPr>
                <w:i/>
                <w:sz w:val="25"/>
                <w:szCs w:val="25"/>
              </w:rPr>
            </w:pPr>
            <w:r w:rsidRPr="00E14286">
              <w:rPr>
                <w:sz w:val="25"/>
                <w:szCs w:val="25"/>
              </w:rPr>
              <w:t>1. Budžeta ieņēmumi:</w:t>
            </w:r>
          </w:p>
        </w:tc>
        <w:tc>
          <w:tcPr>
            <w:tcW w:w="1556" w:type="dxa"/>
          </w:tcPr>
          <w:p w:rsidR="0005209B" w:rsidRPr="00E14286" w:rsidRDefault="004A56AF" w:rsidP="0005209B">
            <w:pPr>
              <w:jc w:val="center"/>
              <w:rPr>
                <w:b/>
                <w:sz w:val="25"/>
                <w:szCs w:val="25"/>
              </w:rPr>
            </w:pPr>
            <w:r w:rsidRPr="00E14286">
              <w:rPr>
                <w:b/>
                <w:sz w:val="25"/>
                <w:szCs w:val="25"/>
              </w:rPr>
              <w:t>0</w:t>
            </w:r>
          </w:p>
        </w:tc>
        <w:tc>
          <w:tcPr>
            <w:tcW w:w="134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3" w:type="dxa"/>
          </w:tcPr>
          <w:p w:rsidR="0005209B" w:rsidRPr="00E14286" w:rsidRDefault="0005209B" w:rsidP="0005209B">
            <w:pPr>
              <w:jc w:val="center"/>
              <w:rPr>
                <w:b/>
                <w:sz w:val="25"/>
                <w:szCs w:val="25"/>
              </w:rPr>
            </w:pPr>
            <w:r w:rsidRPr="00E14286">
              <w:rPr>
                <w:b/>
                <w:sz w:val="25"/>
                <w:szCs w:val="25"/>
              </w:rPr>
              <w:t>0</w:t>
            </w:r>
          </w:p>
        </w:tc>
        <w:tc>
          <w:tcPr>
            <w:tcW w:w="1473" w:type="dxa"/>
          </w:tcPr>
          <w:p w:rsidR="0005209B" w:rsidRPr="00E14286" w:rsidRDefault="0005209B" w:rsidP="0005209B">
            <w:pPr>
              <w:jc w:val="center"/>
              <w:rPr>
                <w:b/>
                <w:sz w:val="25"/>
                <w:szCs w:val="25"/>
              </w:rPr>
            </w:pPr>
            <w:r w:rsidRPr="00E14286">
              <w:rPr>
                <w:b/>
                <w:sz w:val="25"/>
                <w:szCs w:val="25"/>
              </w:rPr>
              <w:t>0</w:t>
            </w:r>
          </w:p>
        </w:tc>
      </w:tr>
      <w:tr w:rsidR="0005209B" w:rsidRPr="00E14286" w:rsidTr="00620785">
        <w:trPr>
          <w:jc w:val="center"/>
        </w:trPr>
        <w:tc>
          <w:tcPr>
            <w:tcW w:w="3168"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556" w:type="dxa"/>
          </w:tcPr>
          <w:p w:rsidR="0005209B" w:rsidRPr="00E14286" w:rsidRDefault="0005209B" w:rsidP="0005209B">
            <w:pPr>
              <w:jc w:val="center"/>
              <w:rPr>
                <w:i/>
                <w:sz w:val="25"/>
                <w:szCs w:val="25"/>
              </w:rPr>
            </w:pPr>
          </w:p>
        </w:tc>
        <w:tc>
          <w:tcPr>
            <w:tcW w:w="134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3" w:type="dxa"/>
          </w:tcPr>
          <w:p w:rsidR="0005209B" w:rsidRPr="00E14286" w:rsidRDefault="0005209B" w:rsidP="0005209B">
            <w:pPr>
              <w:jc w:val="center"/>
              <w:rPr>
                <w:i/>
                <w:sz w:val="25"/>
                <w:szCs w:val="25"/>
              </w:rPr>
            </w:pPr>
          </w:p>
        </w:tc>
        <w:tc>
          <w:tcPr>
            <w:tcW w:w="1473" w:type="dxa"/>
          </w:tcPr>
          <w:p w:rsidR="0005209B" w:rsidRPr="00E14286" w:rsidRDefault="0005209B" w:rsidP="0005209B">
            <w:pPr>
              <w:jc w:val="center"/>
              <w:rPr>
                <w:i/>
                <w:sz w:val="25"/>
                <w:szCs w:val="25"/>
              </w:rPr>
            </w:pPr>
          </w:p>
        </w:tc>
      </w:tr>
      <w:tr w:rsidR="009B774A" w:rsidRPr="00E14286" w:rsidTr="00620785">
        <w:trPr>
          <w:jc w:val="center"/>
        </w:trPr>
        <w:tc>
          <w:tcPr>
            <w:tcW w:w="3168" w:type="dxa"/>
          </w:tcPr>
          <w:p w:rsidR="009B774A" w:rsidRPr="00E14286" w:rsidRDefault="009B774A" w:rsidP="001A0506">
            <w:pPr>
              <w:rPr>
                <w:i/>
                <w:sz w:val="25"/>
                <w:szCs w:val="25"/>
              </w:rPr>
            </w:pPr>
            <w:r w:rsidRPr="00E14286">
              <w:rPr>
                <w:sz w:val="25"/>
                <w:szCs w:val="25"/>
              </w:rPr>
              <w:t>1.2. valsts speciālais budžets</w:t>
            </w:r>
          </w:p>
        </w:tc>
        <w:tc>
          <w:tcPr>
            <w:tcW w:w="1556" w:type="dxa"/>
          </w:tcPr>
          <w:p w:rsidR="009B774A" w:rsidRPr="00E14286" w:rsidRDefault="009B774A" w:rsidP="001A0506">
            <w:pPr>
              <w:jc w:val="center"/>
              <w:rPr>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tcPr>
          <w:p w:rsidR="009B774A" w:rsidRPr="00E14286" w:rsidRDefault="009B774A" w:rsidP="001A0506">
            <w:pPr>
              <w:rPr>
                <w:i/>
                <w:sz w:val="25"/>
                <w:szCs w:val="25"/>
              </w:rPr>
            </w:pPr>
            <w:r w:rsidRPr="00E14286">
              <w:rPr>
                <w:sz w:val="25"/>
                <w:szCs w:val="25"/>
              </w:rPr>
              <w:t>1.3. pašvaldību budžets</w:t>
            </w:r>
          </w:p>
        </w:tc>
        <w:tc>
          <w:tcPr>
            <w:tcW w:w="1556" w:type="dxa"/>
          </w:tcPr>
          <w:p w:rsidR="009B774A" w:rsidRPr="00E14286" w:rsidRDefault="009B774A" w:rsidP="001A0506">
            <w:pPr>
              <w:jc w:val="center"/>
              <w:rPr>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7A1337" w:rsidRPr="00E14286" w:rsidTr="00620785">
        <w:trPr>
          <w:jc w:val="center"/>
        </w:trPr>
        <w:tc>
          <w:tcPr>
            <w:tcW w:w="3168" w:type="dxa"/>
          </w:tcPr>
          <w:p w:rsidR="007A1337" w:rsidRPr="00E14286" w:rsidRDefault="007A1337" w:rsidP="007A1337">
            <w:pPr>
              <w:rPr>
                <w:sz w:val="25"/>
                <w:szCs w:val="25"/>
              </w:rPr>
            </w:pPr>
            <w:r w:rsidRPr="00E14286">
              <w:rPr>
                <w:sz w:val="25"/>
                <w:szCs w:val="25"/>
              </w:rPr>
              <w:t>2. Budžeta izdevumi:</w:t>
            </w:r>
          </w:p>
        </w:tc>
        <w:tc>
          <w:tcPr>
            <w:tcW w:w="1556" w:type="dxa"/>
          </w:tcPr>
          <w:p w:rsidR="007A1337" w:rsidRPr="00E14286" w:rsidRDefault="007A1337" w:rsidP="007A1337">
            <w:pPr>
              <w:jc w:val="center"/>
              <w:rPr>
                <w:b/>
                <w:sz w:val="25"/>
                <w:szCs w:val="25"/>
              </w:rPr>
            </w:pPr>
            <w:r w:rsidRPr="00E14286">
              <w:rPr>
                <w:b/>
                <w:sz w:val="25"/>
                <w:szCs w:val="25"/>
              </w:rPr>
              <w:t>0</w:t>
            </w:r>
          </w:p>
        </w:tc>
        <w:tc>
          <w:tcPr>
            <w:tcW w:w="134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3" w:type="dxa"/>
          </w:tcPr>
          <w:p w:rsidR="007A1337" w:rsidRPr="00E14286" w:rsidRDefault="007A1337" w:rsidP="007A1337">
            <w:pPr>
              <w:jc w:val="center"/>
              <w:rPr>
                <w:b/>
                <w:sz w:val="25"/>
                <w:szCs w:val="25"/>
              </w:rPr>
            </w:pPr>
            <w:r w:rsidRPr="00E14286">
              <w:rPr>
                <w:b/>
                <w:sz w:val="25"/>
                <w:szCs w:val="25"/>
              </w:rPr>
              <w:t>0</w:t>
            </w:r>
          </w:p>
        </w:tc>
        <w:tc>
          <w:tcPr>
            <w:tcW w:w="1473" w:type="dxa"/>
          </w:tcPr>
          <w:p w:rsidR="007A1337" w:rsidRPr="00E14286" w:rsidRDefault="007A1337" w:rsidP="007A1337">
            <w:pPr>
              <w:jc w:val="center"/>
              <w:rPr>
                <w:b/>
                <w:sz w:val="25"/>
                <w:szCs w:val="25"/>
              </w:rPr>
            </w:pPr>
            <w:r w:rsidRPr="00E14286">
              <w:rPr>
                <w:b/>
                <w:sz w:val="25"/>
                <w:szCs w:val="25"/>
              </w:rPr>
              <w:t>0</w:t>
            </w:r>
          </w:p>
        </w:tc>
      </w:tr>
      <w:tr w:rsidR="007A1337" w:rsidRPr="00E14286" w:rsidTr="00620785">
        <w:trPr>
          <w:jc w:val="center"/>
        </w:trPr>
        <w:tc>
          <w:tcPr>
            <w:tcW w:w="3168" w:type="dxa"/>
          </w:tcPr>
          <w:p w:rsidR="007A1337" w:rsidRPr="00E14286" w:rsidRDefault="007A1337" w:rsidP="007A1337">
            <w:pPr>
              <w:rPr>
                <w:sz w:val="25"/>
                <w:szCs w:val="25"/>
              </w:rPr>
            </w:pPr>
            <w:r w:rsidRPr="00E14286">
              <w:rPr>
                <w:sz w:val="25"/>
                <w:szCs w:val="25"/>
              </w:rPr>
              <w:t>2.1. valsts pamatbudžets</w:t>
            </w:r>
          </w:p>
        </w:tc>
        <w:tc>
          <w:tcPr>
            <w:tcW w:w="1556" w:type="dxa"/>
          </w:tcPr>
          <w:p w:rsidR="007A1337" w:rsidRPr="00E14286" w:rsidRDefault="007A1337" w:rsidP="007A1337">
            <w:pPr>
              <w:jc w:val="center"/>
              <w:rPr>
                <w:i/>
                <w:sz w:val="25"/>
                <w:szCs w:val="25"/>
              </w:rPr>
            </w:pPr>
            <w:r w:rsidRPr="00E14286">
              <w:rPr>
                <w:i/>
                <w:sz w:val="25"/>
                <w:szCs w:val="25"/>
              </w:rPr>
              <w:t>0</w:t>
            </w:r>
          </w:p>
        </w:tc>
        <w:tc>
          <w:tcPr>
            <w:tcW w:w="134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3" w:type="dxa"/>
          </w:tcPr>
          <w:p w:rsidR="007A1337" w:rsidRPr="00E14286" w:rsidRDefault="007A1337" w:rsidP="007A1337">
            <w:pPr>
              <w:jc w:val="center"/>
              <w:rPr>
                <w:i/>
                <w:sz w:val="25"/>
                <w:szCs w:val="25"/>
              </w:rPr>
            </w:pPr>
            <w:r w:rsidRPr="00E14286">
              <w:rPr>
                <w:i/>
                <w:sz w:val="25"/>
                <w:szCs w:val="25"/>
              </w:rPr>
              <w:t>0</w:t>
            </w:r>
          </w:p>
        </w:tc>
        <w:tc>
          <w:tcPr>
            <w:tcW w:w="1473" w:type="dxa"/>
          </w:tcPr>
          <w:p w:rsidR="007A1337" w:rsidRPr="00E14286" w:rsidRDefault="007A1337" w:rsidP="007A1337">
            <w:pPr>
              <w:jc w:val="center"/>
              <w:rPr>
                <w:i/>
                <w:sz w:val="25"/>
                <w:szCs w:val="25"/>
              </w:rPr>
            </w:pPr>
            <w:r w:rsidRPr="00E14286">
              <w:rPr>
                <w:i/>
                <w:sz w:val="25"/>
                <w:szCs w:val="25"/>
              </w:rPr>
              <w:t>0</w:t>
            </w: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2.2. valsts speciālais budžets</w:t>
            </w:r>
          </w:p>
        </w:tc>
        <w:tc>
          <w:tcPr>
            <w:tcW w:w="1556" w:type="dxa"/>
          </w:tcPr>
          <w:p w:rsidR="009B774A" w:rsidRPr="00E14286" w:rsidRDefault="009B774A" w:rsidP="001A0506">
            <w:pPr>
              <w:jc w:val="center"/>
              <w:rPr>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 xml:space="preserve">2.3. pašvaldību budžets </w:t>
            </w:r>
          </w:p>
        </w:tc>
        <w:tc>
          <w:tcPr>
            <w:tcW w:w="1556" w:type="dxa"/>
          </w:tcPr>
          <w:p w:rsidR="009B774A" w:rsidRPr="00E14286" w:rsidRDefault="009B774A" w:rsidP="001A0506">
            <w:pPr>
              <w:jc w:val="center"/>
              <w:rPr>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7A1337" w:rsidRPr="00E14286" w:rsidTr="00620785">
        <w:trPr>
          <w:jc w:val="center"/>
        </w:trPr>
        <w:tc>
          <w:tcPr>
            <w:tcW w:w="3168" w:type="dxa"/>
          </w:tcPr>
          <w:p w:rsidR="007A1337" w:rsidRPr="00E14286" w:rsidRDefault="007A1337" w:rsidP="007A1337">
            <w:pPr>
              <w:rPr>
                <w:sz w:val="25"/>
                <w:szCs w:val="25"/>
              </w:rPr>
            </w:pPr>
            <w:r w:rsidRPr="00E14286">
              <w:rPr>
                <w:sz w:val="25"/>
                <w:szCs w:val="25"/>
              </w:rPr>
              <w:t>3. Finansiālā ietekme:</w:t>
            </w:r>
          </w:p>
        </w:tc>
        <w:tc>
          <w:tcPr>
            <w:tcW w:w="1556" w:type="dxa"/>
            <w:shd w:val="clear" w:color="auto" w:fill="auto"/>
          </w:tcPr>
          <w:p w:rsidR="007A1337" w:rsidRPr="00E14286" w:rsidRDefault="004A56AF" w:rsidP="007A1337">
            <w:pPr>
              <w:jc w:val="center"/>
              <w:rPr>
                <w:b/>
                <w:sz w:val="25"/>
                <w:szCs w:val="25"/>
              </w:rPr>
            </w:pPr>
            <w:r w:rsidRPr="00E14286">
              <w:rPr>
                <w:b/>
                <w:sz w:val="25"/>
                <w:szCs w:val="25"/>
              </w:rPr>
              <w:t>0</w:t>
            </w:r>
          </w:p>
        </w:tc>
        <w:tc>
          <w:tcPr>
            <w:tcW w:w="134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3" w:type="dxa"/>
          </w:tcPr>
          <w:p w:rsidR="007A1337" w:rsidRPr="00E14286" w:rsidRDefault="007A1337" w:rsidP="007A1337">
            <w:pPr>
              <w:jc w:val="center"/>
              <w:rPr>
                <w:b/>
                <w:sz w:val="25"/>
                <w:szCs w:val="25"/>
              </w:rPr>
            </w:pPr>
            <w:r w:rsidRPr="00E14286">
              <w:rPr>
                <w:b/>
                <w:sz w:val="25"/>
                <w:szCs w:val="25"/>
              </w:rPr>
              <w:t>0</w:t>
            </w:r>
          </w:p>
        </w:tc>
        <w:tc>
          <w:tcPr>
            <w:tcW w:w="1473" w:type="dxa"/>
          </w:tcPr>
          <w:p w:rsidR="007A1337" w:rsidRPr="00E14286" w:rsidRDefault="007A1337" w:rsidP="007A1337">
            <w:pPr>
              <w:jc w:val="center"/>
              <w:rPr>
                <w:b/>
                <w:sz w:val="25"/>
                <w:szCs w:val="25"/>
              </w:rPr>
            </w:pPr>
            <w:r w:rsidRPr="00E14286">
              <w:rPr>
                <w:b/>
                <w:sz w:val="25"/>
                <w:szCs w:val="25"/>
              </w:rPr>
              <w:t>0</w:t>
            </w:r>
          </w:p>
        </w:tc>
      </w:tr>
      <w:tr w:rsidR="004A56AF" w:rsidRPr="00E14286" w:rsidTr="00620785">
        <w:trPr>
          <w:jc w:val="center"/>
        </w:trPr>
        <w:tc>
          <w:tcPr>
            <w:tcW w:w="3168" w:type="dxa"/>
          </w:tcPr>
          <w:p w:rsidR="004A56AF" w:rsidRPr="00E14286" w:rsidRDefault="004A56AF" w:rsidP="004A56AF">
            <w:pPr>
              <w:rPr>
                <w:sz w:val="25"/>
                <w:szCs w:val="25"/>
              </w:rPr>
            </w:pPr>
            <w:r w:rsidRPr="00E14286">
              <w:rPr>
                <w:sz w:val="25"/>
                <w:szCs w:val="25"/>
              </w:rPr>
              <w:t>3.1. valsts pamatbudžets</w:t>
            </w:r>
          </w:p>
        </w:tc>
        <w:tc>
          <w:tcPr>
            <w:tcW w:w="1556" w:type="dxa"/>
            <w:shd w:val="clear" w:color="auto" w:fill="auto"/>
          </w:tcPr>
          <w:p w:rsidR="004A56AF" w:rsidRPr="00E14286" w:rsidRDefault="004A56AF" w:rsidP="004A56AF">
            <w:pPr>
              <w:jc w:val="center"/>
              <w:rPr>
                <w:i/>
                <w:sz w:val="25"/>
                <w:szCs w:val="25"/>
              </w:rPr>
            </w:pPr>
            <w:r w:rsidRPr="00E14286">
              <w:rPr>
                <w:i/>
                <w:sz w:val="25"/>
                <w:szCs w:val="25"/>
              </w:rPr>
              <w:t>0</w:t>
            </w:r>
          </w:p>
        </w:tc>
        <w:tc>
          <w:tcPr>
            <w:tcW w:w="134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3" w:type="dxa"/>
          </w:tcPr>
          <w:p w:rsidR="004A56AF" w:rsidRPr="00E14286" w:rsidRDefault="004A56AF" w:rsidP="004A56AF">
            <w:pPr>
              <w:jc w:val="center"/>
              <w:rPr>
                <w:i/>
                <w:sz w:val="25"/>
                <w:szCs w:val="25"/>
              </w:rPr>
            </w:pPr>
            <w:r w:rsidRPr="00E14286">
              <w:rPr>
                <w:i/>
                <w:sz w:val="25"/>
                <w:szCs w:val="25"/>
              </w:rPr>
              <w:t>0</w:t>
            </w:r>
          </w:p>
        </w:tc>
        <w:tc>
          <w:tcPr>
            <w:tcW w:w="1473" w:type="dxa"/>
          </w:tcPr>
          <w:p w:rsidR="004A56AF" w:rsidRPr="00E14286" w:rsidRDefault="004A56AF" w:rsidP="004A56AF">
            <w:pPr>
              <w:jc w:val="center"/>
              <w:rPr>
                <w:i/>
                <w:sz w:val="25"/>
                <w:szCs w:val="25"/>
              </w:rPr>
            </w:pPr>
            <w:r w:rsidRPr="00E14286">
              <w:rPr>
                <w:i/>
                <w:sz w:val="25"/>
                <w:szCs w:val="25"/>
              </w:rPr>
              <w:t>0</w:t>
            </w: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3.2. speciālais budžets</w:t>
            </w:r>
          </w:p>
        </w:tc>
        <w:tc>
          <w:tcPr>
            <w:tcW w:w="1556" w:type="dxa"/>
            <w:shd w:val="clear" w:color="auto" w:fill="auto"/>
          </w:tcPr>
          <w:p w:rsidR="009B774A" w:rsidRPr="00E14286" w:rsidRDefault="009B774A" w:rsidP="001A0506">
            <w:pPr>
              <w:jc w:val="center"/>
              <w:rPr>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 xml:space="preserve">3.3. pašvaldību budžets </w:t>
            </w:r>
          </w:p>
        </w:tc>
        <w:tc>
          <w:tcPr>
            <w:tcW w:w="1556" w:type="dxa"/>
            <w:shd w:val="clear" w:color="auto" w:fill="auto"/>
          </w:tcPr>
          <w:p w:rsidR="009B774A" w:rsidRPr="00E14286" w:rsidRDefault="009B774A" w:rsidP="001A0506">
            <w:pPr>
              <w:jc w:val="center"/>
              <w:rPr>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556" w:type="dxa"/>
            <w:vMerge w:val="restart"/>
          </w:tcPr>
          <w:p w:rsidR="009B774A" w:rsidRPr="00E14286" w:rsidRDefault="009B774A" w:rsidP="001A0506">
            <w:pPr>
              <w:jc w:val="center"/>
              <w:rPr>
                <w:i/>
                <w:sz w:val="25"/>
                <w:szCs w:val="25"/>
              </w:rPr>
            </w:pPr>
            <w:r w:rsidRPr="00E14286">
              <w:rPr>
                <w:sz w:val="25"/>
                <w:szCs w:val="25"/>
              </w:rPr>
              <w:t>X</w:t>
            </w:r>
          </w:p>
        </w:tc>
        <w:tc>
          <w:tcPr>
            <w:tcW w:w="134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3" w:type="dxa"/>
          </w:tcPr>
          <w:p w:rsidR="009B774A" w:rsidRPr="00E14286" w:rsidRDefault="009B774A" w:rsidP="001A0506">
            <w:pPr>
              <w:jc w:val="center"/>
              <w:rPr>
                <w:sz w:val="25"/>
                <w:szCs w:val="25"/>
              </w:rPr>
            </w:pPr>
            <w:r w:rsidRPr="00E14286">
              <w:rPr>
                <w:sz w:val="25"/>
                <w:szCs w:val="25"/>
              </w:rPr>
              <w:t>0</w:t>
            </w:r>
          </w:p>
        </w:tc>
        <w:tc>
          <w:tcPr>
            <w:tcW w:w="1473" w:type="dxa"/>
          </w:tcPr>
          <w:p w:rsidR="009B774A" w:rsidRPr="00E14286" w:rsidRDefault="009B774A" w:rsidP="001A0506">
            <w:pPr>
              <w:jc w:val="center"/>
              <w:rPr>
                <w:sz w:val="25"/>
                <w:szCs w:val="25"/>
              </w:rPr>
            </w:pPr>
            <w:r w:rsidRPr="00E14286">
              <w:rPr>
                <w:sz w:val="25"/>
                <w:szCs w:val="25"/>
              </w:rPr>
              <w:t>0</w:t>
            </w:r>
          </w:p>
        </w:tc>
      </w:tr>
      <w:tr w:rsidR="009B774A" w:rsidRPr="00E14286" w:rsidTr="00620785">
        <w:trPr>
          <w:jc w:val="center"/>
        </w:trPr>
        <w:tc>
          <w:tcPr>
            <w:tcW w:w="3168" w:type="dxa"/>
            <w:vMerge/>
          </w:tcPr>
          <w:p w:rsidR="009B774A" w:rsidRPr="00E14286" w:rsidRDefault="009B774A" w:rsidP="001A0506">
            <w:pPr>
              <w:rPr>
                <w:sz w:val="25"/>
                <w:szCs w:val="25"/>
              </w:rPr>
            </w:pPr>
          </w:p>
        </w:tc>
        <w:tc>
          <w:tcPr>
            <w:tcW w:w="1556" w:type="dxa"/>
            <w:vMerge/>
          </w:tcPr>
          <w:p w:rsidR="009B774A" w:rsidRPr="00E14286" w:rsidRDefault="009B774A" w:rsidP="001A0506">
            <w:pPr>
              <w:jc w:val="center"/>
              <w:rPr>
                <w:i/>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vMerge/>
          </w:tcPr>
          <w:p w:rsidR="009B774A" w:rsidRPr="00E14286" w:rsidRDefault="009B774A" w:rsidP="001A0506">
            <w:pPr>
              <w:rPr>
                <w:sz w:val="25"/>
                <w:szCs w:val="25"/>
              </w:rPr>
            </w:pPr>
          </w:p>
        </w:tc>
        <w:tc>
          <w:tcPr>
            <w:tcW w:w="1556" w:type="dxa"/>
            <w:vMerge/>
          </w:tcPr>
          <w:p w:rsidR="009B774A" w:rsidRPr="00E14286" w:rsidRDefault="009B774A" w:rsidP="001A0506">
            <w:pPr>
              <w:jc w:val="center"/>
              <w:rPr>
                <w:i/>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lastRenderedPageBreak/>
              <w:t>5. Precizēta finansiālā ietekme:</w:t>
            </w:r>
          </w:p>
        </w:tc>
        <w:tc>
          <w:tcPr>
            <w:tcW w:w="1556" w:type="dxa"/>
            <w:vMerge w:val="restart"/>
          </w:tcPr>
          <w:p w:rsidR="009B774A" w:rsidRPr="00E14286" w:rsidRDefault="009B774A" w:rsidP="001A0506">
            <w:pPr>
              <w:jc w:val="center"/>
              <w:rPr>
                <w:i/>
                <w:sz w:val="25"/>
                <w:szCs w:val="25"/>
              </w:rPr>
            </w:pPr>
            <w:r w:rsidRPr="00E14286">
              <w:rPr>
                <w:sz w:val="25"/>
                <w:szCs w:val="25"/>
              </w:rPr>
              <w:t>X</w:t>
            </w:r>
          </w:p>
        </w:tc>
        <w:tc>
          <w:tcPr>
            <w:tcW w:w="134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3" w:type="dxa"/>
          </w:tcPr>
          <w:p w:rsidR="009B774A" w:rsidRPr="00E14286" w:rsidRDefault="009B774A" w:rsidP="001A0506">
            <w:pPr>
              <w:jc w:val="center"/>
              <w:rPr>
                <w:sz w:val="25"/>
                <w:szCs w:val="25"/>
              </w:rPr>
            </w:pPr>
            <w:r w:rsidRPr="00E14286">
              <w:rPr>
                <w:sz w:val="25"/>
                <w:szCs w:val="25"/>
              </w:rPr>
              <w:t>0</w:t>
            </w:r>
          </w:p>
        </w:tc>
        <w:tc>
          <w:tcPr>
            <w:tcW w:w="1473" w:type="dxa"/>
          </w:tcPr>
          <w:p w:rsidR="009B774A" w:rsidRPr="00E14286" w:rsidRDefault="009B774A" w:rsidP="001A0506">
            <w:pPr>
              <w:jc w:val="center"/>
              <w:rPr>
                <w:sz w:val="25"/>
                <w:szCs w:val="25"/>
              </w:rPr>
            </w:pPr>
            <w:r w:rsidRPr="00E14286">
              <w:rPr>
                <w:sz w:val="25"/>
                <w:szCs w:val="25"/>
              </w:rPr>
              <w:t>0</w:t>
            </w: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5.1. valsts pamatbudžets</w:t>
            </w:r>
          </w:p>
        </w:tc>
        <w:tc>
          <w:tcPr>
            <w:tcW w:w="1556" w:type="dxa"/>
            <w:vMerge/>
            <w:vAlign w:val="center"/>
          </w:tcPr>
          <w:p w:rsidR="009B774A" w:rsidRPr="00E14286" w:rsidRDefault="009B774A" w:rsidP="001A0506">
            <w:pPr>
              <w:jc w:val="center"/>
              <w:rPr>
                <w:i/>
                <w:sz w:val="25"/>
                <w:szCs w:val="25"/>
              </w:rPr>
            </w:pPr>
          </w:p>
        </w:tc>
        <w:tc>
          <w:tcPr>
            <w:tcW w:w="134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3" w:type="dxa"/>
          </w:tcPr>
          <w:p w:rsidR="009B774A" w:rsidRPr="00E14286" w:rsidRDefault="009B774A" w:rsidP="001A0506">
            <w:pPr>
              <w:jc w:val="center"/>
              <w:rPr>
                <w:sz w:val="25"/>
                <w:szCs w:val="25"/>
              </w:rPr>
            </w:pPr>
            <w:r w:rsidRPr="00E14286">
              <w:rPr>
                <w:sz w:val="25"/>
                <w:szCs w:val="25"/>
              </w:rPr>
              <w:t>0</w:t>
            </w:r>
          </w:p>
        </w:tc>
        <w:tc>
          <w:tcPr>
            <w:tcW w:w="1473" w:type="dxa"/>
          </w:tcPr>
          <w:p w:rsidR="009B774A" w:rsidRPr="00E14286" w:rsidRDefault="009B774A" w:rsidP="001A0506">
            <w:pPr>
              <w:jc w:val="center"/>
              <w:rPr>
                <w:sz w:val="25"/>
                <w:szCs w:val="25"/>
              </w:rPr>
            </w:pPr>
            <w:r w:rsidRPr="00E14286">
              <w:rPr>
                <w:sz w:val="25"/>
                <w:szCs w:val="25"/>
              </w:rPr>
              <w:t>0</w:t>
            </w: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5.2. speciālais budžets</w:t>
            </w:r>
          </w:p>
        </w:tc>
        <w:tc>
          <w:tcPr>
            <w:tcW w:w="1556" w:type="dxa"/>
            <w:vMerge/>
            <w:vAlign w:val="center"/>
          </w:tcPr>
          <w:p w:rsidR="009B774A" w:rsidRPr="00E14286" w:rsidRDefault="009B774A" w:rsidP="001A0506">
            <w:pPr>
              <w:jc w:val="center"/>
              <w:rPr>
                <w:i/>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 xml:space="preserve">5.3. pašvaldību budžets </w:t>
            </w:r>
          </w:p>
        </w:tc>
        <w:tc>
          <w:tcPr>
            <w:tcW w:w="1556" w:type="dxa"/>
            <w:vMerge/>
            <w:vAlign w:val="center"/>
          </w:tcPr>
          <w:p w:rsidR="009B774A" w:rsidRPr="00E14286" w:rsidRDefault="009B774A" w:rsidP="001A0506">
            <w:pPr>
              <w:jc w:val="center"/>
              <w:rPr>
                <w:i/>
                <w:sz w:val="25"/>
                <w:szCs w:val="25"/>
              </w:rPr>
            </w:pPr>
          </w:p>
        </w:tc>
        <w:tc>
          <w:tcPr>
            <w:tcW w:w="134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3" w:type="dxa"/>
          </w:tcPr>
          <w:p w:rsidR="009B774A" w:rsidRPr="00E14286" w:rsidRDefault="009B774A" w:rsidP="001A0506">
            <w:pPr>
              <w:jc w:val="center"/>
              <w:rPr>
                <w:sz w:val="25"/>
                <w:szCs w:val="25"/>
              </w:rPr>
            </w:pPr>
          </w:p>
        </w:tc>
        <w:tc>
          <w:tcPr>
            <w:tcW w:w="1473" w:type="dxa"/>
          </w:tcPr>
          <w:p w:rsidR="009B774A" w:rsidRPr="00E14286" w:rsidRDefault="009B774A" w:rsidP="001A0506">
            <w:pPr>
              <w:jc w:val="center"/>
              <w:rPr>
                <w:sz w:val="25"/>
                <w:szCs w:val="25"/>
              </w:rPr>
            </w:pP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755" w:type="dxa"/>
            <w:gridSpan w:val="5"/>
            <w:vMerge w:val="restart"/>
            <w:shd w:val="clear" w:color="auto" w:fill="auto"/>
          </w:tcPr>
          <w:p w:rsidR="0018764B" w:rsidRPr="0018764B" w:rsidRDefault="0018764B" w:rsidP="0018764B">
            <w:pPr>
              <w:jc w:val="both"/>
              <w:rPr>
                <w:sz w:val="25"/>
                <w:szCs w:val="25"/>
              </w:rPr>
            </w:pPr>
            <w:r w:rsidRPr="0018764B">
              <w:rPr>
                <w:sz w:val="25"/>
                <w:szCs w:val="25"/>
              </w:rPr>
              <w:t>Finansējums nepieciešams šādu izdevumu segšanai:</w:t>
            </w:r>
          </w:p>
          <w:p w:rsidR="0018764B" w:rsidRPr="0018764B" w:rsidRDefault="0018764B" w:rsidP="0018764B">
            <w:pPr>
              <w:pStyle w:val="ListParagraph"/>
              <w:numPr>
                <w:ilvl w:val="0"/>
                <w:numId w:val="23"/>
              </w:numPr>
              <w:ind w:left="349"/>
              <w:jc w:val="both"/>
              <w:rPr>
                <w:sz w:val="25"/>
                <w:szCs w:val="25"/>
              </w:rPr>
            </w:pPr>
            <w:r w:rsidRPr="0018764B">
              <w:rPr>
                <w:sz w:val="25"/>
                <w:szCs w:val="25"/>
              </w:rPr>
              <w:t xml:space="preserve">Pārbūves būvprojekta minimālās sastāvā izstrādei – 48 400 </w:t>
            </w:r>
            <w:r w:rsidRPr="0018764B">
              <w:rPr>
                <w:i/>
                <w:sz w:val="25"/>
                <w:szCs w:val="25"/>
              </w:rPr>
              <w:t>euro</w:t>
            </w:r>
            <w:r w:rsidRPr="0018764B">
              <w:rPr>
                <w:sz w:val="25"/>
                <w:szCs w:val="25"/>
              </w:rPr>
              <w:t>;</w:t>
            </w:r>
          </w:p>
          <w:p w:rsidR="0018764B" w:rsidRDefault="0018764B" w:rsidP="0018764B">
            <w:pPr>
              <w:pStyle w:val="ListParagraph"/>
              <w:numPr>
                <w:ilvl w:val="0"/>
                <w:numId w:val="23"/>
              </w:numPr>
              <w:ind w:left="349"/>
              <w:jc w:val="both"/>
              <w:rPr>
                <w:sz w:val="25"/>
                <w:szCs w:val="25"/>
              </w:rPr>
            </w:pPr>
            <w:r w:rsidRPr="0018764B">
              <w:rPr>
                <w:sz w:val="25"/>
                <w:szCs w:val="25"/>
              </w:rPr>
              <w:t xml:space="preserve">Teritorijas topogrāfiskā plāna izstrādei – 4820 </w:t>
            </w:r>
            <w:r w:rsidRPr="0018764B">
              <w:rPr>
                <w:i/>
                <w:sz w:val="25"/>
                <w:szCs w:val="25"/>
              </w:rPr>
              <w:t>euro</w:t>
            </w:r>
            <w:r w:rsidRPr="0018764B">
              <w:rPr>
                <w:sz w:val="25"/>
                <w:szCs w:val="25"/>
              </w:rPr>
              <w:t>;</w:t>
            </w:r>
          </w:p>
          <w:p w:rsidR="0018764B" w:rsidRDefault="0018764B" w:rsidP="0018764B">
            <w:pPr>
              <w:pStyle w:val="ListParagraph"/>
              <w:numPr>
                <w:ilvl w:val="0"/>
                <w:numId w:val="23"/>
              </w:numPr>
              <w:ind w:left="349"/>
              <w:jc w:val="both"/>
              <w:rPr>
                <w:sz w:val="25"/>
                <w:szCs w:val="25"/>
              </w:rPr>
            </w:pPr>
            <w:r>
              <w:rPr>
                <w:sz w:val="25"/>
                <w:szCs w:val="25"/>
              </w:rPr>
              <w:t>T</w:t>
            </w:r>
            <w:r w:rsidRPr="0018764B">
              <w:rPr>
                <w:sz w:val="25"/>
                <w:szCs w:val="25"/>
              </w:rPr>
              <w:t>eritorijas ģeoloģisk</w:t>
            </w:r>
            <w:r>
              <w:rPr>
                <w:sz w:val="25"/>
                <w:szCs w:val="25"/>
              </w:rPr>
              <w:t>ai</w:t>
            </w:r>
            <w:r w:rsidRPr="0018764B">
              <w:rPr>
                <w:sz w:val="25"/>
                <w:szCs w:val="25"/>
              </w:rPr>
              <w:t xml:space="preserve"> izpēt</w:t>
            </w:r>
            <w:r>
              <w:rPr>
                <w:sz w:val="25"/>
                <w:szCs w:val="25"/>
              </w:rPr>
              <w:t>e</w:t>
            </w:r>
            <w:r w:rsidRPr="0018764B">
              <w:rPr>
                <w:sz w:val="25"/>
                <w:szCs w:val="25"/>
              </w:rPr>
              <w:t xml:space="preserve">i – 15 000 </w:t>
            </w:r>
            <w:r w:rsidRPr="0018764B">
              <w:rPr>
                <w:i/>
                <w:sz w:val="25"/>
                <w:szCs w:val="25"/>
              </w:rPr>
              <w:t>euro</w:t>
            </w:r>
            <w:r w:rsidRPr="0018764B">
              <w:rPr>
                <w:sz w:val="25"/>
                <w:szCs w:val="25"/>
              </w:rPr>
              <w:t>;</w:t>
            </w:r>
          </w:p>
          <w:p w:rsidR="0018764B" w:rsidRDefault="0018764B" w:rsidP="0018764B">
            <w:pPr>
              <w:pStyle w:val="ListParagraph"/>
              <w:numPr>
                <w:ilvl w:val="0"/>
                <w:numId w:val="23"/>
              </w:numPr>
              <w:ind w:left="349"/>
              <w:jc w:val="both"/>
              <w:rPr>
                <w:sz w:val="25"/>
                <w:szCs w:val="25"/>
              </w:rPr>
            </w:pPr>
            <w:r>
              <w:rPr>
                <w:sz w:val="25"/>
                <w:szCs w:val="25"/>
              </w:rPr>
              <w:t>T</w:t>
            </w:r>
            <w:r w:rsidRPr="0018764B">
              <w:rPr>
                <w:sz w:val="25"/>
                <w:szCs w:val="25"/>
              </w:rPr>
              <w:t>ribīņu un inženierkomunikāciju pārbūves tehniskā projekta izstrād</w:t>
            </w:r>
            <w:r>
              <w:rPr>
                <w:sz w:val="25"/>
                <w:szCs w:val="25"/>
              </w:rPr>
              <w:t>e</w:t>
            </w:r>
            <w:r w:rsidRPr="0018764B">
              <w:rPr>
                <w:sz w:val="25"/>
                <w:szCs w:val="25"/>
              </w:rPr>
              <w:t xml:space="preserve">i – 24 000 </w:t>
            </w:r>
            <w:r w:rsidRPr="0018764B">
              <w:rPr>
                <w:i/>
                <w:sz w:val="25"/>
                <w:szCs w:val="25"/>
              </w:rPr>
              <w:t>euro</w:t>
            </w:r>
            <w:r w:rsidRPr="0018764B">
              <w:rPr>
                <w:sz w:val="25"/>
                <w:szCs w:val="25"/>
              </w:rPr>
              <w:t>;</w:t>
            </w:r>
          </w:p>
          <w:p w:rsidR="0018764B" w:rsidRDefault="0018764B" w:rsidP="0018764B">
            <w:pPr>
              <w:pStyle w:val="ListParagraph"/>
              <w:numPr>
                <w:ilvl w:val="0"/>
                <w:numId w:val="23"/>
              </w:numPr>
              <w:ind w:left="349"/>
              <w:jc w:val="both"/>
              <w:rPr>
                <w:sz w:val="25"/>
                <w:szCs w:val="25"/>
              </w:rPr>
            </w:pPr>
            <w:r>
              <w:rPr>
                <w:sz w:val="25"/>
                <w:szCs w:val="25"/>
              </w:rPr>
              <w:t>B</w:t>
            </w:r>
            <w:r w:rsidRPr="0018764B">
              <w:rPr>
                <w:sz w:val="25"/>
                <w:szCs w:val="25"/>
              </w:rPr>
              <w:t>ūvdarbu iepirkumu un citu p</w:t>
            </w:r>
            <w:r>
              <w:rPr>
                <w:sz w:val="25"/>
                <w:szCs w:val="25"/>
              </w:rPr>
              <w:t>amatojošo dokumentu sagatavošanai</w:t>
            </w:r>
            <w:r w:rsidRPr="0018764B">
              <w:rPr>
                <w:sz w:val="25"/>
                <w:szCs w:val="25"/>
              </w:rPr>
              <w:t xml:space="preserve"> projektu un programmas īstenošanai – 78 630 </w:t>
            </w:r>
            <w:r w:rsidRPr="0018764B">
              <w:rPr>
                <w:i/>
                <w:sz w:val="25"/>
                <w:szCs w:val="25"/>
              </w:rPr>
              <w:t>euro</w:t>
            </w:r>
            <w:r w:rsidRPr="0018764B">
              <w:rPr>
                <w:sz w:val="25"/>
                <w:szCs w:val="25"/>
              </w:rPr>
              <w:t>;</w:t>
            </w:r>
          </w:p>
          <w:p w:rsidR="0018764B" w:rsidRPr="0018764B" w:rsidRDefault="0018764B" w:rsidP="0018764B">
            <w:pPr>
              <w:pStyle w:val="ListParagraph"/>
              <w:numPr>
                <w:ilvl w:val="0"/>
                <w:numId w:val="23"/>
              </w:numPr>
              <w:ind w:left="349"/>
              <w:jc w:val="both"/>
              <w:rPr>
                <w:sz w:val="25"/>
                <w:szCs w:val="25"/>
              </w:rPr>
            </w:pPr>
            <w:r>
              <w:rPr>
                <w:sz w:val="25"/>
                <w:szCs w:val="25"/>
              </w:rPr>
              <w:t>P</w:t>
            </w:r>
            <w:r w:rsidRPr="0018764B">
              <w:rPr>
                <w:sz w:val="25"/>
                <w:szCs w:val="25"/>
              </w:rPr>
              <w:t>rogrammas vadības biroj</w:t>
            </w:r>
            <w:r>
              <w:rPr>
                <w:sz w:val="25"/>
                <w:szCs w:val="25"/>
              </w:rPr>
              <w:t xml:space="preserve">a izveidei </w:t>
            </w:r>
            <w:r w:rsidRPr="0018764B">
              <w:rPr>
                <w:sz w:val="25"/>
                <w:szCs w:val="25"/>
              </w:rPr>
              <w:t xml:space="preserve">– 29 000 </w:t>
            </w:r>
            <w:r w:rsidRPr="0018764B">
              <w:rPr>
                <w:i/>
                <w:sz w:val="25"/>
                <w:szCs w:val="25"/>
              </w:rPr>
              <w:t>euro</w:t>
            </w:r>
            <w:r w:rsidRPr="0018764B">
              <w:rPr>
                <w:sz w:val="25"/>
                <w:szCs w:val="25"/>
              </w:rPr>
              <w:t>.</w:t>
            </w:r>
          </w:p>
          <w:p w:rsidR="0018764B" w:rsidRDefault="0018764B" w:rsidP="002D6D46">
            <w:pPr>
              <w:jc w:val="both"/>
              <w:rPr>
                <w:sz w:val="25"/>
                <w:szCs w:val="25"/>
              </w:rPr>
            </w:pPr>
          </w:p>
          <w:p w:rsidR="0047568D" w:rsidRDefault="0047568D" w:rsidP="002D6D46">
            <w:pPr>
              <w:jc w:val="both"/>
              <w:rPr>
                <w:sz w:val="25"/>
                <w:szCs w:val="25"/>
              </w:rPr>
            </w:pPr>
            <w:r w:rsidRPr="00E14286">
              <w:rPr>
                <w:sz w:val="25"/>
                <w:szCs w:val="25"/>
              </w:rPr>
              <w:t xml:space="preserve">Ņemot vērā to, ka jautājums ir saistīts ar līdzekļu </w:t>
            </w:r>
            <w:r w:rsidR="00F53178" w:rsidRPr="00E14286">
              <w:rPr>
                <w:sz w:val="25"/>
                <w:szCs w:val="25"/>
              </w:rPr>
              <w:t xml:space="preserve">iekšējo </w:t>
            </w:r>
            <w:r w:rsidRPr="00E14286">
              <w:rPr>
                <w:sz w:val="25"/>
                <w:szCs w:val="25"/>
              </w:rPr>
              <w:t xml:space="preserve">pārdali </w:t>
            </w:r>
            <w:r w:rsidR="00075E50">
              <w:rPr>
                <w:sz w:val="25"/>
                <w:szCs w:val="25"/>
              </w:rPr>
              <w:t xml:space="preserve">IZM budžeta ietvaros, </w:t>
            </w:r>
            <w:r w:rsidR="00991845" w:rsidRPr="00E14286">
              <w:rPr>
                <w:sz w:val="25"/>
                <w:szCs w:val="25"/>
              </w:rPr>
              <w:t xml:space="preserve">iekšējās pārdales rezultātā </w:t>
            </w:r>
            <w:r w:rsidR="00075E50">
              <w:rPr>
                <w:sz w:val="25"/>
                <w:szCs w:val="25"/>
              </w:rPr>
              <w:t xml:space="preserve">IZM </w:t>
            </w:r>
            <w:r w:rsidR="00991845" w:rsidRPr="00E14286">
              <w:rPr>
                <w:sz w:val="25"/>
                <w:szCs w:val="25"/>
              </w:rPr>
              <w:t>201</w:t>
            </w:r>
            <w:r w:rsidR="00E547A9">
              <w:rPr>
                <w:sz w:val="25"/>
                <w:szCs w:val="25"/>
              </w:rPr>
              <w:t>5</w:t>
            </w:r>
            <w:r w:rsidRPr="00E14286">
              <w:rPr>
                <w:sz w:val="25"/>
                <w:szCs w:val="25"/>
              </w:rPr>
              <w:t>.gada izdevumi nemainās.</w:t>
            </w:r>
          </w:p>
          <w:p w:rsidR="00973150" w:rsidRDefault="00973150" w:rsidP="00C80637">
            <w:pPr>
              <w:jc w:val="both"/>
              <w:rPr>
                <w:sz w:val="25"/>
                <w:szCs w:val="25"/>
              </w:rPr>
            </w:pPr>
          </w:p>
          <w:p w:rsidR="00C0400D" w:rsidRPr="00C0400D" w:rsidRDefault="00D90152" w:rsidP="00546D43">
            <w:pPr>
              <w:jc w:val="both"/>
              <w:rPr>
                <w:rFonts w:eastAsia="Times New Roman"/>
                <w:color w:val="000000"/>
                <w:sz w:val="25"/>
                <w:szCs w:val="25"/>
              </w:rPr>
            </w:pPr>
            <w:r w:rsidRPr="00E14286">
              <w:rPr>
                <w:sz w:val="25"/>
                <w:szCs w:val="25"/>
              </w:rPr>
              <w:t>Izdevumi 201</w:t>
            </w:r>
            <w:r w:rsidR="00075E50">
              <w:rPr>
                <w:sz w:val="25"/>
                <w:szCs w:val="25"/>
              </w:rPr>
              <w:t>5</w:t>
            </w:r>
            <w:r w:rsidRPr="00E14286">
              <w:rPr>
                <w:sz w:val="25"/>
                <w:szCs w:val="25"/>
              </w:rPr>
              <w:t xml:space="preserve">.gada </w:t>
            </w:r>
            <w:r w:rsidR="004276CB">
              <w:rPr>
                <w:sz w:val="25"/>
                <w:szCs w:val="25"/>
              </w:rPr>
              <w:t xml:space="preserve">IZM </w:t>
            </w:r>
            <w:r w:rsidR="004276CB" w:rsidRPr="00E14286">
              <w:rPr>
                <w:sz w:val="25"/>
                <w:szCs w:val="25"/>
              </w:rPr>
              <w:t>valsts budžeta programmas 09.00.00 „Sports” apakšprogrammā</w:t>
            </w:r>
            <w:r w:rsidR="004276CB">
              <w:rPr>
                <w:sz w:val="25"/>
                <w:szCs w:val="25"/>
              </w:rPr>
              <w:t xml:space="preserve"> 09.04.00 „Sporta būves” par </w:t>
            </w:r>
            <w:r w:rsidR="004276CB" w:rsidRPr="00C80637">
              <w:rPr>
                <w:rFonts w:eastAsia="Times New Roman"/>
                <w:color w:val="000000"/>
                <w:sz w:val="25"/>
                <w:szCs w:val="25"/>
              </w:rPr>
              <w:t xml:space="preserve">199 850 </w:t>
            </w:r>
            <w:r w:rsidR="004276CB" w:rsidRPr="00075E50">
              <w:rPr>
                <w:rFonts w:eastAsia="Times New Roman"/>
                <w:i/>
                <w:color w:val="000000"/>
                <w:sz w:val="25"/>
                <w:szCs w:val="25"/>
              </w:rPr>
              <w:t>euro</w:t>
            </w:r>
            <w:r w:rsidR="004276CB">
              <w:rPr>
                <w:rFonts w:eastAsia="Times New Roman"/>
                <w:color w:val="000000"/>
                <w:sz w:val="25"/>
                <w:szCs w:val="25"/>
              </w:rPr>
              <w:t xml:space="preserve"> palielināsies, bet attiecīgi samazināsies </w:t>
            </w:r>
            <w:r w:rsidR="004276CB" w:rsidRPr="00D46275">
              <w:rPr>
                <w:rFonts w:eastAsia="Times New Roman"/>
                <w:color w:val="000000"/>
                <w:sz w:val="25"/>
                <w:szCs w:val="25"/>
              </w:rPr>
              <w:t>apakšprogramm</w:t>
            </w:r>
            <w:r w:rsidR="004276CB">
              <w:rPr>
                <w:rFonts w:eastAsia="Times New Roman"/>
                <w:color w:val="000000"/>
                <w:sz w:val="25"/>
                <w:szCs w:val="25"/>
              </w:rPr>
              <w:t xml:space="preserve">ā </w:t>
            </w:r>
            <w:r w:rsidR="004276CB" w:rsidRPr="00D46275">
              <w:rPr>
                <w:rFonts w:eastAsia="Times New Roman"/>
                <w:color w:val="000000"/>
                <w:sz w:val="25"/>
                <w:szCs w:val="25"/>
              </w:rPr>
              <w:t xml:space="preserve">42.03.00 „Skolu jaunatnes dziesmu un </w:t>
            </w:r>
            <w:r w:rsidR="004276CB">
              <w:rPr>
                <w:rFonts w:eastAsia="Times New Roman"/>
                <w:color w:val="000000"/>
                <w:sz w:val="25"/>
                <w:szCs w:val="25"/>
              </w:rPr>
              <w:t xml:space="preserve">deju svētki” (par 90 000 </w:t>
            </w:r>
            <w:r w:rsidR="004276CB" w:rsidRPr="00546D43">
              <w:rPr>
                <w:rFonts w:eastAsia="Times New Roman"/>
                <w:i/>
                <w:color w:val="000000"/>
                <w:sz w:val="25"/>
                <w:szCs w:val="25"/>
              </w:rPr>
              <w:t>euro</w:t>
            </w:r>
            <w:r w:rsidR="004276CB">
              <w:rPr>
                <w:rFonts w:eastAsia="Times New Roman"/>
                <w:color w:val="000000"/>
                <w:sz w:val="25"/>
                <w:szCs w:val="25"/>
              </w:rPr>
              <w:t>) un apakšprogrammā</w:t>
            </w:r>
            <w:r w:rsidR="004276CB" w:rsidRPr="00D46275">
              <w:rPr>
                <w:rFonts w:eastAsia="Times New Roman"/>
                <w:color w:val="000000"/>
                <w:sz w:val="25"/>
                <w:szCs w:val="25"/>
              </w:rPr>
              <w:t xml:space="preserve"> 12.00.00 „Finansējums asistenta pakalpojuma nodrošināšanai personai ar invaliditāti pārvietošanas atbalstam un pašaprūpes veikšanai” </w:t>
            </w:r>
            <w:r w:rsidR="004276CB">
              <w:rPr>
                <w:rFonts w:eastAsia="Times New Roman"/>
                <w:color w:val="000000"/>
                <w:sz w:val="25"/>
                <w:szCs w:val="25"/>
              </w:rPr>
              <w:t xml:space="preserve">(par </w:t>
            </w:r>
            <w:r w:rsidR="004276CB" w:rsidRPr="00D46275">
              <w:rPr>
                <w:rFonts w:eastAsia="Times New Roman"/>
                <w:color w:val="000000"/>
                <w:sz w:val="25"/>
                <w:szCs w:val="25"/>
              </w:rPr>
              <w:t xml:space="preserve">109 850 </w:t>
            </w:r>
            <w:r w:rsidR="004276CB" w:rsidRPr="00D46275">
              <w:rPr>
                <w:rFonts w:eastAsia="Times New Roman"/>
                <w:i/>
                <w:color w:val="000000"/>
                <w:sz w:val="25"/>
                <w:szCs w:val="25"/>
              </w:rPr>
              <w:t>euro</w:t>
            </w:r>
            <w:r w:rsidR="004276CB">
              <w:rPr>
                <w:rFonts w:eastAsia="Times New Roman"/>
                <w:color w:val="000000"/>
                <w:sz w:val="25"/>
                <w:szCs w:val="25"/>
              </w:rPr>
              <w:t>) paredzētie izdevumi.</w:t>
            </w: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6.1. detalizēts ieņēmumu aprēķins</w:t>
            </w:r>
          </w:p>
        </w:tc>
        <w:tc>
          <w:tcPr>
            <w:tcW w:w="6755" w:type="dxa"/>
            <w:gridSpan w:val="5"/>
            <w:vMerge/>
            <w:shd w:val="clear" w:color="auto" w:fill="auto"/>
          </w:tcPr>
          <w:p w:rsidR="009B774A" w:rsidRPr="00E14286" w:rsidRDefault="009B774A" w:rsidP="001A0506">
            <w:pPr>
              <w:rPr>
                <w:b/>
                <w:i/>
                <w:sz w:val="25"/>
                <w:szCs w:val="25"/>
              </w:rPr>
            </w:pPr>
          </w:p>
        </w:tc>
      </w:tr>
      <w:tr w:rsidR="009B774A" w:rsidRPr="00E14286" w:rsidTr="00620785">
        <w:trPr>
          <w:jc w:val="center"/>
        </w:trPr>
        <w:tc>
          <w:tcPr>
            <w:tcW w:w="3168" w:type="dxa"/>
          </w:tcPr>
          <w:p w:rsidR="009B774A" w:rsidRPr="00E14286" w:rsidRDefault="009B774A" w:rsidP="001A0506">
            <w:pPr>
              <w:rPr>
                <w:sz w:val="25"/>
                <w:szCs w:val="25"/>
              </w:rPr>
            </w:pPr>
            <w:r w:rsidRPr="00E14286">
              <w:rPr>
                <w:sz w:val="25"/>
                <w:szCs w:val="25"/>
              </w:rPr>
              <w:t>6.2. detalizēts izdevumu aprēķins</w:t>
            </w:r>
          </w:p>
        </w:tc>
        <w:tc>
          <w:tcPr>
            <w:tcW w:w="6755" w:type="dxa"/>
            <w:gridSpan w:val="5"/>
            <w:vMerge/>
            <w:shd w:val="clear" w:color="auto" w:fill="auto"/>
          </w:tcPr>
          <w:p w:rsidR="009B774A" w:rsidRPr="00E14286" w:rsidRDefault="009B774A" w:rsidP="001A0506">
            <w:pPr>
              <w:rPr>
                <w:b/>
                <w:i/>
                <w:sz w:val="25"/>
                <w:szCs w:val="25"/>
              </w:rPr>
            </w:pPr>
          </w:p>
        </w:tc>
      </w:tr>
      <w:tr w:rsidR="009B774A" w:rsidRPr="00E14286" w:rsidTr="00620785">
        <w:trPr>
          <w:trHeight w:val="399"/>
          <w:jc w:val="center"/>
        </w:trPr>
        <w:tc>
          <w:tcPr>
            <w:tcW w:w="3168" w:type="dxa"/>
          </w:tcPr>
          <w:p w:rsidR="009B774A" w:rsidRPr="00E14286" w:rsidRDefault="009B774A" w:rsidP="001A0506">
            <w:pPr>
              <w:rPr>
                <w:sz w:val="25"/>
                <w:szCs w:val="25"/>
              </w:rPr>
            </w:pPr>
            <w:r w:rsidRPr="00E14286">
              <w:rPr>
                <w:sz w:val="25"/>
                <w:szCs w:val="25"/>
              </w:rPr>
              <w:t>7. Cita informācija</w:t>
            </w:r>
          </w:p>
        </w:tc>
        <w:tc>
          <w:tcPr>
            <w:tcW w:w="6755" w:type="dxa"/>
            <w:gridSpan w:val="5"/>
            <w:shd w:val="clear" w:color="auto" w:fill="auto"/>
          </w:tcPr>
          <w:p w:rsidR="00616FC0" w:rsidRPr="00E14286" w:rsidRDefault="007D6850" w:rsidP="00EF00B1">
            <w:pPr>
              <w:jc w:val="both"/>
              <w:rPr>
                <w:sz w:val="25"/>
                <w:szCs w:val="25"/>
              </w:rPr>
            </w:pPr>
            <w:r>
              <w:rPr>
                <w:sz w:val="25"/>
                <w:szCs w:val="25"/>
              </w:rPr>
              <w:tab/>
            </w:r>
            <w:r w:rsidR="00075E50" w:rsidRPr="00075E50">
              <w:rPr>
                <w:sz w:val="25"/>
                <w:szCs w:val="25"/>
              </w:rPr>
              <w:t>Pēc Ministru kabineta rīkojuma projekta pieņemšanas IZM normatīvajos aktos noteiktā kārtībā sagatavos un iesniegs Finanšu ministrijā pieprasījumu valsts budžeta apropriācijas pārdalei.</w:t>
            </w:r>
          </w:p>
        </w:tc>
      </w:tr>
    </w:tbl>
    <w:p w:rsidR="00520B00" w:rsidRDefault="00520B00" w:rsidP="00464CD0">
      <w:pPr>
        <w:ind w:left="-567" w:right="-427"/>
        <w:jc w:val="both"/>
        <w:rPr>
          <w:i/>
          <w:sz w:val="26"/>
          <w:szCs w:val="26"/>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7"/>
        <w:gridCol w:w="715"/>
        <w:gridCol w:w="1258"/>
        <w:gridCol w:w="889"/>
        <w:gridCol w:w="788"/>
        <w:gridCol w:w="1524"/>
        <w:gridCol w:w="3763"/>
      </w:tblGrid>
      <w:tr w:rsidR="00C9288C" w:rsidRPr="00C9288C" w:rsidTr="00C9288C">
        <w:trPr>
          <w:trHeight w:val="555"/>
        </w:trPr>
        <w:tc>
          <w:tcPr>
            <w:tcW w:w="5000" w:type="pct"/>
            <w:gridSpan w:val="7"/>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jc w:val="center"/>
              <w:rPr>
                <w:rFonts w:eastAsia="Times New Roman"/>
                <w:sz w:val="25"/>
                <w:szCs w:val="25"/>
              </w:rPr>
            </w:pPr>
            <w:r w:rsidRPr="00C9288C">
              <w:rPr>
                <w:b/>
                <w:sz w:val="25"/>
                <w:szCs w:val="25"/>
              </w:rPr>
              <w:t>V. Tiesību akta projekta atbilstība Latvijas Republikas starptautiskajām saistībām</w:t>
            </w:r>
          </w:p>
        </w:tc>
      </w:tr>
      <w:tr w:rsidR="00C9288C" w:rsidRPr="00C9288C" w:rsidTr="00C9288C">
        <w:trPr>
          <w:trHeight w:val="819"/>
        </w:trPr>
        <w:tc>
          <w:tcPr>
            <w:tcW w:w="497"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rFonts w:eastAsia="Times New Roman"/>
                <w:sz w:val="25"/>
                <w:szCs w:val="25"/>
              </w:rPr>
              <w:t>1.</w:t>
            </w:r>
          </w:p>
        </w:tc>
        <w:tc>
          <w:tcPr>
            <w:tcW w:w="994"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Saistības pret Eiropas Savienību</w:t>
            </w:r>
          </w:p>
        </w:tc>
        <w:tc>
          <w:tcPr>
            <w:tcW w:w="3509" w:type="pct"/>
            <w:gridSpan w:val="4"/>
            <w:tcBorders>
              <w:top w:val="outset" w:sz="6" w:space="0" w:color="414142"/>
              <w:left w:val="outset" w:sz="6" w:space="0" w:color="414142"/>
              <w:bottom w:val="outset" w:sz="6" w:space="0" w:color="414142"/>
              <w:right w:val="outset" w:sz="6" w:space="0" w:color="414142"/>
            </w:tcBorders>
          </w:tcPr>
          <w:p w:rsidR="00C9288C" w:rsidRPr="00C9288C" w:rsidRDefault="00C9288C" w:rsidP="00C9288C">
            <w:pPr>
              <w:spacing w:after="120"/>
              <w:ind w:left="57" w:right="113"/>
              <w:jc w:val="both"/>
              <w:rPr>
                <w:sz w:val="25"/>
                <w:szCs w:val="25"/>
              </w:rPr>
            </w:pPr>
            <w:r>
              <w:rPr>
                <w:sz w:val="25"/>
                <w:szCs w:val="25"/>
              </w:rPr>
              <w:t xml:space="preserve">Ministru kabineta rīkojuma </w:t>
            </w:r>
            <w:r w:rsidRPr="00C9288C">
              <w:rPr>
                <w:sz w:val="25"/>
                <w:szCs w:val="25"/>
              </w:rPr>
              <w:t>projekts paredz, ka finanšu atbalsts </w:t>
            </w:r>
            <w:r>
              <w:rPr>
                <w:sz w:val="25"/>
                <w:szCs w:val="25"/>
              </w:rPr>
              <w:t xml:space="preserve">Kapitālsabiedrībai </w:t>
            </w:r>
            <w:r w:rsidRPr="00C9288C">
              <w:rPr>
                <w:sz w:val="25"/>
                <w:szCs w:val="25"/>
              </w:rPr>
              <w:t>tiek sniegts saskaņā ar Komisijas regulu Nr. 1407/2013.</w:t>
            </w:r>
          </w:p>
        </w:tc>
      </w:tr>
      <w:tr w:rsidR="00C9288C" w:rsidRPr="00C9288C" w:rsidTr="00C9288C">
        <w:trPr>
          <w:trHeight w:val="555"/>
        </w:trPr>
        <w:tc>
          <w:tcPr>
            <w:tcW w:w="497"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rFonts w:eastAsia="Times New Roman"/>
                <w:sz w:val="25"/>
                <w:szCs w:val="25"/>
              </w:rPr>
              <w:t>2.</w:t>
            </w:r>
          </w:p>
        </w:tc>
        <w:tc>
          <w:tcPr>
            <w:tcW w:w="994"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Citas starptautiskās saistības</w:t>
            </w:r>
          </w:p>
        </w:tc>
        <w:tc>
          <w:tcPr>
            <w:tcW w:w="3509" w:type="pct"/>
            <w:gridSpan w:val="4"/>
            <w:tcBorders>
              <w:top w:val="outset" w:sz="6" w:space="0" w:color="414142"/>
              <w:left w:val="outset" w:sz="6" w:space="0" w:color="414142"/>
              <w:bottom w:val="outset" w:sz="6" w:space="0" w:color="414142"/>
              <w:right w:val="outset" w:sz="6" w:space="0" w:color="414142"/>
            </w:tcBorders>
          </w:tcPr>
          <w:p w:rsidR="00C9288C" w:rsidRPr="00C9288C" w:rsidRDefault="00F30A7E" w:rsidP="004225DC">
            <w:pPr>
              <w:rPr>
                <w:rFonts w:eastAsia="Times New Roman"/>
                <w:sz w:val="25"/>
                <w:szCs w:val="25"/>
              </w:rPr>
            </w:pPr>
            <w:r>
              <w:rPr>
                <w:sz w:val="25"/>
                <w:szCs w:val="25"/>
              </w:rPr>
              <w:t>Ministru kabineta rīkojuma</w:t>
            </w:r>
            <w:r w:rsidRPr="00C9288C">
              <w:rPr>
                <w:sz w:val="25"/>
                <w:szCs w:val="25"/>
              </w:rPr>
              <w:t xml:space="preserve"> projekts šo jomu neskar.</w:t>
            </w:r>
          </w:p>
        </w:tc>
      </w:tr>
      <w:tr w:rsidR="00C9288C" w:rsidRPr="00C9288C" w:rsidTr="00C9288C">
        <w:trPr>
          <w:trHeight w:val="352"/>
        </w:trPr>
        <w:tc>
          <w:tcPr>
            <w:tcW w:w="497"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rFonts w:eastAsia="Times New Roman"/>
                <w:sz w:val="25"/>
                <w:szCs w:val="25"/>
              </w:rPr>
              <w:t>3.</w:t>
            </w:r>
          </w:p>
        </w:tc>
        <w:tc>
          <w:tcPr>
            <w:tcW w:w="994"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Cita informācija</w:t>
            </w:r>
          </w:p>
        </w:tc>
        <w:tc>
          <w:tcPr>
            <w:tcW w:w="3509" w:type="pct"/>
            <w:gridSpan w:val="4"/>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Nav.</w:t>
            </w:r>
          </w:p>
        </w:tc>
      </w:tr>
      <w:tr w:rsidR="00C9288C" w:rsidRPr="00C9288C" w:rsidTr="00C9288C">
        <w:trPr>
          <w:trHeight w:val="555"/>
        </w:trPr>
        <w:tc>
          <w:tcPr>
            <w:tcW w:w="5000" w:type="pct"/>
            <w:gridSpan w:val="7"/>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b/>
                <w:sz w:val="25"/>
                <w:szCs w:val="25"/>
              </w:rPr>
            </w:pPr>
            <w:r w:rsidRPr="00C9288C">
              <w:rPr>
                <w:b/>
                <w:sz w:val="25"/>
                <w:szCs w:val="25"/>
              </w:rPr>
              <w:t>1.tabula</w:t>
            </w:r>
          </w:p>
          <w:p w:rsidR="00C9288C" w:rsidRPr="00C9288C" w:rsidRDefault="00C9288C" w:rsidP="004225DC">
            <w:pPr>
              <w:rPr>
                <w:rFonts w:eastAsia="Times New Roman"/>
                <w:sz w:val="25"/>
                <w:szCs w:val="25"/>
              </w:rPr>
            </w:pPr>
            <w:r w:rsidRPr="00C9288C">
              <w:rPr>
                <w:b/>
                <w:sz w:val="25"/>
                <w:szCs w:val="25"/>
              </w:rPr>
              <w:t>Tiesību akta projekta atbilstība ES tiesību aktiem</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 xml:space="preserve">Attiecīgā ES tiesību akta </w:t>
            </w:r>
            <w:r w:rsidRPr="00C9288C">
              <w:rPr>
                <w:sz w:val="25"/>
                <w:szCs w:val="25"/>
              </w:rPr>
              <w:lastRenderedPageBreak/>
              <w:t>datums, numurs un nosaukums</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lastRenderedPageBreak/>
              <w:t>Komisijas regula Nr.1407/2013.</w:t>
            </w:r>
          </w:p>
        </w:tc>
      </w:tr>
      <w:tr w:rsidR="00C9288C" w:rsidRPr="00C9288C" w:rsidTr="00C9288C">
        <w:trPr>
          <w:trHeight w:val="272"/>
        </w:trPr>
        <w:tc>
          <w:tcPr>
            <w:tcW w:w="857" w:type="pct"/>
            <w:gridSpan w:val="2"/>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rFonts w:eastAsia="Times New Roman"/>
                <w:sz w:val="25"/>
                <w:szCs w:val="25"/>
              </w:rPr>
            </w:pPr>
            <w:r w:rsidRPr="00C9288C">
              <w:rPr>
                <w:sz w:val="25"/>
                <w:szCs w:val="25"/>
              </w:rPr>
              <w:lastRenderedPageBreak/>
              <w:t>A</w:t>
            </w:r>
          </w:p>
        </w:tc>
        <w:tc>
          <w:tcPr>
            <w:tcW w:w="1082" w:type="pct"/>
            <w:gridSpan w:val="2"/>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rFonts w:eastAsia="Times New Roman"/>
                <w:sz w:val="25"/>
                <w:szCs w:val="25"/>
              </w:rPr>
            </w:pPr>
            <w:r w:rsidRPr="00C9288C">
              <w:rPr>
                <w:sz w:val="25"/>
                <w:szCs w:val="25"/>
              </w:rPr>
              <w:t>B</w:t>
            </w:r>
          </w:p>
        </w:tc>
        <w:tc>
          <w:tcPr>
            <w:tcW w:w="1165" w:type="pct"/>
            <w:gridSpan w:val="2"/>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rFonts w:eastAsia="Times New Roman"/>
                <w:sz w:val="25"/>
                <w:szCs w:val="25"/>
              </w:rPr>
            </w:pPr>
            <w:r w:rsidRPr="00C9288C">
              <w:rPr>
                <w:sz w:val="25"/>
                <w:szCs w:val="25"/>
              </w:rPr>
              <w:t>C</w:t>
            </w:r>
          </w:p>
        </w:tc>
        <w:tc>
          <w:tcPr>
            <w:tcW w:w="1896" w:type="pct"/>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rFonts w:eastAsia="Times New Roman"/>
                <w:sz w:val="25"/>
                <w:szCs w:val="25"/>
              </w:rPr>
            </w:pPr>
            <w:r w:rsidRPr="00C9288C">
              <w:rPr>
                <w:sz w:val="25"/>
                <w:szCs w:val="25"/>
              </w:rPr>
              <w:t>D</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jc w:val="both"/>
              <w:rPr>
                <w:rFonts w:eastAsia="Times New Roman"/>
                <w:sz w:val="25"/>
                <w:szCs w:val="25"/>
              </w:rPr>
            </w:pPr>
            <w:r w:rsidRPr="00C9288C">
              <w:rPr>
                <w:sz w:val="25"/>
                <w:szCs w:val="25"/>
              </w:rPr>
              <w:t>Attiecīgā ES tiesību akta panta numurs (uzskaitot katru tiesību akta vienību – pantu, daļu, punktu, apakšpunktu)</w:t>
            </w:r>
          </w:p>
        </w:tc>
        <w:tc>
          <w:tcPr>
            <w:tcW w:w="1082"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jc w:val="both"/>
              <w:rPr>
                <w:rFonts w:eastAsia="Times New Roman"/>
                <w:sz w:val="25"/>
                <w:szCs w:val="25"/>
              </w:rPr>
            </w:pPr>
            <w:r w:rsidRPr="00C9288C">
              <w:rPr>
                <w:sz w:val="25"/>
                <w:szCs w:val="25"/>
              </w:rPr>
              <w:t>Projekta vienība, kas pārņem vai ievieš katru šīs tabulas A ailē minēto ES tiesību akta vienību, vai tiesību akts, kur attiecīgā ES tiesību akta vienība pārņemta vai ieviesta</w:t>
            </w:r>
          </w:p>
        </w:tc>
        <w:tc>
          <w:tcPr>
            <w:tcW w:w="1165"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jc w:val="both"/>
              <w:rPr>
                <w:sz w:val="25"/>
                <w:szCs w:val="25"/>
              </w:rPr>
            </w:pPr>
            <w:r w:rsidRPr="00C9288C">
              <w:rPr>
                <w:sz w:val="25"/>
                <w:szCs w:val="25"/>
              </w:rPr>
              <w:t>Informācija par to, vai šīs tabulas A ailē minētās ES tiesību akta vienības tiek pārņemtas vai ieviestas pilnībā vai daļēji.</w:t>
            </w:r>
          </w:p>
          <w:p w:rsidR="00C9288C" w:rsidRPr="00C9288C" w:rsidRDefault="00C9288C" w:rsidP="004225DC">
            <w:pPr>
              <w:jc w:val="both"/>
              <w:rPr>
                <w:sz w:val="25"/>
                <w:szCs w:val="25"/>
              </w:rPr>
            </w:pPr>
            <w:r w:rsidRPr="00C9288C">
              <w:rPr>
                <w:sz w:val="25"/>
                <w:szCs w:val="25"/>
              </w:rPr>
              <w:t>Ja attiecīgā ES tiesību akta vienība tiek pārņemta vai ieviesta daļēji, sniedz attiecīgu skaidrojumu, kā arī precīzi norāda, kad un kādā veidā ES tiesību akta vienība tiks pārņemta vai ieviesta pilnībā.</w:t>
            </w:r>
          </w:p>
          <w:p w:rsidR="00C9288C" w:rsidRPr="00C9288C" w:rsidRDefault="00C9288C" w:rsidP="004225DC">
            <w:pPr>
              <w:jc w:val="both"/>
              <w:rPr>
                <w:rFonts w:eastAsia="Times New Roman"/>
                <w:sz w:val="25"/>
                <w:szCs w:val="25"/>
              </w:rPr>
            </w:pPr>
            <w:r w:rsidRPr="00C9288C">
              <w:rPr>
                <w:sz w:val="25"/>
                <w:szCs w:val="25"/>
              </w:rPr>
              <w:t>Norāda institūciju, kas ir atbildīga par šo saistību izpildi pilnībā</w:t>
            </w:r>
          </w:p>
        </w:tc>
        <w:tc>
          <w:tcPr>
            <w:tcW w:w="1896"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jc w:val="both"/>
              <w:rPr>
                <w:sz w:val="25"/>
                <w:szCs w:val="25"/>
              </w:rPr>
            </w:pPr>
            <w:r w:rsidRPr="00C9288C">
              <w:rPr>
                <w:sz w:val="25"/>
                <w:szCs w:val="25"/>
              </w:rPr>
              <w:t>Informācija par to, vai šīs tabulas B ailē minētās projekta vienības paredz stingrākas prasības nekā šīs tabulas A ailē minētās ES tiesību akta vienības.</w:t>
            </w:r>
          </w:p>
          <w:p w:rsidR="00C9288C" w:rsidRPr="00C9288C" w:rsidRDefault="00C9288C" w:rsidP="004225DC">
            <w:pPr>
              <w:jc w:val="both"/>
              <w:rPr>
                <w:sz w:val="25"/>
                <w:szCs w:val="25"/>
              </w:rPr>
            </w:pPr>
            <w:r w:rsidRPr="00C9288C">
              <w:rPr>
                <w:sz w:val="25"/>
                <w:szCs w:val="25"/>
              </w:rPr>
              <w:t>Ja projekts satur stingrākas prasības nekā attiecīgais ES tiesību akts, norāda pamatojumu un samērīgumu.</w:t>
            </w:r>
          </w:p>
          <w:p w:rsidR="00C9288C" w:rsidRPr="00C9288C" w:rsidRDefault="00C9288C" w:rsidP="004225DC">
            <w:pPr>
              <w:jc w:val="both"/>
              <w:rPr>
                <w:rFonts w:eastAsia="Times New Roman"/>
                <w:sz w:val="25"/>
                <w:szCs w:val="25"/>
              </w:rPr>
            </w:pPr>
            <w:r w:rsidRPr="00C9288C">
              <w:rPr>
                <w:sz w:val="25"/>
                <w:szCs w:val="25"/>
              </w:rPr>
              <w:t>Norāda iespējamās alternatīvas (t.sk. alternatīvas, kas neparedz tiesiskā regulējuma izstrādi) – kādos gadījumos būtu iespējams izvairīties no stingrāku prasību noteikšanas, nekā paredzēts attiecīgajos ES tiesību aktos</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jc w:val="both"/>
              <w:rPr>
                <w:sz w:val="25"/>
                <w:szCs w:val="25"/>
              </w:rPr>
            </w:pPr>
            <w:r w:rsidRPr="00C9288C">
              <w:rPr>
                <w:sz w:val="25"/>
                <w:szCs w:val="25"/>
              </w:rPr>
              <w:t>Komisijas regulas 4. panta 1. punkts</w:t>
            </w:r>
          </w:p>
        </w:tc>
        <w:tc>
          <w:tcPr>
            <w:tcW w:w="1082"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C9288C">
            <w:pPr>
              <w:jc w:val="both"/>
              <w:rPr>
                <w:sz w:val="25"/>
                <w:szCs w:val="25"/>
              </w:rPr>
            </w:pPr>
            <w:r>
              <w:rPr>
                <w:sz w:val="25"/>
                <w:szCs w:val="25"/>
              </w:rPr>
              <w:t xml:space="preserve">Ministru kabineta rīkojuma </w:t>
            </w:r>
            <w:r w:rsidRPr="00C9288C">
              <w:rPr>
                <w:sz w:val="25"/>
                <w:szCs w:val="25"/>
              </w:rPr>
              <w:t>projekta 1. punkts</w:t>
            </w:r>
          </w:p>
        </w:tc>
        <w:tc>
          <w:tcPr>
            <w:tcW w:w="1165"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Vienība tiek ieviesta pilnībā.</w:t>
            </w:r>
          </w:p>
          <w:p w:rsidR="00C9288C" w:rsidRPr="00C9288C" w:rsidRDefault="00C9288C" w:rsidP="004225DC">
            <w:pPr>
              <w:jc w:val="both"/>
              <w:rPr>
                <w:sz w:val="25"/>
                <w:szCs w:val="25"/>
              </w:rPr>
            </w:pPr>
          </w:p>
        </w:tc>
        <w:tc>
          <w:tcPr>
            <w:tcW w:w="1896"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jc w:val="both"/>
              <w:rPr>
                <w:sz w:val="25"/>
                <w:szCs w:val="25"/>
              </w:rPr>
            </w:pPr>
            <w:r w:rsidRPr="00C9288C">
              <w:rPr>
                <w:sz w:val="25"/>
                <w:szCs w:val="25"/>
              </w:rPr>
              <w:t>Netiek paredzētas stingrākas prasības.</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Komisijas regulas Nr. 1407/2013 1. panta 1. punkts, 2. panta 2. punkts; 3. panta 2. punkts, 5. panta 1. un 2. punkts un 6. panta 3. un 4. punkts.</w:t>
            </w:r>
          </w:p>
        </w:tc>
        <w:tc>
          <w:tcPr>
            <w:tcW w:w="1082"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C9288C">
            <w:pPr>
              <w:rPr>
                <w:rFonts w:eastAsia="Times New Roman"/>
                <w:sz w:val="25"/>
                <w:szCs w:val="25"/>
              </w:rPr>
            </w:pPr>
            <w:r>
              <w:rPr>
                <w:sz w:val="25"/>
                <w:szCs w:val="25"/>
              </w:rPr>
              <w:t>Ministru kabineta rīkojuma projekta 5.punkts.</w:t>
            </w:r>
          </w:p>
        </w:tc>
        <w:tc>
          <w:tcPr>
            <w:tcW w:w="1165"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Vienība tiek ieviesta pilnībā.</w:t>
            </w:r>
          </w:p>
          <w:p w:rsidR="00C9288C" w:rsidRPr="00C9288C" w:rsidRDefault="00C9288C" w:rsidP="004225DC">
            <w:pPr>
              <w:rPr>
                <w:rFonts w:eastAsia="Times New Roman"/>
                <w:sz w:val="25"/>
                <w:szCs w:val="25"/>
              </w:rPr>
            </w:pPr>
          </w:p>
        </w:tc>
        <w:tc>
          <w:tcPr>
            <w:tcW w:w="1896"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Netiek paredzētas stingrākas prasības.</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rFonts w:eastAsia="Times New Roman"/>
                <w:sz w:val="25"/>
                <w:szCs w:val="25"/>
              </w:rPr>
              <w:t>Komisijas regulas Nr. 1407/2013 6. panta 3. un 4. punkts.</w:t>
            </w:r>
          </w:p>
        </w:tc>
        <w:tc>
          <w:tcPr>
            <w:tcW w:w="1082"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C9288C">
            <w:pPr>
              <w:rPr>
                <w:rFonts w:eastAsia="Times New Roman"/>
                <w:sz w:val="25"/>
                <w:szCs w:val="25"/>
              </w:rPr>
            </w:pPr>
            <w:r>
              <w:rPr>
                <w:rFonts w:eastAsia="Times New Roman"/>
                <w:sz w:val="25"/>
                <w:szCs w:val="25"/>
              </w:rPr>
              <w:t>Ministru kabineta rīkojuma projekta 6.punkts.</w:t>
            </w:r>
          </w:p>
        </w:tc>
        <w:tc>
          <w:tcPr>
            <w:tcW w:w="1165"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rFonts w:eastAsia="Times New Roman"/>
                <w:sz w:val="25"/>
                <w:szCs w:val="25"/>
              </w:rPr>
              <w:t>Vienība tiek ieviesta pilnībā.</w:t>
            </w:r>
          </w:p>
        </w:tc>
        <w:tc>
          <w:tcPr>
            <w:tcW w:w="1896" w:type="pct"/>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t>Netiek paredzētas stingrākas prasības.</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 xml:space="preserve">Kā ir izmantota ES tiesību aktā paredzētā rīcības brīvība </w:t>
            </w:r>
            <w:r w:rsidRPr="00C9288C">
              <w:rPr>
                <w:sz w:val="25"/>
                <w:szCs w:val="25"/>
              </w:rPr>
              <w:lastRenderedPageBreak/>
              <w:t>dalībvalstij pārņemt vai ieviest noteiktas ES tiesību akta normas?</w:t>
            </w:r>
          </w:p>
          <w:p w:rsidR="00C9288C" w:rsidRPr="00C9288C" w:rsidRDefault="00C9288C" w:rsidP="004225DC">
            <w:pPr>
              <w:rPr>
                <w:rFonts w:eastAsia="Times New Roman"/>
                <w:sz w:val="25"/>
                <w:szCs w:val="25"/>
              </w:rPr>
            </w:pPr>
            <w:r w:rsidRPr="00C9288C">
              <w:rPr>
                <w:sz w:val="25"/>
                <w:szCs w:val="25"/>
              </w:rPr>
              <w:t>Kādēļ?</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Pr>
                <w:sz w:val="25"/>
                <w:szCs w:val="25"/>
              </w:rPr>
              <w:lastRenderedPageBreak/>
              <w:t>Ministru kabineta rīkojuma</w:t>
            </w:r>
            <w:r w:rsidRPr="00C9288C">
              <w:rPr>
                <w:sz w:val="25"/>
                <w:szCs w:val="25"/>
              </w:rPr>
              <w:t xml:space="preserve"> projekts šo jomu neskar.</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sidRPr="00C9288C">
              <w:rPr>
                <w:sz w:val="25"/>
                <w:szCs w:val="25"/>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Pr>
                <w:sz w:val="25"/>
                <w:szCs w:val="25"/>
              </w:rPr>
              <w:t>Ministru kabineta rīkojuma</w:t>
            </w:r>
            <w:r w:rsidRPr="00C9288C">
              <w:rPr>
                <w:sz w:val="25"/>
                <w:szCs w:val="25"/>
              </w:rPr>
              <w:t xml:space="preserve"> projekts šo jomu neskar.</w:t>
            </w:r>
          </w:p>
        </w:tc>
      </w:tr>
      <w:tr w:rsidR="00C9288C" w:rsidRPr="00C9288C" w:rsidTr="00C9288C">
        <w:trPr>
          <w:trHeight w:val="298"/>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Cita informācija</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Nav.</w:t>
            </w:r>
          </w:p>
        </w:tc>
      </w:tr>
      <w:tr w:rsidR="00C9288C" w:rsidRPr="00C9288C" w:rsidTr="00C9288C">
        <w:trPr>
          <w:trHeight w:val="555"/>
        </w:trPr>
        <w:tc>
          <w:tcPr>
            <w:tcW w:w="5000" w:type="pct"/>
            <w:gridSpan w:val="7"/>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b/>
                <w:sz w:val="25"/>
                <w:szCs w:val="25"/>
              </w:rPr>
            </w:pPr>
            <w:r w:rsidRPr="00C9288C">
              <w:rPr>
                <w:b/>
                <w:sz w:val="25"/>
                <w:szCs w:val="25"/>
              </w:rPr>
              <w:t>2.tabula</w:t>
            </w:r>
          </w:p>
          <w:p w:rsidR="00C9288C" w:rsidRPr="00C9288C" w:rsidRDefault="00C9288C" w:rsidP="004225DC">
            <w:pPr>
              <w:rPr>
                <w:b/>
                <w:sz w:val="25"/>
                <w:szCs w:val="25"/>
              </w:rPr>
            </w:pPr>
            <w:r w:rsidRPr="00C9288C">
              <w:rPr>
                <w:b/>
                <w:sz w:val="25"/>
                <w:szCs w:val="25"/>
              </w:rPr>
              <w:t>Ar tiesību akta projektu izpildītās vai uzņemtās saistības, kas izriet no starptautiskajiem tiesību aktiem vai starptautiskas institūcijas vai organizācijas dokumentiem.</w:t>
            </w:r>
          </w:p>
          <w:p w:rsidR="00C9288C" w:rsidRPr="00C9288C" w:rsidRDefault="00C9288C" w:rsidP="004225DC">
            <w:pPr>
              <w:rPr>
                <w:rFonts w:eastAsia="Times New Roman"/>
                <w:sz w:val="25"/>
                <w:szCs w:val="25"/>
              </w:rPr>
            </w:pPr>
            <w:r w:rsidRPr="00C9288C">
              <w:rPr>
                <w:b/>
                <w:sz w:val="25"/>
                <w:szCs w:val="25"/>
              </w:rPr>
              <w:t>Pasākumi šo saistību izpildei</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rFonts w:eastAsia="Times New Roman"/>
                <w:sz w:val="25"/>
                <w:szCs w:val="25"/>
              </w:rPr>
            </w:pPr>
            <w:r w:rsidRPr="00C9288C">
              <w:rPr>
                <w:sz w:val="25"/>
                <w:szCs w:val="25"/>
              </w:rPr>
              <w:t>Attiecīgā starptautiskā tiesību akta vai starptautiskas institūcijas vai organizācijas dokumenta (turpmāk – starptautiskais dokuments) datums, numurs un nosaukums</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rFonts w:eastAsia="Times New Roman"/>
                <w:sz w:val="25"/>
                <w:szCs w:val="25"/>
              </w:rPr>
            </w:pPr>
            <w:r>
              <w:rPr>
                <w:sz w:val="25"/>
                <w:szCs w:val="25"/>
              </w:rPr>
              <w:t>Ministru kabineta rīkojuma</w:t>
            </w:r>
            <w:r w:rsidRPr="00C9288C">
              <w:rPr>
                <w:sz w:val="25"/>
                <w:szCs w:val="25"/>
              </w:rPr>
              <w:t xml:space="preserve"> projekts šo jomu neskar.</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sz w:val="25"/>
                <w:szCs w:val="25"/>
              </w:rPr>
            </w:pPr>
            <w:r w:rsidRPr="00C9288C">
              <w:rPr>
                <w:sz w:val="25"/>
                <w:szCs w:val="25"/>
              </w:rPr>
              <w:t>A</w:t>
            </w:r>
          </w:p>
        </w:tc>
        <w:tc>
          <w:tcPr>
            <w:tcW w:w="1479" w:type="pct"/>
            <w:gridSpan w:val="3"/>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sz w:val="25"/>
                <w:szCs w:val="25"/>
              </w:rPr>
            </w:pPr>
            <w:r w:rsidRPr="00C9288C">
              <w:rPr>
                <w:sz w:val="25"/>
                <w:szCs w:val="25"/>
              </w:rPr>
              <w:t>B</w:t>
            </w:r>
          </w:p>
        </w:tc>
        <w:tc>
          <w:tcPr>
            <w:tcW w:w="2664" w:type="pct"/>
            <w:gridSpan w:val="2"/>
            <w:tcBorders>
              <w:top w:val="outset" w:sz="6" w:space="0" w:color="414142"/>
              <w:left w:val="outset" w:sz="6" w:space="0" w:color="414142"/>
              <w:bottom w:val="outset" w:sz="6" w:space="0" w:color="414142"/>
              <w:right w:val="outset" w:sz="6" w:space="0" w:color="414142"/>
            </w:tcBorders>
            <w:vAlign w:val="center"/>
          </w:tcPr>
          <w:p w:rsidR="00C9288C" w:rsidRPr="00C9288C" w:rsidRDefault="00C9288C" w:rsidP="004225DC">
            <w:pPr>
              <w:rPr>
                <w:sz w:val="25"/>
                <w:szCs w:val="25"/>
              </w:rPr>
            </w:pPr>
            <w:r w:rsidRPr="00C9288C">
              <w:rPr>
                <w:sz w:val="25"/>
                <w:szCs w:val="25"/>
              </w:rPr>
              <w:t>C</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 xml:space="preserve">Starptautiskās saistības (pēc būtības), kas </w:t>
            </w:r>
            <w:r w:rsidRPr="00C9288C">
              <w:rPr>
                <w:sz w:val="25"/>
                <w:szCs w:val="25"/>
              </w:rPr>
              <w:lastRenderedPageBreak/>
              <w:t>izriet no norādītā starptautiskā dokumenta.</w:t>
            </w:r>
          </w:p>
          <w:p w:rsidR="00C9288C" w:rsidRPr="00C9288C" w:rsidRDefault="00C9288C" w:rsidP="004225DC">
            <w:pPr>
              <w:rPr>
                <w:sz w:val="25"/>
                <w:szCs w:val="25"/>
              </w:rPr>
            </w:pPr>
            <w:r w:rsidRPr="00C9288C">
              <w:rPr>
                <w:sz w:val="25"/>
                <w:szCs w:val="25"/>
              </w:rPr>
              <w:t>Konkrēti veicamie pasākumi vai uzdevumi, kas nepieciešami šo starptautisko saistību izpildei</w:t>
            </w:r>
          </w:p>
        </w:tc>
        <w:tc>
          <w:tcPr>
            <w:tcW w:w="1479" w:type="pct"/>
            <w:gridSpan w:val="3"/>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lastRenderedPageBreak/>
              <w:t xml:space="preserve">Ja pasākumi vai uzdevumi, ar ko tiks izpildītas starptautiskās saistības, tiek </w:t>
            </w:r>
            <w:r w:rsidRPr="00C9288C">
              <w:rPr>
                <w:sz w:val="25"/>
                <w:szCs w:val="25"/>
              </w:rPr>
              <w:lastRenderedPageBreak/>
              <w:t>noteikti projektā, norāda attiecīgo projekta vienību vai dokumentu, kurā sniegts izvērsts skaidrojums, kādā veidā tiks nodrošināta starptautisko saistību izpilde</w:t>
            </w:r>
          </w:p>
        </w:tc>
        <w:tc>
          <w:tcPr>
            <w:tcW w:w="2664"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lastRenderedPageBreak/>
              <w:t>Informācija par to, vai starptautiskās saistības, kas minētas šīs tabulas A ailē, tiek izpildītas pilnībā vai daļēji.</w:t>
            </w:r>
          </w:p>
          <w:p w:rsidR="00C9288C" w:rsidRPr="00C9288C" w:rsidRDefault="00C9288C" w:rsidP="004225DC">
            <w:pPr>
              <w:rPr>
                <w:sz w:val="25"/>
                <w:szCs w:val="25"/>
              </w:rPr>
            </w:pPr>
            <w:r w:rsidRPr="00C9288C">
              <w:rPr>
                <w:sz w:val="25"/>
                <w:szCs w:val="25"/>
              </w:rPr>
              <w:lastRenderedPageBreak/>
              <w:t>Ja attiecīgās starptautiskās saistības tiek izpildītas daļēji, sniedz skaidrojumu, kā arī precīzi norāda, kad un kādā veidā starptautiskās saistības tiks izpildītas pilnībā.</w:t>
            </w:r>
          </w:p>
          <w:p w:rsidR="00C9288C" w:rsidRPr="00C9288C" w:rsidRDefault="00C9288C" w:rsidP="004225DC">
            <w:pPr>
              <w:rPr>
                <w:sz w:val="25"/>
                <w:szCs w:val="25"/>
              </w:rPr>
            </w:pPr>
            <w:r w:rsidRPr="00C9288C">
              <w:rPr>
                <w:sz w:val="25"/>
                <w:szCs w:val="25"/>
              </w:rPr>
              <w:t>Norāda institūciju, kas ir atbildīga par šo saistību izpildi pilnībā</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F30A7E" w:rsidP="004225DC">
            <w:pPr>
              <w:rPr>
                <w:sz w:val="25"/>
                <w:szCs w:val="25"/>
              </w:rPr>
            </w:pPr>
            <w:r>
              <w:rPr>
                <w:sz w:val="25"/>
                <w:szCs w:val="25"/>
              </w:rPr>
              <w:lastRenderedPageBreak/>
              <w:t>Ministru kabineta rīkojuma</w:t>
            </w:r>
            <w:r w:rsidRPr="00C9288C">
              <w:rPr>
                <w:sz w:val="25"/>
                <w:szCs w:val="25"/>
              </w:rPr>
              <w:t xml:space="preserve"> projekts šo jomu neskar.</w:t>
            </w:r>
          </w:p>
        </w:tc>
        <w:tc>
          <w:tcPr>
            <w:tcW w:w="1479" w:type="pct"/>
            <w:gridSpan w:val="3"/>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Pr>
                <w:sz w:val="25"/>
                <w:szCs w:val="25"/>
              </w:rPr>
              <w:t>Ministru kabineta rīkojuma</w:t>
            </w:r>
            <w:r w:rsidRPr="00C9288C">
              <w:rPr>
                <w:sz w:val="25"/>
                <w:szCs w:val="25"/>
              </w:rPr>
              <w:t xml:space="preserve"> projekts šo jomu neskar.</w:t>
            </w:r>
          </w:p>
        </w:tc>
        <w:tc>
          <w:tcPr>
            <w:tcW w:w="2664"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Pr>
                <w:sz w:val="25"/>
                <w:szCs w:val="25"/>
              </w:rPr>
              <w:t>Ministru kabineta rīkojuma</w:t>
            </w:r>
            <w:r w:rsidRPr="00C9288C">
              <w:rPr>
                <w:sz w:val="25"/>
                <w:szCs w:val="25"/>
              </w:rPr>
              <w:t xml:space="preserve"> projekts šo jomu neskar.</w:t>
            </w:r>
          </w:p>
        </w:tc>
      </w:tr>
      <w:tr w:rsidR="00C9288C" w:rsidRPr="00C9288C" w:rsidTr="00C9288C">
        <w:trPr>
          <w:trHeight w:val="555"/>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Vai starptautiskajā dokumentā paredzētās saistības nav pretrunā ar jau esošajām Latvijas Republikas starptautiskajām saistībām</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Pr>
                <w:sz w:val="25"/>
                <w:szCs w:val="25"/>
              </w:rPr>
              <w:t>Ministru kabineta rīkojuma</w:t>
            </w:r>
            <w:r w:rsidRPr="00C9288C">
              <w:rPr>
                <w:sz w:val="25"/>
                <w:szCs w:val="25"/>
              </w:rPr>
              <w:t xml:space="preserve"> projekts šo jomu neskar.</w:t>
            </w:r>
          </w:p>
        </w:tc>
      </w:tr>
      <w:tr w:rsidR="00C9288C" w:rsidRPr="00C9288C" w:rsidTr="00C9288C">
        <w:trPr>
          <w:trHeight w:val="264"/>
        </w:trPr>
        <w:tc>
          <w:tcPr>
            <w:tcW w:w="857" w:type="pct"/>
            <w:gridSpan w:val="2"/>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Cita informācija</w:t>
            </w:r>
          </w:p>
        </w:tc>
        <w:tc>
          <w:tcPr>
            <w:tcW w:w="4143" w:type="pct"/>
            <w:gridSpan w:val="5"/>
            <w:tcBorders>
              <w:top w:val="outset" w:sz="6" w:space="0" w:color="414142"/>
              <w:left w:val="outset" w:sz="6" w:space="0" w:color="414142"/>
              <w:bottom w:val="outset" w:sz="6" w:space="0" w:color="414142"/>
              <w:right w:val="outset" w:sz="6" w:space="0" w:color="414142"/>
            </w:tcBorders>
          </w:tcPr>
          <w:p w:rsidR="00C9288C" w:rsidRPr="00C9288C" w:rsidRDefault="00C9288C" w:rsidP="004225DC">
            <w:pPr>
              <w:rPr>
                <w:sz w:val="25"/>
                <w:szCs w:val="25"/>
              </w:rPr>
            </w:pPr>
            <w:r w:rsidRPr="00C9288C">
              <w:rPr>
                <w:sz w:val="25"/>
                <w:szCs w:val="25"/>
              </w:rPr>
              <w:t>Nav.</w:t>
            </w:r>
          </w:p>
        </w:tc>
      </w:tr>
    </w:tbl>
    <w:p w:rsidR="00C9288C" w:rsidRDefault="00C9288C"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7D6850" w:rsidRDefault="007D6850" w:rsidP="00C7220E">
      <w:pPr>
        <w:pStyle w:val="BodyText2"/>
        <w:spacing w:after="0" w:line="240" w:lineRule="auto"/>
        <w:ind w:firstLine="720"/>
        <w:jc w:val="both"/>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E94769" w:rsidRDefault="00E94769" w:rsidP="00D96FCD">
      <w:pPr>
        <w:rPr>
          <w:sz w:val="26"/>
          <w:szCs w:val="26"/>
        </w:rPr>
      </w:pPr>
    </w:p>
    <w:p w:rsidR="00D550EC" w:rsidRDefault="00D550EC"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D550EC" w:rsidRDefault="00D550EC" w:rsidP="00D96FCD">
      <w:pPr>
        <w:jc w:val="both"/>
        <w:rPr>
          <w:sz w:val="22"/>
          <w:szCs w:val="22"/>
        </w:rPr>
      </w:pPr>
    </w:p>
    <w:p w:rsidR="00C9288C" w:rsidRDefault="00C9288C" w:rsidP="00D96FCD">
      <w:pPr>
        <w:jc w:val="both"/>
        <w:rPr>
          <w:sz w:val="22"/>
          <w:szCs w:val="22"/>
        </w:rPr>
      </w:pPr>
    </w:p>
    <w:p w:rsidR="00C9288C" w:rsidRDefault="00C9288C" w:rsidP="00D96FCD">
      <w:pPr>
        <w:jc w:val="both"/>
        <w:rPr>
          <w:sz w:val="22"/>
          <w:szCs w:val="22"/>
        </w:rPr>
      </w:pPr>
    </w:p>
    <w:p w:rsidR="00620785" w:rsidRDefault="00620785" w:rsidP="00D96FCD">
      <w:pPr>
        <w:jc w:val="both"/>
        <w:rPr>
          <w:sz w:val="22"/>
          <w:szCs w:val="22"/>
        </w:rPr>
      </w:pPr>
    </w:p>
    <w:p w:rsidR="00E244D0" w:rsidRPr="002D62A9" w:rsidRDefault="00D550EC" w:rsidP="00E244D0">
      <w:pPr>
        <w:ind w:left="720"/>
        <w:rPr>
          <w:sz w:val="22"/>
          <w:szCs w:val="22"/>
        </w:rPr>
      </w:pPr>
      <w:r>
        <w:rPr>
          <w:sz w:val="22"/>
          <w:szCs w:val="22"/>
        </w:rPr>
        <w:t>30</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E244D0" w:rsidRPr="002D62A9" w:rsidRDefault="00C9288C" w:rsidP="00E244D0">
      <w:pPr>
        <w:ind w:left="720"/>
        <w:rPr>
          <w:sz w:val="22"/>
          <w:szCs w:val="22"/>
        </w:rPr>
      </w:pPr>
      <w:r>
        <w:rPr>
          <w:sz w:val="22"/>
          <w:szCs w:val="22"/>
        </w:rPr>
        <w:t>23</w:t>
      </w:r>
      <w:r w:rsidR="002A4C43">
        <w:rPr>
          <w:sz w:val="22"/>
          <w:szCs w:val="22"/>
        </w:rPr>
        <w:t>93</w:t>
      </w:r>
      <w:bookmarkStart w:id="3" w:name="_GoBack"/>
      <w:bookmarkEnd w:id="3"/>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direktora vietnieks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F00B1">
      <w:headerReference w:type="default" r:id="rId8"/>
      <w:footerReference w:type="default" r:id="rId9"/>
      <w:footerReference w:type="first" r:id="rId10"/>
      <w:pgSz w:w="11906" w:h="16838" w:code="9"/>
      <w:pgMar w:top="1276" w:right="1134" w:bottom="1134" w:left="1701"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51" w:rsidRDefault="00A61651" w:rsidP="00123E9B">
      <w:r>
        <w:separator/>
      </w:r>
    </w:p>
  </w:endnote>
  <w:endnote w:type="continuationSeparator" w:id="0">
    <w:p w:rsidR="00A61651" w:rsidRDefault="00A6165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Pr="00700D34" w:rsidRDefault="00700D34" w:rsidP="00700D34">
    <w:pPr>
      <w:ind w:left="-567" w:right="-568"/>
      <w:jc w:val="both"/>
    </w:pPr>
    <w:r>
      <w:rPr>
        <w:sz w:val="22"/>
        <w:szCs w:val="22"/>
      </w:rPr>
      <w:t>IZMAnot_</w:t>
    </w:r>
    <w:r w:rsidR="00D550EC">
      <w:rPr>
        <w:sz w:val="22"/>
        <w:szCs w:val="22"/>
      </w:rPr>
      <w:t>30</w:t>
    </w:r>
    <w:r>
      <w:rPr>
        <w:sz w:val="22"/>
        <w:szCs w:val="22"/>
      </w:rPr>
      <w:t>1015_Daugava;</w:t>
    </w:r>
    <w:r w:rsidRPr="004816F6">
      <w:rPr>
        <w:sz w:val="22"/>
        <w:szCs w:val="22"/>
      </w:rPr>
      <w:t xml:space="preserve"> Ministru kabineta rīkojuma projekta </w:t>
    </w:r>
    <w:r>
      <w:rPr>
        <w:sz w:val="22"/>
        <w:szCs w:val="22"/>
      </w:rPr>
      <w:t>„</w:t>
    </w:r>
    <w:r w:rsidRPr="00700D34">
      <w:rPr>
        <w:sz w:val="22"/>
        <w:szCs w:val="22"/>
      </w:rPr>
      <w:t>Par apropriācijas pārdali Daugavas stadiona (Rīgā) teritorijas revitalizācijas programmas „Kultūras un sporta kvartāla izveide Grīziņkalna apkaimē” īstenošanas uzsākšanai</w:t>
    </w:r>
    <w:r w:rsidRPr="00CA693C">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Pr="004816F6" w:rsidRDefault="00095510" w:rsidP="001A51C5">
    <w:pPr>
      <w:ind w:left="-567" w:right="-568"/>
      <w:jc w:val="both"/>
      <w:rPr>
        <w:sz w:val="22"/>
        <w:szCs w:val="22"/>
      </w:rPr>
    </w:pPr>
    <w:r>
      <w:rPr>
        <w:sz w:val="22"/>
        <w:szCs w:val="22"/>
      </w:rPr>
      <w:t>IZMAnot_</w:t>
    </w:r>
    <w:r w:rsidR="00D550EC">
      <w:rPr>
        <w:sz w:val="22"/>
        <w:szCs w:val="22"/>
      </w:rPr>
      <w:t>30</w:t>
    </w:r>
    <w:r>
      <w:rPr>
        <w:sz w:val="22"/>
        <w:szCs w:val="22"/>
      </w:rPr>
      <w:t>1015_</w:t>
    </w:r>
    <w:r w:rsidR="00F71E59">
      <w:rPr>
        <w:sz w:val="22"/>
        <w:szCs w:val="22"/>
      </w:rPr>
      <w:t>Daugava;</w:t>
    </w:r>
    <w:r w:rsidRPr="004816F6">
      <w:rPr>
        <w:sz w:val="22"/>
        <w:szCs w:val="22"/>
      </w:rPr>
      <w:t xml:space="preserve"> Ministru kabineta rīkojuma projekta </w:t>
    </w:r>
    <w:r>
      <w:rPr>
        <w:sz w:val="22"/>
        <w:szCs w:val="22"/>
      </w:rPr>
      <w:t>„</w:t>
    </w:r>
    <w:r w:rsidR="00700D34" w:rsidRPr="00700D34">
      <w:rPr>
        <w:sz w:val="22"/>
        <w:szCs w:val="22"/>
      </w:rPr>
      <w:t>Par apropriācijas pārdali Daugavas stadiona (Rīgā) teritorijas revitalizācijas programmas „Kultūras un sporta kvartāla izveide Grīziņkalna apkaimē” īstenošanas uzsākšanai</w:t>
    </w:r>
    <w:r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51" w:rsidRDefault="00A61651" w:rsidP="00123E9B">
      <w:r>
        <w:separator/>
      </w:r>
    </w:p>
  </w:footnote>
  <w:footnote w:type="continuationSeparator" w:id="0">
    <w:p w:rsidR="00A61651" w:rsidRDefault="00A61651"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0" w:rsidRDefault="00095510">
    <w:pPr>
      <w:pStyle w:val="Header"/>
      <w:jc w:val="center"/>
    </w:pPr>
    <w:r>
      <w:fldChar w:fldCharType="begin"/>
    </w:r>
    <w:r>
      <w:instrText xml:space="preserve"> PAGE   \* MERGEFORMAT </w:instrText>
    </w:r>
    <w:r>
      <w:fldChar w:fldCharType="separate"/>
    </w:r>
    <w:r w:rsidR="002A4C43">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226"/>
    <w:multiLevelType w:val="hybridMultilevel"/>
    <w:tmpl w:val="0636AA54"/>
    <w:lvl w:ilvl="0" w:tplc="3F10ADE6">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7">
    <w:nsid w:val="35E314FB"/>
    <w:multiLevelType w:val="hybridMultilevel"/>
    <w:tmpl w:val="21AAC338"/>
    <w:lvl w:ilvl="0" w:tplc="79D20626">
      <w:start w:val="1"/>
      <w:numFmt w:val="decimal"/>
      <w:lvlText w:val="(%1)"/>
      <w:lvlJc w:val="left"/>
      <w:pPr>
        <w:ind w:left="577" w:hanging="435"/>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405656DE"/>
    <w:multiLevelType w:val="hybridMultilevel"/>
    <w:tmpl w:val="21AAC338"/>
    <w:lvl w:ilvl="0" w:tplc="79D20626">
      <w:start w:val="1"/>
      <w:numFmt w:val="decimal"/>
      <w:lvlText w:val="(%1)"/>
      <w:lvlJc w:val="left"/>
      <w:pPr>
        <w:ind w:left="577" w:hanging="435"/>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BB0D4E"/>
    <w:multiLevelType w:val="hybridMultilevel"/>
    <w:tmpl w:val="81B0C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6"/>
  </w:num>
  <w:num w:numId="3">
    <w:abstractNumId w:val="15"/>
  </w:num>
  <w:num w:numId="4">
    <w:abstractNumId w:val="19"/>
  </w:num>
  <w:num w:numId="5">
    <w:abstractNumId w:val="13"/>
  </w:num>
  <w:num w:numId="6">
    <w:abstractNumId w:val="14"/>
  </w:num>
  <w:num w:numId="7">
    <w:abstractNumId w:val="4"/>
  </w:num>
  <w:num w:numId="8">
    <w:abstractNumId w:val="1"/>
  </w:num>
  <w:num w:numId="9">
    <w:abstractNumId w:val="7"/>
  </w:num>
  <w:num w:numId="10">
    <w:abstractNumId w:val="21"/>
  </w:num>
  <w:num w:numId="11">
    <w:abstractNumId w:val="18"/>
  </w:num>
  <w:num w:numId="12">
    <w:abstractNumId w:val="5"/>
  </w:num>
  <w:num w:numId="13">
    <w:abstractNumId w:val="2"/>
  </w:num>
  <w:num w:numId="14">
    <w:abstractNumId w:val="3"/>
  </w:num>
  <w:num w:numId="15">
    <w:abstractNumId w:val="17"/>
  </w:num>
  <w:num w:numId="16">
    <w:abstractNumId w:val="22"/>
  </w:num>
  <w:num w:numId="17">
    <w:abstractNumId w:val="10"/>
  </w:num>
  <w:num w:numId="18">
    <w:abstractNumId w:val="11"/>
  </w:num>
  <w:num w:numId="19">
    <w:abstractNumId w:val="9"/>
  </w:num>
  <w:num w:numId="20">
    <w:abstractNumId w:val="6"/>
  </w:num>
  <w:num w:numId="21">
    <w:abstractNumId w:val="12"/>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044F"/>
    <w:rsid w:val="00033013"/>
    <w:rsid w:val="000347B3"/>
    <w:rsid w:val="00034AA4"/>
    <w:rsid w:val="0003640B"/>
    <w:rsid w:val="00036977"/>
    <w:rsid w:val="000372DF"/>
    <w:rsid w:val="00037AFA"/>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9CB"/>
    <w:rsid w:val="00074B8C"/>
    <w:rsid w:val="00075E50"/>
    <w:rsid w:val="00076F56"/>
    <w:rsid w:val="000777A0"/>
    <w:rsid w:val="000777F6"/>
    <w:rsid w:val="00080623"/>
    <w:rsid w:val="00080CC1"/>
    <w:rsid w:val="00081477"/>
    <w:rsid w:val="00081CEB"/>
    <w:rsid w:val="00082C6B"/>
    <w:rsid w:val="00083F74"/>
    <w:rsid w:val="000849C2"/>
    <w:rsid w:val="00084C38"/>
    <w:rsid w:val="0008599C"/>
    <w:rsid w:val="00090BFF"/>
    <w:rsid w:val="000912B2"/>
    <w:rsid w:val="0009162F"/>
    <w:rsid w:val="00091E26"/>
    <w:rsid w:val="000934D5"/>
    <w:rsid w:val="00094F13"/>
    <w:rsid w:val="00095510"/>
    <w:rsid w:val="00095EBB"/>
    <w:rsid w:val="00095F68"/>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8764B"/>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51C5"/>
    <w:rsid w:val="001A6E9C"/>
    <w:rsid w:val="001B05D5"/>
    <w:rsid w:val="001B1189"/>
    <w:rsid w:val="001B15B5"/>
    <w:rsid w:val="001B32BB"/>
    <w:rsid w:val="001B34BA"/>
    <w:rsid w:val="001B3AF3"/>
    <w:rsid w:val="001B3C2D"/>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49B0"/>
    <w:rsid w:val="001F4C82"/>
    <w:rsid w:val="001F60F4"/>
    <w:rsid w:val="001F7448"/>
    <w:rsid w:val="002005CA"/>
    <w:rsid w:val="0020083C"/>
    <w:rsid w:val="002031BF"/>
    <w:rsid w:val="002040BB"/>
    <w:rsid w:val="002054CB"/>
    <w:rsid w:val="00210A19"/>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27DC"/>
    <w:rsid w:val="0025457B"/>
    <w:rsid w:val="0025458A"/>
    <w:rsid w:val="0025500E"/>
    <w:rsid w:val="002553DA"/>
    <w:rsid w:val="00255BAD"/>
    <w:rsid w:val="00257B3B"/>
    <w:rsid w:val="002637C0"/>
    <w:rsid w:val="00266356"/>
    <w:rsid w:val="00266A90"/>
    <w:rsid w:val="00270408"/>
    <w:rsid w:val="00270772"/>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4C43"/>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665A"/>
    <w:rsid w:val="002C7C2B"/>
    <w:rsid w:val="002D4F98"/>
    <w:rsid w:val="002D50D6"/>
    <w:rsid w:val="002D5AC5"/>
    <w:rsid w:val="002D5DA0"/>
    <w:rsid w:val="002D62A9"/>
    <w:rsid w:val="002D6D46"/>
    <w:rsid w:val="002D77A9"/>
    <w:rsid w:val="002E011D"/>
    <w:rsid w:val="002E09A5"/>
    <w:rsid w:val="002E0B47"/>
    <w:rsid w:val="002E0BB9"/>
    <w:rsid w:val="002E13F6"/>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37C76"/>
    <w:rsid w:val="00341757"/>
    <w:rsid w:val="003418C3"/>
    <w:rsid w:val="003435FA"/>
    <w:rsid w:val="003436F2"/>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4A37"/>
    <w:rsid w:val="00376CEF"/>
    <w:rsid w:val="003773F8"/>
    <w:rsid w:val="003805D9"/>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1075"/>
    <w:rsid w:val="003C2496"/>
    <w:rsid w:val="003C691E"/>
    <w:rsid w:val="003D01AF"/>
    <w:rsid w:val="003D4908"/>
    <w:rsid w:val="003D5EAB"/>
    <w:rsid w:val="003D7335"/>
    <w:rsid w:val="003E1F5B"/>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276CB"/>
    <w:rsid w:val="004310C7"/>
    <w:rsid w:val="004331E9"/>
    <w:rsid w:val="004418F9"/>
    <w:rsid w:val="00443FE3"/>
    <w:rsid w:val="00444226"/>
    <w:rsid w:val="00445D8F"/>
    <w:rsid w:val="004475CC"/>
    <w:rsid w:val="00450BED"/>
    <w:rsid w:val="00451063"/>
    <w:rsid w:val="004513C2"/>
    <w:rsid w:val="00451ABA"/>
    <w:rsid w:val="00452EA1"/>
    <w:rsid w:val="00453435"/>
    <w:rsid w:val="00454C99"/>
    <w:rsid w:val="00454E29"/>
    <w:rsid w:val="00455F8A"/>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7749B"/>
    <w:rsid w:val="004800CF"/>
    <w:rsid w:val="004804CE"/>
    <w:rsid w:val="00480A79"/>
    <w:rsid w:val="004816F6"/>
    <w:rsid w:val="00481F9B"/>
    <w:rsid w:val="004821A5"/>
    <w:rsid w:val="00482B4C"/>
    <w:rsid w:val="00482F3D"/>
    <w:rsid w:val="0048376B"/>
    <w:rsid w:val="00486A8A"/>
    <w:rsid w:val="004925F7"/>
    <w:rsid w:val="0049304E"/>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09E"/>
    <w:rsid w:val="004F3806"/>
    <w:rsid w:val="004F3D0D"/>
    <w:rsid w:val="004F5EB9"/>
    <w:rsid w:val="004F788C"/>
    <w:rsid w:val="00503618"/>
    <w:rsid w:val="00503A76"/>
    <w:rsid w:val="00504DBF"/>
    <w:rsid w:val="00506F79"/>
    <w:rsid w:val="00507321"/>
    <w:rsid w:val="00511060"/>
    <w:rsid w:val="0051334F"/>
    <w:rsid w:val="005134ED"/>
    <w:rsid w:val="00514C25"/>
    <w:rsid w:val="005158DD"/>
    <w:rsid w:val="00516006"/>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46D43"/>
    <w:rsid w:val="005511F9"/>
    <w:rsid w:val="00551AA8"/>
    <w:rsid w:val="00554CE1"/>
    <w:rsid w:val="005562DC"/>
    <w:rsid w:val="0055675D"/>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3C55"/>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79F"/>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0856"/>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6FC0"/>
    <w:rsid w:val="00617D7A"/>
    <w:rsid w:val="00620785"/>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3DA7"/>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4786"/>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1806"/>
    <w:rsid w:val="006F28DA"/>
    <w:rsid w:val="006F3DD2"/>
    <w:rsid w:val="006F5778"/>
    <w:rsid w:val="00700411"/>
    <w:rsid w:val="00700D34"/>
    <w:rsid w:val="00703271"/>
    <w:rsid w:val="007052C3"/>
    <w:rsid w:val="00705BB4"/>
    <w:rsid w:val="00706CAC"/>
    <w:rsid w:val="00707D91"/>
    <w:rsid w:val="00710206"/>
    <w:rsid w:val="007103A6"/>
    <w:rsid w:val="00712406"/>
    <w:rsid w:val="00713888"/>
    <w:rsid w:val="007140A5"/>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20DF"/>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1578"/>
    <w:rsid w:val="007C221B"/>
    <w:rsid w:val="007C231C"/>
    <w:rsid w:val="007C34AD"/>
    <w:rsid w:val="007C4848"/>
    <w:rsid w:val="007C49C6"/>
    <w:rsid w:val="007C5877"/>
    <w:rsid w:val="007C590D"/>
    <w:rsid w:val="007C5E55"/>
    <w:rsid w:val="007C6110"/>
    <w:rsid w:val="007C6451"/>
    <w:rsid w:val="007C65B1"/>
    <w:rsid w:val="007C7F74"/>
    <w:rsid w:val="007D0D80"/>
    <w:rsid w:val="007D6850"/>
    <w:rsid w:val="007E1CF4"/>
    <w:rsid w:val="007E2464"/>
    <w:rsid w:val="007E2684"/>
    <w:rsid w:val="007E36FC"/>
    <w:rsid w:val="007E6314"/>
    <w:rsid w:val="007E7F9D"/>
    <w:rsid w:val="007F0A35"/>
    <w:rsid w:val="007F1F1C"/>
    <w:rsid w:val="007F3911"/>
    <w:rsid w:val="007F4741"/>
    <w:rsid w:val="007F55D7"/>
    <w:rsid w:val="007F6D6B"/>
    <w:rsid w:val="0080017B"/>
    <w:rsid w:val="008006FA"/>
    <w:rsid w:val="00803311"/>
    <w:rsid w:val="00803457"/>
    <w:rsid w:val="008034B4"/>
    <w:rsid w:val="00803645"/>
    <w:rsid w:val="00804094"/>
    <w:rsid w:val="00804959"/>
    <w:rsid w:val="00804B8C"/>
    <w:rsid w:val="00805C18"/>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5722A"/>
    <w:rsid w:val="0086173C"/>
    <w:rsid w:val="008629E0"/>
    <w:rsid w:val="00862C1B"/>
    <w:rsid w:val="008634F5"/>
    <w:rsid w:val="00865F4A"/>
    <w:rsid w:val="0086671A"/>
    <w:rsid w:val="0087128F"/>
    <w:rsid w:val="00871CB3"/>
    <w:rsid w:val="008723BF"/>
    <w:rsid w:val="008736C0"/>
    <w:rsid w:val="00873AFB"/>
    <w:rsid w:val="00873ED2"/>
    <w:rsid w:val="00877B2E"/>
    <w:rsid w:val="00880012"/>
    <w:rsid w:val="00882419"/>
    <w:rsid w:val="0088273C"/>
    <w:rsid w:val="008829F8"/>
    <w:rsid w:val="00884423"/>
    <w:rsid w:val="00884A65"/>
    <w:rsid w:val="00887353"/>
    <w:rsid w:val="0089266F"/>
    <w:rsid w:val="008928E8"/>
    <w:rsid w:val="00892CEB"/>
    <w:rsid w:val="00892DC2"/>
    <w:rsid w:val="0089323C"/>
    <w:rsid w:val="00893CD2"/>
    <w:rsid w:val="008957F2"/>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3B50"/>
    <w:rsid w:val="009146B5"/>
    <w:rsid w:val="00916055"/>
    <w:rsid w:val="0091656C"/>
    <w:rsid w:val="009179FA"/>
    <w:rsid w:val="0092093A"/>
    <w:rsid w:val="00920AFE"/>
    <w:rsid w:val="009212E2"/>
    <w:rsid w:val="00921F54"/>
    <w:rsid w:val="00923486"/>
    <w:rsid w:val="00924007"/>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5AB6"/>
    <w:rsid w:val="009667F8"/>
    <w:rsid w:val="00967D62"/>
    <w:rsid w:val="00970D16"/>
    <w:rsid w:val="0097189A"/>
    <w:rsid w:val="0097200A"/>
    <w:rsid w:val="00973150"/>
    <w:rsid w:val="0097619B"/>
    <w:rsid w:val="00976CDB"/>
    <w:rsid w:val="009848C9"/>
    <w:rsid w:val="009849CF"/>
    <w:rsid w:val="009879C2"/>
    <w:rsid w:val="00987CF4"/>
    <w:rsid w:val="00990076"/>
    <w:rsid w:val="00990A3C"/>
    <w:rsid w:val="00991790"/>
    <w:rsid w:val="00991845"/>
    <w:rsid w:val="0099370A"/>
    <w:rsid w:val="009950B3"/>
    <w:rsid w:val="009953D3"/>
    <w:rsid w:val="00995D97"/>
    <w:rsid w:val="00995F1F"/>
    <w:rsid w:val="00996AEB"/>
    <w:rsid w:val="009A4783"/>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609"/>
    <w:rsid w:val="009E06F9"/>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5B0F"/>
    <w:rsid w:val="00A562C5"/>
    <w:rsid w:val="00A5709C"/>
    <w:rsid w:val="00A57753"/>
    <w:rsid w:val="00A61651"/>
    <w:rsid w:val="00A62569"/>
    <w:rsid w:val="00A631A3"/>
    <w:rsid w:val="00A64217"/>
    <w:rsid w:val="00A660A8"/>
    <w:rsid w:val="00A6630D"/>
    <w:rsid w:val="00A71138"/>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BDD"/>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4F22"/>
    <w:rsid w:val="00B45046"/>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A07"/>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3BBA"/>
    <w:rsid w:val="00C1447B"/>
    <w:rsid w:val="00C17CB6"/>
    <w:rsid w:val="00C206E8"/>
    <w:rsid w:val="00C221FB"/>
    <w:rsid w:val="00C23CCC"/>
    <w:rsid w:val="00C24859"/>
    <w:rsid w:val="00C25CDA"/>
    <w:rsid w:val="00C27E98"/>
    <w:rsid w:val="00C301CF"/>
    <w:rsid w:val="00C309F0"/>
    <w:rsid w:val="00C30CED"/>
    <w:rsid w:val="00C31183"/>
    <w:rsid w:val="00C31C0D"/>
    <w:rsid w:val="00C31E9F"/>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0637"/>
    <w:rsid w:val="00C8314D"/>
    <w:rsid w:val="00C84C2B"/>
    <w:rsid w:val="00C84DE8"/>
    <w:rsid w:val="00C85CD7"/>
    <w:rsid w:val="00C85EE2"/>
    <w:rsid w:val="00C879A4"/>
    <w:rsid w:val="00C87AEC"/>
    <w:rsid w:val="00C9288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4E7A"/>
    <w:rsid w:val="00CB5545"/>
    <w:rsid w:val="00CB5F57"/>
    <w:rsid w:val="00CB6605"/>
    <w:rsid w:val="00CB7A72"/>
    <w:rsid w:val="00CC0D14"/>
    <w:rsid w:val="00CC3E80"/>
    <w:rsid w:val="00CC49D6"/>
    <w:rsid w:val="00CC5FD9"/>
    <w:rsid w:val="00CC7F63"/>
    <w:rsid w:val="00CD39F8"/>
    <w:rsid w:val="00CD5672"/>
    <w:rsid w:val="00CD6134"/>
    <w:rsid w:val="00CD7C93"/>
    <w:rsid w:val="00CE0B01"/>
    <w:rsid w:val="00CE133F"/>
    <w:rsid w:val="00CE2B81"/>
    <w:rsid w:val="00CE5941"/>
    <w:rsid w:val="00CE6076"/>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46275"/>
    <w:rsid w:val="00D506B1"/>
    <w:rsid w:val="00D50C0B"/>
    <w:rsid w:val="00D51380"/>
    <w:rsid w:val="00D51DE2"/>
    <w:rsid w:val="00D550EC"/>
    <w:rsid w:val="00D551F2"/>
    <w:rsid w:val="00D60813"/>
    <w:rsid w:val="00D61A7B"/>
    <w:rsid w:val="00D65FFE"/>
    <w:rsid w:val="00D66BC1"/>
    <w:rsid w:val="00D66FE4"/>
    <w:rsid w:val="00D714BA"/>
    <w:rsid w:val="00D72C35"/>
    <w:rsid w:val="00D7505B"/>
    <w:rsid w:val="00D75260"/>
    <w:rsid w:val="00D75B70"/>
    <w:rsid w:val="00D76B17"/>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45C8"/>
    <w:rsid w:val="00E167E0"/>
    <w:rsid w:val="00E16A35"/>
    <w:rsid w:val="00E16D38"/>
    <w:rsid w:val="00E1791C"/>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44A0"/>
    <w:rsid w:val="00E457D2"/>
    <w:rsid w:val="00E4679A"/>
    <w:rsid w:val="00E469D4"/>
    <w:rsid w:val="00E46AC5"/>
    <w:rsid w:val="00E50E02"/>
    <w:rsid w:val="00E51029"/>
    <w:rsid w:val="00E512C7"/>
    <w:rsid w:val="00E52399"/>
    <w:rsid w:val="00E53F19"/>
    <w:rsid w:val="00E5461A"/>
    <w:rsid w:val="00E547A9"/>
    <w:rsid w:val="00E55027"/>
    <w:rsid w:val="00E55A62"/>
    <w:rsid w:val="00E5667A"/>
    <w:rsid w:val="00E56B89"/>
    <w:rsid w:val="00E56F6B"/>
    <w:rsid w:val="00E578D1"/>
    <w:rsid w:val="00E60466"/>
    <w:rsid w:val="00E608C5"/>
    <w:rsid w:val="00E64579"/>
    <w:rsid w:val="00E64BB6"/>
    <w:rsid w:val="00E65245"/>
    <w:rsid w:val="00E65992"/>
    <w:rsid w:val="00E66017"/>
    <w:rsid w:val="00E67D8D"/>
    <w:rsid w:val="00E708F3"/>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769"/>
    <w:rsid w:val="00E949E7"/>
    <w:rsid w:val="00E95286"/>
    <w:rsid w:val="00E96C77"/>
    <w:rsid w:val="00E973B3"/>
    <w:rsid w:val="00EA0495"/>
    <w:rsid w:val="00EA1844"/>
    <w:rsid w:val="00EA246E"/>
    <w:rsid w:val="00EA2658"/>
    <w:rsid w:val="00EA2797"/>
    <w:rsid w:val="00EA4AC5"/>
    <w:rsid w:val="00EA5091"/>
    <w:rsid w:val="00EA709C"/>
    <w:rsid w:val="00EA70FD"/>
    <w:rsid w:val="00EA781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00B1"/>
    <w:rsid w:val="00EF4112"/>
    <w:rsid w:val="00EF5381"/>
    <w:rsid w:val="00EF58DD"/>
    <w:rsid w:val="00EF6A04"/>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0A7E"/>
    <w:rsid w:val="00F326C8"/>
    <w:rsid w:val="00F328BF"/>
    <w:rsid w:val="00F350CF"/>
    <w:rsid w:val="00F350F6"/>
    <w:rsid w:val="00F35C96"/>
    <w:rsid w:val="00F40199"/>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1E59"/>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50A"/>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2BBB"/>
    <w:rsid w:val="00FD35D0"/>
    <w:rsid w:val="00FD681B"/>
    <w:rsid w:val="00FD7331"/>
    <w:rsid w:val="00FD7FF0"/>
    <w:rsid w:val="00FE0E03"/>
    <w:rsid w:val="00FE3414"/>
    <w:rsid w:val="00FE3673"/>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86A8-45F2-46C3-B2EC-820FB5E7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12387</Words>
  <Characters>7061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Daugavas stadiona (Rīgā) teritorijas revitalizācijas programmas „Kultūras un sporta kvartāla izveide Grīziņkalna apkaimē” īstenošanas uzsākšanai"</vt:lpstr>
    </vt:vector>
  </TitlesOfParts>
  <Company>Izglītības un zinātnes ministrija, Sporta departaments</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Daugavas stadiona (Rīgā) teritorijas revitalizācijas programmas „Kultūras un sporta kvartāla izveide Grīziņkalna apkaimē” īstenošanas uzsākšanai"</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42</cp:revision>
  <cp:lastPrinted>2014-08-11T11:23:00Z</cp:lastPrinted>
  <dcterms:created xsi:type="dcterms:W3CDTF">2015-10-26T04:28:00Z</dcterms:created>
  <dcterms:modified xsi:type="dcterms:W3CDTF">2015-10-30T14:10:00Z</dcterms:modified>
</cp:coreProperties>
</file>