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BD56DC" w:rsidRPr="001B4904" w:rsidRDefault="00BD56DC" w:rsidP="00BD56DC">
      <w:pPr>
        <w:jc w:val="center"/>
        <w:rPr>
          <w:b/>
          <w:sz w:val="28"/>
          <w:szCs w:val="28"/>
        </w:rPr>
      </w:pPr>
      <w:r w:rsidRPr="001B4904">
        <w:rPr>
          <w:b/>
          <w:sz w:val="28"/>
          <w:szCs w:val="28"/>
        </w:rPr>
        <w:t>Solidaritātes nodokļa likums</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sidR="00BD56DC">
        <w:rPr>
          <w:b/>
          <w:i/>
          <w:sz w:val="26"/>
          <w:szCs w:val="26"/>
        </w:rPr>
        <w:t>83</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766"/>
        <w:gridCol w:w="5352"/>
        <w:gridCol w:w="1919"/>
        <w:gridCol w:w="1919"/>
      </w:tblGrid>
      <w:tr w:rsidR="00BD56DC" w:rsidRPr="008E2AF5" w:rsidTr="00BD56DC">
        <w:tc>
          <w:tcPr>
            <w:tcW w:w="5353" w:type="dxa"/>
          </w:tcPr>
          <w:p w:rsidR="00BD56DC" w:rsidRPr="008E2AF5" w:rsidRDefault="00BD56DC" w:rsidP="001A7D73">
            <w:pPr>
              <w:pStyle w:val="Heading1"/>
            </w:pPr>
            <w:r w:rsidRPr="008E2AF5">
              <w:t>Pirmā lasījuma redakcija</w:t>
            </w:r>
          </w:p>
        </w:tc>
        <w:tc>
          <w:tcPr>
            <w:tcW w:w="766" w:type="dxa"/>
          </w:tcPr>
          <w:p w:rsidR="00BD56DC" w:rsidRPr="008E2AF5" w:rsidRDefault="00BD56DC" w:rsidP="001A7D73">
            <w:pPr>
              <w:jc w:val="center"/>
              <w:rPr>
                <w:b/>
                <w:bCs/>
                <w:iCs/>
                <w:szCs w:val="24"/>
              </w:rPr>
            </w:pPr>
            <w:r w:rsidRPr="008E2AF5">
              <w:rPr>
                <w:b/>
                <w:bCs/>
                <w:iCs/>
                <w:szCs w:val="24"/>
              </w:rPr>
              <w:t>Nr.</w:t>
            </w:r>
          </w:p>
        </w:tc>
        <w:tc>
          <w:tcPr>
            <w:tcW w:w="5352" w:type="dxa"/>
          </w:tcPr>
          <w:p w:rsidR="00BD56DC" w:rsidRPr="008E2AF5" w:rsidRDefault="00BD56DC" w:rsidP="00E46595">
            <w:pPr>
              <w:jc w:val="center"/>
              <w:rPr>
                <w:b/>
                <w:bCs/>
                <w:iCs/>
                <w:szCs w:val="24"/>
              </w:rPr>
            </w:pPr>
            <w:r w:rsidRPr="008E2AF5">
              <w:rPr>
                <w:b/>
                <w:bCs/>
                <w:iCs/>
                <w:szCs w:val="24"/>
              </w:rPr>
              <w:t>Priekšlikumi</w:t>
            </w:r>
          </w:p>
          <w:p w:rsidR="00BD56DC" w:rsidRPr="008E2AF5" w:rsidRDefault="00BD56DC" w:rsidP="00F72B66">
            <w:pPr>
              <w:jc w:val="center"/>
              <w:rPr>
                <w:b/>
                <w:bCs/>
                <w:iCs/>
                <w:szCs w:val="24"/>
              </w:rPr>
            </w:pPr>
            <w:r w:rsidRPr="008E2AF5">
              <w:rPr>
                <w:b/>
                <w:bCs/>
                <w:iCs/>
                <w:szCs w:val="24"/>
              </w:rPr>
              <w:t>(</w:t>
            </w:r>
            <w:r w:rsidR="00F72B66">
              <w:rPr>
                <w:b/>
                <w:bCs/>
                <w:iCs/>
                <w:szCs w:val="24"/>
              </w:rPr>
              <w:t>6</w:t>
            </w:r>
            <w:r w:rsidRPr="008E2AF5">
              <w:rPr>
                <w:b/>
                <w:bCs/>
                <w:iCs/>
                <w:szCs w:val="24"/>
              </w:rPr>
              <w:t>)</w:t>
            </w:r>
          </w:p>
        </w:tc>
        <w:tc>
          <w:tcPr>
            <w:tcW w:w="1919" w:type="dxa"/>
          </w:tcPr>
          <w:p w:rsidR="00BD56DC" w:rsidRPr="008E2AF5" w:rsidRDefault="00BD56DC" w:rsidP="001A7D73">
            <w:pPr>
              <w:jc w:val="center"/>
              <w:rPr>
                <w:b/>
                <w:bCs/>
                <w:iCs/>
                <w:szCs w:val="24"/>
              </w:rPr>
            </w:pPr>
            <w:r w:rsidRPr="008E2AF5">
              <w:rPr>
                <w:b/>
                <w:bCs/>
                <w:iCs/>
                <w:szCs w:val="24"/>
              </w:rPr>
              <w:t>Ministru kabineta atzinums</w:t>
            </w:r>
          </w:p>
        </w:tc>
        <w:tc>
          <w:tcPr>
            <w:tcW w:w="1919" w:type="dxa"/>
          </w:tcPr>
          <w:p w:rsidR="00BD56DC" w:rsidRPr="008E2AF5" w:rsidRDefault="00BD56DC" w:rsidP="001A7D73">
            <w:pPr>
              <w:jc w:val="center"/>
              <w:rPr>
                <w:b/>
                <w:bCs/>
                <w:iCs/>
                <w:szCs w:val="24"/>
              </w:rPr>
            </w:pPr>
            <w:r w:rsidRPr="008E2AF5">
              <w:rPr>
                <w:b/>
                <w:bCs/>
                <w:iCs/>
                <w:szCs w:val="24"/>
              </w:rPr>
              <w:t>Komisijas atzinums</w:t>
            </w:r>
          </w:p>
        </w:tc>
      </w:tr>
      <w:tr w:rsidR="00BD56DC" w:rsidRPr="00C47C64" w:rsidTr="00BD56DC">
        <w:tc>
          <w:tcPr>
            <w:tcW w:w="5353" w:type="dxa"/>
          </w:tcPr>
          <w:p w:rsidR="00BD56DC" w:rsidRPr="00C47C64" w:rsidRDefault="00E46595" w:rsidP="00E46595">
            <w:pPr>
              <w:ind w:firstLine="567"/>
              <w:jc w:val="both"/>
              <w:rPr>
                <w:sz w:val="22"/>
              </w:rPr>
            </w:pPr>
            <w:r w:rsidRPr="00C47C64">
              <w:rPr>
                <w:b/>
                <w:sz w:val="22"/>
              </w:rPr>
              <w:t>Solidaritātes nodokļa likums</w:t>
            </w:r>
          </w:p>
        </w:tc>
        <w:tc>
          <w:tcPr>
            <w:tcW w:w="766" w:type="dxa"/>
          </w:tcPr>
          <w:p w:rsidR="00BD56DC" w:rsidRPr="00C47C64" w:rsidRDefault="00F72B66" w:rsidP="001A7D73">
            <w:pPr>
              <w:jc w:val="center"/>
              <w:rPr>
                <w:b/>
                <w:bCs/>
                <w:iCs/>
                <w:sz w:val="22"/>
              </w:rPr>
            </w:pPr>
            <w:r w:rsidRPr="00C47C64">
              <w:rPr>
                <w:b/>
                <w:bCs/>
                <w:iCs/>
                <w:sz w:val="22"/>
              </w:rPr>
              <w:t>1</w:t>
            </w:r>
          </w:p>
        </w:tc>
        <w:tc>
          <w:tcPr>
            <w:tcW w:w="5352" w:type="dxa"/>
          </w:tcPr>
          <w:p w:rsidR="00BD56DC" w:rsidRPr="00C47C64" w:rsidRDefault="00E46595" w:rsidP="00E46595">
            <w:pPr>
              <w:ind w:firstLine="567"/>
              <w:jc w:val="both"/>
              <w:rPr>
                <w:b/>
                <w:bCs/>
                <w:iCs/>
                <w:sz w:val="22"/>
                <w:u w:val="single"/>
              </w:rPr>
            </w:pPr>
            <w:r w:rsidRPr="00C47C64">
              <w:rPr>
                <w:b/>
                <w:bCs/>
                <w:iCs/>
                <w:sz w:val="22"/>
                <w:u w:val="single"/>
              </w:rPr>
              <w:t>Deputāts M.Bondars</w:t>
            </w:r>
          </w:p>
          <w:p w:rsidR="001E1915" w:rsidRPr="00C47C64" w:rsidRDefault="001E1915" w:rsidP="001E1915">
            <w:pPr>
              <w:ind w:firstLine="567"/>
              <w:jc w:val="both"/>
              <w:rPr>
                <w:bCs/>
                <w:iCs/>
                <w:sz w:val="22"/>
              </w:rPr>
            </w:pPr>
            <w:r w:rsidRPr="00C47C64">
              <w:rPr>
                <w:bCs/>
                <w:iCs/>
                <w:sz w:val="22"/>
              </w:rPr>
              <w:t xml:space="preserve">Izteikt likuma nosaukumu šādā redakcijā: </w:t>
            </w:r>
          </w:p>
          <w:p w:rsidR="001E1915" w:rsidRPr="00C47C64" w:rsidRDefault="001E1915" w:rsidP="001E1915">
            <w:pPr>
              <w:ind w:firstLine="567"/>
              <w:jc w:val="both"/>
              <w:rPr>
                <w:bCs/>
                <w:iCs/>
                <w:sz w:val="22"/>
              </w:rPr>
            </w:pPr>
            <w:r w:rsidRPr="00C47C64">
              <w:rPr>
                <w:bCs/>
                <w:iCs/>
                <w:sz w:val="22"/>
              </w:rPr>
              <w:t>“Vienotības nodokļa likums”;</w:t>
            </w: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E46595" w:rsidRPr="00C47C64" w:rsidTr="00BD56DC">
        <w:tc>
          <w:tcPr>
            <w:tcW w:w="5353" w:type="dxa"/>
          </w:tcPr>
          <w:p w:rsidR="00E46595" w:rsidRPr="00C47C64" w:rsidRDefault="00E46595" w:rsidP="00E46595">
            <w:pPr>
              <w:ind w:firstLine="567"/>
              <w:jc w:val="both"/>
              <w:rPr>
                <w:b/>
                <w:sz w:val="22"/>
              </w:rPr>
            </w:pPr>
            <w:r w:rsidRPr="00C47C64">
              <w:rPr>
                <w:b/>
                <w:sz w:val="22"/>
              </w:rPr>
              <w:t>1. pants.</w:t>
            </w:r>
            <w:r w:rsidRPr="00C47C64">
              <w:rPr>
                <w:sz w:val="22"/>
              </w:rPr>
              <w:t xml:space="preserve"> </w:t>
            </w:r>
            <w:r w:rsidRPr="00C47C64">
              <w:rPr>
                <w:b/>
                <w:sz w:val="22"/>
              </w:rPr>
              <w:t>Likumā lietotie termini</w:t>
            </w:r>
          </w:p>
          <w:p w:rsidR="00E46595" w:rsidRPr="00C47C64" w:rsidRDefault="00E46595" w:rsidP="00E46595">
            <w:pPr>
              <w:ind w:firstLine="567"/>
              <w:jc w:val="both"/>
              <w:rPr>
                <w:b/>
                <w:sz w:val="22"/>
              </w:rPr>
            </w:pPr>
            <w:r w:rsidRPr="00C47C64">
              <w:rPr>
                <w:sz w:val="22"/>
              </w:rPr>
              <w:t>Likumā lietotie termini atbilst likumos "Par valsts sociālo apdrošināšanu" un "Par nodokļiem un nodevām" lietotajiem terminiem, ja šajā likumā nav noteikts citādi.</w:t>
            </w:r>
          </w:p>
        </w:tc>
        <w:tc>
          <w:tcPr>
            <w:tcW w:w="766" w:type="dxa"/>
          </w:tcPr>
          <w:p w:rsidR="00E46595" w:rsidRPr="00C47C64" w:rsidRDefault="00E46595" w:rsidP="001A7D73">
            <w:pPr>
              <w:jc w:val="center"/>
              <w:rPr>
                <w:b/>
                <w:bCs/>
                <w:iCs/>
                <w:sz w:val="22"/>
              </w:rPr>
            </w:pPr>
          </w:p>
        </w:tc>
        <w:tc>
          <w:tcPr>
            <w:tcW w:w="5352" w:type="dxa"/>
          </w:tcPr>
          <w:p w:rsidR="00E46595" w:rsidRPr="00C47C64" w:rsidRDefault="00E46595" w:rsidP="00E46595">
            <w:pPr>
              <w:ind w:firstLine="567"/>
              <w:jc w:val="both"/>
              <w:rPr>
                <w:b/>
                <w:bCs/>
                <w:iCs/>
                <w:sz w:val="22"/>
              </w:rPr>
            </w:pPr>
          </w:p>
        </w:tc>
        <w:tc>
          <w:tcPr>
            <w:tcW w:w="1919" w:type="dxa"/>
          </w:tcPr>
          <w:p w:rsidR="00E46595" w:rsidRPr="00C47C64" w:rsidRDefault="00E46595" w:rsidP="001A7D73">
            <w:pPr>
              <w:jc w:val="center"/>
              <w:rPr>
                <w:b/>
                <w:bCs/>
                <w:iCs/>
                <w:sz w:val="22"/>
              </w:rPr>
            </w:pPr>
          </w:p>
        </w:tc>
        <w:tc>
          <w:tcPr>
            <w:tcW w:w="1919" w:type="dxa"/>
          </w:tcPr>
          <w:p w:rsidR="00E46595" w:rsidRPr="00C47C64" w:rsidRDefault="00E46595"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2. pants. Likuma mērķis un darbības joma</w:t>
            </w:r>
          </w:p>
          <w:p w:rsidR="00BD56DC" w:rsidRPr="00C47C64" w:rsidRDefault="00BD56DC" w:rsidP="00BD56DC">
            <w:pPr>
              <w:ind w:firstLine="567"/>
              <w:jc w:val="both"/>
              <w:rPr>
                <w:sz w:val="22"/>
              </w:rPr>
            </w:pPr>
            <w:r w:rsidRPr="00C47C64">
              <w:rPr>
                <w:sz w:val="22"/>
              </w:rPr>
              <w:t>(1) Likuma mērķis ir mazināt nodokļu regresivitāti darba ņēmējiem, iekšzemes darba ņēmējiem pie darba devēja – ārvalstnieka, ārvalstu darba ņēmējiem pie darba devēja – ārvalstnieka un pašnodarbinātajiem ar augstāku ienākuma līmeni.</w:t>
            </w:r>
          </w:p>
          <w:p w:rsidR="00BD56DC" w:rsidRPr="00C47C64" w:rsidRDefault="00BD56DC" w:rsidP="00BD56DC">
            <w:pPr>
              <w:ind w:firstLine="567"/>
              <w:jc w:val="both"/>
              <w:rPr>
                <w:sz w:val="22"/>
              </w:rPr>
            </w:pPr>
          </w:p>
        </w:tc>
        <w:tc>
          <w:tcPr>
            <w:tcW w:w="766" w:type="dxa"/>
          </w:tcPr>
          <w:p w:rsidR="00BD56DC" w:rsidRPr="00C47C64" w:rsidRDefault="00F72B66" w:rsidP="001A7D73">
            <w:pPr>
              <w:jc w:val="center"/>
              <w:rPr>
                <w:b/>
                <w:bCs/>
                <w:iCs/>
                <w:sz w:val="22"/>
              </w:rPr>
            </w:pPr>
            <w:r w:rsidRPr="00C47C64">
              <w:rPr>
                <w:b/>
                <w:bCs/>
                <w:iCs/>
                <w:sz w:val="22"/>
              </w:rPr>
              <w:t>2</w:t>
            </w:r>
          </w:p>
        </w:tc>
        <w:tc>
          <w:tcPr>
            <w:tcW w:w="5352" w:type="dxa"/>
          </w:tcPr>
          <w:p w:rsidR="002F5417" w:rsidRPr="00C47C64" w:rsidRDefault="002F5417" w:rsidP="00E46595">
            <w:pPr>
              <w:ind w:firstLine="567"/>
              <w:jc w:val="both"/>
              <w:rPr>
                <w:b/>
                <w:bCs/>
                <w:iCs/>
                <w:sz w:val="22"/>
                <w:u w:val="single"/>
              </w:rPr>
            </w:pPr>
            <w:r w:rsidRPr="00C47C64">
              <w:rPr>
                <w:b/>
                <w:bCs/>
                <w:iCs/>
                <w:sz w:val="22"/>
                <w:u w:val="single"/>
              </w:rPr>
              <w:t>Juridiskais birojs</w:t>
            </w:r>
          </w:p>
          <w:p w:rsidR="00BD56DC" w:rsidRPr="00C47C64" w:rsidRDefault="002F5417" w:rsidP="00E46595">
            <w:pPr>
              <w:ind w:firstLine="567"/>
              <w:jc w:val="both"/>
              <w:rPr>
                <w:bCs/>
                <w:i/>
                <w:iCs/>
                <w:sz w:val="22"/>
              </w:rPr>
            </w:pPr>
            <w:r w:rsidRPr="00C47C64">
              <w:rPr>
                <w:b/>
                <w:bCs/>
                <w:i/>
                <w:iCs/>
                <w:sz w:val="22"/>
              </w:rPr>
              <w:t>Ierosinām</w:t>
            </w:r>
            <w:r w:rsidRPr="00C47C64">
              <w:rPr>
                <w:bCs/>
                <w:i/>
                <w:iCs/>
                <w:sz w:val="22"/>
              </w:rPr>
              <w:t xml:space="preserve"> </w:t>
            </w:r>
            <w:r w:rsidRPr="00C47C64">
              <w:rPr>
                <w:b/>
                <w:bCs/>
                <w:i/>
                <w:iCs/>
                <w:sz w:val="22"/>
              </w:rPr>
              <w:t>precizēt likumprojekta 2. panta pirmajā daļā formulēto likuma mērķi.</w:t>
            </w:r>
            <w:r w:rsidRPr="00C47C64">
              <w:rPr>
                <w:bCs/>
                <w:i/>
                <w:iCs/>
                <w:sz w:val="22"/>
              </w:rPr>
              <w:t xml:space="preserve"> Juridiskā biroja ieskatā šis mērķis - mazināt nodokļu regresivitāti - pilnībā neatspoguļo likumprojektā ietverto regulējumu, arī likumprojekta anotācijā skaidroto tiesiskā regulējuma mērķi un būtību. Juridiskā biroja ieskatā piedāvātais likuma mērķa formulējums var likt secināt, ka šis mērķis ir sasniedzams ar citiem, nodokļa maksātājam saudzējošākiem līdzekļiem, piemēram, atceļot sociālās apdrošināšanas iemaksu maksimālo apmēru un paredzot tiesības saņemt tam atbilstošus sociālās apdrošināšanas pakalpojumus.</w:t>
            </w: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2F5417" w:rsidRPr="00C47C64" w:rsidTr="00BD56DC">
        <w:tc>
          <w:tcPr>
            <w:tcW w:w="5353" w:type="dxa"/>
          </w:tcPr>
          <w:p w:rsidR="002F5417" w:rsidRPr="00C47C64" w:rsidRDefault="002F5417" w:rsidP="00BD56DC">
            <w:pPr>
              <w:ind w:firstLine="567"/>
              <w:jc w:val="both"/>
              <w:rPr>
                <w:b/>
                <w:sz w:val="22"/>
              </w:rPr>
            </w:pPr>
            <w:r w:rsidRPr="00C47C64">
              <w:rPr>
                <w:sz w:val="22"/>
              </w:rPr>
              <w:t>(2) Šis likums nosaka solidaritātes nodokļa (turpmāk – nodoklis) būtību, tā maksātājus, kārtību, kādā tas tiek maksāts, un periodu, par kādu nodoklis tiek maksāts.</w:t>
            </w:r>
          </w:p>
        </w:tc>
        <w:tc>
          <w:tcPr>
            <w:tcW w:w="766" w:type="dxa"/>
          </w:tcPr>
          <w:p w:rsidR="002F5417" w:rsidRPr="00C47C64" w:rsidRDefault="00F72B66" w:rsidP="001A7D73">
            <w:pPr>
              <w:jc w:val="center"/>
              <w:rPr>
                <w:b/>
                <w:bCs/>
                <w:iCs/>
                <w:sz w:val="22"/>
              </w:rPr>
            </w:pPr>
            <w:r w:rsidRPr="00C47C64">
              <w:rPr>
                <w:b/>
                <w:bCs/>
                <w:iCs/>
                <w:sz w:val="22"/>
              </w:rPr>
              <w:t>3</w:t>
            </w:r>
          </w:p>
        </w:tc>
        <w:tc>
          <w:tcPr>
            <w:tcW w:w="5352" w:type="dxa"/>
          </w:tcPr>
          <w:p w:rsidR="002F5417" w:rsidRPr="00C47C64" w:rsidRDefault="002F5417" w:rsidP="002F5417">
            <w:pPr>
              <w:ind w:firstLine="567"/>
              <w:jc w:val="both"/>
              <w:rPr>
                <w:b/>
                <w:bCs/>
                <w:iCs/>
                <w:sz w:val="22"/>
                <w:u w:val="single"/>
              </w:rPr>
            </w:pPr>
            <w:r w:rsidRPr="00C47C64">
              <w:rPr>
                <w:b/>
                <w:bCs/>
                <w:iCs/>
                <w:sz w:val="22"/>
                <w:u w:val="single"/>
              </w:rPr>
              <w:t>Juridiskais birojs</w:t>
            </w:r>
          </w:p>
          <w:p w:rsidR="002F5417" w:rsidRPr="00C47C64" w:rsidRDefault="002F5417" w:rsidP="002F5417">
            <w:pPr>
              <w:ind w:firstLine="567"/>
              <w:jc w:val="both"/>
              <w:rPr>
                <w:b/>
                <w:bCs/>
                <w:iCs/>
                <w:sz w:val="22"/>
              </w:rPr>
            </w:pPr>
            <w:r w:rsidRPr="00C47C64">
              <w:rPr>
                <w:b/>
                <w:bCs/>
                <w:i/>
                <w:iCs/>
                <w:sz w:val="22"/>
              </w:rPr>
              <w:t>Ierosinām precizēt likumprojekta 2. panta otrajā daļā lietoto terminu</w:t>
            </w:r>
            <w:r w:rsidRPr="00C47C64">
              <w:rPr>
                <w:bCs/>
                <w:i/>
                <w:iCs/>
                <w:sz w:val="22"/>
              </w:rPr>
              <w:t xml:space="preserve"> </w:t>
            </w:r>
            <w:r w:rsidRPr="00C47C64">
              <w:rPr>
                <w:b/>
                <w:bCs/>
                <w:i/>
                <w:iCs/>
                <w:sz w:val="22"/>
              </w:rPr>
              <w:t>„nodokļa būtība”.</w:t>
            </w:r>
            <w:r w:rsidRPr="00C47C64">
              <w:rPr>
                <w:bCs/>
                <w:i/>
                <w:iCs/>
                <w:sz w:val="22"/>
              </w:rPr>
              <w:t xml:space="preserve"> Vēršam uzmanību, ka šāds termins netiek lietots citos nodokļu jomu regulējošajos likumos. </w:t>
            </w:r>
            <w:r w:rsidRPr="00C47C64">
              <w:rPr>
                <w:b/>
                <w:bCs/>
                <w:i/>
                <w:iCs/>
                <w:sz w:val="22"/>
              </w:rPr>
              <w:t xml:space="preserve">Ierosinām apsvērt iespēju </w:t>
            </w:r>
            <w:r w:rsidRPr="00C47C64">
              <w:rPr>
                <w:bCs/>
                <w:i/>
                <w:iCs/>
                <w:sz w:val="22"/>
              </w:rPr>
              <w:t>izteikt likumprojekta 2. panta otro daļu šādā redakcijā:</w:t>
            </w:r>
          </w:p>
          <w:p w:rsidR="002F5417" w:rsidRPr="00C47C64" w:rsidRDefault="002F5417" w:rsidP="002F5417">
            <w:pPr>
              <w:ind w:firstLine="567"/>
              <w:jc w:val="both"/>
              <w:rPr>
                <w:bCs/>
                <w:iCs/>
                <w:sz w:val="22"/>
              </w:rPr>
            </w:pPr>
            <w:r w:rsidRPr="00C47C64">
              <w:rPr>
                <w:bCs/>
                <w:iCs/>
                <w:sz w:val="22"/>
              </w:rPr>
              <w:t xml:space="preserve">„(2) Šis likums nosaka ar solidaritātes nodokli </w:t>
            </w:r>
            <w:r w:rsidRPr="00C47C64">
              <w:rPr>
                <w:bCs/>
                <w:iCs/>
                <w:sz w:val="22"/>
              </w:rPr>
              <w:lastRenderedPageBreak/>
              <w:t xml:space="preserve">(turpmāk – nodoklis) apliekamo objektu, taksācijas periodu, nodokļa maksātājus un </w:t>
            </w:r>
            <w:r w:rsidRPr="00C47C64">
              <w:rPr>
                <w:bCs/>
                <w:iCs/>
                <w:sz w:val="22"/>
                <w:u w:val="single"/>
              </w:rPr>
              <w:t>nodokļa likmi</w:t>
            </w:r>
            <w:r w:rsidRPr="00C47C64">
              <w:rPr>
                <w:bCs/>
                <w:iCs/>
                <w:sz w:val="22"/>
              </w:rPr>
              <w:t>, kārtību, kādā nodoklis tiek maksāts un citus ar šā nodokļa aprēķināšanu, maksāšanu un administrēšanu saistītus jautājumus.”</w:t>
            </w:r>
          </w:p>
        </w:tc>
        <w:tc>
          <w:tcPr>
            <w:tcW w:w="1919" w:type="dxa"/>
          </w:tcPr>
          <w:p w:rsidR="002F5417" w:rsidRPr="00C47C64" w:rsidRDefault="002F5417" w:rsidP="001A7D73">
            <w:pPr>
              <w:jc w:val="center"/>
              <w:rPr>
                <w:b/>
                <w:bCs/>
                <w:iCs/>
                <w:sz w:val="22"/>
              </w:rPr>
            </w:pPr>
          </w:p>
        </w:tc>
        <w:tc>
          <w:tcPr>
            <w:tcW w:w="1919" w:type="dxa"/>
          </w:tcPr>
          <w:p w:rsidR="002F5417" w:rsidRPr="00C47C64" w:rsidRDefault="002F5417"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sz w:val="22"/>
              </w:rPr>
            </w:pPr>
            <w:r w:rsidRPr="00C47C64">
              <w:rPr>
                <w:b/>
                <w:sz w:val="22"/>
              </w:rPr>
              <w:lastRenderedPageBreak/>
              <w:t>3. pants.</w:t>
            </w:r>
            <w:r w:rsidRPr="00C47C64">
              <w:rPr>
                <w:sz w:val="22"/>
              </w:rPr>
              <w:t xml:space="preserve"> </w:t>
            </w:r>
            <w:r w:rsidRPr="00C47C64">
              <w:rPr>
                <w:b/>
                <w:sz w:val="22"/>
              </w:rPr>
              <w:t>Ar nodokli apliekamais objekts</w:t>
            </w:r>
          </w:p>
          <w:p w:rsidR="00BD56DC" w:rsidRPr="00C47C64" w:rsidRDefault="00BD56DC" w:rsidP="00BD56DC">
            <w:pPr>
              <w:ind w:firstLine="567"/>
              <w:jc w:val="both"/>
              <w:rPr>
                <w:sz w:val="22"/>
              </w:rPr>
            </w:pPr>
            <w:r w:rsidRPr="00C47C64">
              <w:rPr>
                <w:sz w:val="22"/>
              </w:rPr>
              <w:t>Nodokļa objekts ir ienākums, kas noteikts likuma "Par valsts sociālo apdrošināšanu" 14. un 20.</w:t>
            </w:r>
            <w:r w:rsidRPr="00C47C64">
              <w:rPr>
                <w:sz w:val="22"/>
                <w:vertAlign w:val="superscript"/>
              </w:rPr>
              <w:t>2 </w:t>
            </w:r>
            <w:r w:rsidRPr="00C47C64">
              <w:rPr>
                <w:sz w:val="22"/>
              </w:rPr>
              <w:t>pantā un pārsniedz attiecīgajam kalendāra gadam noteikto valsts sociālās apdrošināšanas obligāto iemaksu objekta (turpmāk – obligāto iemaksu objekts) maksimālo apmēru.</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4. pants.</w:t>
            </w:r>
            <w:r w:rsidRPr="00C47C64">
              <w:rPr>
                <w:sz w:val="22"/>
              </w:rPr>
              <w:t xml:space="preserve"> </w:t>
            </w:r>
            <w:r w:rsidRPr="00C47C64">
              <w:rPr>
                <w:b/>
                <w:sz w:val="22"/>
              </w:rPr>
              <w:t>Taksācijas periods</w:t>
            </w:r>
          </w:p>
          <w:p w:rsidR="00BD56DC" w:rsidRPr="00C47C64" w:rsidRDefault="00BD56DC" w:rsidP="00BD56DC">
            <w:pPr>
              <w:ind w:firstLine="567"/>
              <w:jc w:val="both"/>
              <w:rPr>
                <w:sz w:val="22"/>
              </w:rPr>
            </w:pPr>
            <w:r w:rsidRPr="00C47C64">
              <w:rPr>
                <w:sz w:val="22"/>
              </w:rPr>
              <w:t xml:space="preserve">Nodokļa taksācijas periods ir kalendāra gads, kam saskaņā ar likumu "Par valsts sociālo apdrošināšanu" nosaka obligāto iemaksu objekta maksimālo apmēru. </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sz w:val="22"/>
              </w:rPr>
            </w:pPr>
            <w:r w:rsidRPr="00C47C64">
              <w:rPr>
                <w:b/>
                <w:sz w:val="22"/>
              </w:rPr>
              <w:t>5. pants.</w:t>
            </w:r>
            <w:r w:rsidRPr="00C47C64">
              <w:rPr>
                <w:sz w:val="22"/>
              </w:rPr>
              <w:t xml:space="preserve"> </w:t>
            </w:r>
            <w:r w:rsidRPr="00C47C64">
              <w:rPr>
                <w:b/>
                <w:sz w:val="22"/>
              </w:rPr>
              <w:t>Nodokļa maksātāji</w:t>
            </w:r>
          </w:p>
          <w:p w:rsidR="00BD56DC" w:rsidRPr="00C47C64" w:rsidRDefault="00BD56DC" w:rsidP="00BD56DC">
            <w:pPr>
              <w:ind w:firstLine="567"/>
              <w:jc w:val="both"/>
              <w:rPr>
                <w:sz w:val="22"/>
              </w:rPr>
            </w:pPr>
            <w:r w:rsidRPr="00C47C64">
              <w:rPr>
                <w:sz w:val="22"/>
              </w:rPr>
              <w:t xml:space="preserve">Nodokļa maksātāji ir darba devēji, darba ņēmēji, iekšzemes darba ņēmēji pie darba devēja – ārvalstnieka, ārvalstu darba ņēmēji pie darba devēja – ārvalstnieka un pašnodarbinātie, kuri pakļauti valsts sociālajai apdrošināšanai un kuru ienākumi taksācijas periodā pārsniedz </w:t>
            </w:r>
            <w:r w:rsidRPr="00C47C64">
              <w:rPr>
                <w:sz w:val="22"/>
                <w:u w:val="single"/>
              </w:rPr>
              <w:t>likumā "Par valsts sociālo apdrošināšanu" noteikto obligāto iemaksu objekta maksimālo apmēru.</w:t>
            </w:r>
            <w:r w:rsidRPr="00C47C64">
              <w:rPr>
                <w:sz w:val="22"/>
              </w:rPr>
              <w:t xml:space="preserve"> </w:t>
            </w:r>
          </w:p>
        </w:tc>
        <w:tc>
          <w:tcPr>
            <w:tcW w:w="766" w:type="dxa"/>
          </w:tcPr>
          <w:p w:rsidR="00BD56DC" w:rsidRPr="00C47C64" w:rsidRDefault="00F72B66" w:rsidP="001A7D73">
            <w:pPr>
              <w:jc w:val="center"/>
              <w:rPr>
                <w:b/>
                <w:bCs/>
                <w:iCs/>
                <w:sz w:val="22"/>
              </w:rPr>
            </w:pPr>
            <w:r w:rsidRPr="00C47C64">
              <w:rPr>
                <w:b/>
                <w:bCs/>
                <w:iCs/>
                <w:sz w:val="22"/>
              </w:rPr>
              <w:t>4</w:t>
            </w:r>
          </w:p>
        </w:tc>
        <w:tc>
          <w:tcPr>
            <w:tcW w:w="5352" w:type="dxa"/>
          </w:tcPr>
          <w:p w:rsidR="0012607D" w:rsidRPr="00C47C64" w:rsidRDefault="0012607D" w:rsidP="0012607D">
            <w:pPr>
              <w:ind w:firstLine="567"/>
              <w:jc w:val="both"/>
              <w:rPr>
                <w:b/>
                <w:bCs/>
                <w:iCs/>
                <w:sz w:val="22"/>
                <w:u w:val="single"/>
              </w:rPr>
            </w:pPr>
            <w:r w:rsidRPr="00C47C64">
              <w:rPr>
                <w:b/>
                <w:bCs/>
                <w:iCs/>
                <w:sz w:val="22"/>
                <w:u w:val="single"/>
              </w:rPr>
              <w:t>Juridiskais birojs</w:t>
            </w:r>
          </w:p>
          <w:p w:rsidR="00BD56DC" w:rsidRPr="00C47C64" w:rsidRDefault="0012607D" w:rsidP="0012607D">
            <w:pPr>
              <w:ind w:firstLine="567"/>
              <w:jc w:val="both"/>
              <w:rPr>
                <w:bCs/>
                <w:iCs/>
                <w:sz w:val="22"/>
              </w:rPr>
            </w:pPr>
            <w:r w:rsidRPr="00C47C64">
              <w:rPr>
                <w:bCs/>
                <w:iCs/>
                <w:sz w:val="22"/>
              </w:rPr>
              <w:t>Aizstāt likumprojekta 5. pantā vārdus „likumā „Par valsts sociālo apdrošināšanu” noteikto obligāto iemaksu objekta maksimālo apmēru” ar vārdiem „</w:t>
            </w:r>
            <w:r w:rsidRPr="00C47C64">
              <w:rPr>
                <w:bCs/>
                <w:iCs/>
                <w:sz w:val="22"/>
                <w:u w:val="single"/>
              </w:rPr>
              <w:t>saskaņā ar likumu „Par valsts sociālo apdrošināšanu” noteikto obligāto iemaksu objekta maksimālo apmēru”.</w:t>
            </w: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6. pants.</w:t>
            </w:r>
            <w:r w:rsidRPr="00C47C64">
              <w:rPr>
                <w:sz w:val="22"/>
              </w:rPr>
              <w:t xml:space="preserve"> </w:t>
            </w:r>
            <w:r w:rsidRPr="00C47C64">
              <w:rPr>
                <w:b/>
                <w:sz w:val="22"/>
              </w:rPr>
              <w:t>Nodokļa likme</w:t>
            </w:r>
          </w:p>
          <w:p w:rsidR="00BD56DC" w:rsidRPr="00C47C64" w:rsidRDefault="00BD56DC" w:rsidP="00BD56DC">
            <w:pPr>
              <w:ind w:firstLine="567"/>
              <w:jc w:val="both"/>
              <w:rPr>
                <w:b/>
                <w:sz w:val="22"/>
              </w:rPr>
            </w:pPr>
            <w:r w:rsidRPr="00C47C64">
              <w:rPr>
                <w:sz w:val="22"/>
              </w:rPr>
              <w:t>Nodokļa likme atbilst obligāto iemaksu likmei, kas noteikta saskaņā ar likuma "Par valsts sociālo apdrošināšanu" 18. pantu.</w:t>
            </w:r>
          </w:p>
        </w:tc>
        <w:tc>
          <w:tcPr>
            <w:tcW w:w="766" w:type="dxa"/>
          </w:tcPr>
          <w:p w:rsidR="00BD56DC" w:rsidRPr="00C47C64" w:rsidRDefault="00F72B66" w:rsidP="001A7D73">
            <w:pPr>
              <w:jc w:val="center"/>
              <w:rPr>
                <w:b/>
                <w:bCs/>
                <w:iCs/>
                <w:sz w:val="22"/>
              </w:rPr>
            </w:pPr>
            <w:r w:rsidRPr="00C47C64">
              <w:rPr>
                <w:b/>
                <w:bCs/>
                <w:iCs/>
                <w:sz w:val="22"/>
              </w:rPr>
              <w:t>5</w:t>
            </w:r>
          </w:p>
        </w:tc>
        <w:tc>
          <w:tcPr>
            <w:tcW w:w="5352" w:type="dxa"/>
          </w:tcPr>
          <w:p w:rsidR="0012607D" w:rsidRPr="00C47C64" w:rsidRDefault="0012607D" w:rsidP="0012607D">
            <w:pPr>
              <w:ind w:firstLine="567"/>
              <w:jc w:val="both"/>
              <w:rPr>
                <w:b/>
                <w:bCs/>
                <w:iCs/>
                <w:sz w:val="22"/>
                <w:u w:val="single"/>
              </w:rPr>
            </w:pPr>
            <w:r w:rsidRPr="00C47C64">
              <w:rPr>
                <w:b/>
                <w:bCs/>
                <w:iCs/>
                <w:sz w:val="22"/>
                <w:u w:val="single"/>
              </w:rPr>
              <w:t>Juridiskais birojs</w:t>
            </w:r>
          </w:p>
          <w:p w:rsidR="0012607D" w:rsidRPr="00C47C64" w:rsidRDefault="0012607D" w:rsidP="0012607D">
            <w:pPr>
              <w:ind w:firstLine="567"/>
              <w:jc w:val="both"/>
              <w:rPr>
                <w:b/>
                <w:bCs/>
                <w:i/>
                <w:iCs/>
                <w:sz w:val="22"/>
              </w:rPr>
            </w:pPr>
            <w:r w:rsidRPr="00C47C64">
              <w:rPr>
                <w:bCs/>
                <w:i/>
                <w:iCs/>
                <w:sz w:val="22"/>
              </w:rPr>
              <w:t xml:space="preserve">No likumprojekta 6. panta redakcijas un likumprojekta anotācijā norādītā secināms, ka solidaritātes nodokļa maksātājiem tiks piemērota atšķirīga nodokļa likme un tā būs atkarīga no tā, kādiem sociālās apdrošināšanas veidiem solidaritātes nodokļa maksātāji ir pakļauti. Šai sakarā </w:t>
            </w:r>
            <w:r w:rsidRPr="00C47C64">
              <w:rPr>
                <w:b/>
                <w:bCs/>
                <w:i/>
                <w:iCs/>
                <w:sz w:val="22"/>
              </w:rPr>
              <w:t>Juridiskais birojs aicina atbildīgo komisiju uzklausīt likumprojekta autoru skaidrojumu un vērtēt šādas atšķirīgas attieksmes pamatotību.</w:t>
            </w:r>
          </w:p>
          <w:p w:rsidR="0012607D" w:rsidRPr="00C47C64" w:rsidRDefault="0012607D" w:rsidP="0012607D">
            <w:pPr>
              <w:ind w:firstLine="567"/>
              <w:jc w:val="both"/>
              <w:rPr>
                <w:bCs/>
                <w:i/>
                <w:iCs/>
                <w:sz w:val="22"/>
              </w:rPr>
            </w:pPr>
            <w:r w:rsidRPr="00C47C64">
              <w:rPr>
                <w:bCs/>
                <w:i/>
                <w:iCs/>
                <w:sz w:val="22"/>
              </w:rPr>
              <w:t xml:space="preserve">Papildus iepriekšminētajam Juridiskā biroja ieskatā likumprojekta 6. pants ir pretrunā likuma „Par nodokļiem un nodevām” 3.panta pirmās daļas 1. punktā </w:t>
            </w:r>
            <w:r w:rsidRPr="00C47C64">
              <w:rPr>
                <w:bCs/>
                <w:i/>
                <w:iCs/>
                <w:sz w:val="22"/>
              </w:rPr>
              <w:lastRenderedPageBreak/>
              <w:t xml:space="preserve">noteiktajam, no kura izriet, ka nodokļa (izņemot nekustamā īpašuma nodokli) likmes noteikšana ir Saeimas kompetence. Iesniegtajā likumprojektā attiecībā uz solidaritātes nodokļa likmi ietverta norāde, ka tā atbilst obligāto iemaksu likmei, kas noteikta saskaņā ar likuma „Par valsts sociālo apdrošināšanu” 18. pantu. Tas savukārt (arī atbilstoši anotācijā norādītajam) nozīmē, ka atbilstoši likuma „Par valsts sociālo apdrošināšanu” 18. panta pirmajai daļai vispārējā gadījumā (attiecībā uz personām, kas pakļautas visiem sociālās apdrošināšanas veidiem) nodokļa likme būs 34,09%, no kuras 23,59% maksā darba devējs un 10,5% - darba ņēmējs. Savukārt attiecībā uz personām, kas nav pakļautas visiem sociālās apdrošināšanas veidiem, likmi atbilstoši likuma „Par valsts sociālo apdrošināšanu” 18. panta otrajai un trešajai daļai nosaka Ministru kabinets </w:t>
            </w:r>
            <w:proofErr w:type="gramStart"/>
            <w:r w:rsidRPr="00C47C64">
              <w:rPr>
                <w:bCs/>
                <w:i/>
                <w:iCs/>
                <w:sz w:val="22"/>
              </w:rPr>
              <w:t>(</w:t>
            </w:r>
            <w:proofErr w:type="gramEnd"/>
            <w:r w:rsidRPr="00C47C64">
              <w:rPr>
                <w:bCs/>
                <w:i/>
                <w:iCs/>
                <w:sz w:val="22"/>
              </w:rPr>
              <w:t>skat. Ministru kabineta 2014.gada 23.decembra noteikumi Nr.807 „Noteikumi par valsts sociālās apdrošināšanas iemaksu likmes sadalījumu pa valsts sociālās apdrošināšanas veidiem 2015.gadā”). Tādējādi izveidosies situācija, ka atsevišķām solidaritātes nodokļa maksātāju kategorijām nodokļa likmi noteiks Ministru kabinets.</w:t>
            </w:r>
          </w:p>
          <w:p w:rsidR="00BD56DC" w:rsidRPr="00C47C64" w:rsidRDefault="0012607D" w:rsidP="0012607D">
            <w:pPr>
              <w:ind w:firstLine="567"/>
              <w:jc w:val="both"/>
              <w:rPr>
                <w:bCs/>
                <w:iCs/>
                <w:sz w:val="22"/>
              </w:rPr>
            </w:pPr>
            <w:r w:rsidRPr="00C47C64">
              <w:rPr>
                <w:b/>
                <w:bCs/>
                <w:i/>
                <w:iCs/>
                <w:sz w:val="22"/>
              </w:rPr>
              <w:t>Juridiskais birojs aicina precizēt Solidaritātes nodokļa likumprojekta 6. pantu, ietverot tajā skaidri saprotami noteiktas šā nodokļa likmes.</w:t>
            </w: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lastRenderedPageBreak/>
              <w:t>7. pants.</w:t>
            </w:r>
            <w:r w:rsidRPr="00C47C64">
              <w:rPr>
                <w:sz w:val="22"/>
              </w:rPr>
              <w:t xml:space="preserve"> </w:t>
            </w:r>
            <w:r w:rsidRPr="00C47C64">
              <w:rPr>
                <w:b/>
                <w:sz w:val="22"/>
              </w:rPr>
              <w:t>Nodokļa aprēķināšana</w:t>
            </w:r>
          </w:p>
          <w:p w:rsidR="00BD56DC" w:rsidRPr="00C47C64" w:rsidRDefault="00BD56DC" w:rsidP="00BD56DC">
            <w:pPr>
              <w:ind w:firstLine="567"/>
              <w:jc w:val="both"/>
              <w:rPr>
                <w:sz w:val="22"/>
              </w:rPr>
            </w:pPr>
            <w:r w:rsidRPr="00C47C64">
              <w:rPr>
                <w:sz w:val="22"/>
              </w:rPr>
              <w:t xml:space="preserve">(1) Valsts sociālās apdrošināšanas aģentūra, pamatojoties uz Valsts ieņēmumu dienesta sniegto informāciju, summē sociāli apdrošinātajai personai valsts sociālās apdrošināšanas obligāto iemaksu objektu un veiktās valsts sociālās apdrošināšanas obligātās iemaksas. Sasniedzot likumā "Par valsts sociālo apdrošināšanu" noteikto valsts sociālās apdrošināšanas obligāto iemaksu objekta maksimālo apmēru, Valsts sociālās apdrošināšanas aģentūra uzskaita faktiski veikto </w:t>
            </w:r>
            <w:r w:rsidRPr="00C47C64">
              <w:rPr>
                <w:sz w:val="22"/>
              </w:rPr>
              <w:lastRenderedPageBreak/>
              <w:t>solidaritātes nodokli.</w:t>
            </w:r>
          </w:p>
          <w:p w:rsidR="00BD56DC" w:rsidRPr="00C47C64" w:rsidRDefault="00BD56DC" w:rsidP="00BD56DC">
            <w:pPr>
              <w:ind w:firstLine="567"/>
              <w:jc w:val="both"/>
              <w:rPr>
                <w:b/>
                <w:sz w:val="22"/>
              </w:rPr>
            </w:pPr>
            <w:r w:rsidRPr="00C47C64">
              <w:rPr>
                <w:sz w:val="22"/>
              </w:rPr>
              <w:t xml:space="preserve">(2) Valsts sociālās apdrošināšanas aģentūra solidaritātes nodokli rēķina reizi mēnesī. </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lastRenderedPageBreak/>
              <w:t>8. pants. Nodokļa objekta precizēšana</w:t>
            </w:r>
          </w:p>
          <w:p w:rsidR="00BD56DC" w:rsidRPr="00C47C64" w:rsidRDefault="00BD56DC" w:rsidP="00BD56DC">
            <w:pPr>
              <w:ind w:firstLine="567"/>
              <w:jc w:val="both"/>
              <w:rPr>
                <w:sz w:val="22"/>
              </w:rPr>
            </w:pPr>
            <w:r w:rsidRPr="00C47C64">
              <w:rPr>
                <w:sz w:val="22"/>
              </w:rPr>
              <w:t>(1) Nodokļa objekta un nodokļa precizēšana notiek likuma "Par valsts sociālo apdrošināšanu" 20.</w:t>
            </w:r>
            <w:r w:rsidRPr="00C47C64">
              <w:rPr>
                <w:sz w:val="22"/>
                <w:vertAlign w:val="superscript"/>
              </w:rPr>
              <w:t>1 </w:t>
            </w:r>
            <w:r w:rsidRPr="00C47C64">
              <w:rPr>
                <w:sz w:val="22"/>
              </w:rPr>
              <w:t>pantā noteiktajā kārtībā un termiņos.</w:t>
            </w:r>
          </w:p>
          <w:p w:rsidR="00BD56DC" w:rsidRPr="00C47C64" w:rsidRDefault="00BD56DC" w:rsidP="00BD56DC">
            <w:pPr>
              <w:ind w:firstLine="567"/>
              <w:jc w:val="both"/>
              <w:rPr>
                <w:sz w:val="22"/>
              </w:rPr>
            </w:pPr>
            <w:r w:rsidRPr="00C47C64">
              <w:rPr>
                <w:sz w:val="22"/>
              </w:rPr>
              <w:t>(2) Ja nodokļa objekts vai nodoklis pēc precizēšanas tiek palielināts, Valsts sociālās apdrošināšanas aģentūra pārrēķina faktiski samaksāto nodokli un pārskaita to uz valsts pamatbudžetu par trim gadiem pirms taksācijas gada.</w:t>
            </w:r>
          </w:p>
          <w:p w:rsidR="00BD56DC" w:rsidRPr="00C47C64" w:rsidRDefault="00BD56DC" w:rsidP="00BD56DC">
            <w:pPr>
              <w:ind w:firstLine="567"/>
              <w:jc w:val="both"/>
              <w:rPr>
                <w:b/>
                <w:sz w:val="22"/>
              </w:rPr>
            </w:pPr>
            <w:r w:rsidRPr="00C47C64">
              <w:rPr>
                <w:sz w:val="22"/>
              </w:rPr>
              <w:t>(3) Ja nodokļa objekts vai nodoklis pēc precizēšanas tiek samazināts, Valsts sociālās apdrošināšanas aģentūra par samazināto nodokļa summu samazina valsts pamatbudžetā pārskaitāmo summu.</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9. pants. Nodokļa ieskaitīšana valsts pamatbudžetā</w:t>
            </w:r>
          </w:p>
          <w:p w:rsidR="00BD56DC" w:rsidRPr="00C47C64" w:rsidRDefault="00BD56DC" w:rsidP="00BD56DC">
            <w:pPr>
              <w:ind w:firstLine="567"/>
              <w:jc w:val="both"/>
              <w:rPr>
                <w:b/>
                <w:sz w:val="22"/>
              </w:rPr>
            </w:pPr>
            <w:r w:rsidRPr="00C47C64">
              <w:rPr>
                <w:sz w:val="22"/>
              </w:rPr>
              <w:t>Valsts sociālās apdrošināšanas aģentūra faktiski samaksāto nodokli par pārskata mēnesi pārskaita valsts pamatbudžeta ieņēmumu kontā līdz pārskata mēnesim sekojošā trešā mēneša piecpadsmitajam datumam.</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10. pants. Nodokļa maksātāju tiesības, pienākumi un atbildība par likuma pārkāpumiem</w:t>
            </w:r>
          </w:p>
          <w:p w:rsidR="00BD56DC" w:rsidRPr="00C47C64" w:rsidRDefault="00BD56DC" w:rsidP="00BD56DC">
            <w:pPr>
              <w:ind w:firstLine="567"/>
              <w:jc w:val="both"/>
              <w:rPr>
                <w:b/>
                <w:sz w:val="22"/>
              </w:rPr>
            </w:pPr>
            <w:r w:rsidRPr="00C47C64">
              <w:rPr>
                <w:sz w:val="22"/>
              </w:rPr>
              <w:t>Nodokļa maksātāja tiesības, pienākumi un atbildība ir noteikta likumā "Par nodokļiem un nodevām" un likumā "Par valsts sociālo apdrošināšanu".</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b/>
                <w:sz w:val="22"/>
              </w:rPr>
            </w:pPr>
            <w:r w:rsidRPr="00C47C64">
              <w:rPr>
                <w:b/>
                <w:sz w:val="22"/>
              </w:rPr>
              <w:t>11. pants.</w:t>
            </w:r>
            <w:r w:rsidRPr="00C47C64">
              <w:rPr>
                <w:sz w:val="22"/>
              </w:rPr>
              <w:t xml:space="preserve"> </w:t>
            </w:r>
            <w:r w:rsidRPr="00C47C64">
              <w:rPr>
                <w:b/>
                <w:sz w:val="22"/>
              </w:rPr>
              <w:t>Nodokļa administrēšana</w:t>
            </w:r>
          </w:p>
          <w:p w:rsidR="00BD56DC" w:rsidRPr="00C47C64" w:rsidRDefault="00BD56DC" w:rsidP="00BD56DC">
            <w:pPr>
              <w:ind w:firstLine="567"/>
              <w:jc w:val="both"/>
              <w:rPr>
                <w:sz w:val="22"/>
              </w:rPr>
            </w:pPr>
            <w:r w:rsidRPr="00C47C64">
              <w:rPr>
                <w:sz w:val="22"/>
              </w:rPr>
              <w:t xml:space="preserve">(1) Valsts ieņēmumu dienests administrē nodokli normatīvajos aktos noteiktajā kārtībā. </w:t>
            </w:r>
          </w:p>
          <w:p w:rsidR="00BD56DC" w:rsidRPr="00C47C64" w:rsidRDefault="00BD56DC" w:rsidP="00BD56DC">
            <w:pPr>
              <w:ind w:firstLine="567"/>
              <w:jc w:val="both"/>
              <w:rPr>
                <w:b/>
                <w:sz w:val="22"/>
              </w:rPr>
            </w:pPr>
            <w:r w:rsidRPr="00C47C64">
              <w:rPr>
                <w:sz w:val="22"/>
              </w:rPr>
              <w:t>(2) Valsts sociālās apdrošināšanas aģentūra nodrošina aprēķinātā un samaksātā nodokļa uzskaiti un ieskaitīšanu valsts pamatbudžetā.</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8D1707" w:rsidRPr="00C47C64" w:rsidTr="00BD56DC">
        <w:tc>
          <w:tcPr>
            <w:tcW w:w="5353" w:type="dxa"/>
          </w:tcPr>
          <w:p w:rsidR="008D1707" w:rsidRPr="00C47C64" w:rsidRDefault="008D1707" w:rsidP="00BD56DC">
            <w:pPr>
              <w:ind w:firstLine="567"/>
              <w:jc w:val="both"/>
              <w:rPr>
                <w:b/>
                <w:sz w:val="22"/>
              </w:rPr>
            </w:pPr>
          </w:p>
        </w:tc>
        <w:tc>
          <w:tcPr>
            <w:tcW w:w="766" w:type="dxa"/>
          </w:tcPr>
          <w:p w:rsidR="008D1707" w:rsidRPr="00C47C64" w:rsidRDefault="00F72B66" w:rsidP="001A7D73">
            <w:pPr>
              <w:jc w:val="center"/>
              <w:rPr>
                <w:b/>
                <w:bCs/>
                <w:iCs/>
                <w:sz w:val="22"/>
              </w:rPr>
            </w:pPr>
            <w:r w:rsidRPr="00C47C64">
              <w:rPr>
                <w:b/>
                <w:bCs/>
                <w:iCs/>
                <w:sz w:val="22"/>
              </w:rPr>
              <w:t>6</w:t>
            </w:r>
          </w:p>
        </w:tc>
        <w:tc>
          <w:tcPr>
            <w:tcW w:w="5352" w:type="dxa"/>
          </w:tcPr>
          <w:p w:rsidR="008D1707" w:rsidRPr="00C47C64" w:rsidRDefault="008D1707" w:rsidP="00E46595">
            <w:pPr>
              <w:ind w:firstLine="567"/>
              <w:jc w:val="both"/>
              <w:rPr>
                <w:b/>
                <w:bCs/>
                <w:iCs/>
                <w:sz w:val="22"/>
                <w:u w:val="single"/>
              </w:rPr>
            </w:pPr>
            <w:r w:rsidRPr="00C47C64">
              <w:rPr>
                <w:b/>
                <w:bCs/>
                <w:iCs/>
                <w:sz w:val="22"/>
                <w:u w:val="single"/>
              </w:rPr>
              <w:t>Deputāts A.Siliņš</w:t>
            </w:r>
            <w:r w:rsidR="00D8461D" w:rsidRPr="00C47C64">
              <w:rPr>
                <w:rStyle w:val="EndnoteReference"/>
                <w:b/>
                <w:bCs/>
                <w:iCs/>
                <w:sz w:val="22"/>
                <w:u w:val="single"/>
              </w:rPr>
              <w:endnoteReference w:id="1"/>
            </w:r>
          </w:p>
          <w:p w:rsidR="00D8461D" w:rsidRPr="00C47C64" w:rsidRDefault="00D8461D" w:rsidP="00E46595">
            <w:pPr>
              <w:ind w:firstLine="567"/>
              <w:jc w:val="both"/>
              <w:rPr>
                <w:bCs/>
                <w:iCs/>
                <w:sz w:val="22"/>
              </w:rPr>
            </w:pPr>
            <w:r w:rsidRPr="00C47C64">
              <w:rPr>
                <w:bCs/>
                <w:iCs/>
                <w:sz w:val="22"/>
              </w:rPr>
              <w:t>Papildināt likumprojektu ar 12. pantu sekojošā redakcijā:</w:t>
            </w:r>
          </w:p>
          <w:p w:rsidR="00D8461D" w:rsidRPr="00C47C64" w:rsidRDefault="00D8461D" w:rsidP="00D8461D">
            <w:pPr>
              <w:ind w:firstLine="567"/>
              <w:jc w:val="both"/>
              <w:rPr>
                <w:bCs/>
                <w:iCs/>
                <w:sz w:val="22"/>
              </w:rPr>
            </w:pPr>
            <w:r w:rsidRPr="00C47C64">
              <w:rPr>
                <w:bCs/>
                <w:iCs/>
                <w:sz w:val="22"/>
              </w:rPr>
              <w:lastRenderedPageBreak/>
              <w:t xml:space="preserve">12. pants </w:t>
            </w:r>
          </w:p>
          <w:p w:rsidR="00871A1B" w:rsidRPr="00C47C64" w:rsidRDefault="00D8461D" w:rsidP="00D8461D">
            <w:pPr>
              <w:ind w:firstLine="567"/>
              <w:jc w:val="both"/>
              <w:rPr>
                <w:bCs/>
                <w:iCs/>
                <w:sz w:val="22"/>
              </w:rPr>
            </w:pPr>
            <w:r w:rsidRPr="00C47C64">
              <w:rPr>
                <w:bCs/>
                <w:iCs/>
                <w:sz w:val="22"/>
              </w:rPr>
              <w:t>Piecdesmit procentus no iekasētā nodokļa summas novirza senioru veselības apdrošināšanas sistēmas izveidei. Ministru kabinets nosaka atbildīgo institūciju, kārtību un termiņus, kādos tiek izstrādāta veselības apdrošināšanas sistēma senioriem.</w:t>
            </w:r>
          </w:p>
        </w:tc>
        <w:tc>
          <w:tcPr>
            <w:tcW w:w="1919" w:type="dxa"/>
          </w:tcPr>
          <w:p w:rsidR="008D1707" w:rsidRPr="00C47C64" w:rsidRDefault="008D1707" w:rsidP="001A7D73">
            <w:pPr>
              <w:jc w:val="center"/>
              <w:rPr>
                <w:b/>
                <w:bCs/>
                <w:iCs/>
                <w:sz w:val="22"/>
              </w:rPr>
            </w:pPr>
          </w:p>
        </w:tc>
        <w:tc>
          <w:tcPr>
            <w:tcW w:w="1919" w:type="dxa"/>
          </w:tcPr>
          <w:p w:rsidR="008D1707" w:rsidRPr="00C47C64" w:rsidRDefault="008D1707"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sz w:val="22"/>
              </w:rPr>
            </w:pPr>
            <w:r w:rsidRPr="00C47C64">
              <w:rPr>
                <w:b/>
                <w:sz w:val="22"/>
              </w:rPr>
              <w:lastRenderedPageBreak/>
              <w:t>Pārejas noteikums</w:t>
            </w:r>
          </w:p>
          <w:p w:rsidR="00BD56DC" w:rsidRPr="00C47C64" w:rsidRDefault="00BD56DC" w:rsidP="00BD56DC">
            <w:pPr>
              <w:ind w:firstLine="567"/>
              <w:jc w:val="both"/>
              <w:rPr>
                <w:sz w:val="22"/>
              </w:rPr>
            </w:pPr>
            <w:r w:rsidRPr="00C47C64">
              <w:rPr>
                <w:sz w:val="22"/>
              </w:rPr>
              <w:t>Valsts sociālās apdrošināšanas aģentūra 2016. gadā faktiski samaksāto nodokli ieskaita valsts pamatbudžetā šādā kārtībā:</w:t>
            </w:r>
          </w:p>
          <w:p w:rsidR="00BD56DC" w:rsidRPr="00C47C64" w:rsidRDefault="00BD56DC" w:rsidP="00BD56DC">
            <w:pPr>
              <w:ind w:firstLine="567"/>
              <w:jc w:val="both"/>
              <w:rPr>
                <w:sz w:val="22"/>
              </w:rPr>
            </w:pPr>
            <w:r w:rsidRPr="00C47C64">
              <w:rPr>
                <w:sz w:val="22"/>
              </w:rPr>
              <w:t>1) par periodu no janvāra līdz jūnijam – līdz 2016. gada 15. oktobrim;</w:t>
            </w:r>
          </w:p>
          <w:p w:rsidR="00BD56DC" w:rsidRPr="00C47C64" w:rsidRDefault="00BD56DC" w:rsidP="00BD56DC">
            <w:pPr>
              <w:ind w:firstLine="567"/>
              <w:jc w:val="both"/>
              <w:rPr>
                <w:b/>
                <w:sz w:val="22"/>
              </w:rPr>
            </w:pPr>
            <w:r w:rsidRPr="00C47C64">
              <w:rPr>
                <w:sz w:val="22"/>
              </w:rPr>
              <w:t>2) par jūliju un turpmākajiem mēnešiem – par katrā mēnesī samaksāto nodokli – līdz pārskata mēnesim sekojošā trešā mēneša piecpadsmitajam datumam.</w:t>
            </w:r>
          </w:p>
        </w:tc>
        <w:tc>
          <w:tcPr>
            <w:tcW w:w="766" w:type="dxa"/>
          </w:tcPr>
          <w:p w:rsidR="00BD56DC" w:rsidRPr="00C47C64" w:rsidRDefault="00BD56DC" w:rsidP="001A7D73">
            <w:pPr>
              <w:jc w:val="center"/>
              <w:rPr>
                <w:b/>
                <w:bCs/>
                <w:iCs/>
                <w:sz w:val="22"/>
              </w:rPr>
            </w:pPr>
          </w:p>
        </w:tc>
        <w:tc>
          <w:tcPr>
            <w:tcW w:w="5352" w:type="dxa"/>
          </w:tcPr>
          <w:p w:rsidR="00BD56DC" w:rsidRPr="00C47C64" w:rsidRDefault="00BD56DC" w:rsidP="00E46595">
            <w:pPr>
              <w:ind w:firstLine="567"/>
              <w:jc w:val="both"/>
              <w:rPr>
                <w:b/>
                <w:bCs/>
                <w:iCs/>
                <w:sz w:val="22"/>
              </w:rPr>
            </w:pPr>
            <w:bookmarkStart w:id="0" w:name="_GoBack"/>
            <w:bookmarkEnd w:id="0"/>
          </w:p>
        </w:tc>
        <w:tc>
          <w:tcPr>
            <w:tcW w:w="1919" w:type="dxa"/>
          </w:tcPr>
          <w:p w:rsidR="00BD56DC" w:rsidRPr="00C47C64" w:rsidRDefault="00BD56DC" w:rsidP="001A7D73">
            <w:pPr>
              <w:jc w:val="center"/>
              <w:rPr>
                <w:b/>
                <w:bCs/>
                <w:iCs/>
                <w:sz w:val="22"/>
              </w:rPr>
            </w:pPr>
          </w:p>
        </w:tc>
        <w:tc>
          <w:tcPr>
            <w:tcW w:w="1919" w:type="dxa"/>
          </w:tcPr>
          <w:p w:rsidR="00BD56DC" w:rsidRPr="00C47C64" w:rsidRDefault="00BD56DC" w:rsidP="001A7D73">
            <w:pPr>
              <w:jc w:val="center"/>
              <w:rPr>
                <w:b/>
                <w:bCs/>
                <w:iCs/>
                <w:sz w:val="22"/>
              </w:rPr>
            </w:pPr>
          </w:p>
        </w:tc>
      </w:tr>
      <w:tr w:rsidR="00BD56DC" w:rsidRPr="00C47C64" w:rsidTr="00BD56DC">
        <w:tc>
          <w:tcPr>
            <w:tcW w:w="5353" w:type="dxa"/>
          </w:tcPr>
          <w:p w:rsidR="00BD56DC" w:rsidRPr="00C47C64" w:rsidRDefault="00BD56DC" w:rsidP="00BD56DC">
            <w:pPr>
              <w:ind w:firstLine="567"/>
              <w:jc w:val="both"/>
              <w:rPr>
                <w:sz w:val="22"/>
              </w:rPr>
            </w:pPr>
            <w:r w:rsidRPr="00C47C64">
              <w:rPr>
                <w:sz w:val="22"/>
              </w:rPr>
              <w:t>Likums stājas spēkā 2016. gada 1. janvārī.</w:t>
            </w:r>
          </w:p>
        </w:tc>
        <w:tc>
          <w:tcPr>
            <w:tcW w:w="766" w:type="dxa"/>
          </w:tcPr>
          <w:p w:rsidR="00BD56DC" w:rsidRPr="00C47C64" w:rsidRDefault="00BD56DC" w:rsidP="001A7D73">
            <w:pPr>
              <w:jc w:val="center"/>
              <w:rPr>
                <w:b/>
                <w:sz w:val="22"/>
              </w:rPr>
            </w:pPr>
          </w:p>
        </w:tc>
        <w:tc>
          <w:tcPr>
            <w:tcW w:w="5352" w:type="dxa"/>
          </w:tcPr>
          <w:p w:rsidR="00BD56DC" w:rsidRPr="00C47C64" w:rsidRDefault="00BD56DC" w:rsidP="00E46595">
            <w:pPr>
              <w:ind w:firstLine="567"/>
              <w:jc w:val="both"/>
              <w:rPr>
                <w:b/>
                <w:sz w:val="22"/>
                <w:u w:val="single"/>
              </w:rPr>
            </w:pPr>
          </w:p>
        </w:tc>
        <w:tc>
          <w:tcPr>
            <w:tcW w:w="1919" w:type="dxa"/>
          </w:tcPr>
          <w:p w:rsidR="00BD56DC" w:rsidRPr="00C47C64" w:rsidRDefault="00BD56DC" w:rsidP="001A7D73">
            <w:pPr>
              <w:jc w:val="center"/>
              <w:rPr>
                <w:sz w:val="22"/>
              </w:rPr>
            </w:pPr>
          </w:p>
        </w:tc>
        <w:tc>
          <w:tcPr>
            <w:tcW w:w="1919" w:type="dxa"/>
          </w:tcPr>
          <w:p w:rsidR="00BD56DC" w:rsidRPr="00C47C64" w:rsidRDefault="00BD56DC" w:rsidP="001A7D73">
            <w:pPr>
              <w:jc w:val="center"/>
              <w:rPr>
                <w:sz w:val="22"/>
              </w:rPr>
            </w:pPr>
          </w:p>
        </w:tc>
      </w:tr>
    </w:tbl>
    <w:p w:rsidR="007A4333" w:rsidRDefault="007A4333" w:rsidP="00D8461D"/>
    <w:sectPr w:rsidR="007A4333" w:rsidSect="00C71E2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8E" w:rsidRDefault="00A1288E" w:rsidP="004942FE">
      <w:r>
        <w:separator/>
      </w:r>
    </w:p>
  </w:endnote>
  <w:endnote w:type="continuationSeparator" w:id="0">
    <w:p w:rsidR="00A1288E" w:rsidRDefault="00A1288E" w:rsidP="004942FE">
      <w:r>
        <w:continuationSeparator/>
      </w:r>
    </w:p>
  </w:endnote>
  <w:endnote w:id="1">
    <w:p w:rsidR="00D8461D" w:rsidRPr="00D8461D" w:rsidRDefault="00D8461D" w:rsidP="00D8461D">
      <w:pPr>
        <w:pStyle w:val="EndnoteText"/>
        <w:rPr>
          <w:iCs/>
        </w:rPr>
      </w:pPr>
      <w:r>
        <w:rPr>
          <w:rStyle w:val="EndnoteReference"/>
        </w:rPr>
        <w:endnoteRef/>
      </w:r>
      <w:r>
        <w:t xml:space="preserve"> </w:t>
      </w:r>
      <w:r>
        <w:rPr>
          <w:b/>
          <w:bCs/>
          <w:iCs/>
          <w:szCs w:val="24"/>
        </w:rPr>
        <w:t>Deputāta</w:t>
      </w:r>
      <w:r w:rsidRPr="00D8461D">
        <w:rPr>
          <w:b/>
          <w:bCs/>
          <w:iCs/>
          <w:szCs w:val="24"/>
        </w:rPr>
        <w:t xml:space="preserve"> A.Siliņa priekšlikuma p</w:t>
      </w:r>
      <w:r w:rsidRPr="00D8461D">
        <w:rPr>
          <w:b/>
          <w:iCs/>
        </w:rPr>
        <w:t>amatojums:</w:t>
      </w:r>
    </w:p>
    <w:p w:rsidR="00D8461D" w:rsidRPr="00D8461D" w:rsidRDefault="00D8461D" w:rsidP="00D8461D">
      <w:pPr>
        <w:pStyle w:val="EndnoteText"/>
      </w:pPr>
      <w:r w:rsidRPr="00D8461D">
        <w:t>Latvijas Pensionāru federācija jau vairākkārt aicinājusi valdību ieviest valsts veselības apdrošināšanas sistēmu senioriem ar zemiem ienākumiem, dodot iespēju vecākās paaudzes cilvēkiem pilnvērtīgi rūpēties par savu veselību.</w:t>
      </w:r>
    </w:p>
    <w:p w:rsidR="00D8461D" w:rsidRPr="00D8461D" w:rsidRDefault="00D8461D" w:rsidP="00D8461D">
      <w:pPr>
        <w:pStyle w:val="EndnoteText"/>
      </w:pPr>
      <w:r w:rsidRPr="00D8461D">
        <w:rPr>
          <w:iCs/>
        </w:rPr>
        <w:t xml:space="preserve">Iestājoties Eiropas Savienībā, Latvija apņēmās strādāt pie šādas sistēmas izstrādes, tomēr līdz šim darbs nav noticis. Šogad Latvijas Pensionāru federācija savāca vairāk nekā 70 tūkstošus senioru parakstu, kas pauda atbalstu </w:t>
      </w:r>
      <w:r w:rsidRPr="00D8461D">
        <w:t>valsts veselības apdrošināšanas sistēmas izstrādei.</w:t>
      </w:r>
    </w:p>
    <w:p w:rsidR="00D8461D" w:rsidRPr="00D8461D" w:rsidRDefault="00D8461D" w:rsidP="00D8461D">
      <w:pPr>
        <w:pStyle w:val="EndnoteText"/>
        <w:rPr>
          <w:iCs/>
        </w:rPr>
      </w:pPr>
      <w:r w:rsidRPr="00D8461D">
        <w:t>Ņemot vērā to, ka solidaritātes nodoklis ir jauns nodoklis un dos papildus ieņēmumus valsts budžetā, uzskatu, ka būtu lietderīgi to novirzīt jaunai iniciatīvai - valsts veselības apdrošināšanas sistēmas senioriem izstrādei.</w:t>
      </w:r>
    </w:p>
    <w:p w:rsidR="00D8461D" w:rsidRDefault="00D846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C47C64"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C64">
      <w:rPr>
        <w:rStyle w:val="PageNumber"/>
        <w:noProof/>
      </w:rPr>
      <w:t>5</w:t>
    </w:r>
    <w:r>
      <w:rPr>
        <w:rStyle w:val="PageNumber"/>
      </w:rPr>
      <w:fldChar w:fldCharType="end"/>
    </w:r>
  </w:p>
  <w:p w:rsidR="00C71E28" w:rsidRDefault="00C47C64"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8E" w:rsidRDefault="00A1288E" w:rsidP="004942FE">
      <w:r>
        <w:separator/>
      </w:r>
    </w:p>
  </w:footnote>
  <w:footnote w:type="continuationSeparator" w:id="0">
    <w:p w:rsidR="00A1288E" w:rsidRDefault="00A1288E"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94FC5"/>
    <w:multiLevelType w:val="hybridMultilevel"/>
    <w:tmpl w:val="14A6A10A"/>
    <w:lvl w:ilvl="0" w:tplc="D1FE85EC">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12607D"/>
    <w:rsid w:val="00172AE2"/>
    <w:rsid w:val="001E1915"/>
    <w:rsid w:val="002776BC"/>
    <w:rsid w:val="002D3ECB"/>
    <w:rsid w:val="002F5417"/>
    <w:rsid w:val="0035641C"/>
    <w:rsid w:val="00362E41"/>
    <w:rsid w:val="003B1A72"/>
    <w:rsid w:val="00405509"/>
    <w:rsid w:val="00413E31"/>
    <w:rsid w:val="00491803"/>
    <w:rsid w:val="004942FE"/>
    <w:rsid w:val="004D0E5D"/>
    <w:rsid w:val="004D7945"/>
    <w:rsid w:val="004E5990"/>
    <w:rsid w:val="00517E3F"/>
    <w:rsid w:val="00546540"/>
    <w:rsid w:val="00581185"/>
    <w:rsid w:val="005B5A41"/>
    <w:rsid w:val="00601A14"/>
    <w:rsid w:val="0065395D"/>
    <w:rsid w:val="006F4318"/>
    <w:rsid w:val="00735F88"/>
    <w:rsid w:val="007A4333"/>
    <w:rsid w:val="007B0E9B"/>
    <w:rsid w:val="00802511"/>
    <w:rsid w:val="00833BE7"/>
    <w:rsid w:val="008468AB"/>
    <w:rsid w:val="00871A1B"/>
    <w:rsid w:val="008D1707"/>
    <w:rsid w:val="00901ABE"/>
    <w:rsid w:val="009667CE"/>
    <w:rsid w:val="00A1288E"/>
    <w:rsid w:val="00A707D6"/>
    <w:rsid w:val="00AA55B8"/>
    <w:rsid w:val="00AA62B1"/>
    <w:rsid w:val="00AF04D3"/>
    <w:rsid w:val="00AF29C7"/>
    <w:rsid w:val="00BD56DC"/>
    <w:rsid w:val="00BE4A97"/>
    <w:rsid w:val="00C25671"/>
    <w:rsid w:val="00C47C64"/>
    <w:rsid w:val="00CF5F17"/>
    <w:rsid w:val="00D23675"/>
    <w:rsid w:val="00D74F32"/>
    <w:rsid w:val="00D8461D"/>
    <w:rsid w:val="00E127BE"/>
    <w:rsid w:val="00E1301B"/>
    <w:rsid w:val="00E46595"/>
    <w:rsid w:val="00E73CBB"/>
    <w:rsid w:val="00F42992"/>
    <w:rsid w:val="00F5299C"/>
    <w:rsid w:val="00F72B66"/>
    <w:rsid w:val="00FA1B01"/>
    <w:rsid w:val="00FE4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211164051">
      <w:bodyDiv w:val="1"/>
      <w:marLeft w:val="0"/>
      <w:marRight w:val="0"/>
      <w:marTop w:val="0"/>
      <w:marBottom w:val="0"/>
      <w:divBdr>
        <w:top w:val="none" w:sz="0" w:space="0" w:color="auto"/>
        <w:left w:val="none" w:sz="0" w:space="0" w:color="auto"/>
        <w:bottom w:val="none" w:sz="0" w:space="0" w:color="auto"/>
        <w:right w:val="none" w:sz="0" w:space="0" w:color="auto"/>
      </w:divBdr>
    </w:div>
    <w:div w:id="281377417">
      <w:bodyDiv w:val="1"/>
      <w:marLeft w:val="0"/>
      <w:marRight w:val="0"/>
      <w:marTop w:val="0"/>
      <w:marBottom w:val="0"/>
      <w:divBdr>
        <w:top w:val="none" w:sz="0" w:space="0" w:color="auto"/>
        <w:left w:val="none" w:sz="0" w:space="0" w:color="auto"/>
        <w:bottom w:val="none" w:sz="0" w:space="0" w:color="auto"/>
        <w:right w:val="none" w:sz="0" w:space="0" w:color="auto"/>
      </w:divBdr>
      <w:divsChild>
        <w:div w:id="665598574">
          <w:marLeft w:val="0"/>
          <w:marRight w:val="0"/>
          <w:marTop w:val="0"/>
          <w:marBottom w:val="0"/>
          <w:divBdr>
            <w:top w:val="none" w:sz="0" w:space="0" w:color="auto"/>
            <w:left w:val="none" w:sz="0" w:space="0" w:color="auto"/>
            <w:bottom w:val="none" w:sz="0" w:space="0" w:color="auto"/>
            <w:right w:val="none" w:sz="0" w:space="0" w:color="auto"/>
          </w:divBdr>
        </w:div>
        <w:div w:id="976103834">
          <w:marLeft w:val="0"/>
          <w:marRight w:val="0"/>
          <w:marTop w:val="0"/>
          <w:marBottom w:val="0"/>
          <w:divBdr>
            <w:top w:val="none" w:sz="0" w:space="0" w:color="auto"/>
            <w:left w:val="none" w:sz="0" w:space="0" w:color="auto"/>
            <w:bottom w:val="none" w:sz="0" w:space="0" w:color="auto"/>
            <w:right w:val="none" w:sz="0" w:space="0" w:color="auto"/>
          </w:divBdr>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638847324">
      <w:bodyDiv w:val="1"/>
      <w:marLeft w:val="0"/>
      <w:marRight w:val="0"/>
      <w:marTop w:val="0"/>
      <w:marBottom w:val="0"/>
      <w:divBdr>
        <w:top w:val="none" w:sz="0" w:space="0" w:color="auto"/>
        <w:left w:val="none" w:sz="0" w:space="0" w:color="auto"/>
        <w:bottom w:val="none" w:sz="0" w:space="0" w:color="auto"/>
        <w:right w:val="none" w:sz="0" w:space="0" w:color="auto"/>
      </w:divBdr>
    </w:div>
    <w:div w:id="663051514">
      <w:bodyDiv w:val="1"/>
      <w:marLeft w:val="0"/>
      <w:marRight w:val="0"/>
      <w:marTop w:val="0"/>
      <w:marBottom w:val="0"/>
      <w:divBdr>
        <w:top w:val="none" w:sz="0" w:space="0" w:color="auto"/>
        <w:left w:val="none" w:sz="0" w:space="0" w:color="auto"/>
        <w:bottom w:val="none" w:sz="0" w:space="0" w:color="auto"/>
        <w:right w:val="none" w:sz="0" w:space="0" w:color="auto"/>
      </w:divBdr>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7804">
      <w:bodyDiv w:val="1"/>
      <w:marLeft w:val="0"/>
      <w:marRight w:val="0"/>
      <w:marTop w:val="0"/>
      <w:marBottom w:val="0"/>
      <w:divBdr>
        <w:top w:val="none" w:sz="0" w:space="0" w:color="auto"/>
        <w:left w:val="none" w:sz="0" w:space="0" w:color="auto"/>
        <w:bottom w:val="none" w:sz="0" w:space="0" w:color="auto"/>
        <w:right w:val="none" w:sz="0" w:space="0" w:color="auto"/>
      </w:divBdr>
    </w:div>
    <w:div w:id="1987465265">
      <w:bodyDiv w:val="1"/>
      <w:marLeft w:val="0"/>
      <w:marRight w:val="0"/>
      <w:marTop w:val="0"/>
      <w:marBottom w:val="0"/>
      <w:divBdr>
        <w:top w:val="none" w:sz="0" w:space="0" w:color="auto"/>
        <w:left w:val="none" w:sz="0" w:space="0" w:color="auto"/>
        <w:bottom w:val="none" w:sz="0" w:space="0" w:color="auto"/>
        <w:right w:val="none" w:sz="0" w:space="0" w:color="auto"/>
      </w:divBdr>
    </w:div>
    <w:div w:id="20652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A273-08F3-4CD2-B2BD-C1744E6C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5148</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13</cp:revision>
  <dcterms:created xsi:type="dcterms:W3CDTF">2015-10-15T09:34:00Z</dcterms:created>
  <dcterms:modified xsi:type="dcterms:W3CDTF">2015-11-09T12:51:00Z</dcterms:modified>
</cp:coreProperties>
</file>