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65" w:rsidRPr="00415B5D" w:rsidRDefault="00E62865" w:rsidP="00E62865">
      <w:pPr>
        <w:pStyle w:val="Title"/>
        <w:rPr>
          <w:sz w:val="28"/>
          <w:szCs w:val="28"/>
        </w:rPr>
      </w:pPr>
      <w:r w:rsidRPr="00415B5D">
        <w:rPr>
          <w:sz w:val="28"/>
          <w:szCs w:val="28"/>
        </w:rPr>
        <w:t xml:space="preserve">Ministru kabineta noteikumu projekta </w:t>
      </w:r>
    </w:p>
    <w:p w:rsidR="00415B5D" w:rsidRPr="00415B5D" w:rsidRDefault="00415B5D" w:rsidP="00415B5D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r w:rsidRPr="00415B5D">
        <w:rPr>
          <w:b/>
          <w:sz w:val="28"/>
          <w:szCs w:val="28"/>
        </w:rPr>
        <w:t xml:space="preserve">„Grozījumi </w:t>
      </w:r>
      <w:bookmarkStart w:id="4" w:name="OLE_LINK7"/>
      <w:bookmarkStart w:id="5" w:name="OLE_LINK8"/>
      <w:bookmarkEnd w:id="0"/>
      <w:bookmarkEnd w:id="1"/>
      <w:r w:rsidRPr="00415B5D">
        <w:rPr>
          <w:b/>
          <w:sz w:val="28"/>
          <w:szCs w:val="28"/>
        </w:rPr>
        <w:t>Ministru kabineta 2004.gada 14.decembra noteikumos Nr.1015 „Vides prasības mazo katlumāju apsaimniekošanai”</w:t>
      </w:r>
      <w:bookmarkEnd w:id="2"/>
      <w:bookmarkEnd w:id="3"/>
      <w:bookmarkEnd w:id="4"/>
      <w:bookmarkEnd w:id="5"/>
      <w:r w:rsidRPr="00415B5D">
        <w:rPr>
          <w:b/>
          <w:sz w:val="28"/>
          <w:szCs w:val="28"/>
        </w:rPr>
        <w:t>”</w:t>
      </w:r>
    </w:p>
    <w:p w:rsidR="00E62865" w:rsidRPr="00415B5D" w:rsidRDefault="00E62865" w:rsidP="00E62865">
      <w:pPr>
        <w:pStyle w:val="Title"/>
        <w:rPr>
          <w:sz w:val="28"/>
          <w:szCs w:val="28"/>
        </w:rPr>
      </w:pPr>
      <w:r w:rsidRPr="00415B5D">
        <w:rPr>
          <w:sz w:val="28"/>
          <w:szCs w:val="28"/>
        </w:rPr>
        <w:t>sākotnējās ietekmes novērtējuma ziņojums (anotācija)</w:t>
      </w:r>
    </w:p>
    <w:p w:rsidR="00E62865" w:rsidRDefault="00E62865" w:rsidP="00E62865">
      <w:pPr>
        <w:jc w:val="center"/>
        <w:rPr>
          <w:b/>
        </w:rPr>
      </w:pPr>
    </w:p>
    <w:p w:rsidR="003855A0" w:rsidRPr="000B7CDC" w:rsidRDefault="003855A0" w:rsidP="00E628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108"/>
        <w:gridCol w:w="6783"/>
      </w:tblGrid>
      <w:tr w:rsidR="00E62865" w:rsidRPr="00415B5D" w:rsidTr="00142D65">
        <w:tc>
          <w:tcPr>
            <w:tcW w:w="5000" w:type="pct"/>
            <w:gridSpan w:val="3"/>
          </w:tcPr>
          <w:p w:rsidR="00E62865" w:rsidRPr="00415B5D" w:rsidRDefault="00E62865" w:rsidP="0098329C">
            <w:pPr>
              <w:jc w:val="center"/>
              <w:rPr>
                <w:b/>
              </w:rPr>
            </w:pPr>
            <w:r w:rsidRPr="00415B5D">
              <w:rPr>
                <w:b/>
              </w:rPr>
              <w:t>I. Tiesību akta projekta izstrādes nepieciešamība</w:t>
            </w:r>
          </w:p>
        </w:tc>
      </w:tr>
      <w:tr w:rsidR="00E62865" w:rsidRPr="00415B5D" w:rsidTr="00142D65">
        <w:trPr>
          <w:trHeight w:val="1014"/>
        </w:trPr>
        <w:tc>
          <w:tcPr>
            <w:tcW w:w="213" w:type="pct"/>
          </w:tcPr>
          <w:p w:rsidR="00E62865" w:rsidRPr="00415B5D" w:rsidRDefault="00E62865" w:rsidP="0098329C">
            <w:pPr>
              <w:jc w:val="center"/>
            </w:pPr>
            <w:r w:rsidRPr="00415B5D">
              <w:t>1.</w:t>
            </w:r>
          </w:p>
        </w:tc>
        <w:tc>
          <w:tcPr>
            <w:tcW w:w="1135" w:type="pct"/>
          </w:tcPr>
          <w:p w:rsidR="00E62865" w:rsidRPr="00415B5D" w:rsidRDefault="00E62865" w:rsidP="0098329C">
            <w:r w:rsidRPr="00415B5D">
              <w:t>Pamatojums</w:t>
            </w:r>
          </w:p>
          <w:p w:rsidR="00E62865" w:rsidRPr="00415B5D" w:rsidRDefault="00E62865" w:rsidP="0098329C"/>
        </w:tc>
        <w:tc>
          <w:tcPr>
            <w:tcW w:w="3652" w:type="pct"/>
          </w:tcPr>
          <w:p w:rsidR="00032BA1" w:rsidRDefault="000947BC" w:rsidP="00A82F87">
            <w:pPr>
              <w:pStyle w:val="Title"/>
              <w:jc w:val="both"/>
              <w:rPr>
                <w:b w:val="0"/>
              </w:rPr>
            </w:pPr>
            <w:r w:rsidRPr="000947BC">
              <w:rPr>
                <w:b w:val="0"/>
              </w:rPr>
              <w:t>Ministru kabineta noteikumu projekt</w:t>
            </w:r>
            <w:r w:rsidR="00976DB4">
              <w:rPr>
                <w:b w:val="0"/>
              </w:rPr>
              <w:t>s</w:t>
            </w:r>
            <w:r w:rsidRPr="000947BC">
              <w:rPr>
                <w:b w:val="0"/>
              </w:rPr>
              <w:t xml:space="preserve"> „Grozījumi Ministru kabineta 2004.gada 14.decembra noteikumos Nr.1015 „Vides prasības mazo katlumāju apsaimniekošanai”” (turpmāk - </w:t>
            </w:r>
            <w:r>
              <w:rPr>
                <w:b w:val="0"/>
              </w:rPr>
              <w:t>n</w:t>
            </w:r>
            <w:r w:rsidRPr="00415B5D">
              <w:rPr>
                <w:b w:val="0"/>
              </w:rPr>
              <w:t xml:space="preserve">oteikumu </w:t>
            </w:r>
            <w:r w:rsidR="00E62865" w:rsidRPr="00415B5D">
              <w:rPr>
                <w:b w:val="0"/>
              </w:rPr>
              <w:t>projekts</w:t>
            </w:r>
            <w:r>
              <w:rPr>
                <w:b w:val="0"/>
              </w:rPr>
              <w:t>)</w:t>
            </w:r>
            <w:r w:rsidR="00A1514B" w:rsidRPr="00415B5D">
              <w:rPr>
                <w:b w:val="0"/>
              </w:rPr>
              <w:t xml:space="preserve"> izstrādāts, lai </w:t>
            </w:r>
            <w:r w:rsidR="00F236EE" w:rsidRPr="00415B5D">
              <w:rPr>
                <w:b w:val="0"/>
              </w:rPr>
              <w:t xml:space="preserve">precizētu spēkā esošo regulējumu un </w:t>
            </w:r>
            <w:r w:rsidR="00A1514B" w:rsidRPr="00415B5D">
              <w:rPr>
                <w:b w:val="0"/>
              </w:rPr>
              <w:t>noteiktu</w:t>
            </w:r>
            <w:r w:rsidR="00F90408" w:rsidRPr="00415B5D">
              <w:rPr>
                <w:b w:val="0"/>
              </w:rPr>
              <w:t xml:space="preserve">, ka </w:t>
            </w:r>
            <w:r w:rsidR="00A82F87" w:rsidRPr="00415B5D">
              <w:rPr>
                <w:b w:val="0"/>
              </w:rPr>
              <w:t xml:space="preserve">noteiktas vides </w:t>
            </w:r>
            <w:r w:rsidR="00C451D0" w:rsidRPr="00415B5D">
              <w:rPr>
                <w:b w:val="0"/>
              </w:rPr>
              <w:t xml:space="preserve">aizsardzības </w:t>
            </w:r>
            <w:r w:rsidR="00F90408" w:rsidRPr="00415B5D">
              <w:rPr>
                <w:b w:val="0"/>
              </w:rPr>
              <w:t>prasības</w:t>
            </w:r>
            <w:r w:rsidR="00A82F87" w:rsidRPr="00415B5D">
              <w:rPr>
                <w:b w:val="0"/>
              </w:rPr>
              <w:t xml:space="preserve"> jāievēro arī </w:t>
            </w:r>
            <w:r w:rsidR="00F236EE" w:rsidRPr="00415B5D">
              <w:rPr>
                <w:b w:val="0"/>
              </w:rPr>
              <w:t>katlumājām, kurās kā kurināmo izmanto kūdru</w:t>
            </w:r>
            <w:r w:rsidR="00A1514B" w:rsidRPr="00415B5D">
              <w:rPr>
                <w:b w:val="0"/>
              </w:rPr>
              <w:t>.</w:t>
            </w:r>
          </w:p>
          <w:p w:rsidR="00474882" w:rsidRPr="00415B5D" w:rsidRDefault="00474882" w:rsidP="00020FFC">
            <w:pPr>
              <w:pStyle w:val="Title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Šāds uzdevums </w:t>
            </w:r>
            <w:r w:rsidR="00E937AB">
              <w:rPr>
                <w:b w:val="0"/>
              </w:rPr>
              <w:t xml:space="preserve">iekļauts </w:t>
            </w:r>
            <w:r>
              <w:rPr>
                <w:b w:val="0"/>
              </w:rPr>
              <w:t xml:space="preserve">Saeimas </w:t>
            </w:r>
            <w:r w:rsidR="00032BA1">
              <w:rPr>
                <w:b w:val="0"/>
              </w:rPr>
              <w:t>Tautsaimniecības, Agrārās, vides un reģionālās politikas komisijas 2014.</w:t>
            </w:r>
            <w:r w:rsidR="00E937AB">
              <w:rPr>
                <w:b w:val="0"/>
              </w:rPr>
              <w:t>gada 17.jūnijā</w:t>
            </w:r>
            <w:r w:rsidR="00A4224E">
              <w:rPr>
                <w:b w:val="0"/>
              </w:rPr>
              <w:t xml:space="preserve"> </w:t>
            </w:r>
            <w:r w:rsidR="00032BA1">
              <w:rPr>
                <w:b w:val="0"/>
              </w:rPr>
              <w:t>Vides aizsardzības un reģionālās attīstības ministram</w:t>
            </w:r>
            <w:r w:rsidR="00E937AB">
              <w:rPr>
                <w:b w:val="0"/>
              </w:rPr>
              <w:t xml:space="preserve"> adresētajā vēstulē </w:t>
            </w:r>
          </w:p>
        </w:tc>
      </w:tr>
      <w:tr w:rsidR="00E62865" w:rsidRPr="00415B5D" w:rsidTr="00142D65">
        <w:trPr>
          <w:trHeight w:val="416"/>
        </w:trPr>
        <w:tc>
          <w:tcPr>
            <w:tcW w:w="213" w:type="pct"/>
          </w:tcPr>
          <w:p w:rsidR="00E62865" w:rsidRPr="00415B5D" w:rsidRDefault="00E62865" w:rsidP="0098329C">
            <w:pPr>
              <w:jc w:val="center"/>
            </w:pPr>
            <w:r w:rsidRPr="00415B5D">
              <w:t>2.</w:t>
            </w:r>
          </w:p>
        </w:tc>
        <w:tc>
          <w:tcPr>
            <w:tcW w:w="1135" w:type="pct"/>
          </w:tcPr>
          <w:p w:rsidR="00E62865" w:rsidRPr="00415B5D" w:rsidRDefault="00E62865" w:rsidP="0098329C">
            <w:r w:rsidRPr="00415B5D">
              <w:t>Pašreizējā situācija un problēmas, kuru risināšanai tiesību akta projekts izstrādāts, tiesiskā regulējuma mērķis un būtība</w:t>
            </w:r>
          </w:p>
        </w:tc>
        <w:tc>
          <w:tcPr>
            <w:tcW w:w="3652" w:type="pct"/>
          </w:tcPr>
          <w:p w:rsidR="004658C4" w:rsidRPr="00415B5D" w:rsidRDefault="004658C4" w:rsidP="00566862">
            <w:pPr>
              <w:spacing w:before="120" w:after="120"/>
              <w:ind w:left="34" w:right="142"/>
              <w:jc w:val="both"/>
            </w:pPr>
            <w:r w:rsidRPr="00415B5D">
              <w:rPr>
                <w:shd w:val="clear" w:color="auto" w:fill="FFFFFF"/>
              </w:rPr>
              <w:t>Tā kā nākotnē plānots veic</w:t>
            </w:r>
            <w:r w:rsidRPr="00415B5D">
              <w:rPr>
                <w:color w:val="000000"/>
                <w:lang w:bidi="as-IN"/>
              </w:rPr>
              <w:t>ināt enerģētiskās kūdras izmantošanu siltumražoš</w:t>
            </w:r>
            <w:r w:rsidRPr="009B5F85">
              <w:rPr>
                <w:color w:val="000000"/>
                <w:lang w:bidi="as-IN"/>
              </w:rPr>
              <w:t xml:space="preserve">anā, tad ir svarīgi </w:t>
            </w:r>
            <w:r w:rsidR="00A4224E" w:rsidRPr="009B5F85">
              <w:rPr>
                <w:color w:val="000000"/>
                <w:lang w:bidi="as-IN"/>
              </w:rPr>
              <w:t xml:space="preserve">paredzēt </w:t>
            </w:r>
            <w:r w:rsidR="0098329C" w:rsidRPr="009B5F85">
              <w:rPr>
                <w:color w:val="000000"/>
                <w:lang w:bidi="as-IN"/>
              </w:rPr>
              <w:t xml:space="preserve">noteiktas </w:t>
            </w:r>
            <w:r w:rsidRPr="009B5F85">
              <w:rPr>
                <w:color w:val="000000"/>
                <w:lang w:bidi="as-IN"/>
              </w:rPr>
              <w:t xml:space="preserve">prasības </w:t>
            </w:r>
            <w:r w:rsidR="001B02E2" w:rsidRPr="009B5F85">
              <w:rPr>
                <w:color w:val="000000"/>
                <w:lang w:bidi="as-IN"/>
              </w:rPr>
              <w:t>šī kurināmā</w:t>
            </w:r>
            <w:r w:rsidRPr="009B5F85">
              <w:rPr>
                <w:color w:val="000000"/>
                <w:lang w:bidi="as-IN"/>
              </w:rPr>
              <w:t xml:space="preserve"> radīto</w:t>
            </w:r>
            <w:r w:rsidRPr="00415B5D">
              <w:rPr>
                <w:color w:val="000000"/>
                <w:lang w:bidi="as-IN"/>
              </w:rPr>
              <w:t xml:space="preserve"> vides ietekmju samazināšanai.</w:t>
            </w:r>
          </w:p>
          <w:p w:rsidR="00730A80" w:rsidRPr="00415B5D" w:rsidRDefault="00566862" w:rsidP="00730A80">
            <w:pPr>
              <w:spacing w:before="120" w:after="120"/>
              <w:ind w:right="142"/>
              <w:jc w:val="both"/>
            </w:pPr>
            <w:r w:rsidRPr="00415B5D">
              <w:t xml:space="preserve">Spēkā esošie </w:t>
            </w:r>
            <w:r w:rsidR="000947BC">
              <w:t xml:space="preserve">Ministru kabineta </w:t>
            </w:r>
            <w:r w:rsidRPr="00415B5D">
              <w:t>noteikumi</w:t>
            </w:r>
            <w:r w:rsidR="000947BC">
              <w:t xml:space="preserve"> </w:t>
            </w:r>
            <w:r w:rsidR="000947BC" w:rsidRPr="000947BC">
              <w:t>Nr.1015 „Vides prasības mazo katlumāju apsaimniekošanai”</w:t>
            </w:r>
            <w:r w:rsidR="00730A80" w:rsidRPr="00415B5D">
              <w:t>, kas nosaka vides prasības mazo katlumāju apsaimniekošanai</w:t>
            </w:r>
            <w:r w:rsidR="0098329C">
              <w:t>,</w:t>
            </w:r>
            <w:r w:rsidRPr="00415B5D">
              <w:t xml:space="preserve"> ne</w:t>
            </w:r>
            <w:r w:rsidR="00730A80" w:rsidRPr="00415B5D">
              <w:t>paredz</w:t>
            </w:r>
            <w:r w:rsidRPr="00415B5D">
              <w:t>, ka to prasības at</w:t>
            </w:r>
            <w:r w:rsidR="00730A80" w:rsidRPr="00415B5D">
              <w:t>tiecināmas arī uz mazajām katlu</w:t>
            </w:r>
            <w:r w:rsidRPr="00415B5D">
              <w:t>mājām, kurās kā kurināmo izmanto kūdru</w:t>
            </w:r>
            <w:r w:rsidR="00730A80" w:rsidRPr="00415B5D">
              <w:t>. Šādu prasību neesamība savukārt var radīt negatīvu ietekmi gan uz cilvēku veselību, gan vidi.</w:t>
            </w:r>
          </w:p>
          <w:p w:rsidR="00566862" w:rsidRPr="00415B5D" w:rsidRDefault="004F1090" w:rsidP="00730A80">
            <w:pPr>
              <w:spacing w:before="120" w:after="120"/>
              <w:ind w:right="142"/>
              <w:jc w:val="both"/>
            </w:pPr>
            <w:r w:rsidRPr="00415B5D">
              <w:t>Tāpat esošajos noteikumos nav</w:t>
            </w:r>
            <w:r w:rsidR="00566862" w:rsidRPr="00415B5D">
              <w:t xml:space="preserve"> noteikti emisijas faktor</w:t>
            </w:r>
            <w:r w:rsidR="00730A80" w:rsidRPr="00415B5D">
              <w:t>i</w:t>
            </w:r>
            <w:r w:rsidRPr="00415B5D">
              <w:t xml:space="preserve">, kurus būtu jāizmanto, lai varētu aprēķināt </w:t>
            </w:r>
            <w:r w:rsidR="00566862" w:rsidRPr="00415B5D">
              <w:t xml:space="preserve">kūdras </w:t>
            </w:r>
            <w:r w:rsidRPr="00415B5D">
              <w:t>izmantošanas rezultātā radītās emisijas</w:t>
            </w:r>
            <w:r w:rsidR="00566862" w:rsidRPr="00415B5D">
              <w:t>.</w:t>
            </w:r>
          </w:p>
          <w:p w:rsidR="006263E4" w:rsidRPr="00415B5D" w:rsidRDefault="00566862" w:rsidP="000B4091">
            <w:pPr>
              <w:spacing w:before="120" w:after="120"/>
              <w:ind w:left="34" w:right="142"/>
              <w:jc w:val="both"/>
            </w:pPr>
            <w:r w:rsidRPr="00415B5D">
              <w:t>Noteikumos sniegta</w:t>
            </w:r>
            <w:r w:rsidR="00095E76" w:rsidRPr="00415B5D">
              <w:t>s</w:t>
            </w:r>
            <w:r w:rsidRPr="00415B5D">
              <w:t xml:space="preserve"> atsauce</w:t>
            </w:r>
            <w:r w:rsidR="00095E76" w:rsidRPr="00415B5D">
              <w:t>s</w:t>
            </w:r>
            <w:r w:rsidRPr="00415B5D">
              <w:t xml:space="preserve"> uz spēkā neesošiem normatīvajiem aktiem, kā arī iekļautas atsevišķas normas, kas jau ir zaudējušas spēku.</w:t>
            </w:r>
          </w:p>
          <w:p w:rsidR="006263E4" w:rsidRPr="00415B5D" w:rsidRDefault="00095E76" w:rsidP="003D05F3">
            <w:pPr>
              <w:spacing w:before="120" w:after="120"/>
              <w:ind w:right="142"/>
              <w:jc w:val="both"/>
            </w:pPr>
            <w:r w:rsidRPr="00415B5D">
              <w:t xml:space="preserve">Noteikumu projektā noteikts, ka </w:t>
            </w:r>
            <w:r w:rsidR="00E937AB">
              <w:t xml:space="preserve">spēkā esošā tiesiskā </w:t>
            </w:r>
            <w:r w:rsidRPr="00415B5D">
              <w:t xml:space="preserve">regulējuma prasības turpmāk attieksies arī uz katlumājām, kurās </w:t>
            </w:r>
            <w:r w:rsidR="006E31A1" w:rsidRPr="00415B5D">
              <w:t xml:space="preserve">kā kurināmo </w:t>
            </w:r>
            <w:r w:rsidRPr="00415B5D">
              <w:t xml:space="preserve">izmanto kūdru, kā arī </w:t>
            </w:r>
            <w:r w:rsidR="003D05F3" w:rsidRPr="005E2E3E">
              <w:t xml:space="preserve">sadarbībā ar </w:t>
            </w:r>
            <w:r w:rsidR="003D05F3" w:rsidRPr="005E2E3E">
              <w:rPr>
                <w:shd w:val="clear" w:color="auto" w:fill="FFFFFF"/>
              </w:rPr>
              <w:t>Latvijas</w:t>
            </w:r>
            <w:r w:rsidR="003D05F3" w:rsidRPr="005E2E3E">
              <w:rPr>
                <w:rStyle w:val="apple-converted-space"/>
                <w:shd w:val="clear" w:color="auto" w:fill="FFFFFF"/>
              </w:rPr>
              <w:t> </w:t>
            </w:r>
            <w:r w:rsidR="003D05F3" w:rsidRPr="005E2E3E">
              <w:rPr>
                <w:rStyle w:val="Emphasis"/>
                <w:bCs/>
                <w:i w:val="0"/>
                <w:iCs w:val="0"/>
                <w:shd w:val="clear" w:color="auto" w:fill="FFFFFF"/>
              </w:rPr>
              <w:t>kūdras</w:t>
            </w:r>
            <w:r w:rsidR="003D05F3" w:rsidRPr="005E2E3E">
              <w:rPr>
                <w:rStyle w:val="apple-converted-space"/>
                <w:shd w:val="clear" w:color="auto" w:fill="FFFFFF"/>
              </w:rPr>
              <w:t> </w:t>
            </w:r>
            <w:r w:rsidR="003D05F3" w:rsidRPr="005E2E3E">
              <w:rPr>
                <w:shd w:val="clear" w:color="auto" w:fill="FFFFFF"/>
              </w:rPr>
              <w:t>ražotāju</w:t>
            </w:r>
            <w:r w:rsidR="003D05F3" w:rsidRPr="005E2E3E">
              <w:rPr>
                <w:rStyle w:val="apple-converted-space"/>
                <w:shd w:val="clear" w:color="auto" w:fill="FFFFFF"/>
              </w:rPr>
              <w:t> </w:t>
            </w:r>
            <w:r w:rsidR="003D05F3" w:rsidRPr="005E2E3E"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asociāciju </w:t>
            </w:r>
            <w:r w:rsidR="003D05F3" w:rsidRPr="005E2E3E">
              <w:t>izstrādāta</w:t>
            </w:r>
            <w:r w:rsidR="003D05F3">
              <w:t xml:space="preserve"> un </w:t>
            </w:r>
            <w:r w:rsidR="006E31A1" w:rsidRPr="00415B5D">
              <w:t>papildināta kūdras radīto emisiju aprēķinu metodika. Precizētas arī atsauces uz spēkā neesošiem normatīvajiem aktiem un svītrotas normas, kas zaudējušas aktualitāti.</w:t>
            </w:r>
          </w:p>
        </w:tc>
      </w:tr>
      <w:tr w:rsidR="00E62865" w:rsidRPr="00415B5D" w:rsidTr="00142D65">
        <w:tc>
          <w:tcPr>
            <w:tcW w:w="213" w:type="pct"/>
          </w:tcPr>
          <w:p w:rsidR="00E62865" w:rsidRPr="00415B5D" w:rsidRDefault="00E62865" w:rsidP="0098329C">
            <w:pPr>
              <w:jc w:val="center"/>
            </w:pPr>
            <w:r w:rsidRPr="00415B5D">
              <w:t>3.</w:t>
            </w:r>
          </w:p>
        </w:tc>
        <w:tc>
          <w:tcPr>
            <w:tcW w:w="1135" w:type="pct"/>
          </w:tcPr>
          <w:p w:rsidR="00E62865" w:rsidRPr="00415B5D" w:rsidRDefault="00E62865" w:rsidP="0098329C">
            <w:r w:rsidRPr="00415B5D">
              <w:t>Projekta izstrādē iesaistītās institūcijas</w:t>
            </w:r>
          </w:p>
        </w:tc>
        <w:tc>
          <w:tcPr>
            <w:tcW w:w="3652" w:type="pct"/>
          </w:tcPr>
          <w:p w:rsidR="00E62865" w:rsidRPr="003B6871" w:rsidRDefault="000947BC" w:rsidP="00142D65">
            <w:pPr>
              <w:pStyle w:val="naiskr"/>
              <w:jc w:val="both"/>
            </w:pPr>
            <w:r w:rsidRPr="003B6871">
              <w:t xml:space="preserve">Vides aizsardzības un reģionālās attīstības ministrija, </w:t>
            </w:r>
            <w:r w:rsidR="00566862" w:rsidRPr="003B6871">
              <w:t xml:space="preserve">Kūdras </w:t>
            </w:r>
            <w:r w:rsidR="008F4224" w:rsidRPr="003B6871">
              <w:t xml:space="preserve">ražotāju </w:t>
            </w:r>
            <w:r w:rsidR="00566862" w:rsidRPr="003B6871">
              <w:t>asociācija</w:t>
            </w:r>
            <w:r w:rsidR="00142D65" w:rsidRPr="003B6871">
              <w:t>,</w:t>
            </w:r>
            <w:r w:rsidR="00566862" w:rsidRPr="003B6871">
              <w:t xml:space="preserve"> Valsts Vides dienests, Latvijas Vides, ģeoloģijas un meteoroloģijas centrs</w:t>
            </w:r>
            <w:r w:rsidR="00A959EC">
              <w:t>.</w:t>
            </w:r>
          </w:p>
        </w:tc>
      </w:tr>
      <w:tr w:rsidR="00E62865" w:rsidRPr="005E2E3E" w:rsidTr="00142D65">
        <w:trPr>
          <w:trHeight w:val="571"/>
        </w:trPr>
        <w:tc>
          <w:tcPr>
            <w:tcW w:w="213" w:type="pct"/>
          </w:tcPr>
          <w:p w:rsidR="00E62865" w:rsidRPr="005E2E3E" w:rsidRDefault="00E62865" w:rsidP="0098329C">
            <w:pPr>
              <w:jc w:val="center"/>
            </w:pPr>
            <w:r w:rsidRPr="005E2E3E">
              <w:t>4.</w:t>
            </w:r>
          </w:p>
        </w:tc>
        <w:tc>
          <w:tcPr>
            <w:tcW w:w="1135" w:type="pct"/>
          </w:tcPr>
          <w:p w:rsidR="00E62865" w:rsidRPr="005E2E3E" w:rsidRDefault="00E62865" w:rsidP="0098329C">
            <w:r w:rsidRPr="005E2E3E">
              <w:t>Cita informācija</w:t>
            </w:r>
          </w:p>
        </w:tc>
        <w:tc>
          <w:tcPr>
            <w:tcW w:w="3652" w:type="pct"/>
          </w:tcPr>
          <w:p w:rsidR="00342D1E" w:rsidRPr="003B6871" w:rsidRDefault="005E2E3E" w:rsidP="005B4F50">
            <w:pPr>
              <w:pStyle w:val="Default"/>
              <w:jc w:val="both"/>
              <w:rPr>
                <w:sz w:val="28"/>
                <w:szCs w:val="28"/>
              </w:rPr>
            </w:pPr>
            <w:r w:rsidRPr="003B6871">
              <w:rPr>
                <w:rFonts w:ascii="Times New Roman" w:hAnsi="Times New Roman" w:cs="Times New Roman"/>
                <w:color w:val="000000" w:themeColor="text1"/>
              </w:rPr>
              <w:t xml:space="preserve">2015.gada jūnijā </w:t>
            </w:r>
            <w:r w:rsidRPr="003B6871"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="00DA7F9F" w:rsidRPr="003B68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arunu rezultātā</w:t>
            </w:r>
            <w:r w:rsidR="00DA7F9F" w:rsidRPr="003B687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DA7F9F" w:rsidRPr="003B68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starp Eiropas Parlamenta, Eiropas Komisijas un Eiropas Savienības Padomes pārstāvjiem </w:t>
            </w:r>
            <w:r w:rsidRPr="003B68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tika panākta vienošanās par </w:t>
            </w:r>
            <w:r w:rsidR="005B4F50" w:rsidRPr="003B68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</w:t>
            </w:r>
            <w:r w:rsidR="005B4F50" w:rsidRPr="003B6871">
              <w:rPr>
                <w:rFonts w:ascii="Times New Roman" w:hAnsi="Times New Roman" w:cs="Times New Roman"/>
              </w:rPr>
              <w:t>irektīvas par ierobežojumiem attiecībā uz dažu piesārņojošu vielu emisiju gaisā no vidējas jaudas sadedzināšanas iekārtām priekšlikumu</w:t>
            </w:r>
            <w:r w:rsidR="00DA7F9F" w:rsidRPr="003B68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3B6871">
              <w:rPr>
                <w:rFonts w:ascii="Times New Roman" w:hAnsi="Times New Roman" w:cs="Times New Roman"/>
                <w:color w:val="000000" w:themeColor="text1"/>
              </w:rPr>
              <w:t xml:space="preserve">kurā noteiktas emisiju robežvērtības sadedzināšanas iekārtām ar nominālo ievadīto siltumjaudu no 1-50 </w:t>
            </w:r>
            <w:r w:rsidRPr="003B6871">
              <w:rPr>
                <w:rFonts w:ascii="Times New Roman" w:hAnsi="Times New Roman" w:cs="Times New Roman"/>
                <w:color w:val="000000" w:themeColor="text1"/>
              </w:rPr>
              <w:lastRenderedPageBreak/>
              <w:t>MW (tai skaitā mazajām katlu mājām</w:t>
            </w:r>
            <w:r w:rsidRPr="003B6871">
              <w:rPr>
                <w:color w:val="000000" w:themeColor="text1"/>
              </w:rPr>
              <w:t xml:space="preserve">, kurās izmanto kūdru). </w:t>
            </w:r>
            <w:r w:rsidR="006F2E11" w:rsidRPr="003B6871">
              <w:t xml:space="preserve">Līdz ar to </w:t>
            </w:r>
            <w:r w:rsidR="00DA7F9F" w:rsidRPr="003B6871">
              <w:t xml:space="preserve">tuvāko 2 – 3 gadu laikā tiks veiktas izmaiņas esošajos normatīvajos aktos, lai </w:t>
            </w:r>
            <w:r w:rsidRPr="003B6871">
              <w:t xml:space="preserve">pārņemtu Latvijas likumdošanā jaunās direktīvas prasības un </w:t>
            </w:r>
            <w:r w:rsidR="00DA7F9F" w:rsidRPr="003B6871">
              <w:t>noteiktu jaunas</w:t>
            </w:r>
            <w:r w:rsidR="00B760C8" w:rsidRPr="003B6871">
              <w:t>, stingrākas</w:t>
            </w:r>
            <w:bookmarkStart w:id="6" w:name="_GoBack"/>
            <w:bookmarkEnd w:id="6"/>
            <w:r w:rsidR="00DA7F9F" w:rsidRPr="003B6871">
              <w:t xml:space="preserve"> emisiju robežvērtības gan vidējas jaudas, gan arī mazajām katlu mājām</w:t>
            </w:r>
            <w:r w:rsidRPr="003B6871">
              <w:t>. E</w:t>
            </w:r>
            <w:r w:rsidR="00EC4DD0" w:rsidRPr="003B6871">
              <w:t xml:space="preserve">sošajām </w:t>
            </w:r>
            <w:r w:rsidR="00C17415" w:rsidRPr="003B6871">
              <w:t>iekārtām ar jaudu 1-5 MW jaunās robežvērtības stāsies spēkā no 2030.gada, bet 5-50 MW – no 2025.gada</w:t>
            </w:r>
            <w:r w:rsidR="00DA7F9F" w:rsidRPr="003B6871">
              <w:t xml:space="preserve">. </w:t>
            </w:r>
            <w:r w:rsidRPr="003B6871">
              <w:t xml:space="preserve">Līdz jauna regulējuma izstrādei </w:t>
            </w:r>
            <w:r w:rsidR="00342D1E" w:rsidRPr="003B6871">
              <w:t xml:space="preserve">pašreiz </w:t>
            </w:r>
            <w:r w:rsidRPr="003B6871">
              <w:t>spēkā</w:t>
            </w:r>
            <w:r w:rsidR="00342D1E" w:rsidRPr="003B6871">
              <w:t xml:space="preserve"> esošās robežvērtības netiks mainītas.</w:t>
            </w:r>
            <w:r w:rsidRPr="003B6871">
              <w:t xml:space="preserve"> </w:t>
            </w:r>
          </w:p>
          <w:p w:rsidR="00E62865" w:rsidRPr="003B6871" w:rsidRDefault="00272FF0" w:rsidP="00B715DE">
            <w:pPr>
              <w:pStyle w:val="CommentText"/>
              <w:jc w:val="both"/>
              <w:rPr>
                <w:sz w:val="24"/>
                <w:szCs w:val="24"/>
              </w:rPr>
            </w:pPr>
            <w:r w:rsidRPr="003B6871">
              <w:rPr>
                <w:sz w:val="24"/>
                <w:szCs w:val="24"/>
              </w:rPr>
              <w:t>N</w:t>
            </w:r>
            <w:r w:rsidR="000B39CE" w:rsidRPr="003B6871">
              <w:rPr>
                <w:sz w:val="24"/>
                <w:szCs w:val="24"/>
              </w:rPr>
              <w:t>ākotnē</w:t>
            </w:r>
            <w:r w:rsidR="00342D1E" w:rsidRPr="003B6871">
              <w:rPr>
                <w:sz w:val="24"/>
                <w:szCs w:val="24"/>
              </w:rPr>
              <w:t xml:space="preserve"> </w:t>
            </w:r>
            <w:r w:rsidR="00C22CCE" w:rsidRPr="003B6871">
              <w:rPr>
                <w:sz w:val="24"/>
                <w:szCs w:val="24"/>
              </w:rPr>
              <w:t>o</w:t>
            </w:r>
            <w:r w:rsidR="00DA7F9F" w:rsidRPr="003B6871">
              <w:rPr>
                <w:sz w:val="24"/>
                <w:szCs w:val="24"/>
              </w:rPr>
              <w:t xml:space="preserve">peratoriem ir svarīgi jau savlaicīgi plānot savu darbību </w:t>
            </w:r>
            <w:r w:rsidR="00342D1E" w:rsidRPr="003B6871">
              <w:rPr>
                <w:sz w:val="24"/>
                <w:szCs w:val="24"/>
              </w:rPr>
              <w:t>(iekārtu vai to daļu nomaiņu, uzlabošanu, finanšu resursu plānošanu, utt.)</w:t>
            </w:r>
            <w:r w:rsidR="00DA7F9F" w:rsidRPr="003B6871">
              <w:rPr>
                <w:sz w:val="24"/>
                <w:szCs w:val="24"/>
              </w:rPr>
              <w:t>, lai varē</w:t>
            </w:r>
            <w:r w:rsidR="00B760C8" w:rsidRPr="003B6871">
              <w:rPr>
                <w:sz w:val="24"/>
                <w:szCs w:val="24"/>
              </w:rPr>
              <w:t>tu pielāgoties jaunajām, stingrāk</w:t>
            </w:r>
            <w:r w:rsidR="005B4F50" w:rsidRPr="003B6871">
              <w:rPr>
                <w:sz w:val="24"/>
                <w:szCs w:val="24"/>
              </w:rPr>
              <w:t xml:space="preserve">ajām </w:t>
            </w:r>
            <w:r w:rsidR="00DA7F9F" w:rsidRPr="003B6871">
              <w:rPr>
                <w:sz w:val="24"/>
                <w:szCs w:val="24"/>
              </w:rPr>
              <w:t>prasībām.</w:t>
            </w:r>
            <w:r w:rsidR="005E2E3E" w:rsidRPr="003B6871">
              <w:rPr>
                <w:sz w:val="24"/>
                <w:szCs w:val="24"/>
              </w:rPr>
              <w:t xml:space="preserve"> Ņemot vērā regulējamā priekšmeta aktualitāti, </w:t>
            </w:r>
            <w:r w:rsidR="00B760C8" w:rsidRPr="003B6871">
              <w:rPr>
                <w:sz w:val="24"/>
                <w:szCs w:val="24"/>
              </w:rPr>
              <w:t xml:space="preserve">situācijas apzināšana un </w:t>
            </w:r>
            <w:r w:rsidR="00342D1E" w:rsidRPr="003B6871">
              <w:rPr>
                <w:sz w:val="24"/>
                <w:szCs w:val="24"/>
              </w:rPr>
              <w:t xml:space="preserve">diskusija ar nozares uzņēmumiem </w:t>
            </w:r>
            <w:r w:rsidR="005B4F50" w:rsidRPr="003B6871">
              <w:rPr>
                <w:sz w:val="24"/>
                <w:szCs w:val="24"/>
              </w:rPr>
              <w:t xml:space="preserve">par jauna regulējuma izstrādi un jaunajām prasībām </w:t>
            </w:r>
            <w:r w:rsidR="00342D1E" w:rsidRPr="003B6871">
              <w:rPr>
                <w:sz w:val="24"/>
                <w:szCs w:val="24"/>
              </w:rPr>
              <w:t xml:space="preserve">uzsākama </w:t>
            </w:r>
            <w:r w:rsidR="005B4F50" w:rsidRPr="003B6871">
              <w:rPr>
                <w:sz w:val="24"/>
                <w:szCs w:val="24"/>
              </w:rPr>
              <w:t>vistuvākajā laikā</w:t>
            </w:r>
            <w:r w:rsidR="00B760C8" w:rsidRPr="003B6871">
              <w:rPr>
                <w:sz w:val="24"/>
                <w:szCs w:val="24"/>
              </w:rPr>
              <w:t xml:space="preserve"> </w:t>
            </w:r>
            <w:r w:rsidR="005B4F50" w:rsidRPr="003B6871">
              <w:rPr>
                <w:sz w:val="24"/>
                <w:szCs w:val="24"/>
              </w:rPr>
              <w:t xml:space="preserve">pēc </w:t>
            </w:r>
            <w:r w:rsidR="00841515" w:rsidRPr="003B6871">
              <w:rPr>
                <w:sz w:val="24"/>
                <w:szCs w:val="24"/>
              </w:rPr>
              <w:t xml:space="preserve">jaunās </w:t>
            </w:r>
            <w:r w:rsidR="005B4F50" w:rsidRPr="003B6871">
              <w:rPr>
                <w:sz w:val="24"/>
                <w:szCs w:val="24"/>
              </w:rPr>
              <w:t xml:space="preserve">direktīvas oficiālas </w:t>
            </w:r>
            <w:r w:rsidR="00B715DE" w:rsidRPr="003B6871">
              <w:rPr>
                <w:sz w:val="24"/>
                <w:szCs w:val="24"/>
              </w:rPr>
              <w:t>publicēšanas</w:t>
            </w:r>
            <w:r w:rsidR="00342D1E" w:rsidRPr="003B6871">
              <w:rPr>
                <w:sz w:val="24"/>
                <w:szCs w:val="24"/>
              </w:rPr>
              <w:t>.</w:t>
            </w:r>
          </w:p>
        </w:tc>
      </w:tr>
    </w:tbl>
    <w:p w:rsidR="00E62865" w:rsidRPr="000B7CDC" w:rsidRDefault="00E62865" w:rsidP="00E6286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264"/>
        <w:gridCol w:w="6627"/>
      </w:tblGrid>
      <w:tr w:rsidR="00E62865" w:rsidRPr="000B7CDC" w:rsidTr="00142D65">
        <w:tc>
          <w:tcPr>
            <w:tcW w:w="5000" w:type="pct"/>
            <w:gridSpan w:val="3"/>
          </w:tcPr>
          <w:p w:rsidR="00E62865" w:rsidRPr="000B7CDC" w:rsidRDefault="00E62865" w:rsidP="0098329C">
            <w:pPr>
              <w:jc w:val="center"/>
              <w:rPr>
                <w:b/>
              </w:rPr>
            </w:pPr>
            <w:r w:rsidRPr="000B7CDC">
              <w:rPr>
                <w:b/>
              </w:rPr>
              <w:t>II. Tiesību akta projekta ietekme uz sabiedrību</w:t>
            </w:r>
          </w:p>
        </w:tc>
      </w:tr>
      <w:tr w:rsidR="00E62865" w:rsidRPr="000B7CDC" w:rsidTr="001F576A">
        <w:trPr>
          <w:trHeight w:val="983"/>
        </w:trPr>
        <w:tc>
          <w:tcPr>
            <w:tcW w:w="213" w:type="pct"/>
          </w:tcPr>
          <w:p w:rsidR="00E62865" w:rsidRPr="00A42212" w:rsidRDefault="00E62865" w:rsidP="0098329C">
            <w:pPr>
              <w:jc w:val="center"/>
            </w:pPr>
            <w:r w:rsidRPr="00A42212">
              <w:t>1.</w:t>
            </w:r>
          </w:p>
        </w:tc>
        <w:tc>
          <w:tcPr>
            <w:tcW w:w="1219" w:type="pct"/>
          </w:tcPr>
          <w:p w:rsidR="00E62865" w:rsidRPr="00874BD0" w:rsidRDefault="00E62865" w:rsidP="00874BD0">
            <w:r w:rsidRPr="00A42212">
              <w:t>Sabiedrības mērķgrupa</w:t>
            </w:r>
            <w:r w:rsidR="005B0EEC">
              <w:t xml:space="preserve">s, kuras tiesiskais regulējums </w:t>
            </w:r>
            <w:r w:rsidRPr="00A42212">
              <w:t>ietekmē vai varētu ietekmēt</w:t>
            </w:r>
          </w:p>
        </w:tc>
        <w:tc>
          <w:tcPr>
            <w:tcW w:w="3568" w:type="pct"/>
            <w:shd w:val="clear" w:color="auto" w:fill="auto"/>
          </w:tcPr>
          <w:p w:rsidR="00D27C8B" w:rsidRDefault="00D27C8B" w:rsidP="008A7673">
            <w:pPr>
              <w:pStyle w:val="naiskr"/>
              <w:spacing w:before="120" w:after="120"/>
              <w:jc w:val="both"/>
            </w:pPr>
            <w:r>
              <w:t>1</w:t>
            </w:r>
            <w:r w:rsidRPr="000947BC">
              <w:t xml:space="preserve">) </w:t>
            </w:r>
            <w:r w:rsidR="000947BC">
              <w:t>S</w:t>
            </w:r>
            <w:r w:rsidR="001B02E2" w:rsidRPr="000947BC">
              <w:t>abiedrība, kur</w:t>
            </w:r>
            <w:r w:rsidR="000947BC" w:rsidRPr="000947BC">
              <w:t xml:space="preserve">ai </w:t>
            </w:r>
            <w:r w:rsidRPr="000947BC">
              <w:t>tiek nodrošinātas iespējas dzīvot kvalitatīvā vidē.</w:t>
            </w:r>
          </w:p>
          <w:p w:rsidR="00415B5D" w:rsidRDefault="00D27C8B" w:rsidP="008A7673">
            <w:pPr>
              <w:pStyle w:val="naiskr"/>
              <w:spacing w:before="120" w:after="120"/>
              <w:jc w:val="both"/>
            </w:pPr>
            <w:r>
              <w:t xml:space="preserve">2) Komersanti un iestādes (operatori), kuri savai darbībai izmanto vai plāno izmantot mazās katlumājas, kurās dedzina kūdru. </w:t>
            </w:r>
          </w:p>
          <w:p w:rsidR="00D27C8B" w:rsidRDefault="00890A8A" w:rsidP="008A7673">
            <w:pPr>
              <w:pStyle w:val="naiskr"/>
              <w:spacing w:before="120" w:after="120"/>
              <w:jc w:val="both"/>
            </w:pPr>
            <w:r>
              <w:t xml:space="preserve">Atbilstoši statistikas pārskatā </w:t>
            </w:r>
            <w:r w:rsidR="00415B5D">
              <w:t>„</w:t>
            </w:r>
            <w:r>
              <w:t>Nr.2-Gaiss</w:t>
            </w:r>
            <w:r w:rsidR="00415B5D">
              <w:t>”</w:t>
            </w:r>
            <w:r>
              <w:t xml:space="preserve"> pieejamajai informācijai </w:t>
            </w:r>
            <w:r w:rsidR="00697814">
              <w:t>2013.gadā</w:t>
            </w:r>
            <w:r w:rsidR="00142D65">
              <w:t xml:space="preserve"> Latvijā </w:t>
            </w:r>
            <w:r w:rsidR="00697814">
              <w:t>bija</w:t>
            </w:r>
            <w:r w:rsidR="00142D65">
              <w:t xml:space="preserve"> </w:t>
            </w:r>
            <w:r>
              <w:t>~ 4 mazas jaudas katlumājas, kurās kā kurināmo izmanto</w:t>
            </w:r>
            <w:r w:rsidR="00B53C6E">
              <w:t>ja</w:t>
            </w:r>
            <w:r>
              <w:t xml:space="preserve"> kūdru vai arī kūdru kopā ar biomasu.</w:t>
            </w:r>
          </w:p>
          <w:p w:rsidR="00E62865" w:rsidRPr="008A7673" w:rsidRDefault="00D27C8B" w:rsidP="009B5F85">
            <w:pPr>
              <w:pStyle w:val="naiskr"/>
              <w:spacing w:before="120" w:after="120"/>
              <w:jc w:val="both"/>
            </w:pPr>
            <w:r>
              <w:t>3) Valsts vides dienests.</w:t>
            </w:r>
          </w:p>
        </w:tc>
      </w:tr>
      <w:tr w:rsidR="00E62865" w:rsidRPr="000B7CDC" w:rsidTr="001F576A">
        <w:tc>
          <w:tcPr>
            <w:tcW w:w="213" w:type="pct"/>
            <w:shd w:val="clear" w:color="auto" w:fill="auto"/>
          </w:tcPr>
          <w:p w:rsidR="00E62865" w:rsidRPr="000B7CDC" w:rsidRDefault="00E62865" w:rsidP="0098329C">
            <w:pPr>
              <w:jc w:val="center"/>
              <w:rPr>
                <w:highlight w:val="yellow"/>
              </w:rPr>
            </w:pPr>
            <w:r w:rsidRPr="000B7CDC">
              <w:t>2.</w:t>
            </w:r>
          </w:p>
        </w:tc>
        <w:tc>
          <w:tcPr>
            <w:tcW w:w="1219" w:type="pct"/>
            <w:shd w:val="clear" w:color="auto" w:fill="FFFFFF"/>
          </w:tcPr>
          <w:p w:rsidR="00E62865" w:rsidRPr="000B7CDC" w:rsidRDefault="00E62865" w:rsidP="0098329C">
            <w:pPr>
              <w:rPr>
                <w:highlight w:val="yellow"/>
              </w:rPr>
            </w:pPr>
            <w:r w:rsidRPr="000B7CDC">
              <w:t>Tiesiskā regulējuma ietekme uz tautsaimniecību un administratīvo slogu</w:t>
            </w:r>
          </w:p>
        </w:tc>
        <w:tc>
          <w:tcPr>
            <w:tcW w:w="3568" w:type="pct"/>
            <w:shd w:val="clear" w:color="auto" w:fill="auto"/>
          </w:tcPr>
          <w:p w:rsidR="00426849" w:rsidRDefault="00426849" w:rsidP="00195AC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Projekta tiesiskais regulējums nerada negatīvu ietekmi uz uzņēmējdarbības vidi un nepalielina administratīvo slogu.</w:t>
            </w:r>
          </w:p>
          <w:p w:rsidR="00426849" w:rsidRDefault="00426849" w:rsidP="00A50501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62865" w:rsidRPr="00CC7B27" w:rsidRDefault="00E62865" w:rsidP="00A50501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62865" w:rsidRPr="000B7CDC" w:rsidTr="001F576A">
        <w:tc>
          <w:tcPr>
            <w:tcW w:w="213" w:type="pct"/>
          </w:tcPr>
          <w:p w:rsidR="00E62865" w:rsidRPr="000B7CDC" w:rsidRDefault="00E62865" w:rsidP="0098329C">
            <w:pPr>
              <w:jc w:val="center"/>
            </w:pPr>
            <w:r w:rsidRPr="000B7CDC">
              <w:t>3.</w:t>
            </w:r>
          </w:p>
        </w:tc>
        <w:tc>
          <w:tcPr>
            <w:tcW w:w="1219" w:type="pct"/>
          </w:tcPr>
          <w:p w:rsidR="00E62865" w:rsidRPr="000B7CDC" w:rsidRDefault="00E62865" w:rsidP="0098329C">
            <w:r w:rsidRPr="000B7CDC">
              <w:t>Administratīvo izmaksu monetārs novērtējums</w:t>
            </w:r>
          </w:p>
        </w:tc>
        <w:tc>
          <w:tcPr>
            <w:tcW w:w="3568" w:type="pct"/>
          </w:tcPr>
          <w:p w:rsidR="00E62865" w:rsidRPr="00632D8B" w:rsidRDefault="00E62865" w:rsidP="00FC0CCD">
            <w:pPr>
              <w:jc w:val="both"/>
              <w:rPr>
                <w:highlight w:val="yellow"/>
              </w:rPr>
            </w:pPr>
            <w:r w:rsidRPr="00CC7B27">
              <w:t xml:space="preserve">Noteikumu projekts šo jomu neskar, </w:t>
            </w:r>
            <w:r w:rsidR="00FC0CCD">
              <w:t>tādējādi</w:t>
            </w:r>
            <w:r w:rsidRPr="00CC7B27">
              <w:t xml:space="preserve"> netiek ieviestas jaunas administratīvās procedūras.</w:t>
            </w:r>
            <w:r w:rsidR="00A50501">
              <w:t xml:space="preserve"> </w:t>
            </w:r>
          </w:p>
        </w:tc>
      </w:tr>
      <w:tr w:rsidR="00E62865" w:rsidRPr="000B7CDC" w:rsidTr="001F576A">
        <w:tc>
          <w:tcPr>
            <w:tcW w:w="213" w:type="pct"/>
          </w:tcPr>
          <w:p w:rsidR="00E62865" w:rsidRPr="000B7CDC" w:rsidRDefault="00E62865" w:rsidP="0098329C">
            <w:pPr>
              <w:jc w:val="center"/>
            </w:pPr>
            <w:r w:rsidRPr="000B7CDC">
              <w:t>4.</w:t>
            </w:r>
          </w:p>
        </w:tc>
        <w:tc>
          <w:tcPr>
            <w:tcW w:w="1219" w:type="pct"/>
          </w:tcPr>
          <w:p w:rsidR="00E62865" w:rsidRPr="000B7CDC" w:rsidRDefault="00E62865" w:rsidP="0098329C">
            <w:r w:rsidRPr="000B7CDC">
              <w:t>Cita informācija</w:t>
            </w:r>
          </w:p>
        </w:tc>
        <w:tc>
          <w:tcPr>
            <w:tcW w:w="3568" w:type="pct"/>
          </w:tcPr>
          <w:p w:rsidR="00E62865" w:rsidRPr="000B7CDC" w:rsidRDefault="00E62865" w:rsidP="0098329C">
            <w:pPr>
              <w:jc w:val="both"/>
            </w:pPr>
            <w:r w:rsidRPr="000B7CDC">
              <w:t>Nav</w:t>
            </w:r>
            <w:r w:rsidR="00A959EC">
              <w:t>.</w:t>
            </w:r>
          </w:p>
        </w:tc>
      </w:tr>
    </w:tbl>
    <w:p w:rsidR="00E62865" w:rsidRDefault="00E62865" w:rsidP="00E62865"/>
    <w:p w:rsidR="00675E27" w:rsidRPr="000B7CDC" w:rsidRDefault="00675E27" w:rsidP="00E628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1843"/>
        <w:gridCol w:w="6859"/>
      </w:tblGrid>
      <w:tr w:rsidR="00E62865" w:rsidRPr="000B7CDC" w:rsidTr="00661FA8">
        <w:trPr>
          <w:jc w:val="center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nod"/>
              <w:spacing w:before="0" w:after="0"/>
              <w:ind w:left="57" w:right="57"/>
            </w:pPr>
            <w:r w:rsidRPr="000B7CDC">
              <w:t>VI. Sabiedrības līdzdalība un komunikācijas aktivitātes</w:t>
            </w:r>
          </w:p>
        </w:tc>
      </w:tr>
      <w:tr w:rsidR="00E62865" w:rsidRPr="000B7CDC" w:rsidTr="00661FA8">
        <w:trPr>
          <w:trHeight w:val="553"/>
          <w:jc w:val="center"/>
        </w:trPr>
        <w:tc>
          <w:tcPr>
            <w:tcW w:w="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42D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0B7CDC">
              <w:t>Plānotās sabiedrības līdzdalības un komunikācijas aktivitātes saistībā ar projektu</w:t>
            </w:r>
          </w:p>
        </w:tc>
        <w:tc>
          <w:tcPr>
            <w:tcW w:w="373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FA8" w:rsidRDefault="00661FA8" w:rsidP="00661FA8">
            <w:r w:rsidRPr="00661FA8">
              <w:t xml:space="preserve">Sabiedrības pārstāvji tika aicināti līdzdarboties, rakstiski iesniedzot viedokli par noteikumu projektu tā izstrādes stadijā. Sabiedrības pārstāvji tika informēti par iespēju līdzdarboties, publicējot attiecīgu paziņojumu par noteikumu projektu VARAM </w:t>
            </w:r>
            <w:r>
              <w:t>publiskā tīmekļa vietnē sadaļā „Sabiedrības līdzdalība”.</w:t>
            </w:r>
            <w:r>
              <w:rPr>
                <w:color w:val="FF0000"/>
              </w:rPr>
              <w:t xml:space="preserve"> </w:t>
            </w:r>
            <w:r>
              <w:t>Ieinteresētajām personām bija tiesības izteikt viedokli un sniegt rakstiskus priekšlikumus.</w:t>
            </w:r>
          </w:p>
          <w:p w:rsidR="00E62865" w:rsidRPr="00311541" w:rsidRDefault="00E62865" w:rsidP="00142D65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E62865" w:rsidRPr="000B7CDC" w:rsidTr="00661FA8">
        <w:trPr>
          <w:trHeight w:val="339"/>
          <w:jc w:val="center"/>
        </w:trPr>
        <w:tc>
          <w:tcPr>
            <w:tcW w:w="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42D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spacing w:before="0" w:after="0"/>
              <w:ind w:left="57" w:right="57"/>
            </w:pPr>
            <w:r w:rsidRPr="000B7CDC">
              <w:t xml:space="preserve">Sabiedrības līdzdalība projekta izstrādē </w:t>
            </w:r>
          </w:p>
        </w:tc>
        <w:tc>
          <w:tcPr>
            <w:tcW w:w="373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BE3C64" w:rsidRDefault="00661FA8" w:rsidP="00661FA8">
            <w:pPr>
              <w:pStyle w:val="naiskr"/>
              <w:spacing w:before="0" w:after="0"/>
              <w:ind w:left="57" w:right="57"/>
              <w:jc w:val="both"/>
            </w:pPr>
            <w:r>
              <w:t>Noteikumu projekts 06.02.2015. ievietots ministrijas</w:t>
            </w:r>
            <w:r w:rsidRPr="00311541">
              <w:t xml:space="preserve"> mājas lapā </w:t>
            </w:r>
            <w:r>
              <w:t>sadaļā „Sabiedrības līdzdalība” (</w:t>
            </w:r>
            <w:hyperlink r:id="rId8" w:history="1">
              <w:r>
                <w:rPr>
                  <w:rStyle w:val="Hyperlink"/>
                </w:rPr>
                <w:t>http://www.varam.gov.lv/lat/likumdosana/normativo_aktu_projekti/?doc=12002</w:t>
              </w:r>
            </w:hyperlink>
            <w:r>
              <w:t>).</w:t>
            </w:r>
          </w:p>
        </w:tc>
      </w:tr>
      <w:tr w:rsidR="00E62865" w:rsidRPr="000B7CDC" w:rsidTr="00661FA8">
        <w:trPr>
          <w:trHeight w:val="375"/>
          <w:jc w:val="center"/>
        </w:trPr>
        <w:tc>
          <w:tcPr>
            <w:tcW w:w="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42D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spacing w:before="0" w:after="0"/>
              <w:ind w:left="57" w:right="57"/>
            </w:pPr>
            <w:r w:rsidRPr="000B7CDC">
              <w:t xml:space="preserve">Sabiedrības līdzdalības rezultāti </w:t>
            </w:r>
          </w:p>
        </w:tc>
        <w:tc>
          <w:tcPr>
            <w:tcW w:w="373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661FA8" w:rsidP="00661FA8">
            <w:pPr>
              <w:pStyle w:val="naiskr"/>
              <w:spacing w:before="0" w:after="0"/>
              <w:ind w:right="57"/>
              <w:jc w:val="both"/>
            </w:pPr>
            <w:r w:rsidRPr="00BE3C64">
              <w:t>Priekšlikumi vai iebildumi par noteikumu projektu nav saņemti.</w:t>
            </w:r>
          </w:p>
        </w:tc>
      </w:tr>
      <w:tr w:rsidR="00E62865" w:rsidRPr="000B7CDC" w:rsidTr="00661FA8">
        <w:trPr>
          <w:trHeight w:val="476"/>
          <w:jc w:val="center"/>
        </w:trPr>
        <w:tc>
          <w:tcPr>
            <w:tcW w:w="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42D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00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spacing w:before="0" w:after="0"/>
              <w:ind w:left="57" w:right="57"/>
            </w:pPr>
            <w:r w:rsidRPr="000B7CDC">
              <w:t>Cita informācija</w:t>
            </w:r>
          </w:p>
        </w:tc>
        <w:tc>
          <w:tcPr>
            <w:tcW w:w="373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spacing w:before="0" w:after="0"/>
              <w:ind w:right="57"/>
              <w:jc w:val="both"/>
            </w:pPr>
            <w:r w:rsidRPr="000B7CDC">
              <w:t>Nav</w:t>
            </w:r>
            <w:r w:rsidR="00A959EC">
              <w:t>.</w:t>
            </w:r>
          </w:p>
        </w:tc>
      </w:tr>
    </w:tbl>
    <w:p w:rsidR="00C459A3" w:rsidRDefault="00C459A3" w:rsidP="00E62865"/>
    <w:p w:rsidR="00675E27" w:rsidRPr="000B7CDC" w:rsidRDefault="00675E27" w:rsidP="00E628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8"/>
        <w:gridCol w:w="3477"/>
        <w:gridCol w:w="5300"/>
      </w:tblGrid>
      <w:tr w:rsidR="00E62865" w:rsidRPr="000B7CDC" w:rsidTr="00C459A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nod"/>
              <w:spacing w:before="0" w:after="0"/>
              <w:ind w:left="57" w:right="57"/>
            </w:pPr>
            <w:r w:rsidRPr="000B7CDC">
              <w:t>VII. Tiesību akta projekta izpildes nodrošināšana un tās ietekme uz institūcijām</w:t>
            </w:r>
          </w:p>
        </w:tc>
      </w:tr>
      <w:tr w:rsidR="00E62865" w:rsidRPr="000B7CDC" w:rsidTr="001F576A">
        <w:trPr>
          <w:trHeight w:val="427"/>
          <w:jc w:val="center"/>
        </w:trPr>
        <w:tc>
          <w:tcPr>
            <w:tcW w:w="2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42D65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f"/>
              <w:spacing w:before="0" w:after="0"/>
              <w:ind w:left="57" w:right="57" w:firstLine="0"/>
              <w:jc w:val="left"/>
            </w:pPr>
            <w:r w:rsidRPr="000B7CDC">
              <w:t xml:space="preserve">Projekta izpildē iesaistītās institūcijas </w:t>
            </w:r>
          </w:p>
        </w:tc>
        <w:tc>
          <w:tcPr>
            <w:tcW w:w="28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Default="00324F0E" w:rsidP="0098329C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Valsts Vides dienests</w:t>
            </w:r>
            <w:r w:rsidR="00A959EC">
              <w:rPr>
                <w:b w:val="0"/>
              </w:rPr>
              <w:t>.</w:t>
            </w:r>
          </w:p>
          <w:p w:rsidR="00E62865" w:rsidRPr="000B7CDC" w:rsidRDefault="00E62865" w:rsidP="0098329C">
            <w:pPr>
              <w:pStyle w:val="naisc"/>
              <w:spacing w:before="0" w:after="0"/>
              <w:jc w:val="both"/>
            </w:pPr>
          </w:p>
        </w:tc>
      </w:tr>
      <w:tr w:rsidR="00E62865" w:rsidRPr="000B7CDC" w:rsidTr="001F576A">
        <w:trPr>
          <w:trHeight w:val="463"/>
          <w:jc w:val="center"/>
        </w:trPr>
        <w:tc>
          <w:tcPr>
            <w:tcW w:w="2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42D65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f"/>
              <w:spacing w:before="0" w:after="0"/>
              <w:ind w:left="57" w:right="57" w:firstLine="0"/>
              <w:jc w:val="left"/>
            </w:pPr>
            <w:r w:rsidRPr="000B7CDC">
              <w:t>Projekta izpildes ietekme uz pārvaldes funkcijām un institucionālo struktūru</w:t>
            </w:r>
          </w:p>
        </w:tc>
        <w:tc>
          <w:tcPr>
            <w:tcW w:w="28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CC7B27" w:rsidRDefault="00FF3B59" w:rsidP="00FC3DE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neparedz Valsts vides dienestam jaunas funkcijas un pienākumus.</w:t>
            </w:r>
          </w:p>
        </w:tc>
      </w:tr>
      <w:tr w:rsidR="00E62865" w:rsidRPr="000B7CDC" w:rsidTr="001F576A">
        <w:trPr>
          <w:trHeight w:val="476"/>
          <w:jc w:val="center"/>
        </w:trPr>
        <w:tc>
          <w:tcPr>
            <w:tcW w:w="2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142D65" w:rsidRDefault="00E62865" w:rsidP="0098329C">
            <w:pPr>
              <w:pStyle w:val="naiskr"/>
              <w:spacing w:before="0" w:after="0"/>
              <w:ind w:left="57" w:right="57"/>
            </w:pPr>
            <w:r w:rsidRPr="00142D65">
              <w:rPr>
                <w:sz w:val="22"/>
                <w:szCs w:val="22"/>
              </w:rPr>
              <w:t>3.</w:t>
            </w:r>
          </w:p>
        </w:tc>
        <w:tc>
          <w:tcPr>
            <w:tcW w:w="1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spacing w:before="0" w:after="0"/>
              <w:ind w:left="57" w:right="57"/>
            </w:pPr>
            <w:r w:rsidRPr="000B7CDC">
              <w:t>Cita informācija</w:t>
            </w:r>
          </w:p>
        </w:tc>
        <w:tc>
          <w:tcPr>
            <w:tcW w:w="288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865" w:rsidRPr="000B7CDC" w:rsidRDefault="00E62865" w:rsidP="0098329C">
            <w:pPr>
              <w:pStyle w:val="naiskr"/>
              <w:spacing w:before="0" w:after="0"/>
              <w:ind w:left="57" w:right="57"/>
            </w:pPr>
            <w:r w:rsidRPr="000B7CDC">
              <w:t>Nav.</w:t>
            </w:r>
          </w:p>
        </w:tc>
      </w:tr>
    </w:tbl>
    <w:p w:rsidR="00C459A3" w:rsidRDefault="00C459A3" w:rsidP="00020FFC">
      <w:pPr>
        <w:jc w:val="both"/>
        <w:rPr>
          <w:bCs/>
        </w:rPr>
      </w:pPr>
    </w:p>
    <w:p w:rsidR="00675E27" w:rsidRDefault="00675E27" w:rsidP="00020FFC">
      <w:pPr>
        <w:jc w:val="both"/>
        <w:rPr>
          <w:bCs/>
        </w:rPr>
      </w:pPr>
    </w:p>
    <w:p w:rsidR="00675E27" w:rsidRDefault="00675E27" w:rsidP="00020FFC">
      <w:pPr>
        <w:jc w:val="both"/>
        <w:rPr>
          <w:bCs/>
        </w:rPr>
      </w:pPr>
    </w:p>
    <w:p w:rsidR="00CE3CF7" w:rsidRPr="00C84B80" w:rsidRDefault="00CE3CF7" w:rsidP="002D7557">
      <w:pPr>
        <w:ind w:firstLine="700"/>
        <w:jc w:val="both"/>
        <w:rPr>
          <w:bCs/>
        </w:rPr>
      </w:pPr>
      <w:r w:rsidRPr="00C84B80">
        <w:rPr>
          <w:bCs/>
        </w:rPr>
        <w:t>Anotācijas III.</w:t>
      </w:r>
      <w:r w:rsidR="00C459A3" w:rsidRPr="00C84B80">
        <w:rPr>
          <w:bCs/>
        </w:rPr>
        <w:t>,</w:t>
      </w:r>
      <w:r w:rsidRPr="00C84B80">
        <w:rPr>
          <w:bCs/>
        </w:rPr>
        <w:t xml:space="preserve"> IV.</w:t>
      </w:r>
      <w:r w:rsidR="00C459A3" w:rsidRPr="00C84B80">
        <w:rPr>
          <w:bCs/>
        </w:rPr>
        <w:t xml:space="preserve"> un V.</w:t>
      </w:r>
      <w:r w:rsidRPr="00C84B80">
        <w:rPr>
          <w:bCs/>
        </w:rPr>
        <w:t xml:space="preserve"> sadaļa – projekts šīs jomas neskar.</w:t>
      </w:r>
    </w:p>
    <w:p w:rsidR="00C459A3" w:rsidRPr="00C84B80" w:rsidRDefault="00C459A3" w:rsidP="00020FFC">
      <w:pPr>
        <w:jc w:val="both"/>
        <w:rPr>
          <w:bCs/>
        </w:rPr>
      </w:pPr>
    </w:p>
    <w:p w:rsidR="00C84B80" w:rsidRPr="00C84B80" w:rsidRDefault="00C84B80" w:rsidP="00C84B80">
      <w:pPr>
        <w:pStyle w:val="BodyTextIndent3"/>
        <w:spacing w:after="0"/>
        <w:ind w:left="0" w:firstLine="720"/>
        <w:rPr>
          <w:sz w:val="24"/>
          <w:szCs w:val="24"/>
        </w:rPr>
      </w:pPr>
      <w:r w:rsidRPr="00C84B80">
        <w:rPr>
          <w:sz w:val="24"/>
          <w:szCs w:val="24"/>
        </w:rPr>
        <w:t>Iesniedzējs:</w:t>
      </w:r>
    </w:p>
    <w:p w:rsidR="00C84B80" w:rsidRPr="00C84B80" w:rsidRDefault="00C84B80" w:rsidP="00C84B80">
      <w:pPr>
        <w:pStyle w:val="BodyTextIndent3"/>
        <w:spacing w:after="0"/>
        <w:ind w:left="0" w:firstLine="720"/>
        <w:rPr>
          <w:sz w:val="24"/>
          <w:szCs w:val="24"/>
        </w:rPr>
      </w:pPr>
      <w:r w:rsidRPr="00C84B80">
        <w:rPr>
          <w:sz w:val="24"/>
          <w:szCs w:val="24"/>
        </w:rPr>
        <w:t>Vides aizsardzības un reģionālās attīstības ministrs</w:t>
      </w:r>
      <w:r w:rsidRPr="00C84B80">
        <w:rPr>
          <w:sz w:val="24"/>
          <w:szCs w:val="24"/>
        </w:rPr>
        <w:tab/>
      </w:r>
      <w:r w:rsidRPr="00C84B80">
        <w:rPr>
          <w:sz w:val="24"/>
          <w:szCs w:val="24"/>
        </w:rPr>
        <w:tab/>
      </w:r>
      <w:r w:rsidRPr="00C84B80">
        <w:rPr>
          <w:sz w:val="24"/>
          <w:szCs w:val="24"/>
        </w:rPr>
        <w:tab/>
      </w:r>
      <w:r w:rsidR="00415B5D">
        <w:rPr>
          <w:sz w:val="24"/>
          <w:szCs w:val="24"/>
        </w:rPr>
        <w:t>K.Gerhards</w:t>
      </w:r>
      <w:r w:rsidRPr="00C84B80">
        <w:rPr>
          <w:sz w:val="24"/>
          <w:szCs w:val="24"/>
        </w:rPr>
        <w:tab/>
      </w:r>
    </w:p>
    <w:p w:rsidR="00C84B80" w:rsidRDefault="00C84B80" w:rsidP="00C84B80">
      <w:pPr>
        <w:tabs>
          <w:tab w:val="left" w:pos="0"/>
        </w:tabs>
        <w:jc w:val="both"/>
      </w:pPr>
      <w:r w:rsidRPr="00C84B80">
        <w:tab/>
      </w:r>
    </w:p>
    <w:p w:rsidR="00C84B80" w:rsidRPr="00C84B80" w:rsidRDefault="00C84B80" w:rsidP="00C84B80">
      <w:pPr>
        <w:tabs>
          <w:tab w:val="left" w:pos="0"/>
        </w:tabs>
        <w:jc w:val="both"/>
      </w:pPr>
      <w:r>
        <w:tab/>
      </w:r>
      <w:r w:rsidRPr="00C84B80">
        <w:t xml:space="preserve">Vīza: </w:t>
      </w:r>
    </w:p>
    <w:p w:rsidR="00C84B80" w:rsidRPr="00C84B80" w:rsidRDefault="00C84B80" w:rsidP="00C84B80">
      <w:pPr>
        <w:tabs>
          <w:tab w:val="left" w:pos="0"/>
        </w:tabs>
        <w:jc w:val="both"/>
      </w:pPr>
      <w:r w:rsidRPr="00C84B80">
        <w:tab/>
        <w:t>Valsts sekretārs</w:t>
      </w:r>
      <w:r w:rsidRPr="00C84B80">
        <w:tab/>
      </w:r>
      <w:r w:rsidRPr="00C84B80">
        <w:tab/>
      </w:r>
      <w:r w:rsidRPr="00C84B80">
        <w:tab/>
      </w:r>
      <w:r w:rsidRPr="00C84B80">
        <w:tab/>
      </w:r>
      <w:r w:rsidRPr="00C84B80">
        <w:tab/>
      </w:r>
      <w:r w:rsidRPr="00C84B80">
        <w:tab/>
      </w:r>
      <w:r w:rsidRPr="00C84B80">
        <w:tab/>
      </w:r>
      <w:r w:rsidR="00415B5D">
        <w:t>G.Puķītis</w:t>
      </w:r>
    </w:p>
    <w:p w:rsidR="00C84B80" w:rsidRDefault="00C84B80" w:rsidP="00C84B80"/>
    <w:p w:rsidR="00C84B80" w:rsidRDefault="00C84B80" w:rsidP="00C84B80"/>
    <w:p w:rsidR="00675E27" w:rsidRDefault="00675E27" w:rsidP="00C84B80"/>
    <w:p w:rsidR="00675E27" w:rsidRDefault="00675E27" w:rsidP="00C84B80"/>
    <w:p w:rsidR="00675E27" w:rsidRDefault="00675E27" w:rsidP="00C84B80"/>
    <w:p w:rsidR="00C84B80" w:rsidRDefault="00030B17" w:rsidP="00C84B80">
      <w:r>
        <w:t>01</w:t>
      </w:r>
      <w:r w:rsidR="005101A6">
        <w:t>.0</w:t>
      </w:r>
      <w:r>
        <w:t>9</w:t>
      </w:r>
      <w:r w:rsidR="00415B5D">
        <w:t xml:space="preserve">.2015. </w:t>
      </w:r>
      <w:r w:rsidR="00C84B80">
        <w:t>13:23</w:t>
      </w:r>
    </w:p>
    <w:p w:rsidR="00C84B80" w:rsidRPr="006A5BF3" w:rsidRDefault="00632BE6" w:rsidP="00C84B80">
      <w:pPr>
        <w:rPr>
          <w:sz w:val="22"/>
          <w:szCs w:val="22"/>
        </w:rPr>
      </w:pPr>
      <w:fldSimple w:instr=" NUMWORDS  \* Arabic  \* MERGEFORMAT ">
        <w:r w:rsidR="00661FA8" w:rsidRPr="00661FA8">
          <w:rPr>
            <w:noProof/>
            <w:sz w:val="22"/>
            <w:szCs w:val="22"/>
          </w:rPr>
          <w:t>731</w:t>
        </w:r>
      </w:fldSimple>
    </w:p>
    <w:p w:rsidR="00C84B80" w:rsidRPr="006A5BF3" w:rsidRDefault="00C84B80" w:rsidP="00C84B80">
      <w:pPr>
        <w:rPr>
          <w:sz w:val="22"/>
          <w:szCs w:val="22"/>
        </w:rPr>
      </w:pPr>
      <w:r w:rsidRPr="006A5BF3">
        <w:rPr>
          <w:sz w:val="22"/>
          <w:szCs w:val="22"/>
        </w:rPr>
        <w:t xml:space="preserve">L.Maslova </w:t>
      </w:r>
    </w:p>
    <w:p w:rsidR="00F82C32" w:rsidRPr="00020FFC" w:rsidRDefault="00C84B80" w:rsidP="00020FFC">
      <w:pPr>
        <w:rPr>
          <w:sz w:val="22"/>
          <w:szCs w:val="22"/>
        </w:rPr>
      </w:pPr>
      <w:smartTag w:uri="schemas-tilde-lv/tildestengine" w:element="phone">
        <w:smartTagPr>
          <w:attr w:name="phone_prefix" w:val="6"/>
          <w:attr w:name="phone_number" w:val="7026586"/>
        </w:smartTagPr>
        <w:r w:rsidRPr="006A5BF3">
          <w:rPr>
            <w:sz w:val="22"/>
            <w:szCs w:val="22"/>
          </w:rPr>
          <w:t>67026586</w:t>
        </w:r>
      </w:smartTag>
      <w:r w:rsidRPr="006A5BF3">
        <w:rPr>
          <w:sz w:val="22"/>
          <w:szCs w:val="22"/>
        </w:rPr>
        <w:t>, lana.maslova@v</w:t>
      </w:r>
      <w:r>
        <w:rPr>
          <w:sz w:val="22"/>
          <w:szCs w:val="22"/>
        </w:rPr>
        <w:t>aram</w:t>
      </w:r>
      <w:r w:rsidRPr="006A5BF3">
        <w:rPr>
          <w:sz w:val="22"/>
          <w:szCs w:val="22"/>
        </w:rPr>
        <w:t>.gov.lv</w:t>
      </w:r>
    </w:p>
    <w:sectPr w:rsidR="00F82C32" w:rsidRPr="00020FFC" w:rsidSect="0098329C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D9" w:rsidRDefault="00CE36D9">
      <w:r>
        <w:separator/>
      </w:r>
    </w:p>
  </w:endnote>
  <w:endnote w:type="continuationSeparator" w:id="0">
    <w:p w:rsidR="00CE36D9" w:rsidRDefault="00CE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4E" w:rsidRPr="00DB1575" w:rsidRDefault="00A4224E" w:rsidP="00DB1575">
    <w:pPr>
      <w:jc w:val="both"/>
      <w:rPr>
        <w:sz w:val="22"/>
        <w:szCs w:val="22"/>
      </w:rPr>
    </w:pPr>
    <w:r w:rsidRPr="00DB1575">
      <w:rPr>
        <w:sz w:val="22"/>
        <w:szCs w:val="22"/>
      </w:rPr>
      <w:t>VARAMAnot_</w:t>
    </w:r>
    <w:r w:rsidR="00030B17">
      <w:rPr>
        <w:sz w:val="22"/>
        <w:szCs w:val="22"/>
      </w:rPr>
      <w:t>0109</w:t>
    </w:r>
    <w:r w:rsidRPr="00DB1575">
      <w:rPr>
        <w:sz w:val="22"/>
        <w:szCs w:val="22"/>
      </w:rPr>
      <w:t>15_kūdra; Noteikumu projekta „Grozījumi Ministru kabineta 2004.gada 14.decembra noteikumos Nr.1015 „Vides prasības mazo katlumāju apsaimniekošanai””</w:t>
    </w:r>
    <w:r>
      <w:rPr>
        <w:sz w:val="22"/>
        <w:szCs w:val="22"/>
      </w:rPr>
      <w:t xml:space="preserve"> </w:t>
    </w:r>
    <w:r w:rsidRPr="00DB1575">
      <w:rPr>
        <w:sz w:val="22"/>
        <w:szCs w:val="22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4E" w:rsidRPr="00DB1575" w:rsidRDefault="00A4224E" w:rsidP="00DB1575">
    <w:pPr>
      <w:jc w:val="both"/>
      <w:rPr>
        <w:sz w:val="22"/>
        <w:szCs w:val="22"/>
      </w:rPr>
    </w:pPr>
    <w:r w:rsidRPr="00DB1575">
      <w:rPr>
        <w:sz w:val="22"/>
        <w:szCs w:val="22"/>
      </w:rPr>
      <w:t>VARAMAnot_</w:t>
    </w:r>
    <w:r w:rsidR="00030B17">
      <w:rPr>
        <w:sz w:val="22"/>
        <w:szCs w:val="22"/>
      </w:rPr>
      <w:t>0109</w:t>
    </w:r>
    <w:r w:rsidRPr="00DB1575">
      <w:rPr>
        <w:sz w:val="22"/>
        <w:szCs w:val="22"/>
      </w:rPr>
      <w:t>15_kūdra; Noteikumu projekta „Grozījumi Ministru kabineta 2004.gada 14.decembra noteikumos Nr.1015 „Vides prasības mazo katlumāju apsaimniekošanai””</w:t>
    </w:r>
    <w:r>
      <w:rPr>
        <w:sz w:val="22"/>
        <w:szCs w:val="22"/>
      </w:rPr>
      <w:t xml:space="preserve"> </w:t>
    </w:r>
    <w:r w:rsidRPr="00DB1575">
      <w:rPr>
        <w:sz w:val="22"/>
        <w:szCs w:val="22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D9" w:rsidRDefault="00CE36D9">
      <w:r>
        <w:separator/>
      </w:r>
    </w:p>
  </w:footnote>
  <w:footnote w:type="continuationSeparator" w:id="0">
    <w:p w:rsidR="00CE36D9" w:rsidRDefault="00CE3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4E" w:rsidRDefault="00A4224E">
    <w:pPr>
      <w:pStyle w:val="Header"/>
    </w:pPr>
    <w:r w:rsidRPr="00013525">
      <w:rPr>
        <w:rStyle w:val="PageNumber"/>
      </w:rPr>
      <w:tab/>
      <w:t xml:space="preserve"> </w:t>
    </w:r>
    <w:r w:rsidR="00632BE6"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="00632BE6" w:rsidRPr="00013525">
      <w:rPr>
        <w:rStyle w:val="PageNumber"/>
      </w:rPr>
      <w:fldChar w:fldCharType="separate"/>
    </w:r>
    <w:r w:rsidR="00612E6C">
      <w:rPr>
        <w:rStyle w:val="PageNumber"/>
        <w:noProof/>
      </w:rPr>
      <w:t>3</w:t>
    </w:r>
    <w:r w:rsidR="00632BE6" w:rsidRPr="00013525"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FCB"/>
    <w:multiLevelType w:val="hybridMultilevel"/>
    <w:tmpl w:val="60504AF0"/>
    <w:lvl w:ilvl="0" w:tplc="993E5954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56F25CC"/>
    <w:multiLevelType w:val="hybridMultilevel"/>
    <w:tmpl w:val="94EE0F28"/>
    <w:lvl w:ilvl="0" w:tplc="F858ECB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1187799"/>
    <w:multiLevelType w:val="hybridMultilevel"/>
    <w:tmpl w:val="83189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12332"/>
    <w:multiLevelType w:val="hybridMultilevel"/>
    <w:tmpl w:val="E03A8EB2"/>
    <w:lvl w:ilvl="0" w:tplc="BDE45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0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6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C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0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DC323A"/>
    <w:multiLevelType w:val="hybridMultilevel"/>
    <w:tmpl w:val="A8F06C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F2BEA"/>
    <w:multiLevelType w:val="hybridMultilevel"/>
    <w:tmpl w:val="4FACFD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1088A"/>
    <w:multiLevelType w:val="hybridMultilevel"/>
    <w:tmpl w:val="2CD2D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865"/>
    <w:rsid w:val="000000B6"/>
    <w:rsid w:val="000036C3"/>
    <w:rsid w:val="00020FFC"/>
    <w:rsid w:val="00030B17"/>
    <w:rsid w:val="00032BA1"/>
    <w:rsid w:val="00071639"/>
    <w:rsid w:val="000947BC"/>
    <w:rsid w:val="00095E76"/>
    <w:rsid w:val="000A3C42"/>
    <w:rsid w:val="000A4466"/>
    <w:rsid w:val="000A6E10"/>
    <w:rsid w:val="000B0E4F"/>
    <w:rsid w:val="000B30C5"/>
    <w:rsid w:val="000B39CE"/>
    <w:rsid w:val="000B4091"/>
    <w:rsid w:val="000C6C38"/>
    <w:rsid w:val="000D238D"/>
    <w:rsid w:val="0011524F"/>
    <w:rsid w:val="00115D49"/>
    <w:rsid w:val="0014021C"/>
    <w:rsid w:val="00142D65"/>
    <w:rsid w:val="00157F8E"/>
    <w:rsid w:val="00167B13"/>
    <w:rsid w:val="00195ACB"/>
    <w:rsid w:val="001B02E2"/>
    <w:rsid w:val="001F034A"/>
    <w:rsid w:val="001F576A"/>
    <w:rsid w:val="002246CD"/>
    <w:rsid w:val="00235E68"/>
    <w:rsid w:val="00262F73"/>
    <w:rsid w:val="00272FF0"/>
    <w:rsid w:val="0027731B"/>
    <w:rsid w:val="002963BA"/>
    <w:rsid w:val="002A75AA"/>
    <w:rsid w:val="002D7557"/>
    <w:rsid w:val="00324F0E"/>
    <w:rsid w:val="00342D1E"/>
    <w:rsid w:val="00382BA8"/>
    <w:rsid w:val="003855A0"/>
    <w:rsid w:val="003B6871"/>
    <w:rsid w:val="003D05F3"/>
    <w:rsid w:val="003D23B5"/>
    <w:rsid w:val="004068BB"/>
    <w:rsid w:val="00415B5D"/>
    <w:rsid w:val="00426849"/>
    <w:rsid w:val="004616F9"/>
    <w:rsid w:val="004658C4"/>
    <w:rsid w:val="00470322"/>
    <w:rsid w:val="00474882"/>
    <w:rsid w:val="004E1533"/>
    <w:rsid w:val="004F1090"/>
    <w:rsid w:val="004F2890"/>
    <w:rsid w:val="005101A6"/>
    <w:rsid w:val="005211FD"/>
    <w:rsid w:val="00564AD1"/>
    <w:rsid w:val="00566862"/>
    <w:rsid w:val="0057416C"/>
    <w:rsid w:val="005B0EEC"/>
    <w:rsid w:val="005B4F50"/>
    <w:rsid w:val="005E2E3E"/>
    <w:rsid w:val="00605A1E"/>
    <w:rsid w:val="00612E6C"/>
    <w:rsid w:val="006263E4"/>
    <w:rsid w:val="00632BE6"/>
    <w:rsid w:val="00633DD9"/>
    <w:rsid w:val="00643E2D"/>
    <w:rsid w:val="00644DA8"/>
    <w:rsid w:val="00650913"/>
    <w:rsid w:val="00661FA8"/>
    <w:rsid w:val="00675E27"/>
    <w:rsid w:val="00692A33"/>
    <w:rsid w:val="00697814"/>
    <w:rsid w:val="006C3D32"/>
    <w:rsid w:val="006C7064"/>
    <w:rsid w:val="006D3822"/>
    <w:rsid w:val="006E31A1"/>
    <w:rsid w:val="006E3EE4"/>
    <w:rsid w:val="006E7FA6"/>
    <w:rsid w:val="006F2E11"/>
    <w:rsid w:val="00730A80"/>
    <w:rsid w:val="00743C61"/>
    <w:rsid w:val="00753417"/>
    <w:rsid w:val="007749BF"/>
    <w:rsid w:val="00777BA5"/>
    <w:rsid w:val="007946A5"/>
    <w:rsid w:val="007A2747"/>
    <w:rsid w:val="007A290E"/>
    <w:rsid w:val="007B1269"/>
    <w:rsid w:val="007C17FE"/>
    <w:rsid w:val="00820491"/>
    <w:rsid w:val="00827315"/>
    <w:rsid w:val="00841515"/>
    <w:rsid w:val="00862758"/>
    <w:rsid w:val="00862BEC"/>
    <w:rsid w:val="00874BD0"/>
    <w:rsid w:val="00890A8A"/>
    <w:rsid w:val="00892C83"/>
    <w:rsid w:val="008A3675"/>
    <w:rsid w:val="008A7673"/>
    <w:rsid w:val="008B4F6A"/>
    <w:rsid w:val="008C14F5"/>
    <w:rsid w:val="008C67AC"/>
    <w:rsid w:val="008E753D"/>
    <w:rsid w:val="008F4224"/>
    <w:rsid w:val="009027F6"/>
    <w:rsid w:val="00916AC0"/>
    <w:rsid w:val="0094315A"/>
    <w:rsid w:val="0095447A"/>
    <w:rsid w:val="009554EC"/>
    <w:rsid w:val="00960A39"/>
    <w:rsid w:val="00976A8A"/>
    <w:rsid w:val="00976DB4"/>
    <w:rsid w:val="0098008C"/>
    <w:rsid w:val="0098329C"/>
    <w:rsid w:val="009A7B7C"/>
    <w:rsid w:val="009B5F85"/>
    <w:rsid w:val="009B6DFA"/>
    <w:rsid w:val="009C710F"/>
    <w:rsid w:val="009D3CDD"/>
    <w:rsid w:val="009E65BF"/>
    <w:rsid w:val="009F0EBB"/>
    <w:rsid w:val="00A021EA"/>
    <w:rsid w:val="00A06416"/>
    <w:rsid w:val="00A1514B"/>
    <w:rsid w:val="00A4016D"/>
    <w:rsid w:val="00A4224E"/>
    <w:rsid w:val="00A42293"/>
    <w:rsid w:val="00A50501"/>
    <w:rsid w:val="00A82F87"/>
    <w:rsid w:val="00A959EC"/>
    <w:rsid w:val="00A97697"/>
    <w:rsid w:val="00AC2557"/>
    <w:rsid w:val="00AD4C03"/>
    <w:rsid w:val="00AD5630"/>
    <w:rsid w:val="00B4403E"/>
    <w:rsid w:val="00B53C6E"/>
    <w:rsid w:val="00B715DE"/>
    <w:rsid w:val="00B760C8"/>
    <w:rsid w:val="00B76D85"/>
    <w:rsid w:val="00B7735F"/>
    <w:rsid w:val="00BA6D82"/>
    <w:rsid w:val="00BB5E62"/>
    <w:rsid w:val="00C0532A"/>
    <w:rsid w:val="00C06738"/>
    <w:rsid w:val="00C17415"/>
    <w:rsid w:val="00C22CCE"/>
    <w:rsid w:val="00C252F1"/>
    <w:rsid w:val="00C451D0"/>
    <w:rsid w:val="00C459A3"/>
    <w:rsid w:val="00C4601B"/>
    <w:rsid w:val="00C476A7"/>
    <w:rsid w:val="00C5397C"/>
    <w:rsid w:val="00C84B80"/>
    <w:rsid w:val="00CB2D55"/>
    <w:rsid w:val="00CE14AE"/>
    <w:rsid w:val="00CE36D9"/>
    <w:rsid w:val="00CE3CF7"/>
    <w:rsid w:val="00CF09A0"/>
    <w:rsid w:val="00D11286"/>
    <w:rsid w:val="00D2492E"/>
    <w:rsid w:val="00D27C8B"/>
    <w:rsid w:val="00D439CC"/>
    <w:rsid w:val="00D6518F"/>
    <w:rsid w:val="00D8728C"/>
    <w:rsid w:val="00DA56A2"/>
    <w:rsid w:val="00DA7F9F"/>
    <w:rsid w:val="00DB1575"/>
    <w:rsid w:val="00E4716E"/>
    <w:rsid w:val="00E62865"/>
    <w:rsid w:val="00E8423F"/>
    <w:rsid w:val="00E92080"/>
    <w:rsid w:val="00E937AB"/>
    <w:rsid w:val="00EB5817"/>
    <w:rsid w:val="00EC2CB3"/>
    <w:rsid w:val="00EC4DD0"/>
    <w:rsid w:val="00EC6C4E"/>
    <w:rsid w:val="00EF0378"/>
    <w:rsid w:val="00EF63C5"/>
    <w:rsid w:val="00F05274"/>
    <w:rsid w:val="00F236EE"/>
    <w:rsid w:val="00F4127E"/>
    <w:rsid w:val="00F505BE"/>
    <w:rsid w:val="00F533C6"/>
    <w:rsid w:val="00F76F1E"/>
    <w:rsid w:val="00F76FDE"/>
    <w:rsid w:val="00F82C32"/>
    <w:rsid w:val="00F90408"/>
    <w:rsid w:val="00FB15AD"/>
    <w:rsid w:val="00FB1632"/>
    <w:rsid w:val="00FB2662"/>
    <w:rsid w:val="00FB2952"/>
    <w:rsid w:val="00FC0CCD"/>
    <w:rsid w:val="00FC3DE2"/>
    <w:rsid w:val="00FF3B59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envelope return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0C6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2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28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62865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E62865"/>
  </w:style>
  <w:style w:type="character" w:styleId="Hyperlink">
    <w:name w:val="Hyperlink"/>
    <w:uiPriority w:val="99"/>
    <w:rsid w:val="00E62865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E6286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62865"/>
    <w:pPr>
      <w:spacing w:before="75" w:after="75"/>
    </w:pPr>
  </w:style>
  <w:style w:type="paragraph" w:styleId="Title">
    <w:name w:val="Title"/>
    <w:basedOn w:val="Normal"/>
    <w:link w:val="TitleChar"/>
    <w:uiPriority w:val="99"/>
    <w:qFormat/>
    <w:rsid w:val="00E628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628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c">
    <w:name w:val="naisc"/>
    <w:basedOn w:val="Normal"/>
    <w:rsid w:val="00E62865"/>
    <w:pPr>
      <w:spacing w:before="75" w:after="75"/>
      <w:jc w:val="center"/>
    </w:pPr>
  </w:style>
  <w:style w:type="paragraph" w:customStyle="1" w:styleId="tvhtml1">
    <w:name w:val="tv_html1"/>
    <w:basedOn w:val="Normal"/>
    <w:rsid w:val="00E62865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paragraph" w:customStyle="1" w:styleId="tv2131">
    <w:name w:val="tv2131"/>
    <w:basedOn w:val="Normal"/>
    <w:rsid w:val="00E62865"/>
    <w:pPr>
      <w:spacing w:before="240" w:line="360" w:lineRule="auto"/>
      <w:ind w:firstLine="217"/>
      <w:jc w:val="both"/>
    </w:pPr>
    <w:rPr>
      <w:rFonts w:ascii="Verdana" w:hAnsi="Verdana"/>
      <w:sz w:val="13"/>
      <w:szCs w:val="13"/>
      <w:lang w:val="en-US" w:eastAsia="en-US"/>
    </w:rPr>
  </w:style>
  <w:style w:type="paragraph" w:customStyle="1" w:styleId="tv2161">
    <w:name w:val="tv2161"/>
    <w:basedOn w:val="Normal"/>
    <w:rsid w:val="00E62865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naislab">
    <w:name w:val="naislab"/>
    <w:basedOn w:val="Normal"/>
    <w:uiPriority w:val="99"/>
    <w:rsid w:val="00E62865"/>
    <w:pPr>
      <w:spacing w:before="75" w:after="75"/>
      <w:jc w:val="right"/>
    </w:pPr>
  </w:style>
  <w:style w:type="paragraph" w:customStyle="1" w:styleId="Default">
    <w:name w:val="Default"/>
    <w:rsid w:val="00E6286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E62865"/>
    <w:rPr>
      <w:rFonts w:cs="Times New Roman"/>
      <w:color w:val="auto"/>
    </w:rPr>
  </w:style>
  <w:style w:type="paragraph" w:customStyle="1" w:styleId="tv20787921">
    <w:name w:val="tv207_87_921"/>
    <w:basedOn w:val="Normal"/>
    <w:uiPriority w:val="99"/>
    <w:rsid w:val="00E6286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EnvelopeReturn">
    <w:name w:val="envelope return"/>
    <w:basedOn w:val="Normal"/>
    <w:unhideWhenUsed/>
    <w:rsid w:val="00157F8E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F8E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CB2D5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CB2D55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6C38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s-IN"/>
    </w:rPr>
  </w:style>
  <w:style w:type="character" w:customStyle="1" w:styleId="apple-converted-space">
    <w:name w:val="apple-converted-space"/>
    <w:basedOn w:val="DefaultParagraphFont"/>
    <w:rsid w:val="00CE3CF7"/>
  </w:style>
  <w:style w:type="paragraph" w:styleId="Footer">
    <w:name w:val="footer"/>
    <w:basedOn w:val="Normal"/>
    <w:link w:val="FooterChar"/>
    <w:uiPriority w:val="99"/>
    <w:unhideWhenUsed/>
    <w:rsid w:val="00BB5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80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3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2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9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9C"/>
    <w:rPr>
      <w:rFonts w:ascii="Tahoma" w:eastAsia="Times New Roman" w:hAnsi="Tahoma" w:cs="Tahoma"/>
      <w:sz w:val="16"/>
      <w:szCs w:val="16"/>
      <w:lang w:eastAsia="lv-LV"/>
    </w:rPr>
  </w:style>
  <w:style w:type="character" w:styleId="Emphasis">
    <w:name w:val="Emphasis"/>
    <w:basedOn w:val="DefaultParagraphFont"/>
    <w:uiPriority w:val="20"/>
    <w:qFormat/>
    <w:rsid w:val="003D05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2E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2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9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02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1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lat/likumdosana/normativo_aktu_projekti/?doc=12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2E8D-C534-441D-85A9-A8BE1B1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Maslova</dc:creator>
  <cp:lastModifiedBy>larisat</cp:lastModifiedBy>
  <cp:revision>2</cp:revision>
  <dcterms:created xsi:type="dcterms:W3CDTF">2015-10-02T09:16:00Z</dcterms:created>
  <dcterms:modified xsi:type="dcterms:W3CDTF">2015-10-02T09:16:00Z</dcterms:modified>
  <cp:contentStatus/>
</cp:coreProperties>
</file>