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DD" w:rsidRPr="00406F78" w:rsidRDefault="00062BDD" w:rsidP="00945173">
      <w:pPr>
        <w:jc w:val="center"/>
        <w:rPr>
          <w:b/>
          <w:bCs/>
          <w:szCs w:val="28"/>
        </w:rPr>
      </w:pPr>
      <w:r w:rsidRPr="00406F78">
        <w:rPr>
          <w:b/>
          <w:szCs w:val="28"/>
        </w:rPr>
        <w:t xml:space="preserve">Ministru kabineta neteikumu projekta „Grozījumi Ministru kabineta </w:t>
      </w:r>
      <w:proofErr w:type="gramStart"/>
      <w:r w:rsidRPr="00406F78">
        <w:rPr>
          <w:b/>
          <w:szCs w:val="28"/>
        </w:rPr>
        <w:t>2005.gada</w:t>
      </w:r>
      <w:proofErr w:type="gramEnd"/>
      <w:r w:rsidRPr="00406F78">
        <w:rPr>
          <w:b/>
          <w:szCs w:val="28"/>
        </w:rPr>
        <w:t xml:space="preserve"> 5.jūlija noteikumos Nr.489 „Noteikumi par izglītības programmu minimālajām prasībām veterinārārsta profesionālās kvalifikācijas iegūšanai un par institūcijām, kuru tiešā kontrolē var apgūt praktisko izglītību veterinārārsta profesijā””</w:t>
      </w:r>
    </w:p>
    <w:p w:rsidR="00062BDD" w:rsidRPr="00406F78" w:rsidRDefault="00062BDD" w:rsidP="00945173">
      <w:pPr>
        <w:jc w:val="center"/>
        <w:rPr>
          <w:b/>
          <w:bCs/>
          <w:szCs w:val="28"/>
        </w:rPr>
      </w:pPr>
      <w:r w:rsidRPr="00406F78">
        <w:rPr>
          <w:b/>
          <w:bCs/>
          <w:szCs w:val="28"/>
        </w:rPr>
        <w:t>sākotnējās ietekmes novērtējuma ziņojums (anotācija)</w:t>
      </w:r>
    </w:p>
    <w:p w:rsidR="00062BDD" w:rsidRPr="003106A2" w:rsidRDefault="00062BDD" w:rsidP="00062BDD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948"/>
        <w:gridCol w:w="5982"/>
      </w:tblGrid>
      <w:tr w:rsidR="00062BDD" w:rsidTr="00693438">
        <w:tc>
          <w:tcPr>
            <w:tcW w:w="9351" w:type="dxa"/>
            <w:gridSpan w:val="3"/>
          </w:tcPr>
          <w:p w:rsidR="00062BDD" w:rsidRDefault="00062BDD" w:rsidP="00693438">
            <w:pPr>
              <w:jc w:val="center"/>
            </w:pPr>
            <w:r w:rsidRPr="00802643">
              <w:rPr>
                <w:b/>
                <w:bCs/>
              </w:rPr>
              <w:t>I. Tiesību akta projekta izstrādes nepieciešamība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062BDD" w:rsidRDefault="00062BDD" w:rsidP="00693438">
            <w:pPr>
              <w:jc w:val="both"/>
            </w:pPr>
            <w:r>
              <w:t> Pamatojums</w:t>
            </w:r>
          </w:p>
        </w:tc>
        <w:tc>
          <w:tcPr>
            <w:tcW w:w="5982" w:type="dxa"/>
          </w:tcPr>
          <w:p w:rsidR="00062BDD" w:rsidRPr="000B4B7F" w:rsidRDefault="00062BDD" w:rsidP="00693438">
            <w:pPr>
              <w:jc w:val="both"/>
            </w:pPr>
            <w:r>
              <w:t xml:space="preserve">Likuma </w:t>
            </w:r>
            <w:r w:rsidR="008166F1" w:rsidRPr="008166F1">
              <w:t>„</w:t>
            </w:r>
            <w:r>
              <w:t xml:space="preserve">Par reglamentētajām profesijām un profesionālās kvalifikācijas atzīšanu” </w:t>
            </w:r>
            <w:proofErr w:type="gramStart"/>
            <w:r>
              <w:t>6.panta</w:t>
            </w:r>
            <w:proofErr w:type="gramEnd"/>
            <w:r>
              <w:t xml:space="preserve"> 2.punkts, 26.panta pirmā daļa un 27.panta piektā daļa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062BDD" w:rsidRDefault="00062BDD" w:rsidP="00693438">
            <w:pPr>
              <w:jc w:val="both"/>
            </w:pPr>
            <w:r>
              <w:t>Pašreizējā situācija un problēmas, kuru risināšanai tiesību aktu projekts izstrādāts, tiesiskā regulējuma mērķis un būtība</w:t>
            </w:r>
          </w:p>
        </w:tc>
        <w:tc>
          <w:tcPr>
            <w:tcW w:w="5982" w:type="dxa"/>
          </w:tcPr>
          <w:p w:rsidR="00062BDD" w:rsidRPr="00971BA9" w:rsidRDefault="008166F1" w:rsidP="00324D66">
            <w:pPr>
              <w:pStyle w:val="Bezatstarpm"/>
              <w:jc w:val="both"/>
            </w:pPr>
            <w:r>
              <w:t xml:space="preserve">Spēkā ir Ministru kabineta </w:t>
            </w:r>
            <w:proofErr w:type="gramStart"/>
            <w:r>
              <w:t>2005.gada</w:t>
            </w:r>
            <w:proofErr w:type="gramEnd"/>
            <w:r>
              <w:t xml:space="preserve"> 5.jūlija noteikumi Nr.489 </w:t>
            </w:r>
            <w:r w:rsidRPr="008166F1">
              <w:t>„</w:t>
            </w:r>
            <w:r>
              <w:t>Noteikumi par izglītības programmu minimālajām prasībām veterinārārsta profesionālās kvalifikācijas iegūšanai un par institūcijām, kuru tiešā kontrolē var apgūt praktisko izglītību veterinārārsta profesijā” (turpmāk</w:t>
            </w:r>
            <w:r w:rsidR="00013303">
              <w:t> –</w:t>
            </w:r>
            <w:r>
              <w:t xml:space="preserve"> noteikumi Nr.489). </w:t>
            </w:r>
            <w:r w:rsidR="00EF1554">
              <w:t xml:space="preserve">Eiropas Parlamenta un Padomes </w:t>
            </w:r>
            <w:proofErr w:type="gramStart"/>
            <w:r w:rsidR="00EF1554">
              <w:t>2005.gada</w:t>
            </w:r>
            <w:proofErr w:type="gramEnd"/>
            <w:r w:rsidR="00EF1554">
              <w:t xml:space="preserve"> 7.septembra </w:t>
            </w:r>
            <w:r w:rsidR="00013303">
              <w:t>D</w:t>
            </w:r>
            <w:r w:rsidR="00EF1554">
              <w:t xml:space="preserve">irektīva 2005/36/EK par profesionālo kvalifikāciju atzīšanu (turpmāk – direktīva 2005/36/EK) tika publicēta </w:t>
            </w:r>
            <w:r w:rsidR="00013303">
              <w:t>„</w:t>
            </w:r>
            <w:r w:rsidR="00EF1554">
              <w:t>Eiropas Savienības Oficiālajā Vēstnesī</w:t>
            </w:r>
            <w:r w:rsidR="00013303">
              <w:t>”</w:t>
            </w:r>
            <w:r w:rsidR="00EF1554">
              <w:t xml:space="preserve"> 2005.gada 30.septembrī</w:t>
            </w:r>
            <w:r w:rsidR="00013303">
              <w:t>,</w:t>
            </w:r>
            <w:r w:rsidR="00EF1554">
              <w:t xml:space="preserve"> un Eiropas Savienības dalībvalstīm šī direktīva bija jāievieš nacionālajos normatīvajos aktos līdz 2007.gada 20.oktobrim. </w:t>
            </w:r>
            <w:r w:rsidR="00324D66">
              <w:t xml:space="preserve">2013.gada 28.decembrī </w:t>
            </w:r>
            <w:r w:rsidR="00013303">
              <w:t>„</w:t>
            </w:r>
            <w:r w:rsidR="00324D66">
              <w:t>Eiropas Savienības Oficiālajā Vēstnesī</w:t>
            </w:r>
            <w:r w:rsidR="00013303">
              <w:t>”</w:t>
            </w:r>
            <w:r w:rsidR="00324D66">
              <w:t xml:space="preserve"> tika publicēta </w:t>
            </w:r>
            <w:r w:rsidR="00013303">
              <w:rPr>
                <w:szCs w:val="28"/>
              </w:rPr>
              <w:t xml:space="preserve">Eiropas Parlamenta un Padomes </w:t>
            </w:r>
            <w:r w:rsidR="00324D66">
              <w:t xml:space="preserve">2013.gada 20.novembra </w:t>
            </w:r>
            <w:r w:rsidR="00013303">
              <w:t>D</w:t>
            </w:r>
            <w:r w:rsidR="00324D66">
              <w:t xml:space="preserve">irektīva 2013/55/ES, ar ko groza </w:t>
            </w:r>
            <w:r w:rsidR="00013303">
              <w:t>D</w:t>
            </w:r>
            <w:r w:rsidR="00324D66">
              <w:t>irektīvu N2005/36</w:t>
            </w:r>
            <w:r w:rsidR="00013303">
              <w:t xml:space="preserve"> </w:t>
            </w:r>
            <w:r w:rsidR="00324D66">
              <w:t xml:space="preserve">EK </w:t>
            </w:r>
            <w:r w:rsidR="00013303">
              <w:rPr>
                <w:szCs w:val="28"/>
              </w:rPr>
              <w:t>par profesionālo kvalifikāciju atzīšanu un Regulu (ES) Nr. 1024/2012 par administratīvo sadarbību, izmantojot Iekšējā tirgus informācijas sistēmu (IMI regulu)</w:t>
            </w:r>
            <w:r w:rsidR="00013303">
              <w:t xml:space="preserve"> </w:t>
            </w:r>
            <w:r w:rsidR="00324D66">
              <w:t xml:space="preserve">(turpmāk – direktīva 2013/55/ES). </w:t>
            </w:r>
            <w:r w:rsidR="00EF1554">
              <w:t xml:space="preserve">Ministru kabineta noteikumu projekts “Grozījumi Ministru kabineta </w:t>
            </w:r>
            <w:proofErr w:type="gramStart"/>
            <w:r w:rsidR="00EF1554">
              <w:t>2005.gada</w:t>
            </w:r>
            <w:proofErr w:type="gramEnd"/>
            <w:r w:rsidR="00EF1554">
              <w:t xml:space="preserve"> 5.jūlija noteikumos Nr.489 </w:t>
            </w:r>
            <w:r w:rsidR="00EF1554" w:rsidRPr="008166F1">
              <w:t>„</w:t>
            </w:r>
            <w:r w:rsidR="00EF1554">
              <w:t xml:space="preserve">Noteikumi par izglītības programmu minimālajām prasībām veterinārārsta profesionālās kvalifikācijas iegūšanai un par institūcijām, kuru tiešā kontrolē var apgūt praktisko izglītību veterinārārsta profesijā”” (turpmāk – noteikumu projekts) izstrādāts, lai pilnībā un precīzi pārņemtu direktīvā 2005/36/EK </w:t>
            </w:r>
            <w:r w:rsidR="00324D66">
              <w:t xml:space="preserve">un direktīvā 2013/55/ES </w:t>
            </w:r>
            <w:r w:rsidR="00EF1554">
              <w:t>noteikto un lai saskaņotu direktīvā</w:t>
            </w:r>
            <w:r w:rsidR="00324D66">
              <w:t>s</w:t>
            </w:r>
            <w:r w:rsidR="00EF1554">
              <w:t xml:space="preserve"> un noteikumos Nr.489 lietoto terminoloģiju. Noteikumu Nr.489 </w:t>
            </w:r>
            <w:r w:rsidR="00A252E8">
              <w:t>informatīvā atsauce uz Eiropas Savienības direktīvām tiek papildināta ar direktīvu N2005/36/EK</w:t>
            </w:r>
            <w:r w:rsidR="00AE0139">
              <w:t xml:space="preserve"> un </w:t>
            </w:r>
            <w:r w:rsidR="00AE0139" w:rsidRPr="00AE0139">
              <w:rPr>
                <w:szCs w:val="28"/>
              </w:rPr>
              <w:t>direktīv</w:t>
            </w:r>
            <w:r w:rsidR="00AE0139">
              <w:rPr>
                <w:szCs w:val="28"/>
              </w:rPr>
              <w:t>u</w:t>
            </w:r>
            <w:r w:rsidR="00AE0139" w:rsidRPr="00AE0139">
              <w:rPr>
                <w:szCs w:val="28"/>
              </w:rPr>
              <w:t xml:space="preserve"> 2013/55/ES</w:t>
            </w:r>
            <w:r w:rsidR="00A252E8" w:rsidRPr="00AE0139">
              <w:t>.</w:t>
            </w:r>
            <w:r w:rsidR="00A252E8">
              <w:t xml:space="preserve"> 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062BDD" w:rsidRDefault="00062BDD" w:rsidP="00693438">
            <w:pPr>
              <w:jc w:val="both"/>
            </w:pPr>
            <w:r>
              <w:t>Projekta izstrādē iesaistītās institūcijas</w:t>
            </w:r>
          </w:p>
        </w:tc>
        <w:tc>
          <w:tcPr>
            <w:tcW w:w="5982" w:type="dxa"/>
          </w:tcPr>
          <w:p w:rsidR="00062BDD" w:rsidRDefault="00062BDD" w:rsidP="00693438">
            <w:pPr>
              <w:jc w:val="both"/>
            </w:pPr>
            <w:r>
              <w:t xml:space="preserve">Latvijas </w:t>
            </w:r>
            <w:proofErr w:type="gramStart"/>
            <w:r>
              <w:t>Lauksaimniecības universitātes</w:t>
            </w:r>
            <w:proofErr w:type="gramEnd"/>
            <w:r>
              <w:t xml:space="preserve"> Veterinārmedicīnas fakultāte (turpmāk – VMF) un Latvijas Veterinārārstu biedrība (turpmāk – LVB)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062BDD" w:rsidRDefault="00062BDD" w:rsidP="00693438">
            <w:pPr>
              <w:jc w:val="both"/>
            </w:pPr>
            <w:r>
              <w:t>Cita informācija</w:t>
            </w:r>
          </w:p>
        </w:tc>
        <w:tc>
          <w:tcPr>
            <w:tcW w:w="5982" w:type="dxa"/>
          </w:tcPr>
          <w:p w:rsidR="00062BDD" w:rsidRDefault="00062BDD" w:rsidP="00693438">
            <w:pPr>
              <w:jc w:val="both"/>
            </w:pPr>
            <w:r>
              <w:t>Nav.</w:t>
            </w:r>
          </w:p>
        </w:tc>
      </w:tr>
    </w:tbl>
    <w:p w:rsidR="00062BDD" w:rsidRDefault="00062BDD" w:rsidP="00062BD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543"/>
        <w:gridCol w:w="5387"/>
      </w:tblGrid>
      <w:tr w:rsidR="00062BDD" w:rsidTr="00693438">
        <w:tc>
          <w:tcPr>
            <w:tcW w:w="9351" w:type="dxa"/>
            <w:gridSpan w:val="3"/>
          </w:tcPr>
          <w:p w:rsidR="00062BDD" w:rsidRDefault="00062BDD" w:rsidP="00693438">
            <w:pPr>
              <w:jc w:val="center"/>
            </w:pPr>
            <w:r w:rsidRPr="00802643">
              <w:rPr>
                <w:b/>
                <w:bCs/>
              </w:rPr>
              <w:t>II. 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062BDD" w:rsidRDefault="00062BDD" w:rsidP="00693438">
            <w:pPr>
              <w:jc w:val="both"/>
            </w:pPr>
            <w:r>
              <w:t>Sabiedrības mērķgrupas, kuras tiesiskais regulējums ietekmē vai varētu ietekmēt</w:t>
            </w:r>
          </w:p>
        </w:tc>
        <w:tc>
          <w:tcPr>
            <w:tcW w:w="5387" w:type="dxa"/>
          </w:tcPr>
          <w:p w:rsidR="00062BDD" w:rsidRDefault="00062BDD" w:rsidP="00693438">
            <w:pPr>
              <w:jc w:val="both"/>
            </w:pPr>
            <w:r>
              <w:t>Sabiedrības mērķgrupa ir Latvijas Veterinārārstu biedrības sertificētie veterinārārsti. Patlaban valstī ir aptuveni 800 sertificētu veterinārārstu.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lastRenderedPageBreak/>
              <w:t>2.</w:t>
            </w:r>
          </w:p>
        </w:tc>
        <w:tc>
          <w:tcPr>
            <w:tcW w:w="3543" w:type="dxa"/>
          </w:tcPr>
          <w:p w:rsidR="00062BDD" w:rsidRDefault="00062BDD" w:rsidP="00693438">
            <w:pPr>
              <w:jc w:val="both"/>
            </w:pPr>
            <w:r>
              <w:t>Tiesiskā regulējuma ietekme uz tautsaimniecību un administratīvo slogu</w:t>
            </w:r>
          </w:p>
        </w:tc>
        <w:tc>
          <w:tcPr>
            <w:tcW w:w="5387" w:type="dxa"/>
          </w:tcPr>
          <w:p w:rsidR="00062BDD" w:rsidRDefault="00062BDD" w:rsidP="00693438">
            <w:pPr>
              <w:jc w:val="both"/>
            </w:pPr>
            <w:r>
              <w:t>Projekts šo jomu neskar.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062BDD" w:rsidRDefault="00062BDD" w:rsidP="00693438">
            <w:pPr>
              <w:jc w:val="both"/>
            </w:pPr>
            <w:r>
              <w:t>Administratīvo i</w:t>
            </w:r>
            <w:smartTag w:uri="urn:schemas-microsoft-com:office:smarttags" w:element="PersonName">
              <w:r>
                <w:t>zm</w:t>
              </w:r>
            </w:smartTag>
            <w:r>
              <w:t>aksu monetārs novērtējums</w:t>
            </w:r>
          </w:p>
        </w:tc>
        <w:tc>
          <w:tcPr>
            <w:tcW w:w="5387" w:type="dxa"/>
          </w:tcPr>
          <w:p w:rsidR="00062BDD" w:rsidRDefault="00062BDD" w:rsidP="00693438">
            <w:pPr>
              <w:jc w:val="both"/>
            </w:pPr>
            <w:r>
              <w:t>Projekts šo jomu neskar.</w:t>
            </w:r>
          </w:p>
        </w:tc>
      </w:tr>
      <w:tr w:rsidR="00062BDD" w:rsidTr="00782108">
        <w:tc>
          <w:tcPr>
            <w:tcW w:w="421" w:type="dxa"/>
          </w:tcPr>
          <w:p w:rsidR="00062BDD" w:rsidRDefault="00062BDD" w:rsidP="00693438">
            <w:pPr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062BDD" w:rsidRDefault="00062BDD" w:rsidP="00693438">
            <w:pPr>
              <w:jc w:val="both"/>
            </w:pPr>
            <w:r>
              <w:t>Cita informācija</w:t>
            </w:r>
          </w:p>
        </w:tc>
        <w:tc>
          <w:tcPr>
            <w:tcW w:w="5387" w:type="dxa"/>
          </w:tcPr>
          <w:p w:rsidR="00062BDD" w:rsidRDefault="00062BDD" w:rsidP="00693438">
            <w:pPr>
              <w:jc w:val="both"/>
            </w:pPr>
            <w:r>
              <w:t>Nav.</w:t>
            </w:r>
          </w:p>
        </w:tc>
      </w:tr>
    </w:tbl>
    <w:p w:rsidR="00062BDD" w:rsidRDefault="00062BDD" w:rsidP="00062BDD">
      <w:pPr>
        <w:jc w:val="both"/>
      </w:pPr>
      <w:r>
        <w:t> </w:t>
      </w:r>
    </w:p>
    <w:p w:rsidR="00062BDD" w:rsidRPr="00366CE3" w:rsidRDefault="00062BDD" w:rsidP="00062BDD">
      <w:pPr>
        <w:jc w:val="both"/>
        <w:rPr>
          <w:i/>
        </w:rPr>
      </w:pPr>
      <w:r w:rsidRPr="00366CE3">
        <w:rPr>
          <w:i/>
        </w:rPr>
        <w:t xml:space="preserve">Anotācijas </w:t>
      </w:r>
      <w:r>
        <w:rPr>
          <w:i/>
        </w:rPr>
        <w:t>III</w:t>
      </w:r>
      <w:r w:rsidRPr="00366CE3">
        <w:rPr>
          <w:i/>
        </w:rPr>
        <w:t xml:space="preserve"> un </w:t>
      </w:r>
      <w:r>
        <w:rPr>
          <w:i/>
        </w:rPr>
        <w:t>I</w:t>
      </w:r>
      <w:r w:rsidRPr="00366CE3">
        <w:rPr>
          <w:i/>
        </w:rPr>
        <w:t>V sadaļa – projekts šo jomu neskar.</w:t>
      </w:r>
    </w:p>
    <w:p w:rsidR="00062BDD" w:rsidRDefault="00062BDD" w:rsidP="00062BD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86"/>
        <w:gridCol w:w="1216"/>
        <w:gridCol w:w="898"/>
        <w:gridCol w:w="1051"/>
        <w:gridCol w:w="917"/>
        <w:gridCol w:w="2521"/>
      </w:tblGrid>
      <w:tr w:rsidR="00062BDD" w:rsidTr="00782108">
        <w:tc>
          <w:tcPr>
            <w:tcW w:w="9351" w:type="dxa"/>
            <w:gridSpan w:val="7"/>
          </w:tcPr>
          <w:p w:rsidR="00062BDD" w:rsidRDefault="00062BDD" w:rsidP="00064164">
            <w:pPr>
              <w:ind w:left="57" w:right="57"/>
              <w:jc w:val="center"/>
            </w:pPr>
            <w:r>
              <w:rPr>
                <w:b/>
                <w:bCs/>
              </w:rPr>
              <w:t>V</w:t>
            </w:r>
            <w:r w:rsidRPr="00802643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atbilstība Latvijas Republikas starptautiskajām saistībām</w:t>
            </w:r>
          </w:p>
        </w:tc>
      </w:tr>
      <w:tr w:rsidR="00062BDD" w:rsidTr="00782108">
        <w:tc>
          <w:tcPr>
            <w:tcW w:w="562" w:type="dxa"/>
          </w:tcPr>
          <w:p w:rsidR="00062BDD" w:rsidRDefault="00062BDD" w:rsidP="00064164">
            <w:pPr>
              <w:ind w:left="57" w:right="57"/>
              <w:jc w:val="both"/>
            </w:pPr>
            <w:r>
              <w:t>1.</w:t>
            </w:r>
          </w:p>
        </w:tc>
        <w:tc>
          <w:tcPr>
            <w:tcW w:w="3402" w:type="dxa"/>
            <w:gridSpan w:val="2"/>
          </w:tcPr>
          <w:p w:rsidR="00062BDD" w:rsidRDefault="00062BDD" w:rsidP="00064164">
            <w:pPr>
              <w:ind w:left="57" w:right="57"/>
              <w:jc w:val="both"/>
            </w:pPr>
            <w:r>
              <w:t>Saistības pret Eiropas Savienību</w:t>
            </w:r>
          </w:p>
        </w:tc>
        <w:tc>
          <w:tcPr>
            <w:tcW w:w="5387" w:type="dxa"/>
            <w:gridSpan w:val="4"/>
          </w:tcPr>
          <w:p w:rsidR="00062BDD" w:rsidRDefault="00DF4303" w:rsidP="00064164">
            <w:pPr>
              <w:ind w:left="57" w:right="57"/>
              <w:jc w:val="both"/>
            </w:pPr>
            <w:r>
              <w:t>Noteikumu projektā iekļautas tiesību normas, kas izriet no direktīvas 2005/36/EK</w:t>
            </w:r>
            <w:r w:rsidR="00324D66">
              <w:t xml:space="preserve"> un direktīvas 2013/55/ES</w:t>
            </w:r>
            <w:r>
              <w:t>.</w:t>
            </w:r>
          </w:p>
        </w:tc>
      </w:tr>
      <w:tr w:rsidR="00062BDD" w:rsidTr="00782108">
        <w:tc>
          <w:tcPr>
            <w:tcW w:w="562" w:type="dxa"/>
          </w:tcPr>
          <w:p w:rsidR="00062BDD" w:rsidRDefault="00062BDD" w:rsidP="00064164">
            <w:pPr>
              <w:ind w:left="57" w:right="57"/>
              <w:jc w:val="both"/>
            </w:pPr>
            <w:r>
              <w:t>2.</w:t>
            </w:r>
          </w:p>
        </w:tc>
        <w:tc>
          <w:tcPr>
            <w:tcW w:w="3402" w:type="dxa"/>
            <w:gridSpan w:val="2"/>
          </w:tcPr>
          <w:p w:rsidR="00062BDD" w:rsidRDefault="00062BDD" w:rsidP="00064164">
            <w:pPr>
              <w:ind w:left="57" w:right="57"/>
              <w:jc w:val="both"/>
            </w:pPr>
            <w:r>
              <w:t>Citas starptautiskās saistības</w:t>
            </w:r>
          </w:p>
        </w:tc>
        <w:tc>
          <w:tcPr>
            <w:tcW w:w="5387" w:type="dxa"/>
            <w:gridSpan w:val="4"/>
          </w:tcPr>
          <w:p w:rsidR="00062BDD" w:rsidRDefault="00062BDD" w:rsidP="00064164">
            <w:pPr>
              <w:ind w:left="57" w:right="57"/>
              <w:jc w:val="both"/>
            </w:pPr>
            <w:r>
              <w:t>Projekts šo jomu neskar.</w:t>
            </w:r>
          </w:p>
        </w:tc>
      </w:tr>
      <w:tr w:rsidR="00062BDD" w:rsidTr="00782108">
        <w:tc>
          <w:tcPr>
            <w:tcW w:w="562" w:type="dxa"/>
          </w:tcPr>
          <w:p w:rsidR="00062BDD" w:rsidRDefault="00062BDD" w:rsidP="00064164">
            <w:pPr>
              <w:ind w:left="57" w:right="57"/>
              <w:jc w:val="both"/>
            </w:pPr>
            <w:r>
              <w:t>3.</w:t>
            </w:r>
          </w:p>
        </w:tc>
        <w:tc>
          <w:tcPr>
            <w:tcW w:w="3402" w:type="dxa"/>
            <w:gridSpan w:val="2"/>
          </w:tcPr>
          <w:p w:rsidR="00062BDD" w:rsidRDefault="00062BDD" w:rsidP="00064164">
            <w:pPr>
              <w:ind w:left="57" w:right="57"/>
              <w:jc w:val="both"/>
            </w:pPr>
            <w:r>
              <w:t>Cita informācija</w:t>
            </w:r>
          </w:p>
        </w:tc>
        <w:tc>
          <w:tcPr>
            <w:tcW w:w="5387" w:type="dxa"/>
            <w:gridSpan w:val="4"/>
          </w:tcPr>
          <w:p w:rsidR="00062BDD" w:rsidRDefault="00062BDD" w:rsidP="00064164">
            <w:pPr>
              <w:ind w:left="57" w:right="57"/>
              <w:jc w:val="both"/>
            </w:pPr>
            <w:r>
              <w:t>Nav.</w:t>
            </w:r>
          </w:p>
        </w:tc>
      </w:tr>
      <w:tr w:rsidR="00062BDD" w:rsidRPr="009E2709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351" w:type="dxa"/>
            <w:gridSpan w:val="7"/>
            <w:vAlign w:val="center"/>
          </w:tcPr>
          <w:p w:rsidR="00062BDD" w:rsidRPr="009E2709" w:rsidRDefault="00062BDD" w:rsidP="00064164">
            <w:pPr>
              <w:pStyle w:val="naisnod"/>
              <w:spacing w:before="0" w:after="0"/>
              <w:ind w:left="57" w:right="57"/>
            </w:pPr>
            <w:r w:rsidRPr="009E2709">
              <w:t>1.tabula</w:t>
            </w:r>
          </w:p>
          <w:p w:rsidR="00062BDD" w:rsidRPr="009E2709" w:rsidRDefault="00062BDD" w:rsidP="00064164">
            <w:pPr>
              <w:pStyle w:val="naisnod"/>
              <w:spacing w:before="0" w:after="0"/>
              <w:ind w:left="57" w:right="57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062BD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2748" w:type="dxa"/>
            <w:gridSpan w:val="2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6603" w:type="dxa"/>
            <w:gridSpan w:val="5"/>
          </w:tcPr>
          <w:p w:rsidR="00062BDD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 xml:space="preserve">Eiropas Parlamenta un Padomes 2005.gada 7.septembra direktīva Nr.2005/36/EK par profesionālo kvalifikāciju atzīšanu. </w:t>
            </w:r>
          </w:p>
        </w:tc>
      </w:tr>
      <w:tr w:rsidR="00062BDD" w:rsidRPr="00384CF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748" w:type="dxa"/>
            <w:gridSpan w:val="2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E2709">
              <w:t>A</w:t>
            </w:r>
          </w:p>
        </w:tc>
        <w:tc>
          <w:tcPr>
            <w:tcW w:w="2114" w:type="dxa"/>
            <w:gridSpan w:val="2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E2709">
              <w:t>B</w:t>
            </w:r>
          </w:p>
        </w:tc>
        <w:tc>
          <w:tcPr>
            <w:tcW w:w="1968" w:type="dxa"/>
            <w:gridSpan w:val="2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E2709">
              <w:t>C</w:t>
            </w:r>
          </w:p>
        </w:tc>
        <w:tc>
          <w:tcPr>
            <w:tcW w:w="2521" w:type="dxa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E2709">
              <w:t>D</w:t>
            </w:r>
          </w:p>
        </w:tc>
      </w:tr>
      <w:tr w:rsidR="00062BD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748" w:type="dxa"/>
            <w:gridSpan w:val="2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2114" w:type="dxa"/>
            <w:gridSpan w:val="2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968" w:type="dxa"/>
            <w:gridSpan w:val="2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2521" w:type="dxa"/>
            <w:vAlign w:val="center"/>
          </w:tcPr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062BDD" w:rsidRPr="009E2709" w:rsidRDefault="00062BDD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274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2005/36/EK V</w:t>
            </w:r>
            <w:r w:rsidR="00013303">
              <w:t> </w:t>
            </w:r>
            <w:r>
              <w:t xml:space="preserve">pielikuma </w:t>
            </w:r>
            <w:r>
              <w:lastRenderedPageBreak/>
              <w:t>5.4.1.apakšpunkta B</w:t>
            </w:r>
            <w:r w:rsidR="00013303">
              <w:t> </w:t>
            </w:r>
            <w:r>
              <w:t xml:space="preserve">punkta </w:t>
            </w:r>
            <w:r w:rsidR="00013303">
              <w:t>„</w:t>
            </w:r>
            <w:r>
              <w:t>a</w:t>
            </w:r>
            <w:r w:rsidR="00013303">
              <w:t>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lastRenderedPageBreak/>
              <w:t>1.punkts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 xml:space="preserve">Attiecīgais noteikumu projekta punkts neparedz stingrākas </w:t>
            </w:r>
            <w:r w:rsidRPr="00E312B1">
              <w:lastRenderedPageBreak/>
              <w:t>prasības kā ES tiesību aktā.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lastRenderedPageBreak/>
              <w:t>Direktīvas 2005/36/EK V</w:t>
            </w:r>
            <w:r w:rsidR="00013303">
              <w:t> </w:t>
            </w:r>
            <w:r>
              <w:t>pielikuma 5.4.1.apakšpunkta B</w:t>
            </w:r>
            <w:r w:rsidR="00284043">
              <w:t> </w:t>
            </w:r>
            <w:r>
              <w:t xml:space="preserve">punkta </w:t>
            </w:r>
            <w:r w:rsidR="00013303">
              <w:t>„a”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</w:pPr>
            <w:r>
              <w:t>2.punkts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2005/36/EK V</w:t>
            </w:r>
            <w:r w:rsidR="00013303">
              <w:t> </w:t>
            </w:r>
            <w:r>
              <w:t>pielikuma 5.4.1.apakšpunkta B</w:t>
            </w:r>
            <w:r w:rsidR="00013303">
              <w:t xml:space="preserve"> </w:t>
            </w:r>
            <w:r>
              <w:t xml:space="preserve">punkta </w:t>
            </w:r>
            <w:r w:rsidR="00013303">
              <w:t>„</w:t>
            </w:r>
            <w:r>
              <w:t>b</w:t>
            </w:r>
            <w:r w:rsidR="00013303">
              <w:t>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</w:pPr>
            <w:r>
              <w:t>3.punkts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DF4303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2005/36/EK V</w:t>
            </w:r>
            <w:r w:rsidR="00013303">
              <w:t> </w:t>
            </w:r>
            <w:r>
              <w:t>pielikuma 5.4.1.apakšpunkta B</w:t>
            </w:r>
            <w:r w:rsidR="00013303">
              <w:t xml:space="preserve"> </w:t>
            </w:r>
            <w:r>
              <w:t xml:space="preserve">punkta </w:t>
            </w:r>
            <w:r w:rsidR="00013303">
              <w:t>„b”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</w:pPr>
            <w:r>
              <w:t>4.punkts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DF4303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2005/36/EK V</w:t>
            </w:r>
            <w:r w:rsidR="00013303">
              <w:t> </w:t>
            </w:r>
            <w:r>
              <w:t>pielikuma 5.4.1.apakšpunkta B</w:t>
            </w:r>
            <w:r w:rsidR="00284043">
              <w:t> </w:t>
            </w:r>
            <w:r>
              <w:t xml:space="preserve">punkta </w:t>
            </w:r>
            <w:r w:rsidR="00013303">
              <w:t>„b”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Default="00DF4303" w:rsidP="00064164">
            <w:pPr>
              <w:pStyle w:val="naiskr"/>
              <w:spacing w:before="0" w:beforeAutospacing="0" w:after="0" w:afterAutospacing="0"/>
              <w:ind w:left="57" w:right="57"/>
            </w:pPr>
            <w:r>
              <w:t>5.punkts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DF4303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DF4303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2005/36/EK V</w:t>
            </w:r>
            <w:r w:rsidR="00013303">
              <w:t> </w:t>
            </w:r>
            <w:r>
              <w:t>pielikuma 5.4.1.apakšpunkta B</w:t>
            </w:r>
            <w:r w:rsidR="00013303">
              <w:t xml:space="preserve"> </w:t>
            </w:r>
            <w:r>
              <w:t xml:space="preserve">punkta </w:t>
            </w:r>
            <w:r w:rsidR="00013303">
              <w:t>„b” </w:t>
            </w:r>
            <w:r>
              <w:t>apakšpunkts</w:t>
            </w:r>
          </w:p>
        </w:tc>
        <w:tc>
          <w:tcPr>
            <w:tcW w:w="2114" w:type="dxa"/>
            <w:gridSpan w:val="2"/>
          </w:tcPr>
          <w:p w:rsidR="00DF4303" w:rsidRDefault="00DF4303" w:rsidP="00064164">
            <w:pPr>
              <w:pStyle w:val="naiskr"/>
              <w:spacing w:before="0" w:beforeAutospacing="0" w:after="0" w:afterAutospacing="0"/>
              <w:ind w:left="57" w:right="57"/>
            </w:pPr>
            <w:r>
              <w:t>6.punkts</w:t>
            </w:r>
          </w:p>
        </w:tc>
        <w:tc>
          <w:tcPr>
            <w:tcW w:w="1968" w:type="dxa"/>
            <w:gridSpan w:val="2"/>
          </w:tcPr>
          <w:p w:rsidR="00DF4303" w:rsidRPr="009E2709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DF4303" w:rsidRPr="00E312B1" w:rsidRDefault="00DF4303" w:rsidP="000641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652E2D" w:rsidRPr="00C20ECC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652E2D" w:rsidRPr="00C20ECC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C20ECC">
              <w:t>Direktīvas 2005/36/EK V pielikuma 5.4.1.apakšpunkta B punkta „b” apakšpunkts</w:t>
            </w:r>
          </w:p>
        </w:tc>
        <w:tc>
          <w:tcPr>
            <w:tcW w:w="2114" w:type="dxa"/>
            <w:gridSpan w:val="2"/>
          </w:tcPr>
          <w:p w:rsidR="00652E2D" w:rsidRPr="00C20ECC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 w:rsidRPr="00C20ECC">
              <w:t>7.punkts</w:t>
            </w:r>
          </w:p>
        </w:tc>
        <w:tc>
          <w:tcPr>
            <w:tcW w:w="1968" w:type="dxa"/>
            <w:gridSpan w:val="2"/>
          </w:tcPr>
          <w:p w:rsidR="00652E2D" w:rsidRPr="00C20ECC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C20ECC">
              <w:t>ES tiesību akta vienība tiek ieviesta pilnībā.</w:t>
            </w:r>
          </w:p>
        </w:tc>
        <w:tc>
          <w:tcPr>
            <w:tcW w:w="2521" w:type="dxa"/>
          </w:tcPr>
          <w:p w:rsidR="00652E2D" w:rsidRPr="00C20ECC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C20ECC">
              <w:t>Attiecīgais noteikumu projekta punkts neparedz stingrākas prasības kā ES tiesību aktā.</w:t>
            </w:r>
          </w:p>
        </w:tc>
      </w:tr>
      <w:tr w:rsidR="00652E2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652E2D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2013/55/ES 15.punkta „b” apakšpunkts</w:t>
            </w:r>
          </w:p>
        </w:tc>
        <w:tc>
          <w:tcPr>
            <w:tcW w:w="2114" w:type="dxa"/>
            <w:gridSpan w:val="2"/>
          </w:tcPr>
          <w:p w:rsidR="00652E2D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>
              <w:t xml:space="preserve">1., 2., 3., 4., 5., 6. un </w:t>
            </w:r>
            <w:r w:rsidRPr="00652E2D">
              <w:rPr>
                <w:b/>
              </w:rPr>
              <w:t>7</w:t>
            </w:r>
            <w:r w:rsidRPr="00EA6D98">
              <w:t>.</w:t>
            </w:r>
            <w:r>
              <w:t>punkts</w:t>
            </w:r>
          </w:p>
        </w:tc>
        <w:tc>
          <w:tcPr>
            <w:tcW w:w="196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652E2D" w:rsidRPr="00E312B1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652E2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748" w:type="dxa"/>
            <w:gridSpan w:val="2"/>
          </w:tcPr>
          <w:p w:rsidR="00652E2D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Direktīvas 2013/55/ES 29.punkts</w:t>
            </w:r>
          </w:p>
        </w:tc>
        <w:tc>
          <w:tcPr>
            <w:tcW w:w="2114" w:type="dxa"/>
            <w:gridSpan w:val="2"/>
          </w:tcPr>
          <w:p w:rsidR="00652E2D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>
              <w:t xml:space="preserve">1., 2., 3., 4., 5., 6. un </w:t>
            </w:r>
            <w:r w:rsidRPr="00652E2D">
              <w:rPr>
                <w:b/>
              </w:rPr>
              <w:t>7.</w:t>
            </w:r>
            <w:r>
              <w:t>punkts</w:t>
            </w:r>
          </w:p>
        </w:tc>
        <w:tc>
          <w:tcPr>
            <w:tcW w:w="196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2521" w:type="dxa"/>
          </w:tcPr>
          <w:p w:rsidR="00652E2D" w:rsidRPr="00E312B1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652E2D" w:rsidRPr="006C34C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748" w:type="dxa"/>
            <w:gridSpan w:val="2"/>
            <w:vAlign w:val="center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Noteikumu projekts šo jomu neskar.</w:t>
            </w:r>
          </w:p>
        </w:tc>
      </w:tr>
      <w:tr w:rsidR="00652E2D" w:rsidRPr="00DF4E80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2748" w:type="dxa"/>
            <w:gridSpan w:val="2"/>
            <w:vAlign w:val="center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i/>
              </w:rPr>
            </w:pPr>
            <w:r w:rsidRPr="009E2709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>
              <w:t>Noteikumu projekts šo jomu neskar.</w:t>
            </w:r>
          </w:p>
        </w:tc>
      </w:tr>
      <w:tr w:rsidR="00652E2D" w:rsidRPr="009E2709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Cita informācija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>
              <w:t>Nav.</w:t>
            </w:r>
          </w:p>
        </w:tc>
      </w:tr>
      <w:tr w:rsidR="00652E2D" w:rsidRPr="009E2709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351" w:type="dxa"/>
            <w:gridSpan w:val="7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652E2D" w:rsidRPr="00DF4E80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57F30">
              <w:t>Noteikumu projekts šo jomu neskar.</w:t>
            </w:r>
          </w:p>
        </w:tc>
      </w:tr>
      <w:tr w:rsidR="00652E2D" w:rsidRPr="009E2709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  <w:vAlign w:val="center"/>
          </w:tcPr>
          <w:p w:rsidR="00652E2D" w:rsidRPr="009E2709" w:rsidRDefault="00652E2D" w:rsidP="00652E2D">
            <w:pPr>
              <w:ind w:left="57" w:right="57" w:firstLine="300"/>
              <w:jc w:val="center"/>
            </w:pPr>
            <w:r w:rsidRPr="009E2709">
              <w:t>A</w:t>
            </w:r>
          </w:p>
        </w:tc>
        <w:tc>
          <w:tcPr>
            <w:tcW w:w="3165" w:type="dxa"/>
            <w:gridSpan w:val="3"/>
            <w:vAlign w:val="center"/>
          </w:tcPr>
          <w:p w:rsidR="00652E2D" w:rsidRPr="009E2709" w:rsidRDefault="00652E2D" w:rsidP="00652E2D">
            <w:pPr>
              <w:ind w:left="57" w:right="57" w:firstLine="300"/>
              <w:jc w:val="center"/>
            </w:pPr>
            <w:r w:rsidRPr="009E2709">
              <w:t>B</w:t>
            </w:r>
          </w:p>
        </w:tc>
        <w:tc>
          <w:tcPr>
            <w:tcW w:w="3438" w:type="dxa"/>
            <w:gridSpan w:val="2"/>
            <w:vAlign w:val="center"/>
          </w:tcPr>
          <w:p w:rsidR="00652E2D" w:rsidRPr="009E2709" w:rsidRDefault="00652E2D" w:rsidP="00652E2D">
            <w:pPr>
              <w:ind w:left="57" w:right="57" w:firstLine="300"/>
              <w:jc w:val="center"/>
            </w:pPr>
            <w:r w:rsidRPr="009E2709">
              <w:t>C</w:t>
            </w:r>
          </w:p>
        </w:tc>
      </w:tr>
      <w:tr w:rsidR="00652E2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ind w:left="57" w:right="57"/>
              <w:jc w:val="both"/>
            </w:pPr>
            <w:r w:rsidRPr="009E2709">
              <w:t xml:space="preserve">Starptautiskās saistības (pēc būtības), kas izriet no norādītā starptautiskā dokumenta. </w:t>
            </w:r>
          </w:p>
          <w:p w:rsidR="00652E2D" w:rsidRPr="009E2709" w:rsidRDefault="00652E2D" w:rsidP="00652E2D">
            <w:pPr>
              <w:ind w:left="57" w:right="57" w:firstLine="300"/>
              <w:jc w:val="both"/>
            </w:pPr>
            <w:r w:rsidRPr="009E2709">
              <w:t>Konkrēti veicamie pasākumi vai uzdevumi, kas nepieciešami šo starptautisko saistību izpildei</w:t>
            </w:r>
          </w:p>
        </w:tc>
        <w:tc>
          <w:tcPr>
            <w:tcW w:w="3165" w:type="dxa"/>
            <w:gridSpan w:val="3"/>
          </w:tcPr>
          <w:p w:rsidR="00652E2D" w:rsidRPr="009E2709" w:rsidRDefault="00652E2D" w:rsidP="00652E2D">
            <w:pPr>
              <w:ind w:left="57" w:right="57"/>
              <w:jc w:val="both"/>
            </w:pPr>
            <w:r w:rsidRPr="009E2709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438" w:type="dxa"/>
            <w:gridSpan w:val="2"/>
          </w:tcPr>
          <w:p w:rsidR="00652E2D" w:rsidRPr="009E2709" w:rsidRDefault="00652E2D" w:rsidP="00652E2D">
            <w:pPr>
              <w:ind w:left="57" w:right="57"/>
              <w:jc w:val="both"/>
            </w:pPr>
            <w:r w:rsidRPr="009E2709">
              <w:t xml:space="preserve">Informācija par to, vai starptautiskās saistības, kas minētas šīs tabulas A ailē, tiek izpildītas pilnībā vai daļēji. </w:t>
            </w:r>
          </w:p>
          <w:p w:rsidR="00652E2D" w:rsidRPr="009E2709" w:rsidRDefault="00652E2D" w:rsidP="00652E2D">
            <w:pPr>
              <w:ind w:left="57" w:right="57" w:firstLine="300"/>
              <w:jc w:val="both"/>
            </w:pPr>
            <w:r w:rsidRPr="009E2709"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652E2D" w:rsidRPr="009E2709" w:rsidRDefault="00652E2D" w:rsidP="00652E2D">
            <w:pPr>
              <w:ind w:left="57" w:right="57" w:firstLine="300"/>
              <w:jc w:val="both"/>
            </w:pPr>
            <w:r w:rsidRPr="009E2709">
              <w:t>Norāda institūciju, kas ir atbildīga par šo saistību izpildi pilnībā</w:t>
            </w:r>
          </w:p>
        </w:tc>
      </w:tr>
      <w:tr w:rsidR="00652E2D" w:rsidRPr="00EA3684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</w:p>
        </w:tc>
        <w:tc>
          <w:tcPr>
            <w:tcW w:w="3165" w:type="dxa"/>
            <w:gridSpan w:val="3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343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</w:p>
        </w:tc>
      </w:tr>
      <w:tr w:rsidR="00652E2D" w:rsidRPr="00DF4E80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 w:rsidRPr="00957F30">
              <w:t>Noteikumu projekts šo jomu neskar.</w:t>
            </w:r>
          </w:p>
        </w:tc>
      </w:tr>
      <w:tr w:rsidR="00652E2D" w:rsidRPr="009E2709" w:rsidTr="00782108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748" w:type="dxa"/>
            <w:gridSpan w:val="2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E2709">
              <w:t>Cita informācija</w:t>
            </w:r>
          </w:p>
        </w:tc>
        <w:tc>
          <w:tcPr>
            <w:tcW w:w="6603" w:type="dxa"/>
            <w:gridSpan w:val="5"/>
          </w:tcPr>
          <w:p w:rsidR="00652E2D" w:rsidRPr="009E2709" w:rsidRDefault="00652E2D" w:rsidP="00652E2D">
            <w:pPr>
              <w:pStyle w:val="naiskr"/>
              <w:spacing w:before="0" w:beforeAutospacing="0" w:after="0" w:afterAutospacing="0"/>
              <w:ind w:left="57" w:right="57"/>
            </w:pPr>
            <w:r>
              <w:t>Nav.</w:t>
            </w:r>
          </w:p>
        </w:tc>
      </w:tr>
    </w:tbl>
    <w:p w:rsidR="00062BDD" w:rsidRDefault="00062BDD" w:rsidP="00062BDD">
      <w:pPr>
        <w:jc w:val="both"/>
      </w:pPr>
    </w:p>
    <w:p w:rsidR="00062BDD" w:rsidRDefault="00062BDD" w:rsidP="00062BDD">
      <w:pPr>
        <w:jc w:val="both"/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5861"/>
      </w:tblGrid>
      <w:tr w:rsidR="00062BDD" w:rsidRPr="009B0418" w:rsidTr="00693438">
        <w:tc>
          <w:tcPr>
            <w:tcW w:w="5000" w:type="pct"/>
            <w:gridSpan w:val="2"/>
          </w:tcPr>
          <w:p w:rsidR="00062BDD" w:rsidRPr="009B0418" w:rsidRDefault="00062BDD" w:rsidP="00782108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0418">
              <w:rPr>
                <w:b/>
                <w:bCs/>
              </w:rPr>
              <w:lastRenderedPageBreak/>
              <w:t>VI. Sabiedrības līdzdalība un šīs līdzdalības rezultāti</w:t>
            </w:r>
          </w:p>
        </w:tc>
      </w:tr>
      <w:tr w:rsidR="00062BDD" w:rsidRPr="009B0418" w:rsidTr="00693438">
        <w:tc>
          <w:tcPr>
            <w:tcW w:w="1868" w:type="pct"/>
          </w:tcPr>
          <w:p w:rsidR="00062BDD" w:rsidRPr="009B0418" w:rsidRDefault="00062BDD" w:rsidP="00693438">
            <w:pPr>
              <w:pStyle w:val="naiskr"/>
            </w:pPr>
            <w:r w:rsidRPr="009B0418">
              <w:t xml:space="preserve">1. </w:t>
            </w:r>
            <w:r>
              <w:t>Plānotās sabiedrības līdzdalības un komunikācijas aktivitātes saistībā ar projektu</w:t>
            </w:r>
          </w:p>
        </w:tc>
        <w:tc>
          <w:tcPr>
            <w:tcW w:w="3132" w:type="pct"/>
          </w:tcPr>
          <w:p w:rsidR="00062BDD" w:rsidRPr="00C67C50" w:rsidRDefault="00013303" w:rsidP="00013303">
            <w:pPr>
              <w:jc w:val="both"/>
              <w:rPr>
                <w:bCs/>
              </w:rPr>
            </w:pPr>
            <w:r>
              <w:t>N</w:t>
            </w:r>
            <w:r w:rsidRPr="009B0418">
              <w:t xml:space="preserve">oteikumu projekts </w:t>
            </w:r>
            <w:r>
              <w:t>s</w:t>
            </w:r>
            <w:r w:rsidR="00062BDD" w:rsidRPr="009B0418">
              <w:t xml:space="preserve">agatavošanas gaitā </w:t>
            </w:r>
            <w:r w:rsidR="00324D66" w:rsidRPr="009B0418">
              <w:t>201</w:t>
            </w:r>
            <w:r w:rsidR="00324D66">
              <w:t>5</w:t>
            </w:r>
            <w:r w:rsidR="00324D66" w:rsidRPr="009B0418">
              <w:t xml:space="preserve">.gada </w:t>
            </w:r>
            <w:r w:rsidR="00324D66" w:rsidRPr="00062BDD">
              <w:t>20.aprīlī</w:t>
            </w:r>
            <w:r w:rsidR="00324D66" w:rsidRPr="009B0418">
              <w:t xml:space="preserve"> </w:t>
            </w:r>
            <w:r w:rsidR="00062BDD" w:rsidRPr="009B0418">
              <w:t>elektroniski</w:t>
            </w:r>
            <w:r w:rsidR="00324D66">
              <w:t xml:space="preserve"> tika</w:t>
            </w:r>
            <w:r w:rsidR="00062BDD" w:rsidRPr="009B0418">
              <w:t xml:space="preserve"> nosūtīts </w:t>
            </w:r>
            <w:r w:rsidR="00062BDD">
              <w:t>saskaņošanai</w:t>
            </w:r>
            <w:r w:rsidR="00062BDD" w:rsidRPr="009B0418">
              <w:t xml:space="preserve"> </w:t>
            </w:r>
            <w:r w:rsidR="00062BDD">
              <w:t>VMF un LVB</w:t>
            </w:r>
            <w:r w:rsidR="00062BDD" w:rsidRPr="009B0418">
              <w:rPr>
                <w:bCs/>
              </w:rPr>
              <w:t>.</w:t>
            </w:r>
          </w:p>
        </w:tc>
      </w:tr>
      <w:tr w:rsidR="00062BDD" w:rsidRPr="009B0418" w:rsidTr="00693438">
        <w:tc>
          <w:tcPr>
            <w:tcW w:w="1868" w:type="pct"/>
          </w:tcPr>
          <w:p w:rsidR="00062BDD" w:rsidRPr="00062BDD" w:rsidRDefault="00062BDD" w:rsidP="00062BDD">
            <w:pPr>
              <w:jc w:val="both"/>
              <w:rPr>
                <w:bCs/>
              </w:rPr>
            </w:pPr>
            <w:r w:rsidRPr="009B0418">
              <w:t xml:space="preserve">2. Sabiedrības līdzdalība projekta izstrādē </w:t>
            </w:r>
          </w:p>
        </w:tc>
        <w:tc>
          <w:tcPr>
            <w:tcW w:w="3132" w:type="pct"/>
          </w:tcPr>
          <w:p w:rsidR="00062BDD" w:rsidRPr="009B0418" w:rsidRDefault="00062BDD" w:rsidP="00062BDD">
            <w:pPr>
              <w:jc w:val="both"/>
              <w:rPr>
                <w:bCs/>
              </w:rPr>
            </w:pPr>
            <w:r>
              <w:rPr>
                <w:bCs/>
              </w:rPr>
              <w:t>Noteikumu projekts ir elektroniski saskaņots ar VMF un LVB.</w:t>
            </w:r>
          </w:p>
        </w:tc>
      </w:tr>
      <w:tr w:rsidR="00062BDD" w:rsidRPr="009B0418" w:rsidTr="00782108">
        <w:tc>
          <w:tcPr>
            <w:tcW w:w="1868" w:type="pct"/>
            <w:tcBorders>
              <w:bottom w:val="single" w:sz="4" w:space="0" w:color="auto"/>
            </w:tcBorders>
          </w:tcPr>
          <w:p w:rsidR="00062BDD" w:rsidRPr="009B0418" w:rsidRDefault="00062BDD" w:rsidP="00693438">
            <w:pPr>
              <w:pStyle w:val="naisf"/>
            </w:pPr>
            <w:r w:rsidRPr="009B0418">
              <w:t>3. Sabiedrības līdzdalības rezultāti</w:t>
            </w:r>
          </w:p>
        </w:tc>
        <w:tc>
          <w:tcPr>
            <w:tcW w:w="3132" w:type="pct"/>
            <w:tcBorders>
              <w:bottom w:val="single" w:sz="4" w:space="0" w:color="auto"/>
            </w:tcBorders>
          </w:tcPr>
          <w:p w:rsidR="00062BDD" w:rsidRPr="009B0418" w:rsidRDefault="00062BDD" w:rsidP="00693438">
            <w:pPr>
              <w:jc w:val="both"/>
            </w:pPr>
            <w:r>
              <w:t>Atbalsta sagatavoto noteikumu projektu.</w:t>
            </w:r>
          </w:p>
        </w:tc>
      </w:tr>
      <w:tr w:rsidR="00062BDD" w:rsidRPr="009B0418" w:rsidTr="00782108">
        <w:tc>
          <w:tcPr>
            <w:tcW w:w="1868" w:type="pct"/>
            <w:tcBorders>
              <w:bottom w:val="single" w:sz="4" w:space="0" w:color="auto"/>
            </w:tcBorders>
          </w:tcPr>
          <w:p w:rsidR="00062BDD" w:rsidRPr="009B0418" w:rsidRDefault="00062BDD" w:rsidP="00693438">
            <w:pPr>
              <w:pStyle w:val="naiskr"/>
            </w:pPr>
            <w:r>
              <w:t>4</w:t>
            </w:r>
            <w:r w:rsidRPr="009B0418">
              <w:t>. Cita informācija</w:t>
            </w:r>
          </w:p>
        </w:tc>
        <w:tc>
          <w:tcPr>
            <w:tcW w:w="3132" w:type="pct"/>
            <w:tcBorders>
              <w:bottom w:val="single" w:sz="4" w:space="0" w:color="auto"/>
            </w:tcBorders>
          </w:tcPr>
          <w:p w:rsidR="00062BDD" w:rsidRPr="009B0418" w:rsidRDefault="00062BDD" w:rsidP="00693438">
            <w:pPr>
              <w:pStyle w:val="naisc"/>
              <w:spacing w:before="0" w:beforeAutospacing="0" w:after="0" w:afterAutospacing="0"/>
            </w:pPr>
            <w:r w:rsidRPr="009B0418">
              <w:t>Nav.</w:t>
            </w:r>
          </w:p>
        </w:tc>
      </w:tr>
      <w:tr w:rsidR="00782108" w:rsidRPr="009B0418" w:rsidTr="0078210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08" w:rsidRPr="009B0418" w:rsidRDefault="00782108" w:rsidP="00782108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062BDD" w:rsidRPr="009B0418" w:rsidTr="0078210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062BDD" w:rsidRPr="009B0418" w:rsidRDefault="00062BDD" w:rsidP="00782108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041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62BDD" w:rsidRPr="009B0418" w:rsidTr="00693438">
        <w:tc>
          <w:tcPr>
            <w:tcW w:w="1868" w:type="pct"/>
          </w:tcPr>
          <w:p w:rsidR="00062BDD" w:rsidRPr="009B0418" w:rsidRDefault="00062BDD" w:rsidP="0069343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B0418">
              <w:rPr>
                <w:lang w:val="lv-LV"/>
              </w:rPr>
              <w:t>1. Projekta izpildē iesaistītās institūcijas</w:t>
            </w:r>
          </w:p>
        </w:tc>
        <w:tc>
          <w:tcPr>
            <w:tcW w:w="3132" w:type="pct"/>
          </w:tcPr>
          <w:p w:rsidR="00062BDD" w:rsidRPr="00971F27" w:rsidRDefault="00083857" w:rsidP="00693438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  <w:rPr>
                <w:lang w:val="lv-LV"/>
              </w:rPr>
            </w:pPr>
            <w:r w:rsidRPr="00083857">
              <w:rPr>
                <w:lang w:val="lv-LV"/>
              </w:rPr>
              <w:t>LVB</w:t>
            </w:r>
          </w:p>
        </w:tc>
      </w:tr>
      <w:tr w:rsidR="00062BDD" w:rsidRPr="009B0418" w:rsidTr="00693438">
        <w:tc>
          <w:tcPr>
            <w:tcW w:w="1868" w:type="pct"/>
          </w:tcPr>
          <w:p w:rsidR="00062BDD" w:rsidRDefault="00062BDD" w:rsidP="0069343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B0418">
              <w:rPr>
                <w:lang w:val="lv-LV"/>
              </w:rPr>
              <w:t>2. Projekta izpildes ietekme uz pārvaldes funkcijām</w:t>
            </w:r>
            <w:r>
              <w:rPr>
                <w:lang w:val="lv-LV"/>
              </w:rPr>
              <w:t xml:space="preserve"> un institucionālo struktūru.</w:t>
            </w:r>
          </w:p>
          <w:p w:rsidR="00062BDD" w:rsidRPr="009B0418" w:rsidRDefault="00062BDD" w:rsidP="0069343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3132" w:type="pct"/>
          </w:tcPr>
          <w:p w:rsidR="00062BDD" w:rsidRPr="009B0418" w:rsidRDefault="00062BDD" w:rsidP="000607FB">
            <w:pPr>
              <w:jc w:val="both"/>
            </w:pPr>
            <w:r w:rsidRPr="009B0418">
              <w:t xml:space="preserve">Noteikumu projekta izpildi </w:t>
            </w:r>
            <w:r w:rsidR="000607FB" w:rsidRPr="009B0418">
              <w:t xml:space="preserve">nodrošinās </w:t>
            </w:r>
            <w:r w:rsidR="003506E3">
              <w:t>VMF</w:t>
            </w:r>
            <w:r>
              <w:t xml:space="preserve"> </w:t>
            </w:r>
            <w:r w:rsidR="00013303">
              <w:t xml:space="preserve">ar </w:t>
            </w:r>
            <w:r w:rsidR="000607FB">
              <w:t xml:space="preserve">esošā budžeta </w:t>
            </w:r>
            <w:r w:rsidR="00013303">
              <w:t>līdzekļiem</w:t>
            </w:r>
            <w:r w:rsidRPr="009B0418">
              <w:t xml:space="preserve">. </w:t>
            </w:r>
          </w:p>
        </w:tc>
      </w:tr>
      <w:tr w:rsidR="00062BDD" w:rsidRPr="009B0418" w:rsidTr="00693438">
        <w:trPr>
          <w:trHeight w:val="70"/>
        </w:trPr>
        <w:tc>
          <w:tcPr>
            <w:tcW w:w="1868" w:type="pct"/>
          </w:tcPr>
          <w:p w:rsidR="00062BDD" w:rsidRPr="009B0418" w:rsidRDefault="00062BDD" w:rsidP="0069343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9B0418">
              <w:rPr>
                <w:lang w:val="lv-LV"/>
              </w:rPr>
              <w:t>. Cita informācija</w:t>
            </w:r>
          </w:p>
        </w:tc>
        <w:tc>
          <w:tcPr>
            <w:tcW w:w="3132" w:type="pct"/>
          </w:tcPr>
          <w:p w:rsidR="00062BDD" w:rsidRPr="009B0418" w:rsidRDefault="00062BDD" w:rsidP="00693438">
            <w:pPr>
              <w:rPr>
                <w:rFonts w:eastAsia="Arial Unicode MS"/>
              </w:rPr>
            </w:pPr>
            <w:r w:rsidRPr="009B0418">
              <w:t>Nav.</w:t>
            </w:r>
          </w:p>
        </w:tc>
      </w:tr>
    </w:tbl>
    <w:p w:rsidR="00062BDD" w:rsidRPr="001F4884" w:rsidRDefault="00062BDD" w:rsidP="00062BDD">
      <w:pPr>
        <w:jc w:val="both"/>
        <w:rPr>
          <w:sz w:val="28"/>
          <w:szCs w:val="28"/>
        </w:rPr>
      </w:pPr>
    </w:p>
    <w:p w:rsidR="00406F78" w:rsidRDefault="00406F78" w:rsidP="00062BDD">
      <w:pPr>
        <w:jc w:val="both"/>
        <w:rPr>
          <w:color w:val="000000"/>
          <w:szCs w:val="28"/>
        </w:rPr>
      </w:pPr>
    </w:p>
    <w:p w:rsidR="00406F78" w:rsidRDefault="00406F78" w:rsidP="00062BDD">
      <w:pPr>
        <w:jc w:val="both"/>
        <w:rPr>
          <w:color w:val="000000"/>
          <w:szCs w:val="28"/>
        </w:rPr>
      </w:pPr>
    </w:p>
    <w:p w:rsidR="00062BDD" w:rsidRPr="00C7242E" w:rsidRDefault="00981111" w:rsidP="00981111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Zemkopības ministrs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J.Dūklavs</w:t>
      </w:r>
      <w:proofErr w:type="spellEnd"/>
    </w:p>
    <w:p w:rsidR="00062BDD" w:rsidRDefault="00062BDD" w:rsidP="00062BDD">
      <w:pPr>
        <w:jc w:val="both"/>
        <w:rPr>
          <w:sz w:val="20"/>
          <w:szCs w:val="20"/>
        </w:rPr>
      </w:pPr>
    </w:p>
    <w:p w:rsidR="000607FB" w:rsidRDefault="000607FB" w:rsidP="00062BDD">
      <w:pPr>
        <w:jc w:val="both"/>
        <w:rPr>
          <w:sz w:val="20"/>
          <w:szCs w:val="20"/>
        </w:rPr>
      </w:pPr>
    </w:p>
    <w:p w:rsidR="000607FB" w:rsidRDefault="000607FB" w:rsidP="00062BDD">
      <w:pPr>
        <w:jc w:val="both"/>
        <w:rPr>
          <w:sz w:val="20"/>
          <w:szCs w:val="20"/>
        </w:rPr>
      </w:pPr>
    </w:p>
    <w:p w:rsidR="000607FB" w:rsidRDefault="000607FB" w:rsidP="00062BDD">
      <w:pPr>
        <w:jc w:val="both"/>
        <w:rPr>
          <w:sz w:val="20"/>
          <w:szCs w:val="20"/>
        </w:rPr>
      </w:pPr>
    </w:p>
    <w:p w:rsidR="00406F78" w:rsidRDefault="00406F78" w:rsidP="00062BDD">
      <w:pPr>
        <w:jc w:val="both"/>
        <w:rPr>
          <w:sz w:val="20"/>
          <w:szCs w:val="20"/>
        </w:rPr>
      </w:pPr>
    </w:p>
    <w:p w:rsidR="00406F78" w:rsidRDefault="00406F78" w:rsidP="00062BDD">
      <w:pPr>
        <w:jc w:val="both"/>
        <w:rPr>
          <w:sz w:val="20"/>
          <w:szCs w:val="20"/>
        </w:rPr>
      </w:pPr>
    </w:p>
    <w:p w:rsidR="000607FB" w:rsidRDefault="000607FB" w:rsidP="00062BDD">
      <w:pPr>
        <w:jc w:val="both"/>
        <w:rPr>
          <w:sz w:val="20"/>
          <w:szCs w:val="20"/>
        </w:rPr>
      </w:pPr>
    </w:p>
    <w:p w:rsidR="000607FB" w:rsidRDefault="000607FB" w:rsidP="00062BDD">
      <w:pPr>
        <w:jc w:val="both"/>
        <w:rPr>
          <w:sz w:val="20"/>
          <w:szCs w:val="20"/>
        </w:rPr>
      </w:pPr>
    </w:p>
    <w:p w:rsidR="00945173" w:rsidRDefault="00945173" w:rsidP="00062BDD">
      <w:pPr>
        <w:jc w:val="both"/>
        <w:rPr>
          <w:sz w:val="20"/>
          <w:szCs w:val="20"/>
        </w:rPr>
      </w:pPr>
      <w:r>
        <w:rPr>
          <w:sz w:val="20"/>
          <w:szCs w:val="20"/>
        </w:rPr>
        <w:t>21.10.2015. 9:24</w:t>
      </w:r>
    </w:p>
    <w:p w:rsidR="00B358E6" w:rsidRDefault="00B358E6" w:rsidP="00062BD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1205</w:t>
      </w:r>
      <w:r>
        <w:rPr>
          <w:sz w:val="20"/>
          <w:szCs w:val="20"/>
        </w:rPr>
        <w:fldChar w:fldCharType="end"/>
      </w:r>
    </w:p>
    <w:p w:rsidR="00062BDD" w:rsidRPr="003F2C13" w:rsidRDefault="00062BDD" w:rsidP="00062BD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S.Vanaga</w:t>
      </w:r>
    </w:p>
    <w:p w:rsidR="00062BDD" w:rsidRDefault="00062BDD" w:rsidP="00062BDD">
      <w:pPr>
        <w:jc w:val="both"/>
      </w:pPr>
      <w:r w:rsidRPr="003F2C13">
        <w:rPr>
          <w:sz w:val="20"/>
          <w:szCs w:val="20"/>
        </w:rPr>
        <w:t>67027</w:t>
      </w:r>
      <w:r>
        <w:rPr>
          <w:sz w:val="20"/>
          <w:szCs w:val="20"/>
        </w:rPr>
        <w:t>363</w:t>
      </w:r>
      <w:r w:rsidRPr="003F2C13">
        <w:rPr>
          <w:sz w:val="20"/>
          <w:szCs w:val="20"/>
        </w:rPr>
        <w:t xml:space="preserve">, </w:t>
      </w:r>
      <w:r>
        <w:rPr>
          <w:sz w:val="20"/>
          <w:szCs w:val="20"/>
        </w:rPr>
        <w:t>Sanita.Vanaga</w:t>
      </w:r>
      <w:r w:rsidRPr="003F2C13">
        <w:rPr>
          <w:sz w:val="20"/>
          <w:szCs w:val="20"/>
        </w:rPr>
        <w:t>@zm.gov.lv</w:t>
      </w:r>
    </w:p>
    <w:p w:rsidR="00CF04E1" w:rsidRDefault="00CF04E1"/>
    <w:sectPr w:rsidR="00CF04E1" w:rsidSect="0099082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43" w:rsidRDefault="00154543" w:rsidP="00062BDD">
      <w:r>
        <w:separator/>
      </w:r>
    </w:p>
  </w:endnote>
  <w:endnote w:type="continuationSeparator" w:id="0">
    <w:p w:rsidR="00154543" w:rsidRDefault="00154543" w:rsidP="0006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2C" w:rsidRPr="00062BDD" w:rsidRDefault="00062BDD" w:rsidP="00062BDD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ZMAnot_</w:t>
    </w:r>
    <w:r w:rsidR="00652E2D">
      <w:rPr>
        <w:sz w:val="20"/>
        <w:szCs w:val="20"/>
        <w:lang w:val="lv-LV"/>
      </w:rPr>
      <w:t>1310</w:t>
    </w:r>
    <w:r>
      <w:rPr>
        <w:sz w:val="20"/>
        <w:szCs w:val="20"/>
        <w:lang w:val="lv-LV"/>
      </w:rPr>
      <w:t>15</w:t>
    </w:r>
    <w:r w:rsidR="00C20ECC">
      <w:rPr>
        <w:sz w:val="20"/>
        <w:szCs w:val="20"/>
        <w:lang w:val="lv-LV"/>
      </w:rP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2C" w:rsidRPr="009D33E6" w:rsidRDefault="00FD4E6E" w:rsidP="009D33E6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ZMAnot_</w:t>
    </w:r>
    <w:r w:rsidR="00652E2D">
      <w:rPr>
        <w:sz w:val="20"/>
        <w:szCs w:val="20"/>
        <w:lang w:val="lv-LV"/>
      </w:rPr>
      <w:t>1310</w:t>
    </w:r>
    <w:r>
      <w:rPr>
        <w:sz w:val="20"/>
        <w:szCs w:val="20"/>
        <w:lang w:val="lv-LV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43" w:rsidRDefault="00154543" w:rsidP="00062BDD">
      <w:r>
        <w:separator/>
      </w:r>
    </w:p>
  </w:footnote>
  <w:footnote w:type="continuationSeparator" w:id="0">
    <w:p w:rsidR="00154543" w:rsidRDefault="00154543" w:rsidP="0006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2C" w:rsidRDefault="00FD4E6E" w:rsidP="0099082C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358E6">
      <w:rPr>
        <w:rStyle w:val="Lappusesnumurs"/>
        <w:noProof/>
      </w:rPr>
      <w:t>4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DD"/>
    <w:rsid w:val="00003471"/>
    <w:rsid w:val="00005DC7"/>
    <w:rsid w:val="00013303"/>
    <w:rsid w:val="00034B44"/>
    <w:rsid w:val="00040718"/>
    <w:rsid w:val="0004075A"/>
    <w:rsid w:val="000511AD"/>
    <w:rsid w:val="00055155"/>
    <w:rsid w:val="000607FB"/>
    <w:rsid w:val="00062849"/>
    <w:rsid w:val="00062BDD"/>
    <w:rsid w:val="00064164"/>
    <w:rsid w:val="00067A3E"/>
    <w:rsid w:val="00082B6D"/>
    <w:rsid w:val="00083857"/>
    <w:rsid w:val="00086FF3"/>
    <w:rsid w:val="000D7DF9"/>
    <w:rsid w:val="000E0D42"/>
    <w:rsid w:val="000E5FC0"/>
    <w:rsid w:val="00104FAA"/>
    <w:rsid w:val="00120A64"/>
    <w:rsid w:val="0013730D"/>
    <w:rsid w:val="00142A81"/>
    <w:rsid w:val="00144036"/>
    <w:rsid w:val="00152291"/>
    <w:rsid w:val="00154543"/>
    <w:rsid w:val="00156A22"/>
    <w:rsid w:val="00170F75"/>
    <w:rsid w:val="0018140D"/>
    <w:rsid w:val="001822AD"/>
    <w:rsid w:val="00196039"/>
    <w:rsid w:val="001A5595"/>
    <w:rsid w:val="001C7399"/>
    <w:rsid w:val="001E3427"/>
    <w:rsid w:val="001F4682"/>
    <w:rsid w:val="00212E51"/>
    <w:rsid w:val="002174D5"/>
    <w:rsid w:val="00224A1C"/>
    <w:rsid w:val="00230584"/>
    <w:rsid w:val="00242D0B"/>
    <w:rsid w:val="00262EFB"/>
    <w:rsid w:val="00266ECA"/>
    <w:rsid w:val="00284043"/>
    <w:rsid w:val="00291F81"/>
    <w:rsid w:val="00295ED4"/>
    <w:rsid w:val="002A41F2"/>
    <w:rsid w:val="002A70EE"/>
    <w:rsid w:val="002E1934"/>
    <w:rsid w:val="002E410B"/>
    <w:rsid w:val="002F7EAA"/>
    <w:rsid w:val="00313C3C"/>
    <w:rsid w:val="00316C05"/>
    <w:rsid w:val="00324D66"/>
    <w:rsid w:val="003302EC"/>
    <w:rsid w:val="00346071"/>
    <w:rsid w:val="003506E3"/>
    <w:rsid w:val="00351252"/>
    <w:rsid w:val="00384C7B"/>
    <w:rsid w:val="00394F15"/>
    <w:rsid w:val="003A0DA1"/>
    <w:rsid w:val="003A6A20"/>
    <w:rsid w:val="003B3E9F"/>
    <w:rsid w:val="003D4D41"/>
    <w:rsid w:val="00405C7A"/>
    <w:rsid w:val="00406F78"/>
    <w:rsid w:val="00474375"/>
    <w:rsid w:val="0048214F"/>
    <w:rsid w:val="004C53F1"/>
    <w:rsid w:val="005047FE"/>
    <w:rsid w:val="0055587C"/>
    <w:rsid w:val="00562A34"/>
    <w:rsid w:val="00587A51"/>
    <w:rsid w:val="005A5A68"/>
    <w:rsid w:val="005B26D0"/>
    <w:rsid w:val="005C31E6"/>
    <w:rsid w:val="00611DF3"/>
    <w:rsid w:val="006152E3"/>
    <w:rsid w:val="006351D8"/>
    <w:rsid w:val="00652E2D"/>
    <w:rsid w:val="0069165E"/>
    <w:rsid w:val="006B2E56"/>
    <w:rsid w:val="006B5869"/>
    <w:rsid w:val="00732AC8"/>
    <w:rsid w:val="007341B3"/>
    <w:rsid w:val="00736D9D"/>
    <w:rsid w:val="00777358"/>
    <w:rsid w:val="00782108"/>
    <w:rsid w:val="00790470"/>
    <w:rsid w:val="007A029B"/>
    <w:rsid w:val="007A05E9"/>
    <w:rsid w:val="007A1ED8"/>
    <w:rsid w:val="007A52BA"/>
    <w:rsid w:val="007D2889"/>
    <w:rsid w:val="007D39CA"/>
    <w:rsid w:val="007D6F94"/>
    <w:rsid w:val="007F1DF0"/>
    <w:rsid w:val="00805170"/>
    <w:rsid w:val="008166F1"/>
    <w:rsid w:val="00823A75"/>
    <w:rsid w:val="008336FF"/>
    <w:rsid w:val="0083587B"/>
    <w:rsid w:val="00846B34"/>
    <w:rsid w:val="00862E6B"/>
    <w:rsid w:val="00872810"/>
    <w:rsid w:val="008A0AA1"/>
    <w:rsid w:val="008D2A81"/>
    <w:rsid w:val="008E1F90"/>
    <w:rsid w:val="008F1B1C"/>
    <w:rsid w:val="008F6771"/>
    <w:rsid w:val="0090552F"/>
    <w:rsid w:val="00934975"/>
    <w:rsid w:val="00934FEE"/>
    <w:rsid w:val="00940577"/>
    <w:rsid w:val="00945173"/>
    <w:rsid w:val="00952F69"/>
    <w:rsid w:val="00955C00"/>
    <w:rsid w:val="00961C00"/>
    <w:rsid w:val="009663ED"/>
    <w:rsid w:val="00970613"/>
    <w:rsid w:val="00981111"/>
    <w:rsid w:val="00983389"/>
    <w:rsid w:val="009935B5"/>
    <w:rsid w:val="009D723F"/>
    <w:rsid w:val="00A252E8"/>
    <w:rsid w:val="00A71F5B"/>
    <w:rsid w:val="00A83A28"/>
    <w:rsid w:val="00A869DE"/>
    <w:rsid w:val="00AA5522"/>
    <w:rsid w:val="00AC644D"/>
    <w:rsid w:val="00AC71EA"/>
    <w:rsid w:val="00AD3063"/>
    <w:rsid w:val="00AE0139"/>
    <w:rsid w:val="00B10C4C"/>
    <w:rsid w:val="00B33FC0"/>
    <w:rsid w:val="00B358E6"/>
    <w:rsid w:val="00B4053B"/>
    <w:rsid w:val="00B50A68"/>
    <w:rsid w:val="00B6397C"/>
    <w:rsid w:val="00B67459"/>
    <w:rsid w:val="00B679D6"/>
    <w:rsid w:val="00B73CF5"/>
    <w:rsid w:val="00B83175"/>
    <w:rsid w:val="00B83FA8"/>
    <w:rsid w:val="00BD0A8E"/>
    <w:rsid w:val="00BD135C"/>
    <w:rsid w:val="00C01AE6"/>
    <w:rsid w:val="00C20ECC"/>
    <w:rsid w:val="00C36ED6"/>
    <w:rsid w:val="00C64BD6"/>
    <w:rsid w:val="00C7647B"/>
    <w:rsid w:val="00C845BE"/>
    <w:rsid w:val="00CB20AD"/>
    <w:rsid w:val="00CD701D"/>
    <w:rsid w:val="00CF04E1"/>
    <w:rsid w:val="00CF4FFA"/>
    <w:rsid w:val="00D016B1"/>
    <w:rsid w:val="00D12439"/>
    <w:rsid w:val="00D206DF"/>
    <w:rsid w:val="00D3669F"/>
    <w:rsid w:val="00D4331D"/>
    <w:rsid w:val="00D604AB"/>
    <w:rsid w:val="00D753DA"/>
    <w:rsid w:val="00D95D1B"/>
    <w:rsid w:val="00DA630D"/>
    <w:rsid w:val="00DC4427"/>
    <w:rsid w:val="00DE058B"/>
    <w:rsid w:val="00DF13BC"/>
    <w:rsid w:val="00DF4303"/>
    <w:rsid w:val="00E02664"/>
    <w:rsid w:val="00E02DE9"/>
    <w:rsid w:val="00E10DA7"/>
    <w:rsid w:val="00E1432E"/>
    <w:rsid w:val="00E34F79"/>
    <w:rsid w:val="00E433BF"/>
    <w:rsid w:val="00E56193"/>
    <w:rsid w:val="00EA1E40"/>
    <w:rsid w:val="00EA6D98"/>
    <w:rsid w:val="00ED518B"/>
    <w:rsid w:val="00EF1554"/>
    <w:rsid w:val="00EF5CBA"/>
    <w:rsid w:val="00F04CE6"/>
    <w:rsid w:val="00F06E4D"/>
    <w:rsid w:val="00F36CD4"/>
    <w:rsid w:val="00F417D7"/>
    <w:rsid w:val="00F726AB"/>
    <w:rsid w:val="00F749C1"/>
    <w:rsid w:val="00F90CB0"/>
    <w:rsid w:val="00FB1FE9"/>
    <w:rsid w:val="00FB3111"/>
    <w:rsid w:val="00FD4E6E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ED5C8DB-9D5F-4286-8C7A-FDE7A5D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62BD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rsid w:val="00062BDD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Kjene">
    <w:name w:val="footer"/>
    <w:basedOn w:val="Parasts"/>
    <w:link w:val="KjeneRakstz"/>
    <w:rsid w:val="00062BD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rsid w:val="00062BDD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Lappusesnumurs">
    <w:name w:val="page number"/>
    <w:basedOn w:val="Noklusjumarindkopasfonts"/>
    <w:rsid w:val="00062BDD"/>
  </w:style>
  <w:style w:type="paragraph" w:styleId="Bezatstarpm">
    <w:name w:val="No Spacing"/>
    <w:uiPriority w:val="1"/>
    <w:qFormat/>
    <w:rsid w:val="000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Parasts"/>
    <w:rsid w:val="00062BDD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062BDD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62BDD"/>
    <w:pPr>
      <w:spacing w:before="100" w:beforeAutospacing="1" w:after="100" w:afterAutospacing="1"/>
    </w:pPr>
  </w:style>
  <w:style w:type="paragraph" w:styleId="Paraststmeklis">
    <w:name w:val="Normal (Web)"/>
    <w:basedOn w:val="Parasts"/>
    <w:rsid w:val="00062BDD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naisnod">
    <w:name w:val="naisnod"/>
    <w:basedOn w:val="Parasts"/>
    <w:rsid w:val="00062BDD"/>
    <w:pPr>
      <w:spacing w:before="150" w:after="150"/>
      <w:jc w:val="center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33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303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1221</Words>
  <Characters>8564</Characters>
  <Application>Microsoft Office Word</Application>
  <DocSecurity>0</DocSecurity>
  <Lines>428</Lines>
  <Paragraphs>152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5.jūlija noteikumos Nr.489 Noteikumi par minimālajām prasībām veterinārārsta profesionālās kvalifikācijas iegūšanai un par institūcijām, kuru tiešā kontrolē var apgūt praktisko izglītību veterinārārsta profesijā</vt:lpstr>
    </vt:vector>
  </TitlesOfParts>
  <Manager>Veterinārais un pārtikas departaments</Manager>
  <Company>Zemkopibas Ministrija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5.jūlija noteikumos Nr.489 Noteikumi par minimālajām prasībām veterinārārsta profesionālās kvalifikācijas iegūšanai un par institūcijām, kuru tiešā kontrolē var apgūt praktisko izglītību veterinārārsta profesijā</dc:title>
  <dc:subject>sākotnējās ietekmes novērtējums (anotācija)</dc:subject>
  <dc:creator>Sanita Vanaga</dc:creator>
  <cp:keywords/>
  <dc:description>Sanita.Vanaga@zm.gov.lv, 67027363</dc:description>
  <cp:lastModifiedBy>Alise Apalupa</cp:lastModifiedBy>
  <cp:revision>7</cp:revision>
  <dcterms:created xsi:type="dcterms:W3CDTF">2015-10-20T14:06:00Z</dcterms:created>
  <dcterms:modified xsi:type="dcterms:W3CDTF">2015-10-21T06:44:00Z</dcterms:modified>
</cp:coreProperties>
</file>