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85" w:rsidRPr="0076658C" w:rsidRDefault="00E77C85" w:rsidP="00C50D09">
      <w:pPr>
        <w:pStyle w:val="Title"/>
      </w:pPr>
      <w:r w:rsidRPr="0076658C">
        <w:t>Likumprojekta</w:t>
      </w:r>
      <w:r w:rsidR="00642B56" w:rsidRPr="00642B56">
        <w:rPr>
          <w:rFonts w:asciiTheme="minorHAnsi" w:eastAsiaTheme="minorHAnsi" w:hAnsiTheme="minorHAnsi" w:cstheme="minorBidi"/>
          <w:b w:val="0"/>
          <w:sz w:val="22"/>
          <w:szCs w:val="22"/>
        </w:rPr>
        <w:t xml:space="preserve"> </w:t>
      </w:r>
    </w:p>
    <w:p w:rsidR="005C71B5" w:rsidRPr="0076658C" w:rsidRDefault="002922E6" w:rsidP="008F1313">
      <w:pPr>
        <w:jc w:val="center"/>
        <w:rPr>
          <w:b/>
          <w:lang w:eastAsia="zh-CN"/>
        </w:rPr>
      </w:pPr>
      <w:r w:rsidRPr="0076658C">
        <w:rPr>
          <w:b/>
        </w:rPr>
        <w:t>„</w:t>
      </w:r>
      <w:r w:rsidR="008F1313" w:rsidRPr="0076658C">
        <w:rPr>
          <w:b/>
        </w:rPr>
        <w:t xml:space="preserve">Par </w:t>
      </w:r>
      <w:r w:rsidR="00DC721F">
        <w:rPr>
          <w:b/>
        </w:rPr>
        <w:t>P</w:t>
      </w:r>
      <w:r w:rsidR="00DC721F" w:rsidRPr="00642B56">
        <w:rPr>
          <w:b/>
        </w:rPr>
        <w:t>adziļināt</w:t>
      </w:r>
      <w:r w:rsidR="005178DF">
        <w:rPr>
          <w:b/>
        </w:rPr>
        <w:t>u</w:t>
      </w:r>
      <w:r w:rsidR="00DC721F" w:rsidRPr="00642B56">
        <w:rPr>
          <w:b/>
        </w:rPr>
        <w:t xml:space="preserve"> </w:t>
      </w:r>
      <w:r w:rsidR="00D84A7B" w:rsidRPr="00642B56">
        <w:rPr>
          <w:b/>
        </w:rPr>
        <w:t xml:space="preserve">partnerības un sadarbības </w:t>
      </w:r>
      <w:r w:rsidR="008F1313" w:rsidRPr="0076658C">
        <w:rPr>
          <w:b/>
        </w:rPr>
        <w:t>nolīgumu starp Eiropas Savienību</w:t>
      </w:r>
      <w:r w:rsidR="00D84A7B">
        <w:rPr>
          <w:b/>
        </w:rPr>
        <w:t xml:space="preserve"> un tās</w:t>
      </w:r>
      <w:r w:rsidR="008F1313" w:rsidRPr="0076658C">
        <w:rPr>
          <w:b/>
        </w:rPr>
        <w:t xml:space="preserve"> dalībvalstīm, no vienas puses, un </w:t>
      </w:r>
      <w:r w:rsidR="00D84A7B">
        <w:rPr>
          <w:b/>
        </w:rPr>
        <w:t>Kazahstānas</w:t>
      </w:r>
      <w:r w:rsidR="008F1313" w:rsidRPr="0076658C">
        <w:rPr>
          <w:b/>
        </w:rPr>
        <w:t xml:space="preserve"> Republiku, no otras puses</w:t>
      </w:r>
      <w:r w:rsidR="003C64B3" w:rsidRPr="0076658C">
        <w:rPr>
          <w:b/>
        </w:rPr>
        <w:t>”</w:t>
      </w:r>
      <w:r w:rsidR="00321672" w:rsidRPr="0076658C">
        <w:rPr>
          <w:b/>
        </w:rPr>
        <w:t xml:space="preserve"> sākotnējās ietekmes novērtējuma ziņojums </w:t>
      </w:r>
      <w:r w:rsidR="005C71B5" w:rsidRPr="0076658C">
        <w:rPr>
          <w:b/>
        </w:rPr>
        <w:t>(anotācija)</w:t>
      </w:r>
    </w:p>
    <w:p w:rsidR="0066148A" w:rsidRPr="0076658C" w:rsidRDefault="0066148A" w:rsidP="00200870">
      <w:pPr>
        <w:rPr>
          <w:b/>
          <w:bCs/>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791"/>
        <w:gridCol w:w="6040"/>
      </w:tblGrid>
      <w:tr w:rsidR="00F17343" w:rsidRPr="0076658C" w:rsidTr="00F93EFA">
        <w:tc>
          <w:tcPr>
            <w:tcW w:w="0" w:type="auto"/>
            <w:gridSpan w:val="3"/>
            <w:hideMark/>
          </w:tcPr>
          <w:p w:rsidR="00E77C85" w:rsidRPr="0076658C" w:rsidRDefault="00E77C85" w:rsidP="00F93EFA">
            <w:pPr>
              <w:jc w:val="center"/>
              <w:rPr>
                <w:lang w:eastAsia="lv-LV"/>
              </w:rPr>
            </w:pPr>
            <w:r w:rsidRPr="0076658C">
              <w:rPr>
                <w:b/>
                <w:bCs/>
                <w:lang w:eastAsia="lv-LV"/>
              </w:rPr>
              <w:t>I. Tiesību akta projekta izstrādes nepieciešamība</w:t>
            </w:r>
          </w:p>
        </w:tc>
      </w:tr>
      <w:tr w:rsidR="00F17343" w:rsidRPr="0076658C" w:rsidTr="00F93EFA">
        <w:trPr>
          <w:trHeight w:val="630"/>
        </w:trPr>
        <w:tc>
          <w:tcPr>
            <w:tcW w:w="0" w:type="auto"/>
            <w:hideMark/>
          </w:tcPr>
          <w:p w:rsidR="00E77C85" w:rsidRPr="0076658C" w:rsidRDefault="00E77C85" w:rsidP="00C50D09">
            <w:pPr>
              <w:rPr>
                <w:lang w:eastAsia="lv-LV"/>
              </w:rPr>
            </w:pPr>
            <w:r w:rsidRPr="0076658C">
              <w:rPr>
                <w:lang w:eastAsia="lv-LV"/>
              </w:rPr>
              <w:t> 1.</w:t>
            </w:r>
          </w:p>
        </w:tc>
        <w:tc>
          <w:tcPr>
            <w:tcW w:w="0" w:type="auto"/>
            <w:hideMark/>
          </w:tcPr>
          <w:p w:rsidR="00E77C85" w:rsidRPr="0076658C" w:rsidRDefault="00E77C85" w:rsidP="00C50D09">
            <w:pPr>
              <w:rPr>
                <w:lang w:eastAsia="lv-LV"/>
              </w:rPr>
            </w:pPr>
            <w:r w:rsidRPr="0076658C">
              <w:rPr>
                <w:lang w:eastAsia="lv-LV"/>
              </w:rPr>
              <w:t>Pamatojums</w:t>
            </w:r>
          </w:p>
        </w:tc>
        <w:tc>
          <w:tcPr>
            <w:tcW w:w="0" w:type="auto"/>
            <w:hideMark/>
          </w:tcPr>
          <w:p w:rsidR="00580942" w:rsidRPr="0076658C" w:rsidRDefault="00580942" w:rsidP="007B79E1">
            <w:pPr>
              <w:spacing w:before="120" w:after="120"/>
              <w:jc w:val="both"/>
            </w:pPr>
            <w:r w:rsidRPr="0076658C">
              <w:t>Likumprojekts</w:t>
            </w:r>
            <w:r w:rsidR="00347E89">
              <w:t xml:space="preserve"> izstrādā</w:t>
            </w:r>
            <w:r w:rsidR="005178DF">
              <w:t>ts, lai apstiprinātu Padziļinātu</w:t>
            </w:r>
            <w:r w:rsidR="00347E89">
              <w:t xml:space="preserve"> </w:t>
            </w:r>
            <w:r w:rsidR="00D82AE1">
              <w:t>partnerības un sadarbības</w:t>
            </w:r>
            <w:r w:rsidR="008F1313" w:rsidRPr="0076658C">
              <w:t xml:space="preserve"> no</w:t>
            </w:r>
            <w:r w:rsidR="00D82AE1">
              <w:t>līgumu starp Eiropas Savienību un tās</w:t>
            </w:r>
            <w:r w:rsidR="008F1313" w:rsidRPr="0076658C">
              <w:t xml:space="preserve"> dalībvalstīm, no vienas puses, un </w:t>
            </w:r>
            <w:r w:rsidR="00D82AE1">
              <w:t>Kazahstānas</w:t>
            </w:r>
            <w:r w:rsidR="008F1313" w:rsidRPr="0076658C">
              <w:t xml:space="preserve"> Republiku, no otras puses</w:t>
            </w:r>
            <w:r w:rsidR="00B43EF1" w:rsidRPr="0076658C">
              <w:t xml:space="preserve"> (turpmāk – </w:t>
            </w:r>
            <w:r w:rsidR="005211ED" w:rsidRPr="0076658C">
              <w:t>N</w:t>
            </w:r>
            <w:r w:rsidR="00B43EF1" w:rsidRPr="0076658C">
              <w:t>olīgums).</w:t>
            </w:r>
          </w:p>
          <w:p w:rsidR="00580942" w:rsidRPr="0076658C" w:rsidRDefault="00E53707" w:rsidP="00D84A7B">
            <w:pPr>
              <w:spacing w:before="120" w:after="120"/>
              <w:jc w:val="both"/>
            </w:pPr>
            <w:r w:rsidRPr="00E53707">
              <w:t xml:space="preserve">Nolīguma noslēgšana sekmēs Kazahstānas Republikas </w:t>
            </w:r>
            <w:r w:rsidRPr="00E53707">
              <w:rPr>
                <w:lang w:bidi="lv-LV"/>
              </w:rPr>
              <w:t xml:space="preserve">(turpmāk - Kazahstānas) </w:t>
            </w:r>
            <w:r w:rsidRPr="00E53707">
              <w:t xml:space="preserve">tuvināšanos ar Eiropas Savienību (turpmāk - ES) un dos iespēju veicināt Latvijas un Kazahstānas ekonomisko sadarbību, kas atbilst Deklarācijas par Laimdotas </w:t>
            </w:r>
            <w:proofErr w:type="spellStart"/>
            <w:r w:rsidRPr="00E53707">
              <w:t>Straujumas</w:t>
            </w:r>
            <w:proofErr w:type="spellEnd"/>
            <w:r w:rsidRPr="00E53707">
              <w:t xml:space="preserve"> vadītā Ministru kabineta iecerēto darbību sadaļā „Ārpolitika” noteiktajiem uzdevumiem: atbalstīt vienotu Eiropas Savienības ārpolitiku, sekmēt valsts konkurētspēju un ilgtspējīgu attīstību, īstenojot efektīvu un vienotu ārējo ekonomisko politiku, aizstāvēt ārējās ekonomiskās intereses tradicionālajās partnervalstīs, īstenot ES attīstības sadarbības mērķus, fokusējoties uz Latvijas ārpolitikas prioritāšu reģioniem, t.sk. Centrālāzijas valstīm.</w:t>
            </w:r>
          </w:p>
        </w:tc>
      </w:tr>
      <w:tr w:rsidR="00F17343" w:rsidRPr="0076658C" w:rsidTr="00F93EFA">
        <w:trPr>
          <w:trHeight w:val="472"/>
        </w:trPr>
        <w:tc>
          <w:tcPr>
            <w:tcW w:w="0" w:type="auto"/>
            <w:hideMark/>
          </w:tcPr>
          <w:p w:rsidR="00E77C85" w:rsidRPr="0076658C" w:rsidRDefault="0041760B" w:rsidP="00C50D09">
            <w:pPr>
              <w:rPr>
                <w:lang w:eastAsia="lv-LV"/>
              </w:rPr>
            </w:pPr>
            <w:r w:rsidRPr="0076658C">
              <w:rPr>
                <w:lang w:eastAsia="lv-LV"/>
              </w:rPr>
              <w:t> 2.</w:t>
            </w:r>
          </w:p>
        </w:tc>
        <w:tc>
          <w:tcPr>
            <w:tcW w:w="0" w:type="auto"/>
            <w:hideMark/>
          </w:tcPr>
          <w:p w:rsidR="00E77C85" w:rsidRPr="0076658C" w:rsidRDefault="00145C48" w:rsidP="00C50D09">
            <w:pPr>
              <w:rPr>
                <w:lang w:eastAsia="lv-LV"/>
              </w:rPr>
            </w:pPr>
            <w:r w:rsidRPr="0076658C">
              <w:rPr>
                <w:lang w:eastAsia="lv-LV"/>
              </w:rPr>
              <w:t>Pašreizējā situācija un problēmas, kuru risināšanai tiesību akta projekts izstrādāts, tiesiskā regulējuma mērķis un būtība</w:t>
            </w:r>
          </w:p>
        </w:tc>
        <w:tc>
          <w:tcPr>
            <w:tcW w:w="0" w:type="auto"/>
            <w:hideMark/>
          </w:tcPr>
          <w:p w:rsidR="00B643E9" w:rsidRPr="00B643E9" w:rsidRDefault="00B643E9" w:rsidP="00B643E9">
            <w:pPr>
              <w:jc w:val="both"/>
              <w:rPr>
                <w:noProof/>
                <w:color w:val="000000"/>
                <w:lang w:bidi="lv-LV"/>
              </w:rPr>
            </w:pPr>
            <w:r w:rsidRPr="00B643E9">
              <w:rPr>
                <w:noProof/>
                <w:color w:val="000000"/>
                <w:lang w:bidi="lv-LV"/>
              </w:rPr>
              <w:t>ES un Kazahstānas attiecību pamatā šobrīd ir Partnerības un sadarbības nolīgums, kas parakstīts Briselē 1995. gada 23.</w:t>
            </w:r>
            <w:r w:rsidR="001F1EDC">
              <w:rPr>
                <w:noProof/>
                <w:color w:val="000000"/>
                <w:lang w:bidi="lv-LV"/>
              </w:rPr>
              <w:t> </w:t>
            </w:r>
            <w:r w:rsidRPr="00B643E9">
              <w:rPr>
                <w:noProof/>
                <w:color w:val="000000"/>
                <w:lang w:bidi="lv-LV"/>
              </w:rPr>
              <w:t xml:space="preserve">janvārī un stājās spēkā 1999. gada </w:t>
            </w:r>
            <w:r w:rsidR="001F1EDC">
              <w:rPr>
                <w:noProof/>
                <w:color w:val="000000"/>
                <w:lang w:bidi="lv-LV"/>
              </w:rPr>
              <w:t>1.</w:t>
            </w:r>
            <w:r w:rsidR="0048167A" w:rsidRPr="00B643E9">
              <w:rPr>
                <w:noProof/>
                <w:color w:val="000000"/>
                <w:lang w:bidi="lv-LV"/>
              </w:rPr>
              <w:t>jū</w:t>
            </w:r>
            <w:r w:rsidR="0048167A">
              <w:rPr>
                <w:noProof/>
                <w:color w:val="000000"/>
                <w:lang w:bidi="lv-LV"/>
              </w:rPr>
              <w:t>l</w:t>
            </w:r>
            <w:r w:rsidR="0048167A" w:rsidRPr="00B643E9">
              <w:rPr>
                <w:noProof/>
                <w:color w:val="000000"/>
                <w:lang w:bidi="lv-LV"/>
              </w:rPr>
              <w:t>ijā</w:t>
            </w:r>
            <w:r w:rsidRPr="00B643E9">
              <w:rPr>
                <w:noProof/>
                <w:color w:val="000000"/>
                <w:lang w:bidi="lv-LV"/>
              </w:rPr>
              <w:t>.</w:t>
            </w:r>
          </w:p>
          <w:p w:rsidR="00D84A7B" w:rsidRPr="00D84A7B" w:rsidRDefault="00B643E9" w:rsidP="00D84A7B">
            <w:pPr>
              <w:jc w:val="both"/>
              <w:rPr>
                <w:noProof/>
                <w:color w:val="000000"/>
                <w:lang w:bidi="lv-LV"/>
              </w:rPr>
            </w:pPr>
            <w:r>
              <w:rPr>
                <w:noProof/>
                <w:color w:val="000000"/>
                <w:lang w:bidi="lv-LV"/>
              </w:rPr>
              <w:t xml:space="preserve">ES </w:t>
            </w:r>
            <w:r w:rsidRPr="00B643E9">
              <w:rPr>
                <w:noProof/>
                <w:color w:val="000000"/>
                <w:lang w:bidi="lv-LV"/>
              </w:rPr>
              <w:t xml:space="preserve">Padome 2011. gada 13. aprīlī pieņēma lēmumu, ar kuru pilnvaroja Eiropas Komisiju risināt sarunas par Padziļinātu partnerības un sadarbības nolīgumu starp </w:t>
            </w:r>
            <w:r w:rsidR="001F1EDC">
              <w:rPr>
                <w:noProof/>
                <w:color w:val="000000"/>
                <w:lang w:bidi="lv-LV"/>
              </w:rPr>
              <w:t>ES</w:t>
            </w:r>
            <w:r w:rsidRPr="00B643E9">
              <w:rPr>
                <w:noProof/>
                <w:color w:val="000000"/>
                <w:lang w:bidi="lv-LV"/>
              </w:rPr>
              <w:t xml:space="preserve"> un Kazahstānu. Sarunas par no</w:t>
            </w:r>
            <w:r>
              <w:rPr>
                <w:noProof/>
                <w:color w:val="000000"/>
                <w:lang w:bidi="lv-LV"/>
              </w:rPr>
              <w:t>līgumu sākās 2011. gada jūnijā</w:t>
            </w:r>
            <w:r w:rsidR="00D84A7B">
              <w:rPr>
                <w:noProof/>
                <w:color w:val="000000"/>
                <w:lang w:bidi="lv-LV"/>
              </w:rPr>
              <w:t xml:space="preserve">. </w:t>
            </w:r>
            <w:r>
              <w:rPr>
                <w:noProof/>
                <w:color w:val="000000"/>
                <w:lang w:bidi="lv-LV"/>
              </w:rPr>
              <w:t xml:space="preserve"> 2014. gada 12. septembrī</w:t>
            </w:r>
            <w:r w:rsidRPr="00B643E9">
              <w:rPr>
                <w:noProof/>
                <w:color w:val="000000"/>
                <w:lang w:bidi="lv-LV"/>
              </w:rPr>
              <w:t xml:space="preserve"> </w:t>
            </w:r>
            <w:r w:rsidR="00D84A7B">
              <w:rPr>
                <w:noProof/>
                <w:color w:val="000000"/>
                <w:lang w:bidi="lv-LV"/>
              </w:rPr>
              <w:t xml:space="preserve">Astanā </w:t>
            </w:r>
            <w:r w:rsidRPr="00B643E9">
              <w:rPr>
                <w:noProof/>
                <w:color w:val="000000"/>
                <w:lang w:bidi="lv-LV"/>
              </w:rPr>
              <w:t>ES un Kazahstāna</w:t>
            </w:r>
            <w:r w:rsidR="00D84A7B" w:rsidRPr="00D84A7B">
              <w:rPr>
                <w:noProof/>
                <w:color w:val="000000"/>
                <w:lang w:bidi="lv-LV"/>
              </w:rPr>
              <w:t xml:space="preserve"> sekmīgi noslēdza sarunas</w:t>
            </w:r>
            <w:r w:rsidRPr="00B643E9">
              <w:rPr>
                <w:noProof/>
                <w:color w:val="000000"/>
                <w:lang w:bidi="lv-LV"/>
              </w:rPr>
              <w:t>. Abas puses parafēja nolīgumu 2015. gada 20. janvārī.</w:t>
            </w:r>
            <w:r w:rsidR="00D84A7B" w:rsidRPr="00D84A7B">
              <w:rPr>
                <w:noProof/>
                <w:color w:val="000000"/>
                <w:lang w:bidi="lv-LV"/>
              </w:rPr>
              <w:t xml:space="preserve"> </w:t>
            </w:r>
            <w:r w:rsidR="005B5F39">
              <w:rPr>
                <w:noProof/>
                <w:color w:val="000000"/>
                <w:lang w:bidi="lv-LV"/>
              </w:rPr>
              <w:t>Plānots, ka nolīgumu ES Augstā pārstāve</w:t>
            </w:r>
            <w:r w:rsidR="009148F0">
              <w:t xml:space="preserve"> ārlietās un drošības politikas jautājumos</w:t>
            </w:r>
            <w:r w:rsidR="005B5F39">
              <w:rPr>
                <w:noProof/>
                <w:color w:val="000000"/>
                <w:lang w:bidi="lv-LV"/>
              </w:rPr>
              <w:t xml:space="preserve"> F.</w:t>
            </w:r>
            <w:r w:rsidR="009148F0">
              <w:rPr>
                <w:noProof/>
                <w:color w:val="000000"/>
                <w:lang w:bidi="lv-LV"/>
              </w:rPr>
              <w:t xml:space="preserve">Mogerīni </w:t>
            </w:r>
            <w:r w:rsidR="005B5F39">
              <w:rPr>
                <w:noProof/>
                <w:color w:val="000000"/>
                <w:lang w:bidi="lv-LV"/>
              </w:rPr>
              <w:t>parakstīs 21.decembrī Astanā.</w:t>
            </w:r>
          </w:p>
          <w:p w:rsidR="00B643E9" w:rsidRPr="00B643E9" w:rsidRDefault="001F1EDC" w:rsidP="00B643E9">
            <w:pPr>
              <w:jc w:val="both"/>
              <w:rPr>
                <w:noProof/>
                <w:color w:val="000000"/>
                <w:lang w:bidi="lv-LV"/>
              </w:rPr>
            </w:pPr>
            <w:r>
              <w:rPr>
                <w:noProof/>
                <w:color w:val="000000"/>
                <w:lang w:bidi="lv-LV"/>
              </w:rPr>
              <w:t>N</w:t>
            </w:r>
            <w:r w:rsidR="00B643E9" w:rsidRPr="00B643E9">
              <w:rPr>
                <w:noProof/>
                <w:color w:val="000000"/>
                <w:lang w:bidi="lv-LV"/>
              </w:rPr>
              <w:t xml:space="preserve">olīgums ir nozīmīgs solis ceļā uz lielāku </w:t>
            </w:r>
            <w:r>
              <w:rPr>
                <w:noProof/>
                <w:color w:val="000000"/>
                <w:lang w:bidi="lv-LV"/>
              </w:rPr>
              <w:t xml:space="preserve">ES </w:t>
            </w:r>
            <w:r w:rsidR="00B643E9" w:rsidRPr="00B643E9">
              <w:rPr>
                <w:noProof/>
                <w:color w:val="000000"/>
                <w:lang w:bidi="lv-LV"/>
              </w:rPr>
              <w:t xml:space="preserve">politisko un ekonomisko iesaisti </w:t>
            </w:r>
            <w:r w:rsidR="002A4D2F">
              <w:rPr>
                <w:noProof/>
                <w:color w:val="000000"/>
                <w:lang w:bidi="lv-LV"/>
              </w:rPr>
              <w:t>Centrāl</w:t>
            </w:r>
            <w:r w:rsidR="00B643E9" w:rsidRPr="00B643E9">
              <w:rPr>
                <w:noProof/>
                <w:color w:val="000000"/>
                <w:lang w:bidi="lv-LV"/>
              </w:rPr>
              <w:t xml:space="preserve">āzijā. Stiprinot politisko dialogu un uzlabojot sadarbību daudzās jomās, tas būs pamats efektīvākai divpusējai sadarbībai ar Kazahstānu. </w:t>
            </w:r>
          </w:p>
          <w:p w:rsidR="002A4D2F" w:rsidRPr="003D39B9" w:rsidRDefault="002A4D2F" w:rsidP="003D39B9">
            <w:pPr>
              <w:jc w:val="both"/>
              <w:rPr>
                <w:noProof/>
                <w:color w:val="000000"/>
                <w:lang w:bidi="lv-LV"/>
              </w:rPr>
            </w:pPr>
            <w:r>
              <w:rPr>
                <w:rFonts w:eastAsia="Calibri"/>
                <w:noProof/>
                <w:lang w:eastAsia="en-GB"/>
              </w:rPr>
              <w:t>N</w:t>
            </w:r>
            <w:r w:rsidRPr="002A4D2F">
              <w:rPr>
                <w:rFonts w:eastAsia="Calibri"/>
                <w:noProof/>
                <w:lang w:eastAsia="en-GB"/>
              </w:rPr>
              <w:t xml:space="preserve">olīguma mērķis ir izveidot partnerību ar plašāku sadarbību starp pusēm, pamatojoties uz kopējām interesēm. Tas domāts tam, lai attīstītu attiecības starp abām pusēm visās nolīguma piemērošanas jomās. </w:t>
            </w:r>
          </w:p>
          <w:p w:rsidR="002A4D2F" w:rsidRPr="002A4D2F" w:rsidRDefault="00DC721F" w:rsidP="002A4D2F">
            <w:pPr>
              <w:spacing w:before="120"/>
              <w:jc w:val="both"/>
              <w:rPr>
                <w:rFonts w:eastAsia="Calibri"/>
                <w:noProof/>
                <w:lang w:eastAsia="en-GB"/>
              </w:rPr>
            </w:pPr>
            <w:r>
              <w:rPr>
                <w:rFonts w:eastAsia="Calibri"/>
                <w:noProof/>
                <w:lang w:eastAsia="en-GB"/>
              </w:rPr>
              <w:t>Nolīgums</w:t>
            </w:r>
            <w:r w:rsidR="00F91F92" w:rsidRPr="00F91F92">
              <w:rPr>
                <w:rFonts w:eastAsia="Calibri"/>
                <w:noProof/>
                <w:lang w:eastAsia="en-GB"/>
              </w:rPr>
              <w:t xml:space="preserve"> sastāv no deviņām </w:t>
            </w:r>
            <w:r w:rsidR="00094718">
              <w:rPr>
                <w:rFonts w:eastAsia="Calibri"/>
                <w:noProof/>
                <w:lang w:eastAsia="en-GB"/>
              </w:rPr>
              <w:t>sa</w:t>
            </w:r>
            <w:r w:rsidR="00F91F92" w:rsidRPr="00F91F92">
              <w:rPr>
                <w:rFonts w:eastAsia="Calibri"/>
                <w:noProof/>
                <w:lang w:eastAsia="en-GB"/>
              </w:rPr>
              <w:t>daļām</w:t>
            </w:r>
            <w:r w:rsidR="00094718">
              <w:rPr>
                <w:rFonts w:eastAsia="Calibri"/>
                <w:noProof/>
                <w:lang w:eastAsia="en-GB"/>
              </w:rPr>
              <w:t>.</w:t>
            </w:r>
            <w:r w:rsidR="00F91F92" w:rsidRPr="00F91F92">
              <w:rPr>
                <w:rFonts w:eastAsia="Calibri"/>
                <w:noProof/>
                <w:lang w:eastAsia="en-GB"/>
              </w:rPr>
              <w:t xml:space="preserve"> </w:t>
            </w:r>
            <w:r w:rsidR="002A4D2F" w:rsidRPr="002A4D2F">
              <w:rPr>
                <w:rFonts w:eastAsia="Calibri"/>
                <w:noProof/>
                <w:lang w:eastAsia="en-GB"/>
              </w:rPr>
              <w:t>Nolīguma saturu veido trīs pīlāru struktūra</w:t>
            </w:r>
            <w:r>
              <w:rPr>
                <w:rFonts w:eastAsia="Calibri"/>
                <w:noProof/>
                <w:lang w:eastAsia="en-GB"/>
              </w:rPr>
              <w:t>:</w:t>
            </w:r>
          </w:p>
          <w:p w:rsidR="002A4D2F" w:rsidRPr="002A4D2F" w:rsidRDefault="002A4D2F" w:rsidP="002A4D2F">
            <w:pPr>
              <w:spacing w:before="120"/>
              <w:jc w:val="both"/>
              <w:rPr>
                <w:rFonts w:eastAsia="Calibri"/>
                <w:noProof/>
                <w:lang w:eastAsia="en-GB"/>
              </w:rPr>
            </w:pPr>
            <w:r w:rsidRPr="002A4D2F">
              <w:rPr>
                <w:rFonts w:eastAsia="Calibri"/>
                <w:noProof/>
                <w:lang w:eastAsia="en-GB"/>
              </w:rPr>
              <w:t>–</w:t>
            </w:r>
            <w:r w:rsidRPr="002A4D2F">
              <w:rPr>
                <w:rFonts w:eastAsia="Calibri"/>
                <w:noProof/>
                <w:lang w:eastAsia="en-GB"/>
              </w:rPr>
              <w:tab/>
              <w:t xml:space="preserve">Politiskais dialogs un sadarbība ārējās politikas un drošības politikas jomā. I sadaļa "Šā nolīguma vispārējie principi un mērķi" un II sadaļa "Politiskais dialogs, sadarbība ārpolitikas un drošības politikas jomā". II sadaļā ir </w:t>
            </w:r>
            <w:r w:rsidRPr="002A4D2F">
              <w:rPr>
                <w:rFonts w:eastAsia="Calibri"/>
                <w:noProof/>
                <w:lang w:eastAsia="en-GB"/>
              </w:rPr>
              <w:lastRenderedPageBreak/>
              <w:t xml:space="preserve">noteikumi par politisko dialogu, demokrātiju un tiesiskumu, ārpolitiku un drošības politiku, kosmosa drošību, </w:t>
            </w:r>
            <w:r w:rsidR="009942CA">
              <w:rPr>
                <w:rFonts w:eastAsia="Calibri"/>
                <w:noProof/>
                <w:lang w:eastAsia="en-GB"/>
              </w:rPr>
              <w:t xml:space="preserve">smagākiem </w:t>
            </w:r>
            <w:r w:rsidRPr="002A4D2F">
              <w:rPr>
                <w:rFonts w:eastAsia="Calibri"/>
                <w:noProof/>
                <w:lang w:eastAsia="en-GB"/>
              </w:rPr>
              <w:t>starptautiskas nozīmes noziegumiem, konfliktu novēršanu</w:t>
            </w:r>
            <w:r w:rsidR="009942CA">
              <w:rPr>
                <w:rFonts w:eastAsia="Calibri"/>
                <w:noProof/>
                <w:lang w:eastAsia="en-GB"/>
              </w:rPr>
              <w:t>,</w:t>
            </w:r>
            <w:r w:rsidRPr="002A4D2F">
              <w:rPr>
                <w:rFonts w:eastAsia="Calibri"/>
                <w:noProof/>
                <w:lang w:eastAsia="en-GB"/>
              </w:rPr>
              <w:t xml:space="preserve"> krīžu pārvarēšanu un terorisma apkarošanu.</w:t>
            </w:r>
          </w:p>
          <w:p w:rsidR="002A4D2F" w:rsidRPr="002A4D2F" w:rsidRDefault="002A4D2F" w:rsidP="002A4D2F">
            <w:pPr>
              <w:spacing w:before="120"/>
              <w:jc w:val="both"/>
              <w:rPr>
                <w:rFonts w:eastAsia="Calibri"/>
                <w:noProof/>
                <w:lang w:eastAsia="en-GB"/>
              </w:rPr>
            </w:pPr>
            <w:r w:rsidRPr="002A4D2F">
              <w:rPr>
                <w:rFonts w:eastAsia="Calibri"/>
                <w:noProof/>
                <w:lang w:eastAsia="en-GB"/>
              </w:rPr>
              <w:t>–</w:t>
            </w:r>
            <w:r w:rsidRPr="002A4D2F">
              <w:rPr>
                <w:rFonts w:eastAsia="Calibri"/>
                <w:noProof/>
                <w:lang w:eastAsia="en-GB"/>
              </w:rPr>
              <w:tab/>
              <w:t xml:space="preserve">Tirdzniecība un </w:t>
            </w:r>
            <w:r w:rsidR="005B5F39">
              <w:rPr>
                <w:rFonts w:eastAsia="Calibri"/>
                <w:noProof/>
                <w:lang w:eastAsia="en-GB"/>
              </w:rPr>
              <w:t>darījum</w:t>
            </w:r>
            <w:r w:rsidRPr="002A4D2F">
              <w:rPr>
                <w:rFonts w:eastAsia="Calibri"/>
                <w:noProof/>
                <w:lang w:eastAsia="en-GB"/>
              </w:rPr>
              <w:t>darbība. III sadaļā "Tirdzniecība un darījumdarbība" ir iekļauti noteikumi par preču tirdzniecību, muitu, tehniskajiem šķēršļiem tirdzniecībai, sanitārajiem un fitosanitārajiem jautājumiem, pakalpojumiem un uzņēmējdarbību, kapitāla apriti un maksājumiem, intelektuālo īpašumu, valsts iepirkumu, izejvielām un enerģiju, tirdzniecību un ilgtspējīgu attīstību, konkurenci un tirdzniecības strīdu izšķiršanu.</w:t>
            </w:r>
          </w:p>
          <w:p w:rsidR="002A4D2F" w:rsidRPr="002A4D2F" w:rsidRDefault="002A4D2F" w:rsidP="002A4D2F">
            <w:pPr>
              <w:spacing w:before="120"/>
              <w:jc w:val="both"/>
              <w:rPr>
                <w:rFonts w:eastAsia="Calibri"/>
                <w:noProof/>
                <w:lang w:eastAsia="en-GB"/>
              </w:rPr>
            </w:pPr>
            <w:r w:rsidRPr="002A4D2F">
              <w:rPr>
                <w:rFonts w:eastAsia="Calibri"/>
                <w:noProof/>
                <w:lang w:eastAsia="en-GB"/>
              </w:rPr>
              <w:t>–</w:t>
            </w:r>
            <w:r w:rsidRPr="002A4D2F">
              <w:rPr>
                <w:rFonts w:eastAsia="Calibri"/>
                <w:noProof/>
                <w:lang w:eastAsia="en-GB"/>
              </w:rPr>
              <w:tab/>
              <w:t>Nozaru sadarbība. IV sadaļa "Sadarbība ekonomikas un ilgtspējīgas attīstības jomā", V sadaļa "Sadarbība tiesiskuma, brīvības un drošības jomā", VI sadaļa "Citas politikas jomas sadarbībai", VII sadaļa "Finansiālā un tehniskā sadarbība". Šajās sadaļās iekļauti noteikumi par sadarbību plašā jomu spektrā, piemēram, migrācija, vide, nodokļi, transports, izglītība, informācijas sabiedrība, lauksaimniecība un lauku attīstība.</w:t>
            </w:r>
          </w:p>
          <w:p w:rsidR="003D39B9" w:rsidRPr="00DA3EDE" w:rsidRDefault="003D39B9" w:rsidP="003D39B9">
            <w:pPr>
              <w:spacing w:before="120"/>
              <w:jc w:val="both"/>
              <w:rPr>
                <w:rFonts w:eastAsia="Calibri"/>
                <w:b/>
                <w:noProof/>
                <w:lang w:eastAsia="en-GB"/>
              </w:rPr>
            </w:pPr>
            <w:r w:rsidRPr="00DA3EDE">
              <w:rPr>
                <w:rFonts w:eastAsia="Calibri"/>
                <w:b/>
                <w:noProof/>
                <w:lang w:eastAsia="en-GB"/>
              </w:rPr>
              <w:t>Īstenošana un tūlītējie ieguvumi</w:t>
            </w:r>
          </w:p>
          <w:p w:rsidR="00E53707" w:rsidRPr="00E53707" w:rsidRDefault="00E53707" w:rsidP="00E53707">
            <w:pPr>
              <w:spacing w:before="120"/>
              <w:jc w:val="both"/>
              <w:rPr>
                <w:rFonts w:eastAsia="Calibri"/>
                <w:iCs/>
                <w:noProof/>
                <w:lang w:eastAsia="en-GB"/>
              </w:rPr>
            </w:pPr>
            <w:r w:rsidRPr="00E53707">
              <w:rPr>
                <w:rFonts w:eastAsia="Calibri"/>
                <w:noProof/>
                <w:lang w:eastAsia="en-GB"/>
              </w:rPr>
              <w:t>Nolīguma ieviešana sniegs konkrētus ieguvumus Kazahstānā, piemēram, labāku patērētāju aizsardzību, ieskaitot zemākas cenas un kvalitātīvākus produktus; vairāk uzņēmējdarbības iespēju maziem un vidējiem uzņēmumiem, uzlabojot nodarbinātību; efektīvāka enerģijas izmantošana un atjaunojamo enerģijas avotu attīstīšana; uzlabota tieslietu nozares darbība, nostiprināts tiesiskums un paaugstināta caurskatāmība.</w:t>
            </w:r>
          </w:p>
          <w:p w:rsidR="00E53707" w:rsidRPr="00E53707" w:rsidRDefault="00E53707" w:rsidP="00E53707">
            <w:pPr>
              <w:spacing w:before="120"/>
              <w:jc w:val="both"/>
              <w:rPr>
                <w:rFonts w:eastAsia="Calibri"/>
                <w:noProof/>
                <w:lang w:eastAsia="en-GB"/>
              </w:rPr>
            </w:pPr>
            <w:r w:rsidRPr="00E53707">
              <w:rPr>
                <w:rFonts w:eastAsia="Calibri"/>
                <w:iCs/>
                <w:noProof/>
                <w:lang w:eastAsia="en-GB"/>
              </w:rPr>
              <w:t xml:space="preserve">Nolīgums dos iespēju </w:t>
            </w:r>
            <w:r w:rsidRPr="00E53707">
              <w:rPr>
                <w:rFonts w:eastAsia="Calibri"/>
                <w:noProof/>
                <w:lang w:eastAsia="en-GB"/>
              </w:rPr>
              <w:t>radīt labvēlīgākus apstākļus Latvijas – Kazahstānas sadarbībai tirdzniecības un investīciju jomās</w:t>
            </w:r>
          </w:p>
          <w:p w:rsidR="003D39B9" w:rsidRPr="00DA3EDE" w:rsidRDefault="003D39B9" w:rsidP="003D39B9">
            <w:pPr>
              <w:spacing w:before="120"/>
              <w:jc w:val="both"/>
              <w:rPr>
                <w:rFonts w:eastAsia="Calibri"/>
                <w:noProof/>
                <w:lang w:eastAsia="en-GB"/>
              </w:rPr>
            </w:pPr>
            <w:r w:rsidRPr="00DA3EDE">
              <w:rPr>
                <w:rFonts w:eastAsia="Calibri"/>
                <w:noProof/>
                <w:lang w:eastAsia="en-GB"/>
              </w:rPr>
              <w:t xml:space="preserve">Nolīgumam paredzēta pagaidu piemērošana, lai pozitīvu ietekmi varētu sagaidīt vēl pirms </w:t>
            </w:r>
            <w:r w:rsidR="009942CA">
              <w:rPr>
                <w:rFonts w:eastAsia="Calibri"/>
                <w:noProof/>
                <w:lang w:eastAsia="en-GB"/>
              </w:rPr>
              <w:t xml:space="preserve">tiek pabeigta nolīguma </w:t>
            </w:r>
            <w:r w:rsidRPr="00DA3EDE">
              <w:rPr>
                <w:rFonts w:eastAsia="Calibri"/>
                <w:noProof/>
                <w:lang w:eastAsia="en-GB"/>
              </w:rPr>
              <w:t>ratifi</w:t>
            </w:r>
            <w:r w:rsidR="009942CA">
              <w:rPr>
                <w:rFonts w:eastAsia="Calibri"/>
                <w:noProof/>
                <w:lang w:eastAsia="en-GB"/>
              </w:rPr>
              <w:t>kācija</w:t>
            </w:r>
            <w:r w:rsidR="00CB35F5">
              <w:rPr>
                <w:rFonts w:eastAsia="Calibri"/>
                <w:noProof/>
                <w:lang w:eastAsia="en-GB"/>
              </w:rPr>
              <w:t xml:space="preserve"> ES un tās dalībvalstīs</w:t>
            </w:r>
            <w:r w:rsidRPr="00DA3EDE">
              <w:rPr>
                <w:rFonts w:eastAsia="Calibri"/>
                <w:noProof/>
                <w:lang w:eastAsia="en-GB"/>
              </w:rPr>
              <w:t>.</w:t>
            </w:r>
          </w:p>
          <w:p w:rsidR="003D39B9" w:rsidRPr="00DA3EDE" w:rsidRDefault="003D39B9" w:rsidP="003D39B9">
            <w:pPr>
              <w:spacing w:before="120"/>
              <w:jc w:val="both"/>
              <w:rPr>
                <w:rFonts w:eastAsia="Calibri"/>
                <w:b/>
                <w:noProof/>
                <w:lang w:eastAsia="en-GB"/>
              </w:rPr>
            </w:pPr>
            <w:r w:rsidRPr="00DA3EDE">
              <w:rPr>
                <w:rFonts w:eastAsia="Calibri"/>
                <w:b/>
                <w:noProof/>
                <w:lang w:eastAsia="en-GB"/>
              </w:rPr>
              <w:t xml:space="preserve">Papildu informācija </w:t>
            </w:r>
          </w:p>
          <w:p w:rsidR="003D39B9" w:rsidRPr="00DA3EDE" w:rsidRDefault="003D39B9" w:rsidP="003D39B9">
            <w:pPr>
              <w:spacing w:before="120"/>
              <w:jc w:val="both"/>
              <w:rPr>
                <w:rFonts w:eastAsia="Calibri"/>
                <w:noProof/>
                <w:lang w:eastAsia="en-GB"/>
              </w:rPr>
            </w:pPr>
            <w:r w:rsidRPr="00DA3EDE">
              <w:rPr>
                <w:rFonts w:eastAsia="Calibri"/>
                <w:noProof/>
                <w:lang w:eastAsia="en-GB"/>
              </w:rPr>
              <w:t>Kazahstāna ir pirmais Centrālāzijas partn</w:t>
            </w:r>
            <w:r w:rsidR="005B5F39">
              <w:rPr>
                <w:rFonts w:eastAsia="Calibri"/>
                <w:noProof/>
                <w:lang w:eastAsia="en-GB"/>
              </w:rPr>
              <w:t>eris, kas būs noslēdzis Padziļinātu</w:t>
            </w:r>
            <w:r w:rsidRPr="00DA3EDE">
              <w:rPr>
                <w:rFonts w:eastAsia="Calibri"/>
                <w:noProof/>
                <w:lang w:eastAsia="en-GB"/>
              </w:rPr>
              <w:t xml:space="preserve"> partnerības un sadarbības nolīgumu ar </w:t>
            </w:r>
            <w:r w:rsidR="009942CA">
              <w:rPr>
                <w:rFonts w:eastAsia="Calibri"/>
                <w:noProof/>
                <w:lang w:eastAsia="en-GB"/>
              </w:rPr>
              <w:t>ES</w:t>
            </w:r>
            <w:r w:rsidRPr="00DA3EDE">
              <w:rPr>
                <w:rFonts w:eastAsia="Calibri"/>
                <w:noProof/>
                <w:lang w:eastAsia="en-GB"/>
              </w:rPr>
              <w:t>. Jaunais Nolīgums aizstās Partnerattiecību un sadarbības nolīgumu un sniegs ES un Kazahstānas attiecībām jaunu mūsdienīgu un spēcīgāku pamatu.</w:t>
            </w:r>
          </w:p>
          <w:p w:rsidR="003D39B9" w:rsidRPr="00DA3EDE" w:rsidRDefault="003D39B9" w:rsidP="003D39B9">
            <w:pPr>
              <w:spacing w:before="120"/>
              <w:jc w:val="both"/>
              <w:rPr>
                <w:rFonts w:eastAsia="Calibri"/>
                <w:noProof/>
                <w:lang w:eastAsia="en-GB"/>
              </w:rPr>
            </w:pPr>
            <w:r w:rsidRPr="00DA3EDE">
              <w:rPr>
                <w:rFonts w:eastAsia="Calibri"/>
                <w:noProof/>
                <w:lang w:eastAsia="en-GB"/>
              </w:rPr>
              <w:t>Pēdējās desmitgades laikā ES ir kļuvusi par Kazahstānas galveno tirdzniecības partneri un galveno ārzemju investoru, pārstāvot vairāk nekā pusi no kopējām ārvalstu tiešajām investīcijām (ĀTI) Kazahstānā. Divpusējās tirdzniecības apjoms pārsniedz 31 miljardu euro, no kuriem 24 miljardi euro ir Kazahstānas eksports, it sevišķi naftas produkti, kamēr aptuveni 7,5 miljardi</w:t>
            </w:r>
            <w:r w:rsidR="009942CA">
              <w:rPr>
                <w:rFonts w:eastAsia="Calibri"/>
                <w:noProof/>
                <w:lang w:eastAsia="en-GB"/>
              </w:rPr>
              <w:t xml:space="preserve"> euro</w:t>
            </w:r>
            <w:r w:rsidRPr="00DA3EDE">
              <w:rPr>
                <w:rFonts w:eastAsia="Calibri"/>
                <w:noProof/>
                <w:lang w:eastAsia="en-GB"/>
              </w:rPr>
              <w:t xml:space="preserve"> ir ES eksports uz </w:t>
            </w:r>
            <w:r w:rsidRPr="00DA3EDE">
              <w:rPr>
                <w:rFonts w:eastAsia="Calibri"/>
                <w:noProof/>
                <w:lang w:eastAsia="en-GB"/>
              </w:rPr>
              <w:lastRenderedPageBreak/>
              <w:t>Kazahstānu, lielākoties rūpniecības preces, mehānismi un iekārtas.</w:t>
            </w:r>
          </w:p>
          <w:p w:rsidR="00733C5D" w:rsidRPr="0076658C" w:rsidRDefault="00733C5D" w:rsidP="002A4D2F">
            <w:pPr>
              <w:spacing w:before="120"/>
              <w:jc w:val="both"/>
              <w:rPr>
                <w:rFonts w:eastAsia="Calibri"/>
                <w:noProof/>
                <w:color w:val="000000"/>
                <w:lang w:eastAsia="en-GB"/>
              </w:rPr>
            </w:pPr>
            <w:r w:rsidRPr="0076658C">
              <w:rPr>
                <w:rFonts w:eastAsia="Calibri"/>
                <w:noProof/>
                <w:lang w:eastAsia="en-GB"/>
              </w:rPr>
              <w:t xml:space="preserve">Nolīgums būs arī pamats Latvijas efektīvākai divpusējai </w:t>
            </w:r>
            <w:r w:rsidR="00101785" w:rsidRPr="0076658C">
              <w:rPr>
                <w:rFonts w:eastAsia="Calibri"/>
                <w:noProof/>
                <w:lang w:eastAsia="en-GB"/>
              </w:rPr>
              <w:t>sadarbībai</w:t>
            </w:r>
            <w:r w:rsidRPr="0076658C">
              <w:rPr>
                <w:rFonts w:eastAsia="Calibri"/>
                <w:noProof/>
                <w:lang w:eastAsia="en-GB"/>
              </w:rPr>
              <w:t xml:space="preserve"> ar </w:t>
            </w:r>
            <w:r w:rsidR="003D39B9">
              <w:rPr>
                <w:rFonts w:eastAsia="Calibri"/>
                <w:noProof/>
                <w:lang w:eastAsia="en-GB"/>
              </w:rPr>
              <w:t>Kazahstān</w:t>
            </w:r>
            <w:r w:rsidR="009942CA">
              <w:rPr>
                <w:rFonts w:eastAsia="Calibri"/>
                <w:noProof/>
                <w:lang w:eastAsia="en-GB"/>
              </w:rPr>
              <w:t>u</w:t>
            </w:r>
            <w:r w:rsidRPr="0076658C">
              <w:rPr>
                <w:rFonts w:eastAsia="Calibri"/>
                <w:noProof/>
                <w:lang w:eastAsia="en-GB"/>
              </w:rPr>
              <w:t xml:space="preserve">, </w:t>
            </w:r>
            <w:r w:rsidR="00067194" w:rsidRPr="0076658C">
              <w:rPr>
                <w:rFonts w:eastAsia="Calibri"/>
                <w:noProof/>
                <w:lang w:eastAsia="en-GB"/>
              </w:rPr>
              <w:t>veicinot</w:t>
            </w:r>
            <w:r w:rsidRPr="0076658C">
              <w:rPr>
                <w:rFonts w:eastAsia="Calibri"/>
                <w:noProof/>
                <w:lang w:eastAsia="en-GB"/>
              </w:rPr>
              <w:t xml:space="preserve"> politisko un </w:t>
            </w:r>
            <w:r w:rsidR="00067194" w:rsidRPr="0076658C">
              <w:rPr>
                <w:rFonts w:eastAsia="Calibri"/>
                <w:noProof/>
                <w:lang w:eastAsia="en-GB"/>
              </w:rPr>
              <w:t>ekonomisko attiecību padziļināšanu.</w:t>
            </w:r>
            <w:r w:rsidRPr="0076658C">
              <w:rPr>
                <w:rFonts w:eastAsia="Calibri"/>
                <w:noProof/>
                <w:color w:val="000000"/>
                <w:lang w:eastAsia="en-GB"/>
              </w:rPr>
              <w:t xml:space="preserve"> </w:t>
            </w:r>
          </w:p>
          <w:p w:rsidR="00D12B80" w:rsidRPr="0076658C" w:rsidRDefault="00D12B80" w:rsidP="00685E5A">
            <w:pPr>
              <w:spacing w:before="120"/>
              <w:jc w:val="both"/>
              <w:rPr>
                <w:lang w:eastAsia="lv-LV"/>
              </w:rPr>
            </w:pPr>
            <w:r w:rsidRPr="0076658C">
              <w:rPr>
                <w:lang w:eastAsia="lv-LV"/>
              </w:rPr>
              <w:t>Ņemot vērā, ka nolīgums ir jauktais starptautiskais nolīgums, kurš satur gan ES, gan dalībvalstu kompetencē esošos jautājumus</w:t>
            </w:r>
            <w:r w:rsidR="00E874C9" w:rsidRPr="0076658C">
              <w:rPr>
                <w:lang w:eastAsia="lv-LV"/>
              </w:rPr>
              <w:t>, ir nepieciešama šī nolīguma</w:t>
            </w:r>
            <w:r w:rsidR="008F6347" w:rsidRPr="0076658C">
              <w:rPr>
                <w:lang w:eastAsia="lv-LV"/>
              </w:rPr>
              <w:t xml:space="preserve"> </w:t>
            </w:r>
            <w:r w:rsidR="00E874C9" w:rsidRPr="0076658C">
              <w:rPr>
                <w:lang w:eastAsia="lv-LV"/>
              </w:rPr>
              <w:t>apstiprināšana visās dalībvalstīs</w:t>
            </w:r>
            <w:r w:rsidR="00685E5A" w:rsidRPr="0076658C">
              <w:rPr>
                <w:lang w:eastAsia="lv-LV"/>
              </w:rPr>
              <w:t>,</w:t>
            </w:r>
            <w:r w:rsidR="00E874C9" w:rsidRPr="0076658C">
              <w:rPr>
                <w:lang w:eastAsia="lv-LV"/>
              </w:rPr>
              <w:t xml:space="preserve"> </w:t>
            </w:r>
            <w:r w:rsidR="008F6347" w:rsidRPr="0076658C">
              <w:rPr>
                <w:lang w:eastAsia="lv-LV"/>
              </w:rPr>
              <w:t xml:space="preserve">kā arī </w:t>
            </w:r>
            <w:r w:rsidR="001C6C1D" w:rsidRPr="0076658C">
              <w:rPr>
                <w:lang w:eastAsia="lv-LV"/>
              </w:rPr>
              <w:t xml:space="preserve">ES </w:t>
            </w:r>
            <w:r w:rsidR="00E874C9" w:rsidRPr="0076658C">
              <w:rPr>
                <w:lang w:eastAsia="lv-LV"/>
              </w:rPr>
              <w:t>Padomē</w:t>
            </w:r>
            <w:r w:rsidRPr="0076658C">
              <w:rPr>
                <w:lang w:eastAsia="lv-LV"/>
              </w:rPr>
              <w:t xml:space="preserve">.  </w:t>
            </w:r>
          </w:p>
          <w:p w:rsidR="00F339D2" w:rsidRPr="0076658C" w:rsidRDefault="00F339D2" w:rsidP="00DA3EDE"/>
        </w:tc>
      </w:tr>
      <w:tr w:rsidR="00F17343" w:rsidRPr="0076658C" w:rsidTr="00934D1A">
        <w:trPr>
          <w:trHeight w:val="289"/>
        </w:trPr>
        <w:tc>
          <w:tcPr>
            <w:tcW w:w="0" w:type="auto"/>
            <w:hideMark/>
          </w:tcPr>
          <w:p w:rsidR="00E77C85" w:rsidRPr="0076658C" w:rsidRDefault="0041760B" w:rsidP="00145C48">
            <w:pPr>
              <w:rPr>
                <w:lang w:eastAsia="lv-LV"/>
              </w:rPr>
            </w:pPr>
            <w:r w:rsidRPr="0076658C">
              <w:rPr>
                <w:lang w:eastAsia="lv-LV"/>
              </w:rPr>
              <w:lastRenderedPageBreak/>
              <w:t> </w:t>
            </w:r>
            <w:r w:rsidR="00145C48" w:rsidRPr="0076658C">
              <w:rPr>
                <w:lang w:eastAsia="lv-LV"/>
              </w:rPr>
              <w:t>3</w:t>
            </w:r>
            <w:r w:rsidRPr="0076658C">
              <w:rPr>
                <w:lang w:eastAsia="lv-LV"/>
              </w:rPr>
              <w:t>.</w:t>
            </w:r>
          </w:p>
        </w:tc>
        <w:tc>
          <w:tcPr>
            <w:tcW w:w="0" w:type="auto"/>
            <w:hideMark/>
          </w:tcPr>
          <w:p w:rsidR="00D82F66" w:rsidRPr="0076658C" w:rsidRDefault="0041760B" w:rsidP="00934D1A">
            <w:pPr>
              <w:rPr>
                <w:lang w:eastAsia="lv-LV"/>
              </w:rPr>
            </w:pPr>
            <w:r w:rsidRPr="0076658C">
              <w:rPr>
                <w:lang w:eastAsia="lv-LV"/>
              </w:rPr>
              <w:t>Projekta izstrādē iesaistītās institūcijas</w:t>
            </w:r>
          </w:p>
        </w:tc>
        <w:tc>
          <w:tcPr>
            <w:tcW w:w="0" w:type="auto"/>
            <w:hideMark/>
          </w:tcPr>
          <w:p w:rsidR="00E77C85" w:rsidRPr="0076658C" w:rsidRDefault="00537031" w:rsidP="007B79E1">
            <w:pPr>
              <w:spacing w:before="120" w:after="120"/>
              <w:jc w:val="both"/>
              <w:rPr>
                <w:highlight w:val="yellow"/>
                <w:lang w:eastAsia="lv-LV"/>
              </w:rPr>
            </w:pPr>
            <w:r w:rsidRPr="0076658C">
              <w:t>Ārlietu ministrija</w:t>
            </w:r>
          </w:p>
        </w:tc>
      </w:tr>
      <w:tr w:rsidR="00D92292" w:rsidRPr="0076658C" w:rsidTr="00F93EFA">
        <w:tc>
          <w:tcPr>
            <w:tcW w:w="0" w:type="auto"/>
            <w:hideMark/>
          </w:tcPr>
          <w:p w:rsidR="00D92292" w:rsidRPr="0076658C" w:rsidRDefault="00D92292" w:rsidP="00145C48">
            <w:pPr>
              <w:rPr>
                <w:lang w:eastAsia="lv-LV"/>
              </w:rPr>
            </w:pPr>
            <w:r w:rsidRPr="0076658C">
              <w:rPr>
                <w:lang w:eastAsia="lv-LV"/>
              </w:rPr>
              <w:t> </w:t>
            </w:r>
            <w:r w:rsidR="00145C48" w:rsidRPr="0076658C">
              <w:rPr>
                <w:lang w:eastAsia="lv-LV"/>
              </w:rPr>
              <w:t>4</w:t>
            </w:r>
            <w:r w:rsidRPr="0076658C">
              <w:rPr>
                <w:lang w:eastAsia="lv-LV"/>
              </w:rPr>
              <w:t>.</w:t>
            </w:r>
          </w:p>
        </w:tc>
        <w:tc>
          <w:tcPr>
            <w:tcW w:w="0" w:type="auto"/>
            <w:hideMark/>
          </w:tcPr>
          <w:p w:rsidR="00D92292" w:rsidRPr="0076658C" w:rsidRDefault="00D92292" w:rsidP="00C50D09">
            <w:pPr>
              <w:rPr>
                <w:lang w:eastAsia="lv-LV"/>
              </w:rPr>
            </w:pPr>
            <w:r w:rsidRPr="0076658C">
              <w:rPr>
                <w:lang w:eastAsia="lv-LV"/>
              </w:rPr>
              <w:t>Cita informācija</w:t>
            </w:r>
          </w:p>
        </w:tc>
        <w:tc>
          <w:tcPr>
            <w:tcW w:w="0" w:type="auto"/>
            <w:hideMark/>
          </w:tcPr>
          <w:p w:rsidR="00D92292" w:rsidRPr="0076658C" w:rsidRDefault="00DC721F" w:rsidP="009148F0">
            <w:pPr>
              <w:jc w:val="both"/>
              <w:rPr>
                <w:lang w:eastAsia="lv-LV"/>
              </w:rPr>
            </w:pPr>
            <w:r w:rsidRPr="00EB3E34">
              <w:rPr>
                <w:lang w:eastAsia="lv-LV"/>
              </w:rPr>
              <w:t>N</w:t>
            </w:r>
            <w:r w:rsidR="00313D39" w:rsidRPr="00EB3E34">
              <w:rPr>
                <w:lang w:eastAsia="lv-LV"/>
              </w:rPr>
              <w:t xml:space="preserve">olīguma </w:t>
            </w:r>
            <w:r w:rsidRPr="00EB3E34">
              <w:rPr>
                <w:lang w:eastAsia="lv-LV"/>
              </w:rPr>
              <w:t>281</w:t>
            </w:r>
            <w:r w:rsidR="00313D39" w:rsidRPr="00EB3E34">
              <w:rPr>
                <w:lang w:eastAsia="lv-LV"/>
              </w:rPr>
              <w:t xml:space="preserve">. </w:t>
            </w:r>
            <w:r w:rsidR="00CB35F5" w:rsidRPr="00EB3E34">
              <w:rPr>
                <w:lang w:eastAsia="lv-LV"/>
              </w:rPr>
              <w:t>pant</w:t>
            </w:r>
            <w:r w:rsidR="009148F0">
              <w:rPr>
                <w:lang w:eastAsia="lv-LV"/>
              </w:rPr>
              <w:t>s</w:t>
            </w:r>
            <w:r w:rsidR="00CB35F5" w:rsidRPr="00EB3E34">
              <w:rPr>
                <w:lang w:eastAsia="lv-LV"/>
              </w:rPr>
              <w:t xml:space="preserve"> </w:t>
            </w:r>
            <w:r w:rsidR="00313D39" w:rsidRPr="00EB3E34">
              <w:rPr>
                <w:lang w:eastAsia="lv-LV"/>
              </w:rPr>
              <w:t>paredz</w:t>
            </w:r>
            <w:r w:rsidR="00CB35F5" w:rsidRPr="00EB3E34">
              <w:rPr>
                <w:lang w:eastAsia="lv-LV"/>
              </w:rPr>
              <w:t xml:space="preserve"> iespēj</w:t>
            </w:r>
            <w:r w:rsidR="009148F0">
              <w:rPr>
                <w:lang w:eastAsia="lv-LV"/>
              </w:rPr>
              <w:t>u</w:t>
            </w:r>
            <w:r w:rsidR="00313D39" w:rsidRPr="00EB3E34">
              <w:rPr>
                <w:lang w:eastAsia="lv-LV"/>
              </w:rPr>
              <w:t xml:space="preserve"> </w:t>
            </w:r>
            <w:r w:rsidR="009148F0" w:rsidRPr="00EB3E34">
              <w:rPr>
                <w:lang w:eastAsia="lv-LV"/>
              </w:rPr>
              <w:t>nolīgum</w:t>
            </w:r>
            <w:r w:rsidR="009148F0">
              <w:rPr>
                <w:lang w:eastAsia="lv-LV"/>
              </w:rPr>
              <w:t>a</w:t>
            </w:r>
            <w:r w:rsidR="009148F0" w:rsidRPr="00EB3E34">
              <w:rPr>
                <w:lang w:eastAsia="lv-LV"/>
              </w:rPr>
              <w:t xml:space="preserve"> </w:t>
            </w:r>
            <w:r w:rsidR="0046595D" w:rsidRPr="00EB3E34">
              <w:rPr>
                <w:lang w:eastAsia="lv-LV"/>
              </w:rPr>
              <w:t xml:space="preserve">atsevišķas </w:t>
            </w:r>
            <w:r w:rsidR="00313D39" w:rsidRPr="00EB3E34">
              <w:rPr>
                <w:lang w:eastAsia="lv-LV"/>
              </w:rPr>
              <w:t>daļas</w:t>
            </w:r>
            <w:r w:rsidR="0046595D" w:rsidRPr="00EB3E34">
              <w:rPr>
                <w:lang w:eastAsia="lv-LV"/>
              </w:rPr>
              <w:t xml:space="preserve"> </w:t>
            </w:r>
            <w:r w:rsidR="00313D39" w:rsidRPr="00EB3E34">
              <w:rPr>
                <w:lang w:eastAsia="lv-LV"/>
              </w:rPr>
              <w:t xml:space="preserve">piemērot provizoriski (pagaidu kārtībā) </w:t>
            </w:r>
            <w:r w:rsidR="00CB35F5" w:rsidRPr="00EB3E34">
              <w:rPr>
                <w:lang w:eastAsia="lv-LV"/>
              </w:rPr>
              <w:t>saskaņā ar pušu attiecīgajām iekšējām procedūrām un tiesību aktiem</w:t>
            </w:r>
            <w:r w:rsidR="0046595D" w:rsidRPr="00EB3E34">
              <w:rPr>
                <w:lang w:eastAsia="lv-LV"/>
              </w:rPr>
              <w:t>.</w:t>
            </w:r>
          </w:p>
        </w:tc>
      </w:tr>
    </w:tbl>
    <w:p w:rsidR="002A5942" w:rsidRPr="0076658C" w:rsidRDefault="002A5942" w:rsidP="002A594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616"/>
        <w:gridCol w:w="6215"/>
      </w:tblGrid>
      <w:tr w:rsidR="002A5942" w:rsidRPr="003D39B9" w:rsidTr="00966893">
        <w:tc>
          <w:tcPr>
            <w:tcW w:w="0" w:type="auto"/>
            <w:gridSpan w:val="3"/>
            <w:hideMark/>
          </w:tcPr>
          <w:p w:rsidR="002A5942" w:rsidRPr="00C43B6A" w:rsidRDefault="002A5942" w:rsidP="00966893">
            <w:pPr>
              <w:jc w:val="center"/>
              <w:rPr>
                <w:b/>
                <w:lang w:eastAsia="lv-LV"/>
              </w:rPr>
            </w:pPr>
            <w:r w:rsidRPr="0048167A">
              <w:rPr>
                <w:lang w:eastAsia="lv-LV"/>
              </w:rPr>
              <w:t> </w:t>
            </w:r>
            <w:r w:rsidRPr="00C43B6A">
              <w:rPr>
                <w:b/>
                <w:lang w:eastAsia="lv-LV"/>
              </w:rPr>
              <w:t xml:space="preserve">II. Tiesību akta projekta ietekme uz sabiedrību, </w:t>
            </w:r>
            <w:r w:rsidRPr="00C43B6A">
              <w:rPr>
                <w:b/>
                <w:bCs/>
                <w:lang w:eastAsia="lv-LV"/>
              </w:rPr>
              <w:t>tautsaimniecības attīstību un administratīvo slogu</w:t>
            </w:r>
          </w:p>
        </w:tc>
      </w:tr>
      <w:tr w:rsidR="007D4888" w:rsidRPr="003D39B9" w:rsidTr="00966893">
        <w:trPr>
          <w:trHeight w:val="467"/>
        </w:trPr>
        <w:tc>
          <w:tcPr>
            <w:tcW w:w="0" w:type="auto"/>
            <w:hideMark/>
          </w:tcPr>
          <w:p w:rsidR="002A5942" w:rsidRPr="00C43B6A" w:rsidRDefault="002A5942" w:rsidP="00966893">
            <w:pPr>
              <w:rPr>
                <w:lang w:eastAsia="lv-LV"/>
              </w:rPr>
            </w:pPr>
            <w:r w:rsidRPr="00C43B6A">
              <w:rPr>
                <w:lang w:eastAsia="lv-LV"/>
              </w:rPr>
              <w:t> 1.</w:t>
            </w:r>
          </w:p>
        </w:tc>
        <w:tc>
          <w:tcPr>
            <w:tcW w:w="0" w:type="auto"/>
            <w:hideMark/>
          </w:tcPr>
          <w:p w:rsidR="002A5942" w:rsidRPr="00C43B6A" w:rsidRDefault="002A5942" w:rsidP="00966893">
            <w:pPr>
              <w:rPr>
                <w:lang w:eastAsia="lv-LV"/>
              </w:rPr>
            </w:pPr>
            <w:r w:rsidRPr="00C43B6A">
              <w:t>Sabiedrības mērķgrupas, kuras tiesiskais regulējums ietekmē vai varētu ietekmēt</w:t>
            </w:r>
          </w:p>
        </w:tc>
        <w:tc>
          <w:tcPr>
            <w:tcW w:w="0" w:type="auto"/>
            <w:hideMark/>
          </w:tcPr>
          <w:p w:rsidR="002A5942" w:rsidRDefault="00B910E5" w:rsidP="00371724">
            <w:pPr>
              <w:spacing w:before="120" w:after="120"/>
              <w:jc w:val="both"/>
              <w:rPr>
                <w:iCs/>
                <w:color w:val="000000"/>
                <w:lang w:eastAsia="lv-LV"/>
              </w:rPr>
            </w:pPr>
            <w:r w:rsidRPr="00C43B6A">
              <w:rPr>
                <w:iCs/>
                <w:color w:val="000000"/>
                <w:lang w:eastAsia="lv-LV"/>
              </w:rPr>
              <w:t>Nolīguma politiskā</w:t>
            </w:r>
            <w:r w:rsidR="00371724" w:rsidRPr="00C43B6A">
              <w:rPr>
                <w:iCs/>
                <w:color w:val="000000"/>
                <w:lang w:eastAsia="lv-LV"/>
              </w:rPr>
              <w:t>s</w:t>
            </w:r>
            <w:r w:rsidRPr="00C43B6A">
              <w:rPr>
                <w:iCs/>
                <w:color w:val="000000"/>
                <w:lang w:eastAsia="lv-LV"/>
              </w:rPr>
              <w:t xml:space="preserve"> </w:t>
            </w:r>
            <w:r w:rsidR="00371724" w:rsidRPr="00C43B6A">
              <w:rPr>
                <w:iCs/>
                <w:color w:val="000000"/>
                <w:lang w:eastAsia="lv-LV"/>
              </w:rPr>
              <w:t>sadaļas</w:t>
            </w:r>
            <w:r w:rsidRPr="00C43B6A">
              <w:rPr>
                <w:iCs/>
                <w:color w:val="000000"/>
                <w:lang w:eastAsia="lv-LV"/>
              </w:rPr>
              <w:t xml:space="preserve"> (demokrātijas vērtības) ietekmēs visus sabiedrības slāņus</w:t>
            </w:r>
            <w:r w:rsidR="007D4888" w:rsidRPr="00C43B6A">
              <w:rPr>
                <w:iCs/>
                <w:color w:val="000000"/>
                <w:lang w:eastAsia="lv-LV"/>
              </w:rPr>
              <w:t xml:space="preserve"> (fiziskas un juridiskas personas, t.sk. valsts pārvaldes iestādēs nodarbinātos)</w:t>
            </w:r>
            <w:r w:rsidR="00F370C1" w:rsidRPr="00C43B6A">
              <w:rPr>
                <w:iCs/>
                <w:color w:val="000000"/>
                <w:lang w:eastAsia="lv-LV"/>
              </w:rPr>
              <w:t xml:space="preserve">, </w:t>
            </w:r>
            <w:r w:rsidR="007D4888" w:rsidRPr="00C43B6A">
              <w:rPr>
                <w:iCs/>
                <w:color w:val="000000"/>
                <w:lang w:eastAsia="lv-LV"/>
              </w:rPr>
              <w:t xml:space="preserve">tiks </w:t>
            </w:r>
            <w:r w:rsidR="00F370C1" w:rsidRPr="00C43B6A">
              <w:rPr>
                <w:iCs/>
                <w:color w:val="000000"/>
                <w:lang w:eastAsia="lv-LV"/>
              </w:rPr>
              <w:t>veicin</w:t>
            </w:r>
            <w:r w:rsidR="007D4888" w:rsidRPr="00C43B6A">
              <w:rPr>
                <w:iCs/>
                <w:color w:val="000000"/>
                <w:lang w:eastAsia="lv-LV"/>
              </w:rPr>
              <w:t>āta</w:t>
            </w:r>
            <w:r w:rsidR="00F370C1" w:rsidRPr="00C43B6A">
              <w:rPr>
                <w:iCs/>
                <w:color w:val="000000"/>
                <w:lang w:eastAsia="lv-LV"/>
              </w:rPr>
              <w:t xml:space="preserve"> pilsoniskās sabiedrības attīstīb</w:t>
            </w:r>
            <w:r w:rsidR="007D4888" w:rsidRPr="00C43B6A">
              <w:rPr>
                <w:iCs/>
                <w:color w:val="000000"/>
                <w:lang w:eastAsia="lv-LV"/>
              </w:rPr>
              <w:t>a.</w:t>
            </w:r>
            <w:r w:rsidR="00F370C1" w:rsidRPr="00C43B6A">
              <w:rPr>
                <w:iCs/>
                <w:color w:val="000000"/>
                <w:lang w:eastAsia="lv-LV"/>
              </w:rPr>
              <w:t xml:space="preserve"> </w:t>
            </w:r>
            <w:r w:rsidR="000275CC" w:rsidRPr="000275CC">
              <w:rPr>
                <w:iCs/>
              </w:rPr>
              <w:t>Nolīguma tirdzniecības</w:t>
            </w:r>
            <w:r w:rsidR="000275CC">
              <w:rPr>
                <w:iCs/>
              </w:rPr>
              <w:t>, uzņēmēj</w:t>
            </w:r>
            <w:r w:rsidR="000275CC" w:rsidRPr="000275CC">
              <w:rPr>
                <w:iCs/>
              </w:rPr>
              <w:t>darbības un nozaru sadarbības sadaļas</w:t>
            </w:r>
            <w:r w:rsidR="000275CC">
              <w:rPr>
                <w:i/>
                <w:iCs/>
              </w:rPr>
              <w:t xml:space="preserve"> </w:t>
            </w:r>
            <w:r w:rsidR="00F370C1" w:rsidRPr="00C43B6A">
              <w:rPr>
                <w:rStyle w:val="st"/>
                <w:color w:val="222222"/>
              </w:rPr>
              <w:t xml:space="preserve">ietekmēs </w:t>
            </w:r>
            <w:r w:rsidR="000275CC">
              <w:rPr>
                <w:rStyle w:val="st"/>
                <w:color w:val="222222"/>
              </w:rPr>
              <w:t xml:space="preserve">ekonomiskajā sadarbībā un </w:t>
            </w:r>
            <w:r w:rsidR="00783954" w:rsidRPr="00C43B6A">
              <w:rPr>
                <w:iCs/>
                <w:color w:val="000000"/>
                <w:lang w:eastAsia="lv-LV"/>
              </w:rPr>
              <w:t>starptautisk</w:t>
            </w:r>
            <w:r w:rsidR="000275CC">
              <w:rPr>
                <w:iCs/>
                <w:color w:val="000000"/>
                <w:lang w:eastAsia="lv-LV"/>
              </w:rPr>
              <w:t>ajā</w:t>
            </w:r>
            <w:r w:rsidR="00783954" w:rsidRPr="00C43B6A">
              <w:rPr>
                <w:iCs/>
                <w:color w:val="000000"/>
                <w:lang w:eastAsia="lv-LV"/>
              </w:rPr>
              <w:t xml:space="preserve"> tirdzniecīb</w:t>
            </w:r>
            <w:r w:rsidR="000275CC">
              <w:rPr>
                <w:iCs/>
                <w:color w:val="000000"/>
                <w:lang w:eastAsia="lv-LV"/>
              </w:rPr>
              <w:t xml:space="preserve">ā </w:t>
            </w:r>
            <w:r w:rsidR="00783954" w:rsidRPr="00C43B6A">
              <w:rPr>
                <w:iCs/>
                <w:color w:val="000000"/>
                <w:lang w:eastAsia="lv-LV"/>
              </w:rPr>
              <w:t xml:space="preserve">ar </w:t>
            </w:r>
            <w:r w:rsidR="000275CC">
              <w:rPr>
                <w:iCs/>
                <w:color w:val="000000"/>
                <w:lang w:eastAsia="lv-LV"/>
              </w:rPr>
              <w:t>Kazahstān</w:t>
            </w:r>
            <w:r w:rsidR="009148F0">
              <w:rPr>
                <w:iCs/>
                <w:color w:val="000000"/>
                <w:lang w:eastAsia="lv-LV"/>
              </w:rPr>
              <w:t xml:space="preserve">u </w:t>
            </w:r>
            <w:r w:rsidR="00783954" w:rsidRPr="00C43B6A">
              <w:rPr>
                <w:iCs/>
                <w:color w:val="000000"/>
                <w:lang w:eastAsia="lv-LV"/>
              </w:rPr>
              <w:t>iesaistīt</w:t>
            </w:r>
            <w:r w:rsidR="00F370C1" w:rsidRPr="00C43B6A">
              <w:rPr>
                <w:iCs/>
                <w:color w:val="000000"/>
                <w:lang w:eastAsia="lv-LV"/>
              </w:rPr>
              <w:t>os</w:t>
            </w:r>
            <w:r w:rsidR="00783954" w:rsidRPr="00C43B6A">
              <w:rPr>
                <w:iCs/>
                <w:color w:val="000000"/>
                <w:lang w:eastAsia="lv-LV"/>
              </w:rPr>
              <w:t xml:space="preserve"> tiesību subjekt</w:t>
            </w:r>
            <w:r w:rsidR="00F370C1" w:rsidRPr="00C43B6A">
              <w:rPr>
                <w:iCs/>
                <w:color w:val="000000"/>
                <w:lang w:eastAsia="lv-LV"/>
              </w:rPr>
              <w:t>us</w:t>
            </w:r>
            <w:r w:rsidR="007D4888" w:rsidRPr="00C43B6A">
              <w:rPr>
                <w:iCs/>
                <w:color w:val="000000"/>
                <w:lang w:eastAsia="lv-LV"/>
              </w:rPr>
              <w:t xml:space="preserve">, t.sk. </w:t>
            </w:r>
            <w:r w:rsidR="00F370C1" w:rsidRPr="00C43B6A">
              <w:rPr>
                <w:iCs/>
                <w:color w:val="000000"/>
                <w:lang w:eastAsia="lv-LV"/>
              </w:rPr>
              <w:t>eksportētājus</w:t>
            </w:r>
            <w:r w:rsidR="00783954" w:rsidRPr="00C43B6A">
              <w:rPr>
                <w:iCs/>
                <w:color w:val="000000"/>
                <w:lang w:eastAsia="lv-LV"/>
              </w:rPr>
              <w:t>, importētāj</w:t>
            </w:r>
            <w:r w:rsidR="00F370C1" w:rsidRPr="00C43B6A">
              <w:rPr>
                <w:iCs/>
                <w:color w:val="000000"/>
                <w:lang w:eastAsia="lv-LV"/>
              </w:rPr>
              <w:t>us</w:t>
            </w:r>
            <w:r w:rsidR="00540E5B" w:rsidRPr="00C43B6A">
              <w:rPr>
                <w:iCs/>
                <w:color w:val="000000"/>
                <w:lang w:eastAsia="lv-LV"/>
              </w:rPr>
              <w:t xml:space="preserve"> un</w:t>
            </w:r>
            <w:r w:rsidR="00783954" w:rsidRPr="00C43B6A">
              <w:rPr>
                <w:iCs/>
                <w:color w:val="000000"/>
                <w:lang w:eastAsia="lv-LV"/>
              </w:rPr>
              <w:t xml:space="preserve"> ražotāj</w:t>
            </w:r>
            <w:r w:rsidR="00F370C1" w:rsidRPr="00C43B6A">
              <w:rPr>
                <w:iCs/>
                <w:color w:val="000000"/>
                <w:lang w:eastAsia="lv-LV"/>
              </w:rPr>
              <w:t>us</w:t>
            </w:r>
            <w:r w:rsidR="00540E5B" w:rsidRPr="00C43B6A">
              <w:rPr>
                <w:iCs/>
                <w:color w:val="000000"/>
                <w:lang w:eastAsia="lv-LV"/>
              </w:rPr>
              <w:t>, kā arī</w:t>
            </w:r>
            <w:r w:rsidR="00783954" w:rsidRPr="00C43B6A">
              <w:rPr>
                <w:iCs/>
                <w:color w:val="000000"/>
                <w:lang w:eastAsia="lv-LV"/>
              </w:rPr>
              <w:t xml:space="preserve"> patērētāj</w:t>
            </w:r>
            <w:r w:rsidR="00F370C1" w:rsidRPr="00C43B6A">
              <w:rPr>
                <w:iCs/>
                <w:color w:val="000000"/>
                <w:lang w:eastAsia="lv-LV"/>
              </w:rPr>
              <w:t>us</w:t>
            </w:r>
            <w:r w:rsidR="00783954" w:rsidRPr="00C43B6A">
              <w:rPr>
                <w:iCs/>
                <w:color w:val="000000"/>
                <w:lang w:eastAsia="lv-LV"/>
              </w:rPr>
              <w:t>.</w:t>
            </w:r>
          </w:p>
          <w:p w:rsidR="000275CC" w:rsidRPr="000275CC" w:rsidRDefault="000275CC" w:rsidP="000275CC">
            <w:pPr>
              <w:spacing w:before="120" w:after="120"/>
              <w:jc w:val="both"/>
              <w:rPr>
                <w:lang w:eastAsia="lv-LV"/>
              </w:rPr>
            </w:pPr>
          </w:p>
        </w:tc>
      </w:tr>
      <w:tr w:rsidR="007D4888" w:rsidRPr="0048167A" w:rsidTr="00966893">
        <w:trPr>
          <w:trHeight w:val="467"/>
        </w:trPr>
        <w:tc>
          <w:tcPr>
            <w:tcW w:w="0" w:type="auto"/>
          </w:tcPr>
          <w:p w:rsidR="002A5942" w:rsidRPr="00C43B6A" w:rsidRDefault="002A5942" w:rsidP="00966893">
            <w:pPr>
              <w:rPr>
                <w:lang w:eastAsia="lv-LV"/>
              </w:rPr>
            </w:pPr>
            <w:r w:rsidRPr="00C43B6A">
              <w:rPr>
                <w:lang w:eastAsia="lv-LV"/>
              </w:rPr>
              <w:t>2.</w:t>
            </w:r>
          </w:p>
        </w:tc>
        <w:tc>
          <w:tcPr>
            <w:tcW w:w="0" w:type="auto"/>
          </w:tcPr>
          <w:p w:rsidR="002A5942" w:rsidRPr="00C43B6A" w:rsidRDefault="002A5942" w:rsidP="00966893">
            <w:r w:rsidRPr="00C43B6A">
              <w:t>Tiesiskā regulējuma ietekme uz tautsaimniecību un administratīvo slogu</w:t>
            </w:r>
          </w:p>
        </w:tc>
        <w:tc>
          <w:tcPr>
            <w:tcW w:w="0" w:type="auto"/>
          </w:tcPr>
          <w:p w:rsidR="002A5942" w:rsidRPr="00C43B6A" w:rsidRDefault="002A5942" w:rsidP="00966893">
            <w:pPr>
              <w:spacing w:before="120" w:after="120"/>
              <w:jc w:val="both"/>
              <w:rPr>
                <w:lang w:eastAsia="lv-LV"/>
              </w:rPr>
            </w:pPr>
            <w:r w:rsidRPr="00C43B6A">
              <w:rPr>
                <w:lang w:eastAsia="lv-LV"/>
              </w:rPr>
              <w:t xml:space="preserve">Nolīgums neradīs papildus administratīvo slogu un tiks īstenots no esošajiem administratīvajiem resursiem. </w:t>
            </w:r>
          </w:p>
        </w:tc>
      </w:tr>
      <w:tr w:rsidR="007D4888" w:rsidRPr="0048167A" w:rsidTr="00966893">
        <w:trPr>
          <w:trHeight w:val="531"/>
        </w:trPr>
        <w:tc>
          <w:tcPr>
            <w:tcW w:w="0" w:type="auto"/>
            <w:hideMark/>
          </w:tcPr>
          <w:p w:rsidR="002A5942" w:rsidRPr="00EB3E34" w:rsidRDefault="002A5942" w:rsidP="00966893">
            <w:pPr>
              <w:rPr>
                <w:lang w:eastAsia="lv-LV"/>
              </w:rPr>
            </w:pPr>
            <w:r w:rsidRPr="00EB3E34">
              <w:rPr>
                <w:lang w:eastAsia="lv-LV"/>
              </w:rPr>
              <w:t> 3.</w:t>
            </w:r>
          </w:p>
        </w:tc>
        <w:tc>
          <w:tcPr>
            <w:tcW w:w="0" w:type="auto"/>
          </w:tcPr>
          <w:p w:rsidR="002A5942" w:rsidRPr="00EB3E34" w:rsidRDefault="002A5942" w:rsidP="00966893">
            <w:pPr>
              <w:rPr>
                <w:lang w:eastAsia="lv-LV"/>
              </w:rPr>
            </w:pPr>
            <w:r w:rsidRPr="00EB3E34">
              <w:rPr>
                <w:lang w:eastAsia="lv-LV"/>
              </w:rPr>
              <w:t>Administratīvo izmaksu monetārs novērtējums</w:t>
            </w:r>
          </w:p>
        </w:tc>
        <w:tc>
          <w:tcPr>
            <w:tcW w:w="0" w:type="auto"/>
            <w:hideMark/>
          </w:tcPr>
          <w:p w:rsidR="002A5942" w:rsidRPr="00EB3E34" w:rsidRDefault="002A5942" w:rsidP="00966893">
            <w:pPr>
              <w:spacing w:before="120" w:after="120"/>
              <w:rPr>
                <w:lang w:eastAsia="lv-LV"/>
              </w:rPr>
            </w:pPr>
            <w:r w:rsidRPr="00EB3E34">
              <w:rPr>
                <w:lang w:eastAsia="lv-LV"/>
              </w:rPr>
              <w:t>Nav attiecināms</w:t>
            </w:r>
          </w:p>
        </w:tc>
      </w:tr>
      <w:tr w:rsidR="007D4888" w:rsidRPr="0048167A" w:rsidTr="00540E5B">
        <w:trPr>
          <w:trHeight w:val="70"/>
        </w:trPr>
        <w:tc>
          <w:tcPr>
            <w:tcW w:w="0" w:type="auto"/>
            <w:hideMark/>
          </w:tcPr>
          <w:p w:rsidR="002A5942" w:rsidRPr="00EB3E34" w:rsidRDefault="002A5942" w:rsidP="00966893">
            <w:pPr>
              <w:rPr>
                <w:lang w:eastAsia="lv-LV"/>
              </w:rPr>
            </w:pPr>
            <w:r w:rsidRPr="00EB3E34">
              <w:rPr>
                <w:lang w:eastAsia="lv-LV"/>
              </w:rPr>
              <w:t> 4.</w:t>
            </w:r>
          </w:p>
        </w:tc>
        <w:tc>
          <w:tcPr>
            <w:tcW w:w="0" w:type="auto"/>
            <w:hideMark/>
          </w:tcPr>
          <w:p w:rsidR="002A5942" w:rsidRPr="00EB3E34" w:rsidRDefault="002A5942" w:rsidP="00966893">
            <w:pPr>
              <w:rPr>
                <w:lang w:eastAsia="lv-LV"/>
              </w:rPr>
            </w:pPr>
            <w:r w:rsidRPr="00EB3E34">
              <w:rPr>
                <w:lang w:eastAsia="lv-LV"/>
              </w:rPr>
              <w:t> Cita informācija</w:t>
            </w:r>
          </w:p>
        </w:tc>
        <w:tc>
          <w:tcPr>
            <w:tcW w:w="0" w:type="auto"/>
          </w:tcPr>
          <w:p w:rsidR="002A5942" w:rsidRPr="00EB3E34" w:rsidRDefault="00540E5B" w:rsidP="00966893">
            <w:pPr>
              <w:spacing w:before="120" w:after="120"/>
              <w:rPr>
                <w:lang w:eastAsia="lv-LV"/>
              </w:rPr>
            </w:pPr>
            <w:r w:rsidRPr="00EB3E34">
              <w:rPr>
                <w:lang w:eastAsia="lv-LV"/>
              </w:rPr>
              <w:t>Nav</w:t>
            </w:r>
          </w:p>
        </w:tc>
      </w:tr>
    </w:tbl>
    <w:p w:rsidR="00540E5B" w:rsidRPr="00EB3E34" w:rsidRDefault="00540E5B" w:rsidP="002A5942">
      <w:pPr>
        <w:rPr>
          <w:i/>
        </w:rPr>
      </w:pPr>
    </w:p>
    <w:p w:rsidR="00540E5B" w:rsidRPr="00EB3E34" w:rsidRDefault="00540E5B" w:rsidP="002A5942">
      <w:pPr>
        <w:rPr>
          <w:i/>
        </w:rPr>
      </w:pPr>
    </w:p>
    <w:tbl>
      <w:tblPr>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3"/>
      </w:tblGrid>
      <w:tr w:rsidR="00540E5B" w:rsidRPr="0048167A" w:rsidTr="00540E5B">
        <w:trPr>
          <w:trHeight w:val="265"/>
        </w:trPr>
        <w:tc>
          <w:tcPr>
            <w:tcW w:w="0" w:type="auto"/>
            <w:hideMark/>
          </w:tcPr>
          <w:p w:rsidR="00540E5B" w:rsidRPr="00EB3E34" w:rsidRDefault="00540E5B" w:rsidP="00DD6CE6">
            <w:pPr>
              <w:jc w:val="center"/>
              <w:rPr>
                <w:b/>
                <w:lang w:eastAsia="lv-LV"/>
              </w:rPr>
            </w:pPr>
            <w:r w:rsidRPr="00EB3E34">
              <w:rPr>
                <w:lang w:eastAsia="lv-LV"/>
              </w:rPr>
              <w:t> </w:t>
            </w:r>
            <w:r w:rsidRPr="00EB3E34">
              <w:rPr>
                <w:b/>
                <w:lang w:eastAsia="lv-LV"/>
              </w:rPr>
              <w:t xml:space="preserve">III. </w:t>
            </w:r>
            <w:r w:rsidRPr="00EB3E34">
              <w:rPr>
                <w:b/>
                <w:bCs/>
                <w:color w:val="414142"/>
              </w:rPr>
              <w:t>Tiesību akta projekta ietekme uz valsts budžetu un pašvaldību budžetiem</w:t>
            </w:r>
          </w:p>
        </w:tc>
      </w:tr>
      <w:tr w:rsidR="00540E5B" w:rsidRPr="003D39B9" w:rsidTr="00540E5B">
        <w:trPr>
          <w:trHeight w:val="458"/>
        </w:trPr>
        <w:tc>
          <w:tcPr>
            <w:tcW w:w="0" w:type="auto"/>
          </w:tcPr>
          <w:p w:rsidR="00540E5B" w:rsidRPr="00EB3E34" w:rsidRDefault="00540E5B" w:rsidP="00DD6CE6">
            <w:pPr>
              <w:spacing w:before="120" w:after="120"/>
              <w:jc w:val="both"/>
              <w:rPr>
                <w:lang w:eastAsia="lv-LV"/>
              </w:rPr>
            </w:pPr>
            <w:r w:rsidRPr="00EB3E34">
              <w:rPr>
                <w:lang w:eastAsia="lv-LV"/>
              </w:rPr>
              <w:t>Nav precīzi aprēķināma</w:t>
            </w:r>
            <w:r w:rsidR="0048662A">
              <w:rPr>
                <w:lang w:eastAsia="lv-LV"/>
              </w:rPr>
              <w:t>. Līguma izpildi plānots nodrošināt nozaru ministrijām piešķirto finanšu līdzekļu ietvaros.</w:t>
            </w:r>
          </w:p>
        </w:tc>
      </w:tr>
    </w:tbl>
    <w:p w:rsidR="0093373C" w:rsidRPr="003D39B9" w:rsidRDefault="0093373C" w:rsidP="002A5942">
      <w:pPr>
        <w:rPr>
          <w:i/>
          <w:highlight w:val="yellow"/>
        </w:rPr>
      </w:pPr>
    </w:p>
    <w:p w:rsidR="002A5942" w:rsidRPr="00EB3E34" w:rsidRDefault="002A5942" w:rsidP="002A5942">
      <w:pPr>
        <w:rPr>
          <w:i/>
        </w:rPr>
      </w:pPr>
      <w:r w:rsidRPr="00EB3E34">
        <w:rPr>
          <w:i/>
        </w:rPr>
        <w:t>Anotācijas IV sadaļa – projekts š</w:t>
      </w:r>
      <w:r w:rsidR="0093373C" w:rsidRPr="00EB3E34">
        <w:rPr>
          <w:i/>
        </w:rPr>
        <w:t>o</w:t>
      </w:r>
      <w:r w:rsidRPr="00EB3E34">
        <w:rPr>
          <w:i/>
        </w:rPr>
        <w:t xml:space="preserve"> jom</w:t>
      </w:r>
      <w:r w:rsidR="0093373C" w:rsidRPr="00EB3E34">
        <w:rPr>
          <w:i/>
        </w:rPr>
        <w:t>u</w:t>
      </w:r>
      <w:r w:rsidRPr="00EB3E34">
        <w:rPr>
          <w:i/>
        </w:rPr>
        <w:t xml:space="preserve"> neskar.</w:t>
      </w:r>
    </w:p>
    <w:p w:rsidR="002A5942" w:rsidRPr="003D39B9" w:rsidRDefault="002A5942" w:rsidP="002A5942">
      <w:pPr>
        <w:rPr>
          <w:highlight w:val="yellow"/>
        </w:rPr>
      </w:pPr>
    </w:p>
    <w:tbl>
      <w:tblPr>
        <w:tblW w:w="9323"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4110"/>
        <w:gridCol w:w="4678"/>
      </w:tblGrid>
      <w:tr w:rsidR="002A5942" w:rsidRPr="003D39B9" w:rsidTr="00EB3E34">
        <w:tc>
          <w:tcPr>
            <w:tcW w:w="9323" w:type="dxa"/>
            <w:gridSpan w:val="3"/>
            <w:shd w:val="clear" w:color="auto" w:fill="auto"/>
            <w:hideMark/>
          </w:tcPr>
          <w:p w:rsidR="002A5942" w:rsidRPr="00EB3E34" w:rsidRDefault="002A5942" w:rsidP="00966893">
            <w:pPr>
              <w:jc w:val="center"/>
              <w:rPr>
                <w:b/>
                <w:lang w:eastAsia="lv-LV"/>
              </w:rPr>
            </w:pPr>
            <w:r w:rsidRPr="00EB3E34">
              <w:rPr>
                <w:lang w:eastAsia="lv-LV"/>
              </w:rPr>
              <w:t> </w:t>
            </w:r>
            <w:r w:rsidRPr="00EB3E34">
              <w:rPr>
                <w:b/>
                <w:lang w:eastAsia="lv-LV"/>
              </w:rPr>
              <w:t>V. Tiesību akta projekta atbilstība Latvijas Republikas starptautiskajām saistībām</w:t>
            </w:r>
          </w:p>
        </w:tc>
      </w:tr>
      <w:tr w:rsidR="002A5942" w:rsidRPr="003D39B9" w:rsidTr="00EB3E34">
        <w:tc>
          <w:tcPr>
            <w:tcW w:w="535" w:type="dxa"/>
            <w:tcBorders>
              <w:right w:val="single" w:sz="4" w:space="0" w:color="auto"/>
            </w:tcBorders>
          </w:tcPr>
          <w:p w:rsidR="002A5942" w:rsidRPr="00EB3E34" w:rsidRDefault="002A5942" w:rsidP="00966893">
            <w:pPr>
              <w:rPr>
                <w:lang w:eastAsia="lv-LV"/>
              </w:rPr>
            </w:pPr>
            <w:r w:rsidRPr="00EB3E34">
              <w:rPr>
                <w:lang w:eastAsia="lv-LV"/>
              </w:rPr>
              <w:t>1.</w:t>
            </w:r>
          </w:p>
        </w:tc>
        <w:tc>
          <w:tcPr>
            <w:tcW w:w="4110" w:type="dxa"/>
            <w:tcBorders>
              <w:left w:val="single" w:sz="4" w:space="0" w:color="auto"/>
              <w:right w:val="single" w:sz="4" w:space="0" w:color="auto"/>
            </w:tcBorders>
            <w:shd w:val="clear" w:color="auto" w:fill="auto"/>
          </w:tcPr>
          <w:p w:rsidR="002A5942" w:rsidRPr="00EB3E34" w:rsidRDefault="002A5942" w:rsidP="00966893">
            <w:pPr>
              <w:rPr>
                <w:lang w:eastAsia="lv-LV"/>
              </w:rPr>
            </w:pPr>
            <w:r w:rsidRPr="00EB3E34">
              <w:rPr>
                <w:lang w:eastAsia="lv-LV"/>
              </w:rPr>
              <w:t>Saistības pret Eiropas Savienību</w:t>
            </w:r>
          </w:p>
        </w:tc>
        <w:tc>
          <w:tcPr>
            <w:tcW w:w="4678" w:type="dxa"/>
            <w:tcBorders>
              <w:left w:val="single" w:sz="4" w:space="0" w:color="auto"/>
            </w:tcBorders>
            <w:shd w:val="clear" w:color="auto" w:fill="auto"/>
          </w:tcPr>
          <w:p w:rsidR="002A5942" w:rsidRPr="00EB3E34" w:rsidRDefault="002A5942" w:rsidP="00966893">
            <w:pPr>
              <w:spacing w:before="120" w:after="120"/>
              <w:rPr>
                <w:lang w:eastAsia="lv-LV"/>
              </w:rPr>
            </w:pPr>
            <w:r w:rsidRPr="00EB3E34">
              <w:rPr>
                <w:lang w:eastAsia="lv-LV"/>
              </w:rPr>
              <w:t>Nav attiecināms</w:t>
            </w:r>
          </w:p>
        </w:tc>
      </w:tr>
      <w:tr w:rsidR="002A5942" w:rsidRPr="003D39B9" w:rsidTr="00EB3E34">
        <w:tc>
          <w:tcPr>
            <w:tcW w:w="535" w:type="dxa"/>
            <w:tcBorders>
              <w:right w:val="single" w:sz="4" w:space="0" w:color="auto"/>
            </w:tcBorders>
          </w:tcPr>
          <w:p w:rsidR="002A5942" w:rsidRPr="00EB3E34" w:rsidRDefault="002A5942" w:rsidP="00966893">
            <w:pPr>
              <w:rPr>
                <w:lang w:eastAsia="lv-LV"/>
              </w:rPr>
            </w:pPr>
            <w:r w:rsidRPr="00EB3E34">
              <w:rPr>
                <w:lang w:eastAsia="lv-LV"/>
              </w:rPr>
              <w:t>2.</w:t>
            </w:r>
          </w:p>
        </w:tc>
        <w:tc>
          <w:tcPr>
            <w:tcW w:w="4110" w:type="dxa"/>
            <w:tcBorders>
              <w:left w:val="single" w:sz="4" w:space="0" w:color="auto"/>
              <w:right w:val="single" w:sz="4" w:space="0" w:color="auto"/>
            </w:tcBorders>
            <w:shd w:val="clear" w:color="auto" w:fill="auto"/>
          </w:tcPr>
          <w:p w:rsidR="002A5942" w:rsidRPr="00EB3E34" w:rsidRDefault="002A5942" w:rsidP="00966893">
            <w:pPr>
              <w:rPr>
                <w:lang w:eastAsia="lv-LV"/>
              </w:rPr>
            </w:pPr>
            <w:r w:rsidRPr="00EB3E34">
              <w:rPr>
                <w:color w:val="414142"/>
              </w:rPr>
              <w:t>Citas starptautiskās saistības</w:t>
            </w:r>
          </w:p>
        </w:tc>
        <w:tc>
          <w:tcPr>
            <w:tcW w:w="4678" w:type="dxa"/>
            <w:tcBorders>
              <w:left w:val="single" w:sz="4" w:space="0" w:color="auto"/>
            </w:tcBorders>
            <w:shd w:val="clear" w:color="auto" w:fill="auto"/>
          </w:tcPr>
          <w:p w:rsidR="009D5C74" w:rsidRDefault="00015454" w:rsidP="0048167A">
            <w:pPr>
              <w:spacing w:before="120" w:after="120"/>
              <w:jc w:val="both"/>
              <w:rPr>
                <w:noProof/>
              </w:rPr>
            </w:pPr>
            <w:r w:rsidRPr="00EB3E34">
              <w:rPr>
                <w:lang w:eastAsia="lv-LV"/>
              </w:rPr>
              <w:t>N</w:t>
            </w:r>
            <w:r w:rsidR="00621605" w:rsidRPr="00EB3E34">
              <w:rPr>
                <w:lang w:eastAsia="lv-LV"/>
              </w:rPr>
              <w:t xml:space="preserve">olīgums </w:t>
            </w:r>
            <w:r w:rsidR="0048167A" w:rsidRPr="00EB3E34">
              <w:rPr>
                <w:lang w:eastAsia="lv-LV"/>
              </w:rPr>
              <w:t xml:space="preserve">aizstās </w:t>
            </w:r>
            <w:r w:rsidR="0048167A" w:rsidRPr="00EB3E34">
              <w:rPr>
                <w:noProof/>
              </w:rPr>
              <w:t xml:space="preserve">Partnerības un sadarbības </w:t>
            </w:r>
            <w:r w:rsidR="0048167A" w:rsidRPr="00EB3E34">
              <w:rPr>
                <w:noProof/>
              </w:rPr>
              <w:lastRenderedPageBreak/>
              <w:t>nolīgum</w:t>
            </w:r>
            <w:r w:rsidR="0048167A" w:rsidRPr="0048167A">
              <w:rPr>
                <w:noProof/>
              </w:rPr>
              <w:t>u</w:t>
            </w:r>
            <w:r w:rsidR="0048167A" w:rsidRPr="00EB3E34">
              <w:rPr>
                <w:noProof/>
              </w:rPr>
              <w:t xml:space="preserve"> starp Eiropas Kopienām un to dalībvalstīm, no vienas puses, un Kazahstānas Republiku, no otras puses, kas parakstīts Briselē 1995. gada 23. janvārī un ir spēkā no 1999. gada 1. </w:t>
            </w:r>
            <w:r w:rsidR="0048662A">
              <w:rPr>
                <w:noProof/>
              </w:rPr>
              <w:t>j</w:t>
            </w:r>
            <w:r w:rsidR="0048167A" w:rsidRPr="00EB3E34">
              <w:rPr>
                <w:noProof/>
              </w:rPr>
              <w:t>ūlija</w:t>
            </w:r>
            <w:r w:rsidR="0048662A">
              <w:rPr>
                <w:noProof/>
              </w:rPr>
              <w:t>.</w:t>
            </w:r>
          </w:p>
          <w:p w:rsidR="0048662A" w:rsidRPr="00EB3E34" w:rsidRDefault="0048662A" w:rsidP="0048167A">
            <w:pPr>
              <w:spacing w:before="120" w:after="120"/>
              <w:jc w:val="both"/>
              <w:rPr>
                <w:lang w:eastAsia="lv-LV"/>
              </w:rPr>
            </w:pPr>
            <w:r w:rsidRPr="0048662A">
              <w:rPr>
                <w:lang w:eastAsia="lv-LV"/>
              </w:rPr>
              <w:t xml:space="preserve">Visus spēkā esošos nolīgumus starp pusēm attiecībā uz konkrētām sadarbības jomām, kas ietilpst šā nolīguma darbības jomā, uzskata par daļu no pušu vispārējām divpusējām attiecībām, ko reglamentē Nolīgums, un tie veido kopējās institucionālās struktūras daļu. Spēkā esošo Latvijas  divpusējo līgumu ar Kazahstānu noteikumi nav pretrunā ar Nolīguma prasībām.  </w:t>
            </w:r>
          </w:p>
        </w:tc>
      </w:tr>
      <w:tr w:rsidR="002A5942" w:rsidRPr="003D39B9" w:rsidTr="00EB3E34">
        <w:tc>
          <w:tcPr>
            <w:tcW w:w="535" w:type="dxa"/>
            <w:tcBorders>
              <w:right w:val="single" w:sz="4" w:space="0" w:color="auto"/>
            </w:tcBorders>
            <w:shd w:val="clear" w:color="auto" w:fill="auto"/>
          </w:tcPr>
          <w:p w:rsidR="002A5942" w:rsidRPr="00EB3E34" w:rsidRDefault="002A5942" w:rsidP="00966893">
            <w:pPr>
              <w:rPr>
                <w:lang w:eastAsia="lv-LV"/>
              </w:rPr>
            </w:pPr>
            <w:r w:rsidRPr="00EB3E34">
              <w:rPr>
                <w:lang w:eastAsia="lv-LV"/>
              </w:rPr>
              <w:lastRenderedPageBreak/>
              <w:t>3.</w:t>
            </w:r>
          </w:p>
        </w:tc>
        <w:tc>
          <w:tcPr>
            <w:tcW w:w="4110" w:type="dxa"/>
            <w:tcBorders>
              <w:left w:val="single" w:sz="4" w:space="0" w:color="auto"/>
              <w:right w:val="single" w:sz="4" w:space="0" w:color="auto"/>
            </w:tcBorders>
            <w:shd w:val="clear" w:color="auto" w:fill="auto"/>
          </w:tcPr>
          <w:p w:rsidR="002A5942" w:rsidRPr="00EB3E34" w:rsidRDefault="002A5942" w:rsidP="00966893">
            <w:pPr>
              <w:rPr>
                <w:lang w:eastAsia="lv-LV"/>
              </w:rPr>
            </w:pPr>
            <w:r w:rsidRPr="00EB3E34">
              <w:rPr>
                <w:lang w:eastAsia="lv-LV"/>
              </w:rPr>
              <w:t>Cita informācija</w:t>
            </w:r>
          </w:p>
        </w:tc>
        <w:tc>
          <w:tcPr>
            <w:tcW w:w="4678" w:type="dxa"/>
            <w:tcBorders>
              <w:left w:val="single" w:sz="4" w:space="0" w:color="auto"/>
            </w:tcBorders>
            <w:shd w:val="clear" w:color="auto" w:fill="auto"/>
          </w:tcPr>
          <w:p w:rsidR="0048167A" w:rsidRPr="00EB3E34" w:rsidRDefault="002A5942" w:rsidP="0048167A">
            <w:pPr>
              <w:rPr>
                <w:noProof/>
              </w:rPr>
            </w:pPr>
            <w:r w:rsidRPr="00EB3E34">
              <w:rPr>
                <w:lang w:eastAsia="lv-LV"/>
              </w:rPr>
              <w:t xml:space="preserve">Nolīgums ir jauktais starptautiskais nolīgums, </w:t>
            </w:r>
            <w:r w:rsidR="00610474" w:rsidRPr="00EB3E34">
              <w:rPr>
                <w:lang w:eastAsia="lv-LV"/>
              </w:rPr>
              <w:t>kas</w:t>
            </w:r>
            <w:r w:rsidRPr="00EB3E34">
              <w:rPr>
                <w:lang w:eastAsia="lv-LV"/>
              </w:rPr>
              <w:t xml:space="preserve"> aptver jomas, kuras ir Savienības un dalībvalstu dalītajā un papildinošajā</w:t>
            </w:r>
            <w:r w:rsidR="002F5723" w:rsidRPr="00EB3E34">
              <w:rPr>
                <w:lang w:eastAsia="lv-LV"/>
              </w:rPr>
              <w:t xml:space="preserve"> </w:t>
            </w:r>
            <w:r w:rsidRPr="00EB3E34">
              <w:rPr>
                <w:lang w:eastAsia="lv-LV"/>
              </w:rPr>
              <w:t>kompetencē</w:t>
            </w:r>
            <w:r w:rsidR="00894FDE" w:rsidRPr="00EB3E34">
              <w:rPr>
                <w:lang w:eastAsia="lv-LV"/>
              </w:rPr>
              <w:t>,</w:t>
            </w:r>
            <w:r w:rsidR="00894FDE" w:rsidRPr="00EB3E34">
              <w:rPr>
                <w:noProof/>
              </w:rPr>
              <w:t xml:space="preserve"> kas izriet no Līguma par Eiropas Savienību un Līguma par Eiropas Savienības darbību</w:t>
            </w:r>
            <w:r w:rsidRPr="00EB3E34">
              <w:rPr>
                <w:lang w:eastAsia="lv-LV"/>
              </w:rPr>
              <w:t xml:space="preserve">. Saskaņā ar nolīguma </w:t>
            </w:r>
            <w:r w:rsidR="0048167A" w:rsidRPr="00EB3E34">
              <w:rPr>
                <w:lang w:eastAsia="lv-LV"/>
              </w:rPr>
              <w:t>285</w:t>
            </w:r>
            <w:r w:rsidRPr="00EB3E34">
              <w:rPr>
                <w:lang w:eastAsia="lv-LV"/>
              </w:rPr>
              <w:t>.pantu tā</w:t>
            </w:r>
            <w:r w:rsidR="00015454" w:rsidRPr="00EB3E34">
              <w:rPr>
                <w:lang w:eastAsia="lv-LV"/>
              </w:rPr>
              <w:t xml:space="preserve"> „</w:t>
            </w:r>
            <w:r w:rsidR="00015454" w:rsidRPr="00EB3E34">
              <w:rPr>
                <w:noProof/>
              </w:rPr>
              <w:t xml:space="preserve">Puses” ir </w:t>
            </w:r>
            <w:r w:rsidR="0048167A" w:rsidRPr="00EB3E34">
              <w:rPr>
                <w:noProof/>
              </w:rPr>
              <w:t>Eiropas Savienība vai tās dalībvalstis, vai Eiropas Savienība un tās dalībvalstis saskaņā ar to attiecīgajām pilnvarām, no vienas puses, un Kazahstānas Republika, no otras puses.</w:t>
            </w:r>
          </w:p>
          <w:p w:rsidR="002A5942" w:rsidRPr="00EB3E34" w:rsidRDefault="002A5942" w:rsidP="0048167A">
            <w:pPr>
              <w:jc w:val="both"/>
              <w:rPr>
                <w:lang w:eastAsia="lv-LV"/>
              </w:rPr>
            </w:pPr>
          </w:p>
        </w:tc>
      </w:tr>
    </w:tbl>
    <w:p w:rsidR="002A5942" w:rsidRPr="003D39B9" w:rsidRDefault="002A5942" w:rsidP="002A5942">
      <w:pPr>
        <w:rPr>
          <w:highlight w:val="yellow"/>
        </w:rPr>
      </w:pP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4104"/>
        <w:gridCol w:w="4645"/>
      </w:tblGrid>
      <w:tr w:rsidR="002A5942" w:rsidRPr="0048167A" w:rsidTr="00966893">
        <w:tc>
          <w:tcPr>
            <w:tcW w:w="9287" w:type="dxa"/>
            <w:gridSpan w:val="3"/>
            <w:hideMark/>
          </w:tcPr>
          <w:p w:rsidR="002A5942" w:rsidRPr="00EB3E34" w:rsidRDefault="002A5942" w:rsidP="00966893">
            <w:pPr>
              <w:jc w:val="center"/>
              <w:rPr>
                <w:lang w:eastAsia="lv-LV"/>
              </w:rPr>
            </w:pPr>
            <w:r w:rsidRPr="00EB3E34">
              <w:rPr>
                <w:b/>
                <w:bCs/>
                <w:lang w:eastAsia="lv-LV"/>
              </w:rPr>
              <w:t>VI. Sabiedrības līdzdalība un komunikācijas aktivitātes</w:t>
            </w:r>
          </w:p>
        </w:tc>
      </w:tr>
      <w:tr w:rsidR="002A5942" w:rsidRPr="0048167A" w:rsidTr="00966893">
        <w:trPr>
          <w:trHeight w:val="427"/>
        </w:trPr>
        <w:tc>
          <w:tcPr>
            <w:tcW w:w="538" w:type="dxa"/>
            <w:hideMark/>
          </w:tcPr>
          <w:p w:rsidR="002A5942" w:rsidRPr="00EB3E34" w:rsidRDefault="002A5942" w:rsidP="00966893">
            <w:pPr>
              <w:rPr>
                <w:lang w:eastAsia="lv-LV"/>
              </w:rPr>
            </w:pPr>
            <w:r w:rsidRPr="00EB3E34">
              <w:rPr>
                <w:lang w:eastAsia="lv-LV"/>
              </w:rPr>
              <w:t> 1.</w:t>
            </w:r>
          </w:p>
        </w:tc>
        <w:tc>
          <w:tcPr>
            <w:tcW w:w="4104" w:type="dxa"/>
          </w:tcPr>
          <w:p w:rsidR="002A5942" w:rsidRPr="00EB3E34" w:rsidRDefault="002A5942" w:rsidP="00966893">
            <w:pPr>
              <w:rPr>
                <w:lang w:eastAsia="lv-LV"/>
              </w:rPr>
            </w:pPr>
            <w:r w:rsidRPr="00EB3E34">
              <w:rPr>
                <w:lang w:eastAsia="lv-LV"/>
              </w:rPr>
              <w:t>Plānotās sabiedrības līdzdalības un komunikācijas aktivitātes saistībā ar projektu</w:t>
            </w:r>
          </w:p>
        </w:tc>
        <w:tc>
          <w:tcPr>
            <w:tcW w:w="4645" w:type="dxa"/>
          </w:tcPr>
          <w:p w:rsidR="002A5942" w:rsidRPr="00EB3E34" w:rsidRDefault="0094315E" w:rsidP="0094315E">
            <w:pPr>
              <w:spacing w:before="120" w:after="120"/>
              <w:jc w:val="both"/>
            </w:pPr>
            <w:r>
              <w:t xml:space="preserve">Sabiedrības informēšana par Nolīguma būtību, ietekmi un ieguvumiem notikusi ar ES ietvaros veiktajām komunikācijas aktivitātēm. </w:t>
            </w:r>
          </w:p>
        </w:tc>
      </w:tr>
      <w:tr w:rsidR="002A5942" w:rsidRPr="0048167A" w:rsidTr="00966893">
        <w:trPr>
          <w:trHeight w:val="463"/>
        </w:trPr>
        <w:tc>
          <w:tcPr>
            <w:tcW w:w="538" w:type="dxa"/>
            <w:hideMark/>
          </w:tcPr>
          <w:p w:rsidR="002A5942" w:rsidRPr="00EB3E34" w:rsidRDefault="002A5942" w:rsidP="00966893">
            <w:pPr>
              <w:rPr>
                <w:lang w:eastAsia="lv-LV"/>
              </w:rPr>
            </w:pPr>
            <w:r w:rsidRPr="00EB3E34">
              <w:rPr>
                <w:lang w:eastAsia="lv-LV"/>
              </w:rPr>
              <w:t> 2.</w:t>
            </w:r>
          </w:p>
        </w:tc>
        <w:tc>
          <w:tcPr>
            <w:tcW w:w="4104" w:type="dxa"/>
          </w:tcPr>
          <w:p w:rsidR="002A5942" w:rsidRPr="00EB3E34" w:rsidRDefault="002A5942" w:rsidP="00966893">
            <w:pPr>
              <w:rPr>
                <w:lang w:eastAsia="lv-LV"/>
              </w:rPr>
            </w:pPr>
            <w:r w:rsidRPr="00EB3E34">
              <w:rPr>
                <w:lang w:eastAsia="lv-LV"/>
              </w:rPr>
              <w:t>Sabiedrības līdzdalība projekta izstrādē</w:t>
            </w:r>
          </w:p>
        </w:tc>
        <w:tc>
          <w:tcPr>
            <w:tcW w:w="4645" w:type="dxa"/>
          </w:tcPr>
          <w:p w:rsidR="002A5942" w:rsidRPr="00EB3E34" w:rsidRDefault="002A5942" w:rsidP="00966893">
            <w:pPr>
              <w:rPr>
                <w:lang w:eastAsia="lv-LV"/>
              </w:rPr>
            </w:pPr>
            <w:r w:rsidRPr="00EB3E34">
              <w:rPr>
                <w:lang w:eastAsia="lv-LV"/>
              </w:rPr>
              <w:t>Nav attiecināms</w:t>
            </w:r>
          </w:p>
        </w:tc>
      </w:tr>
      <w:tr w:rsidR="002A5942" w:rsidRPr="0048167A" w:rsidTr="00966893">
        <w:trPr>
          <w:trHeight w:val="725"/>
        </w:trPr>
        <w:tc>
          <w:tcPr>
            <w:tcW w:w="538" w:type="dxa"/>
            <w:hideMark/>
          </w:tcPr>
          <w:p w:rsidR="002A5942" w:rsidRPr="00EB3E34" w:rsidRDefault="002A5942" w:rsidP="00966893">
            <w:pPr>
              <w:rPr>
                <w:lang w:eastAsia="lv-LV"/>
              </w:rPr>
            </w:pPr>
            <w:r w:rsidRPr="00EB3E34">
              <w:rPr>
                <w:lang w:eastAsia="lv-LV"/>
              </w:rPr>
              <w:t> 3.</w:t>
            </w:r>
          </w:p>
        </w:tc>
        <w:tc>
          <w:tcPr>
            <w:tcW w:w="4104" w:type="dxa"/>
          </w:tcPr>
          <w:p w:rsidR="002A5942" w:rsidRPr="00EB3E34" w:rsidRDefault="002A5942" w:rsidP="00966893">
            <w:pPr>
              <w:rPr>
                <w:lang w:eastAsia="lv-LV"/>
              </w:rPr>
            </w:pPr>
            <w:r w:rsidRPr="00EB3E34">
              <w:rPr>
                <w:lang w:eastAsia="lv-LV"/>
              </w:rPr>
              <w:t>Sabiedrības līdzdalības rezultāti</w:t>
            </w:r>
          </w:p>
        </w:tc>
        <w:tc>
          <w:tcPr>
            <w:tcW w:w="4645" w:type="dxa"/>
          </w:tcPr>
          <w:p w:rsidR="002A5942" w:rsidRPr="00EB3E34" w:rsidRDefault="002A5942" w:rsidP="00966893">
            <w:pPr>
              <w:rPr>
                <w:lang w:eastAsia="lv-LV"/>
              </w:rPr>
            </w:pPr>
            <w:r w:rsidRPr="00EB3E34">
              <w:rPr>
                <w:lang w:eastAsia="lv-LV"/>
              </w:rPr>
              <w:t>Nav attiecināms</w:t>
            </w:r>
          </w:p>
        </w:tc>
      </w:tr>
      <w:tr w:rsidR="002A5942" w:rsidRPr="0048167A" w:rsidTr="00966893">
        <w:trPr>
          <w:trHeight w:val="70"/>
        </w:trPr>
        <w:tc>
          <w:tcPr>
            <w:tcW w:w="538" w:type="dxa"/>
            <w:hideMark/>
          </w:tcPr>
          <w:p w:rsidR="002A5942" w:rsidRPr="00EB3E34" w:rsidRDefault="002A5942" w:rsidP="00966893">
            <w:pPr>
              <w:rPr>
                <w:lang w:eastAsia="lv-LV"/>
              </w:rPr>
            </w:pPr>
            <w:r w:rsidRPr="00EB3E34">
              <w:rPr>
                <w:lang w:eastAsia="lv-LV"/>
              </w:rPr>
              <w:t> 4.</w:t>
            </w:r>
          </w:p>
        </w:tc>
        <w:tc>
          <w:tcPr>
            <w:tcW w:w="4104" w:type="dxa"/>
            <w:hideMark/>
          </w:tcPr>
          <w:p w:rsidR="002A5942" w:rsidRPr="00EB3E34" w:rsidRDefault="002A5942" w:rsidP="00966893">
            <w:pPr>
              <w:rPr>
                <w:lang w:eastAsia="lv-LV"/>
              </w:rPr>
            </w:pPr>
            <w:r w:rsidRPr="00EB3E34">
              <w:rPr>
                <w:lang w:eastAsia="lv-LV"/>
              </w:rPr>
              <w:t> Cita informācija</w:t>
            </w:r>
          </w:p>
        </w:tc>
        <w:tc>
          <w:tcPr>
            <w:tcW w:w="4645" w:type="dxa"/>
            <w:hideMark/>
          </w:tcPr>
          <w:p w:rsidR="002A5942" w:rsidRPr="00EB3E34" w:rsidRDefault="002A5942" w:rsidP="00966893">
            <w:pPr>
              <w:rPr>
                <w:lang w:eastAsia="lv-LV"/>
              </w:rPr>
            </w:pPr>
            <w:r w:rsidRPr="00EB3E34">
              <w:rPr>
                <w:lang w:eastAsia="lv-LV"/>
              </w:rPr>
              <w:t> Nav</w:t>
            </w:r>
          </w:p>
        </w:tc>
      </w:tr>
    </w:tbl>
    <w:p w:rsidR="002A5942" w:rsidRPr="00EB3E34" w:rsidRDefault="002A5942" w:rsidP="002A5942"/>
    <w:p w:rsidR="002A5942" w:rsidRPr="00EB3E34" w:rsidRDefault="002A5942" w:rsidP="002A5942"/>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4104"/>
        <w:gridCol w:w="4645"/>
      </w:tblGrid>
      <w:tr w:rsidR="002A5942" w:rsidRPr="0048167A" w:rsidTr="00966893">
        <w:tc>
          <w:tcPr>
            <w:tcW w:w="9287" w:type="dxa"/>
            <w:gridSpan w:val="3"/>
            <w:hideMark/>
          </w:tcPr>
          <w:p w:rsidR="002A5942" w:rsidRPr="00EB3E34" w:rsidRDefault="002A5942" w:rsidP="00966893">
            <w:pPr>
              <w:jc w:val="center"/>
              <w:rPr>
                <w:lang w:eastAsia="lv-LV"/>
              </w:rPr>
            </w:pPr>
            <w:r w:rsidRPr="00EB3E34">
              <w:rPr>
                <w:lang w:eastAsia="lv-LV"/>
              </w:rPr>
              <w:t> </w:t>
            </w:r>
            <w:r w:rsidRPr="00EB3E34">
              <w:rPr>
                <w:b/>
                <w:bCs/>
                <w:lang w:eastAsia="lv-LV"/>
              </w:rPr>
              <w:t>VII. Tiesību akta projekta izpildes nodrošināšana un tās ietekme uz institūcijām</w:t>
            </w:r>
          </w:p>
        </w:tc>
      </w:tr>
      <w:tr w:rsidR="002A5942" w:rsidRPr="0048167A" w:rsidTr="00966893">
        <w:trPr>
          <w:trHeight w:val="427"/>
        </w:trPr>
        <w:tc>
          <w:tcPr>
            <w:tcW w:w="538" w:type="dxa"/>
            <w:hideMark/>
          </w:tcPr>
          <w:p w:rsidR="002A5942" w:rsidRPr="00EB3E34" w:rsidRDefault="002A5942" w:rsidP="00966893">
            <w:pPr>
              <w:rPr>
                <w:lang w:eastAsia="lv-LV"/>
              </w:rPr>
            </w:pPr>
            <w:r w:rsidRPr="00EB3E34">
              <w:rPr>
                <w:lang w:eastAsia="lv-LV"/>
              </w:rPr>
              <w:t> 1.</w:t>
            </w:r>
          </w:p>
        </w:tc>
        <w:tc>
          <w:tcPr>
            <w:tcW w:w="4104" w:type="dxa"/>
            <w:hideMark/>
          </w:tcPr>
          <w:p w:rsidR="002A5942" w:rsidRPr="00EB3E34" w:rsidRDefault="002A5942" w:rsidP="00966893">
            <w:pPr>
              <w:rPr>
                <w:lang w:eastAsia="lv-LV"/>
              </w:rPr>
            </w:pPr>
            <w:r w:rsidRPr="00EB3E34">
              <w:rPr>
                <w:lang w:eastAsia="lv-LV"/>
              </w:rPr>
              <w:t> Projekta izpildē iesaistītās institūcijas</w:t>
            </w:r>
          </w:p>
        </w:tc>
        <w:tc>
          <w:tcPr>
            <w:tcW w:w="4645" w:type="dxa"/>
            <w:hideMark/>
          </w:tcPr>
          <w:p w:rsidR="002A5942" w:rsidRPr="00EB3E34" w:rsidRDefault="002A5942" w:rsidP="00966893">
            <w:pPr>
              <w:tabs>
                <w:tab w:val="left" w:pos="987"/>
              </w:tabs>
              <w:spacing w:before="120" w:after="120"/>
              <w:jc w:val="both"/>
              <w:rPr>
                <w:color w:val="000000"/>
              </w:rPr>
            </w:pPr>
            <w:r w:rsidRPr="00EB3E34">
              <w:rPr>
                <w:bCs/>
                <w:lang w:eastAsia="lv-LV"/>
              </w:rPr>
              <w:t>N</w:t>
            </w:r>
            <w:r w:rsidRPr="00EB3E34">
              <w:rPr>
                <w:color w:val="000000"/>
              </w:rPr>
              <w:t>olīgumā paredzēto saistību izpildi koordinē Ārlietu mi</w:t>
            </w:r>
            <w:r w:rsidRPr="00EB3E34">
              <w:rPr>
                <w:color w:val="000000"/>
              </w:rPr>
              <w:softHyphen/>
              <w:t xml:space="preserve">nistrija.  </w:t>
            </w:r>
          </w:p>
        </w:tc>
      </w:tr>
      <w:tr w:rsidR="002A5942" w:rsidRPr="0048167A" w:rsidTr="00966893">
        <w:trPr>
          <w:trHeight w:val="463"/>
        </w:trPr>
        <w:tc>
          <w:tcPr>
            <w:tcW w:w="538" w:type="dxa"/>
            <w:hideMark/>
          </w:tcPr>
          <w:p w:rsidR="002A5942" w:rsidRPr="00EB3E34" w:rsidRDefault="002A5942" w:rsidP="00966893">
            <w:pPr>
              <w:rPr>
                <w:lang w:eastAsia="lv-LV"/>
              </w:rPr>
            </w:pPr>
            <w:r w:rsidRPr="00EB3E34">
              <w:rPr>
                <w:lang w:eastAsia="lv-LV"/>
              </w:rPr>
              <w:t> 2.</w:t>
            </w:r>
          </w:p>
        </w:tc>
        <w:tc>
          <w:tcPr>
            <w:tcW w:w="4104" w:type="dxa"/>
            <w:hideMark/>
          </w:tcPr>
          <w:p w:rsidR="002A5942" w:rsidRPr="00EB3E34" w:rsidRDefault="002A5942" w:rsidP="00966893">
            <w:pPr>
              <w:jc w:val="both"/>
              <w:rPr>
                <w:lang w:eastAsia="lv-LV"/>
              </w:rPr>
            </w:pPr>
            <w:r w:rsidRPr="00EB3E34">
              <w:rPr>
                <w:lang w:eastAsia="lv-LV"/>
              </w:rPr>
              <w:t> Projekta izpildes ietekme uz pārvaldes funkcijām un institucionālo struktūru.</w:t>
            </w:r>
          </w:p>
          <w:p w:rsidR="002A5942" w:rsidRPr="00EB3E34" w:rsidRDefault="002A5942" w:rsidP="00966893">
            <w:pPr>
              <w:jc w:val="both"/>
              <w:rPr>
                <w:lang w:eastAsia="lv-LV"/>
              </w:rPr>
            </w:pPr>
            <w:r w:rsidRPr="00EB3E34">
              <w:rPr>
                <w:lang w:eastAsia="lv-LV"/>
              </w:rPr>
              <w:t xml:space="preserve">Jaunu institūciju izveide, esošu institūciju likvidācija vai reorganizācija, to ietekme uz institūcijas </w:t>
            </w:r>
            <w:r w:rsidRPr="00EB3E34">
              <w:rPr>
                <w:lang w:eastAsia="lv-LV"/>
              </w:rPr>
              <w:lastRenderedPageBreak/>
              <w:t>cilvēkresursiem</w:t>
            </w:r>
          </w:p>
        </w:tc>
        <w:tc>
          <w:tcPr>
            <w:tcW w:w="4645" w:type="dxa"/>
            <w:hideMark/>
          </w:tcPr>
          <w:p w:rsidR="002A5942" w:rsidRPr="00EB3E34" w:rsidRDefault="002A5942" w:rsidP="00966893">
            <w:pPr>
              <w:spacing w:before="120" w:after="120"/>
              <w:rPr>
                <w:lang w:eastAsia="lv-LV"/>
              </w:rPr>
            </w:pPr>
            <w:r w:rsidRPr="00EB3E34">
              <w:rPr>
                <w:lang w:eastAsia="lv-LV"/>
              </w:rPr>
              <w:lastRenderedPageBreak/>
              <w:t>Nav attiecināms</w:t>
            </w:r>
          </w:p>
        </w:tc>
      </w:tr>
      <w:tr w:rsidR="002A5942" w:rsidRPr="0076658C" w:rsidTr="00966893">
        <w:trPr>
          <w:trHeight w:val="70"/>
        </w:trPr>
        <w:tc>
          <w:tcPr>
            <w:tcW w:w="538" w:type="dxa"/>
            <w:hideMark/>
          </w:tcPr>
          <w:p w:rsidR="002A5942" w:rsidRPr="00EB3E34" w:rsidRDefault="002A5942" w:rsidP="00966893">
            <w:pPr>
              <w:rPr>
                <w:lang w:eastAsia="lv-LV"/>
              </w:rPr>
            </w:pPr>
            <w:r w:rsidRPr="00EB3E34">
              <w:rPr>
                <w:lang w:eastAsia="lv-LV"/>
              </w:rPr>
              <w:lastRenderedPageBreak/>
              <w:t> 3.</w:t>
            </w:r>
          </w:p>
        </w:tc>
        <w:tc>
          <w:tcPr>
            <w:tcW w:w="4104" w:type="dxa"/>
            <w:hideMark/>
          </w:tcPr>
          <w:p w:rsidR="002A5942" w:rsidRPr="00EB3E34" w:rsidRDefault="002A5942" w:rsidP="00966893">
            <w:pPr>
              <w:rPr>
                <w:lang w:eastAsia="lv-LV"/>
              </w:rPr>
            </w:pPr>
            <w:r w:rsidRPr="00EB3E34">
              <w:rPr>
                <w:lang w:eastAsia="lv-LV"/>
              </w:rPr>
              <w:t> Cita informācija</w:t>
            </w:r>
          </w:p>
        </w:tc>
        <w:tc>
          <w:tcPr>
            <w:tcW w:w="4645" w:type="dxa"/>
            <w:hideMark/>
          </w:tcPr>
          <w:p w:rsidR="002A5942" w:rsidRPr="00EB3E34" w:rsidRDefault="002A5942" w:rsidP="00966893">
            <w:pPr>
              <w:spacing w:before="120" w:after="120"/>
              <w:rPr>
                <w:lang w:eastAsia="lv-LV"/>
              </w:rPr>
            </w:pPr>
            <w:r w:rsidRPr="00EB3E34">
              <w:rPr>
                <w:lang w:eastAsia="lv-LV"/>
              </w:rPr>
              <w:t> Nav</w:t>
            </w:r>
          </w:p>
        </w:tc>
      </w:tr>
    </w:tbl>
    <w:p w:rsidR="002A5942" w:rsidRPr="0076658C" w:rsidRDefault="002A5942" w:rsidP="002A5942">
      <w:pPr>
        <w:tabs>
          <w:tab w:val="left" w:pos="709"/>
          <w:tab w:val="left" w:pos="7088"/>
          <w:tab w:val="left" w:pos="7371"/>
        </w:tabs>
        <w:rPr>
          <w:lang w:eastAsia="lv-LV"/>
        </w:rPr>
      </w:pPr>
    </w:p>
    <w:p w:rsidR="00F339D2" w:rsidRDefault="00F339D2" w:rsidP="006B4AB1">
      <w:pPr>
        <w:tabs>
          <w:tab w:val="left" w:pos="5812"/>
        </w:tabs>
        <w:rPr>
          <w:bCs/>
        </w:rPr>
      </w:pPr>
    </w:p>
    <w:p w:rsidR="0059511B" w:rsidRDefault="0059511B" w:rsidP="006B4AB1">
      <w:pPr>
        <w:tabs>
          <w:tab w:val="left" w:pos="5812"/>
        </w:tabs>
        <w:rPr>
          <w:bCs/>
        </w:rPr>
      </w:pPr>
    </w:p>
    <w:p w:rsidR="002A5942" w:rsidRPr="0076658C" w:rsidRDefault="002A5942" w:rsidP="006B4AB1">
      <w:pPr>
        <w:tabs>
          <w:tab w:val="left" w:pos="5812"/>
        </w:tabs>
        <w:rPr>
          <w:bCs/>
        </w:rPr>
      </w:pPr>
      <w:r w:rsidRPr="0076658C">
        <w:rPr>
          <w:bCs/>
        </w:rPr>
        <w:t>Ārlietu ministrs</w:t>
      </w:r>
      <w:r w:rsidRPr="0076658C">
        <w:rPr>
          <w:bCs/>
        </w:rPr>
        <w:tab/>
      </w:r>
      <w:proofErr w:type="spellStart"/>
      <w:r w:rsidR="006B4AB1" w:rsidRPr="0076658C">
        <w:rPr>
          <w:bCs/>
        </w:rPr>
        <w:t>E</w:t>
      </w:r>
      <w:r w:rsidRPr="0076658C">
        <w:rPr>
          <w:bCs/>
        </w:rPr>
        <w:t>.Rinkēvičs</w:t>
      </w:r>
      <w:proofErr w:type="spellEnd"/>
    </w:p>
    <w:p w:rsidR="002A5942" w:rsidRPr="0076658C" w:rsidRDefault="002A5942" w:rsidP="002A5942">
      <w:pPr>
        <w:rPr>
          <w:bCs/>
        </w:rPr>
      </w:pPr>
    </w:p>
    <w:p w:rsidR="002A5942" w:rsidRPr="0076658C" w:rsidRDefault="002A5942" w:rsidP="002A5942">
      <w:pPr>
        <w:rPr>
          <w:bCs/>
        </w:rPr>
      </w:pPr>
    </w:p>
    <w:p w:rsidR="002A5942" w:rsidRPr="0076658C" w:rsidRDefault="002A5942" w:rsidP="006B4AB1">
      <w:pPr>
        <w:tabs>
          <w:tab w:val="left" w:pos="5812"/>
        </w:tabs>
        <w:rPr>
          <w:bCs/>
        </w:rPr>
      </w:pPr>
      <w:r w:rsidRPr="0076658C">
        <w:rPr>
          <w:bCs/>
        </w:rPr>
        <w:t>Vīza: Valsts sekretārs</w:t>
      </w:r>
      <w:r w:rsidRPr="0076658C">
        <w:rPr>
          <w:bCs/>
        </w:rPr>
        <w:tab/>
        <w:t xml:space="preserve">A.Pildegovičs </w:t>
      </w:r>
    </w:p>
    <w:p w:rsidR="0059511B" w:rsidRDefault="0059511B" w:rsidP="00914391"/>
    <w:p w:rsidR="00914391" w:rsidRPr="00F339D2" w:rsidRDefault="00914391" w:rsidP="00914391">
      <w:pPr>
        <w:rPr>
          <w:sz w:val="20"/>
          <w:szCs w:val="20"/>
        </w:rPr>
      </w:pPr>
      <w:r w:rsidRPr="00F339D2">
        <w:rPr>
          <w:sz w:val="20"/>
          <w:szCs w:val="20"/>
        </w:rPr>
        <w:fldChar w:fldCharType="begin"/>
      </w:r>
      <w:r w:rsidRPr="00F339D2">
        <w:rPr>
          <w:sz w:val="20"/>
          <w:szCs w:val="20"/>
        </w:rPr>
        <w:instrText xml:space="preserve"> TIME \@ "dd.MM.yyyy H:mm" </w:instrText>
      </w:r>
      <w:r w:rsidRPr="00F339D2">
        <w:rPr>
          <w:sz w:val="20"/>
          <w:szCs w:val="20"/>
        </w:rPr>
        <w:fldChar w:fldCharType="separate"/>
      </w:r>
      <w:r w:rsidR="00E53707">
        <w:rPr>
          <w:noProof/>
          <w:sz w:val="20"/>
          <w:szCs w:val="20"/>
        </w:rPr>
        <w:t>04.12.2015 16:03</w:t>
      </w:r>
      <w:r w:rsidRPr="00F339D2">
        <w:rPr>
          <w:sz w:val="20"/>
          <w:szCs w:val="20"/>
        </w:rPr>
        <w:fldChar w:fldCharType="end"/>
      </w:r>
    </w:p>
    <w:p w:rsidR="00914391" w:rsidRPr="00F339D2" w:rsidRDefault="00E53707" w:rsidP="00914391">
      <w:pPr>
        <w:rPr>
          <w:sz w:val="20"/>
          <w:szCs w:val="20"/>
        </w:rPr>
      </w:pPr>
      <w:r>
        <w:rPr>
          <w:sz w:val="20"/>
          <w:szCs w:val="20"/>
        </w:rPr>
        <w:t>112</w:t>
      </w:r>
      <w:r w:rsidR="004F1D68">
        <w:rPr>
          <w:sz w:val="20"/>
          <w:szCs w:val="20"/>
        </w:rPr>
        <w:t>9</w:t>
      </w:r>
    </w:p>
    <w:p w:rsidR="00914391" w:rsidRPr="00F339D2" w:rsidRDefault="00DA3EDE" w:rsidP="00914391">
      <w:pPr>
        <w:rPr>
          <w:sz w:val="20"/>
          <w:szCs w:val="20"/>
          <w:lang w:val="da-DK"/>
        </w:rPr>
      </w:pPr>
      <w:r>
        <w:rPr>
          <w:sz w:val="20"/>
          <w:szCs w:val="20"/>
          <w:lang w:val="da-DK"/>
        </w:rPr>
        <w:t>G.Serafinovičs</w:t>
      </w:r>
    </w:p>
    <w:p w:rsidR="00914391" w:rsidRPr="00F339D2" w:rsidRDefault="00E53707" w:rsidP="00914391">
      <w:pPr>
        <w:rPr>
          <w:sz w:val="20"/>
          <w:szCs w:val="20"/>
          <w:lang w:val="da-DK"/>
        </w:rPr>
      </w:pPr>
      <w:hyperlink r:id="rId13" w:history="1">
        <w:r w:rsidR="00DA3EDE" w:rsidRPr="00DA3EDE">
          <w:rPr>
            <w:sz w:val="20"/>
            <w:szCs w:val="20"/>
          </w:rPr>
          <w:t>gints.serafinovics</w:t>
        </w:r>
        <w:r w:rsidR="00914391" w:rsidRPr="00DA3EDE">
          <w:rPr>
            <w:sz w:val="20"/>
            <w:szCs w:val="20"/>
          </w:rPr>
          <w:t>@mfa.gov.lv</w:t>
        </w:r>
      </w:hyperlink>
      <w:r w:rsidR="00DA3EDE">
        <w:rPr>
          <w:sz w:val="20"/>
          <w:szCs w:val="20"/>
          <w:lang w:val="da-DK"/>
        </w:rPr>
        <w:t>, tel. 67016</w:t>
      </w:r>
      <w:bookmarkStart w:id="0" w:name="_GoBack"/>
      <w:bookmarkEnd w:id="0"/>
      <w:r w:rsidR="00DA3EDE">
        <w:rPr>
          <w:sz w:val="20"/>
          <w:szCs w:val="20"/>
          <w:lang w:val="da-DK"/>
        </w:rPr>
        <w:t>147</w:t>
      </w:r>
    </w:p>
    <w:p w:rsidR="00093619" w:rsidRPr="0076658C" w:rsidRDefault="00093619" w:rsidP="00914391">
      <w:pPr>
        <w:jc w:val="both"/>
      </w:pPr>
    </w:p>
    <w:sectPr w:rsidR="00093619" w:rsidRPr="0076658C" w:rsidSect="00F17343">
      <w:headerReference w:type="default" r:id="rId14"/>
      <w:footerReference w:type="default" r:id="rId15"/>
      <w:footerReference w:type="first" r:id="rId16"/>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C3E" w:rsidRDefault="00DC7C3E" w:rsidP="00F17343">
      <w:r>
        <w:separator/>
      </w:r>
    </w:p>
  </w:endnote>
  <w:endnote w:type="continuationSeparator" w:id="0">
    <w:p w:rsidR="00DC7C3E" w:rsidRDefault="00DC7C3E" w:rsidP="00F1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AB" w:rsidRPr="000C3CC8" w:rsidRDefault="00A167A0" w:rsidP="00DA3EDE">
    <w:pPr>
      <w:pStyle w:val="Title"/>
      <w:jc w:val="both"/>
      <w:rPr>
        <w:b w:val="0"/>
        <w:sz w:val="20"/>
        <w:szCs w:val="20"/>
      </w:rPr>
    </w:pPr>
    <w:r w:rsidRPr="00A167A0">
      <w:rPr>
        <w:b w:val="0"/>
        <w:sz w:val="20"/>
        <w:szCs w:val="20"/>
      </w:rPr>
      <w:fldChar w:fldCharType="begin"/>
    </w:r>
    <w:r w:rsidRPr="00A167A0">
      <w:rPr>
        <w:b w:val="0"/>
        <w:sz w:val="20"/>
        <w:szCs w:val="20"/>
      </w:rPr>
      <w:instrText xml:space="preserve"> FILENAME   \* MERGEFORMAT </w:instrText>
    </w:r>
    <w:r w:rsidRPr="00A167A0">
      <w:rPr>
        <w:b w:val="0"/>
        <w:sz w:val="20"/>
        <w:szCs w:val="20"/>
      </w:rPr>
      <w:fldChar w:fldCharType="separate"/>
    </w:r>
    <w:r w:rsidR="00E53707">
      <w:rPr>
        <w:b w:val="0"/>
        <w:noProof/>
        <w:sz w:val="20"/>
        <w:szCs w:val="20"/>
      </w:rPr>
      <w:t>AManot_041215_ES_Kazahstana</w:t>
    </w:r>
    <w:r w:rsidRPr="00A167A0">
      <w:rPr>
        <w:b w:val="0"/>
        <w:sz w:val="20"/>
        <w:szCs w:val="20"/>
      </w:rPr>
      <w:fldChar w:fldCharType="end"/>
    </w:r>
    <w:r w:rsidR="00AF64AB" w:rsidRPr="001F12CB">
      <w:rPr>
        <w:b w:val="0"/>
        <w:sz w:val="20"/>
        <w:szCs w:val="20"/>
      </w:rPr>
      <w:t xml:space="preserve">; </w:t>
    </w:r>
    <w:r w:rsidR="00DA3EDE">
      <w:rPr>
        <w:b w:val="0"/>
        <w:sz w:val="20"/>
        <w:szCs w:val="20"/>
      </w:rPr>
      <w:t xml:space="preserve">Likumprojekta </w:t>
    </w:r>
    <w:r w:rsidR="00DA3EDE" w:rsidRPr="00DA3EDE">
      <w:rPr>
        <w:b w:val="0"/>
        <w:sz w:val="20"/>
        <w:szCs w:val="20"/>
      </w:rPr>
      <w:t>„Par Padziļināt</w:t>
    </w:r>
    <w:r w:rsidR="005178DF">
      <w:rPr>
        <w:b w:val="0"/>
        <w:sz w:val="20"/>
        <w:szCs w:val="20"/>
      </w:rPr>
      <w:t>u</w:t>
    </w:r>
    <w:r w:rsidR="00DA3EDE" w:rsidRPr="00DA3EDE">
      <w:rPr>
        <w:b w:val="0"/>
        <w:sz w:val="20"/>
        <w:szCs w:val="20"/>
      </w:rPr>
      <w:t xml:space="preserve"> partnerības un sadarbības nolīgumu starp Eiropas Savienību un tās dalībvalstīm, no vienas puses, un Kazahstānas Republiku, no otras puses”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AB" w:rsidRPr="000C3CC8" w:rsidRDefault="006D5229" w:rsidP="00DA3EDE">
    <w:pPr>
      <w:pStyle w:val="Title"/>
      <w:jc w:val="both"/>
      <w:rPr>
        <w:b w:val="0"/>
        <w:sz w:val="20"/>
        <w:szCs w:val="20"/>
      </w:rPr>
    </w:pPr>
    <w:r>
      <w:rPr>
        <w:b w:val="0"/>
        <w:sz w:val="20"/>
        <w:szCs w:val="20"/>
      </w:rPr>
      <w:fldChar w:fldCharType="begin"/>
    </w:r>
    <w:r>
      <w:rPr>
        <w:b w:val="0"/>
        <w:sz w:val="20"/>
        <w:szCs w:val="20"/>
      </w:rPr>
      <w:instrText xml:space="preserve"> FILENAME   \* MERGEFORMAT </w:instrText>
    </w:r>
    <w:r>
      <w:rPr>
        <w:b w:val="0"/>
        <w:sz w:val="20"/>
        <w:szCs w:val="20"/>
      </w:rPr>
      <w:fldChar w:fldCharType="separate"/>
    </w:r>
    <w:r w:rsidR="00E53707">
      <w:rPr>
        <w:b w:val="0"/>
        <w:noProof/>
        <w:sz w:val="20"/>
        <w:szCs w:val="20"/>
      </w:rPr>
      <w:t>AManot_041215_ES_Kazahstana</w:t>
    </w:r>
    <w:r>
      <w:rPr>
        <w:b w:val="0"/>
        <w:sz w:val="20"/>
        <w:szCs w:val="20"/>
      </w:rPr>
      <w:fldChar w:fldCharType="end"/>
    </w:r>
    <w:r w:rsidR="00DA3EDE">
      <w:rPr>
        <w:b w:val="0"/>
        <w:sz w:val="20"/>
        <w:szCs w:val="20"/>
      </w:rPr>
      <w:t>;</w:t>
    </w:r>
    <w:r w:rsidR="00840952">
      <w:rPr>
        <w:b w:val="0"/>
        <w:sz w:val="20"/>
        <w:szCs w:val="20"/>
      </w:rPr>
      <w:t xml:space="preserve"> </w:t>
    </w:r>
    <w:r w:rsidR="00DA3EDE">
      <w:rPr>
        <w:b w:val="0"/>
        <w:sz w:val="20"/>
        <w:szCs w:val="20"/>
      </w:rPr>
      <w:t xml:space="preserve">Likumprojekta </w:t>
    </w:r>
    <w:r w:rsidR="00DA3EDE" w:rsidRPr="00DA3EDE">
      <w:rPr>
        <w:b w:val="0"/>
        <w:sz w:val="20"/>
        <w:szCs w:val="20"/>
      </w:rPr>
      <w:t xml:space="preserve">„Par </w:t>
    </w:r>
    <w:r w:rsidR="005178DF">
      <w:rPr>
        <w:b w:val="0"/>
        <w:sz w:val="20"/>
        <w:szCs w:val="20"/>
      </w:rPr>
      <w:t>Padziļinātu</w:t>
    </w:r>
    <w:r w:rsidR="00DA3EDE" w:rsidRPr="00DA3EDE">
      <w:rPr>
        <w:b w:val="0"/>
        <w:sz w:val="20"/>
        <w:szCs w:val="20"/>
      </w:rPr>
      <w:t xml:space="preserve"> partnerības un sadarbības nolīgumu starp Eiropas Savienību un tās dalībvalstīm, no vienas puses, un Kazahstānas Republiku, no otras puses”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C3E" w:rsidRDefault="00DC7C3E" w:rsidP="00F17343">
      <w:r>
        <w:separator/>
      </w:r>
    </w:p>
  </w:footnote>
  <w:footnote w:type="continuationSeparator" w:id="0">
    <w:p w:rsidR="00DC7C3E" w:rsidRDefault="00DC7C3E" w:rsidP="00F17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AB" w:rsidRDefault="00AF64AB">
    <w:pPr>
      <w:pStyle w:val="Header"/>
      <w:jc w:val="center"/>
    </w:pPr>
    <w:r>
      <w:fldChar w:fldCharType="begin"/>
    </w:r>
    <w:r>
      <w:instrText xml:space="preserve"> PAGE   \* MERGEFORMAT </w:instrText>
    </w:r>
    <w:r>
      <w:fldChar w:fldCharType="separate"/>
    </w:r>
    <w:r w:rsidR="00E53707">
      <w:rPr>
        <w:noProof/>
      </w:rPr>
      <w:t>5</w:t>
    </w:r>
    <w:r>
      <w:fldChar w:fldCharType="end"/>
    </w:r>
  </w:p>
  <w:p w:rsidR="00AF64AB" w:rsidRDefault="00AF64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91B87"/>
    <w:multiLevelType w:val="hybridMultilevel"/>
    <w:tmpl w:val="34C6DD00"/>
    <w:lvl w:ilvl="0" w:tplc="2640A980">
      <w:start w:val="1"/>
      <w:numFmt w:val="decimal"/>
      <w:lvlText w:val="%1."/>
      <w:lvlJc w:val="left"/>
      <w:pPr>
        <w:ind w:left="1170" w:hanging="360"/>
      </w:pPr>
      <w:rPr>
        <w:rFonts w:hint="default"/>
      </w:rPr>
    </w:lvl>
    <w:lvl w:ilvl="1" w:tplc="04260019" w:tentative="1">
      <w:start w:val="1"/>
      <w:numFmt w:val="lowerLetter"/>
      <w:lvlText w:val="%2."/>
      <w:lvlJc w:val="left"/>
      <w:pPr>
        <w:ind w:left="1890" w:hanging="360"/>
      </w:pPr>
    </w:lvl>
    <w:lvl w:ilvl="2" w:tplc="0426001B" w:tentative="1">
      <w:start w:val="1"/>
      <w:numFmt w:val="lowerRoman"/>
      <w:lvlText w:val="%3."/>
      <w:lvlJc w:val="right"/>
      <w:pPr>
        <w:ind w:left="2610" w:hanging="180"/>
      </w:pPr>
    </w:lvl>
    <w:lvl w:ilvl="3" w:tplc="0426000F" w:tentative="1">
      <w:start w:val="1"/>
      <w:numFmt w:val="decimal"/>
      <w:lvlText w:val="%4."/>
      <w:lvlJc w:val="left"/>
      <w:pPr>
        <w:ind w:left="3330" w:hanging="360"/>
      </w:pPr>
    </w:lvl>
    <w:lvl w:ilvl="4" w:tplc="04260019" w:tentative="1">
      <w:start w:val="1"/>
      <w:numFmt w:val="lowerLetter"/>
      <w:lvlText w:val="%5."/>
      <w:lvlJc w:val="left"/>
      <w:pPr>
        <w:ind w:left="4050" w:hanging="360"/>
      </w:pPr>
    </w:lvl>
    <w:lvl w:ilvl="5" w:tplc="0426001B" w:tentative="1">
      <w:start w:val="1"/>
      <w:numFmt w:val="lowerRoman"/>
      <w:lvlText w:val="%6."/>
      <w:lvlJc w:val="right"/>
      <w:pPr>
        <w:ind w:left="4770" w:hanging="180"/>
      </w:pPr>
    </w:lvl>
    <w:lvl w:ilvl="6" w:tplc="0426000F" w:tentative="1">
      <w:start w:val="1"/>
      <w:numFmt w:val="decimal"/>
      <w:lvlText w:val="%7."/>
      <w:lvlJc w:val="left"/>
      <w:pPr>
        <w:ind w:left="5490" w:hanging="360"/>
      </w:pPr>
    </w:lvl>
    <w:lvl w:ilvl="7" w:tplc="04260019" w:tentative="1">
      <w:start w:val="1"/>
      <w:numFmt w:val="lowerLetter"/>
      <w:lvlText w:val="%8."/>
      <w:lvlJc w:val="left"/>
      <w:pPr>
        <w:ind w:left="6210" w:hanging="360"/>
      </w:pPr>
    </w:lvl>
    <w:lvl w:ilvl="8" w:tplc="0426001B" w:tentative="1">
      <w:start w:val="1"/>
      <w:numFmt w:val="lowerRoman"/>
      <w:lvlText w:val="%9."/>
      <w:lvlJc w:val="right"/>
      <w:pPr>
        <w:ind w:left="6930" w:hanging="180"/>
      </w:pPr>
    </w:lvl>
  </w:abstractNum>
  <w:abstractNum w:abstractNumId="1">
    <w:nsid w:val="190C246B"/>
    <w:multiLevelType w:val="hybridMultilevel"/>
    <w:tmpl w:val="D20A439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1CA0368"/>
    <w:multiLevelType w:val="singleLevel"/>
    <w:tmpl w:val="93DE5444"/>
    <w:lvl w:ilvl="0">
      <w:start w:val="1"/>
      <w:numFmt w:val="lowerLetter"/>
      <w:lvlText w:val="%1)"/>
      <w:lvlJc w:val="left"/>
      <w:pPr>
        <w:tabs>
          <w:tab w:val="num" w:pos="510"/>
        </w:tabs>
        <w:ind w:left="510" w:hanging="510"/>
      </w:pPr>
      <w:rPr>
        <w:rFonts w:hint="default"/>
      </w:rPr>
    </w:lvl>
  </w:abstractNum>
  <w:abstractNum w:abstractNumId="3">
    <w:nsid w:val="365F2AF5"/>
    <w:multiLevelType w:val="singleLevel"/>
    <w:tmpl w:val="0C090017"/>
    <w:lvl w:ilvl="0">
      <w:start w:val="1"/>
      <w:numFmt w:val="lowerLetter"/>
      <w:lvlText w:val="%1)"/>
      <w:lvlJc w:val="left"/>
      <w:pPr>
        <w:tabs>
          <w:tab w:val="num" w:pos="360"/>
        </w:tabs>
        <w:ind w:left="360" w:hanging="360"/>
      </w:pPr>
      <w:rPr>
        <w:rFonts w:hint="default"/>
      </w:rPr>
    </w:lvl>
  </w:abstractNum>
  <w:abstractNum w:abstractNumId="4">
    <w:nsid w:val="5E6F228E"/>
    <w:multiLevelType w:val="hybridMultilevel"/>
    <w:tmpl w:val="F89C2EC6"/>
    <w:lvl w:ilvl="0" w:tplc="A094CD5C">
      <w:start w:val="20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rawingGridVerticalSpacing w:val="381"/>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85"/>
    <w:rsid w:val="00000F6A"/>
    <w:rsid w:val="00001E37"/>
    <w:rsid w:val="000063EE"/>
    <w:rsid w:val="00007D36"/>
    <w:rsid w:val="00007F44"/>
    <w:rsid w:val="00010226"/>
    <w:rsid w:val="00014BA5"/>
    <w:rsid w:val="00015454"/>
    <w:rsid w:val="0001651D"/>
    <w:rsid w:val="00022245"/>
    <w:rsid w:val="00025469"/>
    <w:rsid w:val="000275CC"/>
    <w:rsid w:val="00030A63"/>
    <w:rsid w:val="00030C41"/>
    <w:rsid w:val="00032600"/>
    <w:rsid w:val="00040CBD"/>
    <w:rsid w:val="0004402E"/>
    <w:rsid w:val="0004564C"/>
    <w:rsid w:val="00045E3D"/>
    <w:rsid w:val="00046656"/>
    <w:rsid w:val="00050060"/>
    <w:rsid w:val="00050705"/>
    <w:rsid w:val="00053211"/>
    <w:rsid w:val="00056756"/>
    <w:rsid w:val="00061FE8"/>
    <w:rsid w:val="00064532"/>
    <w:rsid w:val="000663FA"/>
    <w:rsid w:val="00067194"/>
    <w:rsid w:val="000706D6"/>
    <w:rsid w:val="00072868"/>
    <w:rsid w:val="00075902"/>
    <w:rsid w:val="00081B09"/>
    <w:rsid w:val="00090360"/>
    <w:rsid w:val="00093619"/>
    <w:rsid w:val="0009429A"/>
    <w:rsid w:val="00094718"/>
    <w:rsid w:val="0009581A"/>
    <w:rsid w:val="000A0668"/>
    <w:rsid w:val="000A130E"/>
    <w:rsid w:val="000A40CA"/>
    <w:rsid w:val="000A71BF"/>
    <w:rsid w:val="000B1BC5"/>
    <w:rsid w:val="000B2486"/>
    <w:rsid w:val="000C3CC8"/>
    <w:rsid w:val="000C57F4"/>
    <w:rsid w:val="000D005B"/>
    <w:rsid w:val="000D0F39"/>
    <w:rsid w:val="000D1811"/>
    <w:rsid w:val="000D464F"/>
    <w:rsid w:val="000D47FA"/>
    <w:rsid w:val="000D4DF7"/>
    <w:rsid w:val="000D738B"/>
    <w:rsid w:val="000E1E6E"/>
    <w:rsid w:val="000F0818"/>
    <w:rsid w:val="000F3C12"/>
    <w:rsid w:val="000F74F2"/>
    <w:rsid w:val="00101785"/>
    <w:rsid w:val="001042E3"/>
    <w:rsid w:val="00106A33"/>
    <w:rsid w:val="001079C2"/>
    <w:rsid w:val="00112A73"/>
    <w:rsid w:val="001146EE"/>
    <w:rsid w:val="00115EF9"/>
    <w:rsid w:val="00123A40"/>
    <w:rsid w:val="00137D06"/>
    <w:rsid w:val="00144B69"/>
    <w:rsid w:val="0014524C"/>
    <w:rsid w:val="00145C48"/>
    <w:rsid w:val="0015123F"/>
    <w:rsid w:val="00151E95"/>
    <w:rsid w:val="0016021B"/>
    <w:rsid w:val="001611C9"/>
    <w:rsid w:val="001627E0"/>
    <w:rsid w:val="00165047"/>
    <w:rsid w:val="0016599F"/>
    <w:rsid w:val="00166A88"/>
    <w:rsid w:val="00184953"/>
    <w:rsid w:val="00186CDA"/>
    <w:rsid w:val="001923BD"/>
    <w:rsid w:val="00192AA0"/>
    <w:rsid w:val="00194A4E"/>
    <w:rsid w:val="00195209"/>
    <w:rsid w:val="001A236E"/>
    <w:rsid w:val="001A2929"/>
    <w:rsid w:val="001A2E81"/>
    <w:rsid w:val="001A6E90"/>
    <w:rsid w:val="001C4139"/>
    <w:rsid w:val="001C4B38"/>
    <w:rsid w:val="001C6C1D"/>
    <w:rsid w:val="001E4C74"/>
    <w:rsid w:val="001F00B2"/>
    <w:rsid w:val="001F12CB"/>
    <w:rsid w:val="001F1EDC"/>
    <w:rsid w:val="001F252B"/>
    <w:rsid w:val="001F363F"/>
    <w:rsid w:val="00200870"/>
    <w:rsid w:val="002044FB"/>
    <w:rsid w:val="0020553F"/>
    <w:rsid w:val="00207391"/>
    <w:rsid w:val="00210E66"/>
    <w:rsid w:val="00212B7A"/>
    <w:rsid w:val="002130FF"/>
    <w:rsid w:val="00223284"/>
    <w:rsid w:val="002232A0"/>
    <w:rsid w:val="00223BCC"/>
    <w:rsid w:val="00230F14"/>
    <w:rsid w:val="00232C33"/>
    <w:rsid w:val="00233AEB"/>
    <w:rsid w:val="00237AA1"/>
    <w:rsid w:val="00242BB7"/>
    <w:rsid w:val="0024567B"/>
    <w:rsid w:val="00253D27"/>
    <w:rsid w:val="00255215"/>
    <w:rsid w:val="00260061"/>
    <w:rsid w:val="002608D2"/>
    <w:rsid w:val="00261EF0"/>
    <w:rsid w:val="002643AC"/>
    <w:rsid w:val="00267A3F"/>
    <w:rsid w:val="002746AE"/>
    <w:rsid w:val="00275D9F"/>
    <w:rsid w:val="00291C6E"/>
    <w:rsid w:val="002922E6"/>
    <w:rsid w:val="002A27FF"/>
    <w:rsid w:val="002A4D2F"/>
    <w:rsid w:val="002A5942"/>
    <w:rsid w:val="002B44D4"/>
    <w:rsid w:val="002C3DE9"/>
    <w:rsid w:val="002C3EE5"/>
    <w:rsid w:val="002D04AF"/>
    <w:rsid w:val="002D3637"/>
    <w:rsid w:val="002D372E"/>
    <w:rsid w:val="002E3488"/>
    <w:rsid w:val="002F5723"/>
    <w:rsid w:val="00302CA7"/>
    <w:rsid w:val="0031204D"/>
    <w:rsid w:val="00313D39"/>
    <w:rsid w:val="00321672"/>
    <w:rsid w:val="00323CAE"/>
    <w:rsid w:val="00325FBA"/>
    <w:rsid w:val="00330256"/>
    <w:rsid w:val="003346DD"/>
    <w:rsid w:val="00340C49"/>
    <w:rsid w:val="003442B1"/>
    <w:rsid w:val="00347E89"/>
    <w:rsid w:val="00352940"/>
    <w:rsid w:val="0036767C"/>
    <w:rsid w:val="00371724"/>
    <w:rsid w:val="0037668D"/>
    <w:rsid w:val="00380A1F"/>
    <w:rsid w:val="00381BA8"/>
    <w:rsid w:val="00385125"/>
    <w:rsid w:val="00386DF6"/>
    <w:rsid w:val="003924E1"/>
    <w:rsid w:val="003A3B68"/>
    <w:rsid w:val="003A5B6C"/>
    <w:rsid w:val="003B4705"/>
    <w:rsid w:val="003B4D51"/>
    <w:rsid w:val="003C64B3"/>
    <w:rsid w:val="003C7A9B"/>
    <w:rsid w:val="003D370F"/>
    <w:rsid w:val="003D39B9"/>
    <w:rsid w:val="003E3213"/>
    <w:rsid w:val="003E4395"/>
    <w:rsid w:val="003E5D31"/>
    <w:rsid w:val="003F72BB"/>
    <w:rsid w:val="00400947"/>
    <w:rsid w:val="004059E2"/>
    <w:rsid w:val="004061E6"/>
    <w:rsid w:val="00407832"/>
    <w:rsid w:val="0041227D"/>
    <w:rsid w:val="0041760B"/>
    <w:rsid w:val="00420B5C"/>
    <w:rsid w:val="00432369"/>
    <w:rsid w:val="00436437"/>
    <w:rsid w:val="00443ADC"/>
    <w:rsid w:val="0044407D"/>
    <w:rsid w:val="0045370C"/>
    <w:rsid w:val="0045397C"/>
    <w:rsid w:val="00456142"/>
    <w:rsid w:val="004603E9"/>
    <w:rsid w:val="0046244B"/>
    <w:rsid w:val="0046595D"/>
    <w:rsid w:val="004732C2"/>
    <w:rsid w:val="00474E03"/>
    <w:rsid w:val="00476BA8"/>
    <w:rsid w:val="0048167A"/>
    <w:rsid w:val="004844DA"/>
    <w:rsid w:val="0048662A"/>
    <w:rsid w:val="004910CE"/>
    <w:rsid w:val="00491B45"/>
    <w:rsid w:val="00493DEA"/>
    <w:rsid w:val="00494FA7"/>
    <w:rsid w:val="004A3F15"/>
    <w:rsid w:val="004C1309"/>
    <w:rsid w:val="004D2F5E"/>
    <w:rsid w:val="004D44B3"/>
    <w:rsid w:val="004D5928"/>
    <w:rsid w:val="004D6077"/>
    <w:rsid w:val="004D75F2"/>
    <w:rsid w:val="004D795F"/>
    <w:rsid w:val="004D79A2"/>
    <w:rsid w:val="004E3B0A"/>
    <w:rsid w:val="004F1D68"/>
    <w:rsid w:val="004F70F7"/>
    <w:rsid w:val="00501C5D"/>
    <w:rsid w:val="005062C1"/>
    <w:rsid w:val="0050762B"/>
    <w:rsid w:val="005178DF"/>
    <w:rsid w:val="00517D01"/>
    <w:rsid w:val="005211ED"/>
    <w:rsid w:val="00522CB6"/>
    <w:rsid w:val="0053440A"/>
    <w:rsid w:val="00537031"/>
    <w:rsid w:val="005404B2"/>
    <w:rsid w:val="00540D0C"/>
    <w:rsid w:val="00540E5B"/>
    <w:rsid w:val="00541228"/>
    <w:rsid w:val="00543BC9"/>
    <w:rsid w:val="005452D8"/>
    <w:rsid w:val="00555AC0"/>
    <w:rsid w:val="0055607D"/>
    <w:rsid w:val="0056127D"/>
    <w:rsid w:val="00564922"/>
    <w:rsid w:val="00565BB3"/>
    <w:rsid w:val="00566285"/>
    <w:rsid w:val="00570D7E"/>
    <w:rsid w:val="00580942"/>
    <w:rsid w:val="00585C6E"/>
    <w:rsid w:val="0058715D"/>
    <w:rsid w:val="00587B6B"/>
    <w:rsid w:val="00587E3B"/>
    <w:rsid w:val="0059089A"/>
    <w:rsid w:val="0059511B"/>
    <w:rsid w:val="0059651D"/>
    <w:rsid w:val="005B0A00"/>
    <w:rsid w:val="005B38E4"/>
    <w:rsid w:val="005B47E9"/>
    <w:rsid w:val="005B5F39"/>
    <w:rsid w:val="005C07CE"/>
    <w:rsid w:val="005C1511"/>
    <w:rsid w:val="005C24B3"/>
    <w:rsid w:val="005C71B5"/>
    <w:rsid w:val="005D0B4D"/>
    <w:rsid w:val="005D217E"/>
    <w:rsid w:val="005D3516"/>
    <w:rsid w:val="005D6331"/>
    <w:rsid w:val="005E060D"/>
    <w:rsid w:val="005E4DDF"/>
    <w:rsid w:val="005F24F2"/>
    <w:rsid w:val="00603EAD"/>
    <w:rsid w:val="00605F76"/>
    <w:rsid w:val="00610474"/>
    <w:rsid w:val="00620FA9"/>
    <w:rsid w:val="00621605"/>
    <w:rsid w:val="0063189F"/>
    <w:rsid w:val="006420B9"/>
    <w:rsid w:val="00642B56"/>
    <w:rsid w:val="0064492A"/>
    <w:rsid w:val="00652153"/>
    <w:rsid w:val="006534D4"/>
    <w:rsid w:val="006548D2"/>
    <w:rsid w:val="0066148A"/>
    <w:rsid w:val="00670F56"/>
    <w:rsid w:val="0067389A"/>
    <w:rsid w:val="00674246"/>
    <w:rsid w:val="00677783"/>
    <w:rsid w:val="006848C7"/>
    <w:rsid w:val="00685E5A"/>
    <w:rsid w:val="00686F9F"/>
    <w:rsid w:val="006921BD"/>
    <w:rsid w:val="00694A7E"/>
    <w:rsid w:val="0069686D"/>
    <w:rsid w:val="006A528E"/>
    <w:rsid w:val="006A7A08"/>
    <w:rsid w:val="006B1FD5"/>
    <w:rsid w:val="006B4AB1"/>
    <w:rsid w:val="006C59A9"/>
    <w:rsid w:val="006D33CC"/>
    <w:rsid w:val="006D5229"/>
    <w:rsid w:val="006D70A1"/>
    <w:rsid w:val="006E6EA6"/>
    <w:rsid w:val="006F05F2"/>
    <w:rsid w:val="006F3CBE"/>
    <w:rsid w:val="00707BF1"/>
    <w:rsid w:val="00712AA2"/>
    <w:rsid w:val="00713397"/>
    <w:rsid w:val="007220DB"/>
    <w:rsid w:val="007229F3"/>
    <w:rsid w:val="00723802"/>
    <w:rsid w:val="00724728"/>
    <w:rsid w:val="007260EA"/>
    <w:rsid w:val="00733C5D"/>
    <w:rsid w:val="007343D3"/>
    <w:rsid w:val="0073617F"/>
    <w:rsid w:val="00740740"/>
    <w:rsid w:val="0074198F"/>
    <w:rsid w:val="00745DA0"/>
    <w:rsid w:val="007521D2"/>
    <w:rsid w:val="00757927"/>
    <w:rsid w:val="0076658C"/>
    <w:rsid w:val="007667A7"/>
    <w:rsid w:val="00783954"/>
    <w:rsid w:val="00785C23"/>
    <w:rsid w:val="0079360E"/>
    <w:rsid w:val="007938BE"/>
    <w:rsid w:val="007B32A5"/>
    <w:rsid w:val="007B394F"/>
    <w:rsid w:val="007B5033"/>
    <w:rsid w:val="007B79E1"/>
    <w:rsid w:val="007B7E45"/>
    <w:rsid w:val="007D4888"/>
    <w:rsid w:val="007D6B43"/>
    <w:rsid w:val="007D744E"/>
    <w:rsid w:val="007E205A"/>
    <w:rsid w:val="007E752D"/>
    <w:rsid w:val="00800FAB"/>
    <w:rsid w:val="00807354"/>
    <w:rsid w:val="00810227"/>
    <w:rsid w:val="00821FE0"/>
    <w:rsid w:val="00825F7E"/>
    <w:rsid w:val="008300BA"/>
    <w:rsid w:val="00832167"/>
    <w:rsid w:val="0083338B"/>
    <w:rsid w:val="0084035C"/>
    <w:rsid w:val="0084058B"/>
    <w:rsid w:val="00840952"/>
    <w:rsid w:val="008444CF"/>
    <w:rsid w:val="00844AD5"/>
    <w:rsid w:val="00851367"/>
    <w:rsid w:val="00852C5E"/>
    <w:rsid w:val="00854CF2"/>
    <w:rsid w:val="008633D1"/>
    <w:rsid w:val="00863543"/>
    <w:rsid w:val="00864AF4"/>
    <w:rsid w:val="00866628"/>
    <w:rsid w:val="00870DE4"/>
    <w:rsid w:val="0087364D"/>
    <w:rsid w:val="00875C95"/>
    <w:rsid w:val="00876775"/>
    <w:rsid w:val="00877AFC"/>
    <w:rsid w:val="008852B6"/>
    <w:rsid w:val="008854D8"/>
    <w:rsid w:val="0088602A"/>
    <w:rsid w:val="00890C43"/>
    <w:rsid w:val="008917DB"/>
    <w:rsid w:val="00894FDE"/>
    <w:rsid w:val="008A0488"/>
    <w:rsid w:val="008A2C4D"/>
    <w:rsid w:val="008B5565"/>
    <w:rsid w:val="008B622E"/>
    <w:rsid w:val="008C4223"/>
    <w:rsid w:val="008C49DD"/>
    <w:rsid w:val="008C54D9"/>
    <w:rsid w:val="008D05B2"/>
    <w:rsid w:val="008D4CD9"/>
    <w:rsid w:val="008D58E2"/>
    <w:rsid w:val="008D5C56"/>
    <w:rsid w:val="008D745D"/>
    <w:rsid w:val="008D7F03"/>
    <w:rsid w:val="008F1313"/>
    <w:rsid w:val="008F31B0"/>
    <w:rsid w:val="008F5BB5"/>
    <w:rsid w:val="008F6347"/>
    <w:rsid w:val="0091356D"/>
    <w:rsid w:val="00914391"/>
    <w:rsid w:val="009144CA"/>
    <w:rsid w:val="009148F0"/>
    <w:rsid w:val="00915361"/>
    <w:rsid w:val="00921411"/>
    <w:rsid w:val="00921412"/>
    <w:rsid w:val="00922743"/>
    <w:rsid w:val="0092461C"/>
    <w:rsid w:val="00924F1D"/>
    <w:rsid w:val="00927BC9"/>
    <w:rsid w:val="00931C4F"/>
    <w:rsid w:val="00931DC6"/>
    <w:rsid w:val="00932CBE"/>
    <w:rsid w:val="0093373C"/>
    <w:rsid w:val="00934D1A"/>
    <w:rsid w:val="00936281"/>
    <w:rsid w:val="0094035C"/>
    <w:rsid w:val="00941B3C"/>
    <w:rsid w:val="0094315E"/>
    <w:rsid w:val="00943319"/>
    <w:rsid w:val="009501C7"/>
    <w:rsid w:val="00957906"/>
    <w:rsid w:val="0096577A"/>
    <w:rsid w:val="00966893"/>
    <w:rsid w:val="00967259"/>
    <w:rsid w:val="00967685"/>
    <w:rsid w:val="00972D86"/>
    <w:rsid w:val="009738EE"/>
    <w:rsid w:val="00973E9C"/>
    <w:rsid w:val="009773E3"/>
    <w:rsid w:val="009804FB"/>
    <w:rsid w:val="00980A93"/>
    <w:rsid w:val="00983717"/>
    <w:rsid w:val="0098591F"/>
    <w:rsid w:val="00986089"/>
    <w:rsid w:val="009872C7"/>
    <w:rsid w:val="00992AD6"/>
    <w:rsid w:val="009942CA"/>
    <w:rsid w:val="00994930"/>
    <w:rsid w:val="009A29FD"/>
    <w:rsid w:val="009A30E9"/>
    <w:rsid w:val="009B5EE2"/>
    <w:rsid w:val="009C3D86"/>
    <w:rsid w:val="009C55AE"/>
    <w:rsid w:val="009D0CA0"/>
    <w:rsid w:val="009D0F6E"/>
    <w:rsid w:val="009D54EC"/>
    <w:rsid w:val="009D5C74"/>
    <w:rsid w:val="009F4935"/>
    <w:rsid w:val="00A02AA9"/>
    <w:rsid w:val="00A04070"/>
    <w:rsid w:val="00A0453B"/>
    <w:rsid w:val="00A05B08"/>
    <w:rsid w:val="00A12A3E"/>
    <w:rsid w:val="00A14240"/>
    <w:rsid w:val="00A14804"/>
    <w:rsid w:val="00A14841"/>
    <w:rsid w:val="00A167A0"/>
    <w:rsid w:val="00A2531E"/>
    <w:rsid w:val="00A25AB5"/>
    <w:rsid w:val="00A306AB"/>
    <w:rsid w:val="00A31F43"/>
    <w:rsid w:val="00A320A5"/>
    <w:rsid w:val="00A36BDF"/>
    <w:rsid w:val="00A36F33"/>
    <w:rsid w:val="00A40295"/>
    <w:rsid w:val="00A41755"/>
    <w:rsid w:val="00A517B0"/>
    <w:rsid w:val="00A54F10"/>
    <w:rsid w:val="00A6243C"/>
    <w:rsid w:val="00A62806"/>
    <w:rsid w:val="00A62F42"/>
    <w:rsid w:val="00A6645C"/>
    <w:rsid w:val="00A66544"/>
    <w:rsid w:val="00A7588F"/>
    <w:rsid w:val="00A75B17"/>
    <w:rsid w:val="00A77409"/>
    <w:rsid w:val="00A87E8B"/>
    <w:rsid w:val="00A95D7C"/>
    <w:rsid w:val="00A97A7F"/>
    <w:rsid w:val="00AA266B"/>
    <w:rsid w:val="00AA4026"/>
    <w:rsid w:val="00AB03EF"/>
    <w:rsid w:val="00AB11A4"/>
    <w:rsid w:val="00AC3638"/>
    <w:rsid w:val="00AC542F"/>
    <w:rsid w:val="00AE2AAF"/>
    <w:rsid w:val="00AE6FAC"/>
    <w:rsid w:val="00AF4892"/>
    <w:rsid w:val="00AF634C"/>
    <w:rsid w:val="00AF64AB"/>
    <w:rsid w:val="00AF6D1D"/>
    <w:rsid w:val="00B11D15"/>
    <w:rsid w:val="00B11F04"/>
    <w:rsid w:val="00B16992"/>
    <w:rsid w:val="00B21295"/>
    <w:rsid w:val="00B24289"/>
    <w:rsid w:val="00B33B82"/>
    <w:rsid w:val="00B34981"/>
    <w:rsid w:val="00B37C28"/>
    <w:rsid w:val="00B405B1"/>
    <w:rsid w:val="00B43EF1"/>
    <w:rsid w:val="00B43F66"/>
    <w:rsid w:val="00B63A47"/>
    <w:rsid w:val="00B643E9"/>
    <w:rsid w:val="00B64A47"/>
    <w:rsid w:val="00B66EE2"/>
    <w:rsid w:val="00B7616D"/>
    <w:rsid w:val="00B82A09"/>
    <w:rsid w:val="00B867D7"/>
    <w:rsid w:val="00B910E5"/>
    <w:rsid w:val="00B95ECF"/>
    <w:rsid w:val="00B96293"/>
    <w:rsid w:val="00B974D0"/>
    <w:rsid w:val="00BA592A"/>
    <w:rsid w:val="00BB3D0F"/>
    <w:rsid w:val="00BB42C4"/>
    <w:rsid w:val="00BB54A9"/>
    <w:rsid w:val="00BC2D2B"/>
    <w:rsid w:val="00BC6DA1"/>
    <w:rsid w:val="00BD4682"/>
    <w:rsid w:val="00BE1F5A"/>
    <w:rsid w:val="00BF3A80"/>
    <w:rsid w:val="00C13726"/>
    <w:rsid w:val="00C2401E"/>
    <w:rsid w:val="00C35F54"/>
    <w:rsid w:val="00C36AE3"/>
    <w:rsid w:val="00C43B6A"/>
    <w:rsid w:val="00C46166"/>
    <w:rsid w:val="00C50D09"/>
    <w:rsid w:val="00C527FC"/>
    <w:rsid w:val="00C605E4"/>
    <w:rsid w:val="00C63C72"/>
    <w:rsid w:val="00C66F7D"/>
    <w:rsid w:val="00C73E83"/>
    <w:rsid w:val="00C84AA3"/>
    <w:rsid w:val="00C86252"/>
    <w:rsid w:val="00C878B5"/>
    <w:rsid w:val="00C96C25"/>
    <w:rsid w:val="00CA0BE0"/>
    <w:rsid w:val="00CA34C9"/>
    <w:rsid w:val="00CB35F5"/>
    <w:rsid w:val="00CC3F6E"/>
    <w:rsid w:val="00CC545D"/>
    <w:rsid w:val="00CC6AF3"/>
    <w:rsid w:val="00CC75C9"/>
    <w:rsid w:val="00CD1D7D"/>
    <w:rsid w:val="00CD3D29"/>
    <w:rsid w:val="00CE467B"/>
    <w:rsid w:val="00CE65C7"/>
    <w:rsid w:val="00CF2F39"/>
    <w:rsid w:val="00D036C9"/>
    <w:rsid w:val="00D07682"/>
    <w:rsid w:val="00D12B80"/>
    <w:rsid w:val="00D213EA"/>
    <w:rsid w:val="00D24DE3"/>
    <w:rsid w:val="00D256AD"/>
    <w:rsid w:val="00D269E9"/>
    <w:rsid w:val="00D3063D"/>
    <w:rsid w:val="00D326CE"/>
    <w:rsid w:val="00D32D94"/>
    <w:rsid w:val="00D34BB0"/>
    <w:rsid w:val="00D451A8"/>
    <w:rsid w:val="00D459DB"/>
    <w:rsid w:val="00D46B1A"/>
    <w:rsid w:val="00D65249"/>
    <w:rsid w:val="00D70E20"/>
    <w:rsid w:val="00D72B1C"/>
    <w:rsid w:val="00D80C77"/>
    <w:rsid w:val="00D8287D"/>
    <w:rsid w:val="00D82AE1"/>
    <w:rsid w:val="00D82F66"/>
    <w:rsid w:val="00D84040"/>
    <w:rsid w:val="00D84A7B"/>
    <w:rsid w:val="00D92292"/>
    <w:rsid w:val="00D92E06"/>
    <w:rsid w:val="00DA3EDE"/>
    <w:rsid w:val="00DA4D45"/>
    <w:rsid w:val="00DC0275"/>
    <w:rsid w:val="00DC47C8"/>
    <w:rsid w:val="00DC6A07"/>
    <w:rsid w:val="00DC721F"/>
    <w:rsid w:val="00DC7A89"/>
    <w:rsid w:val="00DC7C3E"/>
    <w:rsid w:val="00DD4951"/>
    <w:rsid w:val="00DD6CE6"/>
    <w:rsid w:val="00DE3C42"/>
    <w:rsid w:val="00DE78FA"/>
    <w:rsid w:val="00DF063D"/>
    <w:rsid w:val="00DF117F"/>
    <w:rsid w:val="00E02825"/>
    <w:rsid w:val="00E033B3"/>
    <w:rsid w:val="00E0371D"/>
    <w:rsid w:val="00E05349"/>
    <w:rsid w:val="00E0774C"/>
    <w:rsid w:val="00E107BA"/>
    <w:rsid w:val="00E10901"/>
    <w:rsid w:val="00E127EA"/>
    <w:rsid w:val="00E1786A"/>
    <w:rsid w:val="00E22C11"/>
    <w:rsid w:val="00E234C5"/>
    <w:rsid w:val="00E2371C"/>
    <w:rsid w:val="00E30A7D"/>
    <w:rsid w:val="00E35AC9"/>
    <w:rsid w:val="00E47580"/>
    <w:rsid w:val="00E50050"/>
    <w:rsid w:val="00E53183"/>
    <w:rsid w:val="00E53707"/>
    <w:rsid w:val="00E57E29"/>
    <w:rsid w:val="00E611E9"/>
    <w:rsid w:val="00E620F6"/>
    <w:rsid w:val="00E64B02"/>
    <w:rsid w:val="00E663F3"/>
    <w:rsid w:val="00E674C4"/>
    <w:rsid w:val="00E67B48"/>
    <w:rsid w:val="00E72341"/>
    <w:rsid w:val="00E74B64"/>
    <w:rsid w:val="00E77C85"/>
    <w:rsid w:val="00E83302"/>
    <w:rsid w:val="00E874C9"/>
    <w:rsid w:val="00EA090B"/>
    <w:rsid w:val="00EA5069"/>
    <w:rsid w:val="00EB3715"/>
    <w:rsid w:val="00EB3E34"/>
    <w:rsid w:val="00EC1F71"/>
    <w:rsid w:val="00EC2D0F"/>
    <w:rsid w:val="00ED4451"/>
    <w:rsid w:val="00EE123B"/>
    <w:rsid w:val="00EE26BD"/>
    <w:rsid w:val="00EE6113"/>
    <w:rsid w:val="00EF20DE"/>
    <w:rsid w:val="00F02124"/>
    <w:rsid w:val="00F02CDB"/>
    <w:rsid w:val="00F057CC"/>
    <w:rsid w:val="00F14CD7"/>
    <w:rsid w:val="00F17343"/>
    <w:rsid w:val="00F24AB5"/>
    <w:rsid w:val="00F32CA1"/>
    <w:rsid w:val="00F339D2"/>
    <w:rsid w:val="00F346DF"/>
    <w:rsid w:val="00F370C1"/>
    <w:rsid w:val="00F3724C"/>
    <w:rsid w:val="00F417AB"/>
    <w:rsid w:val="00F42B4E"/>
    <w:rsid w:val="00F46AE7"/>
    <w:rsid w:val="00F54C56"/>
    <w:rsid w:val="00F60EB8"/>
    <w:rsid w:val="00F67415"/>
    <w:rsid w:val="00F677B0"/>
    <w:rsid w:val="00F73BF3"/>
    <w:rsid w:val="00F753EB"/>
    <w:rsid w:val="00F811B1"/>
    <w:rsid w:val="00F82311"/>
    <w:rsid w:val="00F82479"/>
    <w:rsid w:val="00F83633"/>
    <w:rsid w:val="00F91B9D"/>
    <w:rsid w:val="00F91F92"/>
    <w:rsid w:val="00F93EFA"/>
    <w:rsid w:val="00F94623"/>
    <w:rsid w:val="00FA18D2"/>
    <w:rsid w:val="00FA22F4"/>
    <w:rsid w:val="00FB21BB"/>
    <w:rsid w:val="00FB6035"/>
    <w:rsid w:val="00FC1082"/>
    <w:rsid w:val="00FC5BF9"/>
    <w:rsid w:val="00FC7603"/>
    <w:rsid w:val="00FD0437"/>
    <w:rsid w:val="00FD36E9"/>
    <w:rsid w:val="00FD42E6"/>
    <w:rsid w:val="00FD47A3"/>
    <w:rsid w:val="00FD6AD8"/>
    <w:rsid w:val="00FE056F"/>
    <w:rsid w:val="00FE3A92"/>
    <w:rsid w:val="00FE4425"/>
    <w:rsid w:val="00FE54A6"/>
    <w:rsid w:val="00FF28C1"/>
    <w:rsid w:val="00FF5E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C85"/>
    <w:rPr>
      <w:rFonts w:eastAsia="Times New Roman"/>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77C85"/>
    <w:pPr>
      <w:jc w:val="center"/>
    </w:pPr>
    <w:rPr>
      <w:b/>
    </w:rPr>
  </w:style>
  <w:style w:type="character" w:customStyle="1" w:styleId="TitleChar">
    <w:name w:val="Title Char"/>
    <w:link w:val="Title"/>
    <w:rsid w:val="00E77C85"/>
    <w:rPr>
      <w:rFonts w:eastAsia="Times New Roman" w:cs="Times New Roman"/>
      <w:b/>
      <w:sz w:val="24"/>
      <w:szCs w:val="24"/>
    </w:rPr>
  </w:style>
  <w:style w:type="paragraph" w:customStyle="1" w:styleId="naisc">
    <w:name w:val="naisc"/>
    <w:basedOn w:val="Normal"/>
    <w:rsid w:val="00E77C85"/>
    <w:pPr>
      <w:spacing w:before="100" w:beforeAutospacing="1" w:after="100" w:afterAutospacing="1"/>
    </w:pPr>
    <w:rPr>
      <w:lang w:eastAsia="lv-LV"/>
    </w:rPr>
  </w:style>
  <w:style w:type="paragraph" w:customStyle="1" w:styleId="naiskr">
    <w:name w:val="naiskr"/>
    <w:basedOn w:val="Normal"/>
    <w:rsid w:val="00E77C85"/>
    <w:pPr>
      <w:spacing w:before="100" w:beforeAutospacing="1" w:after="100" w:afterAutospacing="1"/>
    </w:pPr>
    <w:rPr>
      <w:lang w:eastAsia="lv-LV"/>
    </w:rPr>
  </w:style>
  <w:style w:type="paragraph" w:customStyle="1" w:styleId="naislab">
    <w:name w:val="naislab"/>
    <w:basedOn w:val="Normal"/>
    <w:rsid w:val="00E77C85"/>
    <w:pPr>
      <w:spacing w:before="100" w:beforeAutospacing="1" w:after="100" w:afterAutospacing="1"/>
    </w:pPr>
    <w:rPr>
      <w:lang w:eastAsia="lv-LV"/>
    </w:rPr>
  </w:style>
  <w:style w:type="paragraph" w:customStyle="1" w:styleId="naisf">
    <w:name w:val="naisf"/>
    <w:basedOn w:val="Normal"/>
    <w:rsid w:val="00E77C85"/>
    <w:pPr>
      <w:spacing w:before="100" w:beforeAutospacing="1" w:after="100" w:afterAutospacing="1"/>
    </w:pPr>
    <w:rPr>
      <w:lang w:eastAsia="lv-LV"/>
    </w:rPr>
  </w:style>
  <w:style w:type="paragraph" w:customStyle="1" w:styleId="naisnod">
    <w:name w:val="naisnod"/>
    <w:basedOn w:val="Normal"/>
    <w:rsid w:val="00E77C85"/>
    <w:pPr>
      <w:spacing w:before="100" w:beforeAutospacing="1" w:after="100" w:afterAutospacing="1"/>
    </w:pPr>
    <w:rPr>
      <w:lang w:eastAsia="lv-LV"/>
    </w:rPr>
  </w:style>
  <w:style w:type="table" w:styleId="TableGrid">
    <w:name w:val="Table Grid"/>
    <w:basedOn w:val="TableNormal"/>
    <w:uiPriority w:val="59"/>
    <w:rsid w:val="00E77C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1760B"/>
    <w:pPr>
      <w:ind w:left="720"/>
      <w:contextualSpacing/>
    </w:pPr>
  </w:style>
  <w:style w:type="paragraph" w:styleId="Footer">
    <w:name w:val="footer"/>
    <w:basedOn w:val="Normal"/>
    <w:link w:val="FooterChar"/>
    <w:uiPriority w:val="99"/>
    <w:rsid w:val="0041760B"/>
    <w:pPr>
      <w:tabs>
        <w:tab w:val="center" w:pos="4153"/>
        <w:tab w:val="right" w:pos="8306"/>
      </w:tabs>
    </w:pPr>
    <w:rPr>
      <w:rFonts w:ascii="RimTimes" w:hAnsi="RimTimes"/>
      <w:snapToGrid w:val="0"/>
      <w:sz w:val="28"/>
      <w:szCs w:val="20"/>
    </w:rPr>
  </w:style>
  <w:style w:type="character" w:customStyle="1" w:styleId="FooterChar">
    <w:name w:val="Footer Char"/>
    <w:link w:val="Footer"/>
    <w:uiPriority w:val="99"/>
    <w:rsid w:val="0041760B"/>
    <w:rPr>
      <w:rFonts w:ascii="RimTimes" w:eastAsia="Times New Roman" w:hAnsi="RimTimes" w:cs="Times New Roman"/>
      <w:snapToGrid w:val="0"/>
      <w:szCs w:val="20"/>
    </w:rPr>
  </w:style>
  <w:style w:type="character" w:styleId="Hyperlink">
    <w:name w:val="Hyperlink"/>
    <w:rsid w:val="00D3063D"/>
    <w:rPr>
      <w:color w:val="0000FF"/>
      <w:u w:val="single"/>
    </w:rPr>
  </w:style>
  <w:style w:type="paragraph" w:styleId="Header">
    <w:name w:val="header"/>
    <w:basedOn w:val="Normal"/>
    <w:link w:val="HeaderChar"/>
    <w:uiPriority w:val="99"/>
    <w:unhideWhenUsed/>
    <w:rsid w:val="00F17343"/>
    <w:pPr>
      <w:tabs>
        <w:tab w:val="center" w:pos="4153"/>
        <w:tab w:val="right" w:pos="8306"/>
      </w:tabs>
    </w:pPr>
  </w:style>
  <w:style w:type="character" w:customStyle="1" w:styleId="HeaderChar">
    <w:name w:val="Header Char"/>
    <w:link w:val="Header"/>
    <w:uiPriority w:val="99"/>
    <w:rsid w:val="00F17343"/>
    <w:rPr>
      <w:rFonts w:eastAsia="Times New Roman"/>
      <w:sz w:val="24"/>
      <w:szCs w:val="24"/>
      <w:lang w:eastAsia="en-US"/>
    </w:rPr>
  </w:style>
  <w:style w:type="paragraph" w:styleId="BalloonText">
    <w:name w:val="Balloon Text"/>
    <w:basedOn w:val="Normal"/>
    <w:link w:val="BalloonTextChar"/>
    <w:uiPriority w:val="99"/>
    <w:semiHidden/>
    <w:unhideWhenUsed/>
    <w:rsid w:val="005452D8"/>
    <w:rPr>
      <w:rFonts w:ascii="Tahoma" w:hAnsi="Tahoma" w:cs="Tahoma"/>
      <w:sz w:val="16"/>
      <w:szCs w:val="16"/>
    </w:rPr>
  </w:style>
  <w:style w:type="character" w:customStyle="1" w:styleId="BalloonTextChar">
    <w:name w:val="Balloon Text Char"/>
    <w:link w:val="BalloonText"/>
    <w:uiPriority w:val="99"/>
    <w:semiHidden/>
    <w:rsid w:val="005452D8"/>
    <w:rPr>
      <w:rFonts w:ascii="Tahoma" w:eastAsia="Times New Roman" w:hAnsi="Tahoma" w:cs="Tahoma"/>
      <w:sz w:val="16"/>
      <w:szCs w:val="16"/>
      <w:lang w:eastAsia="en-US"/>
    </w:rPr>
  </w:style>
  <w:style w:type="paragraph" w:styleId="NormalWeb">
    <w:name w:val="Normal (Web)"/>
    <w:basedOn w:val="Normal"/>
    <w:unhideWhenUsed/>
    <w:rsid w:val="00CF2F39"/>
    <w:pPr>
      <w:spacing w:before="75" w:after="75"/>
      <w:ind w:firstLine="375"/>
      <w:jc w:val="both"/>
    </w:pPr>
    <w:rPr>
      <w:rFonts w:eastAsia="Calibri"/>
      <w:lang w:val="en-US"/>
    </w:rPr>
  </w:style>
  <w:style w:type="character" w:styleId="CommentReference">
    <w:name w:val="annotation reference"/>
    <w:uiPriority w:val="99"/>
    <w:semiHidden/>
    <w:unhideWhenUsed/>
    <w:rsid w:val="008A2C4D"/>
    <w:rPr>
      <w:sz w:val="16"/>
      <w:szCs w:val="16"/>
    </w:rPr>
  </w:style>
  <w:style w:type="paragraph" w:styleId="CommentText">
    <w:name w:val="annotation text"/>
    <w:basedOn w:val="Normal"/>
    <w:link w:val="CommentTextChar"/>
    <w:uiPriority w:val="99"/>
    <w:semiHidden/>
    <w:unhideWhenUsed/>
    <w:rsid w:val="008A2C4D"/>
    <w:rPr>
      <w:sz w:val="20"/>
      <w:szCs w:val="20"/>
    </w:rPr>
  </w:style>
  <w:style w:type="character" w:customStyle="1" w:styleId="CommentTextChar">
    <w:name w:val="Comment Text Char"/>
    <w:link w:val="CommentText"/>
    <w:uiPriority w:val="99"/>
    <w:semiHidden/>
    <w:rsid w:val="008A2C4D"/>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8A2C4D"/>
    <w:rPr>
      <w:b/>
      <w:bCs/>
    </w:rPr>
  </w:style>
  <w:style w:type="character" w:customStyle="1" w:styleId="CommentSubjectChar">
    <w:name w:val="Comment Subject Char"/>
    <w:link w:val="CommentSubject"/>
    <w:uiPriority w:val="99"/>
    <w:semiHidden/>
    <w:rsid w:val="008A2C4D"/>
    <w:rPr>
      <w:rFonts w:eastAsia="Times New Roman"/>
      <w:b/>
      <w:bCs/>
      <w:lang w:eastAsia="en-US"/>
    </w:rPr>
  </w:style>
  <w:style w:type="paragraph" w:styleId="BodyTextIndent">
    <w:name w:val="Body Text Indent"/>
    <w:basedOn w:val="Normal"/>
    <w:link w:val="BodyTextIndentChar"/>
    <w:rsid w:val="008D4CD9"/>
    <w:pPr>
      <w:spacing w:before="240"/>
      <w:ind w:firstLine="720"/>
    </w:pPr>
    <w:rPr>
      <w:sz w:val="28"/>
      <w:szCs w:val="20"/>
    </w:rPr>
  </w:style>
  <w:style w:type="character" w:customStyle="1" w:styleId="BodyTextIndentChar">
    <w:name w:val="Body Text Indent Char"/>
    <w:link w:val="BodyTextIndent"/>
    <w:rsid w:val="008D4CD9"/>
    <w:rPr>
      <w:rFonts w:eastAsia="Times New Roman"/>
      <w:sz w:val="28"/>
      <w:lang w:eastAsia="en-US"/>
    </w:rPr>
  </w:style>
  <w:style w:type="paragraph" w:styleId="BodyText2">
    <w:name w:val="Body Text 2"/>
    <w:basedOn w:val="Normal"/>
    <w:link w:val="BodyText2Char"/>
    <w:rsid w:val="008D4CD9"/>
    <w:pPr>
      <w:jc w:val="both"/>
    </w:pPr>
    <w:rPr>
      <w:sz w:val="28"/>
      <w:szCs w:val="20"/>
    </w:rPr>
  </w:style>
  <w:style w:type="character" w:customStyle="1" w:styleId="BodyText2Char">
    <w:name w:val="Body Text 2 Char"/>
    <w:link w:val="BodyText2"/>
    <w:rsid w:val="008D4CD9"/>
    <w:rPr>
      <w:rFonts w:eastAsia="Times New Roman"/>
      <w:sz w:val="28"/>
      <w:lang w:eastAsia="en-US"/>
    </w:rPr>
  </w:style>
  <w:style w:type="paragraph" w:styleId="BodyText">
    <w:name w:val="Body Text"/>
    <w:basedOn w:val="Normal"/>
    <w:link w:val="BodyTextChar"/>
    <w:uiPriority w:val="99"/>
    <w:semiHidden/>
    <w:unhideWhenUsed/>
    <w:rsid w:val="005C71B5"/>
    <w:pPr>
      <w:spacing w:after="120"/>
    </w:pPr>
  </w:style>
  <w:style w:type="character" w:customStyle="1" w:styleId="BodyTextChar">
    <w:name w:val="Body Text Char"/>
    <w:link w:val="BodyText"/>
    <w:uiPriority w:val="99"/>
    <w:semiHidden/>
    <w:rsid w:val="005C71B5"/>
    <w:rPr>
      <w:rFonts w:eastAsia="Times New Roman"/>
      <w:sz w:val="24"/>
      <w:szCs w:val="24"/>
      <w:lang w:eastAsia="en-US"/>
    </w:rPr>
  </w:style>
  <w:style w:type="paragraph" w:customStyle="1" w:styleId="tvhtml">
    <w:name w:val="tv_html"/>
    <w:basedOn w:val="Normal"/>
    <w:rsid w:val="00D92292"/>
    <w:pPr>
      <w:spacing w:before="100" w:beforeAutospacing="1" w:after="100" w:afterAutospacing="1"/>
    </w:pPr>
    <w:rPr>
      <w:rFonts w:ascii="Verdana" w:hAnsi="Verdana"/>
      <w:sz w:val="18"/>
      <w:szCs w:val="18"/>
      <w:lang w:eastAsia="lv-LV"/>
    </w:rPr>
  </w:style>
  <w:style w:type="paragraph" w:styleId="EndnoteText">
    <w:name w:val="endnote text"/>
    <w:basedOn w:val="Normal"/>
    <w:link w:val="EndnoteTextChar"/>
    <w:uiPriority w:val="99"/>
    <w:semiHidden/>
    <w:unhideWhenUsed/>
    <w:rsid w:val="008F6347"/>
    <w:rPr>
      <w:sz w:val="20"/>
      <w:szCs w:val="20"/>
    </w:rPr>
  </w:style>
  <w:style w:type="character" w:customStyle="1" w:styleId="EndnoteTextChar">
    <w:name w:val="Endnote Text Char"/>
    <w:link w:val="EndnoteText"/>
    <w:uiPriority w:val="99"/>
    <w:semiHidden/>
    <w:rsid w:val="008F6347"/>
    <w:rPr>
      <w:rFonts w:eastAsia="Times New Roman"/>
      <w:lang w:eastAsia="en-US"/>
    </w:rPr>
  </w:style>
  <w:style w:type="character" w:styleId="EndnoteReference">
    <w:name w:val="endnote reference"/>
    <w:uiPriority w:val="99"/>
    <w:semiHidden/>
    <w:unhideWhenUsed/>
    <w:rsid w:val="008F6347"/>
    <w:rPr>
      <w:vertAlign w:val="superscript"/>
    </w:rPr>
  </w:style>
  <w:style w:type="character" w:customStyle="1" w:styleId="st">
    <w:name w:val="st"/>
    <w:rsid w:val="00F370C1"/>
  </w:style>
  <w:style w:type="paragraph" w:styleId="NoSpacing">
    <w:name w:val="No Spacing"/>
    <w:uiPriority w:val="1"/>
    <w:qFormat/>
    <w:rsid w:val="0076658C"/>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C85"/>
    <w:rPr>
      <w:rFonts w:eastAsia="Times New Roman"/>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77C85"/>
    <w:pPr>
      <w:jc w:val="center"/>
    </w:pPr>
    <w:rPr>
      <w:b/>
    </w:rPr>
  </w:style>
  <w:style w:type="character" w:customStyle="1" w:styleId="TitleChar">
    <w:name w:val="Title Char"/>
    <w:link w:val="Title"/>
    <w:rsid w:val="00E77C85"/>
    <w:rPr>
      <w:rFonts w:eastAsia="Times New Roman" w:cs="Times New Roman"/>
      <w:b/>
      <w:sz w:val="24"/>
      <w:szCs w:val="24"/>
    </w:rPr>
  </w:style>
  <w:style w:type="paragraph" w:customStyle="1" w:styleId="naisc">
    <w:name w:val="naisc"/>
    <w:basedOn w:val="Normal"/>
    <w:rsid w:val="00E77C85"/>
    <w:pPr>
      <w:spacing w:before="100" w:beforeAutospacing="1" w:after="100" w:afterAutospacing="1"/>
    </w:pPr>
    <w:rPr>
      <w:lang w:eastAsia="lv-LV"/>
    </w:rPr>
  </w:style>
  <w:style w:type="paragraph" w:customStyle="1" w:styleId="naiskr">
    <w:name w:val="naiskr"/>
    <w:basedOn w:val="Normal"/>
    <w:rsid w:val="00E77C85"/>
    <w:pPr>
      <w:spacing w:before="100" w:beforeAutospacing="1" w:after="100" w:afterAutospacing="1"/>
    </w:pPr>
    <w:rPr>
      <w:lang w:eastAsia="lv-LV"/>
    </w:rPr>
  </w:style>
  <w:style w:type="paragraph" w:customStyle="1" w:styleId="naislab">
    <w:name w:val="naislab"/>
    <w:basedOn w:val="Normal"/>
    <w:rsid w:val="00E77C85"/>
    <w:pPr>
      <w:spacing w:before="100" w:beforeAutospacing="1" w:after="100" w:afterAutospacing="1"/>
    </w:pPr>
    <w:rPr>
      <w:lang w:eastAsia="lv-LV"/>
    </w:rPr>
  </w:style>
  <w:style w:type="paragraph" w:customStyle="1" w:styleId="naisf">
    <w:name w:val="naisf"/>
    <w:basedOn w:val="Normal"/>
    <w:rsid w:val="00E77C85"/>
    <w:pPr>
      <w:spacing w:before="100" w:beforeAutospacing="1" w:after="100" w:afterAutospacing="1"/>
    </w:pPr>
    <w:rPr>
      <w:lang w:eastAsia="lv-LV"/>
    </w:rPr>
  </w:style>
  <w:style w:type="paragraph" w:customStyle="1" w:styleId="naisnod">
    <w:name w:val="naisnod"/>
    <w:basedOn w:val="Normal"/>
    <w:rsid w:val="00E77C85"/>
    <w:pPr>
      <w:spacing w:before="100" w:beforeAutospacing="1" w:after="100" w:afterAutospacing="1"/>
    </w:pPr>
    <w:rPr>
      <w:lang w:eastAsia="lv-LV"/>
    </w:rPr>
  </w:style>
  <w:style w:type="table" w:styleId="TableGrid">
    <w:name w:val="Table Grid"/>
    <w:basedOn w:val="TableNormal"/>
    <w:uiPriority w:val="59"/>
    <w:rsid w:val="00E77C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1760B"/>
    <w:pPr>
      <w:ind w:left="720"/>
      <w:contextualSpacing/>
    </w:pPr>
  </w:style>
  <w:style w:type="paragraph" w:styleId="Footer">
    <w:name w:val="footer"/>
    <w:basedOn w:val="Normal"/>
    <w:link w:val="FooterChar"/>
    <w:uiPriority w:val="99"/>
    <w:rsid w:val="0041760B"/>
    <w:pPr>
      <w:tabs>
        <w:tab w:val="center" w:pos="4153"/>
        <w:tab w:val="right" w:pos="8306"/>
      </w:tabs>
    </w:pPr>
    <w:rPr>
      <w:rFonts w:ascii="RimTimes" w:hAnsi="RimTimes"/>
      <w:snapToGrid w:val="0"/>
      <w:sz w:val="28"/>
      <w:szCs w:val="20"/>
    </w:rPr>
  </w:style>
  <w:style w:type="character" w:customStyle="1" w:styleId="FooterChar">
    <w:name w:val="Footer Char"/>
    <w:link w:val="Footer"/>
    <w:uiPriority w:val="99"/>
    <w:rsid w:val="0041760B"/>
    <w:rPr>
      <w:rFonts w:ascii="RimTimes" w:eastAsia="Times New Roman" w:hAnsi="RimTimes" w:cs="Times New Roman"/>
      <w:snapToGrid w:val="0"/>
      <w:szCs w:val="20"/>
    </w:rPr>
  </w:style>
  <w:style w:type="character" w:styleId="Hyperlink">
    <w:name w:val="Hyperlink"/>
    <w:rsid w:val="00D3063D"/>
    <w:rPr>
      <w:color w:val="0000FF"/>
      <w:u w:val="single"/>
    </w:rPr>
  </w:style>
  <w:style w:type="paragraph" w:styleId="Header">
    <w:name w:val="header"/>
    <w:basedOn w:val="Normal"/>
    <w:link w:val="HeaderChar"/>
    <w:uiPriority w:val="99"/>
    <w:unhideWhenUsed/>
    <w:rsid w:val="00F17343"/>
    <w:pPr>
      <w:tabs>
        <w:tab w:val="center" w:pos="4153"/>
        <w:tab w:val="right" w:pos="8306"/>
      </w:tabs>
    </w:pPr>
  </w:style>
  <w:style w:type="character" w:customStyle="1" w:styleId="HeaderChar">
    <w:name w:val="Header Char"/>
    <w:link w:val="Header"/>
    <w:uiPriority w:val="99"/>
    <w:rsid w:val="00F17343"/>
    <w:rPr>
      <w:rFonts w:eastAsia="Times New Roman"/>
      <w:sz w:val="24"/>
      <w:szCs w:val="24"/>
      <w:lang w:eastAsia="en-US"/>
    </w:rPr>
  </w:style>
  <w:style w:type="paragraph" w:styleId="BalloonText">
    <w:name w:val="Balloon Text"/>
    <w:basedOn w:val="Normal"/>
    <w:link w:val="BalloonTextChar"/>
    <w:uiPriority w:val="99"/>
    <w:semiHidden/>
    <w:unhideWhenUsed/>
    <w:rsid w:val="005452D8"/>
    <w:rPr>
      <w:rFonts w:ascii="Tahoma" w:hAnsi="Tahoma" w:cs="Tahoma"/>
      <w:sz w:val="16"/>
      <w:szCs w:val="16"/>
    </w:rPr>
  </w:style>
  <w:style w:type="character" w:customStyle="1" w:styleId="BalloonTextChar">
    <w:name w:val="Balloon Text Char"/>
    <w:link w:val="BalloonText"/>
    <w:uiPriority w:val="99"/>
    <w:semiHidden/>
    <w:rsid w:val="005452D8"/>
    <w:rPr>
      <w:rFonts w:ascii="Tahoma" w:eastAsia="Times New Roman" w:hAnsi="Tahoma" w:cs="Tahoma"/>
      <w:sz w:val="16"/>
      <w:szCs w:val="16"/>
      <w:lang w:eastAsia="en-US"/>
    </w:rPr>
  </w:style>
  <w:style w:type="paragraph" w:styleId="NormalWeb">
    <w:name w:val="Normal (Web)"/>
    <w:basedOn w:val="Normal"/>
    <w:unhideWhenUsed/>
    <w:rsid w:val="00CF2F39"/>
    <w:pPr>
      <w:spacing w:before="75" w:after="75"/>
      <w:ind w:firstLine="375"/>
      <w:jc w:val="both"/>
    </w:pPr>
    <w:rPr>
      <w:rFonts w:eastAsia="Calibri"/>
      <w:lang w:val="en-US"/>
    </w:rPr>
  </w:style>
  <w:style w:type="character" w:styleId="CommentReference">
    <w:name w:val="annotation reference"/>
    <w:uiPriority w:val="99"/>
    <w:semiHidden/>
    <w:unhideWhenUsed/>
    <w:rsid w:val="008A2C4D"/>
    <w:rPr>
      <w:sz w:val="16"/>
      <w:szCs w:val="16"/>
    </w:rPr>
  </w:style>
  <w:style w:type="paragraph" w:styleId="CommentText">
    <w:name w:val="annotation text"/>
    <w:basedOn w:val="Normal"/>
    <w:link w:val="CommentTextChar"/>
    <w:uiPriority w:val="99"/>
    <w:semiHidden/>
    <w:unhideWhenUsed/>
    <w:rsid w:val="008A2C4D"/>
    <w:rPr>
      <w:sz w:val="20"/>
      <w:szCs w:val="20"/>
    </w:rPr>
  </w:style>
  <w:style w:type="character" w:customStyle="1" w:styleId="CommentTextChar">
    <w:name w:val="Comment Text Char"/>
    <w:link w:val="CommentText"/>
    <w:uiPriority w:val="99"/>
    <w:semiHidden/>
    <w:rsid w:val="008A2C4D"/>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8A2C4D"/>
    <w:rPr>
      <w:b/>
      <w:bCs/>
    </w:rPr>
  </w:style>
  <w:style w:type="character" w:customStyle="1" w:styleId="CommentSubjectChar">
    <w:name w:val="Comment Subject Char"/>
    <w:link w:val="CommentSubject"/>
    <w:uiPriority w:val="99"/>
    <w:semiHidden/>
    <w:rsid w:val="008A2C4D"/>
    <w:rPr>
      <w:rFonts w:eastAsia="Times New Roman"/>
      <w:b/>
      <w:bCs/>
      <w:lang w:eastAsia="en-US"/>
    </w:rPr>
  </w:style>
  <w:style w:type="paragraph" w:styleId="BodyTextIndent">
    <w:name w:val="Body Text Indent"/>
    <w:basedOn w:val="Normal"/>
    <w:link w:val="BodyTextIndentChar"/>
    <w:rsid w:val="008D4CD9"/>
    <w:pPr>
      <w:spacing w:before="240"/>
      <w:ind w:firstLine="720"/>
    </w:pPr>
    <w:rPr>
      <w:sz w:val="28"/>
      <w:szCs w:val="20"/>
    </w:rPr>
  </w:style>
  <w:style w:type="character" w:customStyle="1" w:styleId="BodyTextIndentChar">
    <w:name w:val="Body Text Indent Char"/>
    <w:link w:val="BodyTextIndent"/>
    <w:rsid w:val="008D4CD9"/>
    <w:rPr>
      <w:rFonts w:eastAsia="Times New Roman"/>
      <w:sz w:val="28"/>
      <w:lang w:eastAsia="en-US"/>
    </w:rPr>
  </w:style>
  <w:style w:type="paragraph" w:styleId="BodyText2">
    <w:name w:val="Body Text 2"/>
    <w:basedOn w:val="Normal"/>
    <w:link w:val="BodyText2Char"/>
    <w:rsid w:val="008D4CD9"/>
    <w:pPr>
      <w:jc w:val="both"/>
    </w:pPr>
    <w:rPr>
      <w:sz w:val="28"/>
      <w:szCs w:val="20"/>
    </w:rPr>
  </w:style>
  <w:style w:type="character" w:customStyle="1" w:styleId="BodyText2Char">
    <w:name w:val="Body Text 2 Char"/>
    <w:link w:val="BodyText2"/>
    <w:rsid w:val="008D4CD9"/>
    <w:rPr>
      <w:rFonts w:eastAsia="Times New Roman"/>
      <w:sz w:val="28"/>
      <w:lang w:eastAsia="en-US"/>
    </w:rPr>
  </w:style>
  <w:style w:type="paragraph" w:styleId="BodyText">
    <w:name w:val="Body Text"/>
    <w:basedOn w:val="Normal"/>
    <w:link w:val="BodyTextChar"/>
    <w:uiPriority w:val="99"/>
    <w:semiHidden/>
    <w:unhideWhenUsed/>
    <w:rsid w:val="005C71B5"/>
    <w:pPr>
      <w:spacing w:after="120"/>
    </w:pPr>
  </w:style>
  <w:style w:type="character" w:customStyle="1" w:styleId="BodyTextChar">
    <w:name w:val="Body Text Char"/>
    <w:link w:val="BodyText"/>
    <w:uiPriority w:val="99"/>
    <w:semiHidden/>
    <w:rsid w:val="005C71B5"/>
    <w:rPr>
      <w:rFonts w:eastAsia="Times New Roman"/>
      <w:sz w:val="24"/>
      <w:szCs w:val="24"/>
      <w:lang w:eastAsia="en-US"/>
    </w:rPr>
  </w:style>
  <w:style w:type="paragraph" w:customStyle="1" w:styleId="tvhtml">
    <w:name w:val="tv_html"/>
    <w:basedOn w:val="Normal"/>
    <w:rsid w:val="00D92292"/>
    <w:pPr>
      <w:spacing w:before="100" w:beforeAutospacing="1" w:after="100" w:afterAutospacing="1"/>
    </w:pPr>
    <w:rPr>
      <w:rFonts w:ascii="Verdana" w:hAnsi="Verdana"/>
      <w:sz w:val="18"/>
      <w:szCs w:val="18"/>
      <w:lang w:eastAsia="lv-LV"/>
    </w:rPr>
  </w:style>
  <w:style w:type="paragraph" w:styleId="EndnoteText">
    <w:name w:val="endnote text"/>
    <w:basedOn w:val="Normal"/>
    <w:link w:val="EndnoteTextChar"/>
    <w:uiPriority w:val="99"/>
    <w:semiHidden/>
    <w:unhideWhenUsed/>
    <w:rsid w:val="008F6347"/>
    <w:rPr>
      <w:sz w:val="20"/>
      <w:szCs w:val="20"/>
    </w:rPr>
  </w:style>
  <w:style w:type="character" w:customStyle="1" w:styleId="EndnoteTextChar">
    <w:name w:val="Endnote Text Char"/>
    <w:link w:val="EndnoteText"/>
    <w:uiPriority w:val="99"/>
    <w:semiHidden/>
    <w:rsid w:val="008F6347"/>
    <w:rPr>
      <w:rFonts w:eastAsia="Times New Roman"/>
      <w:lang w:eastAsia="en-US"/>
    </w:rPr>
  </w:style>
  <w:style w:type="character" w:styleId="EndnoteReference">
    <w:name w:val="endnote reference"/>
    <w:uiPriority w:val="99"/>
    <w:semiHidden/>
    <w:unhideWhenUsed/>
    <w:rsid w:val="008F6347"/>
    <w:rPr>
      <w:vertAlign w:val="superscript"/>
    </w:rPr>
  </w:style>
  <w:style w:type="character" w:customStyle="1" w:styleId="st">
    <w:name w:val="st"/>
    <w:rsid w:val="00F370C1"/>
  </w:style>
  <w:style w:type="paragraph" w:styleId="NoSpacing">
    <w:name w:val="No Spacing"/>
    <w:uiPriority w:val="1"/>
    <w:qFormat/>
    <w:rsid w:val="0076658C"/>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6480">
      <w:bodyDiv w:val="1"/>
      <w:marLeft w:val="0"/>
      <w:marRight w:val="0"/>
      <w:marTop w:val="0"/>
      <w:marBottom w:val="0"/>
      <w:divBdr>
        <w:top w:val="none" w:sz="0" w:space="0" w:color="auto"/>
        <w:left w:val="none" w:sz="0" w:space="0" w:color="auto"/>
        <w:bottom w:val="none" w:sz="0" w:space="0" w:color="auto"/>
        <w:right w:val="none" w:sz="0" w:space="0" w:color="auto"/>
      </w:divBdr>
      <w:divsChild>
        <w:div w:id="1082483856">
          <w:marLeft w:val="0"/>
          <w:marRight w:val="0"/>
          <w:marTop w:val="0"/>
          <w:marBottom w:val="0"/>
          <w:divBdr>
            <w:top w:val="none" w:sz="0" w:space="0" w:color="auto"/>
            <w:left w:val="none" w:sz="0" w:space="0" w:color="auto"/>
            <w:bottom w:val="none" w:sz="0" w:space="0" w:color="auto"/>
            <w:right w:val="none" w:sz="0" w:space="0" w:color="auto"/>
          </w:divBdr>
          <w:divsChild>
            <w:div w:id="1110466865">
              <w:marLeft w:val="0"/>
              <w:marRight w:val="0"/>
              <w:marTop w:val="0"/>
              <w:marBottom w:val="0"/>
              <w:divBdr>
                <w:top w:val="none" w:sz="0" w:space="0" w:color="auto"/>
                <w:left w:val="none" w:sz="0" w:space="0" w:color="auto"/>
                <w:bottom w:val="none" w:sz="0" w:space="0" w:color="auto"/>
                <w:right w:val="none" w:sz="0" w:space="0" w:color="auto"/>
              </w:divBdr>
              <w:divsChild>
                <w:div w:id="1569344969">
                  <w:marLeft w:val="0"/>
                  <w:marRight w:val="0"/>
                  <w:marTop w:val="0"/>
                  <w:marBottom w:val="0"/>
                  <w:divBdr>
                    <w:top w:val="none" w:sz="0" w:space="0" w:color="auto"/>
                    <w:left w:val="none" w:sz="0" w:space="0" w:color="auto"/>
                    <w:bottom w:val="none" w:sz="0" w:space="0" w:color="auto"/>
                    <w:right w:val="none" w:sz="0" w:space="0" w:color="auto"/>
                  </w:divBdr>
                  <w:divsChild>
                    <w:div w:id="612593687">
                      <w:marLeft w:val="0"/>
                      <w:marRight w:val="0"/>
                      <w:marTop w:val="0"/>
                      <w:marBottom w:val="0"/>
                      <w:divBdr>
                        <w:top w:val="none" w:sz="0" w:space="0" w:color="auto"/>
                        <w:left w:val="none" w:sz="0" w:space="0" w:color="auto"/>
                        <w:bottom w:val="none" w:sz="0" w:space="0" w:color="auto"/>
                        <w:right w:val="none" w:sz="0" w:space="0" w:color="auto"/>
                      </w:divBdr>
                      <w:divsChild>
                        <w:div w:id="828903933">
                          <w:marLeft w:val="0"/>
                          <w:marRight w:val="0"/>
                          <w:marTop w:val="0"/>
                          <w:marBottom w:val="0"/>
                          <w:divBdr>
                            <w:top w:val="none" w:sz="0" w:space="0" w:color="auto"/>
                            <w:left w:val="none" w:sz="0" w:space="0" w:color="auto"/>
                            <w:bottom w:val="none" w:sz="0" w:space="0" w:color="auto"/>
                            <w:right w:val="none" w:sz="0" w:space="0" w:color="auto"/>
                          </w:divBdr>
                          <w:divsChild>
                            <w:div w:id="13923439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60334">
      <w:bodyDiv w:val="1"/>
      <w:marLeft w:val="0"/>
      <w:marRight w:val="0"/>
      <w:marTop w:val="0"/>
      <w:marBottom w:val="0"/>
      <w:divBdr>
        <w:top w:val="none" w:sz="0" w:space="0" w:color="auto"/>
        <w:left w:val="none" w:sz="0" w:space="0" w:color="auto"/>
        <w:bottom w:val="none" w:sz="0" w:space="0" w:color="auto"/>
        <w:right w:val="none" w:sz="0" w:space="0" w:color="auto"/>
      </w:divBdr>
      <w:divsChild>
        <w:div w:id="315887153">
          <w:marLeft w:val="0"/>
          <w:marRight w:val="0"/>
          <w:marTop w:val="0"/>
          <w:marBottom w:val="0"/>
          <w:divBdr>
            <w:top w:val="none" w:sz="0" w:space="0" w:color="auto"/>
            <w:left w:val="none" w:sz="0" w:space="0" w:color="auto"/>
            <w:bottom w:val="none" w:sz="0" w:space="0" w:color="auto"/>
            <w:right w:val="none" w:sz="0" w:space="0" w:color="auto"/>
          </w:divBdr>
        </w:div>
      </w:divsChild>
    </w:div>
    <w:div w:id="132410584">
      <w:bodyDiv w:val="1"/>
      <w:marLeft w:val="0"/>
      <w:marRight w:val="0"/>
      <w:marTop w:val="0"/>
      <w:marBottom w:val="0"/>
      <w:divBdr>
        <w:top w:val="none" w:sz="0" w:space="0" w:color="auto"/>
        <w:left w:val="none" w:sz="0" w:space="0" w:color="auto"/>
        <w:bottom w:val="none" w:sz="0" w:space="0" w:color="auto"/>
        <w:right w:val="none" w:sz="0" w:space="0" w:color="auto"/>
      </w:divBdr>
    </w:div>
    <w:div w:id="227813329">
      <w:bodyDiv w:val="1"/>
      <w:marLeft w:val="0"/>
      <w:marRight w:val="0"/>
      <w:marTop w:val="0"/>
      <w:marBottom w:val="0"/>
      <w:divBdr>
        <w:top w:val="none" w:sz="0" w:space="0" w:color="auto"/>
        <w:left w:val="none" w:sz="0" w:space="0" w:color="auto"/>
        <w:bottom w:val="none" w:sz="0" w:space="0" w:color="auto"/>
        <w:right w:val="none" w:sz="0" w:space="0" w:color="auto"/>
      </w:divBdr>
    </w:div>
    <w:div w:id="267810074">
      <w:bodyDiv w:val="1"/>
      <w:marLeft w:val="0"/>
      <w:marRight w:val="0"/>
      <w:marTop w:val="0"/>
      <w:marBottom w:val="0"/>
      <w:divBdr>
        <w:top w:val="none" w:sz="0" w:space="0" w:color="auto"/>
        <w:left w:val="none" w:sz="0" w:space="0" w:color="auto"/>
        <w:bottom w:val="none" w:sz="0" w:space="0" w:color="auto"/>
        <w:right w:val="none" w:sz="0" w:space="0" w:color="auto"/>
      </w:divBdr>
    </w:div>
    <w:div w:id="289166328">
      <w:bodyDiv w:val="1"/>
      <w:marLeft w:val="0"/>
      <w:marRight w:val="0"/>
      <w:marTop w:val="0"/>
      <w:marBottom w:val="0"/>
      <w:divBdr>
        <w:top w:val="none" w:sz="0" w:space="0" w:color="auto"/>
        <w:left w:val="none" w:sz="0" w:space="0" w:color="auto"/>
        <w:bottom w:val="none" w:sz="0" w:space="0" w:color="auto"/>
        <w:right w:val="none" w:sz="0" w:space="0" w:color="auto"/>
      </w:divBdr>
    </w:div>
    <w:div w:id="352000014">
      <w:bodyDiv w:val="1"/>
      <w:marLeft w:val="0"/>
      <w:marRight w:val="0"/>
      <w:marTop w:val="0"/>
      <w:marBottom w:val="0"/>
      <w:divBdr>
        <w:top w:val="none" w:sz="0" w:space="0" w:color="auto"/>
        <w:left w:val="none" w:sz="0" w:space="0" w:color="auto"/>
        <w:bottom w:val="none" w:sz="0" w:space="0" w:color="auto"/>
        <w:right w:val="none" w:sz="0" w:space="0" w:color="auto"/>
      </w:divBdr>
    </w:div>
    <w:div w:id="427897088">
      <w:bodyDiv w:val="1"/>
      <w:marLeft w:val="0"/>
      <w:marRight w:val="0"/>
      <w:marTop w:val="0"/>
      <w:marBottom w:val="0"/>
      <w:divBdr>
        <w:top w:val="none" w:sz="0" w:space="0" w:color="auto"/>
        <w:left w:val="none" w:sz="0" w:space="0" w:color="auto"/>
        <w:bottom w:val="none" w:sz="0" w:space="0" w:color="auto"/>
        <w:right w:val="none" w:sz="0" w:space="0" w:color="auto"/>
      </w:divBdr>
    </w:div>
    <w:div w:id="531192474">
      <w:bodyDiv w:val="1"/>
      <w:marLeft w:val="0"/>
      <w:marRight w:val="0"/>
      <w:marTop w:val="0"/>
      <w:marBottom w:val="0"/>
      <w:divBdr>
        <w:top w:val="none" w:sz="0" w:space="0" w:color="auto"/>
        <w:left w:val="none" w:sz="0" w:space="0" w:color="auto"/>
        <w:bottom w:val="none" w:sz="0" w:space="0" w:color="auto"/>
        <w:right w:val="none" w:sz="0" w:space="0" w:color="auto"/>
      </w:divBdr>
    </w:div>
    <w:div w:id="597979568">
      <w:bodyDiv w:val="1"/>
      <w:marLeft w:val="0"/>
      <w:marRight w:val="0"/>
      <w:marTop w:val="0"/>
      <w:marBottom w:val="0"/>
      <w:divBdr>
        <w:top w:val="none" w:sz="0" w:space="0" w:color="auto"/>
        <w:left w:val="none" w:sz="0" w:space="0" w:color="auto"/>
        <w:bottom w:val="none" w:sz="0" w:space="0" w:color="auto"/>
        <w:right w:val="none" w:sz="0" w:space="0" w:color="auto"/>
      </w:divBdr>
    </w:div>
    <w:div w:id="724573350">
      <w:bodyDiv w:val="1"/>
      <w:marLeft w:val="0"/>
      <w:marRight w:val="0"/>
      <w:marTop w:val="0"/>
      <w:marBottom w:val="0"/>
      <w:divBdr>
        <w:top w:val="none" w:sz="0" w:space="0" w:color="auto"/>
        <w:left w:val="none" w:sz="0" w:space="0" w:color="auto"/>
        <w:bottom w:val="none" w:sz="0" w:space="0" w:color="auto"/>
        <w:right w:val="none" w:sz="0" w:space="0" w:color="auto"/>
      </w:divBdr>
    </w:div>
    <w:div w:id="739329728">
      <w:bodyDiv w:val="1"/>
      <w:marLeft w:val="0"/>
      <w:marRight w:val="0"/>
      <w:marTop w:val="0"/>
      <w:marBottom w:val="0"/>
      <w:divBdr>
        <w:top w:val="none" w:sz="0" w:space="0" w:color="auto"/>
        <w:left w:val="none" w:sz="0" w:space="0" w:color="auto"/>
        <w:bottom w:val="none" w:sz="0" w:space="0" w:color="auto"/>
        <w:right w:val="none" w:sz="0" w:space="0" w:color="auto"/>
      </w:divBdr>
    </w:div>
    <w:div w:id="824901844">
      <w:bodyDiv w:val="1"/>
      <w:marLeft w:val="0"/>
      <w:marRight w:val="0"/>
      <w:marTop w:val="0"/>
      <w:marBottom w:val="0"/>
      <w:divBdr>
        <w:top w:val="none" w:sz="0" w:space="0" w:color="auto"/>
        <w:left w:val="none" w:sz="0" w:space="0" w:color="auto"/>
        <w:bottom w:val="none" w:sz="0" w:space="0" w:color="auto"/>
        <w:right w:val="none" w:sz="0" w:space="0" w:color="auto"/>
      </w:divBdr>
    </w:div>
    <w:div w:id="1019114455">
      <w:bodyDiv w:val="1"/>
      <w:marLeft w:val="0"/>
      <w:marRight w:val="0"/>
      <w:marTop w:val="0"/>
      <w:marBottom w:val="0"/>
      <w:divBdr>
        <w:top w:val="none" w:sz="0" w:space="0" w:color="auto"/>
        <w:left w:val="none" w:sz="0" w:space="0" w:color="auto"/>
        <w:bottom w:val="none" w:sz="0" w:space="0" w:color="auto"/>
        <w:right w:val="none" w:sz="0" w:space="0" w:color="auto"/>
      </w:divBdr>
    </w:div>
    <w:div w:id="1306281786">
      <w:bodyDiv w:val="1"/>
      <w:marLeft w:val="0"/>
      <w:marRight w:val="0"/>
      <w:marTop w:val="0"/>
      <w:marBottom w:val="0"/>
      <w:divBdr>
        <w:top w:val="none" w:sz="0" w:space="0" w:color="auto"/>
        <w:left w:val="none" w:sz="0" w:space="0" w:color="auto"/>
        <w:bottom w:val="none" w:sz="0" w:space="0" w:color="auto"/>
        <w:right w:val="none" w:sz="0" w:space="0" w:color="auto"/>
      </w:divBdr>
      <w:divsChild>
        <w:div w:id="265499457">
          <w:marLeft w:val="0"/>
          <w:marRight w:val="0"/>
          <w:marTop w:val="0"/>
          <w:marBottom w:val="0"/>
          <w:divBdr>
            <w:top w:val="none" w:sz="0" w:space="0" w:color="auto"/>
            <w:left w:val="none" w:sz="0" w:space="0" w:color="auto"/>
            <w:bottom w:val="none" w:sz="0" w:space="0" w:color="auto"/>
            <w:right w:val="none" w:sz="0" w:space="0" w:color="auto"/>
          </w:divBdr>
        </w:div>
      </w:divsChild>
    </w:div>
    <w:div w:id="1340038203">
      <w:bodyDiv w:val="1"/>
      <w:marLeft w:val="0"/>
      <w:marRight w:val="0"/>
      <w:marTop w:val="0"/>
      <w:marBottom w:val="0"/>
      <w:divBdr>
        <w:top w:val="none" w:sz="0" w:space="0" w:color="auto"/>
        <w:left w:val="none" w:sz="0" w:space="0" w:color="auto"/>
        <w:bottom w:val="none" w:sz="0" w:space="0" w:color="auto"/>
        <w:right w:val="none" w:sz="0" w:space="0" w:color="auto"/>
      </w:divBdr>
    </w:div>
    <w:div w:id="1426460423">
      <w:bodyDiv w:val="1"/>
      <w:marLeft w:val="0"/>
      <w:marRight w:val="0"/>
      <w:marTop w:val="0"/>
      <w:marBottom w:val="0"/>
      <w:divBdr>
        <w:top w:val="none" w:sz="0" w:space="0" w:color="auto"/>
        <w:left w:val="none" w:sz="0" w:space="0" w:color="auto"/>
        <w:bottom w:val="none" w:sz="0" w:space="0" w:color="auto"/>
        <w:right w:val="none" w:sz="0" w:space="0" w:color="auto"/>
      </w:divBdr>
    </w:div>
    <w:div w:id="1474130353">
      <w:bodyDiv w:val="1"/>
      <w:marLeft w:val="0"/>
      <w:marRight w:val="0"/>
      <w:marTop w:val="0"/>
      <w:marBottom w:val="0"/>
      <w:divBdr>
        <w:top w:val="none" w:sz="0" w:space="0" w:color="auto"/>
        <w:left w:val="none" w:sz="0" w:space="0" w:color="auto"/>
        <w:bottom w:val="none" w:sz="0" w:space="0" w:color="auto"/>
        <w:right w:val="none" w:sz="0" w:space="0" w:color="auto"/>
      </w:divBdr>
    </w:div>
    <w:div w:id="1517888235">
      <w:bodyDiv w:val="1"/>
      <w:marLeft w:val="0"/>
      <w:marRight w:val="0"/>
      <w:marTop w:val="0"/>
      <w:marBottom w:val="0"/>
      <w:divBdr>
        <w:top w:val="none" w:sz="0" w:space="0" w:color="auto"/>
        <w:left w:val="none" w:sz="0" w:space="0" w:color="auto"/>
        <w:bottom w:val="none" w:sz="0" w:space="0" w:color="auto"/>
        <w:right w:val="none" w:sz="0" w:space="0" w:color="auto"/>
      </w:divBdr>
    </w:div>
    <w:div w:id="1552378624">
      <w:bodyDiv w:val="1"/>
      <w:marLeft w:val="0"/>
      <w:marRight w:val="0"/>
      <w:marTop w:val="0"/>
      <w:marBottom w:val="0"/>
      <w:divBdr>
        <w:top w:val="none" w:sz="0" w:space="0" w:color="auto"/>
        <w:left w:val="none" w:sz="0" w:space="0" w:color="auto"/>
        <w:bottom w:val="none" w:sz="0" w:space="0" w:color="auto"/>
        <w:right w:val="none" w:sz="0" w:space="0" w:color="auto"/>
      </w:divBdr>
    </w:div>
    <w:div w:id="1598907009">
      <w:bodyDiv w:val="1"/>
      <w:marLeft w:val="0"/>
      <w:marRight w:val="0"/>
      <w:marTop w:val="0"/>
      <w:marBottom w:val="0"/>
      <w:divBdr>
        <w:top w:val="none" w:sz="0" w:space="0" w:color="auto"/>
        <w:left w:val="none" w:sz="0" w:space="0" w:color="auto"/>
        <w:bottom w:val="none" w:sz="0" w:space="0" w:color="auto"/>
        <w:right w:val="none" w:sz="0" w:space="0" w:color="auto"/>
      </w:divBdr>
    </w:div>
    <w:div w:id="1602227149">
      <w:bodyDiv w:val="1"/>
      <w:marLeft w:val="0"/>
      <w:marRight w:val="0"/>
      <w:marTop w:val="0"/>
      <w:marBottom w:val="0"/>
      <w:divBdr>
        <w:top w:val="none" w:sz="0" w:space="0" w:color="auto"/>
        <w:left w:val="none" w:sz="0" w:space="0" w:color="auto"/>
        <w:bottom w:val="none" w:sz="0" w:space="0" w:color="auto"/>
        <w:right w:val="none" w:sz="0" w:space="0" w:color="auto"/>
      </w:divBdr>
      <w:divsChild>
        <w:div w:id="192378661">
          <w:marLeft w:val="0"/>
          <w:marRight w:val="0"/>
          <w:marTop w:val="0"/>
          <w:marBottom w:val="0"/>
          <w:divBdr>
            <w:top w:val="none" w:sz="0" w:space="0" w:color="auto"/>
            <w:left w:val="none" w:sz="0" w:space="0" w:color="auto"/>
            <w:bottom w:val="none" w:sz="0" w:space="0" w:color="auto"/>
            <w:right w:val="none" w:sz="0" w:space="0" w:color="auto"/>
          </w:divBdr>
          <w:divsChild>
            <w:div w:id="2087341495">
              <w:marLeft w:val="0"/>
              <w:marRight w:val="0"/>
              <w:marTop w:val="0"/>
              <w:marBottom w:val="0"/>
              <w:divBdr>
                <w:top w:val="none" w:sz="0" w:space="0" w:color="auto"/>
                <w:left w:val="none" w:sz="0" w:space="0" w:color="auto"/>
                <w:bottom w:val="none" w:sz="0" w:space="0" w:color="auto"/>
                <w:right w:val="none" w:sz="0" w:space="0" w:color="auto"/>
              </w:divBdr>
              <w:divsChild>
                <w:div w:id="44331543">
                  <w:marLeft w:val="0"/>
                  <w:marRight w:val="0"/>
                  <w:marTop w:val="0"/>
                  <w:marBottom w:val="0"/>
                  <w:divBdr>
                    <w:top w:val="none" w:sz="0" w:space="0" w:color="auto"/>
                    <w:left w:val="none" w:sz="0" w:space="0" w:color="auto"/>
                    <w:bottom w:val="none" w:sz="0" w:space="0" w:color="auto"/>
                    <w:right w:val="none" w:sz="0" w:space="0" w:color="auto"/>
                  </w:divBdr>
                  <w:divsChild>
                    <w:div w:id="1331330020">
                      <w:marLeft w:val="0"/>
                      <w:marRight w:val="0"/>
                      <w:marTop w:val="0"/>
                      <w:marBottom w:val="0"/>
                      <w:divBdr>
                        <w:top w:val="none" w:sz="0" w:space="0" w:color="auto"/>
                        <w:left w:val="none" w:sz="0" w:space="0" w:color="auto"/>
                        <w:bottom w:val="none" w:sz="0" w:space="0" w:color="auto"/>
                        <w:right w:val="none" w:sz="0" w:space="0" w:color="auto"/>
                      </w:divBdr>
                      <w:divsChild>
                        <w:div w:id="2049260686">
                          <w:marLeft w:val="0"/>
                          <w:marRight w:val="0"/>
                          <w:marTop w:val="0"/>
                          <w:marBottom w:val="0"/>
                          <w:divBdr>
                            <w:top w:val="none" w:sz="0" w:space="0" w:color="auto"/>
                            <w:left w:val="none" w:sz="0" w:space="0" w:color="auto"/>
                            <w:bottom w:val="none" w:sz="0" w:space="0" w:color="auto"/>
                            <w:right w:val="none" w:sz="0" w:space="0" w:color="auto"/>
                          </w:divBdr>
                          <w:divsChild>
                            <w:div w:id="3312976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289310">
      <w:bodyDiv w:val="1"/>
      <w:marLeft w:val="0"/>
      <w:marRight w:val="0"/>
      <w:marTop w:val="0"/>
      <w:marBottom w:val="0"/>
      <w:divBdr>
        <w:top w:val="none" w:sz="0" w:space="0" w:color="auto"/>
        <w:left w:val="none" w:sz="0" w:space="0" w:color="auto"/>
        <w:bottom w:val="none" w:sz="0" w:space="0" w:color="auto"/>
        <w:right w:val="none" w:sz="0" w:space="0" w:color="auto"/>
      </w:divBdr>
    </w:div>
    <w:div w:id="1655067268">
      <w:bodyDiv w:val="1"/>
      <w:marLeft w:val="0"/>
      <w:marRight w:val="0"/>
      <w:marTop w:val="0"/>
      <w:marBottom w:val="0"/>
      <w:divBdr>
        <w:top w:val="none" w:sz="0" w:space="0" w:color="auto"/>
        <w:left w:val="none" w:sz="0" w:space="0" w:color="auto"/>
        <w:bottom w:val="none" w:sz="0" w:space="0" w:color="auto"/>
        <w:right w:val="none" w:sz="0" w:space="0" w:color="auto"/>
      </w:divBdr>
      <w:divsChild>
        <w:div w:id="867909682">
          <w:marLeft w:val="0"/>
          <w:marRight w:val="0"/>
          <w:marTop w:val="0"/>
          <w:marBottom w:val="0"/>
          <w:divBdr>
            <w:top w:val="none" w:sz="0" w:space="0" w:color="auto"/>
            <w:left w:val="none" w:sz="0" w:space="0" w:color="auto"/>
            <w:bottom w:val="none" w:sz="0" w:space="0" w:color="auto"/>
            <w:right w:val="none" w:sz="0" w:space="0" w:color="auto"/>
          </w:divBdr>
          <w:divsChild>
            <w:div w:id="848835449">
              <w:marLeft w:val="0"/>
              <w:marRight w:val="0"/>
              <w:marTop w:val="0"/>
              <w:marBottom w:val="0"/>
              <w:divBdr>
                <w:top w:val="none" w:sz="0" w:space="0" w:color="auto"/>
                <w:left w:val="none" w:sz="0" w:space="0" w:color="auto"/>
                <w:bottom w:val="none" w:sz="0" w:space="0" w:color="auto"/>
                <w:right w:val="none" w:sz="0" w:space="0" w:color="auto"/>
              </w:divBdr>
              <w:divsChild>
                <w:div w:id="1814637392">
                  <w:marLeft w:val="0"/>
                  <w:marRight w:val="0"/>
                  <w:marTop w:val="0"/>
                  <w:marBottom w:val="0"/>
                  <w:divBdr>
                    <w:top w:val="none" w:sz="0" w:space="0" w:color="auto"/>
                    <w:left w:val="none" w:sz="0" w:space="0" w:color="auto"/>
                    <w:bottom w:val="none" w:sz="0" w:space="0" w:color="auto"/>
                    <w:right w:val="none" w:sz="0" w:space="0" w:color="auto"/>
                  </w:divBdr>
                  <w:divsChild>
                    <w:div w:id="4791504">
                      <w:marLeft w:val="0"/>
                      <w:marRight w:val="0"/>
                      <w:marTop w:val="0"/>
                      <w:marBottom w:val="0"/>
                      <w:divBdr>
                        <w:top w:val="none" w:sz="0" w:space="0" w:color="auto"/>
                        <w:left w:val="none" w:sz="0" w:space="0" w:color="auto"/>
                        <w:bottom w:val="none" w:sz="0" w:space="0" w:color="auto"/>
                        <w:right w:val="none" w:sz="0" w:space="0" w:color="auto"/>
                      </w:divBdr>
                      <w:divsChild>
                        <w:div w:id="657268937">
                          <w:marLeft w:val="0"/>
                          <w:marRight w:val="0"/>
                          <w:marTop w:val="0"/>
                          <w:marBottom w:val="0"/>
                          <w:divBdr>
                            <w:top w:val="none" w:sz="0" w:space="0" w:color="auto"/>
                            <w:left w:val="none" w:sz="0" w:space="0" w:color="auto"/>
                            <w:bottom w:val="none" w:sz="0" w:space="0" w:color="auto"/>
                            <w:right w:val="none" w:sz="0" w:space="0" w:color="auto"/>
                          </w:divBdr>
                          <w:divsChild>
                            <w:div w:id="8868414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871892">
      <w:bodyDiv w:val="1"/>
      <w:marLeft w:val="0"/>
      <w:marRight w:val="0"/>
      <w:marTop w:val="0"/>
      <w:marBottom w:val="0"/>
      <w:divBdr>
        <w:top w:val="none" w:sz="0" w:space="0" w:color="auto"/>
        <w:left w:val="none" w:sz="0" w:space="0" w:color="auto"/>
        <w:bottom w:val="none" w:sz="0" w:space="0" w:color="auto"/>
        <w:right w:val="none" w:sz="0" w:space="0" w:color="auto"/>
      </w:divBdr>
    </w:div>
    <w:div w:id="1910263007">
      <w:bodyDiv w:val="1"/>
      <w:marLeft w:val="0"/>
      <w:marRight w:val="0"/>
      <w:marTop w:val="0"/>
      <w:marBottom w:val="0"/>
      <w:divBdr>
        <w:top w:val="none" w:sz="0" w:space="0" w:color="auto"/>
        <w:left w:val="none" w:sz="0" w:space="0" w:color="auto"/>
        <w:bottom w:val="none" w:sz="0" w:space="0" w:color="auto"/>
        <w:right w:val="none" w:sz="0" w:space="0" w:color="auto"/>
      </w:divBdr>
    </w:div>
    <w:div w:id="1915158616">
      <w:bodyDiv w:val="1"/>
      <w:marLeft w:val="0"/>
      <w:marRight w:val="0"/>
      <w:marTop w:val="0"/>
      <w:marBottom w:val="0"/>
      <w:divBdr>
        <w:top w:val="none" w:sz="0" w:space="0" w:color="auto"/>
        <w:left w:val="none" w:sz="0" w:space="0" w:color="auto"/>
        <w:bottom w:val="none" w:sz="0" w:space="0" w:color="auto"/>
        <w:right w:val="none" w:sz="0" w:space="0" w:color="auto"/>
      </w:divBdr>
      <w:divsChild>
        <w:div w:id="93938458">
          <w:marLeft w:val="0"/>
          <w:marRight w:val="0"/>
          <w:marTop w:val="0"/>
          <w:marBottom w:val="0"/>
          <w:divBdr>
            <w:top w:val="none" w:sz="0" w:space="0" w:color="auto"/>
            <w:left w:val="none" w:sz="0" w:space="0" w:color="auto"/>
            <w:bottom w:val="none" w:sz="0" w:space="0" w:color="auto"/>
            <w:right w:val="none" w:sz="0" w:space="0" w:color="auto"/>
          </w:divBdr>
          <w:divsChild>
            <w:div w:id="869220039">
              <w:marLeft w:val="0"/>
              <w:marRight w:val="0"/>
              <w:marTop w:val="0"/>
              <w:marBottom w:val="0"/>
              <w:divBdr>
                <w:top w:val="none" w:sz="0" w:space="0" w:color="auto"/>
                <w:left w:val="none" w:sz="0" w:space="0" w:color="auto"/>
                <w:bottom w:val="none" w:sz="0" w:space="0" w:color="auto"/>
                <w:right w:val="none" w:sz="0" w:space="0" w:color="auto"/>
              </w:divBdr>
              <w:divsChild>
                <w:div w:id="497379043">
                  <w:marLeft w:val="0"/>
                  <w:marRight w:val="0"/>
                  <w:marTop w:val="0"/>
                  <w:marBottom w:val="0"/>
                  <w:divBdr>
                    <w:top w:val="none" w:sz="0" w:space="0" w:color="auto"/>
                    <w:left w:val="none" w:sz="0" w:space="0" w:color="auto"/>
                    <w:bottom w:val="none" w:sz="0" w:space="0" w:color="auto"/>
                    <w:right w:val="none" w:sz="0" w:space="0" w:color="auto"/>
                  </w:divBdr>
                  <w:divsChild>
                    <w:div w:id="1721786549">
                      <w:marLeft w:val="0"/>
                      <w:marRight w:val="0"/>
                      <w:marTop w:val="0"/>
                      <w:marBottom w:val="0"/>
                      <w:divBdr>
                        <w:top w:val="none" w:sz="0" w:space="0" w:color="auto"/>
                        <w:left w:val="none" w:sz="0" w:space="0" w:color="auto"/>
                        <w:bottom w:val="none" w:sz="0" w:space="0" w:color="auto"/>
                        <w:right w:val="none" w:sz="0" w:space="0" w:color="auto"/>
                      </w:divBdr>
                      <w:divsChild>
                        <w:div w:id="1511869016">
                          <w:marLeft w:val="0"/>
                          <w:marRight w:val="0"/>
                          <w:marTop w:val="0"/>
                          <w:marBottom w:val="0"/>
                          <w:divBdr>
                            <w:top w:val="none" w:sz="0" w:space="0" w:color="auto"/>
                            <w:left w:val="none" w:sz="0" w:space="0" w:color="auto"/>
                            <w:bottom w:val="none" w:sz="0" w:space="0" w:color="auto"/>
                            <w:right w:val="none" w:sz="0" w:space="0" w:color="auto"/>
                          </w:divBdr>
                          <w:divsChild>
                            <w:div w:id="1970238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966773">
      <w:bodyDiv w:val="1"/>
      <w:marLeft w:val="0"/>
      <w:marRight w:val="0"/>
      <w:marTop w:val="0"/>
      <w:marBottom w:val="0"/>
      <w:divBdr>
        <w:top w:val="none" w:sz="0" w:space="0" w:color="auto"/>
        <w:left w:val="none" w:sz="0" w:space="0" w:color="auto"/>
        <w:bottom w:val="none" w:sz="0" w:space="0" w:color="auto"/>
        <w:right w:val="none" w:sz="0" w:space="0" w:color="auto"/>
      </w:divBdr>
    </w:div>
    <w:div w:id="2003506827">
      <w:bodyDiv w:val="1"/>
      <w:marLeft w:val="0"/>
      <w:marRight w:val="0"/>
      <w:marTop w:val="0"/>
      <w:marBottom w:val="0"/>
      <w:divBdr>
        <w:top w:val="none" w:sz="0" w:space="0" w:color="auto"/>
        <w:left w:val="none" w:sz="0" w:space="0" w:color="auto"/>
        <w:bottom w:val="none" w:sz="0" w:space="0" w:color="auto"/>
        <w:right w:val="none" w:sz="0" w:space="0" w:color="auto"/>
      </w:divBdr>
    </w:div>
    <w:div w:id="207304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linda.kucina@mfa.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A.Birums</Vad_x012b_t_x0101_js>
    <Kategorija xmlns="2e5bb04e-596e-45bd-9003-43ca78b1ba16">Anotācija</Kategorija>
    <DKP xmlns="2e5bb04e-596e-45bd-9003-43ca78b1ba16">11</DKP>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8882A-F148-4C30-B21A-7192BB1FB33D}">
  <ds:schemaRefs>
    <ds:schemaRef ds:uri="http://schemas.microsoft.com/office/2006/metadata/longProperties"/>
  </ds:schemaRefs>
</ds:datastoreItem>
</file>

<file path=customXml/itemProps2.xml><?xml version="1.0" encoding="utf-8"?>
<ds:datastoreItem xmlns:ds="http://schemas.openxmlformats.org/officeDocument/2006/customXml" ds:itemID="{B943BE2B-92AD-4573-B4E2-88306C87224C}">
  <ds:schemaRefs>
    <ds:schemaRef ds:uri="http://schemas.microsoft.com/sharepoint/v3/contenttype/forms"/>
  </ds:schemaRefs>
</ds:datastoreItem>
</file>

<file path=customXml/itemProps3.xml><?xml version="1.0" encoding="utf-8"?>
<ds:datastoreItem xmlns:ds="http://schemas.openxmlformats.org/officeDocument/2006/customXml" ds:itemID="{D589F2D1-5D07-4EF1-93FD-5E39157AC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CAA760D-9B24-4B3F-A3A5-6960FCD9B92E}">
  <ds:schemaRefs>
    <ds:schemaRef ds:uri="http://schemas.microsoft.com/office/2006/documentManagement/types"/>
    <ds:schemaRef ds:uri="http://www.w3.org/XML/1998/namespace"/>
    <ds:schemaRef ds:uri="http://purl.org/dc/terms/"/>
    <ds:schemaRef ds:uri="2e5bb04e-596e-45bd-9003-43ca78b1ba16"/>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5.xml><?xml version="1.0" encoding="utf-8"?>
<ds:datastoreItem xmlns:ds="http://schemas.openxmlformats.org/officeDocument/2006/customXml" ds:itemID="{8F2BF977-4746-4A1F-8ED8-761656DFB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5954</Words>
  <Characters>3394</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9330</CharactersWithSpaces>
  <SharedDoc>false</SharedDoc>
  <HLinks>
    <vt:vector size="18" baseType="variant">
      <vt:variant>
        <vt:i4>6160509</vt:i4>
      </vt:variant>
      <vt:variant>
        <vt:i4>12</vt:i4>
      </vt:variant>
      <vt:variant>
        <vt:i4>0</vt:i4>
      </vt:variant>
      <vt:variant>
        <vt:i4>5</vt:i4>
      </vt:variant>
      <vt:variant>
        <vt:lpwstr>mailto:viktorija.borodineca@mfa.gov.lv</vt:lpwstr>
      </vt:variant>
      <vt:variant>
        <vt:lpwstr/>
      </vt:variant>
      <vt:variant>
        <vt:i4>6029412</vt:i4>
      </vt:variant>
      <vt:variant>
        <vt:i4>8</vt:i4>
      </vt:variant>
      <vt:variant>
        <vt:i4>0</vt:i4>
      </vt:variant>
      <vt:variant>
        <vt:i4>5</vt:i4>
      </vt:variant>
      <vt:variant>
        <vt:lpwstr>mailto:margarita.tumane@mfa.gov.lv</vt:lpwstr>
      </vt:variant>
      <vt:variant>
        <vt:lpwstr/>
      </vt:variant>
      <vt:variant>
        <vt:i4>5767269</vt:i4>
      </vt:variant>
      <vt:variant>
        <vt:i4>6</vt:i4>
      </vt:variant>
      <vt:variant>
        <vt:i4>0</vt:i4>
      </vt:variant>
      <vt:variant>
        <vt:i4>5</vt:i4>
      </vt:variant>
      <vt:variant>
        <vt:lpwstr>mailto:linda.kucina@mfa.gov.lv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Likumprojekta anotācija</dc:subject>
  <dc:creator>viktorija.borodineca@mfa.gov.lv</dc:creator>
  <cp:lastModifiedBy>Gints Serafinovics</cp:lastModifiedBy>
  <cp:revision>11</cp:revision>
  <cp:lastPrinted>2015-12-04T14:03:00Z</cp:lastPrinted>
  <dcterms:created xsi:type="dcterms:W3CDTF">2015-11-24T09:56:00Z</dcterms:created>
  <dcterms:modified xsi:type="dcterms:W3CDTF">2015-12-04T14:03:00Z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