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02496" w14:textId="6132FB1C" w:rsidR="0089380C" w:rsidRPr="004024C2" w:rsidRDefault="0038787E" w:rsidP="008667DC">
      <w:pPr>
        <w:contextualSpacing/>
        <w:jc w:val="center"/>
        <w:outlineLvl w:val="0"/>
        <w:rPr>
          <w:b/>
          <w:bCs/>
        </w:rPr>
      </w:pPr>
      <w:bookmarkStart w:id="0" w:name="OLE_LINK1"/>
      <w:bookmarkStart w:id="1" w:name="OLE_LINK2"/>
      <w:bookmarkStart w:id="2" w:name="OLE_LINK10"/>
      <w:bookmarkStart w:id="3" w:name="OLE_LINK11"/>
      <w:r w:rsidRPr="004024C2">
        <w:rPr>
          <w:b/>
          <w:color w:val="000000"/>
        </w:rPr>
        <w:t>Ministru kabineta noteikumu projekta</w:t>
      </w:r>
      <w:r w:rsidR="00AC1F53" w:rsidRPr="004024C2">
        <w:rPr>
          <w:b/>
          <w:color w:val="000000"/>
        </w:rPr>
        <w:t xml:space="preserve"> </w:t>
      </w:r>
      <w:bookmarkEnd w:id="0"/>
      <w:bookmarkEnd w:id="1"/>
      <w:r w:rsidR="008B0C26">
        <w:rPr>
          <w:b/>
          <w:bCs/>
        </w:rPr>
        <w:t>“</w:t>
      </w:r>
      <w:r w:rsidR="004024C2" w:rsidRPr="004024C2">
        <w:rPr>
          <w:b/>
          <w:bCs/>
        </w:rPr>
        <w:t>Grozījum</w:t>
      </w:r>
      <w:r w:rsidR="007508D8">
        <w:rPr>
          <w:b/>
          <w:bCs/>
        </w:rPr>
        <w:t>s</w:t>
      </w:r>
      <w:r w:rsidR="004024C2" w:rsidRPr="004024C2">
        <w:rPr>
          <w:b/>
          <w:bCs/>
        </w:rPr>
        <w:t xml:space="preserve"> </w:t>
      </w:r>
      <w:r w:rsidR="004024C2" w:rsidRPr="004024C2">
        <w:rPr>
          <w:b/>
          <w:color w:val="000000"/>
        </w:rPr>
        <w:t>Ministru kabineta 2009. ga</w:t>
      </w:r>
      <w:r w:rsidR="00705AD8">
        <w:rPr>
          <w:b/>
          <w:color w:val="000000"/>
        </w:rPr>
        <w:t>da 10. marta noteikumos Nr.221 “</w:t>
      </w:r>
      <w:r w:rsidR="004024C2" w:rsidRPr="004024C2">
        <w:rPr>
          <w:b/>
          <w:color w:val="000000"/>
        </w:rPr>
        <w:t>Noteikumi par elektroenerģijas ražošanu un cenu noteikšanu, ražojot elektroenerģiju koģenerācijā”</w:t>
      </w:r>
      <w:r w:rsidR="0065682C" w:rsidRPr="004024C2">
        <w:rPr>
          <w:b/>
          <w:bCs/>
        </w:rPr>
        <w:t>”</w:t>
      </w:r>
      <w:r w:rsidR="006450D6" w:rsidRPr="004024C2">
        <w:rPr>
          <w:b/>
          <w:bCs/>
        </w:rPr>
        <w:t xml:space="preserve"> </w:t>
      </w:r>
      <w:r w:rsidR="0089380C" w:rsidRPr="004024C2">
        <w:rPr>
          <w:b/>
          <w:bCs/>
        </w:rPr>
        <w:t>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3138"/>
        <w:gridCol w:w="6037"/>
      </w:tblGrid>
      <w:tr w:rsidR="001C1A2E" w:rsidRPr="00A92F58" w14:paraId="3430C990" w14:textId="77777777" w:rsidTr="00AC1F53">
        <w:tc>
          <w:tcPr>
            <w:tcW w:w="9444" w:type="dxa"/>
            <w:gridSpan w:val="3"/>
            <w:vAlign w:val="center"/>
          </w:tcPr>
          <w:bookmarkEnd w:id="2"/>
          <w:bookmarkEnd w:id="3"/>
          <w:p w14:paraId="35485D51" w14:textId="77777777" w:rsidR="001C1A2E" w:rsidRPr="00EA2AA3" w:rsidRDefault="001C1A2E" w:rsidP="008667DC">
            <w:pPr>
              <w:pStyle w:val="naisnod"/>
              <w:spacing w:before="0" w:beforeAutospacing="0" w:after="0" w:afterAutospacing="0"/>
              <w:jc w:val="center"/>
              <w:rPr>
                <w:b/>
                <w:color w:val="000000" w:themeColor="text1"/>
              </w:rPr>
            </w:pPr>
            <w:r w:rsidRPr="00EA2AA3">
              <w:rPr>
                <w:b/>
                <w:color w:val="000000" w:themeColor="text1"/>
              </w:rPr>
              <w:t>I. Tiesību akta projekta izstrādes nepieciešamība</w:t>
            </w:r>
          </w:p>
        </w:tc>
      </w:tr>
      <w:tr w:rsidR="001C1A2E" w:rsidRPr="00A92F58" w14:paraId="4A108C73" w14:textId="77777777" w:rsidTr="00F821C4">
        <w:trPr>
          <w:trHeight w:val="1966"/>
        </w:trPr>
        <w:tc>
          <w:tcPr>
            <w:tcW w:w="269" w:type="dxa"/>
          </w:tcPr>
          <w:p w14:paraId="4EB16AAF"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1.</w:t>
            </w:r>
          </w:p>
        </w:tc>
        <w:tc>
          <w:tcPr>
            <w:tcW w:w="3138" w:type="dxa"/>
          </w:tcPr>
          <w:p w14:paraId="07569F75" w14:textId="77777777" w:rsidR="001C1A2E" w:rsidRPr="00A92F58" w:rsidRDefault="001C1A2E" w:rsidP="008667DC">
            <w:pPr>
              <w:pStyle w:val="naiskr"/>
              <w:spacing w:before="0" w:beforeAutospacing="0" w:after="0" w:afterAutospacing="0"/>
              <w:ind w:hanging="10"/>
              <w:rPr>
                <w:color w:val="000000" w:themeColor="text1"/>
              </w:rPr>
            </w:pPr>
            <w:r w:rsidRPr="00A92F58">
              <w:rPr>
                <w:color w:val="000000" w:themeColor="text1"/>
              </w:rPr>
              <w:t>Pamatojums</w:t>
            </w:r>
          </w:p>
        </w:tc>
        <w:tc>
          <w:tcPr>
            <w:tcW w:w="6037" w:type="dxa"/>
          </w:tcPr>
          <w:p w14:paraId="213003DA" w14:textId="613F9E3D" w:rsidR="001C1A2E" w:rsidRPr="00AD5B51" w:rsidRDefault="004024C2" w:rsidP="00104C67">
            <w:pPr>
              <w:pStyle w:val="Heading1"/>
              <w:spacing w:before="0" w:beforeAutospacing="0" w:after="0" w:afterAutospacing="0"/>
              <w:ind w:left="132" w:right="93"/>
              <w:jc w:val="both"/>
              <w:rPr>
                <w:bCs w:val="0"/>
              </w:rPr>
            </w:pPr>
            <w:r w:rsidRPr="00AD5B51">
              <w:rPr>
                <w:b w:val="0"/>
                <w:sz w:val="24"/>
                <w:szCs w:val="24"/>
              </w:rPr>
              <w:t>Ministru kabineta noteikumu projekt</w:t>
            </w:r>
            <w:r w:rsidR="007C1F2A" w:rsidRPr="00AD5B51">
              <w:rPr>
                <w:b w:val="0"/>
                <w:sz w:val="24"/>
                <w:szCs w:val="24"/>
              </w:rPr>
              <w:t>s</w:t>
            </w:r>
            <w:r w:rsidR="00E63022">
              <w:rPr>
                <w:b w:val="0"/>
                <w:sz w:val="24"/>
                <w:szCs w:val="24"/>
              </w:rPr>
              <w:t xml:space="preserve"> “</w:t>
            </w:r>
            <w:r w:rsidRPr="00AD5B51">
              <w:rPr>
                <w:b w:val="0"/>
                <w:bCs w:val="0"/>
                <w:sz w:val="24"/>
                <w:szCs w:val="24"/>
              </w:rPr>
              <w:t>Grozījum</w:t>
            </w:r>
            <w:r w:rsidR="000618A5" w:rsidRPr="00AD5B51">
              <w:rPr>
                <w:b w:val="0"/>
                <w:bCs w:val="0"/>
                <w:sz w:val="24"/>
                <w:szCs w:val="24"/>
              </w:rPr>
              <w:t>s</w:t>
            </w:r>
            <w:r w:rsidRPr="00AD5B51">
              <w:rPr>
                <w:b w:val="0"/>
                <w:bCs w:val="0"/>
                <w:sz w:val="24"/>
                <w:szCs w:val="24"/>
              </w:rPr>
              <w:t xml:space="preserve"> </w:t>
            </w:r>
            <w:r w:rsidRPr="00AD5B51">
              <w:rPr>
                <w:b w:val="0"/>
                <w:sz w:val="24"/>
                <w:szCs w:val="24"/>
              </w:rPr>
              <w:t>Ministru kabineta 2009. ga</w:t>
            </w:r>
            <w:r w:rsidR="00E63022">
              <w:rPr>
                <w:b w:val="0"/>
                <w:sz w:val="24"/>
                <w:szCs w:val="24"/>
              </w:rPr>
              <w:t>da 10. marta noteikumos Nr.221 “</w:t>
            </w:r>
            <w:r w:rsidRPr="00AD5B51">
              <w:rPr>
                <w:b w:val="0"/>
                <w:sz w:val="24"/>
                <w:szCs w:val="24"/>
              </w:rPr>
              <w:t xml:space="preserve">Noteikumi par elektroenerģijas ražošanu un cenu noteikšanu, ražojot elektroenerģiju koģenerācijā”” (turpmāk - noteikumu projekts) </w:t>
            </w:r>
            <w:r w:rsidR="00DC5C95" w:rsidRPr="00AD5B51">
              <w:rPr>
                <w:b w:val="0"/>
                <w:sz w:val="24"/>
                <w:szCs w:val="24"/>
              </w:rPr>
              <w:t xml:space="preserve">sagatavots, </w:t>
            </w:r>
            <w:r w:rsidR="000618A5" w:rsidRPr="00AD5B51">
              <w:rPr>
                <w:b w:val="0"/>
                <w:sz w:val="24"/>
                <w:szCs w:val="24"/>
              </w:rPr>
              <w:t>ņemot vērā nosacījumus, kas Eiropas Savienības (turpmāk – ES) dalībvalstīm jāievēro, cita starpā izstrādājot atbalsta mehānismus atjaunojamās enerģijas veicināšanai, paredzot no 2016. gada 1. janvāra būtiski atšķirīgus nosacījumus jaunam atbalstam enerģijas ražošanai no atjaunojamiem energoresursiem (turpmāk – AER).</w:t>
            </w:r>
          </w:p>
        </w:tc>
      </w:tr>
      <w:tr w:rsidR="001C1A2E" w:rsidRPr="00A92F58" w14:paraId="49F0BFDC" w14:textId="77777777" w:rsidTr="003C574F">
        <w:trPr>
          <w:trHeight w:val="984"/>
        </w:trPr>
        <w:tc>
          <w:tcPr>
            <w:tcW w:w="269" w:type="dxa"/>
          </w:tcPr>
          <w:p w14:paraId="77E8F1D7"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2.</w:t>
            </w:r>
          </w:p>
        </w:tc>
        <w:tc>
          <w:tcPr>
            <w:tcW w:w="3138" w:type="dxa"/>
          </w:tcPr>
          <w:p w14:paraId="3E92ABAF" w14:textId="77777777" w:rsidR="001C1A2E" w:rsidRPr="00A92F58" w:rsidRDefault="001C1A2E" w:rsidP="008667DC">
            <w:pPr>
              <w:pStyle w:val="naiskr"/>
              <w:tabs>
                <w:tab w:val="left" w:pos="170"/>
              </w:tabs>
              <w:spacing w:before="0" w:beforeAutospacing="0" w:after="0" w:afterAutospacing="0"/>
              <w:rPr>
                <w:color w:val="000000" w:themeColor="text1"/>
              </w:rPr>
            </w:pPr>
            <w:r w:rsidRPr="00A92F58">
              <w:rPr>
                <w:color w:val="000000" w:themeColor="text1"/>
              </w:rPr>
              <w:t>Pašreizējā situācija un problēmas, kuru risināšanai tiesību akta projekts izstrādāts, tiesiskā regulējuma mērķis un būtība</w:t>
            </w:r>
          </w:p>
        </w:tc>
        <w:tc>
          <w:tcPr>
            <w:tcW w:w="6037" w:type="dxa"/>
          </w:tcPr>
          <w:p w14:paraId="1BD125AE" w14:textId="77777777" w:rsidR="000618A5" w:rsidRPr="00AD5B51" w:rsidRDefault="00BD3CE4" w:rsidP="00104C67">
            <w:pPr>
              <w:ind w:left="132" w:right="93"/>
              <w:jc w:val="both"/>
              <w:rPr>
                <w:b/>
              </w:rPr>
            </w:pPr>
            <w:r>
              <w:rPr>
                <w:b/>
              </w:rPr>
              <w:t>Situācija Latvijā</w:t>
            </w:r>
            <w:r w:rsidR="000618A5" w:rsidRPr="00AD5B51">
              <w:rPr>
                <w:b/>
              </w:rPr>
              <w:t xml:space="preserve"> </w:t>
            </w:r>
          </w:p>
          <w:p w14:paraId="419F342A" w14:textId="2DAF3BF2" w:rsidR="000618A5" w:rsidRPr="00AD5B51" w:rsidRDefault="000618A5" w:rsidP="00104C67">
            <w:pPr>
              <w:ind w:left="132" w:right="93"/>
              <w:jc w:val="both"/>
            </w:pPr>
            <w:r w:rsidRPr="00AD5B51">
              <w:t>Elektroenerģijas ražošanu un cenu noteikšanu regulē Elektroenerģijas tirgus likuma (turpmā</w:t>
            </w:r>
            <w:r w:rsidR="00BD3CE4">
              <w:t xml:space="preserve">k – ETL) VII nodaļa. </w:t>
            </w:r>
            <w:r w:rsidR="00D152D4">
              <w:t xml:space="preserve">ETL </w:t>
            </w:r>
            <w:r w:rsidR="00BD3CE4">
              <w:t>27.</w:t>
            </w:r>
            <w:r w:rsidRPr="00AD5B51">
              <w:t xml:space="preserve">pants nosaka, ka elektroenerģijas cenu nosaka ražotāji, tirgotāji un lietotāji, savstarpēji vienojoties, izņemot </w:t>
            </w:r>
            <w:r w:rsidR="00ED03F5">
              <w:t>ETL</w:t>
            </w:r>
            <w:r w:rsidRPr="00AD5B51">
              <w:t xml:space="preserve"> paredzētos gadījumus. Cenu darījumiem elektroenerģijas biržā nosaka saskaņā ar šīs biržas reglamentu.</w:t>
            </w:r>
          </w:p>
          <w:p w14:paraId="13A112B1" w14:textId="7935AA97" w:rsidR="000618A5" w:rsidRPr="00AD5B51" w:rsidRDefault="000618A5" w:rsidP="00104C67">
            <w:pPr>
              <w:ind w:left="132" w:right="93"/>
              <w:jc w:val="both"/>
            </w:pPr>
            <w:r w:rsidRPr="00AD5B51">
              <w:t>Ņemot vērā, ka pēc iestāšanās ES Latvijai bija pienākums ieviest Direktīvu 2001/77/EK</w:t>
            </w:r>
            <w:r w:rsidRPr="00AD5B51">
              <w:rPr>
                <w:rStyle w:val="FootnoteReference"/>
              </w:rPr>
              <w:footnoteReference w:id="1"/>
            </w:r>
            <w:r w:rsidRPr="00AD5B51">
              <w:t xml:space="preserve">  un Direktīvu 2004/8/EK</w:t>
            </w:r>
            <w:r w:rsidRPr="00AD5B51">
              <w:rPr>
                <w:rStyle w:val="FootnoteReference"/>
              </w:rPr>
              <w:footnoteReference w:id="2"/>
            </w:r>
            <w:r w:rsidRPr="00AD5B51">
              <w:t xml:space="preserve">, abu attiecīgo direktīvu prasības tika ieviestas gan ar </w:t>
            </w:r>
            <w:r w:rsidR="00D152D4">
              <w:t>ETL</w:t>
            </w:r>
            <w:r w:rsidRPr="00AD5B51">
              <w:t>, gan ar pakārtotajiem Ministru kabineta noteikumiem un citiem normatīvajiem aktiem, tai ska</w:t>
            </w:r>
            <w:r w:rsidR="00BD3CE4">
              <w:t>itā ar  Ministru kabineta 2009. gada 10. </w:t>
            </w:r>
            <w:r w:rsidR="00E63022">
              <w:t>marta noteikumos Nr.221 “</w:t>
            </w:r>
            <w:r w:rsidRPr="00AD5B51">
              <w:t>Noteikumi par elektroenerģijas ražošanu un cenu noteikšanu, ražojot elektroenerģiju koģenerācijā”</w:t>
            </w:r>
            <w:r w:rsidR="002601AE">
              <w:t xml:space="preserve"> (turpmāk – MK noteikumi Nr.221)</w:t>
            </w:r>
            <w:r w:rsidRPr="00AD5B51">
              <w:t>.</w:t>
            </w:r>
          </w:p>
          <w:p w14:paraId="2556C534" w14:textId="5E806CF5" w:rsidR="000618A5" w:rsidRPr="00450E77" w:rsidRDefault="000618A5" w:rsidP="00104C67">
            <w:pPr>
              <w:ind w:left="132" w:right="93"/>
              <w:jc w:val="both"/>
            </w:pPr>
            <w:r w:rsidRPr="00AD5B51">
              <w:t>Savuk</w:t>
            </w:r>
            <w:r w:rsidR="00BD3CE4">
              <w:t xml:space="preserve">ārt, pamatojoties uz </w:t>
            </w:r>
            <w:r w:rsidR="00D152D4">
              <w:t xml:space="preserve">ETL </w:t>
            </w:r>
            <w:r w:rsidR="00BD3CE4">
              <w:t>28.</w:t>
            </w:r>
            <w:r w:rsidRPr="00AD5B51">
              <w:t>panta otro un septīto daļu un 28.</w:t>
            </w:r>
            <w:r w:rsidRPr="00AD5B51">
              <w:rPr>
                <w:vertAlign w:val="superscript"/>
              </w:rPr>
              <w:t>1</w:t>
            </w:r>
            <w:r w:rsidRPr="00AD5B51">
              <w:t>panta otro un piekto daļu</w:t>
            </w:r>
            <w:r w:rsidR="00A93A28">
              <w:t>,</w:t>
            </w:r>
            <w:r w:rsidRPr="00AD5B51">
              <w:t xml:space="preserve"> tika izdoti Ministru kabineta 2006. gada 6. novembra noteikumi Nr.921 “</w:t>
            </w:r>
            <w:r w:rsidRPr="00F34E04">
              <w:t>Noteikumi par elektroenerģijas ražošanu koģenerācijā”, kas tika aizstāti ar šobrīd spēkā esošiem MK noteikumiem Nr.221.</w:t>
            </w:r>
          </w:p>
          <w:p w14:paraId="0CD81883" w14:textId="5F836A03" w:rsidR="000618A5" w:rsidRPr="00AD5B51" w:rsidRDefault="000618A5" w:rsidP="00104C67">
            <w:pPr>
              <w:ind w:left="132" w:right="93"/>
              <w:jc w:val="both"/>
            </w:pPr>
            <w:r w:rsidRPr="00F34E04">
              <w:t xml:space="preserve">Spēkā esošais atbalsta mehānisms, kas ietverts gan </w:t>
            </w:r>
            <w:r w:rsidR="00D152D4" w:rsidRPr="00F34E04">
              <w:t>ETL</w:t>
            </w:r>
            <w:r w:rsidRPr="00F34E04">
              <w:t xml:space="preserve">, gan šobrīd spēkā esošajos </w:t>
            </w:r>
            <w:r w:rsidR="00F34E04" w:rsidRPr="00F34E04">
              <w:t xml:space="preserve"> Ministru kabineta 2010. gada 16. marta noteikumos Nr.262 </w:t>
            </w:r>
            <w:r w:rsidR="00E63022">
              <w:rPr>
                <w:color w:val="000000" w:themeColor="text1"/>
              </w:rPr>
              <w:t>“</w:t>
            </w:r>
            <w:r w:rsidR="00F34E04" w:rsidRPr="00F34E04">
              <w:t>Noteikumi par elektroenerģijas ražošanu, izmantojot atjaunojamos energoresursus, un cenu noteikšanas kārtību</w:t>
            </w:r>
            <w:r w:rsidR="00F34E04" w:rsidRPr="00F34E04">
              <w:rPr>
                <w:color w:val="000000" w:themeColor="text1"/>
              </w:rPr>
              <w:t xml:space="preserve">” </w:t>
            </w:r>
            <w:r w:rsidR="00F34E04">
              <w:rPr>
                <w:color w:val="000000" w:themeColor="text1"/>
              </w:rPr>
              <w:t xml:space="preserve">(turpmāk - </w:t>
            </w:r>
            <w:r w:rsidRPr="00F34E04">
              <w:t xml:space="preserve">MK </w:t>
            </w:r>
            <w:r w:rsidR="00F34E04" w:rsidRPr="00F34E04">
              <w:t>noteikum</w:t>
            </w:r>
            <w:r w:rsidR="00F34E04">
              <w:t xml:space="preserve">i </w:t>
            </w:r>
            <w:r w:rsidRPr="00AD5B51">
              <w:t>Nr.262</w:t>
            </w:r>
            <w:r w:rsidR="00F34E04">
              <w:t>)</w:t>
            </w:r>
            <w:r w:rsidRPr="00AD5B51">
              <w:t xml:space="preserve"> un MK noteikumos Nr.221, sākotnēji tika izstrādāts, ņemot vērā </w:t>
            </w:r>
            <w:r w:rsidRPr="00AD5B51">
              <w:lastRenderedPageBreak/>
              <w:t>Direktīvā 2001/77/EK ietverto mērķi sasniegt 49,3% atjaunojamās elektroenerģijas īpatsvaru kopējā elektroenerģijas patēriņā 2010. gadā un Direktīvā 2004/8/EK iestrādāto virzību uz koģenerācijā ražotas elektroenerģijas izplatību tirgū. Direktīva 2001/77/EK tika aizstāta ar Direktīvu 2009/28/EK</w:t>
            </w:r>
            <w:r w:rsidR="00AD5B51" w:rsidRPr="00AD5B51">
              <w:rPr>
                <w:rStyle w:val="FootnoteReference"/>
              </w:rPr>
              <w:footnoteReference w:id="3"/>
            </w:r>
            <w:r w:rsidRPr="00AD5B51">
              <w:t>.</w:t>
            </w:r>
          </w:p>
          <w:p w14:paraId="59310B0B" w14:textId="34C0F281" w:rsidR="000618A5" w:rsidRPr="00AD5B51" w:rsidRDefault="000618A5" w:rsidP="00104C67">
            <w:pPr>
              <w:ind w:left="132" w:right="93"/>
              <w:jc w:val="both"/>
            </w:pPr>
            <w:r w:rsidRPr="00AD5B51">
              <w:t xml:space="preserve">Direktīva 2009/28/EK izstrādāta nolūkā radīt ES dalībvalstīs kopēju ietvaru AER izmantošanai enerģijas ražošanā un patēriņā. Latvijai kā ES dalībvalstij Direktīvas 2009/28/EK prasības ir saistošas ar obligātiem mērķiem enerģijas </w:t>
            </w:r>
            <w:proofErr w:type="spellStart"/>
            <w:r w:rsidRPr="00AD5B51">
              <w:t>galapatēriņā</w:t>
            </w:r>
            <w:proofErr w:type="spellEnd"/>
            <w:r w:rsidRPr="00AD5B51">
              <w:t>, nenosakot tieši, ar kādiem inst</w:t>
            </w:r>
            <w:r w:rsidR="00A93A28">
              <w:t xml:space="preserve">rumentiem mērķis ir sasniedzams. Direktīvas </w:t>
            </w:r>
            <w:r w:rsidRPr="00AD5B51">
              <w:t>2001/77/EK</w:t>
            </w:r>
            <w:r w:rsidR="00A93A28">
              <w:t xml:space="preserve"> </w:t>
            </w:r>
            <w:r w:rsidRPr="00AD5B51">
              <w:t>prasības Latvijai nebija juridiski saistošas. Attiecīgi, lai sasniegtu Direktīvas 2009/28/EK mērķus, AER izmantošanu siltumenerģijas, transporta vai elektroenerģijas sektoros iespējams veicināt ar dažādiem atbalsta instrumentiem.</w:t>
            </w:r>
          </w:p>
          <w:p w14:paraId="49817A57" w14:textId="77777777" w:rsidR="000618A5" w:rsidRPr="00AD5B51" w:rsidRDefault="000618A5" w:rsidP="00104C67">
            <w:pPr>
              <w:ind w:left="132" w:right="93"/>
              <w:jc w:val="both"/>
            </w:pPr>
            <w:r w:rsidRPr="00AD5B51">
              <w:t>Direktīvas 2009/28/EK 4.pants nosaka, ka katra dalībvalsts pieņem valsts rīcības plānu AER jomā, kurā izklāsta dalībvalstu mērķus no AER saražotas enerģijas īpatsvaram, ko patērē transporta, elektroenerģijas, apsildes un dzesēšanas jomā līdz 2020. gadam, ņemot vērā citu ar energoefektivitāti saistīto politikas pasākumu ietekmi uz galīgo enerģijas patēriņu, kā arī atbilstīgus pasākumus, kuri jāveic, lai sasniegtu minētos vispārējos valsts mērķus, tostarp vietējo, reģionālo un valsts pārvaldes iestāžu sadarbību.</w:t>
            </w:r>
          </w:p>
          <w:p w14:paraId="073F312D" w14:textId="027998C3" w:rsidR="000618A5" w:rsidRPr="00AD5B51" w:rsidRDefault="00A93A28" w:rsidP="00104C67">
            <w:pPr>
              <w:ind w:left="132" w:right="93"/>
              <w:jc w:val="both"/>
            </w:pPr>
            <w:r>
              <w:t>Ministru kabineta 2010. gada 12. </w:t>
            </w:r>
            <w:r w:rsidR="000618A5" w:rsidRPr="00AD5B51">
              <w:t>oktobra sēdē tika apstiprināts informatīvais ziņojums „Latvijas Republikas Rīcība atjaunojamās enerģijas jomā Eiropas Parlamenta un Padomes 2009. gada 23. aprīļa direktīvas 2009/28/EK par atjaunojamo energoresursu izmantošanas veicināšanu un ar ko groza un sekojoši atceļ Direktīvas 2001/77/EK un 2003/30/EK ieviešanai līdz 2020.gadam”, kas aptver dažāda veida atbalsta pasākumus mērķa sasniegšanai. Ņemot vērā, ka līdzšinējais Latvijā īstenotais atbalsts ir viens no Direktīvā 2009/28/EK minētajiem atbalsta veidiem, ko var piemērot dalībvalstis, pēc Direktīvas 2009/28/EK spēkā stāšanās atbalsta mehānisma darbība netika pārtraukta. Līdz ar to atbalsta mehānisma rezultatīvie rādītāji joprojām sniedz ieguldījumu Direktīvas 2009/28/EK noteiktā mērķa sasniegšanai. Tomēr, lai arī ES ir izvirzījusi kopēju mērķi atjaunojamās enerģijas patēriņa īpatsvaram 2020. gadam, katrai ES dalībvalstij sasniedzamais īpatsvars ir atšķirīgs, kā arī atšķirīgi ir īstenotie pasākumi to sasniegšanai.</w:t>
            </w:r>
          </w:p>
          <w:p w14:paraId="1E4E4F76" w14:textId="77777777" w:rsidR="000618A5" w:rsidRPr="00AD5B51" w:rsidRDefault="000618A5" w:rsidP="00104C67">
            <w:pPr>
              <w:ind w:left="132" w:right="93"/>
              <w:jc w:val="both"/>
            </w:pPr>
            <w:r w:rsidRPr="00AD5B51">
              <w:t xml:space="preserve">Atbalsta mehānismi ES dalībvalstu vidū nav harmonizēti. To nosaka ES dalībvalstu joprojām atšķirīgās starta pozīcijas, ekonomiskā attīstība un tendences, kas tieši ietekmē finanšu </w:t>
            </w:r>
            <w:r w:rsidRPr="00AD5B51">
              <w:lastRenderedPageBreak/>
              <w:t xml:space="preserve">pieejamību, gan arī tehniski un ekonomiski izmantojamais AER potenciāls. Līdz ar to katrai ES dalībvalstij ir sava atjaunojamās enerģijas izmantošanas veicināšanas politika, tai skaitā, arī atbalsta instrumentu pielietošanas prakse, kas ne vienmēr ir vienkāršoti vērtējama kā līdzīga vai atšķirīga, kad to salīdzina ar citu dalībvalsti iepriekš minēto situāciju atšķirību un valstu atšķirīgo labklājības līmeņu dēļ. </w:t>
            </w:r>
          </w:p>
          <w:p w14:paraId="3D4B199D" w14:textId="77777777" w:rsidR="000618A5" w:rsidRPr="00AD5B51" w:rsidRDefault="000618A5" w:rsidP="00104C67">
            <w:pPr>
              <w:ind w:left="132" w:right="93"/>
              <w:jc w:val="both"/>
            </w:pPr>
            <w:r w:rsidRPr="00AD5B51">
              <w:t>Reaģējot uz pieaugošo pieprasījumu aizvien jaunu tiesību saņemšanai pārdot elektroenerģiju obligātā iepirkuma ietvaros vai saņemt garantēto maksu par uzstādīto elektrisko jaudu, izvērtējot r</w:t>
            </w:r>
            <w:r w:rsidR="00BD3CE4">
              <w:t>iskus, MK noteikumu Nr.262 100.</w:t>
            </w:r>
            <w:r w:rsidRPr="00AD5B51">
              <w:t>pu</w:t>
            </w:r>
            <w:r w:rsidR="00BD3CE4">
              <w:t>nktā un MK noteikumu Nr.221 70.</w:t>
            </w:r>
            <w:r w:rsidRPr="00AD5B51">
              <w:t>punktā tika ietverts nosacījums, ka elektroenerģijas ražotāji nevar saņemt jaunas tiesības pārdot elektroenerģiju obligātā iepirkuma ietvaros vai iegūt tiesības saņemt garantētu maksu par uzstādīto elektrisko jaudu līdz 2016. gada 1. janvārim.</w:t>
            </w:r>
          </w:p>
          <w:p w14:paraId="05227B46" w14:textId="11EA60BC" w:rsidR="000618A5" w:rsidRDefault="000618A5" w:rsidP="00104C67">
            <w:pPr>
              <w:ind w:left="132" w:right="93"/>
              <w:jc w:val="both"/>
            </w:pPr>
            <w:r w:rsidRPr="00AD5B51">
              <w:t>Lai novērstu atbalsta mehānisma radītā sloga uz elektroenerģijas lietotājiem pieaugumu, tas ir, obligātā iepirkuma komponentes nesamērīgu ietekmi uz elektroenerģijas kopējo cenu, kas attiecīgi mazinātu mājsaimniecību maksātspēju un uzņēmumu konkurē</w:t>
            </w:r>
            <w:r w:rsidR="00BD3CE4">
              <w:t>tspēju, Ministru kabinets 2013. </w:t>
            </w:r>
            <w:r w:rsidRPr="00AD5B51">
              <w:t>gadā apstiprināja informatīvo ziņojumu „Rīcības plāns elektroenerģijas kopējās cenas pieauguma risku ierobežošanai”  (turpmāk – Rīcības plāns) un ieviesa kompleksus risinājumus nozares sa</w:t>
            </w:r>
            <w:r w:rsidR="00642146">
              <w:t>kārtošanai, tai skaitā no 2014. gada 1. </w:t>
            </w:r>
            <w:r w:rsidRPr="00AD5B51">
              <w:t>janvāra ieviesa subsidētās elektroenerģijas nodokli, kā arī pieņēma lēmumu saglabāt obligātā elektroenerģ</w:t>
            </w:r>
            <w:r w:rsidR="00642146">
              <w:t>ijas iepirkuma komponenti 2013. </w:t>
            </w:r>
            <w:r w:rsidRPr="00AD5B51">
              <w:t>gada līmenī.</w:t>
            </w:r>
            <w:r w:rsidR="00642146">
              <w:t xml:space="preserve"> Tāpat  </w:t>
            </w:r>
            <w:r w:rsidR="00642146" w:rsidRPr="00642146">
              <w:t>Ministru kabineta 2015. gada 31. augusta sēdē izskatītajā konceptuālajā ziņojumā “Kompleksi pasākumi elektroenerģijas tirgus a</w:t>
            </w:r>
            <w:r w:rsidR="00642146">
              <w:t xml:space="preserve">ttīstībai” (MK prot Nr. 42 2.§) ar Ministru kabineta rīkojumu </w:t>
            </w:r>
            <w:r w:rsidR="00464212">
              <w:t xml:space="preserve">atbalstīts </w:t>
            </w:r>
            <w:r w:rsidR="00642146" w:rsidRPr="00642146">
              <w:t>E</w:t>
            </w:r>
            <w:r w:rsidR="00464212">
              <w:t>konomikas ministrijas sagatavotais risinājums arī pēc 2017. </w:t>
            </w:r>
            <w:r w:rsidR="00642146" w:rsidRPr="00642146">
              <w:t>gada saglabāt obligātā elektroenerģijas iepirkuma komponenti (OIK) 26,79 EUR/</w:t>
            </w:r>
            <w:proofErr w:type="spellStart"/>
            <w:r w:rsidR="00642146" w:rsidRPr="00642146">
              <w:t>MWh</w:t>
            </w:r>
            <w:proofErr w:type="spellEnd"/>
            <w:r w:rsidR="00642146" w:rsidRPr="00642146">
              <w:t xml:space="preserve"> apmērā, tai pieliekot šādā apjomā līdz 2019. gadam. </w:t>
            </w:r>
            <w:r w:rsidR="00464212">
              <w:t>Tā kā m</w:t>
            </w:r>
            <w:r w:rsidR="00642146" w:rsidRPr="00642146">
              <w:t xml:space="preserve">inētajam pasākumam nepieciešams novirzīt valsts budžeta dotāciju, </w:t>
            </w:r>
            <w:r w:rsidR="00464212">
              <w:t>t</w:t>
            </w:r>
            <w:r w:rsidR="00642146" w:rsidRPr="00642146">
              <w:t>ā nodrošināšanai ieņēmumus valsts budžetā veidos gan ienākumi no subsidētā elektroenerģijas nodokļa, gan daļa no AS</w:t>
            </w:r>
            <w:r w:rsidR="0092210F">
              <w:t> </w:t>
            </w:r>
            <w:r w:rsidR="00642146" w:rsidRPr="00642146">
              <w:t>“Latvenergo” dividendēm.</w:t>
            </w:r>
          </w:p>
          <w:p w14:paraId="16DFDABD" w14:textId="77777777" w:rsidR="000618A5" w:rsidRDefault="000618A5" w:rsidP="00104C67">
            <w:pPr>
              <w:ind w:left="132" w:right="93"/>
              <w:jc w:val="both"/>
            </w:pPr>
            <w:r w:rsidRPr="00AD5B51">
              <w:t>MK noteikumu Nr.221 70.punktu, kā arī citus veiktos pasākumus elektroenerģijas kopējas cenas pieauguma risku ierobežošanai, kas minēti Rīcības plāna 1. pielikumā, var uzskatīt par pārejas regulējumu, līdz jauna atbalsta mehānisma izveidei.</w:t>
            </w:r>
          </w:p>
          <w:p w14:paraId="71071792" w14:textId="0CD06332" w:rsidR="000618A5" w:rsidRDefault="000618A5" w:rsidP="00104C67">
            <w:pPr>
              <w:ind w:left="132" w:right="93"/>
              <w:jc w:val="both"/>
            </w:pPr>
            <w:r w:rsidRPr="00AD5B51">
              <w:t>No minētā secināms, ka jaunu obligātā iepirkuma vai garantētās maksas tiesību piešķiršana</w:t>
            </w:r>
            <w:r w:rsidR="00464212">
              <w:t xml:space="preserve"> komersantiem pēc 2016. gada 1. </w:t>
            </w:r>
            <w:r w:rsidRPr="00AD5B51">
              <w:t xml:space="preserve">janvāra atstātu ietekmi uz elektroenerģijas </w:t>
            </w:r>
            <w:r w:rsidRPr="00AD5B51">
              <w:lastRenderedPageBreak/>
              <w:t>kopējas cenas pieaugumu, kā arī ta</w:t>
            </w:r>
            <w:r w:rsidR="00AD6F6C">
              <w:t>utsaimniecības attīstību kopumā, tādēļ netiktu atbalstīta.</w:t>
            </w:r>
          </w:p>
          <w:p w14:paraId="38203D24" w14:textId="77777777" w:rsidR="000618A5" w:rsidRDefault="000618A5" w:rsidP="00104C67">
            <w:pPr>
              <w:ind w:left="132" w:right="93"/>
              <w:jc w:val="both"/>
            </w:pPr>
          </w:p>
          <w:p w14:paraId="47D666B8" w14:textId="77777777" w:rsidR="00BD3CE4" w:rsidRPr="00BD3CE4" w:rsidRDefault="00BD3CE4" w:rsidP="00104C67">
            <w:pPr>
              <w:ind w:left="132" w:right="93"/>
              <w:jc w:val="both"/>
              <w:rPr>
                <w:b/>
              </w:rPr>
            </w:pPr>
            <w:r w:rsidRPr="00BD3CE4">
              <w:rPr>
                <w:b/>
              </w:rPr>
              <w:t>ES politikas ietekme</w:t>
            </w:r>
            <w:r>
              <w:rPr>
                <w:b/>
              </w:rPr>
              <w:t>.</w:t>
            </w:r>
          </w:p>
          <w:p w14:paraId="072F761E" w14:textId="77777777" w:rsidR="005D3F9C" w:rsidRPr="005D3F9C" w:rsidRDefault="005D3F9C" w:rsidP="00104C67">
            <w:pPr>
              <w:ind w:left="132" w:right="93"/>
              <w:jc w:val="both"/>
            </w:pPr>
            <w:r w:rsidRPr="005D3F9C">
              <w:t>Spēkā stājies jauns ES valsts atbalsta regulējums vides aizsardzībai un enerģētikai</w:t>
            </w:r>
            <w:r>
              <w:t xml:space="preserve"> (turpmāk – Pamatnostādnes)</w:t>
            </w:r>
            <w:r w:rsidRPr="005D3F9C">
              <w:t>, kas ietver nosacījumus, kas ES dalībvalstīm jāņem vērā, cita starpā izstrādājot atbalsta mehānismus atjaunojamās enerģijas veicināšanai.</w:t>
            </w:r>
            <w:r w:rsidRPr="005D3F9C">
              <w:rPr>
                <w:vertAlign w:val="superscript"/>
              </w:rPr>
              <w:footnoteReference w:id="4"/>
            </w:r>
          </w:p>
          <w:p w14:paraId="42D30523" w14:textId="313C4D10" w:rsidR="000618A5" w:rsidRPr="003C574F" w:rsidRDefault="007E1A89" w:rsidP="00104C67">
            <w:pPr>
              <w:ind w:left="132" w:right="93"/>
              <w:jc w:val="both"/>
            </w:pPr>
            <w:r>
              <w:t>Lai gan Pamatnostādnes 3.3.</w:t>
            </w:r>
            <w:r w:rsidR="000618A5" w:rsidRPr="00AD5B51">
              <w:t xml:space="preserve">sadaļā ietver nosacījumus atbalstam enerģijai no AER, kas jāievēro līdz 2020. gadam, un tie būtiski atšķiras no šobrīd Latvijā īstenotā atbalsta mehānisma, un tiem nosacījumiem, kas ietverti </w:t>
            </w:r>
            <w:r w:rsidR="00FB4CBB">
              <w:t>ETL</w:t>
            </w:r>
            <w:r w:rsidR="000618A5" w:rsidRPr="00AD5B51">
              <w:t>, MK noteikumos Nr.262 un MK noteikumos Nr.221, joprojām Pamatnostādnes pieļauj atbalstu ieguldīj</w:t>
            </w:r>
            <w:r w:rsidR="00AD6F6C">
              <w:t>umu vai darbības atbalsta veidā. T</w:t>
            </w:r>
            <w:r w:rsidR="000618A5" w:rsidRPr="00AD5B51">
              <w:t xml:space="preserve">omēr no 2016. gada 1. janvāra </w:t>
            </w:r>
            <w:r w:rsidR="00AD6F6C">
              <w:t xml:space="preserve">atbilstoši jaunajām Pamatnostādnēm </w:t>
            </w:r>
            <w:r w:rsidR="000618A5" w:rsidRPr="00AD5B51">
              <w:t xml:space="preserve">visam jaunajam atbalstam attiecībā uz elektroenerģijas ražošanas iekārtām </w:t>
            </w:r>
            <w:r w:rsidR="000618A5" w:rsidRPr="003C574F">
              <w:t>sākot no 500kW piemēro sekojošus kumulatīvos nosacījumus:</w:t>
            </w:r>
          </w:p>
          <w:p w14:paraId="3478D7F2" w14:textId="77777777" w:rsidR="000618A5" w:rsidRPr="00AD5B51" w:rsidRDefault="000618A5" w:rsidP="00104C67">
            <w:pPr>
              <w:ind w:left="132" w:right="93"/>
              <w:jc w:val="both"/>
            </w:pPr>
            <w:r w:rsidRPr="003C574F">
              <w:t>-</w:t>
            </w:r>
            <w:r w:rsidRPr="003C574F">
              <w:tab/>
              <w:t>atbalstu piešķir kā piemaksu papildu elektroenerģijas</w:t>
            </w:r>
            <w:r w:rsidRPr="00AD5B51">
              <w:t xml:space="preserve"> tirgus cenai un ražotāji pārdod elektroenerģiju tieši tirgū;</w:t>
            </w:r>
          </w:p>
          <w:p w14:paraId="1B013CA7" w14:textId="77777777" w:rsidR="000618A5" w:rsidRPr="00AD5B51" w:rsidRDefault="000618A5" w:rsidP="00104C67">
            <w:pPr>
              <w:ind w:left="132" w:right="93"/>
              <w:jc w:val="both"/>
            </w:pPr>
            <w:r w:rsidRPr="00AD5B51">
              <w:t>-</w:t>
            </w:r>
            <w:r w:rsidRPr="00AD5B51">
              <w:tab/>
              <w:t>uz atbalsta saņēmējiem attiecas balansēšanas pienākumi;</w:t>
            </w:r>
          </w:p>
          <w:p w14:paraId="19808F10" w14:textId="77777777" w:rsidR="000618A5" w:rsidRPr="00AD5B51" w:rsidRDefault="000618A5" w:rsidP="00104C67">
            <w:pPr>
              <w:ind w:left="132" w:right="93"/>
              <w:jc w:val="both"/>
            </w:pPr>
            <w:r w:rsidRPr="00AD5B51">
              <w:t>-</w:t>
            </w:r>
            <w:r w:rsidRPr="00AD5B51">
              <w:tab/>
              <w:t>tiek nodrošināts, ka ražotāji elektroenerģiju neražo par negatīvām cenām.</w:t>
            </w:r>
          </w:p>
          <w:p w14:paraId="73FD1BB8" w14:textId="34DFD29A" w:rsidR="000618A5" w:rsidRPr="00AD6F6C" w:rsidRDefault="000618A5" w:rsidP="00104C67">
            <w:pPr>
              <w:ind w:left="132" w:right="93"/>
              <w:jc w:val="both"/>
            </w:pPr>
            <w:r w:rsidRPr="00AD5B51">
              <w:t>Tāpa</w:t>
            </w:r>
            <w:r w:rsidR="00464212">
              <w:t>t no 2017. gada 1. </w:t>
            </w:r>
            <w:r w:rsidRPr="00AD5B51">
              <w:t xml:space="preserve">janvāra minēto atbalstu attiecībā uz vēja ģeneratoriem ar elektrisko jaudu virs 6 MW un pārējiem AER ar elektrisko jaudu no 1 MW būtu jāpiešķir konkurenci veicinošā konkursa procedūrā, izņemot gadījumus, kad būtu maz projektu, </w:t>
            </w:r>
            <w:r w:rsidRPr="00AD6F6C">
              <w:t>paaugstinātos atbalsta līmenis vai projektu realizācijas līmenis būtu zems, ko dalībvalstij būtu jāpierāda.</w:t>
            </w:r>
          </w:p>
          <w:p w14:paraId="501D69EA" w14:textId="77777777" w:rsidR="000618A5" w:rsidRPr="00AD6F6C" w:rsidRDefault="000618A5" w:rsidP="00104C67">
            <w:pPr>
              <w:ind w:left="132" w:right="93"/>
              <w:jc w:val="both"/>
            </w:pPr>
            <w:r w:rsidRPr="00AD6F6C">
              <w:t>Pamatnostādnes paredz</w:t>
            </w:r>
            <w:r w:rsidR="00AD6F6C" w:rsidRPr="00AD6F6C">
              <w:t xml:space="preserve"> iespēju</w:t>
            </w:r>
            <w:r w:rsidRPr="00AD6F6C">
              <w:t xml:space="preserve"> arī izveidot </w:t>
            </w:r>
            <w:r w:rsidR="00AD6F6C">
              <w:t>tā saukto “</w:t>
            </w:r>
            <w:r w:rsidRPr="00AD6F6C">
              <w:t>zaļo sertifikātu</w:t>
            </w:r>
            <w:r w:rsidR="00AD6F6C">
              <w:t>”</w:t>
            </w:r>
            <w:r w:rsidRPr="00AD6F6C">
              <w:t xml:space="preserve"> atbalsta mehānismu.</w:t>
            </w:r>
          </w:p>
          <w:p w14:paraId="13750A74" w14:textId="7B07FD43" w:rsidR="000618A5" w:rsidRPr="00AD5B51" w:rsidRDefault="000618A5" w:rsidP="00104C67">
            <w:pPr>
              <w:ind w:left="132" w:right="93"/>
              <w:jc w:val="both"/>
            </w:pPr>
            <w:r w:rsidRPr="00AD6F6C">
              <w:t>Ņemot vērā Pamatnostādnēs noteikto, ir secināms</w:t>
            </w:r>
            <w:r w:rsidRPr="00AD5B51">
              <w:t>, ka esošā valsts atbalsta mehānisma darbību, ku</w:t>
            </w:r>
            <w:r w:rsidR="005D3F9C">
              <w:t xml:space="preserve">ra ietvars izveidots ar </w:t>
            </w:r>
            <w:r w:rsidR="00FB4CBB">
              <w:t xml:space="preserve">ETL </w:t>
            </w:r>
            <w:r w:rsidR="005D3F9C">
              <w:t xml:space="preserve">un </w:t>
            </w:r>
            <w:r w:rsidRPr="00AD5B51">
              <w:t>MK noteik</w:t>
            </w:r>
            <w:r w:rsidR="005D3F9C">
              <w:t>umiem Nr.221, pēc 2016. gada 1. </w:t>
            </w:r>
            <w:r w:rsidRPr="00AD5B51">
              <w:t>janvāra, nebūs iespējams turpināt, līdz ar to komersantiem nevar būt izveidojusies tiesiskā paļāvība, ka esošā atbalsta shēma tiks turpināta un būs iespējams iegūt jaunas tiesības pārdot elektroenerģiju, kas ražota no AER vai augstas efektivitātes koģenerācijā, obligātā iepirkuma ietvaros</w:t>
            </w:r>
            <w:r w:rsidR="00464212">
              <w:t xml:space="preserve"> vai iegūt jaunas tiesības saņemt garantētu maksu par elektrostacijā uzstādīto jaudu.</w:t>
            </w:r>
            <w:r w:rsidRPr="00AD5B51">
              <w:t xml:space="preserve"> </w:t>
            </w:r>
          </w:p>
          <w:p w14:paraId="158A6B21" w14:textId="5A54019D" w:rsidR="003C574F" w:rsidRDefault="000618A5" w:rsidP="00104C67">
            <w:pPr>
              <w:ind w:left="132" w:right="93"/>
              <w:jc w:val="both"/>
            </w:pPr>
            <w:r w:rsidRPr="00AD5B51">
              <w:t xml:space="preserve">Ņemot vērā iepriekš minētos argumentus, Ekonomikas ministrija </w:t>
            </w:r>
            <w:r w:rsidR="00AD6F6C">
              <w:t>ir iniciējusi g</w:t>
            </w:r>
            <w:r w:rsidRPr="00AD5B51">
              <w:t>rozījum</w:t>
            </w:r>
            <w:r w:rsidR="00AD6F6C">
              <w:t>us</w:t>
            </w:r>
            <w:r w:rsidRPr="00AD5B51">
              <w:t xml:space="preserve"> </w:t>
            </w:r>
            <w:r w:rsidR="00661787">
              <w:t>ETL</w:t>
            </w:r>
            <w:r w:rsidRPr="00AD5B51">
              <w:t>,</w:t>
            </w:r>
            <w:r w:rsidR="00AD6F6C">
              <w:t xml:space="preserve"> kas Valsts sekretāru s</w:t>
            </w:r>
            <w:r w:rsidR="003C574F">
              <w:t>anāksmē izsludināti 2015. gada 6. augustā</w:t>
            </w:r>
            <w:r w:rsidR="00AD6F6C">
              <w:t xml:space="preserve"> (VSS-832), </w:t>
            </w:r>
            <w:r w:rsidRPr="00AD5B51">
              <w:lastRenderedPageBreak/>
              <w:t xml:space="preserve">paredzot attiecīgo </w:t>
            </w:r>
            <w:r w:rsidR="00661787">
              <w:t>ETL</w:t>
            </w:r>
            <w:r w:rsidR="00661787" w:rsidRPr="00AD5B51">
              <w:t xml:space="preserve"> </w:t>
            </w:r>
            <w:r w:rsidRPr="00AD5B51">
              <w:t>p</w:t>
            </w:r>
            <w:r w:rsidR="003C574F">
              <w:t>antu spēka izbeigšanos no 2016. </w:t>
            </w:r>
            <w:r w:rsidRPr="00AD5B51">
              <w:t xml:space="preserve">gada 1. </w:t>
            </w:r>
            <w:r w:rsidRPr="00464212">
              <w:t>janvāra.</w:t>
            </w:r>
            <w:r w:rsidR="00AD6F6C" w:rsidRPr="00464212">
              <w:t xml:space="preserve"> </w:t>
            </w:r>
            <w:r w:rsidR="00464212" w:rsidRPr="00464212">
              <w:t>Grozījumi ETL tika</w:t>
            </w:r>
            <w:r w:rsidR="00613CC4" w:rsidRPr="00464212">
              <w:t xml:space="preserve"> </w:t>
            </w:r>
            <w:r w:rsidR="00464212" w:rsidRPr="00464212">
              <w:t>atbalstīti</w:t>
            </w:r>
            <w:r w:rsidR="00613CC4" w:rsidRPr="00464212">
              <w:t xml:space="preserve"> Ministru kabineta 2015. gada 24. novembra sēdē (</w:t>
            </w:r>
            <w:r w:rsidR="00464212" w:rsidRPr="00464212">
              <w:t>prot. Nr.62 2.§</w:t>
            </w:r>
            <w:r w:rsidR="00613CC4" w:rsidRPr="00464212">
              <w:t>).</w:t>
            </w:r>
            <w:r w:rsidR="003C574F" w:rsidRPr="00464212">
              <w:t xml:space="preserve"> Grozījumi</w:t>
            </w:r>
            <w:r w:rsidR="003C574F">
              <w:t xml:space="preserve"> </w:t>
            </w:r>
            <w:r w:rsidR="00661787">
              <w:t xml:space="preserve">ETL </w:t>
            </w:r>
            <w:r w:rsidR="003C574F">
              <w:t xml:space="preserve">paredz papildināt </w:t>
            </w:r>
            <w:r w:rsidR="00661787">
              <w:t xml:space="preserve">ETL </w:t>
            </w:r>
            <w:r w:rsidR="003C574F">
              <w:t>pārejas note</w:t>
            </w:r>
            <w:r w:rsidR="007E1A89">
              <w:t xml:space="preserve">ikumus, paredzot, ka </w:t>
            </w:r>
            <w:r w:rsidR="00661787">
              <w:t xml:space="preserve">ETL </w:t>
            </w:r>
            <w:r w:rsidR="007E1A89">
              <w:t>28.</w:t>
            </w:r>
            <w:r w:rsidR="003C574F">
              <w:t>panta pirmā, 28.</w:t>
            </w:r>
            <w:r w:rsidR="003C574F" w:rsidRPr="003C574F">
              <w:rPr>
                <w:vertAlign w:val="superscript"/>
              </w:rPr>
              <w:t>1</w:t>
            </w:r>
            <w:r w:rsidR="007E1A89">
              <w:t xml:space="preserve"> panta pirmā daļa, 29.panta pirmā, 29.</w:t>
            </w:r>
            <w:r w:rsidR="003C574F">
              <w:t xml:space="preserve">panta otrā daļa un 31. pants zaudē spēku 2016. gada 1. janvārī. </w:t>
            </w:r>
            <w:r w:rsidR="00464212">
              <w:t xml:space="preserve"> L</w:t>
            </w:r>
            <w:r w:rsidR="00464212" w:rsidRPr="00464212">
              <w:t xml:space="preserve">īdz ar šo grozījumu spēkā stāšanos arī pēc 2016. gada 1. janvāra jauni ražotāji nevarēs kvalificēties elektroenerģijas pārdošanai obligātā iepirkuma ietvaros un tiesību iegūšanai saņemt garantētu maksu par uzstādīto elektrisko jaudu. Cita starpā </w:t>
            </w:r>
            <w:r w:rsidR="0092210F">
              <w:t>grozījums ETL</w:t>
            </w:r>
            <w:r w:rsidR="00464212" w:rsidRPr="00464212">
              <w:t xml:space="preserve"> ietver pantu, paredzot Ministru kabinetam līdz 2018. gada 1. janvārim noteikt jauna atbalsta mehānisma enerģijas ražošanas veicināšanai, izmantojot atjaunojamos energoresursus, atlases kritērijus, atbalsta apjomu, atbalsta ilgumu, atbalsta sniedzēja un saņēmēja pienākumus un atbildību.</w:t>
            </w:r>
          </w:p>
          <w:p w14:paraId="7A3C843C" w14:textId="77777777" w:rsidR="008F10CD" w:rsidRDefault="008F10CD" w:rsidP="00104C67">
            <w:pPr>
              <w:ind w:left="132" w:right="93"/>
              <w:jc w:val="both"/>
            </w:pPr>
          </w:p>
          <w:p w14:paraId="7EA9FB49" w14:textId="535132CA" w:rsidR="008F10CD" w:rsidRDefault="008F10CD" w:rsidP="00104C67">
            <w:pPr>
              <w:ind w:left="132" w:right="93"/>
              <w:jc w:val="both"/>
            </w:pPr>
            <w:r>
              <w:t>Satversmes tiesa ir secinājusi, ka likumdevēja dotais pilnvarojums ļāva Ministru kabinetam elektroenerģijas kopējās cenas nesamērīga pieauguma novēršanas labad uz noteiktu laiku apturēt tiesību piešķiršanu ražotājiem kvalificēties saražotās elektroenerģijas pārdošanai obligātā iepirkuma ietvaros. Tomēr tas nenozīmē, ka Ministru kabinets būtu pilnvarots neierobežoti pagarināt apstrīdētajā normā noteikto termiņu.</w:t>
            </w:r>
            <w:r>
              <w:rPr>
                <w:rStyle w:val="FootnoteReference"/>
              </w:rPr>
              <w:footnoteReference w:id="5"/>
            </w:r>
            <w:r w:rsidR="00464212">
              <w:t xml:space="preserve"> Tādēļ tiek paredzēts īstermiņa risinājums, pagarinot moratoriju līdz 2020.gadam, kas saskan ar Pamatnostādņu darbības laiku.</w:t>
            </w:r>
          </w:p>
          <w:p w14:paraId="0558DF00" w14:textId="77777777" w:rsidR="00E46280" w:rsidRPr="00BF0206" w:rsidRDefault="00E46280" w:rsidP="00104C67">
            <w:pPr>
              <w:ind w:left="132" w:right="93"/>
              <w:jc w:val="both"/>
            </w:pPr>
          </w:p>
          <w:p w14:paraId="390BB943" w14:textId="2305ECB0" w:rsidR="000618A5" w:rsidRPr="00BF0206" w:rsidRDefault="00AD6F6C" w:rsidP="00104C67">
            <w:pPr>
              <w:ind w:left="132" w:right="93"/>
              <w:jc w:val="both"/>
            </w:pPr>
            <w:r w:rsidRPr="00BF0206">
              <w:t xml:space="preserve">Tomēr, lai novērstu risku, ka </w:t>
            </w:r>
            <w:r w:rsidR="00661787" w:rsidRPr="00BF0206">
              <w:t xml:space="preserve">grozījumu ETL </w:t>
            </w:r>
            <w:r w:rsidRPr="00BF0206">
              <w:t xml:space="preserve">līdz 2016. gada 1. janvārim </w:t>
            </w:r>
            <w:r w:rsidR="00285473" w:rsidRPr="00BF0206">
              <w:t>spēkā</w:t>
            </w:r>
            <w:r w:rsidR="00661787" w:rsidRPr="00BF0206">
              <w:t xml:space="preserve"> nestāšanās gadījumā tiktu turpināt</w:t>
            </w:r>
            <w:r w:rsidR="00464212" w:rsidRPr="00BF0206">
              <w:t>s</w:t>
            </w:r>
            <w:r w:rsidR="00661787" w:rsidRPr="00BF0206">
              <w:t xml:space="preserve"> spēkā esošā atbalsta </w:t>
            </w:r>
            <w:r w:rsidR="00464212" w:rsidRPr="00BF0206">
              <w:t>mehānisms</w:t>
            </w:r>
            <w:r w:rsidRPr="00BF0206">
              <w:t>,</w:t>
            </w:r>
            <w:r w:rsidR="00661787" w:rsidRPr="00BF0206">
              <w:t xml:space="preserve"> kas atstātu arī būti</w:t>
            </w:r>
            <w:r w:rsidR="00464212" w:rsidRPr="00BF0206">
              <w:t xml:space="preserve">sku ietekmi uz tautsaimniecību </w:t>
            </w:r>
            <w:r w:rsidR="00BF1DC6" w:rsidRPr="00BF0206">
              <w:t xml:space="preserve">un </w:t>
            </w:r>
            <w:r w:rsidR="00941618" w:rsidRPr="00BF0206">
              <w:t>radītu tiesvedības risku pret valsti</w:t>
            </w:r>
            <w:r w:rsidR="00BF1DC6" w:rsidRPr="00BF0206">
              <w:t xml:space="preserve">, </w:t>
            </w:r>
            <w:r w:rsidR="008F10CD" w:rsidRPr="00BF0206">
              <w:t xml:space="preserve">elektroenerģijas kopējās cenas nesamērīga pieauguma novēršanai </w:t>
            </w:r>
            <w:r w:rsidRPr="00BF0206">
              <w:t xml:space="preserve">Ekonomikas ministrija </w:t>
            </w:r>
            <w:r w:rsidR="003C574F" w:rsidRPr="00BF0206">
              <w:t xml:space="preserve">ir </w:t>
            </w:r>
            <w:r w:rsidRPr="00BF0206">
              <w:t>izstrādāj</w:t>
            </w:r>
            <w:r w:rsidR="003C574F" w:rsidRPr="00BF0206">
              <w:t xml:space="preserve">usi noteikumu projektu, kā arī saistītos </w:t>
            </w:r>
            <w:r w:rsidRPr="00BF0206">
              <w:t>grozījumus MK noteikumos Nr.262</w:t>
            </w:r>
            <w:r w:rsidR="003B5686" w:rsidRPr="00BF0206">
              <w:t xml:space="preserve">. Noteikumu projekts </w:t>
            </w:r>
            <w:r w:rsidR="000667C1" w:rsidRPr="00BF0206">
              <w:t>paredz īslaicīgi</w:t>
            </w:r>
            <w:r w:rsidR="003B5686" w:rsidRPr="00BF0206">
              <w:t>,</w:t>
            </w:r>
            <w:r w:rsidR="000667C1" w:rsidRPr="00BF0206">
              <w:t xml:space="preserve"> līdz 2020.</w:t>
            </w:r>
            <w:r w:rsidR="00941618" w:rsidRPr="00BF0206">
              <w:t> </w:t>
            </w:r>
            <w:r w:rsidR="000667C1" w:rsidRPr="00BF0206">
              <w:t>gadam pagarināt termiņu, kad  elektroenerģijas ražotāji nevar saņemt jaunas tiesības pārdot elektroenerģiju obligātā iepirkuma ietvaros vai iegūt tiesības saņemt garantētu maksu par uzstādīto elektrisko jaudu</w:t>
            </w:r>
            <w:r w:rsidRPr="00BF0206">
              <w:t>.</w:t>
            </w:r>
            <w:r w:rsidR="003B5686" w:rsidRPr="00BF0206">
              <w:t xml:space="preserve"> Ekonomikas ministrija paskaidro, ka saskaņā ar</w:t>
            </w:r>
            <w:r w:rsidR="008849BC" w:rsidRPr="00BF0206">
              <w:t xml:space="preserve"> MK noteikumiem Nr.221 komersanti piešķirtās tiesības pārdot elektroenerģiju obligātā elektroenerģijas iepirkuma ietvaros vai saņemt garantētu maksu par elektrostacijā uzstādīto jaudu</w:t>
            </w:r>
            <w:r w:rsidR="00285473" w:rsidRPr="00BF0206">
              <w:t xml:space="preserve"> </w:t>
            </w:r>
            <w:r w:rsidR="008849BC" w:rsidRPr="00BF0206">
              <w:t>īstenos līdz 2032. </w:t>
            </w:r>
            <w:r w:rsidR="00285473" w:rsidRPr="00BF0206">
              <w:t xml:space="preserve">gadam. </w:t>
            </w:r>
            <w:r w:rsidR="003B5686" w:rsidRPr="00BF0206">
              <w:t xml:space="preserve">MK noteikumos Nr.221 nav noteikti konkrēti </w:t>
            </w:r>
            <w:r w:rsidR="003B5686" w:rsidRPr="00BF0206">
              <w:lastRenderedPageBreak/>
              <w:t>atbalsta īstenošanas datumi, ņemot vērā, ka katrs komersants elektrostaciju nodod ekspluatācijā un elektroenerģijas ražošanu uzsāk savā laikā</w:t>
            </w:r>
            <w:r w:rsidR="008849BC" w:rsidRPr="00BF0206">
              <w:t>, kā tas ir noteikts lēmumā, ar kuru komersantam tiesības piešķirtas</w:t>
            </w:r>
            <w:r w:rsidR="003B5686" w:rsidRPr="00BF0206">
              <w:t>.</w:t>
            </w:r>
            <w:r w:rsidR="00285473" w:rsidRPr="00BF0206">
              <w:t xml:space="preserve"> </w:t>
            </w:r>
            <w:r w:rsidR="008849BC" w:rsidRPr="00BF0206">
              <w:t>Saskaņā ar MK noteikumiem N</w:t>
            </w:r>
            <w:r w:rsidR="00285473" w:rsidRPr="00BF0206">
              <w:t>r.221 tiesību īstenošanas laiks ir 15 gadi no koģenerācijas elektrostacijas ekspluatācijā nodošanas dienas.</w:t>
            </w:r>
          </w:p>
          <w:p w14:paraId="50EBEC8C" w14:textId="0DB8C7A7" w:rsidR="000618A5" w:rsidRPr="00AD5B51" w:rsidRDefault="003C574F" w:rsidP="00104C67">
            <w:pPr>
              <w:ind w:left="132" w:right="93"/>
              <w:jc w:val="both"/>
            </w:pPr>
            <w:r w:rsidRPr="00BF0206">
              <w:t>Tāpat MK noteikumus</w:t>
            </w:r>
            <w:r w:rsidR="000618A5" w:rsidRPr="00BF0206">
              <w:t xml:space="preserve"> Nr.221 </w:t>
            </w:r>
            <w:r w:rsidRPr="00BF0206">
              <w:t>ir nepieciešams piemērot</w:t>
            </w:r>
            <w:r w:rsidR="000618A5" w:rsidRPr="00BF0206">
              <w:t xml:space="preserve"> līdz attiecīgajam brīdim, kad publiskais tirgotājs aprēķinās pēdējos obligātā iepirkuma un</w:t>
            </w:r>
            <w:r w:rsidR="000618A5" w:rsidRPr="00AD5B51">
              <w:t xml:space="preserve"> garantētās maksas ietvaros publiskajam tirgotājam radītos izdevumus</w:t>
            </w:r>
            <w:r>
              <w:t xml:space="preserve"> saskaņā ar minētajiem noteikumiem</w:t>
            </w:r>
            <w:r w:rsidR="00BF0206">
              <w:t>. Jāņem vērā, ka grozījum</w:t>
            </w:r>
            <w:r w:rsidR="0092210F">
              <w:t xml:space="preserve">u ETL aktuālā redakcija paredz </w:t>
            </w:r>
            <w:r w:rsidR="00BF0206">
              <w:t xml:space="preserve">MK noteikumus Nr.221 </w:t>
            </w:r>
            <w:r w:rsidR="00BF0206" w:rsidRPr="00BF0206">
              <w:t>piemērot līdz brīdim, kad spēku zaudē visas komersantiem piešķirtās tiesības pārdot koģenerācijā saražoto elektroenerģiju obligātā iepirkuma ietvaros vai tiesības saņemt maksu par koģenerācijas sta</w:t>
            </w:r>
            <w:r w:rsidR="00BF0206">
              <w:t>cijā uzstādīto elektrisko jaudu, neminot konkrētu gadu.</w:t>
            </w:r>
          </w:p>
          <w:p w14:paraId="4EA1CCEE" w14:textId="2C5BA5F0" w:rsidR="000618A5" w:rsidRPr="00BF0206" w:rsidRDefault="000618A5" w:rsidP="00104C67">
            <w:pPr>
              <w:ind w:left="132" w:right="93"/>
              <w:jc w:val="both"/>
              <w:rPr>
                <w:b/>
              </w:rPr>
            </w:pPr>
            <w:r w:rsidRPr="00BF0206">
              <w:rPr>
                <w:b/>
              </w:rPr>
              <w:t>Ņemot vērā</w:t>
            </w:r>
            <w:r w:rsidR="00613CC4" w:rsidRPr="00BF0206">
              <w:rPr>
                <w:b/>
              </w:rPr>
              <w:t xml:space="preserve"> minēto, tai skaitā Satversmes tiesas secināto,</w:t>
            </w:r>
            <w:r w:rsidRPr="00BF0206">
              <w:rPr>
                <w:b/>
              </w:rPr>
              <w:t xml:space="preserve"> </w:t>
            </w:r>
            <w:r w:rsidR="003C574F" w:rsidRPr="00BF0206">
              <w:rPr>
                <w:b/>
              </w:rPr>
              <w:t>noteikumu projekts</w:t>
            </w:r>
            <w:r w:rsidR="00613CC4" w:rsidRPr="00BF0206">
              <w:rPr>
                <w:b/>
              </w:rPr>
              <w:t xml:space="preserve"> izvēlēts kā īstermiņa risinājums, salīdzinot ar virzītajiem grozījumiem ETL, un</w:t>
            </w:r>
            <w:r w:rsidRPr="00BF0206">
              <w:rPr>
                <w:b/>
              </w:rPr>
              <w:t xml:space="preserve"> neparedz izmaiņas attiecībā uz tiem ražotājiem, kas </w:t>
            </w:r>
            <w:r w:rsidR="000347BE" w:rsidRPr="00BF0206">
              <w:rPr>
                <w:b/>
              </w:rPr>
              <w:t xml:space="preserve">jau </w:t>
            </w:r>
            <w:r w:rsidRPr="00BF0206">
              <w:rPr>
                <w:b/>
              </w:rPr>
              <w:t xml:space="preserve">saņēmuši tiesības pārdot elektroenerģiju obligātā iepirkuma ietvaros vai tiesības saņemt garantētu maksu par elektrostacijā uzstādīto jaudu, bet paredz tikai to, ka netiks piešķirtas jaunas tiesības jauniem ražotājiem, </w:t>
            </w:r>
            <w:r w:rsidR="00646ECB">
              <w:rPr>
                <w:b/>
              </w:rPr>
              <w:t>a</w:t>
            </w:r>
            <w:r w:rsidR="0018115A" w:rsidRPr="00BF0206">
              <w:rPr>
                <w:b/>
              </w:rPr>
              <w:t>r noteikumu projektu tiek</w:t>
            </w:r>
            <w:r w:rsidRPr="00BF0206">
              <w:rPr>
                <w:b/>
              </w:rPr>
              <w:t xml:space="preserve"> </w:t>
            </w:r>
            <w:r w:rsidR="0018115A" w:rsidRPr="00BF0206">
              <w:rPr>
                <w:b/>
              </w:rPr>
              <w:t xml:space="preserve">ievērota </w:t>
            </w:r>
            <w:r w:rsidRPr="00BF0206">
              <w:rPr>
                <w:b/>
              </w:rPr>
              <w:t xml:space="preserve">tiesiskās paļāvības un vienlīdzības </w:t>
            </w:r>
            <w:r w:rsidR="00811466" w:rsidRPr="00BF0206">
              <w:rPr>
                <w:b/>
              </w:rPr>
              <w:t xml:space="preserve">princips </w:t>
            </w:r>
            <w:r w:rsidRPr="00BF0206">
              <w:rPr>
                <w:b/>
              </w:rPr>
              <w:t>attiecībā uz šiem ražotājiem.</w:t>
            </w:r>
          </w:p>
          <w:p w14:paraId="303FB26F" w14:textId="77777777" w:rsidR="000618A5" w:rsidRDefault="000618A5" w:rsidP="00104C67">
            <w:pPr>
              <w:ind w:left="132" w:right="93"/>
              <w:jc w:val="both"/>
            </w:pPr>
            <w:r w:rsidRPr="00AD5B51">
              <w:t xml:space="preserve">Ekonomikas ministrija </w:t>
            </w:r>
            <w:r w:rsidR="003C574F">
              <w:t>tuvākajā laikā sagaida</w:t>
            </w:r>
            <w:r w:rsidRPr="00AD5B51">
              <w:t xml:space="preserve"> Eiropas Komisij</w:t>
            </w:r>
            <w:r w:rsidR="003C574F">
              <w:t xml:space="preserve">as lēmumu attiecībā uz esošā atbalsta mehānisma atbilstību </w:t>
            </w:r>
            <w:r w:rsidR="0078546C">
              <w:t>ES</w:t>
            </w:r>
            <w:r w:rsidR="003C574F">
              <w:t xml:space="preserve"> iekšējam tirgum. Provizoriski iespējams secināt, ka pēc Eiropas Komisijas lēmuma saņemšanas, </w:t>
            </w:r>
            <w:r w:rsidRPr="00AD5B51">
              <w:t>varētu rasties arī nepieciešamība pēc atsevišķu atbalsta formulu pārskatīšanas, ja tiktu konstatēts esošā</w:t>
            </w:r>
            <w:r w:rsidR="003C574F">
              <w:t xml:space="preserve"> atbalsta pārsubsidēšanas risks, vai nepieciešamība īstenot alternatīvus pasākumus.</w:t>
            </w:r>
          </w:p>
          <w:p w14:paraId="5642562C" w14:textId="3B2CD891" w:rsidR="00450E77" w:rsidRPr="00AD5B51" w:rsidRDefault="000618A5" w:rsidP="00BF0206">
            <w:pPr>
              <w:ind w:left="132" w:right="93"/>
              <w:jc w:val="both"/>
            </w:pPr>
            <w:r w:rsidRPr="00AD5B51">
              <w:t>Ekonomikas ministrija arī turpina darbu pie atbalsta mehānismu uzlabošanas, lai veicinātu Direktīvā 2009/28/EK noteikto AER mērķu sasniegšanu 2020.</w:t>
            </w:r>
            <w:r w:rsidR="007E1A89">
              <w:t> </w:t>
            </w:r>
            <w:r w:rsidR="00BF0206">
              <w:t xml:space="preserve">gadā, 2016.gadā plānojot izstrādāt </w:t>
            </w:r>
            <w:r w:rsidRPr="00AD5B51">
              <w:t>informatīv</w:t>
            </w:r>
            <w:r w:rsidR="00BF0206">
              <w:t xml:space="preserve">o </w:t>
            </w:r>
            <w:r w:rsidRPr="00AD5B51">
              <w:t>ziņojum</w:t>
            </w:r>
            <w:r w:rsidR="00BF0206">
              <w:t>u ar priekšlikumiem</w:t>
            </w:r>
            <w:r w:rsidRPr="00AD5B51">
              <w:t xml:space="preserve"> turpmākai rīcībai, kas sekmēs atjaunojamās enerģijas plašāku izmantošanu, piemēram, elektroenerģijas neto uzskaites sistēmas pilnveidošana, izcelsmes apliecinājumu regulējuma pilnveidošana, statistiskā </w:t>
            </w:r>
            <w:proofErr w:type="spellStart"/>
            <w:r w:rsidRPr="00AD5B51">
              <w:t>pārnese</w:t>
            </w:r>
            <w:proofErr w:type="spellEnd"/>
            <w:r w:rsidR="002562B8">
              <w:t xml:space="preserve"> starp ES dalībvalstīm</w:t>
            </w:r>
            <w:r w:rsidRPr="00AD5B51">
              <w:t>.</w:t>
            </w:r>
          </w:p>
        </w:tc>
      </w:tr>
      <w:tr w:rsidR="001C1A2E" w:rsidRPr="00A92F58" w14:paraId="0AE5C7EE" w14:textId="77777777" w:rsidTr="000E2245">
        <w:trPr>
          <w:trHeight w:val="132"/>
        </w:trPr>
        <w:tc>
          <w:tcPr>
            <w:tcW w:w="269" w:type="dxa"/>
          </w:tcPr>
          <w:p w14:paraId="33FD27A6"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lastRenderedPageBreak/>
              <w:t>3.</w:t>
            </w:r>
          </w:p>
        </w:tc>
        <w:tc>
          <w:tcPr>
            <w:tcW w:w="3138" w:type="dxa"/>
          </w:tcPr>
          <w:p w14:paraId="11E6E526" w14:textId="77777777" w:rsidR="001C1A2E" w:rsidRPr="00A92F58" w:rsidRDefault="001C1A2E" w:rsidP="008667DC">
            <w:pPr>
              <w:jc w:val="both"/>
              <w:rPr>
                <w:color w:val="000000" w:themeColor="text1"/>
              </w:rPr>
            </w:pPr>
            <w:r w:rsidRPr="00A92F58">
              <w:rPr>
                <w:color w:val="000000" w:themeColor="text1"/>
              </w:rPr>
              <w:t>Projekta izstrādē iesaistītās institūcijas</w:t>
            </w:r>
          </w:p>
        </w:tc>
        <w:tc>
          <w:tcPr>
            <w:tcW w:w="6037" w:type="dxa"/>
          </w:tcPr>
          <w:p w14:paraId="61F18E1D" w14:textId="77777777" w:rsidR="001C1A2E" w:rsidRPr="00A92F58" w:rsidRDefault="00903F26" w:rsidP="008667DC">
            <w:pPr>
              <w:jc w:val="both"/>
              <w:rPr>
                <w:color w:val="000000" w:themeColor="text1"/>
              </w:rPr>
            </w:pPr>
            <w:r>
              <w:t>Nav attiecināms.</w:t>
            </w:r>
          </w:p>
        </w:tc>
      </w:tr>
      <w:tr w:rsidR="001C1A2E" w:rsidRPr="00A92F58" w14:paraId="0DC678DD" w14:textId="77777777" w:rsidTr="000E2245">
        <w:tc>
          <w:tcPr>
            <w:tcW w:w="269" w:type="dxa"/>
          </w:tcPr>
          <w:p w14:paraId="2C339D53"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4.</w:t>
            </w:r>
          </w:p>
        </w:tc>
        <w:tc>
          <w:tcPr>
            <w:tcW w:w="3138" w:type="dxa"/>
          </w:tcPr>
          <w:p w14:paraId="532744E7" w14:textId="77777777" w:rsidR="001C1A2E" w:rsidRPr="00A92F58" w:rsidRDefault="001C1A2E" w:rsidP="008667DC">
            <w:pPr>
              <w:pStyle w:val="naiskr"/>
              <w:spacing w:before="0" w:beforeAutospacing="0" w:after="0" w:afterAutospacing="0"/>
              <w:rPr>
                <w:color w:val="000000" w:themeColor="text1"/>
              </w:rPr>
            </w:pPr>
            <w:r w:rsidRPr="00A92F58">
              <w:rPr>
                <w:color w:val="000000" w:themeColor="text1"/>
              </w:rPr>
              <w:t>Cita informācija</w:t>
            </w:r>
          </w:p>
        </w:tc>
        <w:tc>
          <w:tcPr>
            <w:tcW w:w="6037" w:type="dxa"/>
          </w:tcPr>
          <w:p w14:paraId="248B4443" w14:textId="77777777" w:rsidR="001C1A2E" w:rsidRPr="00A92F58" w:rsidRDefault="007C1F2A" w:rsidP="008667DC">
            <w:pPr>
              <w:pStyle w:val="naiskr"/>
              <w:spacing w:before="0" w:beforeAutospacing="0" w:after="0" w:afterAutospacing="0"/>
              <w:jc w:val="both"/>
              <w:rPr>
                <w:color w:val="000000" w:themeColor="text1"/>
              </w:rPr>
            </w:pPr>
            <w:r>
              <w:t>Nav attiecināms.</w:t>
            </w:r>
          </w:p>
        </w:tc>
      </w:tr>
    </w:tbl>
    <w:p w14:paraId="12176472" w14:textId="77777777" w:rsidR="001C1A2E"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94759F" w:rsidRPr="00A92F58" w14:paraId="75412FBD" w14:textId="77777777" w:rsidTr="0094759F">
        <w:tc>
          <w:tcPr>
            <w:tcW w:w="9442" w:type="dxa"/>
            <w:gridSpan w:val="2"/>
            <w:vAlign w:val="center"/>
          </w:tcPr>
          <w:p w14:paraId="267518B2" w14:textId="77777777" w:rsidR="0094759F" w:rsidRPr="0094759F" w:rsidRDefault="0094759F" w:rsidP="008667DC">
            <w:pPr>
              <w:pStyle w:val="naisnod"/>
              <w:spacing w:before="0" w:beforeAutospacing="0" w:after="0" w:afterAutospacing="0"/>
              <w:jc w:val="center"/>
              <w:rPr>
                <w:b/>
                <w:color w:val="000000" w:themeColor="text1"/>
              </w:rPr>
            </w:pPr>
            <w:r w:rsidRPr="0094759F">
              <w:rPr>
                <w:b/>
                <w:color w:val="000000" w:themeColor="text1"/>
              </w:rPr>
              <w:lastRenderedPageBreak/>
              <w:t xml:space="preserve">II. </w:t>
            </w:r>
            <w:r w:rsidRPr="00C15E77">
              <w:rPr>
                <w:b/>
                <w:color w:val="000000" w:themeColor="text1"/>
              </w:rPr>
              <w:t xml:space="preserve"> </w:t>
            </w:r>
            <w:r w:rsidRPr="0094759F">
              <w:rPr>
                <w:b/>
                <w:color w:val="000000" w:themeColor="text1"/>
              </w:rPr>
              <w:t>Tiesību akta projekta ietekme uz sabiedrību, tautsaimniecības attīstību un administratīvo slogu</w:t>
            </w:r>
          </w:p>
        </w:tc>
      </w:tr>
      <w:tr w:rsidR="0094759F" w:rsidRPr="00A92F58" w14:paraId="1FE4640C" w14:textId="77777777" w:rsidTr="0094759F">
        <w:trPr>
          <w:trHeight w:val="281"/>
        </w:trPr>
        <w:tc>
          <w:tcPr>
            <w:tcW w:w="3547" w:type="dxa"/>
          </w:tcPr>
          <w:p w14:paraId="60D16603" w14:textId="77777777" w:rsidR="0094759F" w:rsidRPr="00A92F58" w:rsidRDefault="0094759F" w:rsidP="00BF0206">
            <w:pPr>
              <w:pStyle w:val="naiskr"/>
              <w:spacing w:before="0" w:beforeAutospacing="0" w:after="0" w:afterAutospacing="0"/>
              <w:ind w:right="150" w:hanging="10"/>
              <w:jc w:val="both"/>
              <w:rPr>
                <w:color w:val="000000" w:themeColor="text1"/>
              </w:rPr>
            </w:pPr>
            <w:r w:rsidRPr="00A92F58">
              <w:rPr>
                <w:color w:val="000000" w:themeColor="text1"/>
              </w:rPr>
              <w:t xml:space="preserve">Sabiedrības </w:t>
            </w:r>
            <w:proofErr w:type="spellStart"/>
            <w:r w:rsidRPr="00A92F58">
              <w:rPr>
                <w:color w:val="000000" w:themeColor="text1"/>
              </w:rPr>
              <w:t>mērķgrupas</w:t>
            </w:r>
            <w:proofErr w:type="spellEnd"/>
            <w:r w:rsidRPr="00A92F58">
              <w:rPr>
                <w:color w:val="000000" w:themeColor="text1"/>
              </w:rPr>
              <w:t>, kuras tiesiskais regulējums ietekmē vai varētu ietekmēt</w:t>
            </w:r>
          </w:p>
        </w:tc>
        <w:tc>
          <w:tcPr>
            <w:tcW w:w="5895" w:type="dxa"/>
          </w:tcPr>
          <w:p w14:paraId="5C4360C6" w14:textId="78AE874A" w:rsidR="00DB1DA9" w:rsidRPr="00EB2194" w:rsidRDefault="0060359C" w:rsidP="00BF0206">
            <w:pPr>
              <w:pStyle w:val="Default"/>
              <w:ind w:left="134" w:right="91"/>
              <w:jc w:val="both"/>
              <w:rPr>
                <w:rFonts w:ascii="Times New Roman" w:hAnsi="Times New Roman" w:cs="Times New Roman"/>
                <w:bCs/>
                <w:color w:val="000000" w:themeColor="text1"/>
              </w:rPr>
            </w:pPr>
            <w:r w:rsidRPr="00EB2194">
              <w:rPr>
                <w:rFonts w:ascii="Times New Roman" w:hAnsi="Times New Roman"/>
                <w:color w:val="000000" w:themeColor="text1"/>
              </w:rPr>
              <w:t xml:space="preserve">Ražotāji, kas </w:t>
            </w:r>
            <w:r w:rsidR="00ED03F5">
              <w:rPr>
                <w:rFonts w:ascii="Times New Roman" w:hAnsi="Times New Roman"/>
                <w:color w:val="000000" w:themeColor="text1"/>
              </w:rPr>
              <w:t xml:space="preserve">nākotnē vēlētos iegūt </w:t>
            </w:r>
            <w:r w:rsidRPr="00EB2194">
              <w:rPr>
                <w:rFonts w:ascii="Times New Roman" w:hAnsi="Times New Roman"/>
                <w:color w:val="000000" w:themeColor="text1"/>
              </w:rPr>
              <w:t xml:space="preserve">tiesības pārdot saražoto elektroenerģiju obligātā iepirkuma ietvaros </w:t>
            </w:r>
            <w:r w:rsidRPr="00EB2194">
              <w:rPr>
                <w:rFonts w:ascii="Times New Roman" w:hAnsi="Times New Roman" w:cs="Times New Roman"/>
                <w:color w:val="000000" w:themeColor="text1"/>
              </w:rPr>
              <w:t>vai saņemt garantēto maksu par stacijā uzstādīto elektrisko jaudu.</w:t>
            </w:r>
          </w:p>
        </w:tc>
      </w:tr>
      <w:tr w:rsidR="0094759F" w:rsidRPr="00A92F58" w14:paraId="36A8EBC9" w14:textId="77777777" w:rsidTr="008667DC">
        <w:trPr>
          <w:trHeight w:val="280"/>
        </w:trPr>
        <w:tc>
          <w:tcPr>
            <w:tcW w:w="3547" w:type="dxa"/>
          </w:tcPr>
          <w:p w14:paraId="17DEEB37" w14:textId="77777777" w:rsidR="0094759F" w:rsidRPr="00A92F58" w:rsidRDefault="0094759F" w:rsidP="00BF0206">
            <w:pPr>
              <w:ind w:right="150"/>
              <w:jc w:val="both"/>
              <w:rPr>
                <w:color w:val="000000" w:themeColor="text1"/>
              </w:rPr>
            </w:pPr>
            <w:r w:rsidRPr="00A92F58">
              <w:rPr>
                <w:color w:val="000000" w:themeColor="text1"/>
              </w:rPr>
              <w:t>Tiesiskā regulējuma ietekme uz tautsaimniecību un administratīvo slogu</w:t>
            </w:r>
          </w:p>
        </w:tc>
        <w:tc>
          <w:tcPr>
            <w:tcW w:w="5895" w:type="dxa"/>
          </w:tcPr>
          <w:p w14:paraId="5DF26210" w14:textId="77777777" w:rsidR="008667DC" w:rsidRPr="00EB2194" w:rsidRDefault="008667DC" w:rsidP="00BF0206">
            <w:pPr>
              <w:ind w:left="134" w:right="91"/>
              <w:jc w:val="both"/>
              <w:rPr>
                <w:color w:val="000000" w:themeColor="text1"/>
              </w:rPr>
            </w:pPr>
            <w:r w:rsidRPr="00EB2194">
              <w:rPr>
                <w:color w:val="000000" w:themeColor="text1"/>
              </w:rPr>
              <w:t>Ar noteikumu projektu netiek veidotas jaunas prasības, kas attiecas uz komersantiem</w:t>
            </w:r>
            <w:r w:rsidR="00FE0727">
              <w:rPr>
                <w:color w:val="000000" w:themeColor="text1"/>
              </w:rPr>
              <w:t xml:space="preserve"> vai radītu ietekmi uz tautsaimniecību</w:t>
            </w:r>
            <w:r w:rsidRPr="00EB2194">
              <w:rPr>
                <w:color w:val="000000" w:themeColor="text1"/>
              </w:rPr>
              <w:t>.</w:t>
            </w:r>
          </w:p>
        </w:tc>
      </w:tr>
      <w:tr w:rsidR="0094759F" w:rsidRPr="00A92F58" w14:paraId="284CC4EF" w14:textId="77777777" w:rsidTr="0094759F">
        <w:trPr>
          <w:trHeight w:val="481"/>
        </w:trPr>
        <w:tc>
          <w:tcPr>
            <w:tcW w:w="3547" w:type="dxa"/>
          </w:tcPr>
          <w:p w14:paraId="096A4E0C" w14:textId="77777777" w:rsidR="0094759F" w:rsidRPr="00A92F58" w:rsidRDefault="0094759F" w:rsidP="00BF0206">
            <w:pPr>
              <w:ind w:right="150"/>
              <w:jc w:val="both"/>
              <w:rPr>
                <w:color w:val="000000" w:themeColor="text1"/>
              </w:rPr>
            </w:pPr>
            <w:r w:rsidRPr="00A92F58">
              <w:rPr>
                <w:color w:val="000000" w:themeColor="text1"/>
              </w:rPr>
              <w:t>Administratīvo izmaksu monetārs novērtējums</w:t>
            </w:r>
          </w:p>
        </w:tc>
        <w:tc>
          <w:tcPr>
            <w:tcW w:w="5895" w:type="dxa"/>
          </w:tcPr>
          <w:p w14:paraId="4E40D589" w14:textId="77777777" w:rsidR="0094759F" w:rsidRPr="00A92F58" w:rsidRDefault="0094759F" w:rsidP="00BF0206">
            <w:pPr>
              <w:ind w:left="134" w:right="91"/>
              <w:rPr>
                <w:color w:val="000000" w:themeColor="text1"/>
              </w:rPr>
            </w:pPr>
            <w:r w:rsidRPr="00A92F58">
              <w:rPr>
                <w:color w:val="000000" w:themeColor="text1"/>
              </w:rPr>
              <w:t>Projekts šo jomu neskar.</w:t>
            </w:r>
          </w:p>
        </w:tc>
      </w:tr>
      <w:tr w:rsidR="0094759F" w:rsidRPr="00A92F58" w14:paraId="34889EEF" w14:textId="77777777" w:rsidTr="0094759F">
        <w:trPr>
          <w:trHeight w:val="274"/>
        </w:trPr>
        <w:tc>
          <w:tcPr>
            <w:tcW w:w="3547" w:type="dxa"/>
          </w:tcPr>
          <w:p w14:paraId="242BC856" w14:textId="77777777" w:rsidR="0094759F" w:rsidRPr="00A92F58" w:rsidRDefault="0094759F" w:rsidP="00BF0206">
            <w:pPr>
              <w:ind w:right="150"/>
              <w:jc w:val="both"/>
              <w:rPr>
                <w:color w:val="000000" w:themeColor="text1"/>
              </w:rPr>
            </w:pPr>
            <w:r w:rsidRPr="00A92F58">
              <w:rPr>
                <w:color w:val="000000" w:themeColor="text1"/>
              </w:rPr>
              <w:t>Cita informācija</w:t>
            </w:r>
          </w:p>
        </w:tc>
        <w:tc>
          <w:tcPr>
            <w:tcW w:w="5895" w:type="dxa"/>
          </w:tcPr>
          <w:p w14:paraId="3EB157F8" w14:textId="77777777" w:rsidR="0094759F" w:rsidRPr="00A92F58" w:rsidRDefault="002B44AF" w:rsidP="00BF0206">
            <w:pPr>
              <w:ind w:left="134" w:right="91"/>
              <w:jc w:val="both"/>
              <w:rPr>
                <w:color w:val="000000" w:themeColor="text1"/>
              </w:rPr>
            </w:pPr>
            <w:r w:rsidRPr="00A92F58">
              <w:rPr>
                <w:color w:val="000000" w:themeColor="text1"/>
              </w:rPr>
              <w:t>Projekts šo jomu neskar.</w:t>
            </w:r>
          </w:p>
        </w:tc>
      </w:tr>
    </w:tbl>
    <w:p w14:paraId="7846087E" w14:textId="77777777" w:rsidR="00EC14D6" w:rsidRDefault="00EC14D6" w:rsidP="008667DC">
      <w:pPr>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22321E" w:rsidRPr="0022321E" w14:paraId="654953B5" w14:textId="77777777" w:rsidTr="0043297F">
        <w:tc>
          <w:tcPr>
            <w:tcW w:w="9442" w:type="dxa"/>
            <w:gridSpan w:val="2"/>
            <w:vAlign w:val="center"/>
          </w:tcPr>
          <w:p w14:paraId="7B8981E6" w14:textId="7F573293" w:rsidR="0022321E" w:rsidRPr="0022321E" w:rsidRDefault="00F82EE3" w:rsidP="0022321E">
            <w:pPr>
              <w:jc w:val="center"/>
              <w:rPr>
                <w:b/>
                <w:color w:val="000000" w:themeColor="text1"/>
              </w:rPr>
            </w:pPr>
            <w:r w:rsidRPr="00F82EE3">
              <w:rPr>
                <w:b/>
                <w:color w:val="000000" w:themeColor="text1"/>
              </w:rPr>
              <w:t>IV. Tiesību akta projekta ietekme uz spēkā esošo tiesību normu sistēmu</w:t>
            </w:r>
          </w:p>
        </w:tc>
      </w:tr>
      <w:tr w:rsidR="00F82EE3" w:rsidRPr="0022321E" w14:paraId="4ED37A71" w14:textId="77777777" w:rsidTr="00247B6D">
        <w:trPr>
          <w:trHeight w:val="281"/>
        </w:trPr>
        <w:tc>
          <w:tcPr>
            <w:tcW w:w="3547" w:type="dxa"/>
            <w:tcBorders>
              <w:top w:val="outset" w:sz="6" w:space="0" w:color="414142"/>
              <w:left w:val="outset" w:sz="6" w:space="0" w:color="414142"/>
              <w:bottom w:val="outset" w:sz="6" w:space="0" w:color="414142"/>
              <w:right w:val="outset" w:sz="6" w:space="0" w:color="414142"/>
            </w:tcBorders>
          </w:tcPr>
          <w:p w14:paraId="491D2A09" w14:textId="0BBB2B81" w:rsidR="00F82EE3" w:rsidRPr="0022321E" w:rsidRDefault="00F82EE3" w:rsidP="00F82EE3">
            <w:pPr>
              <w:rPr>
                <w:color w:val="000000" w:themeColor="text1"/>
              </w:rPr>
            </w:pPr>
            <w:r w:rsidRPr="00ED016A">
              <w:t>Nepieciešamie saistītie tiesību aktu projekti</w:t>
            </w:r>
          </w:p>
        </w:tc>
        <w:tc>
          <w:tcPr>
            <w:tcW w:w="5895" w:type="dxa"/>
            <w:tcBorders>
              <w:top w:val="outset" w:sz="6" w:space="0" w:color="414142"/>
              <w:left w:val="outset" w:sz="6" w:space="0" w:color="414142"/>
              <w:bottom w:val="outset" w:sz="6" w:space="0" w:color="414142"/>
              <w:right w:val="outset" w:sz="6" w:space="0" w:color="414142"/>
            </w:tcBorders>
          </w:tcPr>
          <w:p w14:paraId="7EE26898" w14:textId="636B185F" w:rsidR="00F82EE3" w:rsidRPr="00EF1296" w:rsidRDefault="00F82EE3" w:rsidP="0092210F">
            <w:pPr>
              <w:ind w:left="134" w:right="91"/>
              <w:jc w:val="both"/>
            </w:pPr>
            <w:r>
              <w:t>Noteikumu projekts tiek virzīts kā paralēls risinājums</w:t>
            </w:r>
            <w:r w:rsidR="00104C67">
              <w:t xml:space="preserve"> 2015. gada </w:t>
            </w:r>
            <w:r w:rsidR="00104C67" w:rsidRPr="00104C67">
              <w:t xml:space="preserve">6. augustā </w:t>
            </w:r>
            <w:r w:rsidR="00104C67">
              <w:t xml:space="preserve">izsludinātajiem </w:t>
            </w:r>
            <w:r>
              <w:t xml:space="preserve"> grozījumiem ETL</w:t>
            </w:r>
            <w:r w:rsidR="00EF6D34">
              <w:t xml:space="preserve"> </w:t>
            </w:r>
            <w:r w:rsidR="00EF6D34" w:rsidRPr="00EF6D34">
              <w:t>(prot. Nr.30 3.§, VSS-832)</w:t>
            </w:r>
            <w:r>
              <w:t xml:space="preserve">, nepārtraucot </w:t>
            </w:r>
            <w:r w:rsidR="00104C67">
              <w:t xml:space="preserve">grozījumu </w:t>
            </w:r>
            <w:r>
              <w:t>ETL virzību. Vienlaikus grozījumi ETL (</w:t>
            </w:r>
            <w:r w:rsidRPr="003839DA">
              <w:t>VSS-832</w:t>
            </w:r>
            <w:r>
              <w:t xml:space="preserve">, TA-2480) </w:t>
            </w:r>
            <w:r w:rsidR="00BF0206">
              <w:t>atbalstīti</w:t>
            </w:r>
            <w:r>
              <w:t xml:space="preserve"> 2015.</w:t>
            </w:r>
            <w:r w:rsidR="00104C67">
              <w:t> </w:t>
            </w:r>
            <w:r>
              <w:t>gada 24.</w:t>
            </w:r>
            <w:r w:rsidR="00104C67">
              <w:t> </w:t>
            </w:r>
            <w:r>
              <w:t>novembra Minist</w:t>
            </w:r>
            <w:r w:rsidR="00BF0206">
              <w:t>ru kabineta sēdē (prot. Nr.62 2.§)</w:t>
            </w:r>
            <w:r w:rsidR="00104C67">
              <w:t>.</w:t>
            </w:r>
            <w:r w:rsidR="00F554BE">
              <w:t xml:space="preserve"> </w:t>
            </w:r>
            <w:r w:rsidR="00F554BE" w:rsidRPr="00F554BE">
              <w:t xml:space="preserve">Grozījumi </w:t>
            </w:r>
            <w:r w:rsidR="00F554BE">
              <w:t xml:space="preserve">ETL </w:t>
            </w:r>
            <w:r w:rsidR="00F554BE" w:rsidRPr="00F554BE">
              <w:t>ir spēkā esošā atbalsta mehānisma ilgtermiņa risinājums</w:t>
            </w:r>
            <w:r w:rsidR="00F554BE">
              <w:t xml:space="preserve">, ņemot vērā </w:t>
            </w:r>
            <w:r w:rsidR="00F554BE" w:rsidRPr="00F554BE">
              <w:t>Satversmes tiesas 2015.gada 14.oktobra sprieduma lietā Nr.2015-05-03 „Par Ministru kabineta 2010. gada 16. marta noteikumu Nr. 262 „Noteikumi par elektroenerģijas ražošanu, izmantojot atjaunojamos energoresursus, un cenu noteikšanas kārtību” 100. punkta atbilstību Latvijas Republikas Satversmes 64. pantam” (23.lpp. Spriedums aplūkojams: (http://www.satv.tiesa.gov.lv/upload/spriedums_2015-05-03.pdf) secināto</w:t>
            </w:r>
            <w:r w:rsidR="00F554BE">
              <w:t xml:space="preserve">, ka  </w:t>
            </w:r>
            <w:r w:rsidR="00F554BE" w:rsidRPr="00F554BE">
              <w:t>likumdevēja dotais pilnvarojums ļāva Ministru kabinetam, p</w:t>
            </w:r>
            <w:r w:rsidR="00BF0206">
              <w:t xml:space="preserve">ieņemot </w:t>
            </w:r>
            <w:r w:rsidR="0092210F">
              <w:t>MK</w:t>
            </w:r>
            <w:r w:rsidR="00BF0206">
              <w:t xml:space="preserve"> noteikumu Nr.</w:t>
            </w:r>
            <w:r w:rsidR="00F554BE" w:rsidRPr="00F554BE">
              <w:t xml:space="preserve">262 </w:t>
            </w:r>
            <w:r w:rsidR="00BF0206">
              <w:t>100. punktu</w:t>
            </w:r>
            <w:r w:rsidR="00F554BE" w:rsidRPr="00F554BE">
              <w:t>, elektroenerģijas kopējās cenas nesamērīga pieauguma novēršanas labad uz noteiktu laiku apturēt tiesību piešķiršanu ražotājiem kvalificēties saražotās elektroenerģijas pārdošanai obligātā iepirkuma ietvaros, kas tomēr nenozīmē, ka Ministru kabinets būtu pilnvarots neierobežoti pagarināt apst</w:t>
            </w:r>
            <w:r w:rsidR="00F554BE">
              <w:t>rīdētajā normā noteikto termiņu</w:t>
            </w:r>
            <w:r w:rsidR="00F554BE" w:rsidRPr="00F554BE">
              <w:t>.</w:t>
            </w:r>
          </w:p>
        </w:tc>
      </w:tr>
      <w:tr w:rsidR="00F82EE3" w:rsidRPr="0022321E" w14:paraId="412E19D3" w14:textId="77777777" w:rsidTr="00247B6D">
        <w:trPr>
          <w:trHeight w:val="280"/>
        </w:trPr>
        <w:tc>
          <w:tcPr>
            <w:tcW w:w="3547" w:type="dxa"/>
            <w:tcBorders>
              <w:top w:val="outset" w:sz="6" w:space="0" w:color="414142"/>
              <w:left w:val="outset" w:sz="6" w:space="0" w:color="414142"/>
              <w:bottom w:val="outset" w:sz="6" w:space="0" w:color="414142"/>
              <w:right w:val="outset" w:sz="6" w:space="0" w:color="414142"/>
            </w:tcBorders>
          </w:tcPr>
          <w:p w14:paraId="220D1832" w14:textId="3910B9F1" w:rsidR="00F82EE3" w:rsidRPr="0022321E" w:rsidRDefault="00F82EE3" w:rsidP="00F82EE3">
            <w:pPr>
              <w:rPr>
                <w:color w:val="000000" w:themeColor="text1"/>
              </w:rPr>
            </w:pPr>
            <w:r w:rsidRPr="00ED016A">
              <w:t>Atbildīgā institūcija</w:t>
            </w:r>
          </w:p>
        </w:tc>
        <w:tc>
          <w:tcPr>
            <w:tcW w:w="5895" w:type="dxa"/>
            <w:tcBorders>
              <w:top w:val="outset" w:sz="6" w:space="0" w:color="414142"/>
              <w:left w:val="outset" w:sz="6" w:space="0" w:color="414142"/>
              <w:bottom w:val="outset" w:sz="6" w:space="0" w:color="414142"/>
              <w:right w:val="outset" w:sz="6" w:space="0" w:color="414142"/>
            </w:tcBorders>
          </w:tcPr>
          <w:p w14:paraId="6B65F327" w14:textId="6C3D8168" w:rsidR="00F82EE3" w:rsidRPr="0022321E" w:rsidRDefault="00F82EE3" w:rsidP="00104C67">
            <w:pPr>
              <w:ind w:left="134" w:right="91"/>
              <w:rPr>
                <w:color w:val="000000" w:themeColor="text1"/>
              </w:rPr>
            </w:pPr>
            <w:r w:rsidRPr="00ED016A">
              <w:t xml:space="preserve">Ekonomikas ministrija </w:t>
            </w:r>
          </w:p>
        </w:tc>
      </w:tr>
      <w:tr w:rsidR="00F82EE3" w:rsidRPr="0022321E" w14:paraId="6E1A4B57" w14:textId="77777777" w:rsidTr="00247B6D">
        <w:trPr>
          <w:trHeight w:val="481"/>
        </w:trPr>
        <w:tc>
          <w:tcPr>
            <w:tcW w:w="3547" w:type="dxa"/>
            <w:tcBorders>
              <w:top w:val="outset" w:sz="6" w:space="0" w:color="414142"/>
              <w:left w:val="outset" w:sz="6" w:space="0" w:color="414142"/>
              <w:bottom w:val="outset" w:sz="6" w:space="0" w:color="414142"/>
              <w:right w:val="outset" w:sz="6" w:space="0" w:color="414142"/>
            </w:tcBorders>
          </w:tcPr>
          <w:p w14:paraId="20A19AD5" w14:textId="52F584DA" w:rsidR="00F82EE3" w:rsidRPr="0022321E" w:rsidRDefault="00F82EE3" w:rsidP="00F82EE3">
            <w:pPr>
              <w:rPr>
                <w:color w:val="000000" w:themeColor="text1"/>
              </w:rPr>
            </w:pPr>
            <w:r w:rsidRPr="00ED016A">
              <w:t>Cita informācija</w:t>
            </w:r>
          </w:p>
        </w:tc>
        <w:tc>
          <w:tcPr>
            <w:tcW w:w="5895" w:type="dxa"/>
            <w:tcBorders>
              <w:top w:val="outset" w:sz="6" w:space="0" w:color="414142"/>
              <w:left w:val="outset" w:sz="6" w:space="0" w:color="414142"/>
              <w:bottom w:val="outset" w:sz="6" w:space="0" w:color="414142"/>
              <w:right w:val="outset" w:sz="6" w:space="0" w:color="414142"/>
            </w:tcBorders>
          </w:tcPr>
          <w:p w14:paraId="72BD956C" w14:textId="1EFB2F85" w:rsidR="00F82EE3" w:rsidRPr="0022321E" w:rsidRDefault="00F82EE3" w:rsidP="00104C67">
            <w:pPr>
              <w:ind w:left="134" w:right="91"/>
              <w:rPr>
                <w:color w:val="000000" w:themeColor="text1"/>
              </w:rPr>
            </w:pPr>
            <w:r w:rsidRPr="00ED016A">
              <w:t>Nav</w:t>
            </w:r>
          </w:p>
        </w:tc>
      </w:tr>
    </w:tbl>
    <w:p w14:paraId="2B29C730" w14:textId="77777777" w:rsidR="0022321E" w:rsidRPr="00A92F58" w:rsidRDefault="0022321E" w:rsidP="008667DC">
      <w:pPr>
        <w:rPr>
          <w:color w:val="000000" w:themeColor="text1"/>
        </w:rPr>
      </w:pPr>
    </w:p>
    <w:tbl>
      <w:tblPr>
        <w:tblpPr w:leftFromText="180" w:rightFromText="180" w:vertAnchor="text" w:horzAnchor="margin" w:tblpX="-174" w:tblpY="87"/>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812"/>
      </w:tblGrid>
      <w:tr w:rsidR="001C1A2E" w:rsidRPr="00A92F58" w14:paraId="4C000E58" w14:textId="77777777" w:rsidTr="00AC1F53">
        <w:tc>
          <w:tcPr>
            <w:tcW w:w="9361" w:type="dxa"/>
            <w:gridSpan w:val="3"/>
            <w:vAlign w:val="center"/>
          </w:tcPr>
          <w:p w14:paraId="31C0C987" w14:textId="77777777" w:rsidR="001C1A2E" w:rsidRPr="001C1A2E" w:rsidRDefault="001C1A2E" w:rsidP="008667DC">
            <w:pPr>
              <w:pStyle w:val="naisnod"/>
              <w:spacing w:before="0" w:beforeAutospacing="0" w:after="0" w:afterAutospacing="0"/>
              <w:jc w:val="center"/>
              <w:rPr>
                <w:b/>
                <w:color w:val="000000" w:themeColor="text1"/>
              </w:rPr>
            </w:pPr>
            <w:r w:rsidRPr="001C1A2E">
              <w:rPr>
                <w:b/>
                <w:color w:val="000000" w:themeColor="text1"/>
              </w:rPr>
              <w:t>VII. Tiesību akta projekta izpildes nodrošināšana un tās ietekme uz institūcijām</w:t>
            </w:r>
          </w:p>
        </w:tc>
      </w:tr>
      <w:tr w:rsidR="001C1A2E" w:rsidRPr="00A92F58" w14:paraId="1751CF88" w14:textId="77777777" w:rsidTr="0094759F">
        <w:trPr>
          <w:trHeight w:val="128"/>
        </w:trPr>
        <w:tc>
          <w:tcPr>
            <w:tcW w:w="404" w:type="dxa"/>
          </w:tcPr>
          <w:p w14:paraId="393318B1" w14:textId="77777777" w:rsidR="001C1A2E" w:rsidRPr="00A92F58" w:rsidRDefault="001C1A2E" w:rsidP="008667DC">
            <w:pPr>
              <w:pStyle w:val="naiskr"/>
              <w:spacing w:before="0" w:beforeAutospacing="0" w:after="0" w:afterAutospacing="0"/>
              <w:rPr>
                <w:color w:val="000000" w:themeColor="text1"/>
              </w:rPr>
            </w:pPr>
            <w:r w:rsidRPr="00A92F58">
              <w:rPr>
                <w:color w:val="000000" w:themeColor="text1"/>
              </w:rPr>
              <w:t>1.</w:t>
            </w:r>
          </w:p>
        </w:tc>
        <w:tc>
          <w:tcPr>
            <w:tcW w:w="3145" w:type="dxa"/>
          </w:tcPr>
          <w:p w14:paraId="78470627" w14:textId="77777777" w:rsidR="001C1A2E" w:rsidRPr="00A92F58" w:rsidRDefault="001C1A2E" w:rsidP="008667DC">
            <w:pPr>
              <w:rPr>
                <w:color w:val="000000" w:themeColor="text1"/>
              </w:rPr>
            </w:pPr>
            <w:r w:rsidRPr="00A92F58">
              <w:rPr>
                <w:color w:val="000000" w:themeColor="text1"/>
              </w:rPr>
              <w:t>Projekta izpildē iesaistītās institūcijas</w:t>
            </w:r>
          </w:p>
        </w:tc>
        <w:tc>
          <w:tcPr>
            <w:tcW w:w="5812" w:type="dxa"/>
          </w:tcPr>
          <w:p w14:paraId="57C40DC9" w14:textId="77777777" w:rsidR="001C1A2E" w:rsidRPr="00DB1DA9" w:rsidRDefault="00DB1DA9" w:rsidP="008667DC">
            <w:pPr>
              <w:jc w:val="both"/>
              <w:rPr>
                <w:color w:val="000000" w:themeColor="text1"/>
              </w:rPr>
            </w:pPr>
            <w:r w:rsidRPr="00DB1DA9">
              <w:rPr>
                <w:color w:val="000000" w:themeColor="text1"/>
              </w:rPr>
              <w:t>Ekonomikas ministrija.</w:t>
            </w:r>
          </w:p>
        </w:tc>
      </w:tr>
      <w:tr w:rsidR="001C1A2E" w:rsidRPr="00A92F58" w14:paraId="3052ACA1" w14:textId="77777777" w:rsidTr="0094759F">
        <w:trPr>
          <w:trHeight w:val="472"/>
        </w:trPr>
        <w:tc>
          <w:tcPr>
            <w:tcW w:w="404" w:type="dxa"/>
          </w:tcPr>
          <w:p w14:paraId="38936362" w14:textId="77777777" w:rsidR="001C1A2E" w:rsidRPr="00A92F58" w:rsidRDefault="001C1A2E" w:rsidP="008667DC">
            <w:pPr>
              <w:pStyle w:val="naiskr"/>
              <w:spacing w:before="0" w:beforeAutospacing="0" w:after="0" w:afterAutospacing="0"/>
              <w:rPr>
                <w:color w:val="000000" w:themeColor="text1"/>
              </w:rPr>
            </w:pPr>
            <w:r w:rsidRPr="00A92F58">
              <w:rPr>
                <w:color w:val="000000" w:themeColor="text1"/>
              </w:rPr>
              <w:t>2.</w:t>
            </w:r>
          </w:p>
        </w:tc>
        <w:tc>
          <w:tcPr>
            <w:tcW w:w="3145" w:type="dxa"/>
          </w:tcPr>
          <w:p w14:paraId="09586B51" w14:textId="77777777" w:rsidR="001C1A2E" w:rsidRPr="00A92F58" w:rsidRDefault="001C1A2E" w:rsidP="00C62F24">
            <w:pPr>
              <w:ind w:right="152"/>
              <w:jc w:val="both"/>
              <w:rPr>
                <w:color w:val="000000" w:themeColor="text1"/>
              </w:rPr>
            </w:pPr>
            <w:r w:rsidRPr="00A92F58">
              <w:rPr>
                <w:color w:val="000000" w:themeColor="text1"/>
              </w:rPr>
              <w:t xml:space="preserve">Projekta izpildes ietekme uz pārvaldes funkcijām un institucionālo struktūru. </w:t>
            </w:r>
          </w:p>
          <w:p w14:paraId="2019A532" w14:textId="77777777" w:rsidR="00EC14D6" w:rsidRPr="00A92F58" w:rsidRDefault="001C1A2E" w:rsidP="00C62F24">
            <w:pPr>
              <w:ind w:right="152"/>
              <w:jc w:val="both"/>
              <w:rPr>
                <w:color w:val="000000" w:themeColor="text1"/>
              </w:rPr>
            </w:pPr>
            <w:r w:rsidRPr="00A92F58">
              <w:rPr>
                <w:color w:val="000000" w:themeColor="text1"/>
              </w:rPr>
              <w:t xml:space="preserve">Jaunu institūciju izveide, esošu institūciju likvidācija vai </w:t>
            </w:r>
            <w:r w:rsidRPr="00A92F58">
              <w:rPr>
                <w:color w:val="000000" w:themeColor="text1"/>
              </w:rPr>
              <w:lastRenderedPageBreak/>
              <w:t>reorganizācija, to ietekme uz institūcijas cilvēkresursiem</w:t>
            </w:r>
          </w:p>
        </w:tc>
        <w:tc>
          <w:tcPr>
            <w:tcW w:w="5812" w:type="dxa"/>
          </w:tcPr>
          <w:p w14:paraId="12E32D6F" w14:textId="685636E3" w:rsidR="001C1A2E" w:rsidRPr="00A92F58" w:rsidRDefault="00EB7FA3" w:rsidP="00356796">
            <w:pPr>
              <w:pStyle w:val="naisnod"/>
              <w:spacing w:before="0" w:beforeAutospacing="0" w:after="0" w:afterAutospacing="0"/>
              <w:ind w:left="57" w:right="57"/>
              <w:jc w:val="both"/>
              <w:rPr>
                <w:b/>
                <w:color w:val="000000" w:themeColor="text1"/>
              </w:rPr>
            </w:pPr>
            <w:r>
              <w:lastRenderedPageBreak/>
              <w:t>N</w:t>
            </w:r>
            <w:r w:rsidR="00BD263B" w:rsidRPr="00203D80">
              <w:t>oteikumu projekta apstiprināšanas gadījumā netiek radī</w:t>
            </w:r>
            <w:r w:rsidR="00BD263B">
              <w:t xml:space="preserve">tas jaunas valsts institūcijas. Ar noteikumu projektu tiek </w:t>
            </w:r>
            <w:r>
              <w:t xml:space="preserve">uzlabota esošā </w:t>
            </w:r>
            <w:r w:rsidR="00356796">
              <w:t>atbalsta sistēma AER plašākas izmantošanas veicināšanai, radot labvēlīgu vidi jaunu atbalsta mehānismu ieviešanai.</w:t>
            </w:r>
          </w:p>
        </w:tc>
      </w:tr>
      <w:tr w:rsidR="001C1A2E" w:rsidRPr="00A92F58" w14:paraId="1011195D" w14:textId="77777777" w:rsidTr="0094759F">
        <w:trPr>
          <w:trHeight w:val="156"/>
        </w:trPr>
        <w:tc>
          <w:tcPr>
            <w:tcW w:w="404" w:type="dxa"/>
          </w:tcPr>
          <w:p w14:paraId="6EB563E4" w14:textId="77777777" w:rsidR="001C1A2E" w:rsidRPr="00A92F58" w:rsidRDefault="001C1A2E" w:rsidP="008667DC">
            <w:pPr>
              <w:pStyle w:val="naiskr"/>
              <w:spacing w:before="0" w:beforeAutospacing="0" w:after="0" w:afterAutospacing="0"/>
              <w:rPr>
                <w:color w:val="000000" w:themeColor="text1"/>
              </w:rPr>
            </w:pPr>
            <w:r w:rsidRPr="00A92F58">
              <w:rPr>
                <w:color w:val="000000" w:themeColor="text1"/>
              </w:rPr>
              <w:lastRenderedPageBreak/>
              <w:t>3.</w:t>
            </w:r>
          </w:p>
        </w:tc>
        <w:tc>
          <w:tcPr>
            <w:tcW w:w="3145" w:type="dxa"/>
          </w:tcPr>
          <w:p w14:paraId="3FC62601" w14:textId="77777777" w:rsidR="001C1A2E" w:rsidRPr="00A92F58" w:rsidRDefault="001C1A2E" w:rsidP="008667DC">
            <w:pPr>
              <w:rPr>
                <w:color w:val="000000" w:themeColor="text1"/>
              </w:rPr>
            </w:pPr>
            <w:r w:rsidRPr="00A92F58">
              <w:rPr>
                <w:color w:val="000000" w:themeColor="text1"/>
              </w:rPr>
              <w:t>Cita informācija</w:t>
            </w:r>
          </w:p>
        </w:tc>
        <w:tc>
          <w:tcPr>
            <w:tcW w:w="5812" w:type="dxa"/>
          </w:tcPr>
          <w:p w14:paraId="2FACB7BA" w14:textId="77777777" w:rsidR="001C1A2E" w:rsidRPr="00A92F58" w:rsidRDefault="001C1A2E" w:rsidP="008667DC">
            <w:pPr>
              <w:pStyle w:val="naisnod"/>
              <w:spacing w:before="0" w:beforeAutospacing="0" w:after="0" w:afterAutospacing="0"/>
              <w:ind w:left="57" w:right="57"/>
              <w:jc w:val="both"/>
              <w:rPr>
                <w:b/>
                <w:color w:val="000000" w:themeColor="text1"/>
              </w:rPr>
            </w:pPr>
            <w:r w:rsidRPr="00A92F58">
              <w:rPr>
                <w:color w:val="000000" w:themeColor="text1"/>
              </w:rPr>
              <w:t>Normatīvā akta izpilde tiks nodrošināta esošo valsts institūciju funkciju ietvaros.</w:t>
            </w:r>
          </w:p>
        </w:tc>
      </w:tr>
    </w:tbl>
    <w:p w14:paraId="7B06C080" w14:textId="6A47345A" w:rsidR="001C1A2E" w:rsidRPr="00A92F58" w:rsidRDefault="001C1A2E" w:rsidP="00790CA8">
      <w:pPr>
        <w:ind w:firstLine="720"/>
        <w:jc w:val="center"/>
        <w:rPr>
          <w:i/>
          <w:color w:val="000000" w:themeColor="text1"/>
        </w:rPr>
      </w:pPr>
      <w:r w:rsidRPr="00A92F58">
        <w:rPr>
          <w:i/>
          <w:color w:val="000000" w:themeColor="text1"/>
        </w:rPr>
        <w:t xml:space="preserve">Anotācijas </w:t>
      </w:r>
      <w:r w:rsidR="007C1F2A">
        <w:rPr>
          <w:i/>
          <w:color w:val="000000" w:themeColor="text1"/>
        </w:rPr>
        <w:t xml:space="preserve">III, </w:t>
      </w:r>
      <w:r w:rsidRPr="00A92F58">
        <w:rPr>
          <w:i/>
          <w:color w:val="000000" w:themeColor="text1"/>
        </w:rPr>
        <w:t>V</w:t>
      </w:r>
      <w:r w:rsidR="00454A67">
        <w:rPr>
          <w:i/>
          <w:color w:val="000000" w:themeColor="text1"/>
        </w:rPr>
        <w:t>, VI</w:t>
      </w:r>
      <w:r w:rsidRPr="00A92F58">
        <w:rPr>
          <w:i/>
          <w:color w:val="000000" w:themeColor="text1"/>
        </w:rPr>
        <w:t xml:space="preserve"> sadaļa – projekts š</w:t>
      </w:r>
      <w:r w:rsidR="00DB1DA9">
        <w:rPr>
          <w:i/>
          <w:color w:val="000000" w:themeColor="text1"/>
        </w:rPr>
        <w:t>o</w:t>
      </w:r>
      <w:r w:rsidRPr="00A92F58">
        <w:rPr>
          <w:i/>
          <w:color w:val="000000" w:themeColor="text1"/>
        </w:rPr>
        <w:t xml:space="preserve"> jom</w:t>
      </w:r>
      <w:r w:rsidR="00DB1DA9">
        <w:rPr>
          <w:i/>
          <w:color w:val="000000" w:themeColor="text1"/>
        </w:rPr>
        <w:t>u</w:t>
      </w:r>
      <w:r w:rsidR="003E00E1">
        <w:rPr>
          <w:i/>
          <w:color w:val="000000" w:themeColor="text1"/>
        </w:rPr>
        <w:t xml:space="preserve"> </w:t>
      </w:r>
      <w:r w:rsidRPr="00A92F58">
        <w:rPr>
          <w:i/>
          <w:color w:val="000000" w:themeColor="text1"/>
        </w:rPr>
        <w:t>neskar.</w:t>
      </w:r>
    </w:p>
    <w:p w14:paraId="0F633075" w14:textId="77777777" w:rsidR="007C1F2A" w:rsidRDefault="007C1F2A" w:rsidP="00790CA8">
      <w:pPr>
        <w:rPr>
          <w:bCs/>
          <w:sz w:val="28"/>
          <w:szCs w:val="28"/>
        </w:rPr>
      </w:pPr>
    </w:p>
    <w:p w14:paraId="5AAACAFC" w14:textId="77777777" w:rsidR="003F3B08" w:rsidRDefault="003F3B08" w:rsidP="00790CA8">
      <w:pPr>
        <w:rPr>
          <w:bCs/>
          <w:sz w:val="28"/>
          <w:szCs w:val="28"/>
        </w:rPr>
      </w:pPr>
    </w:p>
    <w:p w14:paraId="6B46A336" w14:textId="77777777" w:rsidR="005E59EE" w:rsidRPr="005E59EE" w:rsidRDefault="00C73B18" w:rsidP="00790CA8">
      <w:pPr>
        <w:rPr>
          <w:bCs/>
          <w:sz w:val="28"/>
          <w:szCs w:val="28"/>
        </w:rPr>
      </w:pPr>
      <w:r>
        <w:rPr>
          <w:bCs/>
          <w:sz w:val="28"/>
          <w:szCs w:val="28"/>
        </w:rPr>
        <w:t xml:space="preserve">Ekonomikas ministre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D.Reizniece</w:t>
      </w:r>
      <w:proofErr w:type="spellEnd"/>
      <w:r>
        <w:rPr>
          <w:bCs/>
          <w:sz w:val="28"/>
          <w:szCs w:val="28"/>
        </w:rPr>
        <w:t>-Ozola</w:t>
      </w:r>
    </w:p>
    <w:p w14:paraId="0FF03CFD" w14:textId="77777777" w:rsidR="00AC1F53" w:rsidRDefault="00AC1F53" w:rsidP="00790CA8">
      <w:pPr>
        <w:pStyle w:val="naisf"/>
        <w:spacing w:before="0" w:beforeAutospacing="0" w:after="0" w:afterAutospacing="0"/>
        <w:rPr>
          <w:bCs/>
          <w:color w:val="000000"/>
          <w:sz w:val="28"/>
          <w:szCs w:val="20"/>
        </w:rPr>
      </w:pPr>
    </w:p>
    <w:p w14:paraId="0E607ED2" w14:textId="77777777" w:rsidR="007C1F2A" w:rsidRDefault="007C1F2A" w:rsidP="00790CA8">
      <w:pPr>
        <w:pStyle w:val="naisf"/>
        <w:spacing w:before="0" w:beforeAutospacing="0" w:after="0" w:afterAutospacing="0"/>
        <w:rPr>
          <w:bCs/>
          <w:color w:val="000000"/>
          <w:sz w:val="28"/>
          <w:szCs w:val="20"/>
        </w:rPr>
      </w:pPr>
    </w:p>
    <w:p w14:paraId="26EDE7A7" w14:textId="77777777" w:rsidR="0038787E" w:rsidRPr="00AE2633" w:rsidRDefault="0038787E" w:rsidP="00790CA8">
      <w:pPr>
        <w:pStyle w:val="naisf"/>
        <w:spacing w:before="0" w:beforeAutospacing="0" w:after="0" w:afterAutospacing="0"/>
        <w:rPr>
          <w:b/>
          <w:bCs/>
          <w:color w:val="000000"/>
          <w:sz w:val="28"/>
          <w:szCs w:val="20"/>
        </w:rPr>
      </w:pPr>
      <w:r w:rsidRPr="00AE2633">
        <w:rPr>
          <w:bCs/>
          <w:color w:val="000000"/>
          <w:sz w:val="28"/>
          <w:szCs w:val="20"/>
        </w:rPr>
        <w:t>Vīza:</w:t>
      </w:r>
    </w:p>
    <w:p w14:paraId="0FDCAF56" w14:textId="77777777" w:rsidR="0038787E" w:rsidRPr="0094759F" w:rsidRDefault="0038787E" w:rsidP="00790CA8">
      <w:pPr>
        <w:jc w:val="both"/>
        <w:rPr>
          <w:color w:val="000000" w:themeColor="text1"/>
          <w:sz w:val="28"/>
          <w:szCs w:val="28"/>
        </w:rPr>
      </w:pPr>
      <w:r w:rsidRPr="00AE2633">
        <w:rPr>
          <w:color w:val="000000"/>
          <w:sz w:val="28"/>
          <w:szCs w:val="28"/>
        </w:rPr>
        <w:t>valsts sekretār</w:t>
      </w:r>
      <w:r w:rsidR="007C1F2A">
        <w:rPr>
          <w:color w:val="000000"/>
          <w:sz w:val="28"/>
          <w:szCs w:val="28"/>
        </w:rPr>
        <w:t>s</w:t>
      </w:r>
      <w:r w:rsidRPr="00AE2633">
        <w:rPr>
          <w:color w:val="000000"/>
          <w:sz w:val="28"/>
          <w:szCs w:val="28"/>
        </w:rPr>
        <w:t xml:space="preserve"> </w:t>
      </w:r>
      <w:r w:rsidR="00C73B18">
        <w:rPr>
          <w:color w:val="000000"/>
          <w:sz w:val="28"/>
          <w:szCs w:val="28"/>
        </w:rPr>
        <w:tab/>
      </w:r>
      <w:r w:rsidR="00C73B18">
        <w:rPr>
          <w:color w:val="000000"/>
          <w:sz w:val="28"/>
          <w:szCs w:val="28"/>
        </w:rPr>
        <w:tab/>
      </w:r>
      <w:r w:rsidR="00C73B18">
        <w:rPr>
          <w:color w:val="000000"/>
          <w:sz w:val="28"/>
          <w:szCs w:val="28"/>
        </w:rPr>
        <w:tab/>
      </w:r>
      <w:r w:rsidR="00C73B18">
        <w:rPr>
          <w:color w:val="000000"/>
          <w:sz w:val="28"/>
          <w:szCs w:val="28"/>
        </w:rPr>
        <w:tab/>
      </w:r>
      <w:r w:rsidR="00C73B18">
        <w:rPr>
          <w:color w:val="000000"/>
          <w:sz w:val="28"/>
          <w:szCs w:val="28"/>
        </w:rPr>
        <w:tab/>
      </w:r>
      <w:r w:rsidR="00C73B18">
        <w:rPr>
          <w:color w:val="000000"/>
          <w:sz w:val="28"/>
          <w:szCs w:val="28"/>
        </w:rPr>
        <w:tab/>
      </w:r>
      <w:r w:rsidR="00C73B18">
        <w:rPr>
          <w:color w:val="000000"/>
          <w:sz w:val="28"/>
          <w:szCs w:val="28"/>
        </w:rPr>
        <w:tab/>
      </w:r>
      <w:r w:rsidR="00C73B18">
        <w:rPr>
          <w:color w:val="000000"/>
          <w:sz w:val="28"/>
          <w:szCs w:val="28"/>
        </w:rPr>
        <w:tab/>
      </w:r>
      <w:proofErr w:type="spellStart"/>
      <w:r w:rsidR="00C73B18">
        <w:rPr>
          <w:color w:val="000000"/>
          <w:sz w:val="28"/>
          <w:szCs w:val="28"/>
        </w:rPr>
        <w:t>R</w:t>
      </w:r>
      <w:r w:rsidR="007C1F2A">
        <w:rPr>
          <w:color w:val="000000"/>
          <w:sz w:val="28"/>
          <w:szCs w:val="28"/>
        </w:rPr>
        <w:t>.</w:t>
      </w:r>
      <w:r w:rsidR="00C73B18">
        <w:rPr>
          <w:color w:val="000000"/>
          <w:sz w:val="28"/>
          <w:szCs w:val="28"/>
        </w:rPr>
        <w:t>Beinarovičs</w:t>
      </w:r>
      <w:proofErr w:type="spellEnd"/>
    </w:p>
    <w:p w14:paraId="618910B0" w14:textId="77777777" w:rsidR="00BC4557" w:rsidRDefault="00BC4557" w:rsidP="00790CA8">
      <w:pPr>
        <w:pStyle w:val="Header"/>
        <w:tabs>
          <w:tab w:val="clear" w:pos="4153"/>
          <w:tab w:val="clear" w:pos="8306"/>
        </w:tabs>
        <w:rPr>
          <w:color w:val="000000" w:themeColor="text1"/>
          <w:sz w:val="20"/>
          <w:szCs w:val="20"/>
        </w:rPr>
      </w:pPr>
    </w:p>
    <w:p w14:paraId="6E54C844" w14:textId="77777777" w:rsidR="00C73B18" w:rsidRDefault="00C73B18" w:rsidP="00790CA8">
      <w:pPr>
        <w:pStyle w:val="Header"/>
        <w:tabs>
          <w:tab w:val="clear" w:pos="4153"/>
          <w:tab w:val="clear" w:pos="8306"/>
        </w:tabs>
        <w:rPr>
          <w:color w:val="000000" w:themeColor="text1"/>
          <w:sz w:val="20"/>
          <w:szCs w:val="20"/>
        </w:rPr>
      </w:pPr>
    </w:p>
    <w:p w14:paraId="3F026DBA" w14:textId="77777777" w:rsidR="00285473" w:rsidRDefault="00285473" w:rsidP="00790CA8">
      <w:pPr>
        <w:pStyle w:val="Header"/>
        <w:tabs>
          <w:tab w:val="clear" w:pos="4153"/>
          <w:tab w:val="clear" w:pos="8306"/>
        </w:tabs>
        <w:rPr>
          <w:color w:val="000000" w:themeColor="text1"/>
          <w:sz w:val="20"/>
          <w:szCs w:val="20"/>
        </w:rPr>
      </w:pPr>
    </w:p>
    <w:p w14:paraId="66CBA3D9" w14:textId="77777777" w:rsidR="00747175" w:rsidRDefault="00747175" w:rsidP="00790CA8">
      <w:pPr>
        <w:pStyle w:val="Header"/>
        <w:tabs>
          <w:tab w:val="clear" w:pos="4153"/>
          <w:tab w:val="clear" w:pos="8306"/>
        </w:tabs>
        <w:rPr>
          <w:color w:val="000000" w:themeColor="text1"/>
          <w:sz w:val="20"/>
          <w:szCs w:val="20"/>
        </w:rPr>
      </w:pPr>
    </w:p>
    <w:p w14:paraId="2D59A482" w14:textId="77777777" w:rsidR="00747175" w:rsidRDefault="00747175" w:rsidP="00790CA8">
      <w:pPr>
        <w:pStyle w:val="Header"/>
        <w:tabs>
          <w:tab w:val="clear" w:pos="4153"/>
          <w:tab w:val="clear" w:pos="8306"/>
        </w:tabs>
        <w:rPr>
          <w:color w:val="000000" w:themeColor="text1"/>
          <w:sz w:val="20"/>
          <w:szCs w:val="20"/>
        </w:rPr>
      </w:pPr>
    </w:p>
    <w:p w14:paraId="2AD9690B" w14:textId="77777777" w:rsidR="00E97011" w:rsidRDefault="00E97011" w:rsidP="00790CA8">
      <w:pPr>
        <w:pStyle w:val="Header"/>
        <w:tabs>
          <w:tab w:val="clear" w:pos="4153"/>
          <w:tab w:val="clear" w:pos="8306"/>
        </w:tabs>
        <w:rPr>
          <w:color w:val="000000" w:themeColor="text1"/>
          <w:sz w:val="20"/>
          <w:szCs w:val="20"/>
        </w:rPr>
      </w:pPr>
    </w:p>
    <w:p w14:paraId="719F8A29" w14:textId="77777777" w:rsidR="00E97011" w:rsidRDefault="00E97011" w:rsidP="00790CA8">
      <w:pPr>
        <w:pStyle w:val="Header"/>
        <w:tabs>
          <w:tab w:val="clear" w:pos="4153"/>
          <w:tab w:val="clear" w:pos="8306"/>
        </w:tabs>
        <w:rPr>
          <w:color w:val="000000" w:themeColor="text1"/>
          <w:sz w:val="20"/>
          <w:szCs w:val="20"/>
        </w:rPr>
      </w:pPr>
    </w:p>
    <w:p w14:paraId="6308DF8C" w14:textId="77777777" w:rsidR="00747175" w:rsidRDefault="00747175" w:rsidP="00790CA8">
      <w:pPr>
        <w:pStyle w:val="Header"/>
        <w:tabs>
          <w:tab w:val="clear" w:pos="4153"/>
          <w:tab w:val="clear" w:pos="8306"/>
        </w:tabs>
        <w:rPr>
          <w:color w:val="000000" w:themeColor="text1"/>
          <w:sz w:val="20"/>
          <w:szCs w:val="20"/>
        </w:rPr>
      </w:pPr>
    </w:p>
    <w:p w14:paraId="6674F345" w14:textId="77777777" w:rsidR="00747175" w:rsidRDefault="00747175" w:rsidP="00790CA8">
      <w:pPr>
        <w:pStyle w:val="Header"/>
        <w:tabs>
          <w:tab w:val="clear" w:pos="4153"/>
          <w:tab w:val="clear" w:pos="8306"/>
        </w:tabs>
        <w:rPr>
          <w:color w:val="000000" w:themeColor="text1"/>
          <w:sz w:val="20"/>
          <w:szCs w:val="20"/>
        </w:rPr>
      </w:pPr>
    </w:p>
    <w:p w14:paraId="5B38491E" w14:textId="77777777" w:rsidR="00285473" w:rsidRDefault="00285473" w:rsidP="00790CA8">
      <w:pPr>
        <w:pStyle w:val="Header"/>
        <w:tabs>
          <w:tab w:val="clear" w:pos="4153"/>
          <w:tab w:val="clear" w:pos="8306"/>
        </w:tabs>
        <w:rPr>
          <w:color w:val="000000" w:themeColor="text1"/>
          <w:sz w:val="20"/>
          <w:szCs w:val="20"/>
        </w:rPr>
      </w:pPr>
    </w:p>
    <w:p w14:paraId="1959E7DB" w14:textId="77777777" w:rsidR="00285473" w:rsidRDefault="00285473" w:rsidP="00790CA8">
      <w:pPr>
        <w:pStyle w:val="Header"/>
        <w:tabs>
          <w:tab w:val="clear" w:pos="4153"/>
          <w:tab w:val="clear" w:pos="8306"/>
        </w:tabs>
        <w:rPr>
          <w:color w:val="000000" w:themeColor="text1"/>
          <w:sz w:val="20"/>
          <w:szCs w:val="20"/>
        </w:rPr>
      </w:pPr>
    </w:p>
    <w:p w14:paraId="4593CB58" w14:textId="25C1CB5E" w:rsidR="0038787E" w:rsidRPr="00790CA8" w:rsidRDefault="00747175" w:rsidP="00790CA8">
      <w:pPr>
        <w:pStyle w:val="Header"/>
        <w:tabs>
          <w:tab w:val="clear" w:pos="4153"/>
          <w:tab w:val="clear" w:pos="8306"/>
        </w:tabs>
        <w:rPr>
          <w:color w:val="000000" w:themeColor="text1"/>
          <w:sz w:val="20"/>
          <w:szCs w:val="20"/>
        </w:rPr>
      </w:pPr>
      <w:r>
        <w:rPr>
          <w:color w:val="000000" w:themeColor="text1"/>
          <w:sz w:val="20"/>
          <w:szCs w:val="20"/>
        </w:rPr>
        <w:t>01</w:t>
      </w:r>
      <w:r w:rsidR="00C73B18">
        <w:rPr>
          <w:color w:val="000000" w:themeColor="text1"/>
          <w:sz w:val="20"/>
          <w:szCs w:val="20"/>
        </w:rPr>
        <w:t>.1</w:t>
      </w:r>
      <w:r>
        <w:rPr>
          <w:color w:val="000000" w:themeColor="text1"/>
          <w:sz w:val="20"/>
          <w:szCs w:val="20"/>
        </w:rPr>
        <w:t>2</w:t>
      </w:r>
      <w:r w:rsidR="0038787E" w:rsidRPr="00790CA8">
        <w:rPr>
          <w:color w:val="000000" w:themeColor="text1"/>
          <w:sz w:val="20"/>
          <w:szCs w:val="20"/>
        </w:rPr>
        <w:t>.201</w:t>
      </w:r>
      <w:r w:rsidR="00C73B18">
        <w:rPr>
          <w:color w:val="000000" w:themeColor="text1"/>
          <w:sz w:val="20"/>
          <w:szCs w:val="20"/>
        </w:rPr>
        <w:t>5</w:t>
      </w:r>
      <w:r w:rsidR="0038787E" w:rsidRPr="00790CA8">
        <w:rPr>
          <w:color w:val="000000" w:themeColor="text1"/>
          <w:sz w:val="20"/>
          <w:szCs w:val="20"/>
        </w:rPr>
        <w:t xml:space="preserve">. </w:t>
      </w:r>
      <w:r w:rsidR="0092210F">
        <w:rPr>
          <w:color w:val="000000" w:themeColor="text1"/>
          <w:sz w:val="20"/>
          <w:szCs w:val="20"/>
        </w:rPr>
        <w:t>13</w:t>
      </w:r>
      <w:r w:rsidR="0038787E" w:rsidRPr="00790CA8">
        <w:rPr>
          <w:color w:val="000000" w:themeColor="text1"/>
          <w:sz w:val="20"/>
          <w:szCs w:val="20"/>
        </w:rPr>
        <w:t>:</w:t>
      </w:r>
      <w:r w:rsidR="0092210F">
        <w:rPr>
          <w:color w:val="000000" w:themeColor="text1"/>
          <w:sz w:val="20"/>
          <w:szCs w:val="20"/>
        </w:rPr>
        <w:t>12</w:t>
      </w:r>
    </w:p>
    <w:p w14:paraId="51ECC583" w14:textId="52EABCDE" w:rsidR="0038787E" w:rsidRPr="00790CA8" w:rsidRDefault="0038787E" w:rsidP="00790CA8">
      <w:pPr>
        <w:pStyle w:val="Header"/>
        <w:tabs>
          <w:tab w:val="clear" w:pos="4153"/>
          <w:tab w:val="clear" w:pos="8306"/>
        </w:tabs>
        <w:rPr>
          <w:color w:val="000000" w:themeColor="text1"/>
          <w:sz w:val="20"/>
          <w:szCs w:val="20"/>
        </w:rPr>
      </w:pPr>
      <w:r w:rsidRPr="00790CA8">
        <w:rPr>
          <w:color w:val="000000" w:themeColor="text1"/>
          <w:sz w:val="20"/>
          <w:szCs w:val="20"/>
        </w:rPr>
        <w:fldChar w:fldCharType="begin"/>
      </w:r>
      <w:r w:rsidRPr="00790CA8">
        <w:rPr>
          <w:color w:val="000000" w:themeColor="text1"/>
          <w:sz w:val="20"/>
          <w:szCs w:val="20"/>
        </w:rPr>
        <w:instrText xml:space="preserve"> NUMWORDS  \* Arabic  \* MERGEFORMAT </w:instrText>
      </w:r>
      <w:r w:rsidRPr="00790CA8">
        <w:rPr>
          <w:color w:val="000000" w:themeColor="text1"/>
          <w:sz w:val="20"/>
          <w:szCs w:val="20"/>
        </w:rPr>
        <w:fldChar w:fldCharType="separate"/>
      </w:r>
      <w:r w:rsidR="0092210F">
        <w:rPr>
          <w:noProof/>
          <w:color w:val="000000" w:themeColor="text1"/>
          <w:sz w:val="20"/>
          <w:szCs w:val="20"/>
        </w:rPr>
        <w:t>2182</w:t>
      </w:r>
      <w:r w:rsidRPr="00790CA8">
        <w:rPr>
          <w:color w:val="000000" w:themeColor="text1"/>
          <w:sz w:val="20"/>
          <w:szCs w:val="20"/>
        </w:rPr>
        <w:fldChar w:fldCharType="end"/>
      </w:r>
      <w:bookmarkStart w:id="4" w:name="_GoBack"/>
      <w:bookmarkEnd w:id="4"/>
    </w:p>
    <w:p w14:paraId="03620491" w14:textId="77777777" w:rsidR="0094759F" w:rsidRPr="00790CA8" w:rsidRDefault="00C73B18" w:rsidP="00790CA8">
      <w:pPr>
        <w:pStyle w:val="Header"/>
        <w:tabs>
          <w:tab w:val="clear" w:pos="4153"/>
          <w:tab w:val="clear" w:pos="8306"/>
        </w:tabs>
        <w:rPr>
          <w:color w:val="000000" w:themeColor="text1"/>
          <w:sz w:val="20"/>
          <w:szCs w:val="20"/>
        </w:rPr>
      </w:pPr>
      <w:proofErr w:type="spellStart"/>
      <w:r>
        <w:rPr>
          <w:color w:val="000000" w:themeColor="text1"/>
          <w:sz w:val="20"/>
          <w:szCs w:val="20"/>
        </w:rPr>
        <w:t>B</w:t>
      </w:r>
      <w:r w:rsidR="0038787E" w:rsidRPr="00790CA8">
        <w:rPr>
          <w:color w:val="000000" w:themeColor="text1"/>
          <w:sz w:val="20"/>
          <w:szCs w:val="20"/>
        </w:rPr>
        <w:t>.</w:t>
      </w:r>
      <w:r>
        <w:rPr>
          <w:color w:val="000000" w:themeColor="text1"/>
          <w:sz w:val="20"/>
          <w:szCs w:val="20"/>
        </w:rPr>
        <w:t>Logina</w:t>
      </w:r>
      <w:proofErr w:type="spellEnd"/>
      <w:r w:rsidR="0038787E" w:rsidRPr="00790CA8">
        <w:rPr>
          <w:color w:val="000000" w:themeColor="text1"/>
          <w:sz w:val="20"/>
          <w:szCs w:val="20"/>
        </w:rPr>
        <w:t xml:space="preserve">, </w:t>
      </w:r>
    </w:p>
    <w:p w14:paraId="6255D736" w14:textId="77777777" w:rsidR="00435C4E" w:rsidRPr="00790CA8" w:rsidRDefault="0038787E" w:rsidP="00790CA8">
      <w:pPr>
        <w:pStyle w:val="Header"/>
        <w:tabs>
          <w:tab w:val="clear" w:pos="4153"/>
          <w:tab w:val="clear" w:pos="8306"/>
        </w:tabs>
        <w:rPr>
          <w:color w:val="000000" w:themeColor="text1"/>
          <w:sz w:val="20"/>
          <w:szCs w:val="20"/>
        </w:rPr>
      </w:pPr>
      <w:r w:rsidRPr="00790CA8">
        <w:rPr>
          <w:color w:val="000000" w:themeColor="text1"/>
          <w:sz w:val="20"/>
          <w:szCs w:val="20"/>
        </w:rPr>
        <w:t>67013</w:t>
      </w:r>
      <w:r w:rsidR="00C73B18">
        <w:rPr>
          <w:color w:val="000000" w:themeColor="text1"/>
          <w:sz w:val="20"/>
          <w:szCs w:val="20"/>
        </w:rPr>
        <w:t>214</w:t>
      </w:r>
    </w:p>
    <w:p w14:paraId="122E16B9" w14:textId="77777777" w:rsidR="007C1F2A" w:rsidRPr="00790CA8" w:rsidRDefault="0092210F" w:rsidP="00790CA8">
      <w:pPr>
        <w:pStyle w:val="Header"/>
        <w:tabs>
          <w:tab w:val="clear" w:pos="4153"/>
          <w:tab w:val="clear" w:pos="8306"/>
        </w:tabs>
        <w:rPr>
          <w:color w:val="000000" w:themeColor="text1"/>
          <w:sz w:val="20"/>
          <w:szCs w:val="20"/>
        </w:rPr>
      </w:pPr>
      <w:hyperlink r:id="rId8" w:history="1">
        <w:r w:rsidR="00C73B18" w:rsidRPr="006370C0">
          <w:rPr>
            <w:rStyle w:val="Hyperlink"/>
            <w:sz w:val="20"/>
            <w:szCs w:val="20"/>
          </w:rPr>
          <w:t>Baiba.Logina@em.gov.lv</w:t>
        </w:r>
      </w:hyperlink>
      <w:r w:rsidR="00C73B18">
        <w:rPr>
          <w:sz w:val="20"/>
          <w:szCs w:val="20"/>
        </w:rPr>
        <w:t xml:space="preserve"> </w:t>
      </w:r>
      <w:r w:rsidR="007C1F2A" w:rsidRPr="00790CA8">
        <w:rPr>
          <w:color w:val="000000" w:themeColor="text1"/>
          <w:sz w:val="20"/>
          <w:szCs w:val="20"/>
        </w:rPr>
        <w:t xml:space="preserve"> </w:t>
      </w:r>
    </w:p>
    <w:sectPr w:rsidR="007C1F2A" w:rsidRPr="00790CA8" w:rsidSect="0094759F">
      <w:headerReference w:type="default" r:id="rId9"/>
      <w:footerReference w:type="default" r:id="rId10"/>
      <w:footerReference w:type="first" r:id="rId11"/>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7EDF6" w14:textId="77777777" w:rsidR="003606BF" w:rsidRDefault="003606BF">
      <w:r>
        <w:separator/>
      </w:r>
    </w:p>
  </w:endnote>
  <w:endnote w:type="continuationSeparator" w:id="0">
    <w:p w14:paraId="21C0CF4F" w14:textId="77777777" w:rsidR="003606BF" w:rsidRDefault="0036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CCA0" w14:textId="070ACCBA" w:rsidR="00F72E13" w:rsidRPr="004024C2" w:rsidRDefault="004024C2" w:rsidP="004024C2">
    <w:pPr>
      <w:contextualSpacing/>
      <w:jc w:val="both"/>
      <w:outlineLvl w:val="0"/>
    </w:pPr>
    <w:r w:rsidRPr="004024C2">
      <w:rPr>
        <w:sz w:val="20"/>
        <w:szCs w:val="20"/>
      </w:rPr>
      <w:t>EMAnot_</w:t>
    </w:r>
    <w:r w:rsidR="00A97BF9">
      <w:rPr>
        <w:sz w:val="20"/>
        <w:szCs w:val="20"/>
      </w:rPr>
      <w:t>0112</w:t>
    </w:r>
    <w:r w:rsidR="00AD5B51">
      <w:rPr>
        <w:sz w:val="20"/>
        <w:szCs w:val="20"/>
      </w:rPr>
      <w:t>15</w:t>
    </w:r>
    <w:r w:rsidRPr="004024C2">
      <w:rPr>
        <w:sz w:val="20"/>
        <w:szCs w:val="20"/>
      </w:rPr>
      <w:t>_</w:t>
    </w:r>
    <w:r w:rsidR="00AD5B51">
      <w:rPr>
        <w:sz w:val="20"/>
        <w:szCs w:val="20"/>
      </w:rPr>
      <w:t>MK</w:t>
    </w:r>
    <w:r>
      <w:rPr>
        <w:sz w:val="20"/>
        <w:szCs w:val="20"/>
      </w:rPr>
      <w:t>221</w:t>
    </w:r>
    <w:r w:rsidRPr="004024C2">
      <w:rPr>
        <w:sz w:val="20"/>
        <w:szCs w:val="20"/>
      </w:rPr>
      <w:t xml:space="preserve">; </w:t>
    </w:r>
    <w:r w:rsidRPr="004024C2">
      <w:rPr>
        <w:color w:val="000000"/>
        <w:sz w:val="20"/>
        <w:szCs w:val="20"/>
      </w:rPr>
      <w:t xml:space="preserve">Ministru kabineta noteikumu projekta </w:t>
    </w:r>
    <w:r w:rsidRPr="004024C2">
      <w:rPr>
        <w:bCs/>
        <w:sz w:val="20"/>
        <w:szCs w:val="20"/>
      </w:rPr>
      <w:t>„Grozījum</w:t>
    </w:r>
    <w:r w:rsidR="00AD5B51">
      <w:rPr>
        <w:bCs/>
        <w:sz w:val="20"/>
        <w:szCs w:val="20"/>
      </w:rPr>
      <w:t>s</w:t>
    </w:r>
    <w:r w:rsidRPr="004024C2">
      <w:rPr>
        <w:bCs/>
        <w:sz w:val="20"/>
        <w:szCs w:val="20"/>
      </w:rPr>
      <w:t xml:space="preserve"> </w:t>
    </w:r>
    <w:r w:rsidR="00AD5B51">
      <w:rPr>
        <w:color w:val="000000"/>
        <w:sz w:val="20"/>
        <w:szCs w:val="20"/>
      </w:rPr>
      <w:t>Ministru kabineta 2009. gada 10. </w:t>
    </w:r>
    <w:r w:rsidRPr="004024C2">
      <w:rPr>
        <w:color w:val="000000"/>
        <w:sz w:val="20"/>
        <w:szCs w:val="20"/>
      </w:rPr>
      <w:t>marta noteikumos Nr.221 „Noteikumi par elektroenerģijas ražošanu un cenu noteikšanu, ražojot elektroenerģiju koģenerācijā”</w:t>
    </w:r>
    <w:r w:rsidRPr="004024C2">
      <w:rPr>
        <w:bCs/>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5568" w14:textId="46FB963A" w:rsidR="00F72E13" w:rsidRPr="007C1F2A" w:rsidRDefault="007C1F2A" w:rsidP="007C1F2A">
    <w:pPr>
      <w:contextualSpacing/>
      <w:jc w:val="both"/>
      <w:outlineLvl w:val="0"/>
    </w:pPr>
    <w:r w:rsidRPr="004024C2">
      <w:rPr>
        <w:sz w:val="20"/>
        <w:szCs w:val="20"/>
      </w:rPr>
      <w:t>EMAnot_</w:t>
    </w:r>
    <w:r w:rsidR="00A97BF9">
      <w:rPr>
        <w:sz w:val="20"/>
        <w:szCs w:val="20"/>
      </w:rPr>
      <w:t>0112</w:t>
    </w:r>
    <w:r w:rsidR="00AD5B51">
      <w:rPr>
        <w:sz w:val="20"/>
        <w:szCs w:val="20"/>
      </w:rPr>
      <w:t>15</w:t>
    </w:r>
    <w:r w:rsidRPr="004024C2">
      <w:rPr>
        <w:sz w:val="20"/>
        <w:szCs w:val="20"/>
      </w:rPr>
      <w:t>_</w:t>
    </w:r>
    <w:r w:rsidR="00AD5B51">
      <w:rPr>
        <w:sz w:val="20"/>
        <w:szCs w:val="20"/>
      </w:rPr>
      <w:t>MK</w:t>
    </w:r>
    <w:r>
      <w:rPr>
        <w:sz w:val="20"/>
        <w:szCs w:val="20"/>
      </w:rPr>
      <w:t>221</w:t>
    </w:r>
    <w:r w:rsidRPr="004024C2">
      <w:rPr>
        <w:sz w:val="20"/>
        <w:szCs w:val="20"/>
      </w:rPr>
      <w:t xml:space="preserve">; </w:t>
    </w:r>
    <w:r w:rsidRPr="004024C2">
      <w:rPr>
        <w:color w:val="000000"/>
        <w:sz w:val="20"/>
        <w:szCs w:val="20"/>
      </w:rPr>
      <w:t xml:space="preserve">Ministru kabineta noteikumu projekta </w:t>
    </w:r>
    <w:r w:rsidRPr="004024C2">
      <w:rPr>
        <w:bCs/>
        <w:sz w:val="20"/>
        <w:szCs w:val="20"/>
      </w:rPr>
      <w:t>„Grozījum</w:t>
    </w:r>
    <w:r w:rsidR="00AD5B51">
      <w:rPr>
        <w:bCs/>
        <w:sz w:val="20"/>
        <w:szCs w:val="20"/>
      </w:rPr>
      <w:t>s</w:t>
    </w:r>
    <w:r w:rsidRPr="004024C2">
      <w:rPr>
        <w:bCs/>
        <w:sz w:val="20"/>
        <w:szCs w:val="20"/>
      </w:rPr>
      <w:t xml:space="preserve"> </w:t>
    </w:r>
    <w:r w:rsidRPr="004024C2">
      <w:rPr>
        <w:color w:val="000000"/>
        <w:sz w:val="20"/>
        <w:szCs w:val="20"/>
      </w:rPr>
      <w:t>Ministru kabineta 2009. gada 10. marta noteikumos Nr.221 „Noteikumi par elektroenerģijas ražošanu un cenu noteikšanu, ražojot elektroenerģiju koģenerācijā”</w:t>
    </w:r>
    <w:r w:rsidRPr="004024C2">
      <w:rPr>
        <w:bCs/>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A901B" w14:textId="77777777" w:rsidR="003606BF" w:rsidRDefault="003606BF">
      <w:r>
        <w:separator/>
      </w:r>
    </w:p>
  </w:footnote>
  <w:footnote w:type="continuationSeparator" w:id="0">
    <w:p w14:paraId="631F4AEB" w14:textId="77777777" w:rsidR="003606BF" w:rsidRDefault="003606BF">
      <w:r>
        <w:continuationSeparator/>
      </w:r>
    </w:p>
  </w:footnote>
  <w:footnote w:id="1">
    <w:p w14:paraId="30FFD3F1" w14:textId="77777777" w:rsidR="000618A5" w:rsidRPr="008204E8" w:rsidRDefault="000618A5" w:rsidP="00EF1296">
      <w:pPr>
        <w:pStyle w:val="FootnoteText"/>
        <w:jc w:val="both"/>
      </w:pPr>
      <w:r>
        <w:rPr>
          <w:rStyle w:val="FootnoteReference"/>
        </w:rPr>
        <w:footnoteRef/>
      </w:r>
      <w:r>
        <w:t xml:space="preserve"> </w:t>
      </w:r>
      <w:r w:rsidR="00AD5B51" w:rsidRPr="008204E8">
        <w:t>Eiropas Parlamenta un Padomes 2001. gada 27. septembra direktīva 2001/77/EK par tādas elektroenerģijas izmantošanas veicināšanu iekšējā tirgū, kas saražota, izmantojot atjaunojamos enerģijas avotus</w:t>
      </w:r>
    </w:p>
  </w:footnote>
  <w:footnote w:id="2">
    <w:p w14:paraId="61728D3B" w14:textId="77777777" w:rsidR="000618A5" w:rsidRPr="008204E8" w:rsidRDefault="000618A5" w:rsidP="00EF1296">
      <w:pPr>
        <w:pStyle w:val="FootnoteText"/>
        <w:jc w:val="both"/>
      </w:pPr>
      <w:r w:rsidRPr="008204E8">
        <w:rPr>
          <w:rStyle w:val="FootnoteReference"/>
        </w:rPr>
        <w:footnoteRef/>
      </w:r>
      <w:r w:rsidRPr="008204E8">
        <w:t xml:space="preserve"> </w:t>
      </w:r>
      <w:r w:rsidR="00AD5B51" w:rsidRPr="008204E8">
        <w:t>Eiropas Parlamenta un Padomes 2004. gada 11. februāra direktīvas 2004/8/EK par koģenerācijas, kas balstīta uz lietderīgā siltuma pieprasījumu, veicināšanu iekšējā enerģijas tirgū un grozījumu direktīvā 92/42/EEK</w:t>
      </w:r>
    </w:p>
  </w:footnote>
  <w:footnote w:id="3">
    <w:p w14:paraId="02A0F19F" w14:textId="77777777" w:rsidR="00AD5B51" w:rsidRDefault="00AD5B51" w:rsidP="00EF1296">
      <w:pPr>
        <w:pStyle w:val="FootnoteText"/>
        <w:jc w:val="both"/>
      </w:pPr>
      <w:r>
        <w:rPr>
          <w:rStyle w:val="FootnoteReference"/>
        </w:rPr>
        <w:footnoteRef/>
      </w:r>
      <w:r>
        <w:t xml:space="preserve"> </w:t>
      </w:r>
      <w:r w:rsidRPr="00AD5B51">
        <w:t>Eiropas Parlamenta un Padomes 2009. gada 23. aprīļa direktīva 2009/28/EK par atjaunojamo energoresursu izmantošanas veicināšanu un ar ko groza un sekojoši atceļ Direktīvas 2001/77/EK un 2003/30/EK</w:t>
      </w:r>
    </w:p>
  </w:footnote>
  <w:footnote w:id="4">
    <w:p w14:paraId="7362046D" w14:textId="77777777" w:rsidR="005D3F9C" w:rsidRDefault="005D3F9C" w:rsidP="005D3F9C">
      <w:pPr>
        <w:pStyle w:val="FootnoteText"/>
      </w:pPr>
      <w:r>
        <w:rPr>
          <w:rStyle w:val="FootnoteReference"/>
        </w:rPr>
        <w:footnoteRef/>
      </w:r>
      <w:r>
        <w:t xml:space="preserve"> </w:t>
      </w:r>
      <w:r w:rsidRPr="00E409F1">
        <w:t xml:space="preserve">Eiropas Komisija (2014). </w:t>
      </w:r>
      <w:r>
        <w:t xml:space="preserve">Eiropas </w:t>
      </w:r>
      <w:r w:rsidRPr="00E409F1">
        <w:t>Komisijas paziņojums. Pamatnostādnes par valsts atbalstu vides aizsardzībai un enerģētikai 2014.-2020. gadam (2014/C 200/01). OJ:C:2014:200, 28.06.2014, 1.-55.lpp.</w:t>
      </w:r>
    </w:p>
  </w:footnote>
  <w:footnote w:id="5">
    <w:p w14:paraId="1250B520" w14:textId="77777777" w:rsidR="008F10CD" w:rsidRDefault="008F10CD" w:rsidP="008F10CD">
      <w:pPr>
        <w:pStyle w:val="FootnoteText"/>
        <w:jc w:val="both"/>
      </w:pPr>
      <w:r>
        <w:rPr>
          <w:rStyle w:val="FootnoteReference"/>
        </w:rPr>
        <w:footnoteRef/>
      </w:r>
      <w:r>
        <w:t xml:space="preserve"> Satversmes tiesas 2015.gada 14.oktobra spriedums lietā Nr.2015-05-03, 23.lpp. Spriedums aplūkojams: (</w:t>
      </w:r>
      <w:hyperlink r:id="rId1" w:history="1">
        <w:r w:rsidRPr="00BD2A52">
          <w:rPr>
            <w:rStyle w:val="Hyperlink"/>
          </w:rPr>
          <w:t>http://www.satv.tiesa.gov.lv/upload/spriedums_2015-05-03.pdf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14:paraId="68EF2C4D" w14:textId="77777777" w:rsidR="00F72E13" w:rsidRDefault="0031785A">
        <w:pPr>
          <w:pStyle w:val="Header"/>
          <w:jc w:val="center"/>
        </w:pPr>
        <w:r>
          <w:fldChar w:fldCharType="begin"/>
        </w:r>
        <w:r>
          <w:instrText xml:space="preserve"> PAGE   \* MERGEFORMAT </w:instrText>
        </w:r>
        <w:r>
          <w:fldChar w:fldCharType="separate"/>
        </w:r>
        <w:r w:rsidR="0092210F">
          <w:rPr>
            <w:noProof/>
          </w:rPr>
          <w:t>8</w:t>
        </w:r>
        <w:r>
          <w:rPr>
            <w:noProof/>
          </w:rPr>
          <w:fldChar w:fldCharType="end"/>
        </w:r>
      </w:p>
    </w:sdtContent>
  </w:sdt>
  <w:p w14:paraId="3A837B9C" w14:textId="77777777" w:rsidR="00F72E13" w:rsidRDefault="00F7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2533"/>
    <w:rsid w:val="00002CFB"/>
    <w:rsid w:val="00003034"/>
    <w:rsid w:val="00006186"/>
    <w:rsid w:val="00006263"/>
    <w:rsid w:val="00015274"/>
    <w:rsid w:val="00023BE0"/>
    <w:rsid w:val="000307EC"/>
    <w:rsid w:val="00030E08"/>
    <w:rsid w:val="000347BE"/>
    <w:rsid w:val="000411A2"/>
    <w:rsid w:val="00045CA7"/>
    <w:rsid w:val="00053AB3"/>
    <w:rsid w:val="000618A5"/>
    <w:rsid w:val="00062AFB"/>
    <w:rsid w:val="000667C1"/>
    <w:rsid w:val="0008083E"/>
    <w:rsid w:val="00083D0E"/>
    <w:rsid w:val="00085923"/>
    <w:rsid w:val="0009208B"/>
    <w:rsid w:val="00092EC2"/>
    <w:rsid w:val="000B1299"/>
    <w:rsid w:val="000B2F14"/>
    <w:rsid w:val="000B654C"/>
    <w:rsid w:val="000C0068"/>
    <w:rsid w:val="000C346D"/>
    <w:rsid w:val="000C3A7F"/>
    <w:rsid w:val="000C4407"/>
    <w:rsid w:val="000C5C51"/>
    <w:rsid w:val="000C624C"/>
    <w:rsid w:val="000D0970"/>
    <w:rsid w:val="000D4C2E"/>
    <w:rsid w:val="000D7D82"/>
    <w:rsid w:val="000E2245"/>
    <w:rsid w:val="000E690F"/>
    <w:rsid w:val="000F0035"/>
    <w:rsid w:val="000F6095"/>
    <w:rsid w:val="00104C67"/>
    <w:rsid w:val="0011496F"/>
    <w:rsid w:val="0012248A"/>
    <w:rsid w:val="00131719"/>
    <w:rsid w:val="00141922"/>
    <w:rsid w:val="00144309"/>
    <w:rsid w:val="00146184"/>
    <w:rsid w:val="00147B5F"/>
    <w:rsid w:val="00155A90"/>
    <w:rsid w:val="0015761D"/>
    <w:rsid w:val="00171647"/>
    <w:rsid w:val="00171B35"/>
    <w:rsid w:val="00171C09"/>
    <w:rsid w:val="0018115A"/>
    <w:rsid w:val="00183897"/>
    <w:rsid w:val="00186BBC"/>
    <w:rsid w:val="00187797"/>
    <w:rsid w:val="00197F67"/>
    <w:rsid w:val="001A3BE3"/>
    <w:rsid w:val="001A6C2B"/>
    <w:rsid w:val="001A72AA"/>
    <w:rsid w:val="001B02B1"/>
    <w:rsid w:val="001B4DC7"/>
    <w:rsid w:val="001C1A2E"/>
    <w:rsid w:val="001D1B66"/>
    <w:rsid w:val="001E3714"/>
    <w:rsid w:val="001F1A2E"/>
    <w:rsid w:val="001F72E1"/>
    <w:rsid w:val="002000B5"/>
    <w:rsid w:val="00204A0F"/>
    <w:rsid w:val="002051F5"/>
    <w:rsid w:val="002056DF"/>
    <w:rsid w:val="00205ACF"/>
    <w:rsid w:val="00205F55"/>
    <w:rsid w:val="00212C50"/>
    <w:rsid w:val="00213196"/>
    <w:rsid w:val="00213A4F"/>
    <w:rsid w:val="0022321E"/>
    <w:rsid w:val="00225654"/>
    <w:rsid w:val="00230712"/>
    <w:rsid w:val="00235C64"/>
    <w:rsid w:val="002365F1"/>
    <w:rsid w:val="00245DB5"/>
    <w:rsid w:val="002562B8"/>
    <w:rsid w:val="002601AE"/>
    <w:rsid w:val="002612CE"/>
    <w:rsid w:val="00263785"/>
    <w:rsid w:val="002762A5"/>
    <w:rsid w:val="0028250F"/>
    <w:rsid w:val="002830FC"/>
    <w:rsid w:val="00285473"/>
    <w:rsid w:val="00292262"/>
    <w:rsid w:val="002A7703"/>
    <w:rsid w:val="002B44AF"/>
    <w:rsid w:val="002B64C9"/>
    <w:rsid w:val="002B708A"/>
    <w:rsid w:val="002D7C67"/>
    <w:rsid w:val="002E584A"/>
    <w:rsid w:val="002E732D"/>
    <w:rsid w:val="0030164A"/>
    <w:rsid w:val="0031785A"/>
    <w:rsid w:val="00321F7E"/>
    <w:rsid w:val="00322ACC"/>
    <w:rsid w:val="00325030"/>
    <w:rsid w:val="003255EE"/>
    <w:rsid w:val="003524DF"/>
    <w:rsid w:val="00355EED"/>
    <w:rsid w:val="00356796"/>
    <w:rsid w:val="003606BF"/>
    <w:rsid w:val="00367663"/>
    <w:rsid w:val="003716AE"/>
    <w:rsid w:val="00374BAD"/>
    <w:rsid w:val="003754C8"/>
    <w:rsid w:val="00377D1F"/>
    <w:rsid w:val="0038787E"/>
    <w:rsid w:val="003938D5"/>
    <w:rsid w:val="00397020"/>
    <w:rsid w:val="003B5686"/>
    <w:rsid w:val="003B6256"/>
    <w:rsid w:val="003C5082"/>
    <w:rsid w:val="003C574F"/>
    <w:rsid w:val="003D44D3"/>
    <w:rsid w:val="003E00E1"/>
    <w:rsid w:val="003E0379"/>
    <w:rsid w:val="003F3B08"/>
    <w:rsid w:val="003F7923"/>
    <w:rsid w:val="004024C2"/>
    <w:rsid w:val="0042350B"/>
    <w:rsid w:val="00423A58"/>
    <w:rsid w:val="00424C72"/>
    <w:rsid w:val="0043460D"/>
    <w:rsid w:val="00435C4E"/>
    <w:rsid w:val="00436FED"/>
    <w:rsid w:val="00444F36"/>
    <w:rsid w:val="00445CE6"/>
    <w:rsid w:val="00450E77"/>
    <w:rsid w:val="00454A67"/>
    <w:rsid w:val="00456AB4"/>
    <w:rsid w:val="00456C99"/>
    <w:rsid w:val="004602E5"/>
    <w:rsid w:val="0046219B"/>
    <w:rsid w:val="004625CB"/>
    <w:rsid w:val="0046388B"/>
    <w:rsid w:val="00464212"/>
    <w:rsid w:val="00467807"/>
    <w:rsid w:val="00467AE2"/>
    <w:rsid w:val="00470C42"/>
    <w:rsid w:val="00476C69"/>
    <w:rsid w:val="004874F2"/>
    <w:rsid w:val="00496E0A"/>
    <w:rsid w:val="004A7C3C"/>
    <w:rsid w:val="004B0A2B"/>
    <w:rsid w:val="004B2605"/>
    <w:rsid w:val="004B51EA"/>
    <w:rsid w:val="004B6002"/>
    <w:rsid w:val="004C1E1A"/>
    <w:rsid w:val="004C27A3"/>
    <w:rsid w:val="004E4FC5"/>
    <w:rsid w:val="00504184"/>
    <w:rsid w:val="00510E71"/>
    <w:rsid w:val="00515281"/>
    <w:rsid w:val="00516161"/>
    <w:rsid w:val="00525153"/>
    <w:rsid w:val="0052711C"/>
    <w:rsid w:val="00527E2C"/>
    <w:rsid w:val="005401D5"/>
    <w:rsid w:val="005502A9"/>
    <w:rsid w:val="005674CF"/>
    <w:rsid w:val="00580579"/>
    <w:rsid w:val="00586632"/>
    <w:rsid w:val="005905EA"/>
    <w:rsid w:val="005953F7"/>
    <w:rsid w:val="00596E2D"/>
    <w:rsid w:val="00597319"/>
    <w:rsid w:val="005A3F8B"/>
    <w:rsid w:val="005B1DE9"/>
    <w:rsid w:val="005B49C4"/>
    <w:rsid w:val="005B72B9"/>
    <w:rsid w:val="005D2283"/>
    <w:rsid w:val="005D292D"/>
    <w:rsid w:val="005D3F9C"/>
    <w:rsid w:val="005D52E5"/>
    <w:rsid w:val="005E4FB7"/>
    <w:rsid w:val="005E5231"/>
    <w:rsid w:val="005E59EE"/>
    <w:rsid w:val="005F1654"/>
    <w:rsid w:val="005F499B"/>
    <w:rsid w:val="0060359C"/>
    <w:rsid w:val="00605930"/>
    <w:rsid w:val="00606F0F"/>
    <w:rsid w:val="006070AD"/>
    <w:rsid w:val="00607FC1"/>
    <w:rsid w:val="0061285C"/>
    <w:rsid w:val="00613CC4"/>
    <w:rsid w:val="006153C6"/>
    <w:rsid w:val="00621CFE"/>
    <w:rsid w:val="006233BE"/>
    <w:rsid w:val="00634C4B"/>
    <w:rsid w:val="00636316"/>
    <w:rsid w:val="0063700E"/>
    <w:rsid w:val="00642146"/>
    <w:rsid w:val="00642ED1"/>
    <w:rsid w:val="006444BD"/>
    <w:rsid w:val="006448A9"/>
    <w:rsid w:val="006450D6"/>
    <w:rsid w:val="00646084"/>
    <w:rsid w:val="00646ECB"/>
    <w:rsid w:val="006479B8"/>
    <w:rsid w:val="00653C42"/>
    <w:rsid w:val="0065682C"/>
    <w:rsid w:val="00661787"/>
    <w:rsid w:val="0066514E"/>
    <w:rsid w:val="00667AC4"/>
    <w:rsid w:val="00677470"/>
    <w:rsid w:val="00682CE4"/>
    <w:rsid w:val="00683362"/>
    <w:rsid w:val="00684126"/>
    <w:rsid w:val="0069091D"/>
    <w:rsid w:val="00693AC9"/>
    <w:rsid w:val="006943D4"/>
    <w:rsid w:val="006A06DE"/>
    <w:rsid w:val="006A7797"/>
    <w:rsid w:val="006B07E1"/>
    <w:rsid w:val="006B5BA5"/>
    <w:rsid w:val="006B6539"/>
    <w:rsid w:val="006B7369"/>
    <w:rsid w:val="006C6203"/>
    <w:rsid w:val="006C626F"/>
    <w:rsid w:val="006D1678"/>
    <w:rsid w:val="006D1AD3"/>
    <w:rsid w:val="006E4BB6"/>
    <w:rsid w:val="006E56FB"/>
    <w:rsid w:val="006F22B7"/>
    <w:rsid w:val="006F320B"/>
    <w:rsid w:val="006F4123"/>
    <w:rsid w:val="007040BF"/>
    <w:rsid w:val="00705AD8"/>
    <w:rsid w:val="0071109E"/>
    <w:rsid w:val="007135F5"/>
    <w:rsid w:val="00720C43"/>
    <w:rsid w:val="007213EE"/>
    <w:rsid w:val="00722569"/>
    <w:rsid w:val="00722D04"/>
    <w:rsid w:val="00726DBD"/>
    <w:rsid w:val="00727F9E"/>
    <w:rsid w:val="00731681"/>
    <w:rsid w:val="0073218E"/>
    <w:rsid w:val="007343BB"/>
    <w:rsid w:val="0074075A"/>
    <w:rsid w:val="0074115E"/>
    <w:rsid w:val="007423D7"/>
    <w:rsid w:val="00746295"/>
    <w:rsid w:val="00747175"/>
    <w:rsid w:val="007508D8"/>
    <w:rsid w:val="00752EA8"/>
    <w:rsid w:val="0075376F"/>
    <w:rsid w:val="00764D5D"/>
    <w:rsid w:val="00774214"/>
    <w:rsid w:val="00781525"/>
    <w:rsid w:val="0078546C"/>
    <w:rsid w:val="00790CA8"/>
    <w:rsid w:val="00794236"/>
    <w:rsid w:val="00797AEE"/>
    <w:rsid w:val="007A2129"/>
    <w:rsid w:val="007A4CFE"/>
    <w:rsid w:val="007A6A26"/>
    <w:rsid w:val="007A72E5"/>
    <w:rsid w:val="007A7613"/>
    <w:rsid w:val="007B3C6A"/>
    <w:rsid w:val="007B4C35"/>
    <w:rsid w:val="007C1F2A"/>
    <w:rsid w:val="007D2420"/>
    <w:rsid w:val="007E1A89"/>
    <w:rsid w:val="007F11D4"/>
    <w:rsid w:val="00804CFF"/>
    <w:rsid w:val="00811466"/>
    <w:rsid w:val="00811A09"/>
    <w:rsid w:val="008138F1"/>
    <w:rsid w:val="00814312"/>
    <w:rsid w:val="00815C3A"/>
    <w:rsid w:val="00817316"/>
    <w:rsid w:val="008204E8"/>
    <w:rsid w:val="00822526"/>
    <w:rsid w:val="00822FE8"/>
    <w:rsid w:val="008323C5"/>
    <w:rsid w:val="00840817"/>
    <w:rsid w:val="00851C84"/>
    <w:rsid w:val="00863ADD"/>
    <w:rsid w:val="008667DC"/>
    <w:rsid w:val="00867DEE"/>
    <w:rsid w:val="00871475"/>
    <w:rsid w:val="008745B3"/>
    <w:rsid w:val="008849BC"/>
    <w:rsid w:val="0089380C"/>
    <w:rsid w:val="008A2240"/>
    <w:rsid w:val="008A3446"/>
    <w:rsid w:val="008A64B2"/>
    <w:rsid w:val="008B0B85"/>
    <w:rsid w:val="008B0C26"/>
    <w:rsid w:val="008C222E"/>
    <w:rsid w:val="008C7745"/>
    <w:rsid w:val="008C7A3D"/>
    <w:rsid w:val="008D0DDD"/>
    <w:rsid w:val="008D6852"/>
    <w:rsid w:val="008E1079"/>
    <w:rsid w:val="008E1EA2"/>
    <w:rsid w:val="008F10CD"/>
    <w:rsid w:val="008F7768"/>
    <w:rsid w:val="00900F89"/>
    <w:rsid w:val="00903F26"/>
    <w:rsid w:val="00911250"/>
    <w:rsid w:val="00916830"/>
    <w:rsid w:val="0092210F"/>
    <w:rsid w:val="009352A5"/>
    <w:rsid w:val="00941618"/>
    <w:rsid w:val="009426AE"/>
    <w:rsid w:val="00944E33"/>
    <w:rsid w:val="00946975"/>
    <w:rsid w:val="0094759F"/>
    <w:rsid w:val="009515C4"/>
    <w:rsid w:val="009519B3"/>
    <w:rsid w:val="0095727B"/>
    <w:rsid w:val="009622AF"/>
    <w:rsid w:val="0099482E"/>
    <w:rsid w:val="009A090E"/>
    <w:rsid w:val="009A16A1"/>
    <w:rsid w:val="009A775F"/>
    <w:rsid w:val="009B0AFE"/>
    <w:rsid w:val="009B0D25"/>
    <w:rsid w:val="009B3275"/>
    <w:rsid w:val="009C444F"/>
    <w:rsid w:val="009D07A5"/>
    <w:rsid w:val="009D2285"/>
    <w:rsid w:val="009D502D"/>
    <w:rsid w:val="009E1CB5"/>
    <w:rsid w:val="009E385B"/>
    <w:rsid w:val="009F062C"/>
    <w:rsid w:val="00A01D4D"/>
    <w:rsid w:val="00A15255"/>
    <w:rsid w:val="00A24608"/>
    <w:rsid w:val="00A257A8"/>
    <w:rsid w:val="00A31910"/>
    <w:rsid w:val="00A3255A"/>
    <w:rsid w:val="00A45F3F"/>
    <w:rsid w:val="00A45F8E"/>
    <w:rsid w:val="00A53A71"/>
    <w:rsid w:val="00A63D1F"/>
    <w:rsid w:val="00A75B93"/>
    <w:rsid w:val="00A8143F"/>
    <w:rsid w:val="00A84158"/>
    <w:rsid w:val="00A92C0C"/>
    <w:rsid w:val="00A93A28"/>
    <w:rsid w:val="00A97BF9"/>
    <w:rsid w:val="00AA2980"/>
    <w:rsid w:val="00AA2F10"/>
    <w:rsid w:val="00AB1AE9"/>
    <w:rsid w:val="00AB264F"/>
    <w:rsid w:val="00AC0250"/>
    <w:rsid w:val="00AC0DCF"/>
    <w:rsid w:val="00AC1F53"/>
    <w:rsid w:val="00AC3AEF"/>
    <w:rsid w:val="00AC4672"/>
    <w:rsid w:val="00AC55C7"/>
    <w:rsid w:val="00AD12E3"/>
    <w:rsid w:val="00AD5B51"/>
    <w:rsid w:val="00AD6F6C"/>
    <w:rsid w:val="00AD7DC7"/>
    <w:rsid w:val="00AE10FF"/>
    <w:rsid w:val="00AE2232"/>
    <w:rsid w:val="00B06E68"/>
    <w:rsid w:val="00B078C3"/>
    <w:rsid w:val="00B1634A"/>
    <w:rsid w:val="00B20135"/>
    <w:rsid w:val="00B21B97"/>
    <w:rsid w:val="00B22DDF"/>
    <w:rsid w:val="00B27AAD"/>
    <w:rsid w:val="00B302B4"/>
    <w:rsid w:val="00B318BB"/>
    <w:rsid w:val="00B36AE9"/>
    <w:rsid w:val="00B45AEB"/>
    <w:rsid w:val="00B56B89"/>
    <w:rsid w:val="00B61505"/>
    <w:rsid w:val="00B6178C"/>
    <w:rsid w:val="00B64DB5"/>
    <w:rsid w:val="00B772E7"/>
    <w:rsid w:val="00B800AE"/>
    <w:rsid w:val="00B807CD"/>
    <w:rsid w:val="00B85E4C"/>
    <w:rsid w:val="00B8600D"/>
    <w:rsid w:val="00B87A66"/>
    <w:rsid w:val="00B91465"/>
    <w:rsid w:val="00B91CA0"/>
    <w:rsid w:val="00B947EB"/>
    <w:rsid w:val="00BA71FF"/>
    <w:rsid w:val="00BB5653"/>
    <w:rsid w:val="00BC4557"/>
    <w:rsid w:val="00BD0455"/>
    <w:rsid w:val="00BD263B"/>
    <w:rsid w:val="00BD3CE4"/>
    <w:rsid w:val="00BD4304"/>
    <w:rsid w:val="00BD4772"/>
    <w:rsid w:val="00BE2C72"/>
    <w:rsid w:val="00BF0206"/>
    <w:rsid w:val="00BF1DC6"/>
    <w:rsid w:val="00BF2755"/>
    <w:rsid w:val="00C0118A"/>
    <w:rsid w:val="00C1175D"/>
    <w:rsid w:val="00C1367F"/>
    <w:rsid w:val="00C13CB6"/>
    <w:rsid w:val="00C15E77"/>
    <w:rsid w:val="00C3315D"/>
    <w:rsid w:val="00C52054"/>
    <w:rsid w:val="00C62F24"/>
    <w:rsid w:val="00C63108"/>
    <w:rsid w:val="00C73B18"/>
    <w:rsid w:val="00C73BD5"/>
    <w:rsid w:val="00C770AD"/>
    <w:rsid w:val="00C870DB"/>
    <w:rsid w:val="00C96074"/>
    <w:rsid w:val="00CA4C33"/>
    <w:rsid w:val="00CA6B76"/>
    <w:rsid w:val="00CB4654"/>
    <w:rsid w:val="00CE59C1"/>
    <w:rsid w:val="00CF0035"/>
    <w:rsid w:val="00D04B59"/>
    <w:rsid w:val="00D05A30"/>
    <w:rsid w:val="00D152D4"/>
    <w:rsid w:val="00D25278"/>
    <w:rsid w:val="00D34BD0"/>
    <w:rsid w:val="00D35394"/>
    <w:rsid w:val="00D6038E"/>
    <w:rsid w:val="00D62F85"/>
    <w:rsid w:val="00D70509"/>
    <w:rsid w:val="00D725F0"/>
    <w:rsid w:val="00D72D4D"/>
    <w:rsid w:val="00D751B0"/>
    <w:rsid w:val="00D76697"/>
    <w:rsid w:val="00D800A7"/>
    <w:rsid w:val="00D81689"/>
    <w:rsid w:val="00D8433F"/>
    <w:rsid w:val="00D85761"/>
    <w:rsid w:val="00D95162"/>
    <w:rsid w:val="00D97048"/>
    <w:rsid w:val="00D976BB"/>
    <w:rsid w:val="00DA176A"/>
    <w:rsid w:val="00DA26CB"/>
    <w:rsid w:val="00DA7022"/>
    <w:rsid w:val="00DB08E1"/>
    <w:rsid w:val="00DB1DA9"/>
    <w:rsid w:val="00DC5C95"/>
    <w:rsid w:val="00DC7B61"/>
    <w:rsid w:val="00DD3FB8"/>
    <w:rsid w:val="00DD528A"/>
    <w:rsid w:val="00DD6BE1"/>
    <w:rsid w:val="00DE0E8D"/>
    <w:rsid w:val="00DE1024"/>
    <w:rsid w:val="00DE3B12"/>
    <w:rsid w:val="00DF012F"/>
    <w:rsid w:val="00DF18D9"/>
    <w:rsid w:val="00DF6696"/>
    <w:rsid w:val="00E04040"/>
    <w:rsid w:val="00E04F4C"/>
    <w:rsid w:val="00E12E17"/>
    <w:rsid w:val="00E23870"/>
    <w:rsid w:val="00E33C97"/>
    <w:rsid w:val="00E40368"/>
    <w:rsid w:val="00E40631"/>
    <w:rsid w:val="00E40CD5"/>
    <w:rsid w:val="00E440E8"/>
    <w:rsid w:val="00E46280"/>
    <w:rsid w:val="00E60D37"/>
    <w:rsid w:val="00E620BE"/>
    <w:rsid w:val="00E63022"/>
    <w:rsid w:val="00E6657E"/>
    <w:rsid w:val="00E71495"/>
    <w:rsid w:val="00E92C6D"/>
    <w:rsid w:val="00E97011"/>
    <w:rsid w:val="00EA04BE"/>
    <w:rsid w:val="00EA18F1"/>
    <w:rsid w:val="00EA2AA3"/>
    <w:rsid w:val="00EA43AB"/>
    <w:rsid w:val="00EA7A72"/>
    <w:rsid w:val="00EB01F6"/>
    <w:rsid w:val="00EB2194"/>
    <w:rsid w:val="00EB7FA3"/>
    <w:rsid w:val="00EC14D6"/>
    <w:rsid w:val="00EC4F25"/>
    <w:rsid w:val="00ED03F5"/>
    <w:rsid w:val="00ED708F"/>
    <w:rsid w:val="00EE1FDB"/>
    <w:rsid w:val="00EE2530"/>
    <w:rsid w:val="00EE2F3C"/>
    <w:rsid w:val="00EE2FD6"/>
    <w:rsid w:val="00EF1296"/>
    <w:rsid w:val="00EF6D34"/>
    <w:rsid w:val="00F0583F"/>
    <w:rsid w:val="00F17731"/>
    <w:rsid w:val="00F17D87"/>
    <w:rsid w:val="00F20DA3"/>
    <w:rsid w:val="00F25D11"/>
    <w:rsid w:val="00F25D4D"/>
    <w:rsid w:val="00F34E04"/>
    <w:rsid w:val="00F36583"/>
    <w:rsid w:val="00F3698F"/>
    <w:rsid w:val="00F40385"/>
    <w:rsid w:val="00F41EFF"/>
    <w:rsid w:val="00F421D7"/>
    <w:rsid w:val="00F503BA"/>
    <w:rsid w:val="00F50DC4"/>
    <w:rsid w:val="00F54A75"/>
    <w:rsid w:val="00F554BE"/>
    <w:rsid w:val="00F72E13"/>
    <w:rsid w:val="00F77128"/>
    <w:rsid w:val="00F813D1"/>
    <w:rsid w:val="00F821C4"/>
    <w:rsid w:val="00F82EE3"/>
    <w:rsid w:val="00F87271"/>
    <w:rsid w:val="00F87FA1"/>
    <w:rsid w:val="00F91240"/>
    <w:rsid w:val="00F94D3F"/>
    <w:rsid w:val="00F9798A"/>
    <w:rsid w:val="00FB0404"/>
    <w:rsid w:val="00FB2C7D"/>
    <w:rsid w:val="00FB4700"/>
    <w:rsid w:val="00FB4CBB"/>
    <w:rsid w:val="00FC1CC8"/>
    <w:rsid w:val="00FD02B2"/>
    <w:rsid w:val="00FE0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99B87"/>
  <w15:docId w15:val="{19FBC58F-7EFD-451D-8603-52FA3097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1E"/>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C1A2E"/>
  </w:style>
  <w:style w:type="character" w:styleId="FootnoteReference">
    <w:name w:val="footnote reference"/>
    <w:aliases w:val="Footnote Reference Number,SUPERS"/>
    <w:basedOn w:val="DefaultParagraphFon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character" w:styleId="FollowedHyperlink">
    <w:name w:val="FollowedHyperlink"/>
    <w:basedOn w:val="DefaultParagraphFont"/>
    <w:semiHidden/>
    <w:unhideWhenUsed/>
    <w:rsid w:val="00F55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Logi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tv.tiesa.gov.lv/upload/spriedums_2015-05-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B1FB-FCBB-4DF9-B125-85A84E8D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2182</Words>
  <Characters>15704</Characters>
  <Application>Microsoft Office Word</Application>
  <DocSecurity>0</DocSecurity>
  <Lines>392</Lines>
  <Paragraphs>89</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17797</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Logina</dc:creator>
  <cp:lastModifiedBy>Baiba Logina</cp:lastModifiedBy>
  <cp:revision>9</cp:revision>
  <cp:lastPrinted>2011-03-03T08:10:00Z</cp:lastPrinted>
  <dcterms:created xsi:type="dcterms:W3CDTF">2015-12-01T08:19:00Z</dcterms:created>
  <dcterms:modified xsi:type="dcterms:W3CDTF">2015-12-01T11:12:00Z</dcterms:modified>
</cp:coreProperties>
</file>