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CB3" w:rsidRPr="00974DF2" w:rsidRDefault="00222CB3" w:rsidP="00222CB3">
      <w:pPr>
        <w:pStyle w:val="NoSpacing"/>
        <w:jc w:val="center"/>
        <w:rPr>
          <w:b/>
          <w:bCs/>
          <w:sz w:val="26"/>
          <w:szCs w:val="26"/>
        </w:rPr>
      </w:pPr>
      <w:r w:rsidRPr="00974DF2">
        <w:rPr>
          <w:b/>
          <w:sz w:val="26"/>
          <w:szCs w:val="26"/>
        </w:rPr>
        <w:t xml:space="preserve">Ministru kabineta </w:t>
      </w:r>
      <w:r w:rsidR="004D7EAC" w:rsidRPr="00974DF2">
        <w:rPr>
          <w:b/>
          <w:sz w:val="26"/>
          <w:szCs w:val="26"/>
        </w:rPr>
        <w:t>noteikumu</w:t>
      </w:r>
      <w:r w:rsidRPr="00974DF2">
        <w:rPr>
          <w:b/>
          <w:sz w:val="26"/>
          <w:szCs w:val="26"/>
        </w:rPr>
        <w:t xml:space="preserve"> projekta „</w:t>
      </w:r>
      <w:r w:rsidR="0033668E">
        <w:rPr>
          <w:b/>
          <w:sz w:val="26"/>
          <w:szCs w:val="26"/>
        </w:rPr>
        <w:t>Grozījumi</w:t>
      </w:r>
      <w:r w:rsidR="00787DD2" w:rsidRPr="00974DF2">
        <w:rPr>
          <w:b/>
          <w:sz w:val="26"/>
          <w:szCs w:val="26"/>
        </w:rPr>
        <w:t xml:space="preserve"> Ministru kabineta 2006</w:t>
      </w:r>
      <w:r w:rsidR="004D7EAC" w:rsidRPr="00974DF2">
        <w:rPr>
          <w:b/>
          <w:sz w:val="26"/>
          <w:szCs w:val="26"/>
        </w:rPr>
        <w:t>.</w:t>
      </w:r>
      <w:r w:rsidR="0059736E">
        <w:rPr>
          <w:b/>
          <w:sz w:val="26"/>
          <w:szCs w:val="26"/>
        </w:rPr>
        <w:t> </w:t>
      </w:r>
      <w:r w:rsidR="004D7EAC" w:rsidRPr="00974DF2">
        <w:rPr>
          <w:b/>
          <w:sz w:val="26"/>
          <w:szCs w:val="26"/>
        </w:rPr>
        <w:t>gada</w:t>
      </w:r>
      <w:r w:rsidR="00787DD2" w:rsidRPr="00974DF2">
        <w:rPr>
          <w:b/>
          <w:sz w:val="26"/>
          <w:szCs w:val="26"/>
        </w:rPr>
        <w:t xml:space="preserve"> </w:t>
      </w:r>
      <w:r w:rsidR="00C23B43">
        <w:rPr>
          <w:b/>
          <w:sz w:val="26"/>
          <w:szCs w:val="26"/>
        </w:rPr>
        <w:t>5</w:t>
      </w:r>
      <w:r w:rsidR="00787DD2" w:rsidRPr="00974DF2">
        <w:rPr>
          <w:b/>
          <w:sz w:val="26"/>
          <w:szCs w:val="26"/>
        </w:rPr>
        <w:t>.</w:t>
      </w:r>
      <w:r w:rsidR="0059736E">
        <w:rPr>
          <w:b/>
          <w:sz w:val="26"/>
          <w:szCs w:val="26"/>
        </w:rPr>
        <w:t> </w:t>
      </w:r>
      <w:r w:rsidR="00C23B43">
        <w:rPr>
          <w:b/>
          <w:sz w:val="26"/>
          <w:szCs w:val="26"/>
        </w:rPr>
        <w:t>decembra</w:t>
      </w:r>
      <w:r w:rsidR="00787DD2" w:rsidRPr="00974DF2">
        <w:rPr>
          <w:b/>
          <w:sz w:val="26"/>
          <w:szCs w:val="26"/>
        </w:rPr>
        <w:t xml:space="preserve"> noteikumos Nr.</w:t>
      </w:r>
      <w:r w:rsidR="0059736E">
        <w:rPr>
          <w:b/>
          <w:sz w:val="26"/>
          <w:szCs w:val="26"/>
        </w:rPr>
        <w:t> </w:t>
      </w:r>
      <w:r w:rsidR="00C23B43">
        <w:rPr>
          <w:b/>
          <w:sz w:val="26"/>
          <w:szCs w:val="26"/>
        </w:rPr>
        <w:t>981</w:t>
      </w:r>
      <w:r w:rsidR="004D7EAC" w:rsidRPr="00974DF2">
        <w:rPr>
          <w:b/>
          <w:sz w:val="26"/>
          <w:szCs w:val="26"/>
        </w:rPr>
        <w:t xml:space="preserve"> „</w:t>
      </w:r>
      <w:r w:rsidR="00C23B43" w:rsidRPr="00C23B43">
        <w:rPr>
          <w:b/>
          <w:bCs/>
          <w:sz w:val="26"/>
          <w:szCs w:val="26"/>
        </w:rPr>
        <w:t>Noteikumi par mērīšanas līdzekļu atkārtoto verificēšanu, verificēšanas sertifikātiem un verificēšanas atzīmēm</w:t>
      </w:r>
      <w:r w:rsidRPr="00974DF2">
        <w:rPr>
          <w:b/>
          <w:sz w:val="26"/>
          <w:szCs w:val="26"/>
        </w:rPr>
        <w:t>””</w:t>
      </w:r>
      <w:r w:rsidR="00022759">
        <w:rPr>
          <w:b/>
          <w:sz w:val="26"/>
          <w:szCs w:val="26"/>
        </w:rPr>
        <w:t xml:space="preserve"> </w:t>
      </w:r>
      <w:r w:rsidRPr="00974DF2">
        <w:rPr>
          <w:b/>
          <w:bCs/>
          <w:sz w:val="26"/>
          <w:szCs w:val="26"/>
        </w:rPr>
        <w:t>sākotnējās ietekmes novērtējuma ziņojums (anotācija)</w:t>
      </w:r>
    </w:p>
    <w:p w:rsidR="006B0C8B" w:rsidRPr="00974DF2" w:rsidRDefault="006B0C8B" w:rsidP="00222CB3">
      <w:pPr>
        <w:pStyle w:val="NoSpacing"/>
        <w:jc w:val="center"/>
        <w:rPr>
          <w:b/>
          <w:bCs/>
          <w:sz w:val="26"/>
          <w:szCs w:val="26"/>
        </w:rPr>
      </w:pPr>
    </w:p>
    <w:p w:rsidR="00222CB3" w:rsidRPr="00974DF2" w:rsidRDefault="00222CB3" w:rsidP="00222CB3">
      <w:pPr>
        <w:pStyle w:val="NoSpacing"/>
        <w:jc w:val="both"/>
        <w:rPr>
          <w:sz w:val="26"/>
          <w:szCs w:val="26"/>
        </w:rPr>
      </w:pPr>
    </w:p>
    <w:tbl>
      <w:tblPr>
        <w:tblStyle w:val="TableGrid"/>
        <w:tblW w:w="9351" w:type="dxa"/>
        <w:tblLook w:val="04A0" w:firstRow="1" w:lastRow="0" w:firstColumn="1" w:lastColumn="0" w:noHBand="0" w:noVBand="1"/>
      </w:tblPr>
      <w:tblGrid>
        <w:gridCol w:w="802"/>
        <w:gridCol w:w="2238"/>
        <w:gridCol w:w="6311"/>
      </w:tblGrid>
      <w:tr w:rsidR="00222CB3" w:rsidRPr="00974DF2" w:rsidTr="008D7B3D">
        <w:tc>
          <w:tcPr>
            <w:tcW w:w="9351" w:type="dxa"/>
            <w:gridSpan w:val="3"/>
          </w:tcPr>
          <w:p w:rsidR="00222CB3" w:rsidRPr="00974DF2" w:rsidRDefault="00222CB3" w:rsidP="00786053">
            <w:pPr>
              <w:pStyle w:val="NoSpacing"/>
              <w:jc w:val="center"/>
              <w:rPr>
                <w:b/>
                <w:sz w:val="26"/>
                <w:szCs w:val="26"/>
              </w:rPr>
            </w:pPr>
            <w:r w:rsidRPr="00974DF2">
              <w:rPr>
                <w:b/>
                <w:sz w:val="26"/>
                <w:szCs w:val="26"/>
              </w:rPr>
              <w:t>I. Tiesību akta projekta izstrādes nepieciešamība</w:t>
            </w:r>
          </w:p>
        </w:tc>
      </w:tr>
      <w:tr w:rsidR="00222CB3" w:rsidRPr="00974DF2" w:rsidTr="00BF2000">
        <w:tc>
          <w:tcPr>
            <w:tcW w:w="802" w:type="dxa"/>
          </w:tcPr>
          <w:p w:rsidR="00222CB3" w:rsidRPr="00974DF2" w:rsidRDefault="00222CB3" w:rsidP="00222CB3">
            <w:pPr>
              <w:pStyle w:val="NoSpacing"/>
              <w:jc w:val="both"/>
              <w:rPr>
                <w:sz w:val="26"/>
                <w:szCs w:val="26"/>
              </w:rPr>
            </w:pPr>
            <w:r w:rsidRPr="00974DF2">
              <w:rPr>
                <w:sz w:val="26"/>
                <w:szCs w:val="26"/>
              </w:rPr>
              <w:t>1.</w:t>
            </w:r>
          </w:p>
        </w:tc>
        <w:tc>
          <w:tcPr>
            <w:tcW w:w="2238" w:type="dxa"/>
          </w:tcPr>
          <w:p w:rsidR="00222CB3" w:rsidRPr="00974DF2" w:rsidRDefault="00222CB3" w:rsidP="00222CB3">
            <w:pPr>
              <w:pStyle w:val="NoSpacing"/>
              <w:jc w:val="both"/>
              <w:rPr>
                <w:sz w:val="26"/>
                <w:szCs w:val="26"/>
              </w:rPr>
            </w:pPr>
            <w:r w:rsidRPr="00974DF2">
              <w:rPr>
                <w:sz w:val="26"/>
                <w:szCs w:val="26"/>
              </w:rPr>
              <w:t>Pamatojums</w:t>
            </w:r>
          </w:p>
        </w:tc>
        <w:tc>
          <w:tcPr>
            <w:tcW w:w="6311" w:type="dxa"/>
          </w:tcPr>
          <w:p w:rsidR="00222CB3" w:rsidRPr="00292B56" w:rsidRDefault="00292B56" w:rsidP="00650643">
            <w:pPr>
              <w:pStyle w:val="NoSpacing"/>
              <w:jc w:val="both"/>
              <w:rPr>
                <w:sz w:val="26"/>
                <w:szCs w:val="26"/>
              </w:rPr>
            </w:pPr>
            <w:r>
              <w:rPr>
                <w:sz w:val="26"/>
                <w:szCs w:val="26"/>
              </w:rPr>
              <w:t>L</w:t>
            </w:r>
            <w:r w:rsidRPr="00292B56">
              <w:rPr>
                <w:sz w:val="26"/>
                <w:szCs w:val="26"/>
              </w:rPr>
              <w:t>ikuma “Par mērījumu vienotību” 6. </w:t>
            </w:r>
            <w:r>
              <w:rPr>
                <w:sz w:val="26"/>
                <w:szCs w:val="26"/>
              </w:rPr>
              <w:t>panta otrā daļa, 9.panta sestā daļa</w:t>
            </w:r>
            <w:r w:rsidRPr="00292B56">
              <w:rPr>
                <w:sz w:val="26"/>
                <w:szCs w:val="26"/>
              </w:rPr>
              <w:t xml:space="preserve"> un 10.</w:t>
            </w:r>
            <w:r w:rsidRPr="00292B56">
              <w:rPr>
                <w:sz w:val="26"/>
                <w:szCs w:val="26"/>
                <w:vertAlign w:val="superscript"/>
              </w:rPr>
              <w:t xml:space="preserve">1 </w:t>
            </w:r>
            <w:r>
              <w:rPr>
                <w:sz w:val="26"/>
                <w:szCs w:val="26"/>
              </w:rPr>
              <w:t>panta sestā daļa</w:t>
            </w:r>
          </w:p>
        </w:tc>
      </w:tr>
      <w:tr w:rsidR="00222CB3" w:rsidRPr="00974DF2" w:rsidTr="00BF2000">
        <w:tc>
          <w:tcPr>
            <w:tcW w:w="802" w:type="dxa"/>
          </w:tcPr>
          <w:p w:rsidR="00222CB3" w:rsidRPr="00974DF2" w:rsidRDefault="00222CB3" w:rsidP="00222CB3">
            <w:pPr>
              <w:pStyle w:val="NoSpacing"/>
              <w:jc w:val="both"/>
              <w:rPr>
                <w:sz w:val="26"/>
                <w:szCs w:val="26"/>
              </w:rPr>
            </w:pPr>
            <w:r w:rsidRPr="00974DF2">
              <w:rPr>
                <w:sz w:val="26"/>
                <w:szCs w:val="26"/>
              </w:rPr>
              <w:t>2.</w:t>
            </w:r>
          </w:p>
        </w:tc>
        <w:tc>
          <w:tcPr>
            <w:tcW w:w="2238" w:type="dxa"/>
          </w:tcPr>
          <w:p w:rsidR="00222CB3" w:rsidRPr="00974DF2" w:rsidRDefault="00222CB3" w:rsidP="00222CB3">
            <w:pPr>
              <w:pStyle w:val="NoSpacing"/>
              <w:jc w:val="both"/>
              <w:rPr>
                <w:sz w:val="26"/>
                <w:szCs w:val="26"/>
              </w:rPr>
            </w:pPr>
            <w:r w:rsidRPr="00974DF2">
              <w:rPr>
                <w:sz w:val="26"/>
                <w:szCs w:val="26"/>
              </w:rPr>
              <w:t>Pašreizējā situācija un problēmas, kuru risināšanai tiesību akta projekts izstrādāts, tiesiskā regulējuma mērķis un būtība</w:t>
            </w:r>
          </w:p>
        </w:tc>
        <w:tc>
          <w:tcPr>
            <w:tcW w:w="6311" w:type="dxa"/>
          </w:tcPr>
          <w:p w:rsidR="00D5490D" w:rsidRDefault="00292B56" w:rsidP="006E7525">
            <w:pPr>
              <w:pStyle w:val="NoSpacing"/>
              <w:jc w:val="both"/>
              <w:rPr>
                <w:sz w:val="26"/>
                <w:szCs w:val="26"/>
              </w:rPr>
            </w:pPr>
            <w:r w:rsidRPr="00292B56">
              <w:rPr>
                <w:sz w:val="26"/>
                <w:szCs w:val="26"/>
              </w:rPr>
              <w:t>Ministru kabineta 2006. </w:t>
            </w:r>
            <w:r>
              <w:rPr>
                <w:sz w:val="26"/>
                <w:szCs w:val="26"/>
              </w:rPr>
              <w:t>gada 5</w:t>
            </w:r>
            <w:r w:rsidRPr="00292B56">
              <w:rPr>
                <w:sz w:val="26"/>
                <w:szCs w:val="26"/>
              </w:rPr>
              <w:t>. </w:t>
            </w:r>
            <w:r>
              <w:rPr>
                <w:sz w:val="26"/>
                <w:szCs w:val="26"/>
              </w:rPr>
              <w:t>decembra noteikumi</w:t>
            </w:r>
            <w:r w:rsidRPr="00292B56">
              <w:rPr>
                <w:sz w:val="26"/>
                <w:szCs w:val="26"/>
              </w:rPr>
              <w:t xml:space="preserve"> Nr. </w:t>
            </w:r>
            <w:r>
              <w:rPr>
                <w:sz w:val="26"/>
                <w:szCs w:val="26"/>
              </w:rPr>
              <w:t>981</w:t>
            </w:r>
            <w:r w:rsidRPr="00292B56">
              <w:rPr>
                <w:sz w:val="26"/>
                <w:szCs w:val="26"/>
              </w:rPr>
              <w:t xml:space="preserve"> „Noteikumi par mērīšanas līdzekļu atkārtoto verificēšanu, verificēšanas sertifikātiem un verificēšanas atzīmēm”  (turpmāk – </w:t>
            </w:r>
            <w:r>
              <w:rPr>
                <w:sz w:val="26"/>
                <w:szCs w:val="26"/>
              </w:rPr>
              <w:t>N</w:t>
            </w:r>
            <w:r w:rsidRPr="00292B56">
              <w:rPr>
                <w:sz w:val="26"/>
                <w:szCs w:val="26"/>
              </w:rPr>
              <w:t>oteikumi Nr. </w:t>
            </w:r>
            <w:r>
              <w:rPr>
                <w:sz w:val="26"/>
                <w:szCs w:val="26"/>
              </w:rPr>
              <w:t>981</w:t>
            </w:r>
            <w:r w:rsidRPr="00292B56">
              <w:rPr>
                <w:sz w:val="26"/>
                <w:szCs w:val="26"/>
              </w:rPr>
              <w:t>)</w:t>
            </w:r>
            <w:r>
              <w:rPr>
                <w:sz w:val="26"/>
                <w:szCs w:val="26"/>
              </w:rPr>
              <w:t xml:space="preserve"> nosaka </w:t>
            </w:r>
            <w:r w:rsidRPr="00292B56">
              <w:rPr>
                <w:sz w:val="26"/>
                <w:szCs w:val="26"/>
              </w:rPr>
              <w:t>kārtību un prasības valsts metroloģiskajai kontrolei pakļauto mērīšanas līdzekļu atkārtotai verificēšanai un ārpuskārtas verificēšanai, kā arī apstiprina atkārtotās verificēšanas sertifikāta veidlapas paraugu, atkārtotās verificēšanas atzīmes veidus</w:t>
            </w:r>
            <w:r>
              <w:rPr>
                <w:sz w:val="26"/>
                <w:szCs w:val="26"/>
              </w:rPr>
              <w:t xml:space="preserve"> </w:t>
            </w:r>
            <w:r w:rsidRPr="00292B56">
              <w:rPr>
                <w:sz w:val="26"/>
                <w:szCs w:val="26"/>
              </w:rPr>
              <w:t>un to lietošanas kārtību.</w:t>
            </w:r>
            <w:r>
              <w:rPr>
                <w:sz w:val="26"/>
                <w:szCs w:val="26"/>
              </w:rPr>
              <w:t xml:space="preserve"> </w:t>
            </w:r>
          </w:p>
          <w:p w:rsidR="00440D89" w:rsidRDefault="00440D89" w:rsidP="006E7525">
            <w:pPr>
              <w:pStyle w:val="NoSpacing"/>
              <w:jc w:val="both"/>
              <w:rPr>
                <w:sz w:val="26"/>
                <w:szCs w:val="26"/>
              </w:rPr>
            </w:pPr>
            <w:r>
              <w:rPr>
                <w:sz w:val="26"/>
                <w:szCs w:val="26"/>
              </w:rPr>
              <w:t>Noteikumos Nr.981 ir identificētas šādas problēmas, kuras plānots novērst ar noteikumu projektu:</w:t>
            </w:r>
          </w:p>
          <w:p w:rsidR="00440D89" w:rsidRDefault="00D5490D" w:rsidP="006E7525">
            <w:pPr>
              <w:pStyle w:val="NoSpacing"/>
              <w:jc w:val="both"/>
              <w:rPr>
                <w:sz w:val="26"/>
                <w:szCs w:val="26"/>
              </w:rPr>
            </w:pPr>
            <w:bookmarkStart w:id="0" w:name="_GoBack"/>
            <w:r>
              <w:rPr>
                <w:sz w:val="26"/>
                <w:szCs w:val="26"/>
              </w:rPr>
              <w:t xml:space="preserve">1) </w:t>
            </w:r>
            <w:r w:rsidR="00292B56">
              <w:rPr>
                <w:sz w:val="26"/>
                <w:szCs w:val="26"/>
              </w:rPr>
              <w:t>Noteikumu Nr.981 25.punkts nosaka, ka a</w:t>
            </w:r>
            <w:r w:rsidR="00292B56" w:rsidRPr="00292B56">
              <w:rPr>
                <w:sz w:val="26"/>
                <w:szCs w:val="26"/>
              </w:rPr>
              <w:t xml:space="preserve">tsvarus, kuri nodoti lietošanā reglamentētajā jomā līdz </w:t>
            </w:r>
            <w:r w:rsidR="00292B56">
              <w:rPr>
                <w:sz w:val="26"/>
                <w:szCs w:val="26"/>
              </w:rPr>
              <w:t>Noteikumu Nr.981</w:t>
            </w:r>
            <w:r w:rsidR="00292B56" w:rsidRPr="00292B56">
              <w:rPr>
                <w:sz w:val="26"/>
                <w:szCs w:val="26"/>
              </w:rPr>
              <w:t xml:space="preserve"> spēkā stāšanās dienai un kuriem veikta verificēšana, atļauts lietot līdz 2015.gada 31.decembrim.</w:t>
            </w:r>
            <w:r w:rsidR="00955CCC">
              <w:rPr>
                <w:sz w:val="26"/>
                <w:szCs w:val="26"/>
              </w:rPr>
              <w:t xml:space="preserve"> Svarīgi norādīt, ka atsvari ir neatņemamam </w:t>
            </w:r>
            <w:r w:rsidR="00B6288F">
              <w:rPr>
                <w:sz w:val="26"/>
                <w:szCs w:val="26"/>
              </w:rPr>
              <w:t xml:space="preserve">neautomātisko </w:t>
            </w:r>
            <w:r w:rsidR="00955CCC">
              <w:rPr>
                <w:sz w:val="26"/>
                <w:szCs w:val="26"/>
              </w:rPr>
              <w:t>svaru darbības sastāvdaļa, kas tiek izmantots kā viens vesels meh</w:t>
            </w:r>
            <w:r w:rsidR="00440D89">
              <w:rPr>
                <w:sz w:val="26"/>
                <w:szCs w:val="26"/>
              </w:rPr>
              <w:t>ānisms noteiktajā svara mērīšanā</w:t>
            </w:r>
            <w:r w:rsidR="001D227E">
              <w:rPr>
                <w:sz w:val="26"/>
                <w:szCs w:val="26"/>
              </w:rPr>
              <w:t>, ja tie ir paredzēti neautomātisko svariem mērījumu veikšanai</w:t>
            </w:r>
            <w:r w:rsidR="00955CCC">
              <w:rPr>
                <w:sz w:val="26"/>
                <w:szCs w:val="26"/>
              </w:rPr>
              <w:t xml:space="preserve">. </w:t>
            </w:r>
            <w:r w:rsidR="00440D89">
              <w:rPr>
                <w:sz w:val="26"/>
                <w:szCs w:val="26"/>
              </w:rPr>
              <w:t xml:space="preserve">Šis termiņš ir saistīts ar </w:t>
            </w:r>
            <w:r w:rsidR="00440D89" w:rsidRPr="00B6288F">
              <w:rPr>
                <w:sz w:val="26"/>
                <w:szCs w:val="26"/>
              </w:rPr>
              <w:t>Ministru kabinet</w:t>
            </w:r>
            <w:r w:rsidR="00440D89">
              <w:rPr>
                <w:sz w:val="26"/>
                <w:szCs w:val="26"/>
              </w:rPr>
              <w:t>a 2006. gada 7. marta noteikumu</w:t>
            </w:r>
            <w:r w:rsidR="00440D89" w:rsidRPr="00B6288F">
              <w:rPr>
                <w:sz w:val="26"/>
                <w:szCs w:val="26"/>
              </w:rPr>
              <w:t xml:space="preserve"> Nr. 180 „Neautomātisko svaru atbilstības novērtēša</w:t>
            </w:r>
            <w:r w:rsidR="00440D89">
              <w:rPr>
                <w:sz w:val="26"/>
                <w:szCs w:val="26"/>
              </w:rPr>
              <w:t>nas noteikumi”  (turpmāk – N</w:t>
            </w:r>
            <w:r w:rsidR="00440D89" w:rsidRPr="00B6288F">
              <w:rPr>
                <w:sz w:val="26"/>
                <w:szCs w:val="26"/>
              </w:rPr>
              <w:t>oteikumi Nr. 180)</w:t>
            </w:r>
            <w:r w:rsidR="00440D89">
              <w:rPr>
                <w:sz w:val="26"/>
                <w:szCs w:val="26"/>
              </w:rPr>
              <w:t xml:space="preserve"> 26.punktā noteikto - </w:t>
            </w:r>
            <w:r w:rsidR="00440D89" w:rsidRPr="00B6288F">
              <w:rPr>
                <w:sz w:val="26"/>
                <w:szCs w:val="26"/>
              </w:rPr>
              <w:t>svarus, kuri nodoti lietošanā reglamentētajā jomā līdz šo noteikumu spēkā stāšanās dienai un neatbilst šo noteikumu prasībām, ir atļauts lietot līdz 2015. gada 31. </w:t>
            </w:r>
            <w:r w:rsidR="00440D89">
              <w:rPr>
                <w:sz w:val="26"/>
                <w:szCs w:val="26"/>
              </w:rPr>
              <w:t>d</w:t>
            </w:r>
            <w:r w:rsidR="00440D89" w:rsidRPr="00B6288F">
              <w:rPr>
                <w:sz w:val="26"/>
                <w:szCs w:val="26"/>
              </w:rPr>
              <w:t>ecembrim</w:t>
            </w:r>
            <w:r w:rsidR="00440D89">
              <w:rPr>
                <w:sz w:val="26"/>
                <w:szCs w:val="26"/>
              </w:rPr>
              <w:t>. Ievērojot Ekonomikas ministrijas izstrādātos grozījumus Noteikumos Nr.180</w:t>
            </w:r>
            <w:r w:rsidR="00A651A6">
              <w:rPr>
                <w:sz w:val="26"/>
                <w:szCs w:val="26"/>
              </w:rPr>
              <w:t>, kas paredz svītrot 26.punktu, atļaujot lietot neautomātisko svarus, kas neatbilst Noteikumu Nr.180 prasībām, ja tiem ir veikta atkārtotā verifikācija un tie ir atzīti par atbilstošiem būtiskajām prasībām un ir derīgi turpmākajai lietošanai, nepieciešams svītrot arī Noteikumu Nr.981 25.punktu.</w:t>
            </w:r>
            <w:r w:rsidR="00F67B8B" w:rsidRPr="00F67B8B">
              <w:rPr>
                <w:rFonts w:asciiTheme="minorHAnsi" w:eastAsiaTheme="minorHAnsi" w:hAnsiTheme="minorHAnsi" w:cstheme="minorBidi"/>
                <w:b/>
                <w:sz w:val="26"/>
                <w:szCs w:val="26"/>
                <w:lang w:eastAsia="en-US"/>
              </w:rPr>
              <w:t xml:space="preserve"> </w:t>
            </w:r>
            <w:r w:rsidR="00F67B8B" w:rsidRPr="00AC4CCD">
              <w:rPr>
                <w:sz w:val="26"/>
                <w:szCs w:val="26"/>
              </w:rPr>
              <w:t xml:space="preserve">Tādējādi arī pēc 2015.gada 31.decembra tiktu atļauts lietot atsvarus, kas nodoti lietošanā reglamentētajā jomā līdz 2006.gada 8.decembrim, ja tiem ir veikta atkārtotā verifikācija, saskaņā ar Ministru kabineta 2007. gada 9. janvāra noteikumos Nr. 40 “Noteikumi par valsts metroloģiskajai kontrolei pakļauto mērīšanas </w:t>
            </w:r>
            <w:r w:rsidR="00F67B8B" w:rsidRPr="00AC4CCD">
              <w:rPr>
                <w:sz w:val="26"/>
                <w:szCs w:val="26"/>
              </w:rPr>
              <w:lastRenderedPageBreak/>
              <w:t>līdzekļu sarakstu” noteikto periodiskumu, un tie ir atzīti par atbilstošiem un ir derīgi turpmākajai lietošanai.</w:t>
            </w:r>
          </w:p>
          <w:bookmarkEnd w:id="0"/>
          <w:p w:rsidR="00AC4CCD" w:rsidRPr="00AC4CCD" w:rsidRDefault="00AC4CCD" w:rsidP="006E7525">
            <w:pPr>
              <w:pStyle w:val="NoSpacing"/>
              <w:jc w:val="both"/>
              <w:rPr>
                <w:sz w:val="26"/>
                <w:szCs w:val="26"/>
              </w:rPr>
            </w:pPr>
            <w:r w:rsidRPr="00AC4CCD">
              <w:rPr>
                <w:sz w:val="26"/>
                <w:szCs w:val="26"/>
              </w:rPr>
              <w:t xml:space="preserve">Vienlaikus attiecībā uz atkārtotās verifikācijas sertifikātu derīguma termiņu, kas izsniegti </w:t>
            </w:r>
            <w:r>
              <w:rPr>
                <w:sz w:val="26"/>
                <w:szCs w:val="26"/>
              </w:rPr>
              <w:t xml:space="preserve">atsvariem, kuri </w:t>
            </w:r>
            <w:r w:rsidRPr="00AC4CCD">
              <w:rPr>
                <w:sz w:val="26"/>
                <w:szCs w:val="26"/>
              </w:rPr>
              <w:t xml:space="preserve">nodoti lietošanā reglamentētajā jomā līdz </w:t>
            </w:r>
            <w:r>
              <w:rPr>
                <w:sz w:val="26"/>
                <w:szCs w:val="26"/>
              </w:rPr>
              <w:t>N</w:t>
            </w:r>
            <w:r w:rsidRPr="00AC4CCD">
              <w:rPr>
                <w:sz w:val="26"/>
                <w:szCs w:val="26"/>
              </w:rPr>
              <w:t>oteikumu Nr.</w:t>
            </w:r>
            <w:r>
              <w:rPr>
                <w:sz w:val="26"/>
                <w:szCs w:val="26"/>
              </w:rPr>
              <w:t>981</w:t>
            </w:r>
            <w:r w:rsidRPr="00AC4CCD">
              <w:rPr>
                <w:sz w:val="26"/>
                <w:szCs w:val="26"/>
              </w:rPr>
              <w:t xml:space="preserve"> spēkā stāšanās dienai</w:t>
            </w:r>
            <w:r>
              <w:rPr>
                <w:sz w:val="26"/>
                <w:szCs w:val="26"/>
              </w:rPr>
              <w:t>, i</w:t>
            </w:r>
            <w:r w:rsidRPr="00AC4CCD">
              <w:rPr>
                <w:sz w:val="26"/>
                <w:szCs w:val="26"/>
              </w:rPr>
              <w:t>r piemērojams noteikumos Nr.40 noteiktais periodiskums.</w:t>
            </w:r>
          </w:p>
          <w:p w:rsidR="004F247A" w:rsidRDefault="00D5490D" w:rsidP="00D5490D">
            <w:pPr>
              <w:pStyle w:val="NoSpacing"/>
              <w:jc w:val="both"/>
              <w:rPr>
                <w:sz w:val="26"/>
                <w:szCs w:val="26"/>
              </w:rPr>
            </w:pPr>
            <w:r w:rsidRPr="008327EE">
              <w:rPr>
                <w:sz w:val="26"/>
                <w:szCs w:val="26"/>
              </w:rPr>
              <w:t xml:space="preserve">2) </w:t>
            </w:r>
            <w:r w:rsidR="00644F7D" w:rsidRPr="008327EE">
              <w:rPr>
                <w:sz w:val="26"/>
                <w:szCs w:val="26"/>
              </w:rPr>
              <w:t>Noteikumos Nr.981</w:t>
            </w:r>
            <w:r w:rsidR="008327EE">
              <w:rPr>
                <w:sz w:val="26"/>
                <w:szCs w:val="26"/>
              </w:rPr>
              <w:t xml:space="preserve"> ir noteikts</w:t>
            </w:r>
            <w:r w:rsidR="00644F7D" w:rsidRPr="008327EE">
              <w:rPr>
                <w:sz w:val="26"/>
                <w:szCs w:val="26"/>
              </w:rPr>
              <w:t xml:space="preserve"> </w:t>
            </w:r>
            <w:r w:rsidR="004B4CCD">
              <w:rPr>
                <w:sz w:val="26"/>
                <w:szCs w:val="26"/>
              </w:rPr>
              <w:t>m</w:t>
            </w:r>
            <w:r w:rsidR="004B4CCD" w:rsidRPr="004B4CCD">
              <w:rPr>
                <w:sz w:val="26"/>
                <w:szCs w:val="26"/>
              </w:rPr>
              <w:t>ērīšanas līdzekļu atkārtotās verificēšanas sertifikāta un atkārtotās verificē</w:t>
            </w:r>
            <w:r w:rsidR="00A651A6">
              <w:rPr>
                <w:sz w:val="26"/>
                <w:szCs w:val="26"/>
              </w:rPr>
              <w:t>šanas atzīmes lietošanas</w:t>
            </w:r>
            <w:r w:rsidR="008327EE">
              <w:rPr>
                <w:sz w:val="26"/>
                <w:szCs w:val="26"/>
              </w:rPr>
              <w:t>.</w:t>
            </w:r>
            <w:r w:rsidR="00644F7D" w:rsidRPr="008327EE">
              <w:rPr>
                <w:sz w:val="26"/>
                <w:szCs w:val="26"/>
              </w:rPr>
              <w:t xml:space="preserve"> </w:t>
            </w:r>
            <w:r w:rsidR="008327EE" w:rsidRPr="008327EE">
              <w:rPr>
                <w:sz w:val="26"/>
                <w:szCs w:val="26"/>
              </w:rPr>
              <w:t>Ekonomikas ministrija ir saņēmusi no mērinstrumentu verificēšanas institūcijām</w:t>
            </w:r>
            <w:r w:rsidR="003B0E73">
              <w:rPr>
                <w:sz w:val="26"/>
                <w:szCs w:val="26"/>
              </w:rPr>
              <w:t xml:space="preserve"> (turpmāk – inspekcijas)</w:t>
            </w:r>
            <w:r w:rsidR="008327EE" w:rsidRPr="008327EE">
              <w:rPr>
                <w:sz w:val="26"/>
                <w:szCs w:val="26"/>
              </w:rPr>
              <w:t xml:space="preserve"> informāciju, ka šobrīd </w:t>
            </w:r>
            <w:r w:rsidR="00C02CCE">
              <w:rPr>
                <w:sz w:val="26"/>
                <w:szCs w:val="26"/>
              </w:rPr>
              <w:t>Noteikumos</w:t>
            </w:r>
            <w:r w:rsidR="008327EE" w:rsidRPr="008327EE">
              <w:rPr>
                <w:sz w:val="26"/>
                <w:szCs w:val="26"/>
              </w:rPr>
              <w:t xml:space="preserve"> Nr.981</w:t>
            </w:r>
            <w:r w:rsidR="008327EE">
              <w:rPr>
                <w:sz w:val="26"/>
                <w:szCs w:val="26"/>
              </w:rPr>
              <w:t xml:space="preserve"> </w:t>
            </w:r>
            <w:r w:rsidR="00C02CCE">
              <w:rPr>
                <w:sz w:val="26"/>
                <w:szCs w:val="26"/>
              </w:rPr>
              <w:t xml:space="preserve">noteiktā </w:t>
            </w:r>
            <w:r w:rsidR="00247BE7">
              <w:rPr>
                <w:sz w:val="26"/>
                <w:szCs w:val="26"/>
              </w:rPr>
              <w:t>mērīšanas līdzekļu aizzīmogošanas kārtība nav piemērota visiem mērīšanas līdzekļiem, ņemot vērā to dažādus izmērus un konstrukcijas.</w:t>
            </w:r>
            <w:r w:rsidR="00DD6AA4">
              <w:rPr>
                <w:sz w:val="26"/>
                <w:szCs w:val="26"/>
              </w:rPr>
              <w:t xml:space="preserve"> Līdz ar to, daudziem mērīšanas līdzekļiem nav iespējams nodrošināt mērīšanas līdzekļa metroloģisko parametru neietekmēšanu ar Noteikumos Nr.981 </w:t>
            </w:r>
            <w:r w:rsidR="00DD6AA4" w:rsidRPr="002E7A30">
              <w:rPr>
                <w:sz w:val="26"/>
                <w:szCs w:val="26"/>
              </w:rPr>
              <w:t>noteiktajiem</w:t>
            </w:r>
            <w:r w:rsidR="002E7A30" w:rsidRPr="002E7A30">
              <w:rPr>
                <w:rFonts w:ascii="Arial" w:hAnsi="Arial" w:cs="Arial"/>
                <w:color w:val="414142"/>
                <w:sz w:val="20"/>
                <w:szCs w:val="20"/>
              </w:rPr>
              <w:t xml:space="preserve"> </w:t>
            </w:r>
            <w:r w:rsidR="002E7A30">
              <w:rPr>
                <w:sz w:val="26"/>
                <w:szCs w:val="26"/>
                <w:lang w:val="en-US"/>
              </w:rPr>
              <w:t>aizsargzīmogojumiem</w:t>
            </w:r>
            <w:r w:rsidR="00DD6AA4">
              <w:rPr>
                <w:sz w:val="26"/>
                <w:szCs w:val="26"/>
              </w:rPr>
              <w:t>. Izvērtējot inspekciju sniegto informā</w:t>
            </w:r>
            <w:r w:rsidR="002E7A30">
              <w:rPr>
                <w:sz w:val="26"/>
                <w:szCs w:val="26"/>
              </w:rPr>
              <w:t xml:space="preserve">ciju, Noteikumos Nr.981 tiek noteikts papildus jauns </w:t>
            </w:r>
            <w:r w:rsidR="002E7A30" w:rsidRPr="002E7A30">
              <w:rPr>
                <w:sz w:val="26"/>
                <w:szCs w:val="26"/>
              </w:rPr>
              <w:t>aizsargzīmogojuma veids, proti, aizsarguzlīme, kas ļaus nodrošin</w:t>
            </w:r>
            <w:r w:rsidR="002E7A30">
              <w:rPr>
                <w:sz w:val="26"/>
                <w:szCs w:val="26"/>
              </w:rPr>
              <w:t xml:space="preserve">āt </w:t>
            </w:r>
            <w:r w:rsidR="002E7A30" w:rsidRPr="002E7A30">
              <w:rPr>
                <w:sz w:val="26"/>
                <w:szCs w:val="26"/>
              </w:rPr>
              <w:t>mērinstrumentu metroloģisko param</w:t>
            </w:r>
            <w:r w:rsidR="002833DB">
              <w:rPr>
                <w:sz w:val="26"/>
                <w:szCs w:val="26"/>
              </w:rPr>
              <w:t>et</w:t>
            </w:r>
            <w:r w:rsidR="002E7A30" w:rsidRPr="002E7A30">
              <w:rPr>
                <w:sz w:val="26"/>
                <w:szCs w:val="26"/>
              </w:rPr>
              <w:t>ru neietekmēšanu</w:t>
            </w:r>
            <w:r w:rsidR="002E7A30">
              <w:rPr>
                <w:sz w:val="26"/>
                <w:szCs w:val="26"/>
              </w:rPr>
              <w:t xml:space="preserve"> dažādu veidu un konstrukciju mērinstrumentiem</w:t>
            </w:r>
            <w:r w:rsidR="004F247A">
              <w:rPr>
                <w:sz w:val="26"/>
                <w:szCs w:val="26"/>
              </w:rPr>
              <w:t xml:space="preserve">. </w:t>
            </w:r>
            <w:r w:rsidR="004F247A" w:rsidRPr="00AC4CCD">
              <w:rPr>
                <w:sz w:val="26"/>
                <w:szCs w:val="26"/>
              </w:rPr>
              <w:t xml:space="preserve">Tādējādi veicot </w:t>
            </w:r>
            <w:r w:rsidR="00816291" w:rsidRPr="00AC4CCD">
              <w:rPr>
                <w:sz w:val="26"/>
                <w:szCs w:val="26"/>
              </w:rPr>
              <w:t>mērīšanas līdzekļu</w:t>
            </w:r>
            <w:r w:rsidR="004F247A" w:rsidRPr="00AC4CCD">
              <w:rPr>
                <w:sz w:val="26"/>
                <w:szCs w:val="26"/>
              </w:rPr>
              <w:t xml:space="preserve"> atkārtoto verifikāciju un izvērtējot </w:t>
            </w:r>
            <w:r w:rsidR="00816291" w:rsidRPr="00AC4CCD">
              <w:rPr>
                <w:sz w:val="26"/>
                <w:szCs w:val="26"/>
              </w:rPr>
              <w:t>mērīšanas līdzekļa</w:t>
            </w:r>
            <w:r w:rsidR="004F247A" w:rsidRPr="00AC4CCD">
              <w:rPr>
                <w:sz w:val="26"/>
                <w:szCs w:val="26"/>
              </w:rPr>
              <w:t xml:space="preserve"> konstrukciju, inspekcija</w:t>
            </w:r>
            <w:r w:rsidR="00816291" w:rsidRPr="00AC4CCD">
              <w:rPr>
                <w:sz w:val="26"/>
                <w:szCs w:val="26"/>
              </w:rPr>
              <w:t>s</w:t>
            </w:r>
            <w:r w:rsidR="004F247A" w:rsidRPr="00AC4CCD">
              <w:rPr>
                <w:sz w:val="26"/>
                <w:szCs w:val="26"/>
              </w:rPr>
              <w:t xml:space="preserve"> varēs pielietot atbilstošāko aizsargz</w:t>
            </w:r>
            <w:r w:rsidR="00816291" w:rsidRPr="00AC4CCD">
              <w:rPr>
                <w:sz w:val="26"/>
                <w:szCs w:val="26"/>
              </w:rPr>
              <w:t>īmogojuma veidu (plomba</w:t>
            </w:r>
            <w:r w:rsidR="004F247A" w:rsidRPr="00AC4CCD">
              <w:rPr>
                <w:sz w:val="26"/>
                <w:szCs w:val="26"/>
              </w:rPr>
              <w:t xml:space="preserve">, aizsarguzlīme) tiem </w:t>
            </w:r>
            <w:r w:rsidR="00816291" w:rsidRPr="00AC4CCD">
              <w:rPr>
                <w:sz w:val="26"/>
                <w:szCs w:val="26"/>
              </w:rPr>
              <w:t>mērīšanas līdzekļiem</w:t>
            </w:r>
            <w:r w:rsidR="004F247A" w:rsidRPr="00AC4CCD">
              <w:rPr>
                <w:sz w:val="26"/>
                <w:szCs w:val="26"/>
              </w:rPr>
              <w:t>, kuru konstrukcijā ir paredzēta aizsargzīmogojuma izmantošana</w:t>
            </w:r>
            <w:r w:rsidR="00816291" w:rsidRPr="00AC4CCD">
              <w:rPr>
                <w:sz w:val="26"/>
                <w:szCs w:val="26"/>
              </w:rPr>
              <w:t>, kas</w:t>
            </w:r>
            <w:r w:rsidR="004F247A" w:rsidRPr="00AC4CCD">
              <w:rPr>
                <w:sz w:val="26"/>
                <w:szCs w:val="26"/>
              </w:rPr>
              <w:t xml:space="preserve"> </w:t>
            </w:r>
            <w:r w:rsidR="00816291" w:rsidRPr="00AC4CCD">
              <w:rPr>
                <w:sz w:val="26"/>
                <w:szCs w:val="26"/>
              </w:rPr>
              <w:t>nodrošina mērīšanas līdzekļa metroloģisko parametru neietekmēšanu.</w:t>
            </w:r>
            <w:r w:rsidR="00816291" w:rsidRPr="00816291">
              <w:rPr>
                <w:sz w:val="26"/>
                <w:szCs w:val="26"/>
              </w:rPr>
              <w:t xml:space="preserve"> </w:t>
            </w:r>
          </w:p>
          <w:p w:rsidR="003519C2" w:rsidRDefault="002E7A30" w:rsidP="00D5490D">
            <w:pPr>
              <w:pStyle w:val="NoSpacing"/>
              <w:jc w:val="both"/>
              <w:rPr>
                <w:sz w:val="26"/>
                <w:szCs w:val="26"/>
              </w:rPr>
            </w:pPr>
            <w:r>
              <w:rPr>
                <w:sz w:val="26"/>
                <w:szCs w:val="26"/>
              </w:rPr>
              <w:t>Vienlaikus</w:t>
            </w:r>
            <w:r w:rsidR="003519C2">
              <w:rPr>
                <w:sz w:val="26"/>
                <w:szCs w:val="26"/>
              </w:rPr>
              <w:t xml:space="preserve"> Noteikumos Nr.981 tiek atvieglota kārtība, kādā tirgus uzraudzības iestāde nodrošina, lai ārpuskārtas verificēšanas procedūras ietvaros netiktu pieļauta mērīšanas līdzekļu lietošana un/vai metroloģisko parametru ietekmējoša regulēšana. </w:t>
            </w:r>
          </w:p>
          <w:p w:rsidR="00FC28B7" w:rsidRPr="00F848F1" w:rsidRDefault="00AC7BA7" w:rsidP="00F848F1">
            <w:pPr>
              <w:pStyle w:val="NoSpacing"/>
              <w:jc w:val="both"/>
              <w:rPr>
                <w:sz w:val="26"/>
                <w:szCs w:val="26"/>
              </w:rPr>
            </w:pPr>
            <w:r>
              <w:rPr>
                <w:sz w:val="26"/>
                <w:szCs w:val="26"/>
              </w:rPr>
              <w:t xml:space="preserve">3) </w:t>
            </w:r>
            <w:r w:rsidR="009020A3">
              <w:rPr>
                <w:sz w:val="26"/>
                <w:szCs w:val="26"/>
              </w:rPr>
              <w:t>Noteikumu Nr.981 3.pielikuma 26.punktā ir noteiktas ūdens patēriņa skaitītāju atkārtotās verificēšanas precizitātes (maksimāli pieļaujamās kļūdas</w:t>
            </w:r>
            <w:r w:rsidR="005A690D">
              <w:rPr>
                <w:sz w:val="26"/>
                <w:szCs w:val="26"/>
              </w:rPr>
              <w:t>)</w:t>
            </w:r>
            <w:r w:rsidR="009020A3">
              <w:rPr>
                <w:sz w:val="26"/>
                <w:szCs w:val="26"/>
              </w:rPr>
              <w:t>. Savukārt Ministru kabineta 2006.gada 22.augusta noteikumu Nr.664 “</w:t>
            </w:r>
            <w:r w:rsidR="009020A3" w:rsidRPr="008231E6">
              <w:rPr>
                <w:sz w:val="26"/>
                <w:szCs w:val="26"/>
              </w:rPr>
              <w:t>Noteikumi par metroloģiskajām prasībām ūdens patēriņa skaitītājiem</w:t>
            </w:r>
            <w:r w:rsidR="009020A3">
              <w:rPr>
                <w:sz w:val="26"/>
                <w:szCs w:val="26"/>
              </w:rPr>
              <w:t xml:space="preserve">” (turpmāk – Noteikumi Nr.664), kas </w:t>
            </w:r>
            <w:r w:rsidR="009020A3" w:rsidRPr="008231E6">
              <w:rPr>
                <w:sz w:val="26"/>
                <w:szCs w:val="26"/>
              </w:rPr>
              <w:t>nosaka metroloģiskās prasības un atbilstības novērtēšanas procedūras ūdens patēriņa skaitītājiem, kas paredzēti tīrā aukstā vai siltā ūdens daudzuma uzskaitei dzīvojamo ēku, komerciālām un vieglās rūpniecības vajadzībām, pirms ūdens patēriņa skaitītāji tiek ievietoti iekšējā tirgū, nodoti lietošanā vai ievietoti iekšējā tirgū un nodoti lietošanā</w:t>
            </w:r>
            <w:r w:rsidR="009020A3">
              <w:rPr>
                <w:sz w:val="26"/>
                <w:szCs w:val="26"/>
              </w:rPr>
              <w:t xml:space="preserve">, pielikuma 2.punktā ir noteiktas lielākas ūdens patēriņa </w:t>
            </w:r>
            <w:r w:rsidR="009020A3">
              <w:rPr>
                <w:sz w:val="26"/>
                <w:szCs w:val="26"/>
              </w:rPr>
              <w:lastRenderedPageBreak/>
              <w:t>skaitītāju precizitātes (maksimāli pieļaujamā</w:t>
            </w:r>
            <w:r w:rsidR="005A690D">
              <w:rPr>
                <w:sz w:val="26"/>
                <w:szCs w:val="26"/>
              </w:rPr>
              <w:t>s kļūdas). Līdz ar to, šobrīd pastāv situācija, ka laižot tirgū</w:t>
            </w:r>
            <w:r w:rsidR="009020A3">
              <w:rPr>
                <w:sz w:val="26"/>
                <w:szCs w:val="26"/>
              </w:rPr>
              <w:t xml:space="preserve"> </w:t>
            </w:r>
            <w:r w:rsidR="009020A3" w:rsidRPr="00DF75E2">
              <w:rPr>
                <w:sz w:val="26"/>
                <w:szCs w:val="26"/>
              </w:rPr>
              <w:t>ūdens patēriņa skaitīt</w:t>
            </w:r>
            <w:r w:rsidR="009020A3">
              <w:rPr>
                <w:sz w:val="26"/>
                <w:szCs w:val="26"/>
              </w:rPr>
              <w:t>āju, tā precizitāte var būt mazāka</w:t>
            </w:r>
            <w:r w:rsidR="005A690D">
              <w:rPr>
                <w:sz w:val="26"/>
                <w:szCs w:val="26"/>
              </w:rPr>
              <w:t>, nekā tai ir jābūt atkārtotās verifikācijas laikā</w:t>
            </w:r>
            <w:r w:rsidR="009020A3">
              <w:rPr>
                <w:sz w:val="26"/>
                <w:szCs w:val="26"/>
              </w:rPr>
              <w:t>. Pēc būtības šāda situācija nav iespējama</w:t>
            </w:r>
            <w:r w:rsidR="005A690D">
              <w:rPr>
                <w:sz w:val="26"/>
                <w:szCs w:val="26"/>
              </w:rPr>
              <w:t xml:space="preserve">, līdz ar to secināms, ka </w:t>
            </w:r>
            <w:r w:rsidR="009020A3" w:rsidRPr="00DF75E2">
              <w:rPr>
                <w:sz w:val="26"/>
                <w:szCs w:val="26"/>
              </w:rPr>
              <w:t>Noteikumu Nr.981 izstrādes gaitā pie</w:t>
            </w:r>
            <w:r w:rsidR="009020A3">
              <w:rPr>
                <w:sz w:val="26"/>
                <w:szCs w:val="26"/>
              </w:rPr>
              <w:t xml:space="preserve">ļauta tehniska rakstura kļūda, </w:t>
            </w:r>
            <w:r w:rsidR="005A690D">
              <w:rPr>
                <w:sz w:val="26"/>
                <w:szCs w:val="26"/>
              </w:rPr>
              <w:t xml:space="preserve">kura tiks novērsta ar noteikumu projektu, saskaņojot Noteikumos Nr.981 3.pielikuma 26.punktā noteikto </w:t>
            </w:r>
            <w:r w:rsidR="009020A3" w:rsidRPr="00DF75E2">
              <w:rPr>
                <w:sz w:val="26"/>
                <w:szCs w:val="26"/>
              </w:rPr>
              <w:t xml:space="preserve">ūdens patēriņa skaitītāju atkārtotās </w:t>
            </w:r>
            <w:r w:rsidR="005A690D">
              <w:rPr>
                <w:sz w:val="26"/>
                <w:szCs w:val="26"/>
              </w:rPr>
              <w:t>verificēšanas precizitāti</w:t>
            </w:r>
            <w:r w:rsidR="009020A3" w:rsidRPr="00AC7BA7">
              <w:rPr>
                <w:sz w:val="26"/>
                <w:szCs w:val="26"/>
              </w:rPr>
              <w:t xml:space="preserve"> (maksimāli pieļaujamās kļūdas) </w:t>
            </w:r>
            <w:r w:rsidR="005A690D">
              <w:rPr>
                <w:sz w:val="26"/>
                <w:szCs w:val="26"/>
              </w:rPr>
              <w:t>ar Noteikumu</w:t>
            </w:r>
            <w:r w:rsidR="009020A3" w:rsidRPr="00AC7BA7">
              <w:rPr>
                <w:sz w:val="26"/>
                <w:szCs w:val="26"/>
              </w:rPr>
              <w:t xml:space="preserve"> Nr.664 pielikuma 2.punktā noteikt</w:t>
            </w:r>
            <w:r w:rsidR="005A690D">
              <w:rPr>
                <w:sz w:val="26"/>
                <w:szCs w:val="26"/>
              </w:rPr>
              <w:t>o</w:t>
            </w:r>
            <w:r w:rsidR="009020A3" w:rsidRPr="00AC7BA7">
              <w:rPr>
                <w:sz w:val="26"/>
                <w:szCs w:val="26"/>
              </w:rPr>
              <w:t xml:space="preserve"> precizitāt</w:t>
            </w:r>
            <w:r w:rsidR="005A690D">
              <w:rPr>
                <w:sz w:val="26"/>
                <w:szCs w:val="26"/>
              </w:rPr>
              <w:t>i</w:t>
            </w:r>
            <w:r w:rsidR="009020A3" w:rsidRPr="00AC7BA7">
              <w:rPr>
                <w:sz w:val="26"/>
                <w:szCs w:val="26"/>
              </w:rPr>
              <w:t>.</w:t>
            </w:r>
          </w:p>
        </w:tc>
      </w:tr>
      <w:tr w:rsidR="00222CB3" w:rsidRPr="00974DF2" w:rsidTr="00BF2000">
        <w:tc>
          <w:tcPr>
            <w:tcW w:w="802" w:type="dxa"/>
          </w:tcPr>
          <w:p w:rsidR="00222CB3" w:rsidRPr="00974DF2" w:rsidRDefault="00222CB3" w:rsidP="00222CB3">
            <w:pPr>
              <w:pStyle w:val="NoSpacing"/>
              <w:jc w:val="both"/>
              <w:rPr>
                <w:sz w:val="26"/>
                <w:szCs w:val="26"/>
              </w:rPr>
            </w:pPr>
            <w:r w:rsidRPr="00974DF2">
              <w:rPr>
                <w:sz w:val="26"/>
                <w:szCs w:val="26"/>
              </w:rPr>
              <w:lastRenderedPageBreak/>
              <w:t>3.</w:t>
            </w:r>
          </w:p>
        </w:tc>
        <w:tc>
          <w:tcPr>
            <w:tcW w:w="2238" w:type="dxa"/>
          </w:tcPr>
          <w:p w:rsidR="00222CB3" w:rsidRPr="00974DF2" w:rsidRDefault="00222CB3" w:rsidP="00222CB3">
            <w:pPr>
              <w:pStyle w:val="NoSpacing"/>
              <w:jc w:val="both"/>
              <w:rPr>
                <w:sz w:val="26"/>
                <w:szCs w:val="26"/>
              </w:rPr>
            </w:pPr>
            <w:r w:rsidRPr="00974DF2">
              <w:rPr>
                <w:sz w:val="26"/>
                <w:szCs w:val="26"/>
              </w:rPr>
              <w:t>Projekta izstrādē iesaistītās institūcijas</w:t>
            </w:r>
          </w:p>
        </w:tc>
        <w:tc>
          <w:tcPr>
            <w:tcW w:w="6311" w:type="dxa"/>
          </w:tcPr>
          <w:p w:rsidR="00222CB3" w:rsidRPr="00974DF2" w:rsidRDefault="00650643" w:rsidP="00C80AE4">
            <w:pPr>
              <w:pStyle w:val="NoSpacing"/>
              <w:jc w:val="both"/>
              <w:rPr>
                <w:sz w:val="26"/>
                <w:szCs w:val="26"/>
              </w:rPr>
            </w:pPr>
            <w:r w:rsidRPr="00974DF2">
              <w:rPr>
                <w:sz w:val="26"/>
                <w:szCs w:val="26"/>
              </w:rPr>
              <w:t>Patērētāju tiesību aizsardzības centrs</w:t>
            </w:r>
          </w:p>
        </w:tc>
      </w:tr>
      <w:tr w:rsidR="00222CB3" w:rsidRPr="00974DF2" w:rsidTr="00BF2000">
        <w:tc>
          <w:tcPr>
            <w:tcW w:w="802" w:type="dxa"/>
          </w:tcPr>
          <w:p w:rsidR="00222CB3" w:rsidRPr="00974DF2" w:rsidRDefault="00222CB3" w:rsidP="00222CB3">
            <w:pPr>
              <w:pStyle w:val="NoSpacing"/>
              <w:jc w:val="both"/>
              <w:rPr>
                <w:sz w:val="26"/>
                <w:szCs w:val="26"/>
              </w:rPr>
            </w:pPr>
            <w:r w:rsidRPr="00974DF2">
              <w:rPr>
                <w:sz w:val="26"/>
                <w:szCs w:val="26"/>
              </w:rPr>
              <w:t>4.</w:t>
            </w:r>
          </w:p>
        </w:tc>
        <w:tc>
          <w:tcPr>
            <w:tcW w:w="2238" w:type="dxa"/>
          </w:tcPr>
          <w:p w:rsidR="00222CB3" w:rsidRPr="00974DF2" w:rsidRDefault="00222CB3" w:rsidP="00222CB3">
            <w:pPr>
              <w:pStyle w:val="NoSpacing"/>
              <w:jc w:val="both"/>
              <w:rPr>
                <w:sz w:val="26"/>
                <w:szCs w:val="26"/>
              </w:rPr>
            </w:pPr>
            <w:r w:rsidRPr="00974DF2">
              <w:rPr>
                <w:sz w:val="26"/>
                <w:szCs w:val="26"/>
              </w:rPr>
              <w:t>Cita informācija</w:t>
            </w:r>
          </w:p>
        </w:tc>
        <w:tc>
          <w:tcPr>
            <w:tcW w:w="6311" w:type="dxa"/>
          </w:tcPr>
          <w:p w:rsidR="00222CB3" w:rsidRPr="00974DF2" w:rsidRDefault="005A690D" w:rsidP="005A690D">
            <w:pPr>
              <w:pStyle w:val="NoSpacing"/>
              <w:jc w:val="both"/>
              <w:rPr>
                <w:sz w:val="26"/>
                <w:szCs w:val="26"/>
              </w:rPr>
            </w:pPr>
            <w:r>
              <w:rPr>
                <w:sz w:val="26"/>
                <w:szCs w:val="26"/>
              </w:rPr>
              <w:t>N</w:t>
            </w:r>
            <w:r w:rsidR="00FA0640">
              <w:rPr>
                <w:sz w:val="26"/>
                <w:szCs w:val="26"/>
              </w:rPr>
              <w:t>oteikumu projekts</w:t>
            </w:r>
            <w:r>
              <w:rPr>
                <w:sz w:val="26"/>
                <w:szCs w:val="26"/>
              </w:rPr>
              <w:t xml:space="preserve"> ir</w:t>
            </w:r>
            <w:r w:rsidR="00FA0640">
              <w:rPr>
                <w:sz w:val="26"/>
                <w:szCs w:val="26"/>
              </w:rPr>
              <w:t xml:space="preserve"> saistīts ar </w:t>
            </w:r>
            <w:r w:rsidR="008765C5">
              <w:rPr>
                <w:sz w:val="26"/>
                <w:szCs w:val="26"/>
              </w:rPr>
              <w:t>grozījumiem Noteikumos Nr.180</w:t>
            </w:r>
            <w:r>
              <w:rPr>
                <w:sz w:val="26"/>
                <w:szCs w:val="26"/>
              </w:rPr>
              <w:t xml:space="preserve">, </w:t>
            </w:r>
            <w:r w:rsidR="008765C5">
              <w:rPr>
                <w:sz w:val="26"/>
                <w:szCs w:val="26"/>
              </w:rPr>
              <w:t>kas paredz atļaut turpināt lietot neautomātiskos svarus, kas neatbilst Noteikumu Nr.180 prasībām, ja tiem ir veikta atkārtotā verifikācija un tie ir atzīti par atbilstošiem būtiskajām prasībām un ir derīgi turpmākajai lietošanai.</w:t>
            </w:r>
          </w:p>
        </w:tc>
      </w:tr>
    </w:tbl>
    <w:p w:rsidR="006B0C8B" w:rsidRPr="00974DF2" w:rsidRDefault="006B0C8B" w:rsidP="00222CB3">
      <w:pPr>
        <w:pStyle w:val="NoSpacing"/>
        <w:jc w:val="both"/>
        <w:rPr>
          <w:sz w:val="26"/>
          <w:szCs w:val="26"/>
        </w:rPr>
      </w:pPr>
    </w:p>
    <w:p w:rsidR="006B0C8B" w:rsidRPr="00974DF2" w:rsidRDefault="006B0C8B" w:rsidP="00222CB3">
      <w:pPr>
        <w:pStyle w:val="NoSpacing"/>
        <w:jc w:val="both"/>
        <w:rPr>
          <w:sz w:val="26"/>
          <w:szCs w:val="26"/>
        </w:rPr>
      </w:pPr>
    </w:p>
    <w:tbl>
      <w:tblPr>
        <w:tblStyle w:val="TableGrid"/>
        <w:tblW w:w="9351" w:type="dxa"/>
        <w:tblLook w:val="04A0" w:firstRow="1" w:lastRow="0" w:firstColumn="1" w:lastColumn="0" w:noHBand="0" w:noVBand="1"/>
      </w:tblPr>
      <w:tblGrid>
        <w:gridCol w:w="802"/>
        <w:gridCol w:w="2248"/>
        <w:gridCol w:w="6301"/>
      </w:tblGrid>
      <w:tr w:rsidR="00222CB3" w:rsidRPr="00B57E2A" w:rsidTr="008D7B3D">
        <w:tc>
          <w:tcPr>
            <w:tcW w:w="9351" w:type="dxa"/>
            <w:gridSpan w:val="3"/>
          </w:tcPr>
          <w:p w:rsidR="00222CB3" w:rsidRPr="00B57E2A" w:rsidRDefault="00222CB3" w:rsidP="00786053">
            <w:pPr>
              <w:pStyle w:val="NoSpacing"/>
              <w:jc w:val="center"/>
              <w:rPr>
                <w:b/>
                <w:sz w:val="26"/>
                <w:szCs w:val="26"/>
              </w:rPr>
            </w:pPr>
            <w:r w:rsidRPr="00B57E2A">
              <w:rPr>
                <w:b/>
                <w:sz w:val="26"/>
                <w:szCs w:val="26"/>
              </w:rPr>
              <w:t>II. Tiesību akta projekta ietekme uz sabiedrību, tautsaimniecības attīstību un administratīvo slogu</w:t>
            </w:r>
          </w:p>
        </w:tc>
      </w:tr>
      <w:tr w:rsidR="00222CB3" w:rsidRPr="00B57E2A" w:rsidTr="008D7B3D">
        <w:tc>
          <w:tcPr>
            <w:tcW w:w="802" w:type="dxa"/>
          </w:tcPr>
          <w:p w:rsidR="00222CB3" w:rsidRPr="00B57E2A" w:rsidRDefault="00222CB3" w:rsidP="00222CB3">
            <w:pPr>
              <w:pStyle w:val="NoSpacing"/>
              <w:jc w:val="both"/>
              <w:rPr>
                <w:sz w:val="26"/>
                <w:szCs w:val="26"/>
              </w:rPr>
            </w:pPr>
            <w:r w:rsidRPr="00B57E2A">
              <w:rPr>
                <w:sz w:val="26"/>
                <w:szCs w:val="26"/>
              </w:rPr>
              <w:t>1.</w:t>
            </w:r>
          </w:p>
        </w:tc>
        <w:tc>
          <w:tcPr>
            <w:tcW w:w="2248" w:type="dxa"/>
          </w:tcPr>
          <w:p w:rsidR="00222CB3" w:rsidRPr="00B57E2A" w:rsidRDefault="00222CB3" w:rsidP="00222CB3">
            <w:pPr>
              <w:pStyle w:val="NoSpacing"/>
              <w:jc w:val="both"/>
              <w:rPr>
                <w:sz w:val="26"/>
                <w:szCs w:val="26"/>
              </w:rPr>
            </w:pPr>
            <w:r w:rsidRPr="00B57E2A">
              <w:rPr>
                <w:sz w:val="26"/>
                <w:szCs w:val="26"/>
              </w:rPr>
              <w:t>Sabiedrības mērķgrupas, kuras tiesiskais regulējums ietekmē vai varētu ietekmēt</w:t>
            </w:r>
          </w:p>
        </w:tc>
        <w:tc>
          <w:tcPr>
            <w:tcW w:w="6301" w:type="dxa"/>
          </w:tcPr>
          <w:p w:rsidR="00475F5B" w:rsidRPr="00B57E2A" w:rsidRDefault="00FD0EFC" w:rsidP="00465F7B">
            <w:pPr>
              <w:pStyle w:val="NoSpacing"/>
              <w:jc w:val="both"/>
              <w:rPr>
                <w:sz w:val="26"/>
                <w:szCs w:val="26"/>
              </w:rPr>
            </w:pPr>
            <w:r w:rsidRPr="00B57E2A">
              <w:rPr>
                <w:sz w:val="26"/>
                <w:szCs w:val="26"/>
              </w:rPr>
              <w:t xml:space="preserve">Noteikumu projekts attiecas uz </w:t>
            </w:r>
            <w:r w:rsidR="0016557E" w:rsidRPr="00B57E2A">
              <w:rPr>
                <w:sz w:val="26"/>
                <w:szCs w:val="26"/>
              </w:rPr>
              <w:t xml:space="preserve">visiem </w:t>
            </w:r>
            <w:r w:rsidR="00465F7B" w:rsidRPr="00B57E2A">
              <w:rPr>
                <w:sz w:val="26"/>
                <w:szCs w:val="26"/>
              </w:rPr>
              <w:t xml:space="preserve">mērīšanas līdzekļu </w:t>
            </w:r>
            <w:r w:rsidR="00022759" w:rsidRPr="00B57E2A">
              <w:rPr>
                <w:sz w:val="26"/>
                <w:szCs w:val="26"/>
              </w:rPr>
              <w:t>lietotājiem</w:t>
            </w:r>
            <w:r w:rsidR="0059736E" w:rsidRPr="00B57E2A">
              <w:rPr>
                <w:sz w:val="26"/>
                <w:szCs w:val="26"/>
              </w:rPr>
              <w:t xml:space="preserve"> reglamentētajā jomā, atbilstības novērtēšanas institūcijām, kas veic </w:t>
            </w:r>
            <w:r w:rsidR="00465F7B" w:rsidRPr="00B57E2A">
              <w:rPr>
                <w:sz w:val="26"/>
                <w:szCs w:val="26"/>
              </w:rPr>
              <w:t>mērīšanas līdzekļu atkārtoto</w:t>
            </w:r>
            <w:r w:rsidR="0059736E" w:rsidRPr="00B57E2A">
              <w:rPr>
                <w:sz w:val="26"/>
                <w:szCs w:val="26"/>
              </w:rPr>
              <w:t xml:space="preserve"> verifikāciju, kā arī tirgus uzraudzības institūciju</w:t>
            </w:r>
            <w:r w:rsidR="00022759" w:rsidRPr="00B57E2A">
              <w:rPr>
                <w:sz w:val="26"/>
                <w:szCs w:val="26"/>
              </w:rPr>
              <w:t xml:space="preserve"> - Patērē</w:t>
            </w:r>
            <w:r w:rsidR="0059736E" w:rsidRPr="00B57E2A">
              <w:rPr>
                <w:sz w:val="26"/>
                <w:szCs w:val="26"/>
              </w:rPr>
              <w:t>tāju tiesību aizsardzības centru</w:t>
            </w:r>
            <w:r w:rsidR="00022759" w:rsidRPr="00B57E2A">
              <w:rPr>
                <w:sz w:val="26"/>
                <w:szCs w:val="26"/>
              </w:rPr>
              <w:t>.</w:t>
            </w:r>
          </w:p>
        </w:tc>
      </w:tr>
      <w:tr w:rsidR="00222CB3" w:rsidRPr="00B57E2A" w:rsidTr="008D7B3D">
        <w:tc>
          <w:tcPr>
            <w:tcW w:w="802" w:type="dxa"/>
          </w:tcPr>
          <w:p w:rsidR="00222CB3" w:rsidRPr="00B57E2A" w:rsidRDefault="00222CB3" w:rsidP="00222CB3">
            <w:pPr>
              <w:pStyle w:val="NoSpacing"/>
              <w:jc w:val="both"/>
              <w:rPr>
                <w:sz w:val="26"/>
                <w:szCs w:val="26"/>
              </w:rPr>
            </w:pPr>
            <w:r w:rsidRPr="00B57E2A">
              <w:rPr>
                <w:sz w:val="26"/>
                <w:szCs w:val="26"/>
              </w:rPr>
              <w:t>2.</w:t>
            </w:r>
          </w:p>
        </w:tc>
        <w:tc>
          <w:tcPr>
            <w:tcW w:w="2248" w:type="dxa"/>
          </w:tcPr>
          <w:p w:rsidR="00222CB3" w:rsidRPr="00B57E2A" w:rsidRDefault="00222CB3" w:rsidP="00222CB3">
            <w:pPr>
              <w:pStyle w:val="NoSpacing"/>
              <w:jc w:val="both"/>
              <w:rPr>
                <w:sz w:val="26"/>
                <w:szCs w:val="26"/>
              </w:rPr>
            </w:pPr>
            <w:r w:rsidRPr="00B57E2A">
              <w:rPr>
                <w:sz w:val="26"/>
                <w:szCs w:val="26"/>
              </w:rPr>
              <w:t>Tiesiskā regulējuma ietekme uz tautsaimniecību un administratīvo slogu</w:t>
            </w:r>
          </w:p>
        </w:tc>
        <w:tc>
          <w:tcPr>
            <w:tcW w:w="6301" w:type="dxa"/>
          </w:tcPr>
          <w:p w:rsidR="008765C5" w:rsidRPr="00B57E2A" w:rsidRDefault="0059736E" w:rsidP="008765C5">
            <w:pPr>
              <w:pStyle w:val="NoSpacing"/>
              <w:jc w:val="both"/>
              <w:rPr>
                <w:sz w:val="26"/>
                <w:szCs w:val="26"/>
              </w:rPr>
            </w:pPr>
            <w:r w:rsidRPr="00B57E2A">
              <w:rPr>
                <w:sz w:val="26"/>
                <w:szCs w:val="26"/>
              </w:rPr>
              <w:t xml:space="preserve">Ar projektu tiek atļauts lietot verificētus </w:t>
            </w:r>
            <w:r w:rsidR="008765C5">
              <w:rPr>
                <w:sz w:val="26"/>
                <w:szCs w:val="26"/>
              </w:rPr>
              <w:t>atsvarus arī pēc 2015.gada 31.decembra, kas ļautu arī turpmāk izmantot neautomātiskos svarus, kuru izmantošanā nepieciešami atsvari</w:t>
            </w:r>
            <w:r w:rsidRPr="00B57E2A">
              <w:rPr>
                <w:sz w:val="26"/>
                <w:szCs w:val="26"/>
              </w:rPr>
              <w:t xml:space="preserve">, līdz ar to </w:t>
            </w:r>
            <w:r w:rsidR="009368F6" w:rsidRPr="00B57E2A">
              <w:rPr>
                <w:sz w:val="26"/>
                <w:szCs w:val="26"/>
              </w:rPr>
              <w:t xml:space="preserve">tiks samazināts administratīvais slogs </w:t>
            </w:r>
            <w:r w:rsidR="008765C5">
              <w:rPr>
                <w:sz w:val="26"/>
                <w:szCs w:val="26"/>
              </w:rPr>
              <w:t>mērīšanas līdzekļu lietotājiem.</w:t>
            </w:r>
            <w:r w:rsidR="009368F6" w:rsidRPr="00B57E2A">
              <w:rPr>
                <w:sz w:val="26"/>
                <w:szCs w:val="26"/>
              </w:rPr>
              <w:t xml:space="preserve"> </w:t>
            </w:r>
            <w:r w:rsidR="00652A0C" w:rsidRPr="00B57E2A">
              <w:rPr>
                <w:sz w:val="26"/>
                <w:szCs w:val="26"/>
              </w:rPr>
              <w:t>Vienlaikus ar</w:t>
            </w:r>
            <w:r w:rsidR="008765C5">
              <w:rPr>
                <w:sz w:val="26"/>
                <w:szCs w:val="26"/>
              </w:rPr>
              <w:t xml:space="preserve"> noteikumu</w:t>
            </w:r>
            <w:r w:rsidR="00652A0C" w:rsidRPr="00B57E2A">
              <w:rPr>
                <w:sz w:val="26"/>
                <w:szCs w:val="26"/>
              </w:rPr>
              <w:t xml:space="preserve"> projektu </w:t>
            </w:r>
            <w:r w:rsidR="008765C5">
              <w:rPr>
                <w:sz w:val="26"/>
                <w:szCs w:val="26"/>
              </w:rPr>
              <w:t xml:space="preserve">tiek veikti tehniski labojumi, kā arī tiek precizēta mērīšanas līdzekļu aizsargzīmogošanas kārtība, līdz ar to atvieglojot Noteikumu Nr.981 piemērošanas kārtību. Kopumā noteikumu projekts </w:t>
            </w:r>
            <w:r w:rsidR="008765C5" w:rsidRPr="00B57E2A">
              <w:rPr>
                <w:sz w:val="26"/>
                <w:szCs w:val="26"/>
              </w:rPr>
              <w:t>uzlabo uzņēmējdarbības vidi.</w:t>
            </w:r>
          </w:p>
        </w:tc>
      </w:tr>
      <w:tr w:rsidR="00222CB3" w:rsidRPr="00B57E2A" w:rsidTr="008D7B3D">
        <w:tc>
          <w:tcPr>
            <w:tcW w:w="802" w:type="dxa"/>
          </w:tcPr>
          <w:p w:rsidR="00222CB3" w:rsidRPr="00B57E2A" w:rsidRDefault="00222CB3" w:rsidP="00222CB3">
            <w:pPr>
              <w:pStyle w:val="NoSpacing"/>
              <w:jc w:val="both"/>
              <w:rPr>
                <w:sz w:val="26"/>
                <w:szCs w:val="26"/>
              </w:rPr>
            </w:pPr>
            <w:r w:rsidRPr="00B57E2A">
              <w:rPr>
                <w:sz w:val="26"/>
                <w:szCs w:val="26"/>
              </w:rPr>
              <w:t>3.</w:t>
            </w:r>
          </w:p>
        </w:tc>
        <w:tc>
          <w:tcPr>
            <w:tcW w:w="2248" w:type="dxa"/>
          </w:tcPr>
          <w:p w:rsidR="00222CB3" w:rsidRPr="00B57E2A" w:rsidRDefault="00222CB3" w:rsidP="00222CB3">
            <w:pPr>
              <w:pStyle w:val="NoSpacing"/>
              <w:jc w:val="both"/>
              <w:rPr>
                <w:sz w:val="26"/>
                <w:szCs w:val="26"/>
              </w:rPr>
            </w:pPr>
            <w:r w:rsidRPr="00B57E2A">
              <w:rPr>
                <w:sz w:val="26"/>
                <w:szCs w:val="26"/>
              </w:rPr>
              <w:t>Administratīvo izmaksu monetārs novērtējums</w:t>
            </w:r>
          </w:p>
        </w:tc>
        <w:tc>
          <w:tcPr>
            <w:tcW w:w="6301" w:type="dxa"/>
          </w:tcPr>
          <w:p w:rsidR="00222CB3" w:rsidRPr="00B57E2A" w:rsidRDefault="00022759" w:rsidP="00222CB3">
            <w:pPr>
              <w:pStyle w:val="NoSpacing"/>
              <w:jc w:val="both"/>
              <w:rPr>
                <w:sz w:val="26"/>
                <w:szCs w:val="26"/>
              </w:rPr>
            </w:pPr>
            <w:r w:rsidRPr="00B57E2A">
              <w:rPr>
                <w:sz w:val="26"/>
                <w:szCs w:val="26"/>
              </w:rPr>
              <w:t>Projekts šo jomu neskar</w:t>
            </w:r>
          </w:p>
        </w:tc>
      </w:tr>
      <w:tr w:rsidR="00222CB3" w:rsidRPr="00974DF2" w:rsidTr="008D7B3D">
        <w:tc>
          <w:tcPr>
            <w:tcW w:w="802" w:type="dxa"/>
          </w:tcPr>
          <w:p w:rsidR="00222CB3" w:rsidRPr="00B57E2A" w:rsidRDefault="00222CB3" w:rsidP="00222CB3">
            <w:pPr>
              <w:pStyle w:val="NoSpacing"/>
              <w:jc w:val="both"/>
              <w:rPr>
                <w:sz w:val="26"/>
                <w:szCs w:val="26"/>
              </w:rPr>
            </w:pPr>
            <w:r w:rsidRPr="00B57E2A">
              <w:rPr>
                <w:sz w:val="26"/>
                <w:szCs w:val="26"/>
              </w:rPr>
              <w:t>4.</w:t>
            </w:r>
          </w:p>
        </w:tc>
        <w:tc>
          <w:tcPr>
            <w:tcW w:w="2248" w:type="dxa"/>
          </w:tcPr>
          <w:p w:rsidR="00222CB3" w:rsidRPr="00B57E2A" w:rsidRDefault="00222CB3" w:rsidP="00222CB3">
            <w:pPr>
              <w:pStyle w:val="NoSpacing"/>
              <w:jc w:val="both"/>
              <w:rPr>
                <w:sz w:val="26"/>
                <w:szCs w:val="26"/>
              </w:rPr>
            </w:pPr>
            <w:r w:rsidRPr="00B57E2A">
              <w:rPr>
                <w:sz w:val="26"/>
                <w:szCs w:val="26"/>
              </w:rPr>
              <w:t>Cita informācija</w:t>
            </w:r>
          </w:p>
        </w:tc>
        <w:tc>
          <w:tcPr>
            <w:tcW w:w="6301" w:type="dxa"/>
          </w:tcPr>
          <w:p w:rsidR="00222CB3" w:rsidRPr="00974DF2" w:rsidRDefault="00222CB3" w:rsidP="00222CB3">
            <w:pPr>
              <w:pStyle w:val="NoSpacing"/>
              <w:jc w:val="both"/>
              <w:rPr>
                <w:sz w:val="26"/>
                <w:szCs w:val="26"/>
              </w:rPr>
            </w:pPr>
            <w:r w:rsidRPr="00B57E2A">
              <w:rPr>
                <w:sz w:val="26"/>
                <w:szCs w:val="26"/>
              </w:rPr>
              <w:t>Nav</w:t>
            </w:r>
            <w:r w:rsidRPr="00974DF2">
              <w:rPr>
                <w:sz w:val="26"/>
                <w:szCs w:val="26"/>
              </w:rPr>
              <w:t xml:space="preserve"> </w:t>
            </w:r>
          </w:p>
        </w:tc>
      </w:tr>
    </w:tbl>
    <w:p w:rsidR="00222CB3" w:rsidRPr="00974DF2" w:rsidRDefault="00222CB3" w:rsidP="00222CB3">
      <w:pPr>
        <w:pStyle w:val="NoSpacing"/>
        <w:jc w:val="both"/>
        <w:rPr>
          <w:i/>
          <w:sz w:val="26"/>
          <w:szCs w:val="26"/>
        </w:rPr>
      </w:pPr>
    </w:p>
    <w:tbl>
      <w:tblPr>
        <w:tblStyle w:val="TableGrid"/>
        <w:tblW w:w="9351" w:type="dxa"/>
        <w:tblLook w:val="04A0" w:firstRow="1" w:lastRow="0" w:firstColumn="1" w:lastColumn="0" w:noHBand="0" w:noVBand="1"/>
      </w:tblPr>
      <w:tblGrid>
        <w:gridCol w:w="800"/>
        <w:gridCol w:w="3200"/>
        <w:gridCol w:w="5351"/>
      </w:tblGrid>
      <w:tr w:rsidR="0002174A" w:rsidRPr="000856DC" w:rsidTr="00746830">
        <w:tc>
          <w:tcPr>
            <w:tcW w:w="9351" w:type="dxa"/>
            <w:gridSpan w:val="3"/>
          </w:tcPr>
          <w:p w:rsidR="0002174A" w:rsidRPr="000856DC" w:rsidRDefault="0002174A" w:rsidP="00746830">
            <w:pPr>
              <w:pStyle w:val="NoSpacing"/>
              <w:jc w:val="center"/>
              <w:rPr>
                <w:b/>
                <w:sz w:val="26"/>
                <w:szCs w:val="26"/>
              </w:rPr>
            </w:pPr>
            <w:r w:rsidRPr="000856DC">
              <w:rPr>
                <w:b/>
                <w:sz w:val="26"/>
                <w:szCs w:val="26"/>
              </w:rPr>
              <w:t xml:space="preserve">VI. </w:t>
            </w:r>
            <w:r w:rsidRPr="000856DC">
              <w:rPr>
                <w:b/>
                <w:bCs/>
                <w:sz w:val="26"/>
                <w:szCs w:val="26"/>
              </w:rPr>
              <w:t>Sabiedrības līdzdalība un komunikācijas aktivitātes</w:t>
            </w:r>
          </w:p>
        </w:tc>
      </w:tr>
      <w:tr w:rsidR="0002174A" w:rsidRPr="000856DC" w:rsidTr="00746830">
        <w:tc>
          <w:tcPr>
            <w:tcW w:w="800" w:type="dxa"/>
          </w:tcPr>
          <w:p w:rsidR="0002174A" w:rsidRPr="000856DC" w:rsidRDefault="0002174A" w:rsidP="0002174A">
            <w:pPr>
              <w:pStyle w:val="NoSpacing"/>
              <w:jc w:val="both"/>
              <w:rPr>
                <w:sz w:val="26"/>
                <w:szCs w:val="26"/>
              </w:rPr>
            </w:pPr>
            <w:r w:rsidRPr="000856DC">
              <w:rPr>
                <w:sz w:val="26"/>
                <w:szCs w:val="26"/>
              </w:rPr>
              <w:t>1.</w:t>
            </w:r>
          </w:p>
        </w:tc>
        <w:tc>
          <w:tcPr>
            <w:tcW w:w="3200" w:type="dxa"/>
          </w:tcPr>
          <w:p w:rsidR="0002174A" w:rsidRPr="000856DC" w:rsidRDefault="0002174A" w:rsidP="0002174A">
            <w:pPr>
              <w:pStyle w:val="NoSpacing"/>
              <w:jc w:val="both"/>
              <w:rPr>
                <w:sz w:val="26"/>
                <w:szCs w:val="26"/>
              </w:rPr>
            </w:pPr>
            <w:r w:rsidRPr="000856DC">
              <w:rPr>
                <w:sz w:val="26"/>
                <w:szCs w:val="26"/>
              </w:rPr>
              <w:t xml:space="preserve">Plānotās sabiedrības līdzdalības un </w:t>
            </w:r>
            <w:r w:rsidRPr="000856DC">
              <w:rPr>
                <w:sz w:val="26"/>
                <w:szCs w:val="26"/>
              </w:rPr>
              <w:lastRenderedPageBreak/>
              <w:t>komunikācijas aktivitātes saistībā ar projektu</w:t>
            </w:r>
          </w:p>
        </w:tc>
        <w:tc>
          <w:tcPr>
            <w:tcW w:w="5351" w:type="dxa"/>
          </w:tcPr>
          <w:p w:rsidR="0002174A" w:rsidRPr="000856DC" w:rsidRDefault="0002174A" w:rsidP="000856DC">
            <w:pPr>
              <w:pStyle w:val="NoSpacing"/>
              <w:jc w:val="both"/>
              <w:rPr>
                <w:sz w:val="26"/>
                <w:szCs w:val="26"/>
              </w:rPr>
            </w:pPr>
            <w:r w:rsidRPr="000856DC">
              <w:rPr>
                <w:sz w:val="26"/>
                <w:szCs w:val="26"/>
              </w:rPr>
              <w:lastRenderedPageBreak/>
              <w:t>Sabiedrības līdzdalība Projekta izstrādē īstenota</w:t>
            </w:r>
            <w:r w:rsidR="00327330" w:rsidRPr="000856DC">
              <w:rPr>
                <w:sz w:val="26"/>
                <w:szCs w:val="26"/>
              </w:rPr>
              <w:t xml:space="preserve"> atbilstoši Ministru kabineta </w:t>
            </w:r>
            <w:r w:rsidR="000856DC" w:rsidRPr="000856DC">
              <w:rPr>
                <w:sz w:val="26"/>
                <w:szCs w:val="26"/>
              </w:rPr>
              <w:t xml:space="preserve">2009.gada 25.augusta noteikumiem Nr.970 “Sabiedrības līdzdalības </w:t>
            </w:r>
            <w:r w:rsidR="000856DC" w:rsidRPr="000856DC">
              <w:rPr>
                <w:sz w:val="26"/>
                <w:szCs w:val="26"/>
              </w:rPr>
              <w:lastRenderedPageBreak/>
              <w:t>kārtība attīstības plānošanas procesā” 7.4.</w:t>
            </w:r>
            <w:r w:rsidR="000856DC" w:rsidRPr="000856DC">
              <w:rPr>
                <w:sz w:val="26"/>
                <w:szCs w:val="26"/>
                <w:vertAlign w:val="superscript"/>
              </w:rPr>
              <w:t>1</w:t>
            </w:r>
            <w:r w:rsidR="000856DC" w:rsidRPr="000856DC">
              <w:rPr>
                <w:sz w:val="26"/>
                <w:szCs w:val="26"/>
              </w:rPr>
              <w:t xml:space="preserve">apakšpunktā, proti, sabiedrības pārstāvjiem tika dota iespēja rakstiski sniegt viedokli par Projektu tā izstrādes stadijā. </w:t>
            </w:r>
          </w:p>
        </w:tc>
      </w:tr>
      <w:tr w:rsidR="0002174A" w:rsidRPr="000856DC" w:rsidTr="00746830">
        <w:tc>
          <w:tcPr>
            <w:tcW w:w="800" w:type="dxa"/>
          </w:tcPr>
          <w:p w:rsidR="0002174A" w:rsidRPr="000856DC" w:rsidRDefault="0002174A" w:rsidP="0002174A">
            <w:pPr>
              <w:pStyle w:val="NoSpacing"/>
              <w:jc w:val="both"/>
              <w:rPr>
                <w:sz w:val="26"/>
                <w:szCs w:val="26"/>
              </w:rPr>
            </w:pPr>
            <w:r w:rsidRPr="000856DC">
              <w:rPr>
                <w:sz w:val="26"/>
                <w:szCs w:val="26"/>
              </w:rPr>
              <w:lastRenderedPageBreak/>
              <w:t>2.</w:t>
            </w:r>
          </w:p>
        </w:tc>
        <w:tc>
          <w:tcPr>
            <w:tcW w:w="3200" w:type="dxa"/>
          </w:tcPr>
          <w:p w:rsidR="0002174A" w:rsidRPr="000856DC" w:rsidRDefault="0002174A" w:rsidP="0002174A">
            <w:pPr>
              <w:pStyle w:val="NoSpacing"/>
              <w:jc w:val="both"/>
              <w:rPr>
                <w:sz w:val="26"/>
                <w:szCs w:val="26"/>
              </w:rPr>
            </w:pPr>
            <w:r w:rsidRPr="000856DC">
              <w:rPr>
                <w:sz w:val="26"/>
                <w:szCs w:val="26"/>
              </w:rPr>
              <w:t>Sabiedrības līdzdalība projekta izstrādē</w:t>
            </w:r>
          </w:p>
        </w:tc>
        <w:tc>
          <w:tcPr>
            <w:tcW w:w="5351" w:type="dxa"/>
          </w:tcPr>
          <w:p w:rsidR="0002174A" w:rsidRPr="000856DC" w:rsidRDefault="000856DC" w:rsidP="00652A0C">
            <w:pPr>
              <w:pStyle w:val="NoSpacing"/>
              <w:jc w:val="both"/>
              <w:rPr>
                <w:sz w:val="26"/>
                <w:szCs w:val="26"/>
              </w:rPr>
            </w:pPr>
            <w:r w:rsidRPr="000856DC">
              <w:rPr>
                <w:sz w:val="26"/>
                <w:szCs w:val="26"/>
              </w:rPr>
              <w:t xml:space="preserve">Projekts kopā ar sākotnējās ietekmes novērtējuma ziņojumu (anotāciju) un paziņojums par līdzdalības procesu 2015.gada </w:t>
            </w:r>
            <w:r w:rsidR="00465F7B">
              <w:rPr>
                <w:sz w:val="26"/>
                <w:szCs w:val="26"/>
              </w:rPr>
              <w:t>16</w:t>
            </w:r>
            <w:r w:rsidRPr="000856DC">
              <w:rPr>
                <w:sz w:val="26"/>
                <w:szCs w:val="26"/>
              </w:rPr>
              <w:t xml:space="preserve">.oktobrī tika publicēts Ekonomikas ministrijas mājas lapā </w:t>
            </w:r>
            <w:hyperlink r:id="rId6" w:history="1">
              <w:r w:rsidRPr="000856DC">
                <w:rPr>
                  <w:rStyle w:val="Hyperlink"/>
                  <w:sz w:val="26"/>
                  <w:szCs w:val="26"/>
                </w:rPr>
                <w:t>www.em.gov.lv</w:t>
              </w:r>
            </w:hyperlink>
            <w:r w:rsidRPr="000856DC">
              <w:rPr>
                <w:sz w:val="26"/>
                <w:szCs w:val="26"/>
              </w:rPr>
              <w:t xml:space="preserve">, </w:t>
            </w:r>
            <w:r w:rsidR="0002174A" w:rsidRPr="000856DC">
              <w:rPr>
                <w:sz w:val="26"/>
                <w:szCs w:val="26"/>
              </w:rPr>
              <w:t xml:space="preserve">aicinot sabiedrību izteikt savu </w:t>
            </w:r>
            <w:r w:rsidRPr="000856DC">
              <w:rPr>
                <w:sz w:val="26"/>
                <w:szCs w:val="26"/>
              </w:rPr>
              <w:t>rakstisku viedokli.</w:t>
            </w:r>
            <w:r w:rsidR="0002174A" w:rsidRPr="000856DC">
              <w:rPr>
                <w:sz w:val="26"/>
                <w:szCs w:val="26"/>
              </w:rPr>
              <w:t xml:space="preserve"> </w:t>
            </w:r>
          </w:p>
        </w:tc>
      </w:tr>
      <w:tr w:rsidR="0002174A" w:rsidRPr="000856DC" w:rsidTr="00746830">
        <w:tc>
          <w:tcPr>
            <w:tcW w:w="800" w:type="dxa"/>
          </w:tcPr>
          <w:p w:rsidR="0002174A" w:rsidRPr="000856DC" w:rsidRDefault="0002174A" w:rsidP="0002174A">
            <w:pPr>
              <w:pStyle w:val="NoSpacing"/>
              <w:jc w:val="both"/>
              <w:rPr>
                <w:sz w:val="26"/>
                <w:szCs w:val="26"/>
              </w:rPr>
            </w:pPr>
            <w:r w:rsidRPr="000856DC">
              <w:rPr>
                <w:sz w:val="26"/>
                <w:szCs w:val="26"/>
              </w:rPr>
              <w:t>3.</w:t>
            </w:r>
          </w:p>
        </w:tc>
        <w:tc>
          <w:tcPr>
            <w:tcW w:w="3200" w:type="dxa"/>
          </w:tcPr>
          <w:p w:rsidR="0002174A" w:rsidRPr="000856DC" w:rsidRDefault="0002174A" w:rsidP="0002174A">
            <w:pPr>
              <w:pStyle w:val="NoSpacing"/>
              <w:jc w:val="both"/>
              <w:rPr>
                <w:sz w:val="26"/>
                <w:szCs w:val="26"/>
              </w:rPr>
            </w:pPr>
            <w:r w:rsidRPr="000856DC">
              <w:rPr>
                <w:sz w:val="26"/>
                <w:szCs w:val="26"/>
              </w:rPr>
              <w:t>Sabiedrības līdzdalības rezultāti</w:t>
            </w:r>
          </w:p>
        </w:tc>
        <w:tc>
          <w:tcPr>
            <w:tcW w:w="5351" w:type="dxa"/>
          </w:tcPr>
          <w:p w:rsidR="0002174A" w:rsidRPr="00B078C5" w:rsidRDefault="00B078C5" w:rsidP="00B078C5">
            <w:pPr>
              <w:pStyle w:val="NoSpacing"/>
              <w:jc w:val="both"/>
              <w:rPr>
                <w:sz w:val="26"/>
                <w:szCs w:val="26"/>
              </w:rPr>
            </w:pPr>
            <w:r w:rsidRPr="00B078C5">
              <w:rPr>
                <w:sz w:val="26"/>
                <w:szCs w:val="26"/>
              </w:rPr>
              <w:t>Biedrība “Latvijas Tirgus savienība</w:t>
            </w:r>
            <w:r>
              <w:rPr>
                <w:sz w:val="26"/>
                <w:szCs w:val="26"/>
              </w:rPr>
              <w:t>”</w:t>
            </w:r>
            <w:r w:rsidRPr="00B078C5">
              <w:rPr>
                <w:sz w:val="26"/>
                <w:szCs w:val="26"/>
              </w:rPr>
              <w:t xml:space="preserve"> un biedrība “Latvijas Ģimenes ārstu asociācija” konceptuāli atbalsta Projektu.</w:t>
            </w:r>
          </w:p>
        </w:tc>
      </w:tr>
      <w:tr w:rsidR="0002174A" w:rsidRPr="00974DF2" w:rsidTr="00746830">
        <w:tc>
          <w:tcPr>
            <w:tcW w:w="800" w:type="dxa"/>
          </w:tcPr>
          <w:p w:rsidR="0002174A" w:rsidRPr="000856DC" w:rsidRDefault="0002174A" w:rsidP="0002174A">
            <w:pPr>
              <w:pStyle w:val="NoSpacing"/>
              <w:jc w:val="both"/>
              <w:rPr>
                <w:sz w:val="26"/>
                <w:szCs w:val="26"/>
              </w:rPr>
            </w:pPr>
            <w:r w:rsidRPr="000856DC">
              <w:rPr>
                <w:sz w:val="26"/>
                <w:szCs w:val="26"/>
              </w:rPr>
              <w:t>4.</w:t>
            </w:r>
          </w:p>
        </w:tc>
        <w:tc>
          <w:tcPr>
            <w:tcW w:w="3200" w:type="dxa"/>
          </w:tcPr>
          <w:p w:rsidR="0002174A" w:rsidRPr="000856DC" w:rsidRDefault="0002174A" w:rsidP="0002174A">
            <w:pPr>
              <w:pStyle w:val="NoSpacing"/>
              <w:jc w:val="both"/>
              <w:rPr>
                <w:sz w:val="26"/>
                <w:szCs w:val="26"/>
              </w:rPr>
            </w:pPr>
            <w:r w:rsidRPr="000856DC">
              <w:rPr>
                <w:sz w:val="26"/>
                <w:szCs w:val="26"/>
              </w:rPr>
              <w:t>Cita informācija</w:t>
            </w:r>
          </w:p>
        </w:tc>
        <w:tc>
          <w:tcPr>
            <w:tcW w:w="5351" w:type="dxa"/>
          </w:tcPr>
          <w:p w:rsidR="0002174A" w:rsidRPr="00974DF2" w:rsidRDefault="0002174A" w:rsidP="0002174A">
            <w:pPr>
              <w:pStyle w:val="NoSpacing"/>
              <w:jc w:val="both"/>
              <w:rPr>
                <w:sz w:val="26"/>
                <w:szCs w:val="26"/>
              </w:rPr>
            </w:pPr>
          </w:p>
        </w:tc>
      </w:tr>
    </w:tbl>
    <w:p w:rsidR="0002174A" w:rsidRPr="00974DF2" w:rsidRDefault="0002174A" w:rsidP="00222CB3">
      <w:pPr>
        <w:pStyle w:val="NoSpacing"/>
        <w:jc w:val="both"/>
        <w:rPr>
          <w:i/>
          <w:sz w:val="26"/>
          <w:szCs w:val="26"/>
        </w:rPr>
      </w:pPr>
    </w:p>
    <w:p w:rsidR="00222CB3" w:rsidRPr="00974DF2" w:rsidRDefault="00222CB3" w:rsidP="00222CB3">
      <w:pPr>
        <w:pStyle w:val="NoSpacing"/>
        <w:jc w:val="both"/>
        <w:rPr>
          <w:sz w:val="26"/>
          <w:szCs w:val="26"/>
        </w:rPr>
      </w:pPr>
    </w:p>
    <w:tbl>
      <w:tblPr>
        <w:tblStyle w:val="TableGrid"/>
        <w:tblW w:w="9351" w:type="dxa"/>
        <w:tblLook w:val="04A0" w:firstRow="1" w:lastRow="0" w:firstColumn="1" w:lastColumn="0" w:noHBand="0" w:noVBand="1"/>
      </w:tblPr>
      <w:tblGrid>
        <w:gridCol w:w="800"/>
        <w:gridCol w:w="3200"/>
        <w:gridCol w:w="5351"/>
      </w:tblGrid>
      <w:tr w:rsidR="0002174A" w:rsidRPr="00974DF2" w:rsidTr="00746830">
        <w:tc>
          <w:tcPr>
            <w:tcW w:w="9351" w:type="dxa"/>
            <w:gridSpan w:val="3"/>
          </w:tcPr>
          <w:p w:rsidR="0002174A" w:rsidRPr="00974DF2" w:rsidRDefault="0002174A" w:rsidP="00746830">
            <w:pPr>
              <w:pStyle w:val="NoSpacing"/>
              <w:jc w:val="center"/>
              <w:rPr>
                <w:b/>
                <w:sz w:val="26"/>
                <w:szCs w:val="26"/>
              </w:rPr>
            </w:pPr>
            <w:r w:rsidRPr="00974DF2">
              <w:rPr>
                <w:b/>
                <w:sz w:val="26"/>
                <w:szCs w:val="26"/>
              </w:rPr>
              <w:t>VII. Tiesību akta projekta izpildes nodrošināšana un tās ietekme uz institūcijām</w:t>
            </w:r>
          </w:p>
        </w:tc>
      </w:tr>
      <w:tr w:rsidR="0002174A" w:rsidRPr="00974DF2" w:rsidTr="00746830">
        <w:tc>
          <w:tcPr>
            <w:tcW w:w="800" w:type="dxa"/>
          </w:tcPr>
          <w:p w:rsidR="007302B2" w:rsidRDefault="0002174A" w:rsidP="00746830">
            <w:pPr>
              <w:pStyle w:val="NoSpacing"/>
              <w:jc w:val="both"/>
              <w:rPr>
                <w:sz w:val="26"/>
                <w:szCs w:val="26"/>
              </w:rPr>
            </w:pPr>
            <w:r w:rsidRPr="00974DF2">
              <w:rPr>
                <w:sz w:val="26"/>
                <w:szCs w:val="26"/>
              </w:rPr>
              <w:t>1.</w:t>
            </w:r>
          </w:p>
          <w:p w:rsidR="007302B2" w:rsidRPr="007302B2" w:rsidRDefault="007302B2" w:rsidP="007302B2">
            <w:pPr>
              <w:rPr>
                <w:lang w:eastAsia="lv-LV"/>
              </w:rPr>
            </w:pPr>
          </w:p>
          <w:p w:rsidR="007302B2" w:rsidRDefault="007302B2" w:rsidP="007302B2">
            <w:pPr>
              <w:rPr>
                <w:lang w:eastAsia="lv-LV"/>
              </w:rPr>
            </w:pPr>
          </w:p>
          <w:p w:rsidR="0002174A" w:rsidRPr="007302B2" w:rsidRDefault="0002174A" w:rsidP="007302B2">
            <w:pPr>
              <w:rPr>
                <w:lang w:eastAsia="lv-LV"/>
              </w:rPr>
            </w:pPr>
          </w:p>
        </w:tc>
        <w:tc>
          <w:tcPr>
            <w:tcW w:w="3200" w:type="dxa"/>
          </w:tcPr>
          <w:p w:rsidR="0002174A" w:rsidRPr="00974DF2" w:rsidRDefault="0002174A" w:rsidP="00746830">
            <w:pPr>
              <w:pStyle w:val="NoSpacing"/>
              <w:jc w:val="both"/>
              <w:rPr>
                <w:sz w:val="26"/>
                <w:szCs w:val="26"/>
              </w:rPr>
            </w:pPr>
            <w:r w:rsidRPr="00974DF2">
              <w:rPr>
                <w:sz w:val="26"/>
                <w:szCs w:val="26"/>
              </w:rPr>
              <w:t>Projekta izpildē iesaistītās institūcijas</w:t>
            </w:r>
          </w:p>
        </w:tc>
        <w:tc>
          <w:tcPr>
            <w:tcW w:w="5351" w:type="dxa"/>
          </w:tcPr>
          <w:p w:rsidR="0002174A" w:rsidRPr="00974DF2" w:rsidRDefault="0002174A" w:rsidP="0002174A">
            <w:pPr>
              <w:pStyle w:val="NoSpacing"/>
              <w:jc w:val="both"/>
              <w:rPr>
                <w:sz w:val="26"/>
                <w:szCs w:val="26"/>
              </w:rPr>
            </w:pPr>
            <w:r w:rsidRPr="00974DF2">
              <w:rPr>
                <w:sz w:val="26"/>
                <w:szCs w:val="26"/>
              </w:rPr>
              <w:t>Patērētāju tiesību aizsardzības centrs</w:t>
            </w:r>
          </w:p>
        </w:tc>
      </w:tr>
      <w:tr w:rsidR="0002174A" w:rsidRPr="00974DF2" w:rsidTr="00746830">
        <w:tc>
          <w:tcPr>
            <w:tcW w:w="800" w:type="dxa"/>
          </w:tcPr>
          <w:p w:rsidR="0002174A" w:rsidRPr="00974DF2" w:rsidRDefault="0002174A" w:rsidP="00746830">
            <w:pPr>
              <w:pStyle w:val="NoSpacing"/>
              <w:jc w:val="both"/>
              <w:rPr>
                <w:sz w:val="26"/>
                <w:szCs w:val="26"/>
              </w:rPr>
            </w:pPr>
            <w:r w:rsidRPr="00974DF2">
              <w:rPr>
                <w:sz w:val="26"/>
                <w:szCs w:val="26"/>
              </w:rPr>
              <w:t>2.</w:t>
            </w:r>
          </w:p>
        </w:tc>
        <w:tc>
          <w:tcPr>
            <w:tcW w:w="3200" w:type="dxa"/>
          </w:tcPr>
          <w:p w:rsidR="0002174A" w:rsidRPr="00974DF2" w:rsidRDefault="0002174A" w:rsidP="00746830">
            <w:pPr>
              <w:pStyle w:val="NoSpacing"/>
              <w:jc w:val="both"/>
              <w:rPr>
                <w:sz w:val="26"/>
                <w:szCs w:val="26"/>
              </w:rPr>
            </w:pPr>
            <w:r w:rsidRPr="00974DF2">
              <w:rPr>
                <w:sz w:val="26"/>
                <w:szCs w:val="26"/>
              </w:rPr>
              <w:t>Projekta izpildes ietekme uz pārvaldes funkcijām un institucionālo struktūru. Jaunu institūciju izveide, esošo institūciju likvidācija vai reorganizācija, to ietekme uz institūcijas cilvēkresursiem</w:t>
            </w:r>
          </w:p>
        </w:tc>
        <w:tc>
          <w:tcPr>
            <w:tcW w:w="5351" w:type="dxa"/>
          </w:tcPr>
          <w:p w:rsidR="0002174A" w:rsidRPr="00974DF2" w:rsidRDefault="0002174A" w:rsidP="0002174A">
            <w:pPr>
              <w:pStyle w:val="NoSpacing"/>
              <w:jc w:val="both"/>
              <w:rPr>
                <w:sz w:val="26"/>
                <w:szCs w:val="26"/>
              </w:rPr>
            </w:pPr>
            <w:r w:rsidRPr="00974DF2">
              <w:rPr>
                <w:sz w:val="26"/>
                <w:szCs w:val="26"/>
              </w:rPr>
              <w:t>Projekts šo jomu neskar</w:t>
            </w:r>
          </w:p>
        </w:tc>
      </w:tr>
      <w:tr w:rsidR="0002174A" w:rsidRPr="00974DF2" w:rsidTr="00746830">
        <w:tc>
          <w:tcPr>
            <w:tcW w:w="800" w:type="dxa"/>
          </w:tcPr>
          <w:p w:rsidR="0002174A" w:rsidRPr="00974DF2" w:rsidRDefault="0002174A" w:rsidP="00746830">
            <w:pPr>
              <w:pStyle w:val="NoSpacing"/>
              <w:jc w:val="both"/>
              <w:rPr>
                <w:sz w:val="26"/>
                <w:szCs w:val="26"/>
              </w:rPr>
            </w:pPr>
            <w:r w:rsidRPr="00974DF2">
              <w:rPr>
                <w:sz w:val="26"/>
                <w:szCs w:val="26"/>
              </w:rPr>
              <w:t>3.</w:t>
            </w:r>
          </w:p>
        </w:tc>
        <w:tc>
          <w:tcPr>
            <w:tcW w:w="3200" w:type="dxa"/>
          </w:tcPr>
          <w:p w:rsidR="0002174A" w:rsidRPr="00974DF2" w:rsidRDefault="0002174A" w:rsidP="00746830">
            <w:pPr>
              <w:pStyle w:val="NoSpacing"/>
              <w:jc w:val="both"/>
              <w:rPr>
                <w:sz w:val="26"/>
                <w:szCs w:val="26"/>
              </w:rPr>
            </w:pPr>
            <w:r w:rsidRPr="00974DF2">
              <w:rPr>
                <w:sz w:val="26"/>
                <w:szCs w:val="26"/>
              </w:rPr>
              <w:t>Cita informācija</w:t>
            </w:r>
          </w:p>
        </w:tc>
        <w:tc>
          <w:tcPr>
            <w:tcW w:w="5351" w:type="dxa"/>
          </w:tcPr>
          <w:p w:rsidR="0002174A" w:rsidRPr="00974DF2" w:rsidRDefault="0002174A" w:rsidP="00746830">
            <w:pPr>
              <w:pStyle w:val="NoSpacing"/>
              <w:jc w:val="both"/>
              <w:rPr>
                <w:sz w:val="26"/>
                <w:szCs w:val="26"/>
              </w:rPr>
            </w:pPr>
            <w:r w:rsidRPr="00974DF2">
              <w:rPr>
                <w:sz w:val="26"/>
                <w:szCs w:val="26"/>
              </w:rPr>
              <w:t>Nav</w:t>
            </w:r>
          </w:p>
        </w:tc>
      </w:tr>
    </w:tbl>
    <w:p w:rsidR="00222CB3" w:rsidRDefault="00222CB3" w:rsidP="00222CB3">
      <w:pPr>
        <w:pStyle w:val="NoSpacing"/>
        <w:jc w:val="both"/>
        <w:rPr>
          <w:sz w:val="26"/>
          <w:szCs w:val="26"/>
        </w:rPr>
      </w:pPr>
    </w:p>
    <w:p w:rsidR="009368F6" w:rsidRPr="00974DF2" w:rsidRDefault="009368F6" w:rsidP="00222CB3">
      <w:pPr>
        <w:pStyle w:val="NoSpacing"/>
        <w:jc w:val="both"/>
        <w:rPr>
          <w:sz w:val="26"/>
          <w:szCs w:val="26"/>
        </w:rPr>
      </w:pPr>
      <w:r w:rsidRPr="00974DF2">
        <w:rPr>
          <w:i/>
          <w:sz w:val="26"/>
          <w:szCs w:val="26"/>
        </w:rPr>
        <w:t>Anotācijas III, IV un V</w:t>
      </w:r>
      <w:r>
        <w:rPr>
          <w:i/>
          <w:sz w:val="26"/>
          <w:szCs w:val="26"/>
        </w:rPr>
        <w:t xml:space="preserve"> sadaļa</w:t>
      </w:r>
      <w:r w:rsidRPr="00974DF2">
        <w:rPr>
          <w:i/>
          <w:sz w:val="26"/>
          <w:szCs w:val="26"/>
        </w:rPr>
        <w:t xml:space="preserve"> – projekts šīs jomas neskar.</w:t>
      </w:r>
    </w:p>
    <w:p w:rsidR="00DB37B6" w:rsidRDefault="00DB37B6" w:rsidP="00DB37B6">
      <w:pPr>
        <w:pStyle w:val="NoSpacing"/>
        <w:jc w:val="both"/>
        <w:rPr>
          <w:color w:val="000000"/>
          <w:sz w:val="26"/>
          <w:szCs w:val="26"/>
        </w:rPr>
      </w:pPr>
    </w:p>
    <w:p w:rsidR="00496EB5" w:rsidRPr="00974DF2" w:rsidRDefault="00496EB5" w:rsidP="00222CB3">
      <w:pPr>
        <w:pStyle w:val="NoSpacing"/>
        <w:jc w:val="both"/>
        <w:rPr>
          <w:color w:val="000000"/>
          <w:sz w:val="26"/>
          <w:szCs w:val="26"/>
        </w:rPr>
      </w:pPr>
    </w:p>
    <w:p w:rsidR="00222CB3" w:rsidRPr="00974DF2" w:rsidRDefault="00787DD2" w:rsidP="00222CB3">
      <w:pPr>
        <w:pStyle w:val="NoSpacing"/>
        <w:jc w:val="both"/>
        <w:rPr>
          <w:color w:val="000000"/>
          <w:sz w:val="26"/>
          <w:szCs w:val="26"/>
        </w:rPr>
      </w:pPr>
      <w:r w:rsidRPr="00974DF2">
        <w:rPr>
          <w:color w:val="000000"/>
          <w:sz w:val="26"/>
          <w:szCs w:val="26"/>
        </w:rPr>
        <w:t>Ekonomikas</w:t>
      </w:r>
      <w:r w:rsidR="00222CB3" w:rsidRPr="00974DF2">
        <w:rPr>
          <w:color w:val="000000"/>
          <w:sz w:val="26"/>
          <w:szCs w:val="26"/>
        </w:rPr>
        <w:t xml:space="preserve"> mi</w:t>
      </w:r>
      <w:r w:rsidR="00F601ED">
        <w:rPr>
          <w:color w:val="000000"/>
          <w:sz w:val="26"/>
          <w:szCs w:val="26"/>
        </w:rPr>
        <w:t>nistre</w:t>
      </w:r>
      <w:r w:rsidR="00D56D53">
        <w:rPr>
          <w:color w:val="000000"/>
          <w:sz w:val="26"/>
          <w:szCs w:val="26"/>
        </w:rPr>
        <w:tab/>
      </w:r>
      <w:r w:rsidR="00D56D53">
        <w:rPr>
          <w:color w:val="000000"/>
          <w:sz w:val="26"/>
          <w:szCs w:val="26"/>
        </w:rPr>
        <w:tab/>
      </w:r>
      <w:r w:rsidR="00D56D53">
        <w:rPr>
          <w:color w:val="000000"/>
          <w:sz w:val="26"/>
          <w:szCs w:val="26"/>
        </w:rPr>
        <w:tab/>
      </w:r>
      <w:r w:rsidR="00D56D53">
        <w:rPr>
          <w:color w:val="000000"/>
          <w:sz w:val="26"/>
          <w:szCs w:val="26"/>
        </w:rPr>
        <w:tab/>
      </w:r>
      <w:r w:rsidR="00D56D53">
        <w:rPr>
          <w:color w:val="000000"/>
          <w:sz w:val="26"/>
          <w:szCs w:val="26"/>
        </w:rPr>
        <w:tab/>
      </w:r>
      <w:r w:rsidR="00D56D53">
        <w:rPr>
          <w:color w:val="000000"/>
          <w:sz w:val="26"/>
          <w:szCs w:val="26"/>
        </w:rPr>
        <w:tab/>
      </w:r>
      <w:r w:rsidR="00D56D53">
        <w:rPr>
          <w:color w:val="000000"/>
          <w:sz w:val="26"/>
          <w:szCs w:val="26"/>
        </w:rPr>
        <w:tab/>
        <w:t xml:space="preserve">  </w:t>
      </w:r>
      <w:r w:rsidRPr="00974DF2">
        <w:rPr>
          <w:color w:val="000000"/>
          <w:sz w:val="26"/>
          <w:szCs w:val="26"/>
        </w:rPr>
        <w:t>D</w:t>
      </w:r>
      <w:r w:rsidR="00222CB3" w:rsidRPr="00974DF2">
        <w:rPr>
          <w:color w:val="000000"/>
          <w:sz w:val="26"/>
          <w:szCs w:val="26"/>
        </w:rPr>
        <w:t>.</w:t>
      </w:r>
      <w:r w:rsidRPr="00974DF2">
        <w:rPr>
          <w:color w:val="000000"/>
          <w:sz w:val="26"/>
          <w:szCs w:val="26"/>
        </w:rPr>
        <w:t>Reizniece-Ozola</w:t>
      </w:r>
    </w:p>
    <w:p w:rsidR="00222CB3" w:rsidRDefault="00222CB3" w:rsidP="00222CB3">
      <w:pPr>
        <w:pStyle w:val="NoSpacing"/>
        <w:jc w:val="both"/>
      </w:pPr>
    </w:p>
    <w:p w:rsidR="00CB5DE5" w:rsidRPr="00650643" w:rsidRDefault="00CB5DE5" w:rsidP="00222CB3">
      <w:pPr>
        <w:pStyle w:val="NoSpacing"/>
        <w:jc w:val="both"/>
      </w:pPr>
    </w:p>
    <w:p w:rsidR="00AC4CCD" w:rsidRDefault="00AC4CCD" w:rsidP="00DB37B6">
      <w:pPr>
        <w:pStyle w:val="NoSpacing"/>
        <w:rPr>
          <w:sz w:val="26"/>
          <w:szCs w:val="26"/>
        </w:rPr>
      </w:pPr>
    </w:p>
    <w:p w:rsidR="00F601ED" w:rsidRDefault="00F601ED" w:rsidP="00DB37B6">
      <w:pPr>
        <w:pStyle w:val="NoSpacing"/>
        <w:rPr>
          <w:sz w:val="26"/>
          <w:szCs w:val="26"/>
        </w:rPr>
      </w:pPr>
      <w:r>
        <w:rPr>
          <w:sz w:val="26"/>
          <w:szCs w:val="26"/>
        </w:rPr>
        <w:t>Vīza:</w:t>
      </w:r>
    </w:p>
    <w:p w:rsidR="00F601ED" w:rsidRDefault="00F601ED" w:rsidP="00DB37B6">
      <w:pPr>
        <w:pStyle w:val="NoSpacing"/>
        <w:rPr>
          <w:sz w:val="26"/>
          <w:szCs w:val="26"/>
        </w:rPr>
      </w:pPr>
    </w:p>
    <w:p w:rsidR="00DB37B6" w:rsidRPr="00DB37B6" w:rsidRDefault="00F601ED" w:rsidP="00DB37B6">
      <w:pPr>
        <w:pStyle w:val="NoSpacing"/>
        <w:rPr>
          <w:sz w:val="26"/>
          <w:szCs w:val="26"/>
        </w:rPr>
      </w:pPr>
      <w:r>
        <w:rPr>
          <w:sz w:val="26"/>
          <w:szCs w:val="26"/>
        </w:rPr>
        <w:t>valsts sekretārs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DB37B6" w:rsidRPr="00DB37B6">
        <w:rPr>
          <w:sz w:val="26"/>
          <w:szCs w:val="26"/>
        </w:rPr>
        <w:t>R.Beinarovičs</w:t>
      </w:r>
    </w:p>
    <w:p w:rsidR="003D276B" w:rsidRPr="00DB37B6" w:rsidRDefault="003D276B" w:rsidP="00222CB3">
      <w:pPr>
        <w:pStyle w:val="NoSpacing"/>
        <w:jc w:val="both"/>
        <w:rPr>
          <w:sz w:val="26"/>
          <w:szCs w:val="26"/>
        </w:rPr>
      </w:pPr>
    </w:p>
    <w:p w:rsidR="00496EB5" w:rsidRDefault="00496EB5" w:rsidP="00222CB3">
      <w:pPr>
        <w:pStyle w:val="NoSpacing"/>
        <w:jc w:val="both"/>
      </w:pPr>
    </w:p>
    <w:p w:rsidR="00496EB5" w:rsidRPr="00650643" w:rsidRDefault="008F45F4" w:rsidP="00222CB3">
      <w:pPr>
        <w:pStyle w:val="NoSpacing"/>
        <w:jc w:val="both"/>
        <w:rPr>
          <w:sz w:val="20"/>
        </w:rPr>
      </w:pPr>
      <w:r>
        <w:rPr>
          <w:sz w:val="20"/>
        </w:rPr>
        <w:t>03</w:t>
      </w:r>
      <w:r w:rsidR="00787DD2" w:rsidRPr="00650643">
        <w:rPr>
          <w:sz w:val="20"/>
        </w:rPr>
        <w:t>.1</w:t>
      </w:r>
      <w:r>
        <w:rPr>
          <w:sz w:val="20"/>
        </w:rPr>
        <w:t>2</w:t>
      </w:r>
      <w:r w:rsidR="00496EB5" w:rsidRPr="00650643">
        <w:rPr>
          <w:sz w:val="20"/>
        </w:rPr>
        <w:t xml:space="preserve">.2015. </w:t>
      </w:r>
      <w:r>
        <w:rPr>
          <w:sz w:val="20"/>
        </w:rPr>
        <w:t>11</w:t>
      </w:r>
      <w:r w:rsidR="00022759">
        <w:rPr>
          <w:sz w:val="20"/>
        </w:rPr>
        <w:t>:</w:t>
      </w:r>
      <w:r>
        <w:rPr>
          <w:sz w:val="20"/>
        </w:rPr>
        <w:t>11</w:t>
      </w:r>
    </w:p>
    <w:p w:rsidR="005D27EF" w:rsidRPr="00650643" w:rsidRDefault="005D27EF" w:rsidP="00222CB3">
      <w:pPr>
        <w:pStyle w:val="NoSpacing"/>
        <w:jc w:val="both"/>
        <w:rPr>
          <w:sz w:val="20"/>
        </w:rPr>
      </w:pPr>
      <w:r w:rsidRPr="00650643">
        <w:rPr>
          <w:sz w:val="20"/>
        </w:rPr>
        <w:fldChar w:fldCharType="begin"/>
      </w:r>
      <w:r w:rsidRPr="00650643">
        <w:rPr>
          <w:sz w:val="20"/>
        </w:rPr>
        <w:instrText xml:space="preserve"> NUMWORDS   \* MERGEFORMAT </w:instrText>
      </w:r>
      <w:r w:rsidRPr="00650643">
        <w:rPr>
          <w:sz w:val="20"/>
        </w:rPr>
        <w:fldChar w:fldCharType="separate"/>
      </w:r>
      <w:r w:rsidR="0027227A">
        <w:rPr>
          <w:noProof/>
          <w:sz w:val="20"/>
        </w:rPr>
        <w:t>1047</w:t>
      </w:r>
      <w:r w:rsidRPr="00650643">
        <w:rPr>
          <w:sz w:val="20"/>
        </w:rPr>
        <w:fldChar w:fldCharType="end"/>
      </w:r>
    </w:p>
    <w:p w:rsidR="00222CB3" w:rsidRPr="00650643" w:rsidRDefault="00C23B43" w:rsidP="00222CB3">
      <w:pPr>
        <w:pStyle w:val="NoSpacing"/>
        <w:jc w:val="both"/>
        <w:rPr>
          <w:sz w:val="20"/>
        </w:rPr>
      </w:pPr>
      <w:r>
        <w:rPr>
          <w:sz w:val="20"/>
        </w:rPr>
        <w:t>Lipskis</w:t>
      </w:r>
    </w:p>
    <w:p w:rsidR="00CF04E1" w:rsidRPr="00D56D53" w:rsidRDefault="00787DD2" w:rsidP="00222CB3">
      <w:pPr>
        <w:pStyle w:val="NoSpacing"/>
        <w:jc w:val="both"/>
        <w:rPr>
          <w:sz w:val="20"/>
        </w:rPr>
      </w:pPr>
      <w:r w:rsidRPr="00650643">
        <w:rPr>
          <w:sz w:val="20"/>
        </w:rPr>
        <w:t>670132</w:t>
      </w:r>
      <w:r w:rsidR="00C23B43">
        <w:rPr>
          <w:sz w:val="20"/>
        </w:rPr>
        <w:t>92</w:t>
      </w:r>
      <w:r w:rsidR="00222CB3" w:rsidRPr="00650643">
        <w:rPr>
          <w:sz w:val="20"/>
        </w:rPr>
        <w:t xml:space="preserve">, </w:t>
      </w:r>
      <w:r w:rsidR="00C23B43">
        <w:rPr>
          <w:sz w:val="20"/>
        </w:rPr>
        <w:t>Valdis.Lipskis</w:t>
      </w:r>
      <w:r w:rsidRPr="00650643">
        <w:rPr>
          <w:sz w:val="20"/>
        </w:rPr>
        <w:t>@e</w:t>
      </w:r>
      <w:r w:rsidR="00222CB3" w:rsidRPr="00650643">
        <w:rPr>
          <w:sz w:val="20"/>
        </w:rPr>
        <w:t>m.gov.lv</w:t>
      </w:r>
    </w:p>
    <w:sectPr w:rsidR="00CF04E1" w:rsidRPr="00D56D53" w:rsidSect="00772107">
      <w:headerReference w:type="default" r:id="rId7"/>
      <w:footerReference w:type="default" r:id="rId8"/>
      <w:footerReference w:type="first" r:id="rId9"/>
      <w:pgSz w:w="11906" w:h="16838"/>
      <w:pgMar w:top="1134" w:right="1134" w:bottom="1134"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FA3" w:rsidRDefault="00C95FA3" w:rsidP="00222CB3">
      <w:pPr>
        <w:spacing w:after="0" w:line="240" w:lineRule="auto"/>
      </w:pPr>
      <w:r>
        <w:separator/>
      </w:r>
    </w:p>
  </w:endnote>
  <w:endnote w:type="continuationSeparator" w:id="0">
    <w:p w:rsidR="00C95FA3" w:rsidRDefault="00C95FA3" w:rsidP="00222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C23B43" w:rsidRDefault="00C23B43" w:rsidP="00787DD2">
    <w:pPr>
      <w:pStyle w:val="Footer"/>
      <w:rPr>
        <w:bCs/>
        <w:sz w:val="20"/>
        <w:szCs w:val="20"/>
      </w:rPr>
    </w:pPr>
    <w:r w:rsidRPr="00C23B43">
      <w:rPr>
        <w:sz w:val="20"/>
        <w:szCs w:val="20"/>
      </w:rPr>
      <w:t>EM</w:t>
    </w:r>
    <w:r w:rsidR="007302B2">
      <w:rPr>
        <w:sz w:val="20"/>
        <w:szCs w:val="20"/>
      </w:rPr>
      <w:t>A</w:t>
    </w:r>
    <w:r w:rsidRPr="00C23B43">
      <w:rPr>
        <w:sz w:val="20"/>
        <w:szCs w:val="20"/>
      </w:rPr>
      <w:t>not_</w:t>
    </w:r>
    <w:r w:rsidR="008F45F4">
      <w:rPr>
        <w:sz w:val="20"/>
        <w:szCs w:val="20"/>
      </w:rPr>
      <w:t>0312</w:t>
    </w:r>
    <w:r w:rsidRPr="00C23B43">
      <w:rPr>
        <w:sz w:val="20"/>
        <w:szCs w:val="20"/>
      </w:rPr>
      <w:t>15</w:t>
    </w:r>
    <w:r w:rsidR="006C5650">
      <w:rPr>
        <w:sz w:val="20"/>
        <w:szCs w:val="20"/>
      </w:rPr>
      <w:t>_atk_verif</w:t>
    </w:r>
    <w:r w:rsidRPr="00C23B43">
      <w:rPr>
        <w:sz w:val="20"/>
        <w:szCs w:val="20"/>
      </w:rPr>
      <w:t>; Ministru kabineta noteikumu projekta „Grozījums Ministru kabineta 2006.gada 5.decembra noteikumos Nr.981 „Noteikumi par mērīšanas līdzekļu atkārtoto verificēšanu, verificēšanas sertifikātiem un verificēšanas atzīmēm””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F9147D" w:rsidRDefault="00787DD2" w:rsidP="00787DD2">
    <w:pPr>
      <w:pStyle w:val="NoSpacing"/>
      <w:jc w:val="both"/>
      <w:rPr>
        <w:bCs/>
        <w:sz w:val="20"/>
        <w:szCs w:val="20"/>
      </w:rPr>
    </w:pPr>
    <w:r>
      <w:rPr>
        <w:sz w:val="20"/>
        <w:szCs w:val="20"/>
      </w:rPr>
      <w:t>E</w:t>
    </w:r>
    <w:r w:rsidR="00B26298" w:rsidRPr="00F9147D">
      <w:rPr>
        <w:sz w:val="20"/>
        <w:szCs w:val="20"/>
      </w:rPr>
      <w:t>M</w:t>
    </w:r>
    <w:r w:rsidR="007302B2">
      <w:rPr>
        <w:sz w:val="20"/>
        <w:szCs w:val="20"/>
      </w:rPr>
      <w:t>A</w:t>
    </w:r>
    <w:r w:rsidR="00B26298" w:rsidRPr="00F9147D">
      <w:rPr>
        <w:sz w:val="20"/>
        <w:szCs w:val="20"/>
      </w:rPr>
      <w:t>not_</w:t>
    </w:r>
    <w:r w:rsidR="008F45F4">
      <w:rPr>
        <w:sz w:val="20"/>
        <w:szCs w:val="20"/>
      </w:rPr>
      <w:t>0312</w:t>
    </w:r>
    <w:r w:rsidR="00C23B43">
      <w:rPr>
        <w:sz w:val="20"/>
        <w:szCs w:val="20"/>
      </w:rPr>
      <w:t>15</w:t>
    </w:r>
    <w:r w:rsidR="006C5650">
      <w:rPr>
        <w:sz w:val="20"/>
        <w:szCs w:val="20"/>
      </w:rPr>
      <w:t>_atk_verif</w:t>
    </w:r>
    <w:r w:rsidR="00F9147D" w:rsidRPr="00F9147D">
      <w:rPr>
        <w:sz w:val="20"/>
        <w:szCs w:val="20"/>
      </w:rPr>
      <w:t xml:space="preserve">; </w:t>
    </w:r>
    <w:r w:rsidRPr="00787DD2">
      <w:rPr>
        <w:sz w:val="20"/>
        <w:szCs w:val="20"/>
      </w:rPr>
      <w:t xml:space="preserve">Ministru kabineta noteikumu projekta „Grozījums Ministru kabineta 2006.gada </w:t>
    </w:r>
    <w:r w:rsidR="00C23B43">
      <w:rPr>
        <w:sz w:val="20"/>
        <w:szCs w:val="20"/>
      </w:rPr>
      <w:t>5</w:t>
    </w:r>
    <w:r w:rsidRPr="00787DD2">
      <w:rPr>
        <w:sz w:val="20"/>
        <w:szCs w:val="20"/>
      </w:rPr>
      <w:t>.</w:t>
    </w:r>
    <w:r w:rsidR="00C23B43">
      <w:rPr>
        <w:sz w:val="20"/>
        <w:szCs w:val="20"/>
      </w:rPr>
      <w:t>decembra</w:t>
    </w:r>
    <w:r w:rsidRPr="00787DD2">
      <w:rPr>
        <w:sz w:val="20"/>
        <w:szCs w:val="20"/>
      </w:rPr>
      <w:t xml:space="preserve"> noteikumos Nr.</w:t>
    </w:r>
    <w:r w:rsidR="00C23B43">
      <w:rPr>
        <w:sz w:val="20"/>
        <w:szCs w:val="20"/>
      </w:rPr>
      <w:t>981</w:t>
    </w:r>
    <w:r w:rsidRPr="00787DD2">
      <w:rPr>
        <w:sz w:val="20"/>
        <w:szCs w:val="20"/>
      </w:rPr>
      <w:t xml:space="preserve"> „</w:t>
    </w:r>
    <w:r w:rsidR="00C23B43" w:rsidRPr="00C23B43">
      <w:rPr>
        <w:sz w:val="20"/>
        <w:szCs w:val="20"/>
      </w:rPr>
      <w:t>Noteikumi par mērīšanas līdzekļu atkārtoto verificēšanu, verificēšanas sertifikātiem un verificēšanas atzīmēm</w:t>
    </w:r>
    <w:r w:rsidRPr="00787DD2">
      <w:rPr>
        <w:sz w:val="20"/>
        <w:szCs w:val="20"/>
      </w:rPr>
      <w:t>””</w:t>
    </w:r>
    <w:r>
      <w:rPr>
        <w:sz w:val="20"/>
        <w:szCs w:val="20"/>
      </w:rPr>
      <w:t xml:space="preserve"> </w:t>
    </w:r>
    <w:r w:rsidRPr="00787DD2">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FA3" w:rsidRDefault="00C95FA3" w:rsidP="00222CB3">
      <w:pPr>
        <w:spacing w:after="0" w:line="240" w:lineRule="auto"/>
      </w:pPr>
      <w:r>
        <w:separator/>
      </w:r>
    </w:p>
  </w:footnote>
  <w:footnote w:type="continuationSeparator" w:id="0">
    <w:p w:rsidR="00C95FA3" w:rsidRDefault="00C95FA3" w:rsidP="00222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5500"/>
      <w:docPartObj>
        <w:docPartGallery w:val="Page Numbers (Top of Page)"/>
        <w:docPartUnique/>
      </w:docPartObj>
    </w:sdtPr>
    <w:sdtEndPr/>
    <w:sdtContent>
      <w:p w:rsidR="006D68E8" w:rsidRDefault="00B26298">
        <w:pPr>
          <w:pStyle w:val="Header"/>
          <w:jc w:val="center"/>
        </w:pPr>
        <w:r>
          <w:fldChar w:fldCharType="begin"/>
        </w:r>
        <w:r>
          <w:instrText>PAGE   \* MERGEFORMAT</w:instrText>
        </w:r>
        <w:r>
          <w:fldChar w:fldCharType="separate"/>
        </w:r>
        <w:r w:rsidR="008F45F4">
          <w:rPr>
            <w:noProof/>
          </w:rPr>
          <w:t>2</w:t>
        </w:r>
        <w:r>
          <w:fldChar w:fldCharType="end"/>
        </w:r>
      </w:p>
    </w:sdtContent>
  </w:sdt>
  <w:p w:rsidR="006D68E8" w:rsidRDefault="00C95F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B3"/>
    <w:rsid w:val="00003471"/>
    <w:rsid w:val="00005DC7"/>
    <w:rsid w:val="0002174A"/>
    <w:rsid w:val="00022759"/>
    <w:rsid w:val="0003432B"/>
    <w:rsid w:val="00034B44"/>
    <w:rsid w:val="00040718"/>
    <w:rsid w:val="0004075A"/>
    <w:rsid w:val="00040902"/>
    <w:rsid w:val="000419FF"/>
    <w:rsid w:val="00043F68"/>
    <w:rsid w:val="000473C8"/>
    <w:rsid w:val="000511AD"/>
    <w:rsid w:val="00055155"/>
    <w:rsid w:val="00062683"/>
    <w:rsid w:val="00062849"/>
    <w:rsid w:val="00064041"/>
    <w:rsid w:val="0006695C"/>
    <w:rsid w:val="00067A3E"/>
    <w:rsid w:val="00073127"/>
    <w:rsid w:val="0007568D"/>
    <w:rsid w:val="00082B6D"/>
    <w:rsid w:val="000856DC"/>
    <w:rsid w:val="00086FF3"/>
    <w:rsid w:val="000948F2"/>
    <w:rsid w:val="000A44BF"/>
    <w:rsid w:val="000A64CD"/>
    <w:rsid w:val="000B704B"/>
    <w:rsid w:val="000C7DD2"/>
    <w:rsid w:val="000D1C26"/>
    <w:rsid w:val="000D7DF9"/>
    <w:rsid w:val="000D7E78"/>
    <w:rsid w:val="000E0D42"/>
    <w:rsid w:val="000E5FC0"/>
    <w:rsid w:val="00104FAA"/>
    <w:rsid w:val="001154DE"/>
    <w:rsid w:val="00120A64"/>
    <w:rsid w:val="00125F00"/>
    <w:rsid w:val="00132A95"/>
    <w:rsid w:val="00136B07"/>
    <w:rsid w:val="0013730D"/>
    <w:rsid w:val="00137DBB"/>
    <w:rsid w:val="00141BEE"/>
    <w:rsid w:val="00142A81"/>
    <w:rsid w:val="00143B67"/>
    <w:rsid w:val="00152291"/>
    <w:rsid w:val="00156A22"/>
    <w:rsid w:val="0016557E"/>
    <w:rsid w:val="00170F75"/>
    <w:rsid w:val="001743BF"/>
    <w:rsid w:val="001763DF"/>
    <w:rsid w:val="00177991"/>
    <w:rsid w:val="00181048"/>
    <w:rsid w:val="0018140D"/>
    <w:rsid w:val="00181838"/>
    <w:rsid w:val="001822AD"/>
    <w:rsid w:val="001A09C2"/>
    <w:rsid w:val="001A5595"/>
    <w:rsid w:val="001C7399"/>
    <w:rsid w:val="001D03FC"/>
    <w:rsid w:val="001D227E"/>
    <w:rsid w:val="001D4790"/>
    <w:rsid w:val="001E0991"/>
    <w:rsid w:val="001E3427"/>
    <w:rsid w:val="001F4682"/>
    <w:rsid w:val="00201900"/>
    <w:rsid w:val="00212E51"/>
    <w:rsid w:val="00215BD0"/>
    <w:rsid w:val="002174D5"/>
    <w:rsid w:val="0022133F"/>
    <w:rsid w:val="00222CB3"/>
    <w:rsid w:val="00224A1C"/>
    <w:rsid w:val="00230584"/>
    <w:rsid w:val="00242D0B"/>
    <w:rsid w:val="00245A54"/>
    <w:rsid w:val="00247BE7"/>
    <w:rsid w:val="00247D16"/>
    <w:rsid w:val="00266ECA"/>
    <w:rsid w:val="0027227A"/>
    <w:rsid w:val="002833DB"/>
    <w:rsid w:val="00291F81"/>
    <w:rsid w:val="00292B56"/>
    <w:rsid w:val="00295ED4"/>
    <w:rsid w:val="0029751E"/>
    <w:rsid w:val="002A3365"/>
    <w:rsid w:val="002A41F2"/>
    <w:rsid w:val="002A70EE"/>
    <w:rsid w:val="002B131A"/>
    <w:rsid w:val="002B40CB"/>
    <w:rsid w:val="002B4D46"/>
    <w:rsid w:val="002E1934"/>
    <w:rsid w:val="002E410B"/>
    <w:rsid w:val="002E7A30"/>
    <w:rsid w:val="002F0981"/>
    <w:rsid w:val="002F10F8"/>
    <w:rsid w:val="002F7EAA"/>
    <w:rsid w:val="0030545D"/>
    <w:rsid w:val="00313C3C"/>
    <w:rsid w:val="00325A59"/>
    <w:rsid w:val="00327330"/>
    <w:rsid w:val="003302EC"/>
    <w:rsid w:val="003331CA"/>
    <w:rsid w:val="0033668E"/>
    <w:rsid w:val="00346071"/>
    <w:rsid w:val="00351252"/>
    <w:rsid w:val="003519C2"/>
    <w:rsid w:val="00365E53"/>
    <w:rsid w:val="00384C7B"/>
    <w:rsid w:val="00394F15"/>
    <w:rsid w:val="003A0DA1"/>
    <w:rsid w:val="003A1543"/>
    <w:rsid w:val="003A16D8"/>
    <w:rsid w:val="003A262B"/>
    <w:rsid w:val="003A6A20"/>
    <w:rsid w:val="003B0E73"/>
    <w:rsid w:val="003B3E9F"/>
    <w:rsid w:val="003C1358"/>
    <w:rsid w:val="003D276B"/>
    <w:rsid w:val="003D4D41"/>
    <w:rsid w:val="003D5E50"/>
    <w:rsid w:val="003E3289"/>
    <w:rsid w:val="003E6F19"/>
    <w:rsid w:val="00400150"/>
    <w:rsid w:val="00400F8C"/>
    <w:rsid w:val="00402A29"/>
    <w:rsid w:val="00405C7A"/>
    <w:rsid w:val="00427FF4"/>
    <w:rsid w:val="00435E09"/>
    <w:rsid w:val="004371BD"/>
    <w:rsid w:val="00437B71"/>
    <w:rsid w:val="00440D89"/>
    <w:rsid w:val="00452784"/>
    <w:rsid w:val="00465F7B"/>
    <w:rsid w:val="00472651"/>
    <w:rsid w:val="0047300A"/>
    <w:rsid w:val="00474375"/>
    <w:rsid w:val="00475F5B"/>
    <w:rsid w:val="0048214F"/>
    <w:rsid w:val="00496EB5"/>
    <w:rsid w:val="004B4CCD"/>
    <w:rsid w:val="004C3936"/>
    <w:rsid w:val="004C53F1"/>
    <w:rsid w:val="004C7A10"/>
    <w:rsid w:val="004D2160"/>
    <w:rsid w:val="004D48F9"/>
    <w:rsid w:val="004D7EAC"/>
    <w:rsid w:val="004E3C4C"/>
    <w:rsid w:val="004F16A6"/>
    <w:rsid w:val="004F247A"/>
    <w:rsid w:val="004F7B69"/>
    <w:rsid w:val="005047FE"/>
    <w:rsid w:val="00510BAC"/>
    <w:rsid w:val="0052298B"/>
    <w:rsid w:val="005239E5"/>
    <w:rsid w:val="00523A17"/>
    <w:rsid w:val="00534AB2"/>
    <w:rsid w:val="0054054A"/>
    <w:rsid w:val="00540B33"/>
    <w:rsid w:val="00542B84"/>
    <w:rsid w:val="0055587C"/>
    <w:rsid w:val="00557CD6"/>
    <w:rsid w:val="00557D46"/>
    <w:rsid w:val="00562A34"/>
    <w:rsid w:val="00564E92"/>
    <w:rsid w:val="00570977"/>
    <w:rsid w:val="00574513"/>
    <w:rsid w:val="005831E4"/>
    <w:rsid w:val="00587914"/>
    <w:rsid w:val="00587A51"/>
    <w:rsid w:val="0059025D"/>
    <w:rsid w:val="0059736E"/>
    <w:rsid w:val="005A015B"/>
    <w:rsid w:val="005A5A68"/>
    <w:rsid w:val="005A690D"/>
    <w:rsid w:val="005B22D2"/>
    <w:rsid w:val="005B26D0"/>
    <w:rsid w:val="005B2FEC"/>
    <w:rsid w:val="005C1035"/>
    <w:rsid w:val="005C31E6"/>
    <w:rsid w:val="005D27EF"/>
    <w:rsid w:val="005D538D"/>
    <w:rsid w:val="005D6B09"/>
    <w:rsid w:val="005E3476"/>
    <w:rsid w:val="00602F6B"/>
    <w:rsid w:val="00611DF3"/>
    <w:rsid w:val="00634383"/>
    <w:rsid w:val="006351D8"/>
    <w:rsid w:val="00644F7D"/>
    <w:rsid w:val="006504BE"/>
    <w:rsid w:val="00650643"/>
    <w:rsid w:val="00652796"/>
    <w:rsid w:val="00652A0C"/>
    <w:rsid w:val="00655371"/>
    <w:rsid w:val="0066138E"/>
    <w:rsid w:val="00672F60"/>
    <w:rsid w:val="00681161"/>
    <w:rsid w:val="00686CA7"/>
    <w:rsid w:val="00687789"/>
    <w:rsid w:val="0069165E"/>
    <w:rsid w:val="00692916"/>
    <w:rsid w:val="00694EA7"/>
    <w:rsid w:val="006A317E"/>
    <w:rsid w:val="006A72CE"/>
    <w:rsid w:val="006B0C8B"/>
    <w:rsid w:val="006B2E56"/>
    <w:rsid w:val="006B33D0"/>
    <w:rsid w:val="006B5869"/>
    <w:rsid w:val="006C3C64"/>
    <w:rsid w:val="006C47B7"/>
    <w:rsid w:val="006C5650"/>
    <w:rsid w:val="006C6D67"/>
    <w:rsid w:val="006E14C8"/>
    <w:rsid w:val="006E24DF"/>
    <w:rsid w:val="006E6FC1"/>
    <w:rsid w:val="006E7525"/>
    <w:rsid w:val="00704F4C"/>
    <w:rsid w:val="007071A5"/>
    <w:rsid w:val="007128FF"/>
    <w:rsid w:val="00713036"/>
    <w:rsid w:val="007134E7"/>
    <w:rsid w:val="00716642"/>
    <w:rsid w:val="00717BF2"/>
    <w:rsid w:val="00727C84"/>
    <w:rsid w:val="007302B2"/>
    <w:rsid w:val="007341B3"/>
    <w:rsid w:val="00736D9D"/>
    <w:rsid w:val="0075001A"/>
    <w:rsid w:val="00750384"/>
    <w:rsid w:val="00751B0A"/>
    <w:rsid w:val="00777358"/>
    <w:rsid w:val="00786053"/>
    <w:rsid w:val="00787DD2"/>
    <w:rsid w:val="00790470"/>
    <w:rsid w:val="0079285E"/>
    <w:rsid w:val="00795190"/>
    <w:rsid w:val="007A029B"/>
    <w:rsid w:val="007A05E9"/>
    <w:rsid w:val="007A0972"/>
    <w:rsid w:val="007A1ED8"/>
    <w:rsid w:val="007A52BA"/>
    <w:rsid w:val="007C139C"/>
    <w:rsid w:val="007D2889"/>
    <w:rsid w:val="007D39CA"/>
    <w:rsid w:val="007D6F94"/>
    <w:rsid w:val="007E5857"/>
    <w:rsid w:val="007E66AB"/>
    <w:rsid w:val="007F1DF0"/>
    <w:rsid w:val="007F658A"/>
    <w:rsid w:val="007F7921"/>
    <w:rsid w:val="00802E07"/>
    <w:rsid w:val="00805170"/>
    <w:rsid w:val="00811E3F"/>
    <w:rsid w:val="0081341F"/>
    <w:rsid w:val="008135C6"/>
    <w:rsid w:val="00814B83"/>
    <w:rsid w:val="00816291"/>
    <w:rsid w:val="0082062E"/>
    <w:rsid w:val="00820ED4"/>
    <w:rsid w:val="008231E6"/>
    <w:rsid w:val="00823A75"/>
    <w:rsid w:val="008327EE"/>
    <w:rsid w:val="008333E8"/>
    <w:rsid w:val="00833538"/>
    <w:rsid w:val="008336FF"/>
    <w:rsid w:val="0083587B"/>
    <w:rsid w:val="008405D6"/>
    <w:rsid w:val="00842019"/>
    <w:rsid w:val="00843200"/>
    <w:rsid w:val="00846B34"/>
    <w:rsid w:val="008575FD"/>
    <w:rsid w:val="00862E6B"/>
    <w:rsid w:val="00867CAE"/>
    <w:rsid w:val="0087210F"/>
    <w:rsid w:val="00872810"/>
    <w:rsid w:val="008765C5"/>
    <w:rsid w:val="008809CD"/>
    <w:rsid w:val="008936A0"/>
    <w:rsid w:val="008A0AA1"/>
    <w:rsid w:val="008A7183"/>
    <w:rsid w:val="008B195E"/>
    <w:rsid w:val="008B2236"/>
    <w:rsid w:val="008B500D"/>
    <w:rsid w:val="008D2A81"/>
    <w:rsid w:val="008E1F90"/>
    <w:rsid w:val="008F1B1C"/>
    <w:rsid w:val="008F45F4"/>
    <w:rsid w:val="008F6771"/>
    <w:rsid w:val="009020A3"/>
    <w:rsid w:val="0090552F"/>
    <w:rsid w:val="00920041"/>
    <w:rsid w:val="0092534A"/>
    <w:rsid w:val="00934975"/>
    <w:rsid w:val="00935BE7"/>
    <w:rsid w:val="009368F6"/>
    <w:rsid w:val="00940577"/>
    <w:rsid w:val="00952F69"/>
    <w:rsid w:val="00955C00"/>
    <w:rsid w:val="00955CCC"/>
    <w:rsid w:val="00961C00"/>
    <w:rsid w:val="009656FE"/>
    <w:rsid w:val="009663ED"/>
    <w:rsid w:val="00970613"/>
    <w:rsid w:val="00971D1D"/>
    <w:rsid w:val="00974DF2"/>
    <w:rsid w:val="009763B2"/>
    <w:rsid w:val="00983389"/>
    <w:rsid w:val="009935B5"/>
    <w:rsid w:val="009B6E9A"/>
    <w:rsid w:val="009C2059"/>
    <w:rsid w:val="009D723F"/>
    <w:rsid w:val="009E2F52"/>
    <w:rsid w:val="009E3E8F"/>
    <w:rsid w:val="00A201FA"/>
    <w:rsid w:val="00A226D9"/>
    <w:rsid w:val="00A2699A"/>
    <w:rsid w:val="00A31129"/>
    <w:rsid w:val="00A35B4D"/>
    <w:rsid w:val="00A4010C"/>
    <w:rsid w:val="00A434EF"/>
    <w:rsid w:val="00A5151A"/>
    <w:rsid w:val="00A57346"/>
    <w:rsid w:val="00A651A6"/>
    <w:rsid w:val="00A7051F"/>
    <w:rsid w:val="00A71F5B"/>
    <w:rsid w:val="00A83A28"/>
    <w:rsid w:val="00A869DE"/>
    <w:rsid w:val="00A96210"/>
    <w:rsid w:val="00A97CE0"/>
    <w:rsid w:val="00AA5522"/>
    <w:rsid w:val="00AA6549"/>
    <w:rsid w:val="00AC4CCD"/>
    <w:rsid w:val="00AC713F"/>
    <w:rsid w:val="00AC71EA"/>
    <w:rsid w:val="00AC7BA7"/>
    <w:rsid w:val="00AD17CB"/>
    <w:rsid w:val="00AD1E80"/>
    <w:rsid w:val="00AD3063"/>
    <w:rsid w:val="00AD508A"/>
    <w:rsid w:val="00B078C5"/>
    <w:rsid w:val="00B1049C"/>
    <w:rsid w:val="00B10C4C"/>
    <w:rsid w:val="00B16BC0"/>
    <w:rsid w:val="00B26298"/>
    <w:rsid w:val="00B33FC0"/>
    <w:rsid w:val="00B4012F"/>
    <w:rsid w:val="00B4053B"/>
    <w:rsid w:val="00B44155"/>
    <w:rsid w:val="00B50A68"/>
    <w:rsid w:val="00B570C3"/>
    <w:rsid w:val="00B57E2A"/>
    <w:rsid w:val="00B6288F"/>
    <w:rsid w:val="00B6397C"/>
    <w:rsid w:val="00B67459"/>
    <w:rsid w:val="00B679D6"/>
    <w:rsid w:val="00B73CF5"/>
    <w:rsid w:val="00B82352"/>
    <w:rsid w:val="00B83175"/>
    <w:rsid w:val="00B83FA8"/>
    <w:rsid w:val="00B87DD5"/>
    <w:rsid w:val="00B904E5"/>
    <w:rsid w:val="00B946FF"/>
    <w:rsid w:val="00BA250E"/>
    <w:rsid w:val="00BA3B82"/>
    <w:rsid w:val="00BB2FD3"/>
    <w:rsid w:val="00BB3CE9"/>
    <w:rsid w:val="00BC40B4"/>
    <w:rsid w:val="00BD0A8E"/>
    <w:rsid w:val="00BD135C"/>
    <w:rsid w:val="00BE3C85"/>
    <w:rsid w:val="00BF2000"/>
    <w:rsid w:val="00C00D1F"/>
    <w:rsid w:val="00C02CCE"/>
    <w:rsid w:val="00C16B8E"/>
    <w:rsid w:val="00C221AD"/>
    <w:rsid w:val="00C23B43"/>
    <w:rsid w:val="00C3478F"/>
    <w:rsid w:val="00C36ED6"/>
    <w:rsid w:val="00C52C8A"/>
    <w:rsid w:val="00C64BD6"/>
    <w:rsid w:val="00C663AA"/>
    <w:rsid w:val="00C74938"/>
    <w:rsid w:val="00C74B20"/>
    <w:rsid w:val="00C7647B"/>
    <w:rsid w:val="00C77E30"/>
    <w:rsid w:val="00C80AE4"/>
    <w:rsid w:val="00C845BE"/>
    <w:rsid w:val="00C8476A"/>
    <w:rsid w:val="00C90F10"/>
    <w:rsid w:val="00C9446B"/>
    <w:rsid w:val="00C95FA3"/>
    <w:rsid w:val="00CA255B"/>
    <w:rsid w:val="00CB20AD"/>
    <w:rsid w:val="00CB5DE5"/>
    <w:rsid w:val="00CC01E7"/>
    <w:rsid w:val="00CD136A"/>
    <w:rsid w:val="00CD701D"/>
    <w:rsid w:val="00CE614A"/>
    <w:rsid w:val="00CF04E1"/>
    <w:rsid w:val="00CF4B9A"/>
    <w:rsid w:val="00CF4FFA"/>
    <w:rsid w:val="00D016B1"/>
    <w:rsid w:val="00D03733"/>
    <w:rsid w:val="00D10ED1"/>
    <w:rsid w:val="00D12439"/>
    <w:rsid w:val="00D231BA"/>
    <w:rsid w:val="00D27240"/>
    <w:rsid w:val="00D3669F"/>
    <w:rsid w:val="00D3746C"/>
    <w:rsid w:val="00D4331D"/>
    <w:rsid w:val="00D45B2A"/>
    <w:rsid w:val="00D5490D"/>
    <w:rsid w:val="00D56D53"/>
    <w:rsid w:val="00D604AB"/>
    <w:rsid w:val="00D72DFC"/>
    <w:rsid w:val="00D753DA"/>
    <w:rsid w:val="00D81E64"/>
    <w:rsid w:val="00D87662"/>
    <w:rsid w:val="00D95D1B"/>
    <w:rsid w:val="00D962B0"/>
    <w:rsid w:val="00DA6802"/>
    <w:rsid w:val="00DB37B6"/>
    <w:rsid w:val="00DC0293"/>
    <w:rsid w:val="00DC4427"/>
    <w:rsid w:val="00DD6AA4"/>
    <w:rsid w:val="00DE058B"/>
    <w:rsid w:val="00DF13BC"/>
    <w:rsid w:val="00DF25C7"/>
    <w:rsid w:val="00DF75E2"/>
    <w:rsid w:val="00E02664"/>
    <w:rsid w:val="00E02DE9"/>
    <w:rsid w:val="00E10DA7"/>
    <w:rsid w:val="00E1360E"/>
    <w:rsid w:val="00E1432E"/>
    <w:rsid w:val="00E34F79"/>
    <w:rsid w:val="00E37A56"/>
    <w:rsid w:val="00E433BF"/>
    <w:rsid w:val="00E5532B"/>
    <w:rsid w:val="00E55A3E"/>
    <w:rsid w:val="00E56193"/>
    <w:rsid w:val="00E57799"/>
    <w:rsid w:val="00E720ED"/>
    <w:rsid w:val="00E809CD"/>
    <w:rsid w:val="00E83C2B"/>
    <w:rsid w:val="00E877AD"/>
    <w:rsid w:val="00E90101"/>
    <w:rsid w:val="00E94D2A"/>
    <w:rsid w:val="00E96B16"/>
    <w:rsid w:val="00EA1E40"/>
    <w:rsid w:val="00EA7250"/>
    <w:rsid w:val="00EA758E"/>
    <w:rsid w:val="00EB00EF"/>
    <w:rsid w:val="00EC568A"/>
    <w:rsid w:val="00ED3023"/>
    <w:rsid w:val="00ED518B"/>
    <w:rsid w:val="00EE6DF5"/>
    <w:rsid w:val="00EF5CBA"/>
    <w:rsid w:val="00EF6595"/>
    <w:rsid w:val="00EF6DE3"/>
    <w:rsid w:val="00F06E4D"/>
    <w:rsid w:val="00F12BFF"/>
    <w:rsid w:val="00F16F00"/>
    <w:rsid w:val="00F22A03"/>
    <w:rsid w:val="00F31EFA"/>
    <w:rsid w:val="00F36CD4"/>
    <w:rsid w:val="00F417D7"/>
    <w:rsid w:val="00F525F6"/>
    <w:rsid w:val="00F601ED"/>
    <w:rsid w:val="00F67B8B"/>
    <w:rsid w:val="00F726AB"/>
    <w:rsid w:val="00F7388E"/>
    <w:rsid w:val="00F749C1"/>
    <w:rsid w:val="00F75DEF"/>
    <w:rsid w:val="00F80A20"/>
    <w:rsid w:val="00F81044"/>
    <w:rsid w:val="00F848F1"/>
    <w:rsid w:val="00F90CB0"/>
    <w:rsid w:val="00F9147D"/>
    <w:rsid w:val="00F9493B"/>
    <w:rsid w:val="00FA0640"/>
    <w:rsid w:val="00FA2C9C"/>
    <w:rsid w:val="00FB1FE9"/>
    <w:rsid w:val="00FB3111"/>
    <w:rsid w:val="00FC28B7"/>
    <w:rsid w:val="00FD0EFC"/>
    <w:rsid w:val="00FE1715"/>
    <w:rsid w:val="00FF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E51DB-CDF5-46E5-9DFB-92CA6C1A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CB3"/>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2CB3"/>
    <w:pPr>
      <w:spacing w:after="0"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222CB3"/>
    <w:pPr>
      <w:tabs>
        <w:tab w:val="center" w:pos="4513"/>
        <w:tab w:val="right" w:pos="902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uiPriority w:val="99"/>
    <w:rsid w:val="00222CB3"/>
    <w:rPr>
      <w:rFonts w:ascii="Times New Roman" w:eastAsia="Times New Roman" w:hAnsi="Times New Roman" w:cs="Times New Roman"/>
      <w:sz w:val="24"/>
      <w:szCs w:val="24"/>
      <w:lang w:val="lv-LV" w:eastAsia="lv-LV"/>
    </w:rPr>
  </w:style>
  <w:style w:type="paragraph" w:styleId="Footer">
    <w:name w:val="footer"/>
    <w:basedOn w:val="Normal"/>
    <w:link w:val="FooterChar"/>
    <w:unhideWhenUsed/>
    <w:rsid w:val="00222CB3"/>
    <w:pPr>
      <w:tabs>
        <w:tab w:val="center" w:pos="4513"/>
        <w:tab w:val="right" w:pos="902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basedOn w:val="DefaultParagraphFont"/>
    <w:link w:val="Footer"/>
    <w:rsid w:val="00222CB3"/>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F91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47D"/>
    <w:rPr>
      <w:rFonts w:ascii="Segoe UI" w:hAnsi="Segoe UI" w:cs="Segoe UI"/>
      <w:sz w:val="18"/>
      <w:szCs w:val="18"/>
    </w:rPr>
  </w:style>
  <w:style w:type="character" w:styleId="CommentReference">
    <w:name w:val="annotation reference"/>
    <w:basedOn w:val="DefaultParagraphFont"/>
    <w:uiPriority w:val="99"/>
    <w:semiHidden/>
    <w:unhideWhenUsed/>
    <w:rsid w:val="005C1035"/>
    <w:rPr>
      <w:sz w:val="16"/>
      <w:szCs w:val="16"/>
    </w:rPr>
  </w:style>
  <w:style w:type="paragraph" w:styleId="CommentText">
    <w:name w:val="annotation text"/>
    <w:basedOn w:val="Normal"/>
    <w:link w:val="CommentTextChar"/>
    <w:uiPriority w:val="99"/>
    <w:semiHidden/>
    <w:unhideWhenUsed/>
    <w:rsid w:val="005C1035"/>
    <w:pPr>
      <w:spacing w:line="240" w:lineRule="auto"/>
    </w:pPr>
    <w:rPr>
      <w:sz w:val="20"/>
      <w:szCs w:val="20"/>
    </w:rPr>
  </w:style>
  <w:style w:type="character" w:customStyle="1" w:styleId="CommentTextChar">
    <w:name w:val="Comment Text Char"/>
    <w:basedOn w:val="DefaultParagraphFont"/>
    <w:link w:val="CommentText"/>
    <w:uiPriority w:val="99"/>
    <w:semiHidden/>
    <w:rsid w:val="005C1035"/>
    <w:rPr>
      <w:sz w:val="20"/>
      <w:szCs w:val="20"/>
    </w:rPr>
  </w:style>
  <w:style w:type="paragraph" w:styleId="CommentSubject">
    <w:name w:val="annotation subject"/>
    <w:basedOn w:val="CommentText"/>
    <w:next w:val="CommentText"/>
    <w:link w:val="CommentSubjectChar"/>
    <w:uiPriority w:val="99"/>
    <w:semiHidden/>
    <w:unhideWhenUsed/>
    <w:rsid w:val="005C1035"/>
    <w:rPr>
      <w:b/>
      <w:bCs/>
    </w:rPr>
  </w:style>
  <w:style w:type="character" w:customStyle="1" w:styleId="CommentSubjectChar">
    <w:name w:val="Comment Subject Char"/>
    <w:basedOn w:val="CommentTextChar"/>
    <w:link w:val="CommentSubject"/>
    <w:uiPriority w:val="99"/>
    <w:semiHidden/>
    <w:rsid w:val="005C1035"/>
    <w:rPr>
      <w:b/>
      <w:bCs/>
      <w:sz w:val="20"/>
      <w:szCs w:val="20"/>
    </w:rPr>
  </w:style>
  <w:style w:type="character" w:styleId="Hyperlink">
    <w:name w:val="Hyperlink"/>
    <w:uiPriority w:val="99"/>
    <w:unhideWhenUsed/>
    <w:rsid w:val="00021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50380">
      <w:bodyDiv w:val="1"/>
      <w:marLeft w:val="0"/>
      <w:marRight w:val="0"/>
      <w:marTop w:val="0"/>
      <w:marBottom w:val="0"/>
      <w:divBdr>
        <w:top w:val="none" w:sz="0" w:space="0" w:color="auto"/>
        <w:left w:val="none" w:sz="0" w:space="0" w:color="auto"/>
        <w:bottom w:val="none" w:sz="0" w:space="0" w:color="auto"/>
        <w:right w:val="none" w:sz="0" w:space="0" w:color="auto"/>
      </w:divBdr>
    </w:div>
    <w:div w:id="191280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7893</Characters>
  <Application>Microsoft Office Word</Application>
  <DocSecurity>0</DocSecurity>
  <Lines>246</Lines>
  <Paragraphs>72</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2006.gada 7.marta noteikumos Nr.180 „Neautomātisko svaru atbilstības novērtēšanas noteikumi”” sākotnējās ietekmes novērtējuma ziņojums (anotācija)</vt:lpstr>
    </vt:vector>
  </TitlesOfParts>
  <Manager>Veterinārais un pārtikas departaments</Manager>
  <Company>Zemkopibas Ministrija</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2006.gada 7.marta noteikumos Nr.180 „Neautomātisko svaru atbilstības novērtēšanas noteikumi”” sākotnējās ietekmes novērtējuma ziņojums (anotācija)</dc:title>
  <dc:subject>Ministru kabineta noteikumu projekts</dc:subject>
  <dc:creator>Normunds Freibergs</dc:creator>
  <cp:keywords/>
  <dc:description>Sanita.Vanaga@zm.gov.lv, 67027363</dc:description>
  <cp:lastModifiedBy>Valdis Lipskis</cp:lastModifiedBy>
  <cp:revision>2</cp:revision>
  <cp:lastPrinted>2015-09-28T09:33:00Z</cp:lastPrinted>
  <dcterms:created xsi:type="dcterms:W3CDTF">2015-12-03T09:12:00Z</dcterms:created>
  <dcterms:modified xsi:type="dcterms:W3CDTF">2015-12-03T09:12:00Z</dcterms:modified>
</cp:coreProperties>
</file>