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EEA1" w14:textId="553EFEB5" w:rsidR="00222CB3" w:rsidRPr="00974DF2" w:rsidRDefault="00222CB3" w:rsidP="00222CB3">
      <w:pPr>
        <w:pStyle w:val="NoSpacing"/>
        <w:jc w:val="center"/>
        <w:rPr>
          <w:b/>
          <w:bCs/>
          <w:sz w:val="26"/>
          <w:szCs w:val="26"/>
        </w:rPr>
      </w:pPr>
      <w:r w:rsidRPr="00974DF2">
        <w:rPr>
          <w:b/>
          <w:sz w:val="26"/>
          <w:szCs w:val="26"/>
        </w:rPr>
        <w:t xml:space="preserve">Ministru kabineta </w:t>
      </w:r>
      <w:r w:rsidR="004D7EAC" w:rsidRPr="00974DF2">
        <w:rPr>
          <w:b/>
          <w:sz w:val="26"/>
          <w:szCs w:val="26"/>
        </w:rPr>
        <w:t>noteikumu</w:t>
      </w:r>
      <w:r w:rsidRPr="00974DF2">
        <w:rPr>
          <w:b/>
          <w:sz w:val="26"/>
          <w:szCs w:val="26"/>
        </w:rPr>
        <w:t xml:space="preserve"> projekta „</w:t>
      </w:r>
      <w:r w:rsidR="00787DD2" w:rsidRPr="00974DF2">
        <w:rPr>
          <w:b/>
          <w:sz w:val="26"/>
          <w:szCs w:val="26"/>
        </w:rPr>
        <w:t>Grozījums Ministru kabineta 2006</w:t>
      </w:r>
      <w:r w:rsidR="004D7EAC" w:rsidRPr="00974DF2">
        <w:rPr>
          <w:b/>
          <w:sz w:val="26"/>
          <w:szCs w:val="26"/>
        </w:rPr>
        <w:t>.</w:t>
      </w:r>
      <w:r w:rsidR="0059736E">
        <w:rPr>
          <w:b/>
          <w:sz w:val="26"/>
          <w:szCs w:val="26"/>
        </w:rPr>
        <w:t> </w:t>
      </w:r>
      <w:r w:rsidR="004D7EAC" w:rsidRPr="00974DF2">
        <w:rPr>
          <w:b/>
          <w:sz w:val="26"/>
          <w:szCs w:val="26"/>
        </w:rPr>
        <w:t>gada</w:t>
      </w:r>
      <w:r w:rsidR="00787DD2" w:rsidRPr="00974DF2">
        <w:rPr>
          <w:b/>
          <w:sz w:val="26"/>
          <w:szCs w:val="26"/>
        </w:rPr>
        <w:t xml:space="preserve"> 7.</w:t>
      </w:r>
      <w:r w:rsidR="0059736E">
        <w:rPr>
          <w:b/>
          <w:sz w:val="26"/>
          <w:szCs w:val="26"/>
        </w:rPr>
        <w:t> </w:t>
      </w:r>
      <w:r w:rsidR="00787DD2" w:rsidRPr="00974DF2">
        <w:rPr>
          <w:b/>
          <w:sz w:val="26"/>
          <w:szCs w:val="26"/>
        </w:rPr>
        <w:t>marta noteikumos Nr.</w:t>
      </w:r>
      <w:r w:rsidR="0059736E">
        <w:rPr>
          <w:b/>
          <w:sz w:val="26"/>
          <w:szCs w:val="26"/>
        </w:rPr>
        <w:t> </w:t>
      </w:r>
      <w:r w:rsidR="00787DD2" w:rsidRPr="00974DF2">
        <w:rPr>
          <w:b/>
          <w:sz w:val="26"/>
          <w:szCs w:val="26"/>
        </w:rPr>
        <w:t>180</w:t>
      </w:r>
      <w:r w:rsidR="004D7EAC" w:rsidRPr="00974DF2">
        <w:rPr>
          <w:b/>
          <w:sz w:val="26"/>
          <w:szCs w:val="26"/>
        </w:rPr>
        <w:t xml:space="preserve"> „</w:t>
      </w:r>
      <w:r w:rsidR="00787DD2" w:rsidRPr="00974DF2">
        <w:rPr>
          <w:b/>
          <w:sz w:val="26"/>
          <w:szCs w:val="26"/>
        </w:rPr>
        <w:t>Neautomātisko svaru atbilstības novērtēšanas noteikumi</w:t>
      </w:r>
      <w:r w:rsidRPr="00974DF2">
        <w:rPr>
          <w:b/>
          <w:sz w:val="26"/>
          <w:szCs w:val="26"/>
        </w:rPr>
        <w:t>””</w:t>
      </w:r>
      <w:r w:rsidR="00022759">
        <w:rPr>
          <w:b/>
          <w:sz w:val="26"/>
          <w:szCs w:val="26"/>
        </w:rPr>
        <w:t xml:space="preserve"> </w:t>
      </w:r>
      <w:r w:rsidRPr="00974DF2">
        <w:rPr>
          <w:b/>
          <w:bCs/>
          <w:sz w:val="26"/>
          <w:szCs w:val="26"/>
        </w:rPr>
        <w:t>sākotnējās ietekmes novērtējuma ziņojums (anotācija)</w:t>
      </w:r>
    </w:p>
    <w:p w14:paraId="5CBF7978" w14:textId="77777777" w:rsidR="00222CB3" w:rsidRPr="00974DF2" w:rsidRDefault="00222CB3" w:rsidP="00222CB3">
      <w:pPr>
        <w:pStyle w:val="NoSpacing"/>
        <w:jc w:val="both"/>
        <w:rPr>
          <w:sz w:val="26"/>
          <w:szCs w:val="26"/>
        </w:rPr>
      </w:pPr>
    </w:p>
    <w:tbl>
      <w:tblPr>
        <w:tblStyle w:val="TableGrid"/>
        <w:tblW w:w="9351" w:type="dxa"/>
        <w:tblLook w:val="04A0" w:firstRow="1" w:lastRow="0" w:firstColumn="1" w:lastColumn="0" w:noHBand="0" w:noVBand="1"/>
      </w:tblPr>
      <w:tblGrid>
        <w:gridCol w:w="802"/>
        <w:gridCol w:w="2238"/>
        <w:gridCol w:w="6311"/>
      </w:tblGrid>
      <w:tr w:rsidR="00222CB3" w:rsidRPr="00974DF2" w14:paraId="7E4C397C" w14:textId="77777777" w:rsidTr="008D7B3D">
        <w:tc>
          <w:tcPr>
            <w:tcW w:w="9351" w:type="dxa"/>
            <w:gridSpan w:val="3"/>
          </w:tcPr>
          <w:p w14:paraId="38A3C869" w14:textId="77777777" w:rsidR="00222CB3" w:rsidRPr="00974DF2" w:rsidRDefault="00222CB3" w:rsidP="00786053">
            <w:pPr>
              <w:pStyle w:val="NoSpacing"/>
              <w:jc w:val="center"/>
              <w:rPr>
                <w:b/>
                <w:sz w:val="26"/>
                <w:szCs w:val="26"/>
              </w:rPr>
            </w:pPr>
            <w:r w:rsidRPr="00974DF2">
              <w:rPr>
                <w:b/>
                <w:sz w:val="26"/>
                <w:szCs w:val="26"/>
              </w:rPr>
              <w:t>I. Tiesību akta projekta izstrādes nepieciešamība</w:t>
            </w:r>
          </w:p>
        </w:tc>
      </w:tr>
      <w:tr w:rsidR="00222CB3" w:rsidRPr="00974DF2" w14:paraId="15DDA714" w14:textId="77777777" w:rsidTr="00BF2000">
        <w:tc>
          <w:tcPr>
            <w:tcW w:w="802" w:type="dxa"/>
          </w:tcPr>
          <w:p w14:paraId="4D4645FA" w14:textId="77777777" w:rsidR="00222CB3" w:rsidRPr="00974DF2" w:rsidRDefault="00222CB3" w:rsidP="00222CB3">
            <w:pPr>
              <w:pStyle w:val="NoSpacing"/>
              <w:jc w:val="both"/>
              <w:rPr>
                <w:sz w:val="26"/>
                <w:szCs w:val="26"/>
              </w:rPr>
            </w:pPr>
            <w:r w:rsidRPr="00974DF2">
              <w:rPr>
                <w:sz w:val="26"/>
                <w:szCs w:val="26"/>
              </w:rPr>
              <w:t>1.</w:t>
            </w:r>
          </w:p>
        </w:tc>
        <w:tc>
          <w:tcPr>
            <w:tcW w:w="2238" w:type="dxa"/>
          </w:tcPr>
          <w:p w14:paraId="1BF77272" w14:textId="77777777" w:rsidR="00222CB3" w:rsidRPr="00974DF2" w:rsidRDefault="00222CB3" w:rsidP="00222CB3">
            <w:pPr>
              <w:pStyle w:val="NoSpacing"/>
              <w:jc w:val="both"/>
              <w:rPr>
                <w:sz w:val="26"/>
                <w:szCs w:val="26"/>
              </w:rPr>
            </w:pPr>
            <w:r w:rsidRPr="00974DF2">
              <w:rPr>
                <w:sz w:val="26"/>
                <w:szCs w:val="26"/>
              </w:rPr>
              <w:t>Pamatojums</w:t>
            </w:r>
          </w:p>
        </w:tc>
        <w:tc>
          <w:tcPr>
            <w:tcW w:w="6311" w:type="dxa"/>
          </w:tcPr>
          <w:p w14:paraId="7EEE4518" w14:textId="7E9C79DF" w:rsidR="00222CB3" w:rsidRPr="00974DF2" w:rsidRDefault="00650643" w:rsidP="00650643">
            <w:pPr>
              <w:pStyle w:val="NoSpacing"/>
              <w:jc w:val="both"/>
              <w:rPr>
                <w:sz w:val="26"/>
                <w:szCs w:val="26"/>
              </w:rPr>
            </w:pPr>
            <w:r w:rsidRPr="00974DF2">
              <w:rPr>
                <w:sz w:val="26"/>
                <w:szCs w:val="26"/>
              </w:rPr>
              <w:t>Likuma “Par atbilstības novērtēšanu” 7.</w:t>
            </w:r>
            <w:r w:rsidR="0059736E">
              <w:rPr>
                <w:sz w:val="26"/>
                <w:szCs w:val="26"/>
              </w:rPr>
              <w:t> </w:t>
            </w:r>
            <w:r w:rsidRPr="00974DF2">
              <w:rPr>
                <w:sz w:val="26"/>
                <w:szCs w:val="26"/>
              </w:rPr>
              <w:t xml:space="preserve">pants un likuma “Par </w:t>
            </w:r>
            <w:r w:rsidR="0059736E">
              <w:rPr>
                <w:sz w:val="26"/>
                <w:szCs w:val="26"/>
              </w:rPr>
              <w:t>mērījumu vienotību” 6. panta otrā</w:t>
            </w:r>
            <w:r w:rsidRPr="00974DF2">
              <w:rPr>
                <w:sz w:val="26"/>
                <w:szCs w:val="26"/>
              </w:rPr>
              <w:t xml:space="preserve"> daļa</w:t>
            </w:r>
          </w:p>
        </w:tc>
      </w:tr>
      <w:tr w:rsidR="00222CB3" w:rsidRPr="00974DF2" w14:paraId="16367D91" w14:textId="77777777" w:rsidTr="00BF2000">
        <w:tc>
          <w:tcPr>
            <w:tcW w:w="802" w:type="dxa"/>
          </w:tcPr>
          <w:p w14:paraId="735F5965" w14:textId="77777777" w:rsidR="00222CB3" w:rsidRPr="00974DF2" w:rsidRDefault="00222CB3" w:rsidP="00222CB3">
            <w:pPr>
              <w:pStyle w:val="NoSpacing"/>
              <w:jc w:val="both"/>
              <w:rPr>
                <w:sz w:val="26"/>
                <w:szCs w:val="26"/>
              </w:rPr>
            </w:pPr>
            <w:r w:rsidRPr="00974DF2">
              <w:rPr>
                <w:sz w:val="26"/>
                <w:szCs w:val="26"/>
              </w:rPr>
              <w:t>2.</w:t>
            </w:r>
          </w:p>
        </w:tc>
        <w:tc>
          <w:tcPr>
            <w:tcW w:w="2238" w:type="dxa"/>
          </w:tcPr>
          <w:p w14:paraId="2BF55B33" w14:textId="214D72E8" w:rsidR="0009699B" w:rsidRDefault="00222CB3" w:rsidP="00222CB3">
            <w:pPr>
              <w:pStyle w:val="NoSpacing"/>
              <w:jc w:val="both"/>
              <w:rPr>
                <w:sz w:val="26"/>
                <w:szCs w:val="26"/>
              </w:rPr>
            </w:pPr>
            <w:r w:rsidRPr="00974DF2">
              <w:rPr>
                <w:sz w:val="26"/>
                <w:szCs w:val="26"/>
              </w:rPr>
              <w:t>Pašreizējā situācija un problēmas, kuru risināšanai tiesību akta projekts izstrādāts, tiesiskā regulējuma mērķis un būtība</w:t>
            </w:r>
          </w:p>
          <w:p w14:paraId="2B3B198A" w14:textId="77777777" w:rsidR="0009699B" w:rsidRPr="0009699B" w:rsidRDefault="0009699B" w:rsidP="0009699B">
            <w:pPr>
              <w:rPr>
                <w:lang w:eastAsia="lv-LV"/>
              </w:rPr>
            </w:pPr>
          </w:p>
          <w:p w14:paraId="2A8ACB07" w14:textId="77777777" w:rsidR="0009699B" w:rsidRPr="0009699B" w:rsidRDefault="0009699B" w:rsidP="0009699B">
            <w:pPr>
              <w:rPr>
                <w:lang w:eastAsia="lv-LV"/>
              </w:rPr>
            </w:pPr>
          </w:p>
          <w:p w14:paraId="4FC05954" w14:textId="77777777" w:rsidR="0009699B" w:rsidRPr="0009699B" w:rsidRDefault="0009699B" w:rsidP="0009699B">
            <w:pPr>
              <w:rPr>
                <w:lang w:eastAsia="lv-LV"/>
              </w:rPr>
            </w:pPr>
          </w:p>
          <w:p w14:paraId="432B6947" w14:textId="77777777" w:rsidR="0009699B" w:rsidRPr="0009699B" w:rsidRDefault="0009699B" w:rsidP="0009699B">
            <w:pPr>
              <w:rPr>
                <w:lang w:eastAsia="lv-LV"/>
              </w:rPr>
            </w:pPr>
          </w:p>
          <w:p w14:paraId="11E11AFD" w14:textId="77777777" w:rsidR="0009699B" w:rsidRPr="0009699B" w:rsidRDefault="0009699B" w:rsidP="0009699B">
            <w:pPr>
              <w:rPr>
                <w:lang w:eastAsia="lv-LV"/>
              </w:rPr>
            </w:pPr>
          </w:p>
          <w:p w14:paraId="223FFDAB" w14:textId="77777777" w:rsidR="0009699B" w:rsidRPr="0009699B" w:rsidRDefault="0009699B" w:rsidP="0009699B">
            <w:pPr>
              <w:rPr>
                <w:lang w:eastAsia="lv-LV"/>
              </w:rPr>
            </w:pPr>
          </w:p>
          <w:p w14:paraId="12BB0DF5" w14:textId="77777777" w:rsidR="0009699B" w:rsidRPr="0009699B" w:rsidRDefault="0009699B" w:rsidP="0009699B">
            <w:pPr>
              <w:rPr>
                <w:lang w:eastAsia="lv-LV"/>
              </w:rPr>
            </w:pPr>
          </w:p>
          <w:p w14:paraId="52AC72B3" w14:textId="77777777" w:rsidR="0009699B" w:rsidRPr="0009699B" w:rsidRDefault="0009699B" w:rsidP="0009699B">
            <w:pPr>
              <w:rPr>
                <w:lang w:eastAsia="lv-LV"/>
              </w:rPr>
            </w:pPr>
          </w:p>
          <w:p w14:paraId="24614C4E" w14:textId="77777777" w:rsidR="0009699B" w:rsidRPr="0009699B" w:rsidRDefault="0009699B" w:rsidP="0009699B">
            <w:pPr>
              <w:rPr>
                <w:lang w:eastAsia="lv-LV"/>
              </w:rPr>
            </w:pPr>
          </w:p>
          <w:p w14:paraId="2D1D8A82" w14:textId="77777777" w:rsidR="0009699B" w:rsidRPr="0009699B" w:rsidRDefault="0009699B" w:rsidP="0009699B">
            <w:pPr>
              <w:rPr>
                <w:lang w:eastAsia="lv-LV"/>
              </w:rPr>
            </w:pPr>
          </w:p>
          <w:p w14:paraId="73295CB9" w14:textId="77777777" w:rsidR="0009699B" w:rsidRPr="0009699B" w:rsidRDefault="0009699B" w:rsidP="0009699B">
            <w:pPr>
              <w:rPr>
                <w:lang w:eastAsia="lv-LV"/>
              </w:rPr>
            </w:pPr>
          </w:p>
          <w:p w14:paraId="1DF970ED" w14:textId="77777777" w:rsidR="0009699B" w:rsidRPr="0009699B" w:rsidRDefault="0009699B" w:rsidP="0009699B">
            <w:pPr>
              <w:rPr>
                <w:lang w:eastAsia="lv-LV"/>
              </w:rPr>
            </w:pPr>
          </w:p>
          <w:p w14:paraId="679E3E70" w14:textId="77777777" w:rsidR="0009699B" w:rsidRPr="0009699B" w:rsidRDefault="0009699B" w:rsidP="0009699B">
            <w:pPr>
              <w:rPr>
                <w:lang w:eastAsia="lv-LV"/>
              </w:rPr>
            </w:pPr>
          </w:p>
          <w:p w14:paraId="5025C47A" w14:textId="77777777" w:rsidR="0009699B" w:rsidRPr="0009699B" w:rsidRDefault="0009699B" w:rsidP="0009699B">
            <w:pPr>
              <w:rPr>
                <w:lang w:eastAsia="lv-LV"/>
              </w:rPr>
            </w:pPr>
          </w:p>
          <w:p w14:paraId="1F5359DF" w14:textId="77777777" w:rsidR="0009699B" w:rsidRPr="0009699B" w:rsidRDefault="0009699B" w:rsidP="0009699B">
            <w:pPr>
              <w:rPr>
                <w:lang w:eastAsia="lv-LV"/>
              </w:rPr>
            </w:pPr>
          </w:p>
          <w:p w14:paraId="5DBC1A16" w14:textId="77777777" w:rsidR="0009699B" w:rsidRPr="0009699B" w:rsidRDefault="0009699B" w:rsidP="0009699B">
            <w:pPr>
              <w:rPr>
                <w:lang w:eastAsia="lv-LV"/>
              </w:rPr>
            </w:pPr>
          </w:p>
          <w:p w14:paraId="35B21DCC" w14:textId="77777777" w:rsidR="0009699B" w:rsidRPr="0009699B" w:rsidRDefault="0009699B" w:rsidP="0009699B">
            <w:pPr>
              <w:rPr>
                <w:lang w:eastAsia="lv-LV"/>
              </w:rPr>
            </w:pPr>
          </w:p>
          <w:p w14:paraId="382633EC" w14:textId="77777777" w:rsidR="0009699B" w:rsidRPr="0009699B" w:rsidRDefault="0009699B" w:rsidP="0009699B">
            <w:pPr>
              <w:rPr>
                <w:lang w:eastAsia="lv-LV"/>
              </w:rPr>
            </w:pPr>
          </w:p>
          <w:p w14:paraId="7A72FF33" w14:textId="77777777" w:rsidR="0009699B" w:rsidRPr="0009699B" w:rsidRDefault="0009699B" w:rsidP="0009699B">
            <w:pPr>
              <w:rPr>
                <w:lang w:eastAsia="lv-LV"/>
              </w:rPr>
            </w:pPr>
          </w:p>
          <w:p w14:paraId="4E1A7C45" w14:textId="77777777" w:rsidR="0009699B" w:rsidRPr="0009699B" w:rsidRDefault="0009699B" w:rsidP="0009699B">
            <w:pPr>
              <w:rPr>
                <w:lang w:eastAsia="lv-LV"/>
              </w:rPr>
            </w:pPr>
          </w:p>
          <w:p w14:paraId="467E1430" w14:textId="77777777" w:rsidR="0009699B" w:rsidRPr="0009699B" w:rsidRDefault="0009699B" w:rsidP="0009699B">
            <w:pPr>
              <w:rPr>
                <w:lang w:eastAsia="lv-LV"/>
              </w:rPr>
            </w:pPr>
          </w:p>
          <w:p w14:paraId="45897F8B" w14:textId="77777777" w:rsidR="0009699B" w:rsidRPr="0009699B" w:rsidRDefault="0009699B" w:rsidP="0009699B">
            <w:pPr>
              <w:rPr>
                <w:lang w:eastAsia="lv-LV"/>
              </w:rPr>
            </w:pPr>
          </w:p>
          <w:p w14:paraId="333E031A" w14:textId="46EEC127" w:rsidR="0009699B" w:rsidRDefault="0009699B" w:rsidP="0009699B">
            <w:pPr>
              <w:rPr>
                <w:lang w:eastAsia="lv-LV"/>
              </w:rPr>
            </w:pPr>
          </w:p>
          <w:p w14:paraId="15E0D67C" w14:textId="77777777" w:rsidR="0009699B" w:rsidRPr="0009699B" w:rsidRDefault="0009699B" w:rsidP="0009699B">
            <w:pPr>
              <w:rPr>
                <w:lang w:eastAsia="lv-LV"/>
              </w:rPr>
            </w:pPr>
          </w:p>
          <w:p w14:paraId="725A75D4" w14:textId="77777777" w:rsidR="0009699B" w:rsidRPr="0009699B" w:rsidRDefault="0009699B" w:rsidP="0009699B">
            <w:pPr>
              <w:rPr>
                <w:lang w:eastAsia="lv-LV"/>
              </w:rPr>
            </w:pPr>
          </w:p>
          <w:p w14:paraId="79ECBBE2" w14:textId="77777777" w:rsidR="0009699B" w:rsidRPr="0009699B" w:rsidRDefault="0009699B" w:rsidP="0009699B">
            <w:pPr>
              <w:rPr>
                <w:lang w:eastAsia="lv-LV"/>
              </w:rPr>
            </w:pPr>
          </w:p>
          <w:p w14:paraId="75A21F6C" w14:textId="77777777" w:rsidR="0009699B" w:rsidRPr="0009699B" w:rsidRDefault="0009699B" w:rsidP="0009699B">
            <w:pPr>
              <w:rPr>
                <w:lang w:eastAsia="lv-LV"/>
              </w:rPr>
            </w:pPr>
          </w:p>
          <w:p w14:paraId="7746AB5C" w14:textId="77777777" w:rsidR="0009699B" w:rsidRPr="0009699B" w:rsidRDefault="0009699B" w:rsidP="0009699B">
            <w:pPr>
              <w:rPr>
                <w:lang w:eastAsia="lv-LV"/>
              </w:rPr>
            </w:pPr>
          </w:p>
          <w:p w14:paraId="55B330F9" w14:textId="77777777" w:rsidR="0009699B" w:rsidRPr="0009699B" w:rsidRDefault="0009699B" w:rsidP="0009699B">
            <w:pPr>
              <w:rPr>
                <w:lang w:eastAsia="lv-LV"/>
              </w:rPr>
            </w:pPr>
          </w:p>
          <w:p w14:paraId="5201AF0A" w14:textId="77777777" w:rsidR="0009699B" w:rsidRPr="0009699B" w:rsidRDefault="0009699B" w:rsidP="0009699B">
            <w:pPr>
              <w:rPr>
                <w:lang w:eastAsia="lv-LV"/>
              </w:rPr>
            </w:pPr>
          </w:p>
          <w:p w14:paraId="458ED2EB" w14:textId="77777777" w:rsidR="0009699B" w:rsidRPr="0009699B" w:rsidRDefault="0009699B" w:rsidP="0009699B">
            <w:pPr>
              <w:rPr>
                <w:lang w:eastAsia="lv-LV"/>
              </w:rPr>
            </w:pPr>
          </w:p>
          <w:p w14:paraId="5074BDD9" w14:textId="133E609C" w:rsidR="0009699B" w:rsidRDefault="0009699B" w:rsidP="0009699B">
            <w:pPr>
              <w:rPr>
                <w:lang w:eastAsia="lv-LV"/>
              </w:rPr>
            </w:pPr>
          </w:p>
          <w:p w14:paraId="109FC242" w14:textId="77777777" w:rsidR="0009699B" w:rsidRPr="0009699B" w:rsidRDefault="0009699B" w:rsidP="0009699B">
            <w:pPr>
              <w:rPr>
                <w:lang w:eastAsia="lv-LV"/>
              </w:rPr>
            </w:pPr>
          </w:p>
          <w:p w14:paraId="0A88DF44" w14:textId="77777777" w:rsidR="0009699B" w:rsidRPr="0009699B" w:rsidRDefault="0009699B" w:rsidP="0009699B">
            <w:pPr>
              <w:rPr>
                <w:lang w:eastAsia="lv-LV"/>
              </w:rPr>
            </w:pPr>
          </w:p>
          <w:p w14:paraId="099BF54D" w14:textId="77777777" w:rsidR="0009699B" w:rsidRPr="0009699B" w:rsidRDefault="0009699B" w:rsidP="0009699B">
            <w:pPr>
              <w:rPr>
                <w:lang w:eastAsia="lv-LV"/>
              </w:rPr>
            </w:pPr>
          </w:p>
          <w:p w14:paraId="5B0CEEFA" w14:textId="3F1E52D4" w:rsidR="0009699B" w:rsidRDefault="0009699B" w:rsidP="0009699B">
            <w:pPr>
              <w:rPr>
                <w:lang w:eastAsia="lv-LV"/>
              </w:rPr>
            </w:pPr>
          </w:p>
          <w:p w14:paraId="095C7047" w14:textId="3A4BFE6E" w:rsidR="0009699B" w:rsidRDefault="0009699B" w:rsidP="0009699B">
            <w:pPr>
              <w:rPr>
                <w:lang w:eastAsia="lv-LV"/>
              </w:rPr>
            </w:pPr>
          </w:p>
          <w:p w14:paraId="106C8300" w14:textId="77777777" w:rsidR="00222CB3" w:rsidRPr="0009699B" w:rsidRDefault="00222CB3" w:rsidP="0009699B">
            <w:pPr>
              <w:rPr>
                <w:lang w:eastAsia="lv-LV"/>
              </w:rPr>
            </w:pPr>
          </w:p>
        </w:tc>
        <w:tc>
          <w:tcPr>
            <w:tcW w:w="6311" w:type="dxa"/>
          </w:tcPr>
          <w:p w14:paraId="54B81C39" w14:textId="3ACFE70A" w:rsidR="00B82352" w:rsidRDefault="00650643" w:rsidP="004D2160">
            <w:pPr>
              <w:pStyle w:val="NoSpacing"/>
              <w:jc w:val="both"/>
              <w:rPr>
                <w:sz w:val="26"/>
                <w:szCs w:val="26"/>
              </w:rPr>
            </w:pPr>
            <w:r w:rsidRPr="00974DF2">
              <w:rPr>
                <w:sz w:val="26"/>
                <w:szCs w:val="26"/>
              </w:rPr>
              <w:t>Ministru kabineta 2006.</w:t>
            </w:r>
            <w:r w:rsidR="0059736E">
              <w:rPr>
                <w:sz w:val="26"/>
                <w:szCs w:val="26"/>
              </w:rPr>
              <w:t> </w:t>
            </w:r>
            <w:r w:rsidRPr="00974DF2">
              <w:rPr>
                <w:sz w:val="26"/>
                <w:szCs w:val="26"/>
              </w:rPr>
              <w:t>gada 7.</w:t>
            </w:r>
            <w:r w:rsidR="0059736E">
              <w:rPr>
                <w:sz w:val="26"/>
                <w:szCs w:val="26"/>
              </w:rPr>
              <w:t> </w:t>
            </w:r>
            <w:r w:rsidRPr="00974DF2">
              <w:rPr>
                <w:sz w:val="26"/>
                <w:szCs w:val="26"/>
              </w:rPr>
              <w:t>marta noteikumu Nr.</w:t>
            </w:r>
            <w:r w:rsidR="0059736E">
              <w:rPr>
                <w:sz w:val="26"/>
                <w:szCs w:val="26"/>
              </w:rPr>
              <w:t> </w:t>
            </w:r>
            <w:r w:rsidRPr="00974DF2">
              <w:rPr>
                <w:sz w:val="26"/>
                <w:szCs w:val="26"/>
              </w:rPr>
              <w:t>180 „Neautomātisko svaru atbilstības novērtēšanas noteikumi”  (turpmāk – noteikumi Nr.</w:t>
            </w:r>
            <w:r w:rsidR="0059736E">
              <w:rPr>
                <w:sz w:val="26"/>
                <w:szCs w:val="26"/>
              </w:rPr>
              <w:t> </w:t>
            </w:r>
            <w:r w:rsidRPr="00974DF2">
              <w:rPr>
                <w:sz w:val="26"/>
                <w:szCs w:val="26"/>
              </w:rPr>
              <w:t>180)</w:t>
            </w:r>
            <w:r w:rsidR="00974DF2">
              <w:rPr>
                <w:sz w:val="26"/>
                <w:szCs w:val="26"/>
              </w:rPr>
              <w:t xml:space="preserve"> nosaka </w:t>
            </w:r>
            <w:r w:rsidRPr="00974DF2">
              <w:rPr>
                <w:sz w:val="26"/>
                <w:szCs w:val="26"/>
              </w:rPr>
              <w:t>pamatprasības neautomātiskajiem svariem un šo prasību ievērošanas uzraudzības kārtību projektēšanā, ražošanā un atbilstības novērtēšanā, pirms neautomātiskie svari tiek ievietoti iekšējā tirgū, kā arī nosaka tirgus uzraudzības kārtību</w:t>
            </w:r>
            <w:r w:rsidR="00974DF2" w:rsidRPr="00974DF2">
              <w:rPr>
                <w:sz w:val="26"/>
                <w:szCs w:val="26"/>
              </w:rPr>
              <w:t>.</w:t>
            </w:r>
            <w:r w:rsidR="00B82352">
              <w:rPr>
                <w:sz w:val="26"/>
                <w:szCs w:val="26"/>
              </w:rPr>
              <w:t xml:space="preserve"> </w:t>
            </w:r>
            <w:r w:rsidR="00D81E64">
              <w:rPr>
                <w:sz w:val="26"/>
                <w:szCs w:val="26"/>
                <w:lang w:val="en-US"/>
              </w:rPr>
              <w:t>N</w:t>
            </w:r>
            <w:r w:rsidRPr="00974DF2">
              <w:rPr>
                <w:sz w:val="26"/>
                <w:szCs w:val="26"/>
                <w:lang w:val="en-US"/>
              </w:rPr>
              <w:t>oteikumu Nr.</w:t>
            </w:r>
            <w:r w:rsidR="0059736E">
              <w:rPr>
                <w:sz w:val="26"/>
                <w:szCs w:val="26"/>
                <w:lang w:val="en-US"/>
              </w:rPr>
              <w:t> </w:t>
            </w:r>
            <w:r w:rsidRPr="00974DF2">
              <w:rPr>
                <w:sz w:val="26"/>
                <w:szCs w:val="26"/>
                <w:lang w:val="en-US"/>
              </w:rPr>
              <w:t xml:space="preserve">180 </w:t>
            </w:r>
            <w:r w:rsidR="004E3C4C">
              <w:rPr>
                <w:sz w:val="26"/>
                <w:szCs w:val="26"/>
              </w:rPr>
              <w:t>26.</w:t>
            </w:r>
            <w:r w:rsidR="0059736E">
              <w:rPr>
                <w:sz w:val="26"/>
                <w:szCs w:val="26"/>
              </w:rPr>
              <w:t> </w:t>
            </w:r>
            <w:r w:rsidR="004E3C4C">
              <w:rPr>
                <w:sz w:val="26"/>
                <w:szCs w:val="26"/>
              </w:rPr>
              <w:t xml:space="preserve">punkts nosaka, </w:t>
            </w:r>
            <w:r w:rsidR="004E3C4C" w:rsidRPr="006E24DF">
              <w:rPr>
                <w:sz w:val="26"/>
                <w:szCs w:val="26"/>
              </w:rPr>
              <w:t xml:space="preserve">ka svarus, </w:t>
            </w:r>
            <w:r w:rsidRPr="006E24DF">
              <w:rPr>
                <w:sz w:val="26"/>
                <w:szCs w:val="26"/>
              </w:rPr>
              <w:t>kuri nodoti lietošanā reglamentētajā jomā līdz šo noteikumu spēkā stāšanās dienai un neatbilst šo noteikumu prasībām,</w:t>
            </w:r>
            <w:r w:rsidR="004E3C4C" w:rsidRPr="006E24DF">
              <w:rPr>
                <w:sz w:val="26"/>
                <w:szCs w:val="26"/>
              </w:rPr>
              <w:t xml:space="preserve"> ir</w:t>
            </w:r>
            <w:r w:rsidRPr="006E24DF">
              <w:rPr>
                <w:sz w:val="26"/>
                <w:szCs w:val="26"/>
              </w:rPr>
              <w:t xml:space="preserve"> atļauts lietot līdz 2015.</w:t>
            </w:r>
            <w:r w:rsidR="0059736E">
              <w:rPr>
                <w:sz w:val="26"/>
                <w:szCs w:val="26"/>
              </w:rPr>
              <w:t> </w:t>
            </w:r>
            <w:r w:rsidRPr="006E24DF">
              <w:rPr>
                <w:sz w:val="26"/>
                <w:szCs w:val="26"/>
              </w:rPr>
              <w:t>gada 31.</w:t>
            </w:r>
            <w:r w:rsidR="0059736E">
              <w:rPr>
                <w:sz w:val="26"/>
                <w:szCs w:val="26"/>
              </w:rPr>
              <w:t> </w:t>
            </w:r>
            <w:r w:rsidRPr="006E24DF">
              <w:rPr>
                <w:sz w:val="26"/>
                <w:szCs w:val="26"/>
              </w:rPr>
              <w:t>decembrim</w:t>
            </w:r>
            <w:r w:rsidR="0059736E">
              <w:rPr>
                <w:sz w:val="26"/>
                <w:szCs w:val="26"/>
              </w:rPr>
              <w:t>.</w:t>
            </w:r>
            <w:r w:rsidR="00B82352">
              <w:rPr>
                <w:sz w:val="26"/>
                <w:szCs w:val="26"/>
              </w:rPr>
              <w:t xml:space="preserve"> Ekonomikas ministrija konsultējās ar nevalstiskajām organizācijām, lai apzinātu to neautomātisko svaru apjomu, kuru būtu jāizņem no lietošanas, ņemot vērā  Noteikumu Nr.180 26.punktā ietverto pārejas periodu. Nevalstiskās organizācijas ir sniegušas informāciju, ka šādu neautomātisko svaru lietošanā ir pietiekoši liels daudzums un to nomaiņa radītu būtisku finansiālu slogu (mērāms vairākos miljonos) šo neautomātisko svaru lietotājiem.</w:t>
            </w:r>
          </w:p>
          <w:p w14:paraId="04D5410A" w14:textId="574B8FA4" w:rsidR="00D81E64" w:rsidRDefault="00D81E64" w:rsidP="004D2160">
            <w:pPr>
              <w:pStyle w:val="NoSpacing"/>
              <w:jc w:val="both"/>
              <w:rPr>
                <w:sz w:val="26"/>
                <w:szCs w:val="26"/>
              </w:rPr>
            </w:pPr>
            <w:r>
              <w:rPr>
                <w:sz w:val="26"/>
                <w:szCs w:val="26"/>
              </w:rPr>
              <w:t xml:space="preserve">Vienlaikus </w:t>
            </w:r>
            <w:r w:rsidR="00CC01E7">
              <w:rPr>
                <w:sz w:val="26"/>
                <w:szCs w:val="26"/>
              </w:rPr>
              <w:t xml:space="preserve">atbilstoši </w:t>
            </w:r>
            <w:r w:rsidRPr="00D81E64">
              <w:rPr>
                <w:sz w:val="26"/>
                <w:szCs w:val="26"/>
              </w:rPr>
              <w:t>Ministru kabine</w:t>
            </w:r>
            <w:r>
              <w:rPr>
                <w:sz w:val="26"/>
                <w:szCs w:val="26"/>
              </w:rPr>
              <w:t>ta 2007.</w:t>
            </w:r>
            <w:r w:rsidR="0059736E">
              <w:rPr>
                <w:sz w:val="26"/>
                <w:szCs w:val="26"/>
              </w:rPr>
              <w:t> </w:t>
            </w:r>
            <w:r>
              <w:rPr>
                <w:sz w:val="26"/>
                <w:szCs w:val="26"/>
              </w:rPr>
              <w:t>gada 9.</w:t>
            </w:r>
            <w:r w:rsidR="0059736E">
              <w:rPr>
                <w:sz w:val="26"/>
                <w:szCs w:val="26"/>
              </w:rPr>
              <w:t> </w:t>
            </w:r>
            <w:r>
              <w:rPr>
                <w:sz w:val="26"/>
                <w:szCs w:val="26"/>
              </w:rPr>
              <w:t>janvāra noteikumos Nr.</w:t>
            </w:r>
            <w:r w:rsidR="0059736E">
              <w:rPr>
                <w:sz w:val="26"/>
                <w:szCs w:val="26"/>
              </w:rPr>
              <w:t> </w:t>
            </w:r>
            <w:r>
              <w:rPr>
                <w:sz w:val="26"/>
                <w:szCs w:val="26"/>
              </w:rPr>
              <w:t>40 “</w:t>
            </w:r>
            <w:r w:rsidRPr="00D81E64">
              <w:rPr>
                <w:sz w:val="26"/>
                <w:szCs w:val="26"/>
              </w:rPr>
              <w:t>Noteikumi par valsts metroloģiskajai kontrolei pakļa</w:t>
            </w:r>
            <w:r>
              <w:rPr>
                <w:sz w:val="26"/>
                <w:szCs w:val="26"/>
              </w:rPr>
              <w:t>uto mērīšanas līdzekļu sarakstu”</w:t>
            </w:r>
            <w:r w:rsidR="000D3B9D">
              <w:rPr>
                <w:sz w:val="26"/>
                <w:szCs w:val="26"/>
              </w:rPr>
              <w:t xml:space="preserve"> (turpmāk –</w:t>
            </w:r>
            <w:r w:rsidR="00FA3F96">
              <w:rPr>
                <w:sz w:val="26"/>
                <w:szCs w:val="26"/>
              </w:rPr>
              <w:t xml:space="preserve"> n</w:t>
            </w:r>
            <w:r w:rsidR="000D3B9D">
              <w:rPr>
                <w:sz w:val="26"/>
                <w:szCs w:val="26"/>
              </w:rPr>
              <w:t>oteikumi Nr.40)</w:t>
            </w:r>
            <w:r>
              <w:rPr>
                <w:sz w:val="26"/>
                <w:szCs w:val="26"/>
              </w:rPr>
              <w:t xml:space="preserve"> </w:t>
            </w:r>
            <w:r w:rsidR="00CC01E7">
              <w:rPr>
                <w:sz w:val="26"/>
                <w:szCs w:val="26"/>
              </w:rPr>
              <w:t xml:space="preserve">noteiktajām prasībām, </w:t>
            </w:r>
            <w:r>
              <w:rPr>
                <w:sz w:val="26"/>
                <w:szCs w:val="26"/>
              </w:rPr>
              <w:t xml:space="preserve">neautomātisko svaru </w:t>
            </w:r>
            <w:r w:rsidR="009C2059">
              <w:rPr>
                <w:sz w:val="26"/>
                <w:szCs w:val="26"/>
              </w:rPr>
              <w:t xml:space="preserve">atkārtota </w:t>
            </w:r>
            <w:r>
              <w:rPr>
                <w:sz w:val="26"/>
                <w:szCs w:val="26"/>
              </w:rPr>
              <w:t>verificē</w:t>
            </w:r>
            <w:r w:rsidR="004E3C4C">
              <w:rPr>
                <w:sz w:val="26"/>
                <w:szCs w:val="26"/>
              </w:rPr>
              <w:t>šana (pārbaude)</w:t>
            </w:r>
            <w:r>
              <w:rPr>
                <w:sz w:val="26"/>
                <w:szCs w:val="26"/>
              </w:rPr>
              <w:t xml:space="preserve"> </w:t>
            </w:r>
            <w:r w:rsidR="004E3C4C">
              <w:rPr>
                <w:sz w:val="26"/>
                <w:szCs w:val="26"/>
              </w:rPr>
              <w:t xml:space="preserve">tiek veikta </w:t>
            </w:r>
            <w:r>
              <w:rPr>
                <w:sz w:val="26"/>
                <w:szCs w:val="26"/>
              </w:rPr>
              <w:t>(atkarīb</w:t>
            </w:r>
            <w:r w:rsidR="004E3C4C">
              <w:rPr>
                <w:sz w:val="26"/>
                <w:szCs w:val="26"/>
              </w:rPr>
              <w:t>ā no svaru klases)</w:t>
            </w:r>
            <w:r>
              <w:rPr>
                <w:sz w:val="26"/>
                <w:szCs w:val="26"/>
              </w:rPr>
              <w:t xml:space="preserve"> reizi 2 gados vai reizi gadā.</w:t>
            </w:r>
            <w:r w:rsidR="00CC01E7">
              <w:rPr>
                <w:sz w:val="26"/>
                <w:szCs w:val="26"/>
              </w:rPr>
              <w:t xml:space="preserve"> </w:t>
            </w:r>
            <w:r w:rsidR="009C2059">
              <w:rPr>
                <w:sz w:val="26"/>
                <w:szCs w:val="26"/>
              </w:rPr>
              <w:t>Atk</w:t>
            </w:r>
            <w:r w:rsidR="0066138E">
              <w:rPr>
                <w:sz w:val="26"/>
                <w:szCs w:val="26"/>
              </w:rPr>
              <w:t>ār</w:t>
            </w:r>
            <w:r w:rsidR="009C2059">
              <w:rPr>
                <w:sz w:val="26"/>
                <w:szCs w:val="26"/>
              </w:rPr>
              <w:t>t</w:t>
            </w:r>
            <w:r w:rsidR="0066138E">
              <w:rPr>
                <w:sz w:val="26"/>
                <w:szCs w:val="26"/>
              </w:rPr>
              <w:t>oto</w:t>
            </w:r>
            <w:r w:rsidR="009C2059">
              <w:rPr>
                <w:sz w:val="26"/>
                <w:szCs w:val="26"/>
              </w:rPr>
              <w:t xml:space="preserve"> verificē</w:t>
            </w:r>
            <w:r w:rsidR="0066138E">
              <w:rPr>
                <w:sz w:val="26"/>
                <w:szCs w:val="26"/>
              </w:rPr>
              <w:t>šanu akreditētas atbilstības novērtēšanas institūcijas (inspicēšanas institūcijas)</w:t>
            </w:r>
            <w:r w:rsidR="00935BE7">
              <w:rPr>
                <w:sz w:val="26"/>
                <w:szCs w:val="26"/>
              </w:rPr>
              <w:t xml:space="preserve"> </w:t>
            </w:r>
            <w:r w:rsidR="0066138E">
              <w:rPr>
                <w:sz w:val="26"/>
                <w:szCs w:val="26"/>
              </w:rPr>
              <w:t xml:space="preserve">veic </w:t>
            </w:r>
            <w:r w:rsidR="00935BE7">
              <w:rPr>
                <w:sz w:val="26"/>
                <w:szCs w:val="26"/>
              </w:rPr>
              <w:t xml:space="preserve">visiem </w:t>
            </w:r>
            <w:r w:rsidR="006504BE">
              <w:rPr>
                <w:sz w:val="26"/>
                <w:szCs w:val="26"/>
              </w:rPr>
              <w:t xml:space="preserve">lietošanā nodotiem </w:t>
            </w:r>
            <w:r w:rsidR="00935BE7">
              <w:rPr>
                <w:sz w:val="26"/>
                <w:szCs w:val="26"/>
              </w:rPr>
              <w:t>neautomātiskiem svariem, neatkarīgi no to</w:t>
            </w:r>
            <w:r w:rsidR="0066138E">
              <w:rPr>
                <w:sz w:val="26"/>
                <w:szCs w:val="26"/>
              </w:rPr>
              <w:t xml:space="preserve"> ražošanas un nodošanas lietošanā</w:t>
            </w:r>
            <w:r w:rsidR="004C3936">
              <w:rPr>
                <w:sz w:val="26"/>
                <w:szCs w:val="26"/>
              </w:rPr>
              <w:t xml:space="preserve"> laika.</w:t>
            </w:r>
            <w:r w:rsidR="00F81044">
              <w:rPr>
                <w:sz w:val="26"/>
                <w:szCs w:val="26"/>
              </w:rPr>
              <w:t xml:space="preserve"> </w:t>
            </w:r>
            <w:r w:rsidR="004C3936">
              <w:rPr>
                <w:sz w:val="26"/>
                <w:szCs w:val="26"/>
              </w:rPr>
              <w:t>T</w:t>
            </w:r>
            <w:r w:rsidR="00F81044">
              <w:rPr>
                <w:sz w:val="26"/>
                <w:szCs w:val="26"/>
              </w:rPr>
              <w:t>as nozīm</w:t>
            </w:r>
            <w:r w:rsidR="004C3936">
              <w:rPr>
                <w:sz w:val="26"/>
                <w:szCs w:val="26"/>
              </w:rPr>
              <w:t xml:space="preserve">ē, ka visi </w:t>
            </w:r>
            <w:r w:rsidR="00F81044">
              <w:rPr>
                <w:sz w:val="26"/>
                <w:szCs w:val="26"/>
              </w:rPr>
              <w:t>neautomātiskie svari</w:t>
            </w:r>
            <w:r w:rsidR="00C77E30">
              <w:rPr>
                <w:sz w:val="26"/>
                <w:szCs w:val="26"/>
              </w:rPr>
              <w:t xml:space="preserve">, kas </w:t>
            </w:r>
            <w:r w:rsidR="004C3936">
              <w:rPr>
                <w:sz w:val="26"/>
                <w:szCs w:val="26"/>
              </w:rPr>
              <w:t>izgāju</w:t>
            </w:r>
            <w:r w:rsidR="00A31129">
              <w:rPr>
                <w:sz w:val="26"/>
                <w:szCs w:val="26"/>
              </w:rPr>
              <w:t xml:space="preserve">ši </w:t>
            </w:r>
            <w:r w:rsidR="004C3936">
              <w:rPr>
                <w:sz w:val="26"/>
                <w:szCs w:val="26"/>
              </w:rPr>
              <w:t>verificēšanu</w:t>
            </w:r>
            <w:r w:rsidR="007A0972">
              <w:rPr>
                <w:sz w:val="26"/>
                <w:szCs w:val="26"/>
              </w:rPr>
              <w:t xml:space="preserve">, ir saņēmuši apliecinājumu, ka tie </w:t>
            </w:r>
            <w:r w:rsidR="00F81044">
              <w:rPr>
                <w:sz w:val="26"/>
                <w:szCs w:val="26"/>
              </w:rPr>
              <w:t>atbilst</w:t>
            </w:r>
            <w:r w:rsidR="006504BE">
              <w:rPr>
                <w:sz w:val="26"/>
                <w:szCs w:val="26"/>
              </w:rPr>
              <w:t xml:space="preserve"> konkrētajos </w:t>
            </w:r>
            <w:r w:rsidR="00F81044">
              <w:rPr>
                <w:sz w:val="26"/>
                <w:szCs w:val="26"/>
              </w:rPr>
              <w:t>normatīvajos aktos noteiktajām prasībām.</w:t>
            </w:r>
          </w:p>
          <w:p w14:paraId="42416DB0" w14:textId="7171ED64" w:rsidR="00EA758E" w:rsidRDefault="00EA758E" w:rsidP="004D2160">
            <w:pPr>
              <w:pStyle w:val="NoSpacing"/>
              <w:jc w:val="both"/>
              <w:rPr>
                <w:sz w:val="26"/>
                <w:szCs w:val="26"/>
              </w:rPr>
            </w:pPr>
            <w:r w:rsidRPr="005B2FEC">
              <w:rPr>
                <w:sz w:val="26"/>
                <w:szCs w:val="26"/>
              </w:rPr>
              <w:t>Ekonomikas ministrijas ieskatā, izvērtējot sabiedrības un uzņēm</w:t>
            </w:r>
            <w:r w:rsidR="00867CAE">
              <w:rPr>
                <w:sz w:val="26"/>
                <w:szCs w:val="26"/>
              </w:rPr>
              <w:t>ēju</w:t>
            </w:r>
            <w:r w:rsidR="00C00D1F">
              <w:rPr>
                <w:sz w:val="26"/>
                <w:szCs w:val="26"/>
              </w:rPr>
              <w:t xml:space="preserve"> (svaru lietotāji saimnieciska</w:t>
            </w:r>
            <w:r w:rsidR="003C1358">
              <w:rPr>
                <w:sz w:val="26"/>
                <w:szCs w:val="26"/>
              </w:rPr>
              <w:t>i</w:t>
            </w:r>
            <w:r w:rsidR="00C00D1F">
              <w:rPr>
                <w:sz w:val="26"/>
                <w:szCs w:val="26"/>
              </w:rPr>
              <w:t xml:space="preserve"> darbīb</w:t>
            </w:r>
            <w:r w:rsidR="003C1358">
              <w:rPr>
                <w:sz w:val="26"/>
                <w:szCs w:val="26"/>
              </w:rPr>
              <w:t>ai</w:t>
            </w:r>
            <w:r w:rsidR="00C00D1F">
              <w:rPr>
                <w:sz w:val="26"/>
                <w:szCs w:val="26"/>
              </w:rPr>
              <w:t>)</w:t>
            </w:r>
            <w:r w:rsidR="00867CAE">
              <w:rPr>
                <w:sz w:val="26"/>
                <w:szCs w:val="26"/>
              </w:rPr>
              <w:t xml:space="preserve"> interešu samērīgumu</w:t>
            </w:r>
            <w:r>
              <w:rPr>
                <w:sz w:val="26"/>
                <w:szCs w:val="26"/>
              </w:rPr>
              <w:t xml:space="preserve">, nav saskatāmi nozīmīgi ieguvumi sabiedrības interesēm, lai </w:t>
            </w:r>
            <w:r w:rsidRPr="00EA758E">
              <w:rPr>
                <w:sz w:val="26"/>
                <w:szCs w:val="26"/>
                <w:lang w:val="en-US"/>
              </w:rPr>
              <w:t>no 2016.</w:t>
            </w:r>
            <w:r w:rsidR="0059736E">
              <w:rPr>
                <w:sz w:val="26"/>
                <w:szCs w:val="26"/>
                <w:lang w:val="en-US"/>
              </w:rPr>
              <w:t> </w:t>
            </w:r>
            <w:r w:rsidRPr="00EA758E">
              <w:rPr>
                <w:sz w:val="26"/>
                <w:szCs w:val="26"/>
                <w:lang w:val="en-US"/>
              </w:rPr>
              <w:t>gada 1.</w:t>
            </w:r>
            <w:r w:rsidR="0059736E">
              <w:rPr>
                <w:sz w:val="26"/>
                <w:szCs w:val="26"/>
                <w:lang w:val="en-US"/>
              </w:rPr>
              <w:t> </w:t>
            </w:r>
            <w:r w:rsidRPr="00EA758E">
              <w:rPr>
                <w:sz w:val="26"/>
                <w:szCs w:val="26"/>
                <w:lang w:val="en-US"/>
              </w:rPr>
              <w:t xml:space="preserve">janvāra </w:t>
            </w:r>
            <w:r w:rsidR="00BB2FD3" w:rsidRPr="00BB2FD3">
              <w:rPr>
                <w:sz w:val="26"/>
                <w:szCs w:val="26"/>
              </w:rPr>
              <w:t>tiktu</w:t>
            </w:r>
            <w:r w:rsidR="00BB2FD3">
              <w:rPr>
                <w:sz w:val="26"/>
                <w:szCs w:val="26"/>
                <w:lang w:val="en-US"/>
              </w:rPr>
              <w:t xml:space="preserve"> </w:t>
            </w:r>
            <w:r w:rsidRPr="00EA758E">
              <w:rPr>
                <w:sz w:val="26"/>
                <w:szCs w:val="26"/>
              </w:rPr>
              <w:t>palielin</w:t>
            </w:r>
            <w:r w:rsidR="00BB2FD3">
              <w:rPr>
                <w:sz w:val="26"/>
                <w:szCs w:val="26"/>
              </w:rPr>
              <w:t>āts</w:t>
            </w:r>
            <w:r w:rsidRPr="00EA758E">
              <w:rPr>
                <w:sz w:val="26"/>
                <w:szCs w:val="26"/>
              </w:rPr>
              <w:t xml:space="preserve"> </w:t>
            </w:r>
            <w:r w:rsidR="00BB2FD3">
              <w:rPr>
                <w:sz w:val="26"/>
                <w:szCs w:val="26"/>
              </w:rPr>
              <w:t xml:space="preserve">finansiālais </w:t>
            </w:r>
            <w:r w:rsidRPr="00EA758E">
              <w:rPr>
                <w:sz w:val="26"/>
                <w:szCs w:val="26"/>
              </w:rPr>
              <w:t>slogu</w:t>
            </w:r>
            <w:r w:rsidRPr="00EA758E">
              <w:rPr>
                <w:sz w:val="26"/>
                <w:szCs w:val="26"/>
                <w:lang w:val="en-US"/>
              </w:rPr>
              <w:t xml:space="preserve"> </w:t>
            </w:r>
            <w:r w:rsidRPr="00EA758E">
              <w:rPr>
                <w:sz w:val="26"/>
                <w:szCs w:val="26"/>
              </w:rPr>
              <w:t>uzņēmējiem</w:t>
            </w:r>
            <w:r w:rsidR="007071A5">
              <w:rPr>
                <w:sz w:val="26"/>
                <w:szCs w:val="26"/>
              </w:rPr>
              <w:t>,</w:t>
            </w:r>
            <w:r w:rsidR="00BB2FD3">
              <w:rPr>
                <w:sz w:val="26"/>
                <w:szCs w:val="26"/>
              </w:rPr>
              <w:t xml:space="preserve"> ko radīs nepieciešamība iegādāties jaunus </w:t>
            </w:r>
            <w:r w:rsidR="00E720ED">
              <w:rPr>
                <w:sz w:val="26"/>
                <w:szCs w:val="26"/>
              </w:rPr>
              <w:t xml:space="preserve">neautomātiskos </w:t>
            </w:r>
            <w:r w:rsidR="007E5857">
              <w:rPr>
                <w:sz w:val="26"/>
                <w:szCs w:val="26"/>
              </w:rPr>
              <w:t xml:space="preserve">svarus, lai gan </w:t>
            </w:r>
            <w:r w:rsidR="0059736E">
              <w:rPr>
                <w:sz w:val="26"/>
                <w:szCs w:val="26"/>
              </w:rPr>
              <w:t xml:space="preserve">lietošanā esošie svari, kuri kaut gan formāli neatbilst Noteikumu </w:t>
            </w:r>
            <w:r w:rsidR="0059736E">
              <w:rPr>
                <w:sz w:val="26"/>
                <w:szCs w:val="26"/>
              </w:rPr>
              <w:lastRenderedPageBreak/>
              <w:t xml:space="preserve">Nr. 180 prasībām, taču </w:t>
            </w:r>
            <w:r w:rsidR="007E5857">
              <w:rPr>
                <w:sz w:val="26"/>
                <w:szCs w:val="26"/>
              </w:rPr>
              <w:t xml:space="preserve">atbilstoši veiktajai atkārtotai verificēšanai </w:t>
            </w:r>
            <w:r w:rsidR="0059736E">
              <w:rPr>
                <w:sz w:val="26"/>
                <w:szCs w:val="26"/>
              </w:rPr>
              <w:t>ir atzīti par</w:t>
            </w:r>
            <w:r w:rsidR="007E5857">
              <w:rPr>
                <w:sz w:val="26"/>
                <w:szCs w:val="26"/>
              </w:rPr>
              <w:t xml:space="preserve"> atbilstoši</w:t>
            </w:r>
            <w:r w:rsidR="0059736E">
              <w:rPr>
                <w:sz w:val="26"/>
                <w:szCs w:val="26"/>
              </w:rPr>
              <w:t>em</w:t>
            </w:r>
            <w:r w:rsidR="007E5857">
              <w:rPr>
                <w:sz w:val="26"/>
                <w:szCs w:val="26"/>
              </w:rPr>
              <w:t xml:space="preserve"> normatīvajos aktos noteiktajām </w:t>
            </w:r>
            <w:r w:rsidR="00B82352">
              <w:rPr>
                <w:sz w:val="26"/>
                <w:szCs w:val="26"/>
              </w:rPr>
              <w:t xml:space="preserve">būtiskajām </w:t>
            </w:r>
            <w:r w:rsidR="007E5857">
              <w:rPr>
                <w:sz w:val="26"/>
                <w:szCs w:val="26"/>
              </w:rPr>
              <w:t>prasībām</w:t>
            </w:r>
            <w:r w:rsidR="0059736E">
              <w:rPr>
                <w:sz w:val="26"/>
                <w:szCs w:val="26"/>
              </w:rPr>
              <w:t xml:space="preserve"> un ir</w:t>
            </w:r>
            <w:r w:rsidR="007E5857">
              <w:rPr>
                <w:sz w:val="26"/>
                <w:szCs w:val="26"/>
              </w:rPr>
              <w:t xml:space="preserve"> derīgi </w:t>
            </w:r>
            <w:r w:rsidR="0059736E">
              <w:rPr>
                <w:sz w:val="26"/>
                <w:szCs w:val="26"/>
              </w:rPr>
              <w:t xml:space="preserve">turpmākajai </w:t>
            </w:r>
            <w:r w:rsidR="007E5857">
              <w:rPr>
                <w:sz w:val="26"/>
                <w:szCs w:val="26"/>
              </w:rPr>
              <w:t>lietošanai</w:t>
            </w:r>
            <w:r w:rsidR="0059736E">
              <w:rPr>
                <w:sz w:val="26"/>
                <w:szCs w:val="26"/>
              </w:rPr>
              <w:t>, tādējādi novēršot bažas, ka šie neautomātiskie svari</w:t>
            </w:r>
            <w:r w:rsidR="00B82352">
              <w:rPr>
                <w:sz w:val="26"/>
                <w:szCs w:val="26"/>
              </w:rPr>
              <w:t>, samazinoties to mērījumu precizitātei,</w:t>
            </w:r>
            <w:r w:rsidR="0059736E">
              <w:rPr>
                <w:sz w:val="26"/>
                <w:szCs w:val="26"/>
              </w:rPr>
              <w:t xml:space="preserve"> rada risku sabiedrības interesēm</w:t>
            </w:r>
            <w:r w:rsidR="00B82352">
              <w:rPr>
                <w:sz w:val="26"/>
                <w:szCs w:val="26"/>
              </w:rPr>
              <w:t>.</w:t>
            </w:r>
            <w:r w:rsidR="000D3B9D">
              <w:rPr>
                <w:sz w:val="26"/>
                <w:szCs w:val="26"/>
              </w:rPr>
              <w:t xml:space="preserve"> </w:t>
            </w:r>
          </w:p>
          <w:p w14:paraId="3AAD03EC" w14:textId="77777777" w:rsidR="002C741D" w:rsidRDefault="007071A5" w:rsidP="002C741D">
            <w:pPr>
              <w:pStyle w:val="NoSpacing"/>
              <w:jc w:val="both"/>
              <w:rPr>
                <w:sz w:val="26"/>
                <w:szCs w:val="26"/>
              </w:rPr>
            </w:pPr>
            <w:r>
              <w:rPr>
                <w:sz w:val="26"/>
                <w:szCs w:val="26"/>
              </w:rPr>
              <w:t>Ievērojot augstāk minēto, nepieciešams svītrot</w:t>
            </w:r>
            <w:r w:rsidRPr="00974DF2">
              <w:rPr>
                <w:sz w:val="26"/>
                <w:szCs w:val="26"/>
              </w:rPr>
              <w:t xml:space="preserve"> noteikumu</w:t>
            </w:r>
            <w:r>
              <w:rPr>
                <w:sz w:val="26"/>
                <w:szCs w:val="26"/>
              </w:rPr>
              <w:t xml:space="preserve"> Nr.180 </w:t>
            </w:r>
            <w:r w:rsidR="001D03FC">
              <w:rPr>
                <w:sz w:val="26"/>
                <w:szCs w:val="26"/>
              </w:rPr>
              <w:t>26.punktu</w:t>
            </w:r>
            <w:r w:rsidR="0059736E">
              <w:rPr>
                <w:sz w:val="26"/>
                <w:szCs w:val="26"/>
              </w:rPr>
              <w:t>. Tādējādi arī pēc 2015.gada 31.decembra tiktu atļauts lietot neautomātisko svarus, kas neatbilst Noteikumu Nr.180 prasībām, ja tiem ir veikta atkārtotā verifikācija un tie ir atzīti par atbilstošiem būtiskajām prasībām un ir derīgi turpmākajai lietošanai.</w:t>
            </w:r>
          </w:p>
          <w:p w14:paraId="0496548E" w14:textId="5DA1C6F6" w:rsidR="008967F3" w:rsidRPr="00974DF2" w:rsidRDefault="008967F3" w:rsidP="0009699B">
            <w:pPr>
              <w:pStyle w:val="NoSpacing"/>
              <w:jc w:val="both"/>
              <w:rPr>
                <w:sz w:val="26"/>
                <w:szCs w:val="26"/>
              </w:rPr>
            </w:pPr>
            <w:r>
              <w:rPr>
                <w:sz w:val="26"/>
                <w:szCs w:val="26"/>
              </w:rPr>
              <w:t>Vienlaikus attiecībā uz atkārtotās verifikācijas sertifik</w:t>
            </w:r>
            <w:r w:rsidR="0009699B">
              <w:rPr>
                <w:sz w:val="26"/>
                <w:szCs w:val="26"/>
              </w:rPr>
              <w:t>ātu derīguma termiņu</w:t>
            </w:r>
            <w:r>
              <w:rPr>
                <w:sz w:val="26"/>
                <w:szCs w:val="26"/>
              </w:rPr>
              <w:t xml:space="preserve">, kas izsniegti </w:t>
            </w:r>
            <w:r w:rsidR="00FA3F96">
              <w:rPr>
                <w:sz w:val="26"/>
                <w:szCs w:val="26"/>
              </w:rPr>
              <w:t xml:space="preserve">noteikumu Nr.180 prasībām neatbilstošiem neautomātiskajiem svariem līdz 2015.gada 31.decembrim, </w:t>
            </w:r>
            <w:r w:rsidR="00FA3F96" w:rsidRPr="00FA3F96">
              <w:rPr>
                <w:sz w:val="26"/>
                <w:szCs w:val="26"/>
              </w:rPr>
              <w:t>ir piemērojams noteikumos Nr.40 noteiktais periodiskums.</w:t>
            </w:r>
          </w:p>
        </w:tc>
      </w:tr>
      <w:tr w:rsidR="00222CB3" w:rsidRPr="00974DF2" w14:paraId="1560A763" w14:textId="77777777" w:rsidTr="00BF2000">
        <w:tc>
          <w:tcPr>
            <w:tcW w:w="802" w:type="dxa"/>
          </w:tcPr>
          <w:p w14:paraId="437BDD12" w14:textId="2711F85F" w:rsidR="00222CB3" w:rsidRPr="00974DF2" w:rsidRDefault="00222CB3" w:rsidP="00222CB3">
            <w:pPr>
              <w:pStyle w:val="NoSpacing"/>
              <w:jc w:val="both"/>
              <w:rPr>
                <w:sz w:val="26"/>
                <w:szCs w:val="26"/>
              </w:rPr>
            </w:pPr>
            <w:r w:rsidRPr="00974DF2">
              <w:rPr>
                <w:sz w:val="26"/>
                <w:szCs w:val="26"/>
              </w:rPr>
              <w:lastRenderedPageBreak/>
              <w:t>3.</w:t>
            </w:r>
          </w:p>
        </w:tc>
        <w:tc>
          <w:tcPr>
            <w:tcW w:w="2238" w:type="dxa"/>
          </w:tcPr>
          <w:p w14:paraId="01DCDAA1" w14:textId="77777777" w:rsidR="00222CB3" w:rsidRPr="00974DF2" w:rsidRDefault="00222CB3" w:rsidP="00222CB3">
            <w:pPr>
              <w:pStyle w:val="NoSpacing"/>
              <w:jc w:val="both"/>
              <w:rPr>
                <w:sz w:val="26"/>
                <w:szCs w:val="26"/>
              </w:rPr>
            </w:pPr>
            <w:r w:rsidRPr="00974DF2">
              <w:rPr>
                <w:sz w:val="26"/>
                <w:szCs w:val="26"/>
              </w:rPr>
              <w:t>Projekta izstrādē iesaistītās institūcijas</w:t>
            </w:r>
          </w:p>
        </w:tc>
        <w:tc>
          <w:tcPr>
            <w:tcW w:w="6311" w:type="dxa"/>
          </w:tcPr>
          <w:p w14:paraId="10BBF2DC" w14:textId="47BE571B" w:rsidR="00222CB3" w:rsidRPr="00974DF2" w:rsidRDefault="00650643" w:rsidP="00C80AE4">
            <w:pPr>
              <w:pStyle w:val="NoSpacing"/>
              <w:jc w:val="both"/>
              <w:rPr>
                <w:sz w:val="26"/>
                <w:szCs w:val="26"/>
              </w:rPr>
            </w:pPr>
            <w:r w:rsidRPr="00974DF2">
              <w:rPr>
                <w:sz w:val="26"/>
                <w:szCs w:val="26"/>
              </w:rPr>
              <w:t>Patērētāju tiesību aizsardzības centrs</w:t>
            </w:r>
          </w:p>
        </w:tc>
      </w:tr>
      <w:tr w:rsidR="00222CB3" w:rsidRPr="00974DF2" w14:paraId="0B5867C8" w14:textId="77777777" w:rsidTr="00BF2000">
        <w:tc>
          <w:tcPr>
            <w:tcW w:w="802" w:type="dxa"/>
          </w:tcPr>
          <w:p w14:paraId="380233B1" w14:textId="77777777" w:rsidR="00222CB3" w:rsidRPr="00974DF2" w:rsidRDefault="00222CB3" w:rsidP="00222CB3">
            <w:pPr>
              <w:pStyle w:val="NoSpacing"/>
              <w:jc w:val="both"/>
              <w:rPr>
                <w:sz w:val="26"/>
                <w:szCs w:val="26"/>
              </w:rPr>
            </w:pPr>
            <w:r w:rsidRPr="00974DF2">
              <w:rPr>
                <w:sz w:val="26"/>
                <w:szCs w:val="26"/>
              </w:rPr>
              <w:t>4.</w:t>
            </w:r>
          </w:p>
        </w:tc>
        <w:tc>
          <w:tcPr>
            <w:tcW w:w="2238" w:type="dxa"/>
          </w:tcPr>
          <w:p w14:paraId="4785E604" w14:textId="77777777" w:rsidR="00222CB3" w:rsidRPr="00974DF2" w:rsidRDefault="00222CB3" w:rsidP="00222CB3">
            <w:pPr>
              <w:pStyle w:val="NoSpacing"/>
              <w:jc w:val="both"/>
              <w:rPr>
                <w:sz w:val="26"/>
                <w:szCs w:val="26"/>
              </w:rPr>
            </w:pPr>
            <w:r w:rsidRPr="00974DF2">
              <w:rPr>
                <w:sz w:val="26"/>
                <w:szCs w:val="26"/>
              </w:rPr>
              <w:t>Cita informācija</w:t>
            </w:r>
          </w:p>
        </w:tc>
        <w:tc>
          <w:tcPr>
            <w:tcW w:w="6311" w:type="dxa"/>
          </w:tcPr>
          <w:p w14:paraId="76D603B0" w14:textId="77777777" w:rsidR="00222CB3" w:rsidRPr="00974DF2" w:rsidRDefault="00222CB3" w:rsidP="00222CB3">
            <w:pPr>
              <w:pStyle w:val="NoSpacing"/>
              <w:jc w:val="both"/>
              <w:rPr>
                <w:sz w:val="26"/>
                <w:szCs w:val="26"/>
              </w:rPr>
            </w:pPr>
            <w:r w:rsidRPr="00974DF2">
              <w:rPr>
                <w:sz w:val="26"/>
                <w:szCs w:val="26"/>
              </w:rPr>
              <w:t xml:space="preserve">Nav </w:t>
            </w:r>
          </w:p>
        </w:tc>
      </w:tr>
    </w:tbl>
    <w:p w14:paraId="37FD90F5" w14:textId="77777777" w:rsidR="006B0C8B" w:rsidRPr="00974DF2" w:rsidRDefault="006B0C8B" w:rsidP="00222CB3">
      <w:pPr>
        <w:pStyle w:val="NoSpacing"/>
        <w:jc w:val="both"/>
        <w:rPr>
          <w:sz w:val="26"/>
          <w:szCs w:val="26"/>
        </w:rPr>
      </w:pPr>
    </w:p>
    <w:p w14:paraId="15AECAF7" w14:textId="77777777" w:rsidR="006B0C8B" w:rsidRPr="00974DF2" w:rsidRDefault="006B0C8B" w:rsidP="00222CB3">
      <w:pPr>
        <w:pStyle w:val="NoSpacing"/>
        <w:jc w:val="both"/>
        <w:rPr>
          <w:sz w:val="26"/>
          <w:szCs w:val="26"/>
        </w:rPr>
      </w:pPr>
    </w:p>
    <w:tbl>
      <w:tblPr>
        <w:tblStyle w:val="TableGrid"/>
        <w:tblW w:w="9351" w:type="dxa"/>
        <w:tblLook w:val="04A0" w:firstRow="1" w:lastRow="0" w:firstColumn="1" w:lastColumn="0" w:noHBand="0" w:noVBand="1"/>
      </w:tblPr>
      <w:tblGrid>
        <w:gridCol w:w="802"/>
        <w:gridCol w:w="2248"/>
        <w:gridCol w:w="6301"/>
      </w:tblGrid>
      <w:tr w:rsidR="00222CB3" w:rsidRPr="00974DF2" w14:paraId="47184984" w14:textId="77777777" w:rsidTr="008D7B3D">
        <w:tc>
          <w:tcPr>
            <w:tcW w:w="9351" w:type="dxa"/>
            <w:gridSpan w:val="3"/>
          </w:tcPr>
          <w:p w14:paraId="57BEA04B" w14:textId="77777777" w:rsidR="00222CB3" w:rsidRPr="00974DF2" w:rsidRDefault="00222CB3" w:rsidP="00786053">
            <w:pPr>
              <w:pStyle w:val="NoSpacing"/>
              <w:jc w:val="center"/>
              <w:rPr>
                <w:b/>
                <w:sz w:val="26"/>
                <w:szCs w:val="26"/>
              </w:rPr>
            </w:pPr>
            <w:r w:rsidRPr="00974DF2">
              <w:rPr>
                <w:b/>
                <w:sz w:val="26"/>
                <w:szCs w:val="26"/>
              </w:rPr>
              <w:t>II. Tiesību akta projekta ietekme uz sabiedrību, tautsaimniecības attīstību un administratīvo slogu</w:t>
            </w:r>
          </w:p>
        </w:tc>
      </w:tr>
      <w:tr w:rsidR="00222CB3" w:rsidRPr="00974DF2" w14:paraId="4592166F" w14:textId="77777777" w:rsidTr="008D7B3D">
        <w:tc>
          <w:tcPr>
            <w:tcW w:w="802" w:type="dxa"/>
          </w:tcPr>
          <w:p w14:paraId="09C938DA" w14:textId="77777777" w:rsidR="00222CB3" w:rsidRPr="00974DF2" w:rsidRDefault="00222CB3" w:rsidP="00222CB3">
            <w:pPr>
              <w:pStyle w:val="NoSpacing"/>
              <w:jc w:val="both"/>
              <w:rPr>
                <w:sz w:val="26"/>
                <w:szCs w:val="26"/>
              </w:rPr>
            </w:pPr>
            <w:r w:rsidRPr="00974DF2">
              <w:rPr>
                <w:sz w:val="26"/>
                <w:szCs w:val="26"/>
              </w:rPr>
              <w:t>1.</w:t>
            </w:r>
          </w:p>
        </w:tc>
        <w:tc>
          <w:tcPr>
            <w:tcW w:w="2248" w:type="dxa"/>
          </w:tcPr>
          <w:p w14:paraId="0796CC41" w14:textId="77777777" w:rsidR="00222CB3" w:rsidRPr="00974DF2" w:rsidRDefault="00222CB3" w:rsidP="00222CB3">
            <w:pPr>
              <w:pStyle w:val="NoSpacing"/>
              <w:jc w:val="both"/>
              <w:rPr>
                <w:sz w:val="26"/>
                <w:szCs w:val="26"/>
              </w:rPr>
            </w:pPr>
            <w:r w:rsidRPr="00974DF2">
              <w:rPr>
                <w:sz w:val="26"/>
                <w:szCs w:val="26"/>
              </w:rPr>
              <w:t>Sabiedrības mērķgrupas, kuras tiesiskais regulējums ietekmē vai varētu ietekmēt</w:t>
            </w:r>
          </w:p>
        </w:tc>
        <w:tc>
          <w:tcPr>
            <w:tcW w:w="6301" w:type="dxa"/>
          </w:tcPr>
          <w:p w14:paraId="3F2690E9" w14:textId="49202523" w:rsidR="00475F5B" w:rsidRPr="00D56D53" w:rsidRDefault="00FD0EFC" w:rsidP="0059736E">
            <w:pPr>
              <w:pStyle w:val="NoSpacing"/>
              <w:jc w:val="both"/>
              <w:rPr>
                <w:sz w:val="26"/>
                <w:szCs w:val="26"/>
              </w:rPr>
            </w:pPr>
            <w:r w:rsidRPr="00974DF2">
              <w:rPr>
                <w:sz w:val="26"/>
                <w:szCs w:val="26"/>
              </w:rPr>
              <w:t xml:space="preserve">Noteikumu projekts attiecas uz </w:t>
            </w:r>
            <w:r w:rsidR="0016557E">
              <w:rPr>
                <w:sz w:val="26"/>
                <w:szCs w:val="26"/>
              </w:rPr>
              <w:t xml:space="preserve">visiem </w:t>
            </w:r>
            <w:r w:rsidR="00022759">
              <w:rPr>
                <w:sz w:val="26"/>
                <w:szCs w:val="26"/>
              </w:rPr>
              <w:t>neautomātisko svaru lietotājiem</w:t>
            </w:r>
            <w:r w:rsidR="0059736E">
              <w:rPr>
                <w:sz w:val="26"/>
                <w:szCs w:val="26"/>
              </w:rPr>
              <w:t xml:space="preserve"> reglamentētajā jomā, atbilstības novērtēšanas institūcijām, kas veic šo neautomātisko svaru verifikāciju, kā arī tirgus uzraudzības institūciju</w:t>
            </w:r>
            <w:r w:rsidR="00022759" w:rsidRPr="00022759">
              <w:rPr>
                <w:sz w:val="26"/>
                <w:szCs w:val="26"/>
              </w:rPr>
              <w:t xml:space="preserve"> - Patērē</w:t>
            </w:r>
            <w:r w:rsidR="0059736E">
              <w:rPr>
                <w:sz w:val="26"/>
                <w:szCs w:val="26"/>
              </w:rPr>
              <w:t>tāju tiesību aizsardzības centru</w:t>
            </w:r>
            <w:r w:rsidR="00022759" w:rsidRPr="00022759">
              <w:rPr>
                <w:sz w:val="26"/>
                <w:szCs w:val="26"/>
              </w:rPr>
              <w:t>.</w:t>
            </w:r>
          </w:p>
        </w:tc>
      </w:tr>
      <w:tr w:rsidR="00222CB3" w:rsidRPr="00974DF2" w14:paraId="4CAACB87" w14:textId="77777777" w:rsidTr="008D7B3D">
        <w:tc>
          <w:tcPr>
            <w:tcW w:w="802" w:type="dxa"/>
          </w:tcPr>
          <w:p w14:paraId="1073675C" w14:textId="77777777" w:rsidR="00222CB3" w:rsidRPr="00974DF2" w:rsidRDefault="00222CB3" w:rsidP="00222CB3">
            <w:pPr>
              <w:pStyle w:val="NoSpacing"/>
              <w:jc w:val="both"/>
              <w:rPr>
                <w:sz w:val="26"/>
                <w:szCs w:val="26"/>
              </w:rPr>
            </w:pPr>
            <w:r w:rsidRPr="00974DF2">
              <w:rPr>
                <w:sz w:val="26"/>
                <w:szCs w:val="26"/>
              </w:rPr>
              <w:t>2.</w:t>
            </w:r>
          </w:p>
        </w:tc>
        <w:tc>
          <w:tcPr>
            <w:tcW w:w="2248" w:type="dxa"/>
          </w:tcPr>
          <w:p w14:paraId="3650EF64" w14:textId="77777777" w:rsidR="00222CB3" w:rsidRPr="00974DF2" w:rsidRDefault="00222CB3" w:rsidP="00222CB3">
            <w:pPr>
              <w:pStyle w:val="NoSpacing"/>
              <w:jc w:val="both"/>
              <w:rPr>
                <w:sz w:val="26"/>
                <w:szCs w:val="26"/>
              </w:rPr>
            </w:pPr>
            <w:r w:rsidRPr="00974DF2">
              <w:rPr>
                <w:sz w:val="26"/>
                <w:szCs w:val="26"/>
              </w:rPr>
              <w:t>Tiesiskā regulējuma ietekme uz tautsaimniecību un administratīvo slogu</w:t>
            </w:r>
          </w:p>
        </w:tc>
        <w:tc>
          <w:tcPr>
            <w:tcW w:w="6301" w:type="dxa"/>
          </w:tcPr>
          <w:p w14:paraId="59FCA74B" w14:textId="7315198C" w:rsidR="00222CB3" w:rsidRPr="00974DF2" w:rsidRDefault="0059736E" w:rsidP="009368F6">
            <w:pPr>
              <w:pStyle w:val="NoSpacing"/>
              <w:jc w:val="both"/>
              <w:rPr>
                <w:sz w:val="26"/>
                <w:szCs w:val="26"/>
              </w:rPr>
            </w:pPr>
            <w:r>
              <w:rPr>
                <w:sz w:val="26"/>
                <w:szCs w:val="26"/>
              </w:rPr>
              <w:t xml:space="preserve">Ar projektu tiek atļauts lietot verificētus neautomātisko svarus, kas neatbilst Noteikumu Nr.180 prasībām, līdz ar to </w:t>
            </w:r>
            <w:r w:rsidR="009368F6">
              <w:rPr>
                <w:sz w:val="26"/>
                <w:szCs w:val="26"/>
              </w:rPr>
              <w:t xml:space="preserve">tiks samazināts administratīvais slogs visām sabiedrības </w:t>
            </w:r>
            <w:proofErr w:type="spellStart"/>
            <w:r w:rsidR="009368F6">
              <w:rPr>
                <w:sz w:val="26"/>
                <w:szCs w:val="26"/>
              </w:rPr>
              <w:t>mērķgrupām</w:t>
            </w:r>
            <w:proofErr w:type="spellEnd"/>
            <w:r w:rsidR="009368F6">
              <w:rPr>
                <w:sz w:val="26"/>
                <w:szCs w:val="26"/>
              </w:rPr>
              <w:t xml:space="preserve">, kuras tiesiskais regulējums ietekmēs, vienlaikus uzlabojot uzņēmējdarbības vidi. </w:t>
            </w:r>
          </w:p>
        </w:tc>
      </w:tr>
      <w:tr w:rsidR="00222CB3" w:rsidRPr="00974DF2" w14:paraId="0CBD9D28" w14:textId="77777777" w:rsidTr="008D7B3D">
        <w:tc>
          <w:tcPr>
            <w:tcW w:w="802" w:type="dxa"/>
          </w:tcPr>
          <w:p w14:paraId="4F4EC75E" w14:textId="77777777" w:rsidR="00222CB3" w:rsidRPr="00974DF2" w:rsidRDefault="00222CB3" w:rsidP="00222CB3">
            <w:pPr>
              <w:pStyle w:val="NoSpacing"/>
              <w:jc w:val="both"/>
              <w:rPr>
                <w:sz w:val="26"/>
                <w:szCs w:val="26"/>
              </w:rPr>
            </w:pPr>
            <w:r w:rsidRPr="00974DF2">
              <w:rPr>
                <w:sz w:val="26"/>
                <w:szCs w:val="26"/>
              </w:rPr>
              <w:t>3.</w:t>
            </w:r>
          </w:p>
        </w:tc>
        <w:tc>
          <w:tcPr>
            <w:tcW w:w="2248" w:type="dxa"/>
          </w:tcPr>
          <w:p w14:paraId="1C434C60" w14:textId="77777777" w:rsidR="00222CB3" w:rsidRPr="00974DF2" w:rsidRDefault="00222CB3" w:rsidP="00222CB3">
            <w:pPr>
              <w:pStyle w:val="NoSpacing"/>
              <w:jc w:val="both"/>
              <w:rPr>
                <w:sz w:val="26"/>
                <w:szCs w:val="26"/>
              </w:rPr>
            </w:pPr>
            <w:r w:rsidRPr="00974DF2">
              <w:rPr>
                <w:sz w:val="26"/>
                <w:szCs w:val="26"/>
              </w:rPr>
              <w:t>Administratīvo izmaksu monetārs novērtējums</w:t>
            </w:r>
          </w:p>
        </w:tc>
        <w:tc>
          <w:tcPr>
            <w:tcW w:w="6301" w:type="dxa"/>
          </w:tcPr>
          <w:p w14:paraId="5CD5AF94" w14:textId="1944277B" w:rsidR="00222CB3" w:rsidRPr="00974DF2" w:rsidRDefault="00022759" w:rsidP="00222CB3">
            <w:pPr>
              <w:pStyle w:val="NoSpacing"/>
              <w:jc w:val="both"/>
              <w:rPr>
                <w:sz w:val="26"/>
                <w:szCs w:val="26"/>
              </w:rPr>
            </w:pPr>
            <w:r>
              <w:rPr>
                <w:sz w:val="26"/>
                <w:szCs w:val="26"/>
              </w:rPr>
              <w:t>Projekts šo jomu neskar</w:t>
            </w:r>
          </w:p>
        </w:tc>
      </w:tr>
      <w:tr w:rsidR="00222CB3" w:rsidRPr="00974DF2" w14:paraId="5A907EC9" w14:textId="77777777" w:rsidTr="008D7B3D">
        <w:tc>
          <w:tcPr>
            <w:tcW w:w="802" w:type="dxa"/>
          </w:tcPr>
          <w:p w14:paraId="6142B995" w14:textId="77777777" w:rsidR="00222CB3" w:rsidRPr="00974DF2" w:rsidRDefault="00222CB3" w:rsidP="00222CB3">
            <w:pPr>
              <w:pStyle w:val="NoSpacing"/>
              <w:jc w:val="both"/>
              <w:rPr>
                <w:sz w:val="26"/>
                <w:szCs w:val="26"/>
              </w:rPr>
            </w:pPr>
            <w:r w:rsidRPr="00974DF2">
              <w:rPr>
                <w:sz w:val="26"/>
                <w:szCs w:val="26"/>
              </w:rPr>
              <w:t>4.</w:t>
            </w:r>
          </w:p>
        </w:tc>
        <w:tc>
          <w:tcPr>
            <w:tcW w:w="2248" w:type="dxa"/>
          </w:tcPr>
          <w:p w14:paraId="57D66FDB" w14:textId="77777777" w:rsidR="00222CB3" w:rsidRPr="00974DF2" w:rsidRDefault="00222CB3" w:rsidP="00222CB3">
            <w:pPr>
              <w:pStyle w:val="NoSpacing"/>
              <w:jc w:val="both"/>
              <w:rPr>
                <w:sz w:val="26"/>
                <w:szCs w:val="26"/>
              </w:rPr>
            </w:pPr>
            <w:r w:rsidRPr="00974DF2">
              <w:rPr>
                <w:sz w:val="26"/>
                <w:szCs w:val="26"/>
              </w:rPr>
              <w:t>Cita informācija</w:t>
            </w:r>
          </w:p>
        </w:tc>
        <w:tc>
          <w:tcPr>
            <w:tcW w:w="6301" w:type="dxa"/>
          </w:tcPr>
          <w:p w14:paraId="588DFF85" w14:textId="77777777" w:rsidR="00222CB3" w:rsidRPr="00974DF2" w:rsidRDefault="00222CB3" w:rsidP="00222CB3">
            <w:pPr>
              <w:pStyle w:val="NoSpacing"/>
              <w:jc w:val="both"/>
              <w:rPr>
                <w:sz w:val="26"/>
                <w:szCs w:val="26"/>
              </w:rPr>
            </w:pPr>
            <w:r w:rsidRPr="00974DF2">
              <w:rPr>
                <w:sz w:val="26"/>
                <w:szCs w:val="26"/>
              </w:rPr>
              <w:t xml:space="preserve">Nav </w:t>
            </w:r>
          </w:p>
        </w:tc>
      </w:tr>
    </w:tbl>
    <w:p w14:paraId="273D96A3" w14:textId="60153599" w:rsidR="00222CB3" w:rsidRPr="00974DF2" w:rsidRDefault="00222CB3" w:rsidP="00222CB3">
      <w:pPr>
        <w:pStyle w:val="NoSpacing"/>
        <w:jc w:val="both"/>
        <w:rPr>
          <w:i/>
          <w:sz w:val="26"/>
          <w:szCs w:val="26"/>
        </w:rPr>
      </w:pPr>
    </w:p>
    <w:tbl>
      <w:tblPr>
        <w:tblStyle w:val="TableGrid"/>
        <w:tblW w:w="9351" w:type="dxa"/>
        <w:tblLook w:val="04A0" w:firstRow="1" w:lastRow="0" w:firstColumn="1" w:lastColumn="0" w:noHBand="0" w:noVBand="1"/>
      </w:tblPr>
      <w:tblGrid>
        <w:gridCol w:w="800"/>
        <w:gridCol w:w="3200"/>
        <w:gridCol w:w="5351"/>
      </w:tblGrid>
      <w:tr w:rsidR="0002174A" w:rsidRPr="000856DC" w14:paraId="36392A35" w14:textId="77777777" w:rsidTr="00746830">
        <w:tc>
          <w:tcPr>
            <w:tcW w:w="9351" w:type="dxa"/>
            <w:gridSpan w:val="3"/>
          </w:tcPr>
          <w:p w14:paraId="52C04C3A" w14:textId="61C64182" w:rsidR="0002174A" w:rsidRPr="000856DC" w:rsidRDefault="0002174A" w:rsidP="00746830">
            <w:pPr>
              <w:pStyle w:val="NoSpacing"/>
              <w:jc w:val="center"/>
              <w:rPr>
                <w:b/>
                <w:sz w:val="26"/>
                <w:szCs w:val="26"/>
              </w:rPr>
            </w:pPr>
            <w:r w:rsidRPr="000856DC">
              <w:rPr>
                <w:b/>
                <w:sz w:val="26"/>
                <w:szCs w:val="26"/>
              </w:rPr>
              <w:t xml:space="preserve">VI. </w:t>
            </w:r>
            <w:r w:rsidRPr="000856DC">
              <w:rPr>
                <w:b/>
                <w:bCs/>
                <w:sz w:val="26"/>
                <w:szCs w:val="26"/>
              </w:rPr>
              <w:t>Sabiedrības līdzdalība un komunikācijas aktivitātes</w:t>
            </w:r>
          </w:p>
        </w:tc>
      </w:tr>
      <w:tr w:rsidR="0002174A" w:rsidRPr="000856DC" w14:paraId="30E9D628" w14:textId="77777777" w:rsidTr="00746830">
        <w:tc>
          <w:tcPr>
            <w:tcW w:w="800" w:type="dxa"/>
          </w:tcPr>
          <w:p w14:paraId="4A1504A0" w14:textId="77777777" w:rsidR="0002174A" w:rsidRPr="000856DC" w:rsidRDefault="0002174A" w:rsidP="0002174A">
            <w:pPr>
              <w:pStyle w:val="NoSpacing"/>
              <w:jc w:val="both"/>
              <w:rPr>
                <w:sz w:val="26"/>
                <w:szCs w:val="26"/>
              </w:rPr>
            </w:pPr>
            <w:r w:rsidRPr="000856DC">
              <w:rPr>
                <w:sz w:val="26"/>
                <w:szCs w:val="26"/>
              </w:rPr>
              <w:t>1.</w:t>
            </w:r>
          </w:p>
        </w:tc>
        <w:tc>
          <w:tcPr>
            <w:tcW w:w="3200" w:type="dxa"/>
          </w:tcPr>
          <w:p w14:paraId="235F5202" w14:textId="6236FE84" w:rsidR="0002174A" w:rsidRPr="000856DC" w:rsidRDefault="0002174A" w:rsidP="0002174A">
            <w:pPr>
              <w:pStyle w:val="NoSpacing"/>
              <w:jc w:val="both"/>
              <w:rPr>
                <w:sz w:val="26"/>
                <w:szCs w:val="26"/>
              </w:rPr>
            </w:pPr>
            <w:r w:rsidRPr="000856DC">
              <w:rPr>
                <w:sz w:val="26"/>
                <w:szCs w:val="26"/>
              </w:rPr>
              <w:t>Plānotās sabiedrības līdzdalības un komunikācijas aktivitātes saistībā ar projektu</w:t>
            </w:r>
          </w:p>
        </w:tc>
        <w:tc>
          <w:tcPr>
            <w:tcW w:w="5351" w:type="dxa"/>
          </w:tcPr>
          <w:p w14:paraId="1AD9CF13" w14:textId="66B7F67F" w:rsidR="0002174A" w:rsidRPr="000856DC" w:rsidRDefault="0002174A" w:rsidP="000856DC">
            <w:pPr>
              <w:pStyle w:val="NoSpacing"/>
              <w:jc w:val="both"/>
              <w:rPr>
                <w:sz w:val="26"/>
                <w:szCs w:val="26"/>
              </w:rPr>
            </w:pPr>
            <w:r w:rsidRPr="000856DC">
              <w:rPr>
                <w:sz w:val="26"/>
                <w:szCs w:val="26"/>
              </w:rPr>
              <w:t>Sabiedrības līdzdalība Projekta izstrādē īstenota</w:t>
            </w:r>
            <w:r w:rsidR="00327330" w:rsidRPr="000856DC">
              <w:rPr>
                <w:sz w:val="26"/>
                <w:szCs w:val="26"/>
              </w:rPr>
              <w:t xml:space="preserve"> atbilstoši Ministru kabineta </w:t>
            </w:r>
            <w:r w:rsidR="000856DC" w:rsidRPr="000856DC">
              <w:rPr>
                <w:sz w:val="26"/>
                <w:szCs w:val="26"/>
              </w:rPr>
              <w:t>2009.gada 25.augusta noteikumiem Nr.970 “Sabiedrības līdzdalības kārtība attīstības plānošanas procesā” 7.4.</w:t>
            </w:r>
            <w:r w:rsidR="000856DC" w:rsidRPr="000856DC">
              <w:rPr>
                <w:sz w:val="26"/>
                <w:szCs w:val="26"/>
                <w:vertAlign w:val="superscript"/>
              </w:rPr>
              <w:t>1</w:t>
            </w:r>
            <w:r w:rsidR="000856DC" w:rsidRPr="000856DC">
              <w:rPr>
                <w:sz w:val="26"/>
                <w:szCs w:val="26"/>
              </w:rPr>
              <w:t xml:space="preserve">apakšpunktā, proti, sabiedrības pārstāvjiem </w:t>
            </w:r>
            <w:r w:rsidR="000856DC" w:rsidRPr="000856DC">
              <w:rPr>
                <w:sz w:val="26"/>
                <w:szCs w:val="26"/>
              </w:rPr>
              <w:lastRenderedPageBreak/>
              <w:t xml:space="preserve">tika dota iespēja rakstiski sniegt viedokli par Projektu tā izstrādes stadijā. </w:t>
            </w:r>
          </w:p>
        </w:tc>
      </w:tr>
      <w:tr w:rsidR="0002174A" w:rsidRPr="000856DC" w14:paraId="2EC95411" w14:textId="77777777" w:rsidTr="00746830">
        <w:tc>
          <w:tcPr>
            <w:tcW w:w="800" w:type="dxa"/>
          </w:tcPr>
          <w:p w14:paraId="15C99699" w14:textId="77777777" w:rsidR="0002174A" w:rsidRPr="000856DC" w:rsidRDefault="0002174A" w:rsidP="0002174A">
            <w:pPr>
              <w:pStyle w:val="NoSpacing"/>
              <w:jc w:val="both"/>
              <w:rPr>
                <w:sz w:val="26"/>
                <w:szCs w:val="26"/>
              </w:rPr>
            </w:pPr>
            <w:r w:rsidRPr="000856DC">
              <w:rPr>
                <w:sz w:val="26"/>
                <w:szCs w:val="26"/>
              </w:rPr>
              <w:lastRenderedPageBreak/>
              <w:t>2.</w:t>
            </w:r>
          </w:p>
        </w:tc>
        <w:tc>
          <w:tcPr>
            <w:tcW w:w="3200" w:type="dxa"/>
          </w:tcPr>
          <w:p w14:paraId="71A32BCB" w14:textId="661DD1A3" w:rsidR="00660D3D" w:rsidRDefault="0002174A" w:rsidP="0002174A">
            <w:pPr>
              <w:pStyle w:val="NoSpacing"/>
              <w:jc w:val="both"/>
              <w:rPr>
                <w:sz w:val="26"/>
                <w:szCs w:val="26"/>
              </w:rPr>
            </w:pPr>
            <w:r w:rsidRPr="000856DC">
              <w:rPr>
                <w:sz w:val="26"/>
                <w:szCs w:val="26"/>
              </w:rPr>
              <w:t>Sabiedrības līdzdalība projekta izstrādē</w:t>
            </w:r>
          </w:p>
          <w:p w14:paraId="21004E95" w14:textId="23D360FA" w:rsidR="00660D3D" w:rsidRDefault="00660D3D" w:rsidP="00660D3D">
            <w:pPr>
              <w:rPr>
                <w:lang w:eastAsia="lv-LV"/>
              </w:rPr>
            </w:pPr>
          </w:p>
          <w:p w14:paraId="7F3C2F28" w14:textId="77777777" w:rsidR="0002174A" w:rsidRPr="00660D3D" w:rsidRDefault="0002174A" w:rsidP="00660D3D">
            <w:pPr>
              <w:ind w:firstLine="720"/>
              <w:rPr>
                <w:lang w:eastAsia="lv-LV"/>
              </w:rPr>
            </w:pPr>
          </w:p>
        </w:tc>
        <w:tc>
          <w:tcPr>
            <w:tcW w:w="5351" w:type="dxa"/>
          </w:tcPr>
          <w:p w14:paraId="1BD3FE23" w14:textId="51A4E51B" w:rsidR="0002174A" w:rsidRPr="000856DC" w:rsidRDefault="000856DC" w:rsidP="000856DC">
            <w:pPr>
              <w:pStyle w:val="NoSpacing"/>
              <w:jc w:val="both"/>
              <w:rPr>
                <w:sz w:val="26"/>
                <w:szCs w:val="26"/>
              </w:rPr>
            </w:pPr>
            <w:r w:rsidRPr="000856DC">
              <w:rPr>
                <w:sz w:val="26"/>
                <w:szCs w:val="26"/>
              </w:rPr>
              <w:t xml:space="preserve">Projekts kopā ar sākotnējās ietekmes novērtējuma ziņojumu (anotāciju) un paziņojums par līdzdalības procesu 2015.gada 2.oktobrī tika publicēts Ekonomikas ministrijas mājas lapā </w:t>
            </w:r>
            <w:hyperlink r:id="rId6" w:history="1">
              <w:r w:rsidRPr="000856DC">
                <w:rPr>
                  <w:rStyle w:val="Hyperlink"/>
                  <w:sz w:val="26"/>
                  <w:szCs w:val="26"/>
                </w:rPr>
                <w:t>www.em.gov.lv</w:t>
              </w:r>
            </w:hyperlink>
            <w:r w:rsidRPr="000856DC">
              <w:rPr>
                <w:sz w:val="26"/>
                <w:szCs w:val="26"/>
              </w:rPr>
              <w:t xml:space="preserve">, </w:t>
            </w:r>
            <w:r w:rsidR="0002174A" w:rsidRPr="000856DC">
              <w:rPr>
                <w:sz w:val="26"/>
                <w:szCs w:val="26"/>
              </w:rPr>
              <w:t xml:space="preserve">aicinot sabiedrību izteikt savu </w:t>
            </w:r>
            <w:r w:rsidRPr="000856DC">
              <w:rPr>
                <w:sz w:val="26"/>
                <w:szCs w:val="26"/>
              </w:rPr>
              <w:t>rakstisku viedokli.</w:t>
            </w:r>
            <w:r w:rsidR="0002174A" w:rsidRPr="000856DC">
              <w:rPr>
                <w:sz w:val="26"/>
                <w:szCs w:val="26"/>
              </w:rPr>
              <w:t xml:space="preserve"> </w:t>
            </w:r>
          </w:p>
        </w:tc>
      </w:tr>
      <w:tr w:rsidR="0002174A" w:rsidRPr="000856DC" w14:paraId="2092BAD7" w14:textId="77777777" w:rsidTr="00746830">
        <w:tc>
          <w:tcPr>
            <w:tcW w:w="800" w:type="dxa"/>
          </w:tcPr>
          <w:p w14:paraId="7CAAD15C" w14:textId="77777777" w:rsidR="0002174A" w:rsidRPr="000856DC" w:rsidRDefault="0002174A" w:rsidP="0002174A">
            <w:pPr>
              <w:pStyle w:val="NoSpacing"/>
              <w:jc w:val="both"/>
              <w:rPr>
                <w:sz w:val="26"/>
                <w:szCs w:val="26"/>
              </w:rPr>
            </w:pPr>
            <w:r w:rsidRPr="000856DC">
              <w:rPr>
                <w:sz w:val="26"/>
                <w:szCs w:val="26"/>
              </w:rPr>
              <w:t>3.</w:t>
            </w:r>
          </w:p>
        </w:tc>
        <w:tc>
          <w:tcPr>
            <w:tcW w:w="3200" w:type="dxa"/>
          </w:tcPr>
          <w:p w14:paraId="402EB7AC" w14:textId="2891548E" w:rsidR="0002174A" w:rsidRPr="000856DC" w:rsidRDefault="0002174A" w:rsidP="0002174A">
            <w:pPr>
              <w:pStyle w:val="NoSpacing"/>
              <w:jc w:val="both"/>
              <w:rPr>
                <w:sz w:val="26"/>
                <w:szCs w:val="26"/>
              </w:rPr>
            </w:pPr>
            <w:r w:rsidRPr="000856DC">
              <w:rPr>
                <w:sz w:val="26"/>
                <w:szCs w:val="26"/>
              </w:rPr>
              <w:t>Sabiedrības līdzdalības rezultāti</w:t>
            </w:r>
          </w:p>
        </w:tc>
        <w:tc>
          <w:tcPr>
            <w:tcW w:w="5351" w:type="dxa"/>
          </w:tcPr>
          <w:p w14:paraId="5B49280F" w14:textId="417442A1" w:rsidR="0002174A" w:rsidRPr="000856DC" w:rsidRDefault="00C35BFF" w:rsidP="001F4579">
            <w:pPr>
              <w:pStyle w:val="NoSpacing"/>
              <w:jc w:val="both"/>
              <w:rPr>
                <w:sz w:val="26"/>
                <w:szCs w:val="26"/>
              </w:rPr>
            </w:pPr>
            <w:r>
              <w:rPr>
                <w:sz w:val="26"/>
                <w:szCs w:val="26"/>
              </w:rPr>
              <w:t>Biedrība “Latvijas Tirgus savienība”, Latvijas Tirgotāju asociācija un biedrība “Latvijas Ģimenes ārstu asociācija” konceptuāli atbalsta Projektu</w:t>
            </w:r>
            <w:r w:rsidR="001F4579">
              <w:rPr>
                <w:sz w:val="26"/>
                <w:szCs w:val="26"/>
              </w:rPr>
              <w:t>. Vienlaikus</w:t>
            </w:r>
            <w:r>
              <w:rPr>
                <w:sz w:val="26"/>
                <w:szCs w:val="26"/>
              </w:rPr>
              <w:t xml:space="preserve"> </w:t>
            </w:r>
            <w:r w:rsidR="001F4579" w:rsidRPr="001F4579">
              <w:rPr>
                <w:sz w:val="26"/>
                <w:szCs w:val="26"/>
              </w:rPr>
              <w:t>Latvijas Tirgotāju asociācija un biedrība “Latvijas Ģimenes ārstu asociācija”</w:t>
            </w:r>
            <w:r w:rsidR="001F4579">
              <w:rPr>
                <w:sz w:val="26"/>
                <w:szCs w:val="26"/>
              </w:rPr>
              <w:t xml:space="preserve"> </w:t>
            </w:r>
            <w:r>
              <w:rPr>
                <w:sz w:val="26"/>
                <w:szCs w:val="26"/>
              </w:rPr>
              <w:t>iz</w:t>
            </w:r>
            <w:r w:rsidR="001F4579">
              <w:rPr>
                <w:sz w:val="26"/>
                <w:szCs w:val="26"/>
              </w:rPr>
              <w:t>teica</w:t>
            </w:r>
            <w:r>
              <w:rPr>
                <w:sz w:val="26"/>
                <w:szCs w:val="26"/>
              </w:rPr>
              <w:t xml:space="preserve"> priekšlikumu izteikt Projektu citā redakcij</w:t>
            </w:r>
            <w:r w:rsidR="001F4579">
              <w:rPr>
                <w:sz w:val="26"/>
                <w:szCs w:val="26"/>
              </w:rPr>
              <w:t>ā, savukārt</w:t>
            </w:r>
            <w:r>
              <w:rPr>
                <w:sz w:val="26"/>
                <w:szCs w:val="26"/>
              </w:rPr>
              <w:t xml:space="preserve"> </w:t>
            </w:r>
            <w:r w:rsidR="001F4579">
              <w:rPr>
                <w:sz w:val="26"/>
                <w:szCs w:val="26"/>
              </w:rPr>
              <w:t xml:space="preserve">Ekonomikas ministrijas ieskatā nav nepieciešams veikt izmaiņas Projektā. </w:t>
            </w:r>
            <w:r>
              <w:rPr>
                <w:sz w:val="26"/>
                <w:szCs w:val="26"/>
              </w:rPr>
              <w:t xml:space="preserve"> </w:t>
            </w:r>
          </w:p>
        </w:tc>
      </w:tr>
      <w:tr w:rsidR="0002174A" w:rsidRPr="00974DF2" w14:paraId="59EF5C3E" w14:textId="77777777" w:rsidTr="00746830">
        <w:tc>
          <w:tcPr>
            <w:tcW w:w="800" w:type="dxa"/>
          </w:tcPr>
          <w:p w14:paraId="3D0D8516" w14:textId="4EB29169" w:rsidR="0002174A" w:rsidRPr="000856DC" w:rsidRDefault="0002174A" w:rsidP="0002174A">
            <w:pPr>
              <w:pStyle w:val="NoSpacing"/>
              <w:jc w:val="both"/>
              <w:rPr>
                <w:sz w:val="26"/>
                <w:szCs w:val="26"/>
              </w:rPr>
            </w:pPr>
            <w:r w:rsidRPr="000856DC">
              <w:rPr>
                <w:sz w:val="26"/>
                <w:szCs w:val="26"/>
              </w:rPr>
              <w:t>4.</w:t>
            </w:r>
          </w:p>
        </w:tc>
        <w:tc>
          <w:tcPr>
            <w:tcW w:w="3200" w:type="dxa"/>
          </w:tcPr>
          <w:p w14:paraId="4AB78105" w14:textId="09D2C0E0" w:rsidR="0002174A" w:rsidRPr="000856DC" w:rsidRDefault="0002174A" w:rsidP="0002174A">
            <w:pPr>
              <w:pStyle w:val="NoSpacing"/>
              <w:jc w:val="both"/>
              <w:rPr>
                <w:sz w:val="26"/>
                <w:szCs w:val="26"/>
              </w:rPr>
            </w:pPr>
            <w:r w:rsidRPr="000856DC">
              <w:rPr>
                <w:sz w:val="26"/>
                <w:szCs w:val="26"/>
              </w:rPr>
              <w:t>Cita informācija</w:t>
            </w:r>
          </w:p>
        </w:tc>
        <w:tc>
          <w:tcPr>
            <w:tcW w:w="5351" w:type="dxa"/>
          </w:tcPr>
          <w:p w14:paraId="7CDD8976" w14:textId="2664FDBE" w:rsidR="0002174A" w:rsidRPr="00974DF2" w:rsidRDefault="0002174A" w:rsidP="0002174A">
            <w:pPr>
              <w:pStyle w:val="NoSpacing"/>
              <w:jc w:val="both"/>
              <w:rPr>
                <w:sz w:val="26"/>
                <w:szCs w:val="26"/>
              </w:rPr>
            </w:pPr>
          </w:p>
        </w:tc>
      </w:tr>
    </w:tbl>
    <w:p w14:paraId="5E8FEE92" w14:textId="77777777" w:rsidR="0002174A" w:rsidRPr="00974DF2" w:rsidRDefault="0002174A" w:rsidP="00222CB3">
      <w:pPr>
        <w:pStyle w:val="NoSpacing"/>
        <w:jc w:val="both"/>
        <w:rPr>
          <w:i/>
          <w:sz w:val="26"/>
          <w:szCs w:val="26"/>
        </w:rPr>
      </w:pPr>
    </w:p>
    <w:p w14:paraId="00C8A896" w14:textId="77777777" w:rsidR="00222CB3" w:rsidRPr="00974DF2" w:rsidRDefault="00222CB3" w:rsidP="00222CB3">
      <w:pPr>
        <w:pStyle w:val="NoSpacing"/>
        <w:jc w:val="both"/>
        <w:rPr>
          <w:sz w:val="26"/>
          <w:szCs w:val="26"/>
        </w:rPr>
      </w:pPr>
    </w:p>
    <w:tbl>
      <w:tblPr>
        <w:tblStyle w:val="TableGrid"/>
        <w:tblW w:w="9351" w:type="dxa"/>
        <w:tblLook w:val="04A0" w:firstRow="1" w:lastRow="0" w:firstColumn="1" w:lastColumn="0" w:noHBand="0" w:noVBand="1"/>
      </w:tblPr>
      <w:tblGrid>
        <w:gridCol w:w="800"/>
        <w:gridCol w:w="3200"/>
        <w:gridCol w:w="5351"/>
      </w:tblGrid>
      <w:tr w:rsidR="0002174A" w:rsidRPr="00974DF2" w14:paraId="0BEE1521" w14:textId="77777777" w:rsidTr="00746830">
        <w:tc>
          <w:tcPr>
            <w:tcW w:w="9351" w:type="dxa"/>
            <w:gridSpan w:val="3"/>
          </w:tcPr>
          <w:p w14:paraId="0849A290" w14:textId="77777777" w:rsidR="0002174A" w:rsidRPr="00974DF2" w:rsidRDefault="0002174A" w:rsidP="00746830">
            <w:pPr>
              <w:pStyle w:val="NoSpacing"/>
              <w:jc w:val="center"/>
              <w:rPr>
                <w:b/>
                <w:sz w:val="26"/>
                <w:szCs w:val="26"/>
              </w:rPr>
            </w:pPr>
            <w:r w:rsidRPr="00974DF2">
              <w:rPr>
                <w:b/>
                <w:sz w:val="26"/>
                <w:szCs w:val="26"/>
              </w:rPr>
              <w:t>VII. Tiesību akta projekta izpildes nodrošināšana un tās ietekme uz institūcijām</w:t>
            </w:r>
          </w:p>
        </w:tc>
      </w:tr>
      <w:tr w:rsidR="0002174A" w:rsidRPr="00974DF2" w14:paraId="5B67FD40" w14:textId="77777777" w:rsidTr="00746830">
        <w:tc>
          <w:tcPr>
            <w:tcW w:w="800" w:type="dxa"/>
          </w:tcPr>
          <w:p w14:paraId="47AD49E9" w14:textId="77777777" w:rsidR="0002174A" w:rsidRPr="00974DF2" w:rsidRDefault="0002174A" w:rsidP="00746830">
            <w:pPr>
              <w:pStyle w:val="NoSpacing"/>
              <w:jc w:val="both"/>
              <w:rPr>
                <w:sz w:val="26"/>
                <w:szCs w:val="26"/>
              </w:rPr>
            </w:pPr>
            <w:r w:rsidRPr="00974DF2">
              <w:rPr>
                <w:sz w:val="26"/>
                <w:szCs w:val="26"/>
              </w:rPr>
              <w:t>1.</w:t>
            </w:r>
          </w:p>
        </w:tc>
        <w:tc>
          <w:tcPr>
            <w:tcW w:w="3200" w:type="dxa"/>
          </w:tcPr>
          <w:p w14:paraId="5DF94EF4" w14:textId="77777777" w:rsidR="0002174A" w:rsidRPr="00974DF2" w:rsidRDefault="0002174A" w:rsidP="00746830">
            <w:pPr>
              <w:pStyle w:val="NoSpacing"/>
              <w:jc w:val="both"/>
              <w:rPr>
                <w:sz w:val="26"/>
                <w:szCs w:val="26"/>
              </w:rPr>
            </w:pPr>
            <w:r w:rsidRPr="00974DF2">
              <w:rPr>
                <w:sz w:val="26"/>
                <w:szCs w:val="26"/>
              </w:rPr>
              <w:t>Projekta izpildē iesaistītās institūcijas</w:t>
            </w:r>
          </w:p>
        </w:tc>
        <w:tc>
          <w:tcPr>
            <w:tcW w:w="5351" w:type="dxa"/>
          </w:tcPr>
          <w:p w14:paraId="4056C247" w14:textId="21E8E909" w:rsidR="0002174A" w:rsidRPr="00974DF2" w:rsidRDefault="0002174A" w:rsidP="0002174A">
            <w:pPr>
              <w:pStyle w:val="NoSpacing"/>
              <w:jc w:val="both"/>
              <w:rPr>
                <w:sz w:val="26"/>
                <w:szCs w:val="26"/>
              </w:rPr>
            </w:pPr>
            <w:r w:rsidRPr="00974DF2">
              <w:rPr>
                <w:sz w:val="26"/>
                <w:szCs w:val="26"/>
              </w:rPr>
              <w:t>Patērētāju tiesību aizsardzības centrs</w:t>
            </w:r>
          </w:p>
        </w:tc>
      </w:tr>
      <w:tr w:rsidR="0002174A" w:rsidRPr="00974DF2" w14:paraId="7B36C0A1" w14:textId="77777777" w:rsidTr="00746830">
        <w:tc>
          <w:tcPr>
            <w:tcW w:w="800" w:type="dxa"/>
          </w:tcPr>
          <w:p w14:paraId="3F6B69D3" w14:textId="77777777" w:rsidR="0002174A" w:rsidRPr="00974DF2" w:rsidRDefault="0002174A" w:rsidP="00746830">
            <w:pPr>
              <w:pStyle w:val="NoSpacing"/>
              <w:jc w:val="both"/>
              <w:rPr>
                <w:sz w:val="26"/>
                <w:szCs w:val="26"/>
              </w:rPr>
            </w:pPr>
            <w:r w:rsidRPr="00974DF2">
              <w:rPr>
                <w:sz w:val="26"/>
                <w:szCs w:val="26"/>
              </w:rPr>
              <w:t>2.</w:t>
            </w:r>
          </w:p>
        </w:tc>
        <w:tc>
          <w:tcPr>
            <w:tcW w:w="3200" w:type="dxa"/>
          </w:tcPr>
          <w:p w14:paraId="16C79ADF" w14:textId="77777777" w:rsidR="0002174A" w:rsidRPr="00974DF2" w:rsidRDefault="0002174A" w:rsidP="00746830">
            <w:pPr>
              <w:pStyle w:val="NoSpacing"/>
              <w:jc w:val="both"/>
              <w:rPr>
                <w:sz w:val="26"/>
                <w:szCs w:val="26"/>
              </w:rPr>
            </w:pPr>
            <w:r w:rsidRPr="00974DF2">
              <w:rPr>
                <w:sz w:val="26"/>
                <w:szCs w:val="26"/>
              </w:rPr>
              <w:t>Projekta izpildes ietekme uz pārvaldes funkcijām un institucionālo struktūru. Jaunu institūciju izveide, esošo institūciju likvidācija vai reorganizācija, to ietekme uz institūcijas cilvēkresursiem</w:t>
            </w:r>
          </w:p>
        </w:tc>
        <w:tc>
          <w:tcPr>
            <w:tcW w:w="5351" w:type="dxa"/>
          </w:tcPr>
          <w:p w14:paraId="028D20FA" w14:textId="0C3DA4B1" w:rsidR="0002174A" w:rsidRPr="00974DF2" w:rsidRDefault="0002174A" w:rsidP="0002174A">
            <w:pPr>
              <w:pStyle w:val="NoSpacing"/>
              <w:jc w:val="both"/>
              <w:rPr>
                <w:sz w:val="26"/>
                <w:szCs w:val="26"/>
              </w:rPr>
            </w:pPr>
            <w:r w:rsidRPr="00974DF2">
              <w:rPr>
                <w:sz w:val="26"/>
                <w:szCs w:val="26"/>
              </w:rPr>
              <w:t>Projekts šo jomu neskar</w:t>
            </w:r>
          </w:p>
        </w:tc>
      </w:tr>
      <w:tr w:rsidR="0002174A" w:rsidRPr="00974DF2" w14:paraId="3A5B6073" w14:textId="77777777" w:rsidTr="00746830">
        <w:tc>
          <w:tcPr>
            <w:tcW w:w="800" w:type="dxa"/>
          </w:tcPr>
          <w:p w14:paraId="7E88C7F7" w14:textId="77777777" w:rsidR="0002174A" w:rsidRPr="00974DF2" w:rsidRDefault="0002174A" w:rsidP="00746830">
            <w:pPr>
              <w:pStyle w:val="NoSpacing"/>
              <w:jc w:val="both"/>
              <w:rPr>
                <w:sz w:val="26"/>
                <w:szCs w:val="26"/>
              </w:rPr>
            </w:pPr>
            <w:r w:rsidRPr="00974DF2">
              <w:rPr>
                <w:sz w:val="26"/>
                <w:szCs w:val="26"/>
              </w:rPr>
              <w:t>3.</w:t>
            </w:r>
          </w:p>
        </w:tc>
        <w:tc>
          <w:tcPr>
            <w:tcW w:w="3200" w:type="dxa"/>
          </w:tcPr>
          <w:p w14:paraId="606C39A7" w14:textId="77777777" w:rsidR="0002174A" w:rsidRPr="00974DF2" w:rsidRDefault="0002174A" w:rsidP="00746830">
            <w:pPr>
              <w:pStyle w:val="NoSpacing"/>
              <w:jc w:val="both"/>
              <w:rPr>
                <w:sz w:val="26"/>
                <w:szCs w:val="26"/>
              </w:rPr>
            </w:pPr>
            <w:r w:rsidRPr="00974DF2">
              <w:rPr>
                <w:sz w:val="26"/>
                <w:szCs w:val="26"/>
              </w:rPr>
              <w:t>Cita informācija</w:t>
            </w:r>
          </w:p>
        </w:tc>
        <w:tc>
          <w:tcPr>
            <w:tcW w:w="5351" w:type="dxa"/>
          </w:tcPr>
          <w:p w14:paraId="32EC9D4D" w14:textId="72038621" w:rsidR="0002174A" w:rsidRPr="00974DF2" w:rsidRDefault="0002174A" w:rsidP="00746830">
            <w:pPr>
              <w:pStyle w:val="NoSpacing"/>
              <w:jc w:val="both"/>
              <w:rPr>
                <w:sz w:val="26"/>
                <w:szCs w:val="26"/>
              </w:rPr>
            </w:pPr>
            <w:r w:rsidRPr="00974DF2">
              <w:rPr>
                <w:sz w:val="26"/>
                <w:szCs w:val="26"/>
              </w:rPr>
              <w:t>Nav</w:t>
            </w:r>
          </w:p>
        </w:tc>
      </w:tr>
    </w:tbl>
    <w:p w14:paraId="72AD3CB4" w14:textId="77777777" w:rsidR="00222CB3" w:rsidRDefault="00222CB3" w:rsidP="00222CB3">
      <w:pPr>
        <w:pStyle w:val="NoSpacing"/>
        <w:jc w:val="both"/>
        <w:rPr>
          <w:sz w:val="26"/>
          <w:szCs w:val="26"/>
        </w:rPr>
      </w:pPr>
    </w:p>
    <w:p w14:paraId="28B62964" w14:textId="6249AD19" w:rsidR="009368F6" w:rsidRPr="00974DF2" w:rsidRDefault="009368F6" w:rsidP="00222CB3">
      <w:pPr>
        <w:pStyle w:val="NoSpacing"/>
        <w:jc w:val="both"/>
        <w:rPr>
          <w:sz w:val="26"/>
          <w:szCs w:val="26"/>
        </w:rPr>
      </w:pPr>
      <w:r w:rsidRPr="00974DF2">
        <w:rPr>
          <w:i/>
          <w:sz w:val="26"/>
          <w:szCs w:val="26"/>
        </w:rPr>
        <w:t>Anotācijas III, IV un V</w:t>
      </w:r>
      <w:r>
        <w:rPr>
          <w:i/>
          <w:sz w:val="26"/>
          <w:szCs w:val="26"/>
        </w:rPr>
        <w:t xml:space="preserve"> sadaļa</w:t>
      </w:r>
      <w:r w:rsidRPr="00974DF2">
        <w:rPr>
          <w:i/>
          <w:sz w:val="26"/>
          <w:szCs w:val="26"/>
        </w:rPr>
        <w:t xml:space="preserve"> – projekts šīs jomas neskar.</w:t>
      </w:r>
    </w:p>
    <w:p w14:paraId="74643131" w14:textId="77777777" w:rsidR="00DB37B6" w:rsidRDefault="00DB37B6" w:rsidP="00DB37B6">
      <w:pPr>
        <w:pStyle w:val="NoSpacing"/>
        <w:jc w:val="both"/>
        <w:rPr>
          <w:color w:val="000000"/>
          <w:sz w:val="26"/>
          <w:szCs w:val="26"/>
        </w:rPr>
      </w:pPr>
    </w:p>
    <w:p w14:paraId="31BB12F9" w14:textId="77777777" w:rsidR="00DF7624" w:rsidRPr="00DF7624" w:rsidRDefault="00DF7624" w:rsidP="00DF7624">
      <w:pPr>
        <w:pStyle w:val="NoSpacing"/>
        <w:jc w:val="both"/>
        <w:rPr>
          <w:color w:val="000000"/>
          <w:sz w:val="26"/>
          <w:szCs w:val="26"/>
        </w:rPr>
      </w:pPr>
      <w:r w:rsidRPr="00DF7624">
        <w:rPr>
          <w:color w:val="000000"/>
          <w:sz w:val="26"/>
          <w:szCs w:val="26"/>
        </w:rPr>
        <w:t>Ekonomikas ministres</w:t>
      </w:r>
    </w:p>
    <w:p w14:paraId="70D3B8A4" w14:textId="77777777" w:rsidR="00DF7624" w:rsidRPr="00DF7624" w:rsidRDefault="00DF7624" w:rsidP="00DF7624">
      <w:pPr>
        <w:pStyle w:val="NoSpacing"/>
        <w:jc w:val="both"/>
        <w:rPr>
          <w:color w:val="000000"/>
          <w:sz w:val="26"/>
          <w:szCs w:val="26"/>
        </w:rPr>
      </w:pPr>
      <w:r w:rsidRPr="00DF7624">
        <w:rPr>
          <w:color w:val="000000"/>
          <w:sz w:val="26"/>
          <w:szCs w:val="26"/>
        </w:rPr>
        <w:t>pienākumu izpildītājs,</w:t>
      </w:r>
    </w:p>
    <w:p w14:paraId="7AFEB33C" w14:textId="79DC6A11" w:rsidR="00222CB3" w:rsidRPr="00DF7624" w:rsidRDefault="00DF7624" w:rsidP="00DF7624">
      <w:pPr>
        <w:pStyle w:val="NoSpacing"/>
        <w:jc w:val="both"/>
        <w:rPr>
          <w:color w:val="000000"/>
          <w:sz w:val="26"/>
          <w:szCs w:val="26"/>
        </w:rPr>
      </w:pPr>
      <w:r w:rsidRPr="00DF7624">
        <w:rPr>
          <w:color w:val="000000"/>
          <w:sz w:val="26"/>
          <w:szCs w:val="26"/>
        </w:rPr>
        <w:t>Labklājības ministrs</w:t>
      </w:r>
      <w:r w:rsidRPr="00DF7624">
        <w:rPr>
          <w:color w:val="000000"/>
          <w:sz w:val="26"/>
          <w:szCs w:val="26"/>
        </w:rPr>
        <w:tab/>
      </w:r>
      <w:r w:rsidRPr="00DF7624">
        <w:rPr>
          <w:color w:val="000000"/>
          <w:sz w:val="26"/>
          <w:szCs w:val="26"/>
        </w:rPr>
        <w:tab/>
      </w:r>
      <w:r w:rsidRPr="00DF7624">
        <w:rPr>
          <w:color w:val="000000"/>
          <w:sz w:val="26"/>
          <w:szCs w:val="26"/>
        </w:rPr>
        <w:tab/>
      </w:r>
      <w:r w:rsidRPr="00DF7624">
        <w:rPr>
          <w:color w:val="000000"/>
          <w:sz w:val="26"/>
          <w:szCs w:val="26"/>
        </w:rPr>
        <w:tab/>
      </w:r>
      <w:r w:rsidRPr="00DF7624">
        <w:rPr>
          <w:color w:val="000000"/>
          <w:sz w:val="26"/>
          <w:szCs w:val="26"/>
        </w:rPr>
        <w:tab/>
      </w:r>
      <w:r w:rsidRPr="00DF7624">
        <w:rPr>
          <w:color w:val="000000"/>
          <w:sz w:val="26"/>
          <w:szCs w:val="26"/>
        </w:rPr>
        <w:tab/>
      </w:r>
      <w:r w:rsidRPr="00DF7624">
        <w:rPr>
          <w:color w:val="000000"/>
          <w:sz w:val="26"/>
          <w:szCs w:val="26"/>
        </w:rPr>
        <w:tab/>
      </w:r>
      <w:r w:rsidRPr="00DF7624">
        <w:rPr>
          <w:color w:val="000000"/>
          <w:sz w:val="26"/>
          <w:szCs w:val="26"/>
        </w:rPr>
        <w:tab/>
      </w:r>
      <w:r w:rsidRPr="00DF7624">
        <w:rPr>
          <w:color w:val="000000"/>
          <w:sz w:val="26"/>
          <w:szCs w:val="26"/>
        </w:rPr>
        <w:tab/>
      </w:r>
      <w:proofErr w:type="spellStart"/>
      <w:r w:rsidRPr="00DF7624">
        <w:rPr>
          <w:color w:val="000000"/>
          <w:sz w:val="26"/>
          <w:szCs w:val="26"/>
        </w:rPr>
        <w:t>U.Augulis</w:t>
      </w:r>
      <w:proofErr w:type="spellEnd"/>
    </w:p>
    <w:p w14:paraId="182F00A8" w14:textId="77777777" w:rsidR="00222CB3" w:rsidRDefault="00222CB3" w:rsidP="00222CB3">
      <w:pPr>
        <w:pStyle w:val="NoSpacing"/>
        <w:jc w:val="both"/>
      </w:pPr>
    </w:p>
    <w:p w14:paraId="63A93E3F" w14:textId="77777777" w:rsidR="00CB5DE5" w:rsidRPr="00650643" w:rsidRDefault="00CB5DE5" w:rsidP="00222CB3">
      <w:pPr>
        <w:pStyle w:val="NoSpacing"/>
        <w:jc w:val="both"/>
      </w:pPr>
    </w:p>
    <w:p w14:paraId="155CA53D" w14:textId="77777777" w:rsidR="00F601ED" w:rsidRDefault="00F601ED" w:rsidP="00DB37B6">
      <w:pPr>
        <w:pStyle w:val="NoSpacing"/>
        <w:rPr>
          <w:sz w:val="26"/>
          <w:szCs w:val="26"/>
        </w:rPr>
      </w:pPr>
      <w:r>
        <w:rPr>
          <w:sz w:val="26"/>
          <w:szCs w:val="26"/>
        </w:rPr>
        <w:t>Vīza:</w:t>
      </w:r>
    </w:p>
    <w:p w14:paraId="77D77803" w14:textId="77777777" w:rsidR="00F601ED" w:rsidRDefault="00F601ED" w:rsidP="00DB37B6">
      <w:pPr>
        <w:pStyle w:val="NoSpacing"/>
        <w:rPr>
          <w:sz w:val="26"/>
          <w:szCs w:val="26"/>
        </w:rPr>
      </w:pPr>
    </w:p>
    <w:p w14:paraId="623E360A" w14:textId="1DAF61EE" w:rsidR="00DB37B6" w:rsidRPr="00DB37B6" w:rsidRDefault="00F601ED" w:rsidP="00DB37B6">
      <w:pPr>
        <w:pStyle w:val="NoSpacing"/>
        <w:rPr>
          <w:sz w:val="26"/>
          <w:szCs w:val="26"/>
        </w:rPr>
      </w:pPr>
      <w:r>
        <w:rPr>
          <w:sz w:val="26"/>
          <w:szCs w:val="26"/>
        </w:rPr>
        <w:t>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sidR="00DB37B6" w:rsidRPr="00DB37B6">
        <w:rPr>
          <w:sz w:val="26"/>
          <w:szCs w:val="26"/>
        </w:rPr>
        <w:t>R.Beinarovičs</w:t>
      </w:r>
      <w:proofErr w:type="spellEnd"/>
    </w:p>
    <w:p w14:paraId="615FB2BF" w14:textId="77777777" w:rsidR="003D276B" w:rsidRPr="00DB37B6" w:rsidRDefault="003D276B" w:rsidP="00222CB3">
      <w:pPr>
        <w:pStyle w:val="NoSpacing"/>
        <w:jc w:val="both"/>
        <w:rPr>
          <w:sz w:val="26"/>
          <w:szCs w:val="26"/>
        </w:rPr>
      </w:pPr>
      <w:bookmarkStart w:id="0" w:name="_GoBack"/>
      <w:bookmarkEnd w:id="0"/>
    </w:p>
    <w:p w14:paraId="17DDFECC" w14:textId="77777777" w:rsidR="00DF7624" w:rsidRDefault="00DF7624" w:rsidP="00222CB3">
      <w:pPr>
        <w:pStyle w:val="NoSpacing"/>
        <w:jc w:val="both"/>
        <w:rPr>
          <w:sz w:val="20"/>
        </w:rPr>
      </w:pPr>
    </w:p>
    <w:p w14:paraId="1D00C6B8" w14:textId="665B0430" w:rsidR="00496EB5" w:rsidRPr="00650643" w:rsidRDefault="0009699B" w:rsidP="00222CB3">
      <w:pPr>
        <w:pStyle w:val="NoSpacing"/>
        <w:jc w:val="both"/>
        <w:rPr>
          <w:sz w:val="20"/>
        </w:rPr>
      </w:pPr>
      <w:r>
        <w:rPr>
          <w:sz w:val="20"/>
        </w:rPr>
        <w:t>16.11</w:t>
      </w:r>
      <w:r w:rsidR="00496EB5" w:rsidRPr="00650643">
        <w:rPr>
          <w:sz w:val="20"/>
        </w:rPr>
        <w:t xml:space="preserve">.2015. </w:t>
      </w:r>
      <w:r>
        <w:rPr>
          <w:sz w:val="20"/>
        </w:rPr>
        <w:t>13:32</w:t>
      </w:r>
    </w:p>
    <w:p w14:paraId="49510AC2" w14:textId="77777777" w:rsidR="005D27EF" w:rsidRPr="00650643" w:rsidRDefault="005D27EF" w:rsidP="00222CB3">
      <w:pPr>
        <w:pStyle w:val="NoSpacing"/>
        <w:jc w:val="both"/>
        <w:rPr>
          <w:sz w:val="20"/>
        </w:rPr>
      </w:pPr>
      <w:r w:rsidRPr="00650643">
        <w:rPr>
          <w:sz w:val="20"/>
        </w:rPr>
        <w:fldChar w:fldCharType="begin"/>
      </w:r>
      <w:r w:rsidRPr="00650643">
        <w:rPr>
          <w:sz w:val="20"/>
        </w:rPr>
        <w:instrText xml:space="preserve"> NUMWORDS   \* MERGEFORMAT </w:instrText>
      </w:r>
      <w:r w:rsidRPr="00650643">
        <w:rPr>
          <w:sz w:val="20"/>
        </w:rPr>
        <w:fldChar w:fldCharType="separate"/>
      </w:r>
      <w:r w:rsidR="00DF7624">
        <w:rPr>
          <w:noProof/>
          <w:sz w:val="20"/>
        </w:rPr>
        <w:t>755</w:t>
      </w:r>
      <w:r w:rsidRPr="00650643">
        <w:rPr>
          <w:sz w:val="20"/>
        </w:rPr>
        <w:fldChar w:fldCharType="end"/>
      </w:r>
    </w:p>
    <w:p w14:paraId="58FC92BB" w14:textId="38FB5CE9" w:rsidR="00222CB3" w:rsidRPr="00650643" w:rsidRDefault="001F4579" w:rsidP="00222CB3">
      <w:pPr>
        <w:pStyle w:val="NoSpacing"/>
        <w:jc w:val="both"/>
        <w:rPr>
          <w:sz w:val="20"/>
        </w:rPr>
      </w:pPr>
      <w:r>
        <w:rPr>
          <w:sz w:val="20"/>
        </w:rPr>
        <w:t>Lipskis</w:t>
      </w:r>
    </w:p>
    <w:p w14:paraId="4E0544CD" w14:textId="1D4E0777" w:rsidR="00CF04E1" w:rsidRPr="00D56D53" w:rsidRDefault="00787DD2" w:rsidP="00222CB3">
      <w:pPr>
        <w:pStyle w:val="NoSpacing"/>
        <w:jc w:val="both"/>
        <w:rPr>
          <w:sz w:val="20"/>
        </w:rPr>
      </w:pPr>
      <w:r w:rsidRPr="00650643">
        <w:rPr>
          <w:sz w:val="20"/>
        </w:rPr>
        <w:t>67013</w:t>
      </w:r>
      <w:r w:rsidR="001F4579">
        <w:rPr>
          <w:sz w:val="20"/>
        </w:rPr>
        <w:t>292</w:t>
      </w:r>
      <w:r w:rsidR="00222CB3" w:rsidRPr="00650643">
        <w:rPr>
          <w:sz w:val="20"/>
        </w:rPr>
        <w:t xml:space="preserve">, </w:t>
      </w:r>
      <w:r w:rsidR="001F4579">
        <w:rPr>
          <w:sz w:val="20"/>
        </w:rPr>
        <w:t>Valdis.Lipskis@em.gov.lv</w:t>
      </w:r>
    </w:p>
    <w:sectPr w:rsidR="00CF04E1" w:rsidRPr="00D56D53" w:rsidSect="00772107">
      <w:headerReference w:type="default" r:id="rId7"/>
      <w:footerReference w:type="default" r:id="rId8"/>
      <w:footerReference w:type="first" r:id="rId9"/>
      <w:pgSz w:w="11906" w:h="16838"/>
      <w:pgMar w:top="1134" w:right="1134" w:bottom="1134"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D07C" w14:textId="77777777" w:rsidR="00BB1407" w:rsidRDefault="00BB1407" w:rsidP="00222CB3">
      <w:pPr>
        <w:spacing w:after="0" w:line="240" w:lineRule="auto"/>
      </w:pPr>
      <w:r>
        <w:separator/>
      </w:r>
    </w:p>
  </w:endnote>
  <w:endnote w:type="continuationSeparator" w:id="0">
    <w:p w14:paraId="458530C6" w14:textId="77777777" w:rsidR="00BB1407" w:rsidRDefault="00BB1407" w:rsidP="0022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8C7D" w14:textId="1C501BDC" w:rsidR="006D68E8" w:rsidRPr="00787DD2" w:rsidRDefault="00DB37B6" w:rsidP="00787DD2">
    <w:pPr>
      <w:pStyle w:val="Footer"/>
      <w:rPr>
        <w:bCs/>
        <w:sz w:val="20"/>
        <w:szCs w:val="20"/>
      </w:rPr>
    </w:pPr>
    <w:r>
      <w:rPr>
        <w:sz w:val="20"/>
        <w:szCs w:val="20"/>
      </w:rPr>
      <w:t>E</w:t>
    </w:r>
    <w:r w:rsidR="00660D3D">
      <w:rPr>
        <w:sz w:val="20"/>
        <w:szCs w:val="20"/>
      </w:rPr>
      <w:t>MA</w:t>
    </w:r>
    <w:r w:rsidR="00BF2000">
      <w:rPr>
        <w:sz w:val="20"/>
        <w:szCs w:val="20"/>
      </w:rPr>
      <w:t>not_</w:t>
    </w:r>
    <w:r w:rsidR="001F4579">
      <w:rPr>
        <w:sz w:val="20"/>
        <w:szCs w:val="20"/>
      </w:rPr>
      <w:t>16</w:t>
    </w:r>
    <w:r w:rsidR="0009699B">
      <w:rPr>
        <w:sz w:val="20"/>
        <w:szCs w:val="20"/>
      </w:rPr>
      <w:t>11</w:t>
    </w:r>
    <w:r w:rsidR="00787DD2" w:rsidRPr="00787DD2">
      <w:rPr>
        <w:sz w:val="20"/>
        <w:szCs w:val="20"/>
      </w:rPr>
      <w:t>15_svari; Ministru kabineta noteikumu projekta „Grozījums Ministru kabineta 2006.gada 7.marta noteikumos Nr.180 „Neautomātisko svaru atbilstības novērtēšanas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7306" w14:textId="0E66B3E4" w:rsidR="006D68E8" w:rsidRPr="00F9147D" w:rsidRDefault="00787DD2" w:rsidP="00787DD2">
    <w:pPr>
      <w:pStyle w:val="NoSpacing"/>
      <w:jc w:val="both"/>
      <w:rPr>
        <w:bCs/>
        <w:sz w:val="20"/>
        <w:szCs w:val="20"/>
      </w:rPr>
    </w:pPr>
    <w:r>
      <w:rPr>
        <w:sz w:val="20"/>
        <w:szCs w:val="20"/>
      </w:rPr>
      <w:t>E</w:t>
    </w:r>
    <w:r w:rsidR="00B26298" w:rsidRPr="00F9147D">
      <w:rPr>
        <w:sz w:val="20"/>
        <w:szCs w:val="20"/>
      </w:rPr>
      <w:t>M</w:t>
    </w:r>
    <w:r w:rsidR="00660D3D">
      <w:rPr>
        <w:sz w:val="20"/>
        <w:szCs w:val="20"/>
      </w:rPr>
      <w:t>A</w:t>
    </w:r>
    <w:r w:rsidR="00B26298" w:rsidRPr="00F9147D">
      <w:rPr>
        <w:sz w:val="20"/>
        <w:szCs w:val="20"/>
      </w:rPr>
      <w:t>not_</w:t>
    </w:r>
    <w:r w:rsidR="0009699B">
      <w:rPr>
        <w:sz w:val="20"/>
        <w:szCs w:val="20"/>
      </w:rPr>
      <w:t>1611</w:t>
    </w:r>
    <w:r w:rsidR="00B26298" w:rsidRPr="00F9147D">
      <w:rPr>
        <w:sz w:val="20"/>
        <w:szCs w:val="20"/>
      </w:rPr>
      <w:t>15_</w:t>
    </w:r>
    <w:r>
      <w:rPr>
        <w:sz w:val="20"/>
        <w:szCs w:val="20"/>
      </w:rPr>
      <w:t>svari</w:t>
    </w:r>
    <w:r w:rsidR="00F9147D" w:rsidRPr="00F9147D">
      <w:rPr>
        <w:sz w:val="20"/>
        <w:szCs w:val="20"/>
      </w:rPr>
      <w:t xml:space="preserve">; </w:t>
    </w:r>
    <w:r w:rsidRPr="00787DD2">
      <w:rPr>
        <w:sz w:val="20"/>
        <w:szCs w:val="20"/>
      </w:rPr>
      <w:t>Ministru kabineta noteikumu projekta „Grozījums Ministru kabineta 2006.gada 7.marta noteikumos Nr.180 „Neautomātisko svaru atbilstības novērtēšanas noteikumi””</w:t>
    </w:r>
    <w:r>
      <w:rPr>
        <w:sz w:val="20"/>
        <w:szCs w:val="20"/>
      </w:rPr>
      <w:t xml:space="preserve"> </w:t>
    </w:r>
    <w:r w:rsidRPr="00787DD2">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7DF63" w14:textId="77777777" w:rsidR="00BB1407" w:rsidRDefault="00BB1407" w:rsidP="00222CB3">
      <w:pPr>
        <w:spacing w:after="0" w:line="240" w:lineRule="auto"/>
      </w:pPr>
      <w:r>
        <w:separator/>
      </w:r>
    </w:p>
  </w:footnote>
  <w:footnote w:type="continuationSeparator" w:id="0">
    <w:p w14:paraId="6E049369" w14:textId="77777777" w:rsidR="00BB1407" w:rsidRDefault="00BB1407" w:rsidP="00222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14:paraId="6C53FA3E" w14:textId="77777777" w:rsidR="006D68E8" w:rsidRDefault="00B26298">
        <w:pPr>
          <w:pStyle w:val="Header"/>
          <w:jc w:val="center"/>
        </w:pPr>
        <w:r>
          <w:fldChar w:fldCharType="begin"/>
        </w:r>
        <w:r>
          <w:instrText>PAGE   \* MERGEFORMAT</w:instrText>
        </w:r>
        <w:r>
          <w:fldChar w:fldCharType="separate"/>
        </w:r>
        <w:r w:rsidR="00DF7624">
          <w:rPr>
            <w:noProof/>
          </w:rPr>
          <w:t>2</w:t>
        </w:r>
        <w:r>
          <w:fldChar w:fldCharType="end"/>
        </w:r>
      </w:p>
    </w:sdtContent>
  </w:sdt>
  <w:p w14:paraId="6CB40306" w14:textId="77777777" w:rsidR="006D68E8" w:rsidRDefault="00BB14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3"/>
    <w:rsid w:val="00003471"/>
    <w:rsid w:val="00005DC7"/>
    <w:rsid w:val="0002174A"/>
    <w:rsid w:val="00022759"/>
    <w:rsid w:val="0003432B"/>
    <w:rsid w:val="00034B44"/>
    <w:rsid w:val="00040718"/>
    <w:rsid w:val="0004075A"/>
    <w:rsid w:val="00040902"/>
    <w:rsid w:val="000419FF"/>
    <w:rsid w:val="00043F68"/>
    <w:rsid w:val="000511AD"/>
    <w:rsid w:val="00055155"/>
    <w:rsid w:val="00062683"/>
    <w:rsid w:val="00062849"/>
    <w:rsid w:val="00064041"/>
    <w:rsid w:val="0006695C"/>
    <w:rsid w:val="00067A3E"/>
    <w:rsid w:val="0007568D"/>
    <w:rsid w:val="00082B6D"/>
    <w:rsid w:val="000856DC"/>
    <w:rsid w:val="00086FF3"/>
    <w:rsid w:val="000948F2"/>
    <w:rsid w:val="0009699B"/>
    <w:rsid w:val="000A44BF"/>
    <w:rsid w:val="000A64CD"/>
    <w:rsid w:val="000B704B"/>
    <w:rsid w:val="000C7DD2"/>
    <w:rsid w:val="000D3B9D"/>
    <w:rsid w:val="000D7DF9"/>
    <w:rsid w:val="000D7E78"/>
    <w:rsid w:val="000E0D42"/>
    <w:rsid w:val="000E5FC0"/>
    <w:rsid w:val="00104FAA"/>
    <w:rsid w:val="001154DE"/>
    <w:rsid w:val="00120A64"/>
    <w:rsid w:val="00132A95"/>
    <w:rsid w:val="00136B07"/>
    <w:rsid w:val="0013730D"/>
    <w:rsid w:val="00137DBB"/>
    <w:rsid w:val="00141BEE"/>
    <w:rsid w:val="00142A81"/>
    <w:rsid w:val="00143B67"/>
    <w:rsid w:val="00152291"/>
    <w:rsid w:val="00156A22"/>
    <w:rsid w:val="0016557E"/>
    <w:rsid w:val="00170F75"/>
    <w:rsid w:val="001743BF"/>
    <w:rsid w:val="001763DF"/>
    <w:rsid w:val="00177991"/>
    <w:rsid w:val="00181048"/>
    <w:rsid w:val="0018140D"/>
    <w:rsid w:val="00181838"/>
    <w:rsid w:val="001822AD"/>
    <w:rsid w:val="001A09C2"/>
    <w:rsid w:val="001A5595"/>
    <w:rsid w:val="001C7399"/>
    <w:rsid w:val="001D03FC"/>
    <w:rsid w:val="001D4790"/>
    <w:rsid w:val="001E0991"/>
    <w:rsid w:val="001E3427"/>
    <w:rsid w:val="001F4579"/>
    <w:rsid w:val="001F4682"/>
    <w:rsid w:val="00201900"/>
    <w:rsid w:val="00212E51"/>
    <w:rsid w:val="00215BD0"/>
    <w:rsid w:val="002174D5"/>
    <w:rsid w:val="0022133F"/>
    <w:rsid w:val="00222CB3"/>
    <w:rsid w:val="00224A1C"/>
    <w:rsid w:val="00230584"/>
    <w:rsid w:val="00242D0B"/>
    <w:rsid w:val="00245A54"/>
    <w:rsid w:val="00247C0C"/>
    <w:rsid w:val="00247D16"/>
    <w:rsid w:val="00266ECA"/>
    <w:rsid w:val="00291F81"/>
    <w:rsid w:val="00295ED4"/>
    <w:rsid w:val="0029751E"/>
    <w:rsid w:val="002A41F2"/>
    <w:rsid w:val="002A70EE"/>
    <w:rsid w:val="002B131A"/>
    <w:rsid w:val="002B4D46"/>
    <w:rsid w:val="002C741D"/>
    <w:rsid w:val="002E1934"/>
    <w:rsid w:val="002E410B"/>
    <w:rsid w:val="002F0981"/>
    <w:rsid w:val="002F10F8"/>
    <w:rsid w:val="002F7EAA"/>
    <w:rsid w:val="0030545D"/>
    <w:rsid w:val="00313C3C"/>
    <w:rsid w:val="00325A59"/>
    <w:rsid w:val="00327330"/>
    <w:rsid w:val="003302EC"/>
    <w:rsid w:val="00346071"/>
    <w:rsid w:val="00351252"/>
    <w:rsid w:val="00365E53"/>
    <w:rsid w:val="00384C7B"/>
    <w:rsid w:val="00394F15"/>
    <w:rsid w:val="003A0DA1"/>
    <w:rsid w:val="003A1543"/>
    <w:rsid w:val="003A16D8"/>
    <w:rsid w:val="003A262B"/>
    <w:rsid w:val="003A6A20"/>
    <w:rsid w:val="003B3E9F"/>
    <w:rsid w:val="003C1358"/>
    <w:rsid w:val="003D276B"/>
    <w:rsid w:val="003D4D41"/>
    <w:rsid w:val="003D5E50"/>
    <w:rsid w:val="003E3289"/>
    <w:rsid w:val="003E6F19"/>
    <w:rsid w:val="00400150"/>
    <w:rsid w:val="00402A29"/>
    <w:rsid w:val="00405C7A"/>
    <w:rsid w:val="00427FF4"/>
    <w:rsid w:val="00435E09"/>
    <w:rsid w:val="004371BD"/>
    <w:rsid w:val="00437B71"/>
    <w:rsid w:val="00452784"/>
    <w:rsid w:val="00472651"/>
    <w:rsid w:val="00474375"/>
    <w:rsid w:val="00475F5B"/>
    <w:rsid w:val="0048214F"/>
    <w:rsid w:val="00496EB5"/>
    <w:rsid w:val="004C3936"/>
    <w:rsid w:val="004C53F1"/>
    <w:rsid w:val="004C7A10"/>
    <w:rsid w:val="004D2160"/>
    <w:rsid w:val="004D48F9"/>
    <w:rsid w:val="004D7EAC"/>
    <w:rsid w:val="004E3C4C"/>
    <w:rsid w:val="004F16A6"/>
    <w:rsid w:val="004F7B69"/>
    <w:rsid w:val="005047FE"/>
    <w:rsid w:val="00510BAC"/>
    <w:rsid w:val="005239E5"/>
    <w:rsid w:val="00523A17"/>
    <w:rsid w:val="00534AB2"/>
    <w:rsid w:val="0054054A"/>
    <w:rsid w:val="00540B33"/>
    <w:rsid w:val="00542B84"/>
    <w:rsid w:val="0055587C"/>
    <w:rsid w:val="00557CD6"/>
    <w:rsid w:val="00562A34"/>
    <w:rsid w:val="00564E92"/>
    <w:rsid w:val="00570977"/>
    <w:rsid w:val="00574513"/>
    <w:rsid w:val="005831E4"/>
    <w:rsid w:val="00587914"/>
    <w:rsid w:val="00587A51"/>
    <w:rsid w:val="0059025D"/>
    <w:rsid w:val="0059736E"/>
    <w:rsid w:val="005A015B"/>
    <w:rsid w:val="005A5A68"/>
    <w:rsid w:val="005B22D2"/>
    <w:rsid w:val="005B26D0"/>
    <w:rsid w:val="005B2FEC"/>
    <w:rsid w:val="005C1035"/>
    <w:rsid w:val="005C31E6"/>
    <w:rsid w:val="005D27EF"/>
    <w:rsid w:val="005D6B09"/>
    <w:rsid w:val="005E04AE"/>
    <w:rsid w:val="005E3476"/>
    <w:rsid w:val="00602F6B"/>
    <w:rsid w:val="00611DF3"/>
    <w:rsid w:val="00634383"/>
    <w:rsid w:val="006351D8"/>
    <w:rsid w:val="006504BE"/>
    <w:rsid w:val="00650643"/>
    <w:rsid w:val="00652796"/>
    <w:rsid w:val="00655371"/>
    <w:rsid w:val="00660D3D"/>
    <w:rsid w:val="0066138E"/>
    <w:rsid w:val="00672F60"/>
    <w:rsid w:val="00681161"/>
    <w:rsid w:val="00686CA7"/>
    <w:rsid w:val="00687789"/>
    <w:rsid w:val="0069165E"/>
    <w:rsid w:val="00692916"/>
    <w:rsid w:val="00694EA7"/>
    <w:rsid w:val="006A317E"/>
    <w:rsid w:val="006A72CE"/>
    <w:rsid w:val="006B0C8B"/>
    <w:rsid w:val="006B2E56"/>
    <w:rsid w:val="006B33D0"/>
    <w:rsid w:val="006B5869"/>
    <w:rsid w:val="006C3C64"/>
    <w:rsid w:val="006C47B7"/>
    <w:rsid w:val="006E14C8"/>
    <w:rsid w:val="006E24DF"/>
    <w:rsid w:val="006E6FC1"/>
    <w:rsid w:val="00704F4C"/>
    <w:rsid w:val="007071A5"/>
    <w:rsid w:val="00713036"/>
    <w:rsid w:val="007134E7"/>
    <w:rsid w:val="00717BF2"/>
    <w:rsid w:val="00727C84"/>
    <w:rsid w:val="007341B3"/>
    <w:rsid w:val="00736D9D"/>
    <w:rsid w:val="0075001A"/>
    <w:rsid w:val="00750384"/>
    <w:rsid w:val="00751B0A"/>
    <w:rsid w:val="007632DD"/>
    <w:rsid w:val="00777358"/>
    <w:rsid w:val="00786053"/>
    <w:rsid w:val="00787DD2"/>
    <w:rsid w:val="00790470"/>
    <w:rsid w:val="0079285E"/>
    <w:rsid w:val="00795190"/>
    <w:rsid w:val="007A029B"/>
    <w:rsid w:val="007A05E9"/>
    <w:rsid w:val="007A0972"/>
    <w:rsid w:val="007A1ED8"/>
    <w:rsid w:val="007A52BA"/>
    <w:rsid w:val="007C139C"/>
    <w:rsid w:val="007D2889"/>
    <w:rsid w:val="007D39CA"/>
    <w:rsid w:val="007D6F94"/>
    <w:rsid w:val="007E5857"/>
    <w:rsid w:val="007E66AB"/>
    <w:rsid w:val="007F1DF0"/>
    <w:rsid w:val="007F658A"/>
    <w:rsid w:val="007F7921"/>
    <w:rsid w:val="00805170"/>
    <w:rsid w:val="00811E3F"/>
    <w:rsid w:val="0081341F"/>
    <w:rsid w:val="008135C6"/>
    <w:rsid w:val="00814B83"/>
    <w:rsid w:val="0082062E"/>
    <w:rsid w:val="00823A75"/>
    <w:rsid w:val="008333E8"/>
    <w:rsid w:val="008336FF"/>
    <w:rsid w:val="0083587B"/>
    <w:rsid w:val="008405D6"/>
    <w:rsid w:val="00842019"/>
    <w:rsid w:val="008421A1"/>
    <w:rsid w:val="00846B34"/>
    <w:rsid w:val="008575FD"/>
    <w:rsid w:val="00862E6B"/>
    <w:rsid w:val="00867CAE"/>
    <w:rsid w:val="0087210F"/>
    <w:rsid w:val="00872810"/>
    <w:rsid w:val="008809CD"/>
    <w:rsid w:val="008936A0"/>
    <w:rsid w:val="008967F3"/>
    <w:rsid w:val="008A0AA1"/>
    <w:rsid w:val="008A7183"/>
    <w:rsid w:val="008B195E"/>
    <w:rsid w:val="008B2236"/>
    <w:rsid w:val="008B500D"/>
    <w:rsid w:val="008D2A81"/>
    <w:rsid w:val="008E1F90"/>
    <w:rsid w:val="008F1B1C"/>
    <w:rsid w:val="008F6771"/>
    <w:rsid w:val="0090552F"/>
    <w:rsid w:val="00920041"/>
    <w:rsid w:val="0092534A"/>
    <w:rsid w:val="00934975"/>
    <w:rsid w:val="00935BE7"/>
    <w:rsid w:val="009368F6"/>
    <w:rsid w:val="00940577"/>
    <w:rsid w:val="00952F69"/>
    <w:rsid w:val="00955C00"/>
    <w:rsid w:val="00961C00"/>
    <w:rsid w:val="009663ED"/>
    <w:rsid w:val="00970613"/>
    <w:rsid w:val="00971D1D"/>
    <w:rsid w:val="00974DF2"/>
    <w:rsid w:val="009763B2"/>
    <w:rsid w:val="00983389"/>
    <w:rsid w:val="009935B5"/>
    <w:rsid w:val="009B6E9A"/>
    <w:rsid w:val="009C2059"/>
    <w:rsid w:val="009D723F"/>
    <w:rsid w:val="009E2F52"/>
    <w:rsid w:val="009E3E8F"/>
    <w:rsid w:val="00A201FA"/>
    <w:rsid w:val="00A226D9"/>
    <w:rsid w:val="00A2699A"/>
    <w:rsid w:val="00A31129"/>
    <w:rsid w:val="00A35B4D"/>
    <w:rsid w:val="00A4010C"/>
    <w:rsid w:val="00A434EF"/>
    <w:rsid w:val="00A5151A"/>
    <w:rsid w:val="00A57346"/>
    <w:rsid w:val="00A7051F"/>
    <w:rsid w:val="00A71F5B"/>
    <w:rsid w:val="00A83A28"/>
    <w:rsid w:val="00A869DE"/>
    <w:rsid w:val="00A96210"/>
    <w:rsid w:val="00AA5522"/>
    <w:rsid w:val="00AC713F"/>
    <w:rsid w:val="00AC71EA"/>
    <w:rsid w:val="00AD17CB"/>
    <w:rsid w:val="00AD1E80"/>
    <w:rsid w:val="00AD3063"/>
    <w:rsid w:val="00AD508A"/>
    <w:rsid w:val="00B1049C"/>
    <w:rsid w:val="00B10C4C"/>
    <w:rsid w:val="00B26298"/>
    <w:rsid w:val="00B33FC0"/>
    <w:rsid w:val="00B4012F"/>
    <w:rsid w:val="00B4053B"/>
    <w:rsid w:val="00B44155"/>
    <w:rsid w:val="00B50A68"/>
    <w:rsid w:val="00B570C3"/>
    <w:rsid w:val="00B6397C"/>
    <w:rsid w:val="00B67459"/>
    <w:rsid w:val="00B679D6"/>
    <w:rsid w:val="00B73CF5"/>
    <w:rsid w:val="00B82352"/>
    <w:rsid w:val="00B83175"/>
    <w:rsid w:val="00B83FA8"/>
    <w:rsid w:val="00B87DD5"/>
    <w:rsid w:val="00B904E5"/>
    <w:rsid w:val="00B946FF"/>
    <w:rsid w:val="00BA250E"/>
    <w:rsid w:val="00BA3B82"/>
    <w:rsid w:val="00BB1407"/>
    <w:rsid w:val="00BB2FD3"/>
    <w:rsid w:val="00BB3CE9"/>
    <w:rsid w:val="00BC40B4"/>
    <w:rsid w:val="00BD0A8E"/>
    <w:rsid w:val="00BD135C"/>
    <w:rsid w:val="00BE3C85"/>
    <w:rsid w:val="00BF2000"/>
    <w:rsid w:val="00C00D1F"/>
    <w:rsid w:val="00C16B8E"/>
    <w:rsid w:val="00C221AD"/>
    <w:rsid w:val="00C3478F"/>
    <w:rsid w:val="00C35BFF"/>
    <w:rsid w:val="00C36ED6"/>
    <w:rsid w:val="00C52C8A"/>
    <w:rsid w:val="00C64BD6"/>
    <w:rsid w:val="00C663AA"/>
    <w:rsid w:val="00C74938"/>
    <w:rsid w:val="00C74B20"/>
    <w:rsid w:val="00C7647B"/>
    <w:rsid w:val="00C77E30"/>
    <w:rsid w:val="00C80AE4"/>
    <w:rsid w:val="00C845BE"/>
    <w:rsid w:val="00C8476A"/>
    <w:rsid w:val="00C90F10"/>
    <w:rsid w:val="00C9446B"/>
    <w:rsid w:val="00CA255B"/>
    <w:rsid w:val="00CB20AD"/>
    <w:rsid w:val="00CB5DE5"/>
    <w:rsid w:val="00CC01E7"/>
    <w:rsid w:val="00CD701D"/>
    <w:rsid w:val="00CE614A"/>
    <w:rsid w:val="00CF04E1"/>
    <w:rsid w:val="00CF4FFA"/>
    <w:rsid w:val="00D016B1"/>
    <w:rsid w:val="00D03733"/>
    <w:rsid w:val="00D12439"/>
    <w:rsid w:val="00D231BA"/>
    <w:rsid w:val="00D3669F"/>
    <w:rsid w:val="00D3707A"/>
    <w:rsid w:val="00D3746C"/>
    <w:rsid w:val="00D4331D"/>
    <w:rsid w:val="00D45B2A"/>
    <w:rsid w:val="00D56D53"/>
    <w:rsid w:val="00D604AB"/>
    <w:rsid w:val="00D72DFC"/>
    <w:rsid w:val="00D753DA"/>
    <w:rsid w:val="00D81E64"/>
    <w:rsid w:val="00D87662"/>
    <w:rsid w:val="00D95D1B"/>
    <w:rsid w:val="00D962B0"/>
    <w:rsid w:val="00DA6802"/>
    <w:rsid w:val="00DB37B6"/>
    <w:rsid w:val="00DC0293"/>
    <w:rsid w:val="00DC4427"/>
    <w:rsid w:val="00DE058B"/>
    <w:rsid w:val="00DF13BC"/>
    <w:rsid w:val="00DF7624"/>
    <w:rsid w:val="00E02664"/>
    <w:rsid w:val="00E02DE9"/>
    <w:rsid w:val="00E10DA7"/>
    <w:rsid w:val="00E1360E"/>
    <w:rsid w:val="00E1432E"/>
    <w:rsid w:val="00E34F79"/>
    <w:rsid w:val="00E37A56"/>
    <w:rsid w:val="00E433BF"/>
    <w:rsid w:val="00E5532B"/>
    <w:rsid w:val="00E55A3E"/>
    <w:rsid w:val="00E56193"/>
    <w:rsid w:val="00E57799"/>
    <w:rsid w:val="00E720ED"/>
    <w:rsid w:val="00E809CD"/>
    <w:rsid w:val="00E83C2B"/>
    <w:rsid w:val="00E877AD"/>
    <w:rsid w:val="00E90101"/>
    <w:rsid w:val="00E94D2A"/>
    <w:rsid w:val="00E96B16"/>
    <w:rsid w:val="00EA1E40"/>
    <w:rsid w:val="00EA7250"/>
    <w:rsid w:val="00EA758E"/>
    <w:rsid w:val="00EB00EF"/>
    <w:rsid w:val="00EC568A"/>
    <w:rsid w:val="00ED3023"/>
    <w:rsid w:val="00ED518B"/>
    <w:rsid w:val="00EE6DF5"/>
    <w:rsid w:val="00EF5CBA"/>
    <w:rsid w:val="00EF6595"/>
    <w:rsid w:val="00EF6DE3"/>
    <w:rsid w:val="00F06E4D"/>
    <w:rsid w:val="00F16F00"/>
    <w:rsid w:val="00F31EFA"/>
    <w:rsid w:val="00F36CD4"/>
    <w:rsid w:val="00F417D7"/>
    <w:rsid w:val="00F525F6"/>
    <w:rsid w:val="00F601ED"/>
    <w:rsid w:val="00F726AB"/>
    <w:rsid w:val="00F7388E"/>
    <w:rsid w:val="00F749C1"/>
    <w:rsid w:val="00F75DEF"/>
    <w:rsid w:val="00F80A20"/>
    <w:rsid w:val="00F81044"/>
    <w:rsid w:val="00F90CB0"/>
    <w:rsid w:val="00F9147D"/>
    <w:rsid w:val="00F9493B"/>
    <w:rsid w:val="00FA2C9C"/>
    <w:rsid w:val="00FA3F96"/>
    <w:rsid w:val="00FB1FE9"/>
    <w:rsid w:val="00FB3111"/>
    <w:rsid w:val="00FD0EFC"/>
    <w:rsid w:val="00FE1715"/>
    <w:rsid w:val="00FF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4FA4"/>
  <w15:docId w15:val="{0C9E51DB-CDF5-46E5-9DFB-92CA6C1A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CB3"/>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CB3"/>
    <w:pPr>
      <w:spacing w:after="0"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222CB3"/>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uiPriority w:val="99"/>
    <w:rsid w:val="00222CB3"/>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222CB3"/>
    <w:pPr>
      <w:tabs>
        <w:tab w:val="center" w:pos="4513"/>
        <w:tab w:val="right" w:pos="902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222CB3"/>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F91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7D"/>
    <w:rPr>
      <w:rFonts w:ascii="Segoe UI" w:hAnsi="Segoe UI" w:cs="Segoe UI"/>
      <w:sz w:val="18"/>
      <w:szCs w:val="18"/>
    </w:rPr>
  </w:style>
  <w:style w:type="character" w:styleId="CommentReference">
    <w:name w:val="annotation reference"/>
    <w:basedOn w:val="DefaultParagraphFont"/>
    <w:uiPriority w:val="99"/>
    <w:semiHidden/>
    <w:unhideWhenUsed/>
    <w:rsid w:val="005C1035"/>
    <w:rPr>
      <w:sz w:val="16"/>
      <w:szCs w:val="16"/>
    </w:rPr>
  </w:style>
  <w:style w:type="paragraph" w:styleId="CommentText">
    <w:name w:val="annotation text"/>
    <w:basedOn w:val="Normal"/>
    <w:link w:val="CommentTextChar"/>
    <w:uiPriority w:val="99"/>
    <w:semiHidden/>
    <w:unhideWhenUsed/>
    <w:rsid w:val="005C1035"/>
    <w:pPr>
      <w:spacing w:line="240" w:lineRule="auto"/>
    </w:pPr>
    <w:rPr>
      <w:sz w:val="20"/>
      <w:szCs w:val="20"/>
    </w:rPr>
  </w:style>
  <w:style w:type="character" w:customStyle="1" w:styleId="CommentTextChar">
    <w:name w:val="Comment Text Char"/>
    <w:basedOn w:val="DefaultParagraphFont"/>
    <w:link w:val="CommentText"/>
    <w:uiPriority w:val="99"/>
    <w:semiHidden/>
    <w:rsid w:val="005C1035"/>
    <w:rPr>
      <w:sz w:val="20"/>
      <w:szCs w:val="20"/>
    </w:rPr>
  </w:style>
  <w:style w:type="paragraph" w:styleId="CommentSubject">
    <w:name w:val="annotation subject"/>
    <w:basedOn w:val="CommentText"/>
    <w:next w:val="CommentText"/>
    <w:link w:val="CommentSubjectChar"/>
    <w:uiPriority w:val="99"/>
    <w:semiHidden/>
    <w:unhideWhenUsed/>
    <w:rsid w:val="005C1035"/>
    <w:rPr>
      <w:b/>
      <w:bCs/>
    </w:rPr>
  </w:style>
  <w:style w:type="character" w:customStyle="1" w:styleId="CommentSubjectChar">
    <w:name w:val="Comment Subject Char"/>
    <w:basedOn w:val="CommentTextChar"/>
    <w:link w:val="CommentSubject"/>
    <w:uiPriority w:val="99"/>
    <w:semiHidden/>
    <w:rsid w:val="005C1035"/>
    <w:rPr>
      <w:b/>
      <w:bCs/>
      <w:sz w:val="20"/>
      <w:szCs w:val="20"/>
    </w:rPr>
  </w:style>
  <w:style w:type="character" w:styleId="Hyperlink">
    <w:name w:val="Hyperlink"/>
    <w:uiPriority w:val="99"/>
    <w:unhideWhenUsed/>
    <w:rsid w:val="0002174A"/>
    <w:rPr>
      <w:color w:val="0000FF"/>
      <w:u w:val="single"/>
    </w:rPr>
  </w:style>
  <w:style w:type="character" w:styleId="PageNumber">
    <w:name w:val="page number"/>
    <w:rsid w:val="00DF762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50380">
      <w:bodyDiv w:val="1"/>
      <w:marLeft w:val="0"/>
      <w:marRight w:val="0"/>
      <w:marTop w:val="0"/>
      <w:marBottom w:val="0"/>
      <w:divBdr>
        <w:top w:val="none" w:sz="0" w:space="0" w:color="auto"/>
        <w:left w:val="none" w:sz="0" w:space="0" w:color="auto"/>
        <w:bottom w:val="none" w:sz="0" w:space="0" w:color="auto"/>
        <w:right w:val="none" w:sz="0" w:space="0" w:color="auto"/>
      </w:divBdr>
    </w:div>
    <w:div w:id="19128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5726</Characters>
  <Application>Microsoft Office Word</Application>
  <DocSecurity>0</DocSecurity>
  <Lines>336</Lines>
  <Paragraphs>163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2006.gada 7.marta noteikumos Nr.180 „Neautomātisko svaru atbilstības novērtēšanas noteikumi”” sākotnējās ietekmes novērtējuma ziņojums (anotācija)</vt:lpstr>
    </vt:vector>
  </TitlesOfParts>
  <Manager>Veterinārais un pārtikas departaments</Manager>
  <Company>Zemkopibas Ministrija</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7.marta noteikumos Nr.180 „Neautomātisko svaru atbilstības novērtēšanas noteikumi”” sākotnējās ietekmes novērtējuma ziņojums (anotācija)</dc:title>
  <dc:subject>Ministru kabineta noteikumu projekts</dc:subject>
  <dc:creator>Normunds Freibergs</dc:creator>
  <cp:keywords/>
  <dc:description>Sanita.Vanaga@zm.gov.lv, 67027363</dc:description>
  <cp:lastModifiedBy>Valdis Lipskis</cp:lastModifiedBy>
  <cp:revision>4</cp:revision>
  <cp:lastPrinted>2015-11-16T15:47:00Z</cp:lastPrinted>
  <dcterms:created xsi:type="dcterms:W3CDTF">2015-11-16T11:33:00Z</dcterms:created>
  <dcterms:modified xsi:type="dcterms:W3CDTF">2015-11-16T15:48:00Z</dcterms:modified>
</cp:coreProperties>
</file>