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3C6DDE" w:rsidRDefault="00BB09C5" w:rsidP="00EA52E5">
      <w:pPr>
        <w:tabs>
          <w:tab w:val="left" w:pos="6237"/>
        </w:tabs>
        <w:jc w:val="center"/>
        <w:rPr>
          <w:b/>
          <w:sz w:val="24"/>
          <w:szCs w:val="24"/>
          <w:lang w:val="lv-LV"/>
        </w:rPr>
        <w:sectPr w:rsidR="00C97F6E" w:rsidRPr="003C6DDE"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3C6DDE">
        <w:rPr>
          <w:b/>
          <w:sz w:val="24"/>
          <w:szCs w:val="24"/>
          <w:lang w:val="lv-LV"/>
        </w:rPr>
        <w:t xml:space="preserve">Ministru kabineta </w:t>
      </w:r>
      <w:r w:rsidR="00C83591" w:rsidRPr="003C6DDE">
        <w:rPr>
          <w:b/>
          <w:sz w:val="24"/>
          <w:szCs w:val="24"/>
          <w:lang w:val="lv-LV"/>
        </w:rPr>
        <w:t>noteikumu</w:t>
      </w:r>
      <w:r w:rsidR="001764E7" w:rsidRPr="003C6DDE">
        <w:rPr>
          <w:b/>
          <w:sz w:val="24"/>
          <w:szCs w:val="24"/>
          <w:lang w:val="lv-LV"/>
        </w:rPr>
        <w:t xml:space="preserve"> </w:t>
      </w:r>
      <w:r w:rsidRPr="003C6DDE">
        <w:rPr>
          <w:b/>
          <w:sz w:val="24"/>
          <w:szCs w:val="24"/>
          <w:lang w:val="lv-LV"/>
        </w:rPr>
        <w:t xml:space="preserve">projekta </w:t>
      </w:r>
      <w:r w:rsidR="00092473" w:rsidRPr="003C6DDE">
        <w:rPr>
          <w:b/>
          <w:sz w:val="24"/>
          <w:szCs w:val="24"/>
          <w:lang w:val="lv-LV"/>
        </w:rPr>
        <w:t>„</w:t>
      </w:r>
      <w:bookmarkStart w:id="6" w:name="OLE_LINK8"/>
      <w:bookmarkStart w:id="7" w:name="OLE_LINK4"/>
      <w:bookmarkStart w:id="8" w:name="OLE_LINK5"/>
      <w:r w:rsidR="00404B1E" w:rsidRPr="003C6DDE">
        <w:rPr>
          <w:b/>
          <w:sz w:val="24"/>
          <w:szCs w:val="24"/>
          <w:lang w:val="lv-LV"/>
        </w:rPr>
        <w:t>Grozījumi Ministru kabineta 2009.gada 17.februāra noteikumos Nr.164 „</w:t>
      </w:r>
      <w:r w:rsidR="00832C33" w:rsidRPr="003C6DDE">
        <w:rPr>
          <w:sz w:val="24"/>
          <w:szCs w:val="24"/>
        </w:rPr>
        <w:t xml:space="preserve"> </w:t>
      </w:r>
      <w:r w:rsidR="00832C33" w:rsidRPr="003C6DDE">
        <w:rPr>
          <w:b/>
          <w:sz w:val="24"/>
          <w:szCs w:val="24"/>
          <w:lang w:val="lv-LV"/>
        </w:rPr>
        <w:t>Noteikumi par aizdevumiem saimnieciskās darbības uzsācējiem un komersantiem konkurētspējas uzlabošanai</w:t>
      </w:r>
      <w:bookmarkEnd w:id="6"/>
      <w:bookmarkEnd w:id="7"/>
      <w:bookmarkEnd w:id="8"/>
      <w:r w:rsidR="00832C33" w:rsidRPr="003C6DDE">
        <w:rPr>
          <w:b/>
          <w:sz w:val="24"/>
          <w:szCs w:val="24"/>
          <w:lang w:val="lv-LV"/>
        </w:rPr>
        <w:t>”</w:t>
      </w:r>
      <w:r w:rsidR="002E79E4" w:rsidRPr="003C6DDE">
        <w:rPr>
          <w:b/>
          <w:sz w:val="24"/>
          <w:szCs w:val="24"/>
          <w:lang w:val="lv-LV"/>
        </w:rPr>
        <w:t>”</w:t>
      </w:r>
      <w:r w:rsidR="00FA743C" w:rsidRPr="003C6DDE">
        <w:rPr>
          <w:b/>
          <w:sz w:val="24"/>
          <w:szCs w:val="24"/>
          <w:lang w:val="lv-LV"/>
        </w:rPr>
        <w:t xml:space="preserve"> </w:t>
      </w:r>
      <w:r w:rsidR="003000F0" w:rsidRPr="003C6DDE">
        <w:rPr>
          <w:b/>
          <w:sz w:val="24"/>
          <w:szCs w:val="24"/>
          <w:lang w:val="lv-LV"/>
        </w:rPr>
        <w:t xml:space="preserve">sākotnējās ietekmes novērtējuma </w:t>
      </w:r>
      <w:smartTag w:uri="schemas-tilde-lv/tildestengine" w:element="veidnes">
        <w:smartTagPr>
          <w:attr w:name="id" w:val="-1"/>
          <w:attr w:name="baseform" w:val="ziņojums"/>
          <w:attr w:name="text" w:val="ziņojums"/>
        </w:smartTagPr>
        <w:r w:rsidR="003000F0" w:rsidRPr="003C6DDE">
          <w:rPr>
            <w:b/>
            <w:sz w:val="24"/>
            <w:szCs w:val="24"/>
            <w:lang w:val="lv-LV"/>
          </w:rPr>
          <w:t>ziņojums</w:t>
        </w:r>
      </w:smartTag>
      <w:r w:rsidR="00E73425" w:rsidRPr="003C6DDE">
        <w:rPr>
          <w:b/>
          <w:sz w:val="24"/>
          <w:szCs w:val="24"/>
          <w:lang w:val="lv-LV"/>
        </w:rPr>
        <w:t xml:space="preserve"> </w:t>
      </w:r>
      <w:r w:rsidR="003000F0" w:rsidRPr="003C6DDE">
        <w:rPr>
          <w:b/>
          <w:sz w:val="24"/>
          <w:szCs w:val="24"/>
          <w:lang w:val="lv-LV"/>
        </w:rPr>
        <w:t>(</w:t>
      </w:r>
      <w:r w:rsidR="00E73425" w:rsidRPr="003C6DDE">
        <w:rPr>
          <w:b/>
          <w:sz w:val="24"/>
          <w:szCs w:val="24"/>
          <w:lang w:val="lv-LV"/>
        </w:rPr>
        <w:t>anotācija</w:t>
      </w:r>
      <w:bookmarkEnd w:id="3"/>
      <w:bookmarkEnd w:id="4"/>
      <w:bookmarkEnd w:id="5"/>
      <w:r w:rsidR="00E009B0" w:rsidRPr="003C6DDE">
        <w:rPr>
          <w:b/>
          <w:sz w:val="24"/>
          <w:szCs w:val="24"/>
          <w:lang w:val="lv-LV"/>
        </w:rPr>
        <w:t>)</w:t>
      </w:r>
    </w:p>
    <w:p w:rsidR="00C97F6E" w:rsidRPr="003C6DDE" w:rsidRDefault="00C97F6E" w:rsidP="00F22471">
      <w:pPr>
        <w:jc w:val="both"/>
        <w:rPr>
          <w:rFonts w:eastAsia="Times New Roman"/>
          <w:sz w:val="24"/>
          <w:szCs w:val="24"/>
          <w:lang w:val="lv-LV" w:eastAsia="lv-LV"/>
        </w:rPr>
      </w:pPr>
    </w:p>
    <w:p w:rsidR="00E13579" w:rsidRPr="003C6DDE" w:rsidRDefault="00E13579" w:rsidP="00F22471">
      <w:pPr>
        <w:jc w:val="both"/>
        <w:rPr>
          <w:rFonts w:eastAsia="Times New Roman"/>
          <w:sz w:val="24"/>
          <w:szCs w:val="24"/>
          <w:lang w:val="lv-LV" w:eastAsia="lv-LV"/>
        </w:rPr>
        <w:sectPr w:rsidR="00E13579" w:rsidRPr="003C6DDE"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3C6DDE"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3C6DDE" w:rsidRDefault="00D11308" w:rsidP="000A15AB">
            <w:pPr>
              <w:ind w:firstLine="720"/>
              <w:jc w:val="both"/>
              <w:rPr>
                <w:rFonts w:eastAsia="Times New Roman"/>
                <w:b/>
                <w:sz w:val="24"/>
                <w:szCs w:val="24"/>
                <w:lang w:val="lv-LV" w:eastAsia="lv-LV"/>
              </w:rPr>
            </w:pPr>
            <w:r w:rsidRPr="003C6DDE">
              <w:rPr>
                <w:rFonts w:eastAsia="Times New Roman"/>
                <w:b/>
                <w:sz w:val="24"/>
                <w:szCs w:val="24"/>
                <w:lang w:val="lv-LV" w:eastAsia="lv-LV"/>
              </w:rPr>
              <w:lastRenderedPageBreak/>
              <w:t>I.Tiesību akta projekta izstrādes nepieciešamība</w:t>
            </w:r>
          </w:p>
        </w:tc>
      </w:tr>
      <w:tr w:rsidR="00404B1E" w:rsidRPr="003C6DDE"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3C6DDE" w:rsidRDefault="00404B1E" w:rsidP="000A15AB">
            <w:pPr>
              <w:jc w:val="both"/>
              <w:rPr>
                <w:rFonts w:eastAsia="Times New Roman"/>
                <w:sz w:val="24"/>
                <w:szCs w:val="24"/>
                <w:lang w:val="lv-LV" w:eastAsia="lv-LV"/>
              </w:rPr>
            </w:pPr>
            <w:r w:rsidRPr="003C6DDE">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3C6DDE" w:rsidRDefault="00404B1E" w:rsidP="000A15AB">
            <w:pPr>
              <w:jc w:val="both"/>
              <w:rPr>
                <w:rFonts w:eastAsia="Times New Roman"/>
                <w:sz w:val="24"/>
                <w:szCs w:val="24"/>
                <w:lang w:val="lv-LV" w:eastAsia="lv-LV"/>
              </w:rPr>
            </w:pPr>
            <w:r w:rsidRPr="003C6DDE">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3C6DDE" w:rsidRDefault="00404B1E" w:rsidP="003B3AF4">
            <w:pPr>
              <w:pStyle w:val="naislab"/>
              <w:spacing w:before="0" w:after="0"/>
              <w:jc w:val="both"/>
            </w:pPr>
            <w:r w:rsidRPr="003C6DDE">
              <w:t>Noteikumu projekts sagatavots</w:t>
            </w:r>
            <w:r w:rsidR="0010582B" w:rsidRPr="003C6DDE">
              <w:t>,</w:t>
            </w:r>
            <w:r w:rsidRPr="003C6DDE">
              <w:t xml:space="preserve"> pamatojoties uz Ministru kabineta iekārtas likuma 31.panta pirmās daļas 3.punktu.</w:t>
            </w:r>
          </w:p>
        </w:tc>
      </w:tr>
      <w:tr w:rsidR="00404B1E" w:rsidRPr="003C6DDE"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3C6DDE" w:rsidRDefault="00404B1E" w:rsidP="000A15AB">
            <w:pPr>
              <w:jc w:val="both"/>
              <w:rPr>
                <w:rFonts w:eastAsia="Times New Roman"/>
                <w:sz w:val="24"/>
                <w:szCs w:val="24"/>
                <w:lang w:val="lv-LV" w:eastAsia="lv-LV"/>
              </w:rPr>
            </w:pPr>
            <w:r w:rsidRPr="003C6DDE">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3C6DDE" w:rsidRDefault="00404B1E" w:rsidP="000A15AB">
            <w:pPr>
              <w:jc w:val="both"/>
              <w:rPr>
                <w:rFonts w:eastAsia="Times New Roman"/>
                <w:sz w:val="24"/>
                <w:szCs w:val="24"/>
                <w:lang w:val="lv-LV" w:eastAsia="lv-LV"/>
              </w:rPr>
            </w:pPr>
            <w:r w:rsidRPr="003C6DDE">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945944" w:rsidRPr="003C6DDE" w:rsidRDefault="00945944" w:rsidP="00832C33">
            <w:pPr>
              <w:pStyle w:val="Default"/>
              <w:jc w:val="both"/>
            </w:pPr>
            <w:r w:rsidRPr="003C6DDE">
              <w:t>Ministru kabineta 2009.gada 17.februāra noteikumi</w:t>
            </w:r>
            <w:r w:rsidR="00F65581" w:rsidRPr="003C6DDE">
              <w:t xml:space="preserve"> Nr.164 „</w:t>
            </w:r>
            <w:r w:rsidRPr="003C6DDE">
              <w:t>Noteikumi par aizdevumiem saimnieciskās darbības uzsācējiem un komersantiem konkurētspējas uzlabošanai”” (turpmāk – MK noteikumi Nr.164) ietver valsts atbalsta programmas (turpmāk – VAP) nosacījumus aizdevumiem saimnieciskās darbības uzsācējiem</w:t>
            </w:r>
            <w:r w:rsidR="00F65581" w:rsidRPr="003C6DDE">
              <w:t xml:space="preserve"> (t.i.</w:t>
            </w:r>
            <w:r w:rsidR="00AC6932" w:rsidRPr="003C6DDE">
              <w:t xml:space="preserve"> </w:t>
            </w:r>
            <w:r w:rsidR="00F65581" w:rsidRPr="003C6DDE">
              <w:t xml:space="preserve">starta aizdevumi) </w:t>
            </w:r>
            <w:r w:rsidRPr="003C6DDE">
              <w:t xml:space="preserve"> un komersantiem konkurētspējas uzlabošanai, t.sk. </w:t>
            </w:r>
            <w:proofErr w:type="spellStart"/>
            <w:r w:rsidRPr="003C6DDE">
              <w:t>mikroaizdevumiem</w:t>
            </w:r>
            <w:proofErr w:type="spellEnd"/>
            <w:r w:rsidRPr="003C6DDE">
              <w:t>.</w:t>
            </w:r>
          </w:p>
          <w:p w:rsidR="00F65581" w:rsidRPr="003C6DDE" w:rsidRDefault="00F65581" w:rsidP="00832C33">
            <w:pPr>
              <w:pStyle w:val="Default"/>
              <w:jc w:val="both"/>
            </w:pPr>
            <w:r w:rsidRPr="003C6DDE">
              <w:t xml:space="preserve">VAP ietvaros aizdevumus sniedz akciju sabiedrība “Attīstības finanšu institūcija  </w:t>
            </w:r>
            <w:proofErr w:type="spellStart"/>
            <w:r w:rsidRPr="003C6DDE">
              <w:t>Altum</w:t>
            </w:r>
            <w:proofErr w:type="spellEnd"/>
            <w:r w:rsidRPr="003C6DDE">
              <w:t xml:space="preserve">” (turpmāk – sabiedrība </w:t>
            </w:r>
            <w:proofErr w:type="spellStart"/>
            <w:r w:rsidRPr="003C6DDE">
              <w:t>Altum</w:t>
            </w:r>
            <w:proofErr w:type="spellEnd"/>
            <w:r w:rsidRPr="003C6DDE">
              <w:t>).</w:t>
            </w:r>
          </w:p>
          <w:p w:rsidR="00945944" w:rsidRPr="003C6DDE" w:rsidRDefault="00F65581" w:rsidP="00832C33">
            <w:pPr>
              <w:pStyle w:val="Default"/>
              <w:jc w:val="both"/>
            </w:pPr>
            <w:r w:rsidRPr="003C6DDE">
              <w:t xml:space="preserve">2007.-2013.gada ES fondu plānošanas perioda </w:t>
            </w:r>
            <w:r w:rsidR="00945944" w:rsidRPr="003C6DDE">
              <w:t xml:space="preserve">finansējums šai VAP ir ietverts darbības programmas “Uzņēmējdarbība un inovācijas” papildinājuma 2.2.1.4.1.apakšaktivitātes "Atbalsts aizdevumu veidā komersantu konkurētspējas uzlabošanai" </w:t>
            </w:r>
            <w:r w:rsidRPr="003C6DDE">
              <w:t xml:space="preserve">(turpmāk – 2.2.1.4.1.aktivitāte) </w:t>
            </w:r>
            <w:r w:rsidR="00945944" w:rsidRPr="003C6DDE">
              <w:t xml:space="preserve">pirmās un otrās projektu </w:t>
            </w:r>
            <w:r w:rsidRPr="003C6DDE">
              <w:t xml:space="preserve">iesniegumu </w:t>
            </w:r>
            <w:r w:rsidR="00945944" w:rsidRPr="003C6DDE">
              <w:t xml:space="preserve">atlases kārtas projektos. Pirmās kārtas ietvaros tika sniegti investīciju un apgrozāmo līdzekļu aizdevumi, savukārt otrās projektu iesniegumu atlases kārtas ietvaros papildus investīciju un apgrozāmo līdzekļu aizdevumiem, arī aizdevumi saimnieciskās darbības uzsākšanai un </w:t>
            </w:r>
            <w:proofErr w:type="spellStart"/>
            <w:r w:rsidR="00945944" w:rsidRPr="003C6DDE">
              <w:t>mikroaizdevumi</w:t>
            </w:r>
            <w:proofErr w:type="spellEnd"/>
            <w:r w:rsidR="00945944" w:rsidRPr="003C6DDE">
              <w:t>.</w:t>
            </w:r>
            <w:r w:rsidRPr="003C6DDE">
              <w:t xml:space="preserve"> Ir paredzēts, ka saskaņā ar 2.2.1.4.1.aktivitātes īstenošanas noteikumiem</w:t>
            </w:r>
            <w:r w:rsidRPr="003C6DDE">
              <w:rPr>
                <w:rStyle w:val="FootnoteReference"/>
              </w:rPr>
              <w:footnoteReference w:id="1"/>
            </w:r>
            <w:r w:rsidR="00FE7CF6">
              <w:t xml:space="preserve"> (kuru grozījumi ir </w:t>
            </w:r>
            <w:r w:rsidRPr="003C6DDE">
              <w:t>apstiprināt</w:t>
            </w:r>
            <w:r w:rsidR="00FE7CF6">
              <w:t>i</w:t>
            </w:r>
            <w:r w:rsidRPr="003C6DDE">
              <w:t xml:space="preserve"> 2015.gada 3.novembra Ministru kabineta sēdē), aizdevumu līgumu slēgšana notiks līdz 2015.gada beigām, savukārt maksājumu  veik</w:t>
            </w:r>
            <w:r w:rsidR="00295F86">
              <w:t>šana līdz 2016.gada 30.jūnijam.</w:t>
            </w:r>
            <w:r w:rsidR="00933C61">
              <w:t xml:space="preserve"> Papildus jāmin, ka pastāv iespējamība, ka finansējums varētu tikt izsmelts ātrāk par 2015.gada 31.decembri.</w:t>
            </w:r>
          </w:p>
          <w:p w:rsidR="00F65581" w:rsidRPr="003C6DDE" w:rsidRDefault="00F65581" w:rsidP="00F65581">
            <w:pPr>
              <w:pStyle w:val="Default"/>
              <w:jc w:val="both"/>
            </w:pPr>
            <w:r w:rsidRPr="003C6DDE">
              <w:t xml:space="preserve">2014.-2020.gada ES fondu plānošanas perioda finansējuma novirzīšana starta aizdevumiem un </w:t>
            </w:r>
            <w:proofErr w:type="spellStart"/>
            <w:r w:rsidRPr="003C6DDE">
              <w:t>mikrokreditēšanai</w:t>
            </w:r>
            <w:proofErr w:type="spellEnd"/>
            <w:r w:rsidRPr="003C6DDE">
              <w:t xml:space="preserve"> tiešā finanšu instrumentu veidā ir plānota ar 2016.gada 1.ceturksni. Ņemot vērā, ka pirms jaunās programmas uzsākšanas, ir nepieciešams apstiprināt Ministru kabinetā noteikumu projektu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īstenošanas noteikumi”, kā arī pēc tam Centrāla</w:t>
            </w:r>
            <w:r w:rsidR="003F10C2" w:rsidRPr="003C6DDE">
              <w:t>ja</w:t>
            </w:r>
            <w:r w:rsidRPr="003C6DDE">
              <w:t>i finanšu un līgumu aģentūrai (turpmāk – CFLA)</w:t>
            </w:r>
            <w:r w:rsidR="003F10C2" w:rsidRPr="003C6DDE">
              <w:t xml:space="preserve"> nepieciešams</w:t>
            </w:r>
            <w:r w:rsidRPr="003C6DDE">
              <w:t xml:space="preserve"> izvērtēt sabiedrības </w:t>
            </w:r>
            <w:proofErr w:type="spellStart"/>
            <w:r w:rsidRPr="003C6DDE">
              <w:t>Altum</w:t>
            </w:r>
            <w:proofErr w:type="spellEnd"/>
            <w:r w:rsidRPr="003C6DDE">
              <w:t xml:space="preserve"> biznesa plānu un noslēgt līgumu starp CFLA un sabiedrību </w:t>
            </w:r>
            <w:proofErr w:type="spellStart"/>
            <w:r w:rsidRPr="003C6DDE">
              <w:t>Altum</w:t>
            </w:r>
            <w:proofErr w:type="spellEnd"/>
            <w:r w:rsidRPr="003C6DDE">
              <w:t xml:space="preserve">, var rasties pārrāvums </w:t>
            </w:r>
            <w:proofErr w:type="spellStart"/>
            <w:r w:rsidRPr="003C6DDE">
              <w:t>mikrokreditēšan</w:t>
            </w:r>
            <w:r w:rsidR="00FE7CF6">
              <w:t>a</w:t>
            </w:r>
            <w:r w:rsidRPr="003C6DDE">
              <w:t>i</w:t>
            </w:r>
            <w:proofErr w:type="spellEnd"/>
            <w:r w:rsidRPr="003C6DDE">
              <w:t xml:space="preserve"> un starta aizdevumiem.</w:t>
            </w:r>
          </w:p>
          <w:p w:rsidR="00F07806" w:rsidRPr="003C6DDE" w:rsidRDefault="00F07806" w:rsidP="00F65581">
            <w:pPr>
              <w:pStyle w:val="Default"/>
              <w:jc w:val="both"/>
            </w:pPr>
            <w:r w:rsidRPr="003C6DDE">
              <w:t xml:space="preserve">Jaunā starta un </w:t>
            </w:r>
            <w:proofErr w:type="spellStart"/>
            <w:r w:rsidRPr="003C6DDE">
              <w:t>mi</w:t>
            </w:r>
            <w:r w:rsidR="00933C61">
              <w:t>kro</w:t>
            </w:r>
            <w:r w:rsidRPr="003C6DDE">
              <w:t>kreditēšanas</w:t>
            </w:r>
            <w:proofErr w:type="spellEnd"/>
            <w:r w:rsidRPr="003C6DDE">
              <w:t xml:space="preserve"> tiešā finanšu instrumentu </w:t>
            </w:r>
            <w:r w:rsidR="005A4243" w:rsidRPr="003C6DDE">
              <w:t xml:space="preserve">valsts atbalsta </w:t>
            </w:r>
            <w:r w:rsidRPr="003C6DDE">
              <w:t>programma</w:t>
            </w:r>
            <w:r w:rsidR="005A4243" w:rsidRPr="003C6DDE">
              <w:t xml:space="preserve"> “Noteikumi par </w:t>
            </w:r>
            <w:proofErr w:type="spellStart"/>
            <w:r w:rsidR="005A4243" w:rsidRPr="003C6DDE">
              <w:t>mikroaizdevumiem</w:t>
            </w:r>
            <w:proofErr w:type="spellEnd"/>
            <w:r w:rsidR="005A4243" w:rsidRPr="003C6DDE">
              <w:t xml:space="preserve"> un starta </w:t>
            </w:r>
            <w:r w:rsidR="005A4243" w:rsidRPr="003C6DDE">
              <w:lastRenderedPageBreak/>
              <w:t xml:space="preserve">aizdevumiem” </w:t>
            </w:r>
            <w:r w:rsidRPr="003C6DDE">
              <w:t xml:space="preserve"> ir izsludināta Valsts sekretāru sanāksmē 2015.gada 22.oktobr</w:t>
            </w:r>
            <w:r w:rsidR="001E535E" w:rsidRPr="003C6DDE">
              <w:t>ī (VSS</w:t>
            </w:r>
            <w:r w:rsidRPr="003C6DDE">
              <w:t>-1074).</w:t>
            </w:r>
          </w:p>
          <w:p w:rsidR="00F65581" w:rsidRPr="003C6DDE" w:rsidRDefault="003F10C2" w:rsidP="003F10C2">
            <w:pPr>
              <w:pStyle w:val="Default"/>
              <w:jc w:val="both"/>
              <w:rPr>
                <w:u w:val="single"/>
              </w:rPr>
            </w:pPr>
            <w:r w:rsidRPr="003C6DDE">
              <w:t xml:space="preserve">Papildus jāmin, ka Ekonomikas ministrijas (turpmāk – EM) izstrādātajā tirgus nepilnību izvērtējumā finanšu pieejamības jomā  (apstiprināts 2015.gada 30.aprīļa 2014.–2020.gada plānošanas perioda Eiropas Savienības struktūrfondu un Kohēzijas fonda Uzraudzības komitejas sēdē; protokola </w:t>
            </w:r>
            <w:proofErr w:type="spellStart"/>
            <w:r w:rsidRPr="003C6DDE">
              <w:t>Nr.P-2015</w:t>
            </w:r>
            <w:proofErr w:type="spellEnd"/>
            <w:r w:rsidRPr="003C6DDE">
              <w:t xml:space="preserve">/UK/1 6.punkts) ir norādīts, </w:t>
            </w:r>
            <w:r w:rsidRPr="003C6DDE">
              <w:rPr>
                <w:u w:val="single"/>
              </w:rPr>
              <w:t xml:space="preserve">ka Latvijā joprojām ir tirgus nepilnība </w:t>
            </w:r>
            <w:proofErr w:type="spellStart"/>
            <w:r w:rsidRPr="003C6DDE">
              <w:rPr>
                <w:u w:val="single"/>
              </w:rPr>
              <w:t>mikrokreditēšanās</w:t>
            </w:r>
            <w:proofErr w:type="spellEnd"/>
            <w:r w:rsidRPr="003C6DDE">
              <w:rPr>
                <w:u w:val="single"/>
              </w:rPr>
              <w:t xml:space="preserve"> un  starta aizdevumu jomā. </w:t>
            </w:r>
            <w:r w:rsidRPr="003C6DDE">
              <w:t>Komercbankas atsakās kreditēt saimnieciskās darbības uzsācējus, jo tie ir augsta darījuma riska aizdevumi</w:t>
            </w:r>
            <w:r w:rsidR="00604CDB" w:rsidRPr="003C6DDE">
              <w:t>,</w:t>
            </w:r>
            <w:r w:rsidRPr="003C6DDE">
              <w:t xml:space="preserve"> galvenokārt nepietiekamas </w:t>
            </w:r>
            <w:proofErr w:type="spellStart"/>
            <w:r w:rsidRPr="003C6DDE">
              <w:t>kredītvēstures</w:t>
            </w:r>
            <w:proofErr w:type="spellEnd"/>
            <w:r w:rsidRPr="003C6DDE">
              <w:t xml:space="preserve"> dēļ, kā arī tiem ir augstas administratīvās izmaksas</w:t>
            </w:r>
            <w:r w:rsidR="00604CDB" w:rsidRPr="003C6DDE">
              <w:t xml:space="preserve"> </w:t>
            </w:r>
            <w:r w:rsidRPr="003C6DDE">
              <w:t xml:space="preserve"> </w:t>
            </w:r>
            <w:r w:rsidR="00604CDB" w:rsidRPr="003C6DDE">
              <w:t xml:space="preserve">attiecībā </w:t>
            </w:r>
            <w:r w:rsidRPr="003C6DDE">
              <w:t>pret viena aizdevuma apmēru.</w:t>
            </w:r>
          </w:p>
          <w:p w:rsidR="00403B20" w:rsidRPr="003C6DDE" w:rsidRDefault="003F10C2" w:rsidP="003F10C2">
            <w:pPr>
              <w:pStyle w:val="Default"/>
              <w:jc w:val="both"/>
              <w:rPr>
                <w:rFonts w:eastAsia="Times New Roman"/>
                <w:lang w:eastAsia="lv-LV"/>
              </w:rPr>
            </w:pPr>
            <w:r w:rsidRPr="003C6DDE">
              <w:t xml:space="preserve">Saskaņā ar Ministru kabineta 2013.gada 5.marta sēdes </w:t>
            </w:r>
            <w:proofErr w:type="spellStart"/>
            <w:r w:rsidRPr="003C6DDE">
              <w:t>protokollēmuma</w:t>
            </w:r>
            <w:proofErr w:type="spellEnd"/>
            <w:r w:rsidRPr="003C6DDE">
              <w:t xml:space="preserve"> (prot.Nr.13, 38§)</w:t>
            </w:r>
            <w:r w:rsidR="005A4243" w:rsidRPr="003C6DDE">
              <w:rPr>
                <w:rStyle w:val="FootnoteReference"/>
              </w:rPr>
              <w:footnoteReference w:id="2"/>
            </w:r>
            <w:r w:rsidRPr="003C6DDE">
              <w:t xml:space="preserve"> 2.punktu tika apstiprināta</w:t>
            </w:r>
            <w:r w:rsidR="00403B20" w:rsidRPr="003C6DDE">
              <w:t xml:space="preserve"> Latvijas nacionālā pozīcija</w:t>
            </w:r>
            <w:r w:rsidRPr="003C6DDE">
              <w:t xml:space="preserve"> </w:t>
            </w:r>
            <w:r w:rsidRPr="003C6DDE">
              <w:rPr>
                <w:rFonts w:eastAsia="Times New Roman"/>
                <w:lang w:eastAsia="lv-LV"/>
              </w:rPr>
              <w:t xml:space="preserve">par Eiropas Komisijas Reģionālās politikas ģenerāldirektorāta 2011.gada oktobrī veiktās revīzijas rezultātā aprēķināto finanšu korekciju par Eiropas Reģionālās attīstības fonda līdzfinansēto finanšu vadības instrumentu aktivitāšu īstenošanu Latvijā un Eiropas Komisijas Nodarbinātības, sociālo lietu un </w:t>
            </w:r>
            <w:proofErr w:type="spellStart"/>
            <w:r w:rsidRPr="003C6DDE">
              <w:rPr>
                <w:rFonts w:eastAsia="Times New Roman"/>
                <w:lang w:eastAsia="lv-LV"/>
              </w:rPr>
              <w:t>iekļautības</w:t>
            </w:r>
            <w:proofErr w:type="spellEnd"/>
            <w:r w:rsidRPr="003C6DDE">
              <w:rPr>
                <w:rFonts w:eastAsia="Times New Roman"/>
                <w:lang w:eastAsia="lv-LV"/>
              </w:rPr>
              <w:t xml:space="preserve"> ģenerāldirektorāta 2011.gada decembrī veiktās revīzijas rezultātā aprēķināto finanšu korekciju par Eiropas Sociālā fonda līdzfinansētās finanšu vadības instrumentu aktivitātes īstenošanā Latvijā</w:t>
            </w:r>
            <w:r w:rsidR="00403B20" w:rsidRPr="003C6DDE">
              <w:rPr>
                <w:rFonts w:eastAsia="Times New Roman"/>
                <w:lang w:eastAsia="lv-LV"/>
              </w:rPr>
              <w:t xml:space="preserve"> (turpmāk – pozīcija)</w:t>
            </w:r>
            <w:r w:rsidRPr="003C6DDE">
              <w:rPr>
                <w:rFonts w:eastAsia="Times New Roman"/>
                <w:lang w:eastAsia="lv-LV"/>
              </w:rPr>
              <w:t>.</w:t>
            </w:r>
          </w:p>
          <w:p w:rsidR="000E4364" w:rsidRDefault="003F10C2" w:rsidP="00382D4C">
            <w:pPr>
              <w:pStyle w:val="Default"/>
              <w:jc w:val="both"/>
            </w:pPr>
            <w:r w:rsidRPr="003C6DDE">
              <w:rPr>
                <w:rFonts w:eastAsia="Times New Roman"/>
                <w:lang w:eastAsia="lv-LV"/>
              </w:rPr>
              <w:t xml:space="preserve"> </w:t>
            </w:r>
            <w:r w:rsidR="00403B20" w:rsidRPr="003C6DDE">
              <w:rPr>
                <w:rFonts w:eastAsia="Times New Roman"/>
                <w:lang w:eastAsia="lv-LV"/>
              </w:rPr>
              <w:t xml:space="preserve">Ņemot vērā apstiprināto pozīciju un to, ka sabiedrības </w:t>
            </w:r>
            <w:proofErr w:type="spellStart"/>
            <w:r w:rsidR="00403B20" w:rsidRPr="003C6DDE">
              <w:rPr>
                <w:rFonts w:eastAsia="Times New Roman"/>
                <w:lang w:eastAsia="lv-LV"/>
              </w:rPr>
              <w:t>Altum</w:t>
            </w:r>
            <w:proofErr w:type="spellEnd"/>
            <w:r w:rsidR="00403B20" w:rsidRPr="003C6DDE">
              <w:rPr>
                <w:rStyle w:val="FootnoteReference"/>
                <w:rFonts w:eastAsia="Times New Roman"/>
                <w:lang w:eastAsia="lv-LV"/>
              </w:rPr>
              <w:footnoteReference w:id="3"/>
            </w:r>
            <w:r w:rsidR="00403B20" w:rsidRPr="003C6DDE">
              <w:rPr>
                <w:rFonts w:eastAsia="Times New Roman"/>
                <w:lang w:eastAsia="lv-LV"/>
              </w:rPr>
              <w:t xml:space="preserve"> darbībā netika konstatēti pārkāpumi ne ieviešot </w:t>
            </w:r>
            <w:r w:rsidR="00403B20" w:rsidRPr="003C6DDE">
              <w:t xml:space="preserve">darbības programmas “Cilvēkresursi un nodarbinātība” papildinājuma 1.3.1.2.aktivitātes “Atbalsts </w:t>
            </w:r>
            <w:proofErr w:type="spellStart"/>
            <w:r w:rsidR="00403B20" w:rsidRPr="003C6DDE">
              <w:t>pašnodarbinātības</w:t>
            </w:r>
            <w:proofErr w:type="spellEnd"/>
            <w:r w:rsidR="00403B20" w:rsidRPr="003C6DDE">
              <w:t xml:space="preserve"> un uzņēmējdarbības uzsākšanai” projektu,  ne darbības programmas "Uzņēmējdarbība un inovācijas" papildinājuma 2.2.1.4.1.apakšaktivitātes  “Atbalsts aizdevumu veidā komersantu konkurētspējas uzlabošanai”  projektu</w:t>
            </w:r>
            <w:r w:rsidR="000E4364">
              <w:t>:</w:t>
            </w:r>
          </w:p>
          <w:p w:rsidR="000E4364" w:rsidRPr="0035630D" w:rsidRDefault="00403B20" w:rsidP="0035630D">
            <w:pPr>
              <w:pStyle w:val="Default"/>
              <w:numPr>
                <w:ilvl w:val="0"/>
                <w:numId w:val="24"/>
              </w:numPr>
              <w:jc w:val="both"/>
              <w:rPr>
                <w:rFonts w:eastAsia="Times New Roman"/>
                <w:i/>
                <w:lang w:eastAsia="lv-LV"/>
              </w:rPr>
            </w:pPr>
            <w:r w:rsidRPr="003C6DDE">
              <w:t xml:space="preserve"> </w:t>
            </w:r>
            <w:r w:rsidR="003F10C2" w:rsidRPr="003C6DDE">
              <w:t xml:space="preserve">Ministru kabineta </w:t>
            </w:r>
            <w:r w:rsidR="00382D4C" w:rsidRPr="003C6DDE">
              <w:t>2013.gada 28.maija sēdē (prot.Nr.32, 47§)</w:t>
            </w:r>
            <w:r w:rsidR="005A4243" w:rsidRPr="003C6DDE">
              <w:rPr>
                <w:rStyle w:val="FootnoteReference"/>
              </w:rPr>
              <w:footnoteReference w:id="4"/>
            </w:r>
            <w:r w:rsidR="00382D4C" w:rsidRPr="003C6DDE">
              <w:t xml:space="preserve"> </w:t>
            </w:r>
            <w:r w:rsidR="00382D4C" w:rsidRPr="003C6DDE">
              <w:rPr>
                <w:rFonts w:eastAsia="Times New Roman"/>
                <w:lang w:eastAsia="lv-LV"/>
              </w:rPr>
              <w:t xml:space="preserve">tika pieņemts lēmums (5.punkts) uzskatīt par atgūtiem projekta ietvaros konstatētos neatbilstošos izdevumus 2 752 204,46 </w:t>
            </w:r>
            <w:proofErr w:type="spellStart"/>
            <w:r w:rsidR="00382D4C" w:rsidRPr="003C6DDE">
              <w:rPr>
                <w:rFonts w:eastAsia="Times New Roman"/>
                <w:i/>
                <w:lang w:eastAsia="lv-LV"/>
              </w:rPr>
              <w:t>euro</w:t>
            </w:r>
            <w:proofErr w:type="spellEnd"/>
            <w:r w:rsidR="00382D4C" w:rsidRPr="003C6DDE">
              <w:rPr>
                <w:rFonts w:eastAsia="Times New Roman"/>
                <w:lang w:eastAsia="lv-LV"/>
              </w:rPr>
              <w:t xml:space="preserve"> apmērā un  </w:t>
            </w:r>
            <w:r w:rsidR="000E4364">
              <w:rPr>
                <w:rFonts w:eastAsia="Times New Roman"/>
                <w:lang w:eastAsia="lv-LV"/>
              </w:rPr>
              <w:t xml:space="preserve">tika uzdots </w:t>
            </w:r>
            <w:r w:rsidR="00382D4C" w:rsidRPr="003C6DDE">
              <w:rPr>
                <w:rFonts w:eastAsia="Times New Roman"/>
                <w:lang w:eastAsia="lv-LV"/>
              </w:rPr>
              <w:t xml:space="preserve">EM nodrošināt, ka sabiedrība </w:t>
            </w:r>
            <w:proofErr w:type="spellStart"/>
            <w:r w:rsidR="00382D4C" w:rsidRPr="003C6DDE">
              <w:rPr>
                <w:rFonts w:eastAsia="Times New Roman"/>
                <w:lang w:eastAsia="lv-LV"/>
              </w:rPr>
              <w:t>Altum</w:t>
            </w:r>
            <w:proofErr w:type="spellEnd"/>
            <w:r w:rsidR="00382D4C" w:rsidRPr="003C6DDE">
              <w:rPr>
                <w:rFonts w:eastAsia="Times New Roman"/>
                <w:lang w:eastAsia="lv-LV"/>
              </w:rPr>
              <w:t xml:space="preserve"> par šo apjomu izsniedz aizdevumus tās pašas valsts atbalsta programmas ietvaros (t.i. VAP ietvaros)</w:t>
            </w:r>
            <w:r w:rsidR="000E4364">
              <w:rPr>
                <w:rFonts w:eastAsia="Times New Roman"/>
                <w:lang w:eastAsia="lv-LV"/>
              </w:rPr>
              <w:t xml:space="preserve">. </w:t>
            </w:r>
            <w:r w:rsidR="000E4364" w:rsidRPr="003C6DDE">
              <w:rPr>
                <w:rFonts w:eastAsia="Times New Roman"/>
                <w:lang w:eastAsia="lv-LV"/>
              </w:rPr>
              <w:t xml:space="preserve">Ar </w:t>
            </w:r>
            <w:r w:rsidR="000E4364" w:rsidRPr="003C6DDE">
              <w:t>2013.gada 20.augusta sēdes protokola (prot.Nr.45, 97§)</w:t>
            </w:r>
            <w:r w:rsidR="000E4364" w:rsidRPr="003C6DDE">
              <w:rPr>
                <w:rFonts w:eastAsia="Times New Roman"/>
                <w:lang w:eastAsia="lv-LV"/>
              </w:rPr>
              <w:t xml:space="preserve"> 3.punktu, VAP ietvaros apgūstamais finansējums tika koriģēts uz 2 678 608,29 </w:t>
            </w:r>
            <w:proofErr w:type="spellStart"/>
            <w:r w:rsidR="000E4364">
              <w:rPr>
                <w:rFonts w:eastAsia="Times New Roman"/>
                <w:i/>
                <w:lang w:eastAsia="lv-LV"/>
              </w:rPr>
              <w:t>euro</w:t>
            </w:r>
            <w:proofErr w:type="spellEnd"/>
            <w:r w:rsidR="000E4364">
              <w:rPr>
                <w:rFonts w:eastAsia="Times New Roman"/>
                <w:i/>
                <w:lang w:eastAsia="lv-LV"/>
              </w:rPr>
              <w:t>;</w:t>
            </w:r>
          </w:p>
          <w:p w:rsidR="00382D4C" w:rsidRPr="00861A98" w:rsidRDefault="00382D4C" w:rsidP="0035630D">
            <w:pPr>
              <w:pStyle w:val="Default"/>
              <w:numPr>
                <w:ilvl w:val="0"/>
                <w:numId w:val="24"/>
              </w:numPr>
              <w:jc w:val="both"/>
              <w:rPr>
                <w:rFonts w:eastAsia="Times New Roman"/>
                <w:lang w:eastAsia="lv-LV"/>
              </w:rPr>
            </w:pPr>
            <w:r w:rsidRPr="000E4364">
              <w:rPr>
                <w:rFonts w:eastAsia="Times New Roman"/>
                <w:lang w:eastAsia="lv-LV"/>
              </w:rPr>
              <w:t xml:space="preserve"> </w:t>
            </w:r>
            <w:r w:rsidR="000E4364" w:rsidRPr="000E4364">
              <w:rPr>
                <w:rFonts w:eastAsia="Times New Roman"/>
                <w:lang w:eastAsia="lv-LV"/>
              </w:rPr>
              <w:t xml:space="preserve">Ministru kabineta </w:t>
            </w:r>
            <w:r w:rsidR="003F10C2" w:rsidRPr="003C6DDE">
              <w:t>2013.gada 20.augusta sēd</w:t>
            </w:r>
            <w:r w:rsidR="00403B20" w:rsidRPr="003C6DDE">
              <w:t>ē</w:t>
            </w:r>
            <w:r w:rsidR="003F10C2" w:rsidRPr="003C6DDE">
              <w:t xml:space="preserve"> </w:t>
            </w:r>
            <w:r w:rsidR="00403B20" w:rsidRPr="003C6DDE">
              <w:t>(</w:t>
            </w:r>
            <w:r w:rsidR="003F10C2" w:rsidRPr="003C6DDE">
              <w:t>prot.Nr.45, 97§)</w:t>
            </w:r>
            <w:r w:rsidR="005A4243" w:rsidRPr="003C6DDE">
              <w:rPr>
                <w:rStyle w:val="FootnoteReference"/>
              </w:rPr>
              <w:footnoteReference w:id="5"/>
            </w:r>
            <w:r w:rsidR="003F10C2" w:rsidRPr="003C6DDE">
              <w:t xml:space="preserve"> </w:t>
            </w:r>
            <w:r w:rsidR="00403B20" w:rsidRPr="003C6DDE">
              <w:t xml:space="preserve">tika pieņemts lēmums </w:t>
            </w:r>
            <w:r w:rsidR="000578CC" w:rsidRPr="003C6DDE">
              <w:t>(</w:t>
            </w:r>
            <w:r w:rsidRPr="003C6DDE">
              <w:t>4.punkts</w:t>
            </w:r>
            <w:r w:rsidR="000578CC" w:rsidRPr="003C6DDE">
              <w:t>)</w:t>
            </w:r>
            <w:r w:rsidR="000E4364">
              <w:t xml:space="preserve"> </w:t>
            </w:r>
            <w:r w:rsidR="000E4364" w:rsidRPr="000E4364">
              <w:rPr>
                <w:rFonts w:eastAsia="Times New Roman"/>
                <w:lang w:eastAsia="lv-LV"/>
              </w:rPr>
              <w:t>uzskatīt par atgūtiem projekta ietvaros konstatētos neatbilstošos izdevumus</w:t>
            </w:r>
            <w:r w:rsidR="000E4364" w:rsidRPr="00861A98">
              <w:rPr>
                <w:rFonts w:eastAsia="Times New Roman"/>
                <w:lang w:eastAsia="lv-LV"/>
              </w:rPr>
              <w:t xml:space="preserve"> 1 612 838 </w:t>
            </w:r>
            <w:proofErr w:type="spellStart"/>
            <w:r w:rsidR="000E4364" w:rsidRPr="00861A98">
              <w:rPr>
                <w:rFonts w:eastAsia="Times New Roman"/>
                <w:i/>
                <w:lang w:eastAsia="lv-LV"/>
              </w:rPr>
              <w:t>euro</w:t>
            </w:r>
            <w:proofErr w:type="spellEnd"/>
            <w:r w:rsidR="000E4364" w:rsidRPr="00861A98">
              <w:rPr>
                <w:rFonts w:eastAsia="Times New Roman"/>
                <w:lang w:eastAsia="lv-LV"/>
              </w:rPr>
              <w:t xml:space="preserve"> apmērā</w:t>
            </w:r>
            <w:r w:rsidR="000E4364">
              <w:t xml:space="preserve"> un tika</w:t>
            </w:r>
            <w:r w:rsidR="00403B20" w:rsidRPr="003C6DDE">
              <w:t xml:space="preserve"> uzdot</w:t>
            </w:r>
            <w:r w:rsidR="000E4364">
              <w:t>s</w:t>
            </w:r>
            <w:r w:rsidR="00403B20" w:rsidRPr="003C6DDE">
              <w:t xml:space="preserve"> EM </w:t>
            </w:r>
            <w:r w:rsidR="00403B20" w:rsidRPr="000E4364">
              <w:rPr>
                <w:rFonts w:eastAsia="Times New Roman"/>
                <w:lang w:eastAsia="lv-LV"/>
              </w:rPr>
              <w:t xml:space="preserve">nodrošināt, ka sabiedrība </w:t>
            </w:r>
            <w:proofErr w:type="spellStart"/>
            <w:r w:rsidR="00403B20" w:rsidRPr="000E4364">
              <w:rPr>
                <w:rFonts w:eastAsia="Times New Roman"/>
                <w:lang w:eastAsia="lv-LV"/>
              </w:rPr>
              <w:t>Altum</w:t>
            </w:r>
            <w:proofErr w:type="spellEnd"/>
            <w:r w:rsidR="00403B20" w:rsidRPr="000E4364">
              <w:rPr>
                <w:rFonts w:eastAsia="Times New Roman"/>
                <w:lang w:eastAsia="lv-LV"/>
              </w:rPr>
              <w:t xml:space="preserve"> sniedz</w:t>
            </w:r>
            <w:r w:rsidRPr="00861A98">
              <w:rPr>
                <w:rFonts w:eastAsia="Times New Roman"/>
                <w:lang w:eastAsia="lv-LV"/>
              </w:rPr>
              <w:t xml:space="preserve"> atbalstu </w:t>
            </w:r>
            <w:proofErr w:type="spellStart"/>
            <w:r w:rsidRPr="00861A98">
              <w:rPr>
                <w:rFonts w:eastAsia="Times New Roman"/>
                <w:lang w:eastAsia="lv-LV"/>
              </w:rPr>
              <w:t>pašnodarbinātības</w:t>
            </w:r>
            <w:proofErr w:type="spellEnd"/>
            <w:r w:rsidRPr="00861A98">
              <w:rPr>
                <w:rFonts w:eastAsia="Times New Roman"/>
                <w:lang w:eastAsia="lv-LV"/>
              </w:rPr>
              <w:t xml:space="preserve"> un uzņēmējdarbības uzsākšanai tās </w:t>
            </w:r>
            <w:r w:rsidRPr="00861A98">
              <w:rPr>
                <w:rFonts w:eastAsia="Times New Roman"/>
                <w:lang w:eastAsia="lv-LV"/>
              </w:rPr>
              <w:lastRenderedPageBreak/>
              <w:t>pašas valsts atbalsta programmas ietvaros (t.i. MK noteikumi Nr.293</w:t>
            </w:r>
            <w:r w:rsidRPr="003C6DDE">
              <w:rPr>
                <w:rStyle w:val="FootnoteReference"/>
                <w:rFonts w:eastAsia="Times New Roman"/>
                <w:lang w:eastAsia="lv-LV"/>
              </w:rPr>
              <w:footnoteReference w:id="6"/>
            </w:r>
            <w:r w:rsidRPr="000E4364">
              <w:rPr>
                <w:rFonts w:eastAsia="Times New Roman"/>
                <w:lang w:eastAsia="lv-LV"/>
              </w:rPr>
              <w:t>)</w:t>
            </w:r>
            <w:r w:rsidR="000E4364">
              <w:rPr>
                <w:rFonts w:eastAsia="Times New Roman"/>
                <w:lang w:eastAsia="lv-LV"/>
              </w:rPr>
              <w:t>.</w:t>
            </w:r>
            <w:r w:rsidRPr="000E4364">
              <w:rPr>
                <w:rFonts w:eastAsia="Times New Roman"/>
                <w:lang w:eastAsia="lv-LV"/>
              </w:rPr>
              <w:t xml:space="preserve"> Papildus jāmin, ka ar 2014.gada 16.decembri starta valsts atbalsta nos</w:t>
            </w:r>
            <w:r w:rsidR="000578CC" w:rsidRPr="00861A98">
              <w:rPr>
                <w:rFonts w:eastAsia="Times New Roman"/>
                <w:lang w:eastAsia="lv-LV"/>
              </w:rPr>
              <w:t>a</w:t>
            </w:r>
            <w:r w:rsidRPr="00861A98">
              <w:rPr>
                <w:rFonts w:eastAsia="Times New Roman"/>
                <w:lang w:eastAsia="lv-LV"/>
              </w:rPr>
              <w:t>cījumi ir ietvert</w:t>
            </w:r>
            <w:r w:rsidR="000578CC" w:rsidRPr="00861A98">
              <w:rPr>
                <w:rFonts w:eastAsia="Times New Roman"/>
                <w:lang w:eastAsia="lv-LV"/>
              </w:rPr>
              <w:t>i</w:t>
            </w:r>
            <w:r w:rsidRPr="00861A98">
              <w:rPr>
                <w:rFonts w:eastAsia="Times New Roman"/>
                <w:lang w:eastAsia="lv-LV"/>
              </w:rPr>
              <w:t xml:space="preserve"> šajos VAP noteikumos.</w:t>
            </w:r>
          </w:p>
          <w:p w:rsidR="00382D4C" w:rsidRPr="00245E5B" w:rsidRDefault="00382D4C" w:rsidP="00382D4C">
            <w:pPr>
              <w:pStyle w:val="Default"/>
              <w:jc w:val="both"/>
              <w:rPr>
                <w:u w:val="single"/>
              </w:rPr>
            </w:pPr>
            <w:r w:rsidRPr="003C6DDE">
              <w:rPr>
                <w:u w:val="single"/>
              </w:rPr>
              <w:t>Lai nebūtu pārrāvuma starp 20</w:t>
            </w:r>
            <w:r w:rsidR="00E31934">
              <w:rPr>
                <w:u w:val="single"/>
              </w:rPr>
              <w:t>07</w:t>
            </w:r>
            <w:r w:rsidRPr="003C6DDE">
              <w:rPr>
                <w:u w:val="single"/>
              </w:rPr>
              <w:t>.-201</w:t>
            </w:r>
            <w:r w:rsidR="00E31934">
              <w:rPr>
                <w:u w:val="single"/>
              </w:rPr>
              <w:t>3</w:t>
            </w:r>
            <w:r w:rsidRPr="003C6DDE">
              <w:rPr>
                <w:u w:val="single"/>
              </w:rPr>
              <w:t xml:space="preserve">.gada ES fondu plānošanas perioda un 2014.-2020.gada ES fondu plānošanas perioda atbalsta </w:t>
            </w:r>
            <w:r w:rsidR="00245E5B">
              <w:rPr>
                <w:u w:val="single"/>
              </w:rPr>
              <w:t xml:space="preserve">sniegšanu, EM ierosina </w:t>
            </w:r>
            <w:r w:rsidRPr="00245E5B">
              <w:rPr>
                <w:u w:val="single"/>
              </w:rPr>
              <w:t xml:space="preserve">sniegt </w:t>
            </w:r>
            <w:proofErr w:type="spellStart"/>
            <w:r w:rsidR="005222C5" w:rsidRPr="00245E5B">
              <w:rPr>
                <w:u w:val="single"/>
              </w:rPr>
              <w:t>mikroaizdevumus</w:t>
            </w:r>
            <w:proofErr w:type="spellEnd"/>
            <w:r w:rsidR="005222C5" w:rsidRPr="00245E5B">
              <w:rPr>
                <w:u w:val="single"/>
              </w:rPr>
              <w:t xml:space="preserve"> un starta aizdevumus no augstākminētā korekciju finansējuma</w:t>
            </w:r>
            <w:r w:rsidR="001E535E" w:rsidRPr="00245E5B">
              <w:rPr>
                <w:u w:val="single"/>
              </w:rPr>
              <w:t xml:space="preserve">, t.i. </w:t>
            </w:r>
            <w:r w:rsidR="001E535E" w:rsidRPr="00245E5B">
              <w:rPr>
                <w:rFonts w:eastAsia="Times New Roman"/>
                <w:lang w:eastAsia="lv-LV"/>
              </w:rPr>
              <w:t xml:space="preserve">4 291 446,29 </w:t>
            </w:r>
            <w:proofErr w:type="spellStart"/>
            <w:r w:rsidR="001E535E" w:rsidRPr="00245E5B">
              <w:rPr>
                <w:rFonts w:eastAsia="Times New Roman"/>
                <w:i/>
                <w:lang w:eastAsia="lv-LV"/>
              </w:rPr>
              <w:t>euro</w:t>
            </w:r>
            <w:proofErr w:type="spellEnd"/>
            <w:r w:rsidR="001E535E" w:rsidRPr="00245E5B">
              <w:rPr>
                <w:rFonts w:eastAsia="Times New Roman"/>
                <w:i/>
                <w:lang w:eastAsia="lv-LV"/>
              </w:rPr>
              <w:t xml:space="preserve"> </w:t>
            </w:r>
            <w:r w:rsidR="001E535E" w:rsidRPr="00245E5B">
              <w:rPr>
                <w:rFonts w:eastAsia="Times New Roman"/>
                <w:lang w:eastAsia="lv-LV"/>
              </w:rPr>
              <w:t>apmērā.</w:t>
            </w:r>
          </w:p>
          <w:p w:rsidR="00FE7CF6" w:rsidRDefault="00E0055F" w:rsidP="005222C5">
            <w:pPr>
              <w:pStyle w:val="Default"/>
              <w:ind w:firstLine="420"/>
              <w:jc w:val="both"/>
              <w:rPr>
                <w:rFonts w:eastAsia="Times New Roman"/>
                <w:lang w:eastAsia="lv-LV"/>
              </w:rPr>
            </w:pPr>
            <w:r>
              <w:t>Par šīs VAP vadības izmaksu attiecināšanas maksimālo procentuālo slieksni EM un sabie</w:t>
            </w:r>
            <w:r w:rsidR="00295F86">
              <w:t xml:space="preserve">drība </w:t>
            </w:r>
            <w:proofErr w:type="spellStart"/>
            <w:r w:rsidR="00295F86">
              <w:t>Altum</w:t>
            </w:r>
            <w:proofErr w:type="spellEnd"/>
            <w:r w:rsidR="00295F86">
              <w:t xml:space="preserve"> savstarpēji vienosies</w:t>
            </w:r>
            <w:r>
              <w:t>, slēdzot vienošanos</w:t>
            </w:r>
            <w:r w:rsidR="00FE7CF6" w:rsidRPr="00FE7CF6">
              <w:rPr>
                <w:rFonts w:eastAsia="Times New Roman"/>
                <w:lang w:eastAsia="lv-LV"/>
              </w:rPr>
              <w:t xml:space="preserve">.  </w:t>
            </w:r>
          </w:p>
          <w:p w:rsidR="005222C5" w:rsidRPr="00245E5B" w:rsidRDefault="005222C5" w:rsidP="005222C5">
            <w:pPr>
              <w:pStyle w:val="Default"/>
              <w:ind w:firstLine="420"/>
              <w:jc w:val="both"/>
              <w:rPr>
                <w:rFonts w:eastAsia="Times New Roman"/>
                <w:lang w:eastAsia="lv-LV"/>
              </w:rPr>
            </w:pPr>
            <w:r w:rsidRPr="00B65C7D">
              <w:rPr>
                <w:rFonts w:eastAsia="Times New Roman"/>
                <w:lang w:eastAsia="lv-LV"/>
              </w:rPr>
              <w:t>Pa</w:t>
            </w:r>
            <w:r w:rsidRPr="00245E5B">
              <w:rPr>
                <w:rFonts w:eastAsia="Times New Roman"/>
                <w:lang w:eastAsia="lv-LV"/>
              </w:rPr>
              <w:t xml:space="preserve">pildus jāmin, ka šobrīd šis finansējums atrodas atsevišķā sabiedrības </w:t>
            </w:r>
            <w:proofErr w:type="spellStart"/>
            <w:r w:rsidRPr="00245E5B">
              <w:rPr>
                <w:rFonts w:eastAsia="Times New Roman"/>
                <w:lang w:eastAsia="lv-LV"/>
              </w:rPr>
              <w:t>Altum</w:t>
            </w:r>
            <w:proofErr w:type="spellEnd"/>
            <w:r w:rsidRPr="00245E5B">
              <w:rPr>
                <w:rFonts w:eastAsia="Times New Roman"/>
                <w:lang w:eastAsia="lv-LV"/>
              </w:rPr>
              <w:t xml:space="preserve"> kontā</w:t>
            </w:r>
            <w:r w:rsidR="00B65C7D">
              <w:rPr>
                <w:rFonts w:eastAsia="Times New Roman"/>
                <w:lang w:eastAsia="lv-LV"/>
              </w:rPr>
              <w:t xml:space="preserve"> – katrs korekcijas finansējums ir uzskaitīts</w:t>
            </w:r>
            <w:r w:rsidR="00B65C7D" w:rsidRPr="00B65C7D">
              <w:rPr>
                <w:rFonts w:eastAsia="Times New Roman"/>
                <w:lang w:eastAsia="lv-LV"/>
              </w:rPr>
              <w:t xml:space="preserve"> atsevišķā analītiskā kontā</w:t>
            </w:r>
          </w:p>
          <w:p w:rsidR="00933C61" w:rsidRDefault="005222C5" w:rsidP="00933C61">
            <w:pPr>
              <w:pStyle w:val="Default"/>
              <w:ind w:firstLine="420"/>
              <w:jc w:val="both"/>
            </w:pPr>
            <w:r w:rsidRPr="00245E5B">
              <w:rPr>
                <w:rFonts w:eastAsia="Times New Roman"/>
                <w:lang w:eastAsia="lv-LV"/>
              </w:rPr>
              <w:t>Ir paredzēts, ka atbalsta sniegšana varētu notikt aptuveni trīs mēnešus un netiks izsmelts viss papildus noteiktais maksimālais finansējums. Ņemot vērā, ka var aizkavēties aizdevumu pieteikumu izskatī</w:t>
            </w:r>
            <w:r w:rsidR="00933C61">
              <w:rPr>
                <w:rFonts w:eastAsia="Times New Roman"/>
                <w:lang w:eastAsia="lv-LV"/>
              </w:rPr>
              <w:t>šana un līgumu slēgšana, g</w:t>
            </w:r>
            <w:r w:rsidRPr="00245E5B">
              <w:rPr>
                <w:rFonts w:eastAsia="Times New Roman"/>
                <w:lang w:eastAsia="lv-LV"/>
              </w:rPr>
              <w:t xml:space="preserve">rozījumi </w:t>
            </w:r>
            <w:r w:rsidR="00933C61">
              <w:rPr>
                <w:rFonts w:eastAsia="Times New Roman"/>
                <w:lang w:eastAsia="lv-LV"/>
              </w:rPr>
              <w:t>MK noteikumos Nr.164</w:t>
            </w:r>
            <w:r w:rsidRPr="00245E5B">
              <w:rPr>
                <w:rFonts w:eastAsia="Times New Roman"/>
                <w:lang w:eastAsia="lv-LV"/>
              </w:rPr>
              <w:t xml:space="preserve"> paredz, ka aizdevumu līgumu slēgšana par korekciju finansējumu var notikt līdz 2016.gada 30.jūnijam</w:t>
            </w:r>
            <w:r w:rsidR="003C6DDE" w:rsidRPr="00245E5B">
              <w:rPr>
                <w:rFonts w:eastAsia="Times New Roman"/>
                <w:lang w:eastAsia="lv-LV"/>
              </w:rPr>
              <w:t>. Papildus</w:t>
            </w:r>
            <w:r w:rsidR="00933C61">
              <w:rPr>
                <w:rFonts w:eastAsia="Times New Roman"/>
                <w:lang w:eastAsia="lv-LV"/>
              </w:rPr>
              <w:t xml:space="preserve"> ir noteikts, ka</w:t>
            </w:r>
            <w:r w:rsidR="003C6DDE" w:rsidRPr="00245E5B">
              <w:t xml:space="preserve"> minētais finansējums ir pieejams līdz tiek uzsākta darbības programmas „Izaugsme un nodarbinātība” 3.1.1. specifiskā atbalsta mērķa „Sekmēt mazo un vidējo komersantu izveidi un attīstību, īpaši apstrādes rūpniecībā un RIS3 prioritārajās nozarēs” 3.1.1.4.pasākuma “</w:t>
            </w:r>
            <w:proofErr w:type="spellStart"/>
            <w:r w:rsidR="003C6DDE" w:rsidRPr="00245E5B">
              <w:t>Mikrokreditēšana</w:t>
            </w:r>
            <w:proofErr w:type="spellEnd"/>
            <w:r w:rsidR="003C6DDE" w:rsidRPr="00245E5B">
              <w:t xml:space="preserve"> un aizdevumi uzsācējiem” ieviešana</w:t>
            </w:r>
            <w:r w:rsidR="00245E5B" w:rsidRPr="00245E5B">
              <w:t>.</w:t>
            </w:r>
          </w:p>
          <w:p w:rsidR="0033515A" w:rsidRPr="003C6DDE" w:rsidRDefault="00245E5B" w:rsidP="00933C61">
            <w:pPr>
              <w:pStyle w:val="Default"/>
              <w:ind w:firstLine="420"/>
              <w:jc w:val="both"/>
              <w:rPr>
                <w:rFonts w:eastAsia="Times New Roman"/>
                <w:lang w:eastAsia="lv-LV"/>
              </w:rPr>
            </w:pPr>
            <w:r w:rsidRPr="00245E5B">
              <w:t xml:space="preserve"> </w:t>
            </w:r>
            <w:r w:rsidR="005222C5" w:rsidRPr="00245E5B">
              <w:rPr>
                <w:rFonts w:eastAsia="Times New Roman"/>
                <w:lang w:eastAsia="lv-LV"/>
              </w:rPr>
              <w:t>Ņemot vērā, ka ar 2015.gada 1.martu stājās spēkā Attīstības finanšu institūcijas likums, grozījumi</w:t>
            </w:r>
            <w:r w:rsidR="00933C61">
              <w:rPr>
                <w:rFonts w:eastAsia="Times New Roman"/>
                <w:lang w:eastAsia="lv-LV"/>
              </w:rPr>
              <w:t xml:space="preserve"> MK noteikumos Nr.164 </w:t>
            </w:r>
            <w:r w:rsidR="005222C5" w:rsidRPr="00245E5B">
              <w:rPr>
                <w:rFonts w:eastAsia="Times New Roman"/>
                <w:lang w:eastAsia="lv-LV"/>
              </w:rPr>
              <w:t>paredz p</w:t>
            </w:r>
            <w:r w:rsidR="005222C5" w:rsidRPr="00245E5B">
              <w:t>apildināt deleģējumu ar Attīstības finanšu institūcijas likuma 12.panta ceturto daļu.</w:t>
            </w:r>
          </w:p>
        </w:tc>
      </w:tr>
      <w:tr w:rsidR="00404B1E" w:rsidRPr="003C6DDE"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3C6DDE" w:rsidRDefault="00404B1E" w:rsidP="000A15AB">
            <w:pPr>
              <w:jc w:val="both"/>
              <w:rPr>
                <w:rFonts w:eastAsia="Times New Roman"/>
                <w:sz w:val="24"/>
                <w:szCs w:val="24"/>
                <w:lang w:val="lv-LV" w:eastAsia="lv-LV"/>
              </w:rPr>
            </w:pPr>
            <w:r w:rsidRPr="003C6DDE">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3C6DDE" w:rsidRDefault="00404B1E" w:rsidP="000A15AB">
            <w:pPr>
              <w:jc w:val="both"/>
              <w:rPr>
                <w:rFonts w:eastAsia="Times New Roman"/>
                <w:sz w:val="24"/>
                <w:szCs w:val="24"/>
                <w:lang w:val="lv-LV" w:eastAsia="lv-LV"/>
              </w:rPr>
            </w:pPr>
            <w:r w:rsidRPr="003C6DDE">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3C6DDE" w:rsidRDefault="00832C33" w:rsidP="000A15AB">
            <w:pPr>
              <w:jc w:val="both"/>
              <w:rPr>
                <w:bCs/>
                <w:sz w:val="24"/>
                <w:szCs w:val="24"/>
                <w:lang w:val="lv-LV"/>
              </w:rPr>
            </w:pPr>
            <w:r w:rsidRPr="003C6DDE">
              <w:rPr>
                <w:iCs/>
                <w:sz w:val="24"/>
                <w:szCs w:val="24"/>
                <w:lang w:val="lv-LV"/>
              </w:rPr>
              <w:t xml:space="preserve">Sabiedrība </w:t>
            </w:r>
            <w:proofErr w:type="spellStart"/>
            <w:r w:rsidRPr="003C6DDE">
              <w:rPr>
                <w:iCs/>
                <w:sz w:val="24"/>
                <w:szCs w:val="24"/>
                <w:lang w:val="lv-LV"/>
              </w:rPr>
              <w:t>Altum</w:t>
            </w:r>
            <w:proofErr w:type="spellEnd"/>
          </w:p>
        </w:tc>
      </w:tr>
      <w:tr w:rsidR="00404B1E" w:rsidRPr="003C6DDE"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3C6DDE" w:rsidRDefault="00404B1E" w:rsidP="000A15AB">
            <w:pPr>
              <w:jc w:val="both"/>
              <w:rPr>
                <w:rFonts w:eastAsia="Times New Roman"/>
                <w:sz w:val="24"/>
                <w:szCs w:val="24"/>
                <w:lang w:val="lv-LV" w:eastAsia="lv-LV"/>
              </w:rPr>
            </w:pPr>
            <w:r w:rsidRPr="003C6DDE">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3C6DDE" w:rsidRDefault="00404B1E" w:rsidP="000A15AB">
            <w:pPr>
              <w:jc w:val="both"/>
              <w:rPr>
                <w:rFonts w:eastAsia="Times New Roman"/>
                <w:sz w:val="24"/>
                <w:szCs w:val="24"/>
                <w:lang w:val="lv-LV" w:eastAsia="lv-LV"/>
              </w:rPr>
            </w:pPr>
            <w:r w:rsidRPr="003C6DDE">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3C6DDE" w:rsidRDefault="004800EE" w:rsidP="004800EE">
            <w:pPr>
              <w:jc w:val="both"/>
              <w:rPr>
                <w:iCs/>
                <w:sz w:val="24"/>
                <w:szCs w:val="24"/>
                <w:lang w:val="lv-LV"/>
              </w:rPr>
            </w:pPr>
            <w:r w:rsidRPr="003C6DDE">
              <w:rPr>
                <w:iCs/>
                <w:sz w:val="24"/>
                <w:szCs w:val="24"/>
                <w:lang w:val="lv-LV"/>
              </w:rPr>
              <w:t>Projekts šo jomu neskar</w:t>
            </w:r>
            <w:r w:rsidRPr="003C6DDE">
              <w:rPr>
                <w:color w:val="000000"/>
                <w:sz w:val="24"/>
                <w:szCs w:val="24"/>
                <w:lang w:val="lv-LV"/>
              </w:rPr>
              <w:t>.</w:t>
            </w:r>
          </w:p>
        </w:tc>
      </w:tr>
    </w:tbl>
    <w:p w:rsidR="000346D0" w:rsidRPr="003C6DDE" w:rsidRDefault="000346D0" w:rsidP="00D11308">
      <w:pPr>
        <w:jc w:val="both"/>
        <w:rPr>
          <w:rFonts w:eastAsia="Times New Roman"/>
          <w:sz w:val="24"/>
          <w:szCs w:val="24"/>
          <w:lang w:val="lv-LV"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051B13" w:rsidRPr="003C6DDE" w:rsidTr="00A9033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ind w:firstLine="720"/>
              <w:jc w:val="both"/>
              <w:rPr>
                <w:rFonts w:eastAsia="Times New Roman"/>
                <w:b/>
                <w:sz w:val="24"/>
                <w:szCs w:val="24"/>
                <w:lang w:val="lv-LV" w:eastAsia="lv-LV"/>
              </w:rPr>
            </w:pPr>
            <w:r w:rsidRPr="003C6DDE">
              <w:rPr>
                <w:rFonts w:eastAsia="Times New Roman"/>
                <w:b/>
                <w:sz w:val="24"/>
                <w:szCs w:val="24"/>
                <w:lang w:val="lv-LV" w:eastAsia="lv-LV"/>
              </w:rPr>
              <w:t>II. Tiesību akta projekta ietekme uz sabiedrību</w:t>
            </w:r>
          </w:p>
        </w:tc>
      </w:tr>
      <w:tr w:rsidR="00051B13" w:rsidRPr="003C6DDE"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 xml:space="preserve">Sabiedrības </w:t>
            </w:r>
            <w:proofErr w:type="spellStart"/>
            <w:r w:rsidRPr="003C6DDE">
              <w:rPr>
                <w:rFonts w:eastAsia="Times New Roman"/>
                <w:sz w:val="24"/>
                <w:szCs w:val="24"/>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051B13" w:rsidRPr="003C6DDE" w:rsidRDefault="00706AFB" w:rsidP="00A90334">
            <w:pPr>
              <w:jc w:val="both"/>
              <w:rPr>
                <w:sz w:val="24"/>
                <w:szCs w:val="24"/>
                <w:lang w:val="lv-LV"/>
              </w:rPr>
            </w:pPr>
            <w:r w:rsidRPr="003C6DDE">
              <w:rPr>
                <w:sz w:val="24"/>
                <w:szCs w:val="24"/>
                <w:lang w:val="lv-LV"/>
              </w:rPr>
              <w:t xml:space="preserve">Noteikumu projekts ir labvēlīgs pret tās </w:t>
            </w:r>
            <w:proofErr w:type="spellStart"/>
            <w:r w:rsidRPr="003C6DDE">
              <w:rPr>
                <w:sz w:val="24"/>
                <w:szCs w:val="24"/>
                <w:lang w:val="lv-LV"/>
              </w:rPr>
              <w:t>mērķgrupu</w:t>
            </w:r>
            <w:proofErr w:type="spellEnd"/>
            <w:r w:rsidRPr="003C6DDE">
              <w:rPr>
                <w:sz w:val="24"/>
                <w:szCs w:val="24"/>
                <w:lang w:val="lv-LV"/>
              </w:rPr>
              <w:t xml:space="preserve"> - s</w:t>
            </w:r>
            <w:r w:rsidR="00051B13" w:rsidRPr="003C6DDE">
              <w:rPr>
                <w:sz w:val="24"/>
                <w:szCs w:val="24"/>
                <w:lang w:val="lv-LV"/>
              </w:rPr>
              <w:t>aimnieciskās darbības uzsācēji</w:t>
            </w:r>
            <w:r w:rsidRPr="003C6DDE">
              <w:rPr>
                <w:sz w:val="24"/>
                <w:szCs w:val="24"/>
                <w:lang w:val="lv-LV"/>
              </w:rPr>
              <w:t>em</w:t>
            </w:r>
            <w:r w:rsidR="00832C33" w:rsidRPr="003C6DDE">
              <w:rPr>
                <w:sz w:val="24"/>
                <w:szCs w:val="24"/>
                <w:lang w:val="lv-LV"/>
              </w:rPr>
              <w:t xml:space="preserve">, </w:t>
            </w:r>
            <w:proofErr w:type="spellStart"/>
            <w:r w:rsidR="00832C33" w:rsidRPr="003C6DDE">
              <w:rPr>
                <w:sz w:val="24"/>
                <w:szCs w:val="24"/>
                <w:lang w:val="lv-LV"/>
              </w:rPr>
              <w:t>mikro</w:t>
            </w:r>
            <w:proofErr w:type="spellEnd"/>
            <w:r w:rsidR="00832C33" w:rsidRPr="003C6DDE">
              <w:rPr>
                <w:sz w:val="24"/>
                <w:szCs w:val="24"/>
                <w:lang w:val="lv-LV"/>
              </w:rPr>
              <w:t>, mazie</w:t>
            </w:r>
            <w:r w:rsidRPr="003C6DDE">
              <w:rPr>
                <w:sz w:val="24"/>
                <w:szCs w:val="24"/>
                <w:lang w:val="lv-LV"/>
              </w:rPr>
              <w:t>m</w:t>
            </w:r>
            <w:r w:rsidR="00832C33" w:rsidRPr="003C6DDE">
              <w:rPr>
                <w:sz w:val="24"/>
                <w:szCs w:val="24"/>
                <w:lang w:val="lv-LV"/>
              </w:rPr>
              <w:t xml:space="preserve"> un vidējie</w:t>
            </w:r>
            <w:r w:rsidRPr="003C6DDE">
              <w:rPr>
                <w:sz w:val="24"/>
                <w:szCs w:val="24"/>
                <w:lang w:val="lv-LV"/>
              </w:rPr>
              <w:t>m</w:t>
            </w:r>
            <w:r w:rsidR="00832C33" w:rsidRPr="003C6DDE">
              <w:rPr>
                <w:sz w:val="24"/>
                <w:szCs w:val="24"/>
                <w:lang w:val="lv-LV"/>
              </w:rPr>
              <w:t xml:space="preserve"> uzņēmumi</w:t>
            </w:r>
            <w:r w:rsidRPr="003C6DDE">
              <w:rPr>
                <w:sz w:val="24"/>
                <w:szCs w:val="24"/>
                <w:lang w:val="lv-LV"/>
              </w:rPr>
              <w:t>em</w:t>
            </w:r>
          </w:p>
        </w:tc>
      </w:tr>
      <w:tr w:rsidR="00051B13" w:rsidRPr="003C6DDE"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 xml:space="preserve">Citas sabiedrības grupas (bez </w:t>
            </w:r>
            <w:proofErr w:type="spellStart"/>
            <w:r w:rsidRPr="003C6DDE">
              <w:rPr>
                <w:rFonts w:eastAsia="Times New Roman"/>
                <w:sz w:val="24"/>
                <w:szCs w:val="24"/>
                <w:lang w:val="lv-LV" w:eastAsia="lv-LV"/>
              </w:rPr>
              <w:t>mērķgrupas</w:t>
            </w:r>
            <w:proofErr w:type="spellEnd"/>
            <w:r w:rsidRPr="003C6DDE">
              <w:rPr>
                <w:rFonts w:eastAsia="Times New Roman"/>
                <w:sz w:val="24"/>
                <w:szCs w:val="24"/>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051B13" w:rsidRPr="003C6DDE" w:rsidRDefault="00051B13" w:rsidP="00A90334">
            <w:pPr>
              <w:pStyle w:val="BodyText"/>
              <w:ind w:right="142"/>
              <w:rPr>
                <w:sz w:val="24"/>
                <w:szCs w:val="24"/>
              </w:rPr>
            </w:pPr>
            <w:r w:rsidRPr="003C6DDE">
              <w:rPr>
                <w:iCs/>
                <w:sz w:val="24"/>
                <w:szCs w:val="24"/>
              </w:rPr>
              <w:t>Projekts šo jomu neskar</w:t>
            </w:r>
            <w:r w:rsidRPr="003C6DDE">
              <w:rPr>
                <w:sz w:val="24"/>
                <w:szCs w:val="24"/>
              </w:rPr>
              <w:t>.</w:t>
            </w:r>
          </w:p>
          <w:p w:rsidR="00051B13" w:rsidRPr="003C6DDE" w:rsidRDefault="00051B13" w:rsidP="00A90334">
            <w:pPr>
              <w:ind w:firstLine="720"/>
              <w:jc w:val="both"/>
              <w:rPr>
                <w:rFonts w:eastAsia="Times New Roman"/>
                <w:sz w:val="24"/>
                <w:szCs w:val="24"/>
                <w:lang w:val="lv-LV" w:eastAsia="lv-LV"/>
              </w:rPr>
            </w:pPr>
          </w:p>
        </w:tc>
      </w:tr>
      <w:tr w:rsidR="00051B13" w:rsidRPr="003C6DDE"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051B13">
            <w:pPr>
              <w:pStyle w:val="BodyText"/>
              <w:ind w:right="142"/>
              <w:rPr>
                <w:sz w:val="24"/>
                <w:szCs w:val="24"/>
              </w:rPr>
            </w:pPr>
            <w:r w:rsidRPr="003C6DDE">
              <w:rPr>
                <w:iCs/>
                <w:sz w:val="24"/>
                <w:szCs w:val="24"/>
              </w:rPr>
              <w:t>Projekts šo jomu neskar</w:t>
            </w:r>
            <w:r w:rsidRPr="003C6DDE">
              <w:rPr>
                <w:sz w:val="24"/>
                <w:szCs w:val="24"/>
              </w:rPr>
              <w:t>.</w:t>
            </w:r>
          </w:p>
          <w:p w:rsidR="00051B13" w:rsidRPr="003C6DDE" w:rsidRDefault="00051B13" w:rsidP="00A90334">
            <w:pPr>
              <w:pStyle w:val="BodyText"/>
              <w:ind w:right="142"/>
              <w:rPr>
                <w:sz w:val="24"/>
                <w:szCs w:val="24"/>
              </w:rPr>
            </w:pPr>
          </w:p>
        </w:tc>
      </w:tr>
      <w:tr w:rsidR="00051B13" w:rsidRPr="003C6DDE"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pStyle w:val="BodyText"/>
              <w:ind w:right="142"/>
              <w:rPr>
                <w:sz w:val="24"/>
                <w:szCs w:val="24"/>
              </w:rPr>
            </w:pPr>
            <w:r w:rsidRPr="003C6DDE">
              <w:rPr>
                <w:iCs/>
                <w:sz w:val="24"/>
                <w:szCs w:val="24"/>
              </w:rPr>
              <w:t>Projekts šo jomu neskar</w:t>
            </w:r>
            <w:r w:rsidRPr="003C6DDE">
              <w:rPr>
                <w:sz w:val="24"/>
                <w:szCs w:val="24"/>
              </w:rPr>
              <w:t>.</w:t>
            </w:r>
          </w:p>
          <w:p w:rsidR="00051B13" w:rsidRPr="003C6DDE" w:rsidRDefault="00051B13" w:rsidP="00A90334">
            <w:pPr>
              <w:ind w:firstLine="720"/>
              <w:jc w:val="both"/>
              <w:rPr>
                <w:rFonts w:eastAsia="Times New Roman"/>
                <w:sz w:val="24"/>
                <w:szCs w:val="24"/>
                <w:lang w:val="lv-LV" w:eastAsia="lv-LV"/>
              </w:rPr>
            </w:pPr>
          </w:p>
        </w:tc>
      </w:tr>
      <w:tr w:rsidR="00051B13" w:rsidRPr="003C6DDE"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lastRenderedPageBreak/>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pStyle w:val="BodyText"/>
              <w:ind w:right="142"/>
              <w:rPr>
                <w:sz w:val="24"/>
                <w:szCs w:val="24"/>
              </w:rPr>
            </w:pPr>
            <w:r w:rsidRPr="003C6DDE">
              <w:rPr>
                <w:iCs/>
                <w:sz w:val="24"/>
                <w:szCs w:val="24"/>
              </w:rPr>
              <w:t>Projekts šo jomu neskar</w:t>
            </w:r>
            <w:r w:rsidRPr="003C6DDE">
              <w:rPr>
                <w:sz w:val="24"/>
                <w:szCs w:val="24"/>
              </w:rPr>
              <w:t>.</w:t>
            </w:r>
          </w:p>
          <w:p w:rsidR="00051B13" w:rsidRPr="003C6DDE" w:rsidRDefault="00051B13" w:rsidP="00A90334">
            <w:pPr>
              <w:ind w:firstLine="720"/>
              <w:jc w:val="both"/>
              <w:rPr>
                <w:rFonts w:eastAsia="Times New Roman"/>
                <w:sz w:val="24"/>
                <w:szCs w:val="24"/>
                <w:lang w:val="lv-LV" w:eastAsia="lv-LV"/>
              </w:rPr>
            </w:pPr>
          </w:p>
        </w:tc>
      </w:tr>
      <w:tr w:rsidR="00051B13" w:rsidRPr="003C6DDE"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pStyle w:val="BodyText"/>
              <w:ind w:right="142"/>
              <w:rPr>
                <w:sz w:val="24"/>
                <w:szCs w:val="24"/>
              </w:rPr>
            </w:pPr>
            <w:r w:rsidRPr="003C6DDE">
              <w:rPr>
                <w:iCs/>
                <w:sz w:val="24"/>
                <w:szCs w:val="24"/>
              </w:rPr>
              <w:t>Projekts šo jomu neskar</w:t>
            </w:r>
            <w:r w:rsidRPr="003C6DDE">
              <w:rPr>
                <w:sz w:val="24"/>
                <w:szCs w:val="24"/>
              </w:rPr>
              <w:t>.</w:t>
            </w:r>
          </w:p>
          <w:p w:rsidR="00051B13" w:rsidRPr="003C6DDE" w:rsidRDefault="00051B13" w:rsidP="00A90334">
            <w:pPr>
              <w:ind w:firstLine="720"/>
              <w:jc w:val="both"/>
              <w:rPr>
                <w:rFonts w:eastAsia="Times New Roman"/>
                <w:sz w:val="24"/>
                <w:szCs w:val="24"/>
                <w:lang w:val="lv-LV" w:eastAsia="lv-LV"/>
              </w:rPr>
            </w:pPr>
          </w:p>
        </w:tc>
      </w:tr>
      <w:tr w:rsidR="00051B13" w:rsidRPr="003C6DDE"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A90334">
            <w:pPr>
              <w:jc w:val="both"/>
              <w:rPr>
                <w:rFonts w:eastAsia="Times New Roman"/>
                <w:sz w:val="24"/>
                <w:szCs w:val="24"/>
                <w:lang w:val="lv-LV" w:eastAsia="lv-LV"/>
              </w:rPr>
            </w:pPr>
            <w:r w:rsidRPr="003C6DDE">
              <w:rPr>
                <w:rFonts w:eastAsia="Times New Roman"/>
                <w:sz w:val="24"/>
                <w:szCs w:val="24"/>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3C6DDE" w:rsidRDefault="00051B13" w:rsidP="0033515A">
            <w:pPr>
              <w:jc w:val="both"/>
              <w:rPr>
                <w:rFonts w:eastAsia="Times New Roman"/>
                <w:sz w:val="24"/>
                <w:szCs w:val="24"/>
                <w:lang w:val="lv-LV" w:eastAsia="lv-LV"/>
              </w:rPr>
            </w:pPr>
            <w:r w:rsidRPr="003C6DDE">
              <w:rPr>
                <w:rFonts w:eastAsia="Times New Roman"/>
                <w:sz w:val="24"/>
                <w:szCs w:val="24"/>
                <w:lang w:val="lv-LV" w:eastAsia="lv-LV"/>
              </w:rPr>
              <w:t>Nav.</w:t>
            </w:r>
          </w:p>
        </w:tc>
      </w:tr>
    </w:tbl>
    <w:p w:rsidR="000346D0" w:rsidRPr="003C6DDE" w:rsidRDefault="000346D0" w:rsidP="00D11308">
      <w:pPr>
        <w:jc w:val="both"/>
        <w:rPr>
          <w:rFonts w:eastAsia="Times New Roman"/>
          <w:sz w:val="24"/>
          <w:szCs w:val="24"/>
          <w:lang w:val="lv-LV" w:eastAsia="lv-LV"/>
        </w:rPr>
        <w:sectPr w:rsidR="000346D0" w:rsidRPr="003C6DDE"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C9779A" w:rsidRDefault="00C9779A" w:rsidP="00C9779A">
      <w:pPr>
        <w:rPr>
          <w:sz w:val="24"/>
          <w:szCs w:val="24"/>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3F7212" w:rsidRPr="004E0D61" w:rsidTr="000A286B">
        <w:trPr>
          <w:tblCellSpacing w:w="0" w:type="dxa"/>
        </w:trPr>
        <w:tc>
          <w:tcPr>
            <w:tcW w:w="9191" w:type="dxa"/>
            <w:gridSpan w:val="3"/>
            <w:hideMark/>
          </w:tcPr>
          <w:p w:rsidR="003F7212" w:rsidRPr="004E0D61" w:rsidRDefault="003F7212" w:rsidP="000A286B">
            <w:pPr>
              <w:ind w:firstLine="709"/>
              <w:jc w:val="both"/>
              <w:rPr>
                <w:rFonts w:eastAsia="Times New Roman"/>
                <w:b/>
                <w:bCs/>
                <w:sz w:val="24"/>
                <w:szCs w:val="24"/>
                <w:lang w:val="lv-LV" w:eastAsia="lv-LV"/>
              </w:rPr>
            </w:pPr>
            <w:r w:rsidRPr="004E0D61">
              <w:rPr>
                <w:rFonts w:eastAsia="Times New Roman"/>
                <w:b/>
                <w:bCs/>
                <w:sz w:val="24"/>
                <w:szCs w:val="24"/>
                <w:lang w:val="lv-LV" w:eastAsia="lv-LV"/>
              </w:rPr>
              <w:t> V. Tiesību akta projekta atbilstība Latvijas Republikas starptautiskajām saistībām</w:t>
            </w:r>
          </w:p>
        </w:tc>
      </w:tr>
      <w:tr w:rsidR="003F7212" w:rsidRPr="004E0D61" w:rsidTr="000A286B">
        <w:trPr>
          <w:trHeight w:val="1174"/>
          <w:tblCellSpacing w:w="0" w:type="dxa"/>
        </w:trPr>
        <w:tc>
          <w:tcPr>
            <w:tcW w:w="400" w:type="dxa"/>
            <w:hideMark/>
          </w:tcPr>
          <w:p w:rsidR="003F7212" w:rsidRPr="007043EB" w:rsidRDefault="003F7212" w:rsidP="000A286B">
            <w:pPr>
              <w:rPr>
                <w:rFonts w:eastAsia="Times New Roman"/>
                <w:sz w:val="24"/>
                <w:szCs w:val="24"/>
                <w:lang w:val="lv-LV" w:eastAsia="lv-LV"/>
              </w:rPr>
            </w:pPr>
            <w:r w:rsidRPr="004E0D61">
              <w:rPr>
                <w:rFonts w:eastAsia="Times New Roman"/>
                <w:sz w:val="24"/>
                <w:szCs w:val="24"/>
                <w:lang w:val="lv-LV" w:eastAsia="lv-LV"/>
              </w:rPr>
              <w:t> 1.</w:t>
            </w:r>
          </w:p>
        </w:tc>
        <w:tc>
          <w:tcPr>
            <w:tcW w:w="1645" w:type="dxa"/>
            <w:hideMark/>
          </w:tcPr>
          <w:p w:rsidR="003F7212" w:rsidRPr="00150E3E" w:rsidRDefault="003F7212" w:rsidP="000A286B">
            <w:pPr>
              <w:rPr>
                <w:rFonts w:eastAsia="Times New Roman"/>
                <w:sz w:val="24"/>
                <w:szCs w:val="24"/>
                <w:lang w:val="lv-LV" w:eastAsia="lv-LV"/>
              </w:rPr>
            </w:pPr>
            <w:r w:rsidRPr="007043EB">
              <w:rPr>
                <w:rFonts w:eastAsia="Times New Roman"/>
                <w:sz w:val="24"/>
                <w:szCs w:val="24"/>
                <w:lang w:val="lv-LV" w:eastAsia="lv-LV"/>
              </w:rPr>
              <w:t xml:space="preserve"> Saistības pret Eiropas </w:t>
            </w:r>
            <w:r w:rsidRPr="00193049">
              <w:rPr>
                <w:rFonts w:eastAsia="Times New Roman"/>
                <w:sz w:val="24"/>
                <w:szCs w:val="24"/>
                <w:lang w:val="lv-LV" w:eastAsia="lv-LV"/>
              </w:rPr>
              <w:t>Savienību</w:t>
            </w:r>
          </w:p>
        </w:tc>
        <w:tc>
          <w:tcPr>
            <w:tcW w:w="7146" w:type="dxa"/>
            <w:hideMark/>
          </w:tcPr>
          <w:p w:rsidR="003F7212" w:rsidRPr="00D970AB" w:rsidRDefault="003F7212" w:rsidP="000A286B">
            <w:pPr>
              <w:jc w:val="both"/>
              <w:rPr>
                <w:rFonts w:eastAsia="Times New Roman"/>
                <w:sz w:val="24"/>
                <w:szCs w:val="24"/>
                <w:lang w:val="lv-LV" w:eastAsia="lv-LV"/>
              </w:rPr>
            </w:pPr>
            <w:r w:rsidRPr="00150E3E">
              <w:rPr>
                <w:rFonts w:eastAsia="Times New Roman"/>
                <w:sz w:val="24"/>
                <w:szCs w:val="24"/>
                <w:lang w:val="lv-LV" w:eastAsia="lv-LV"/>
              </w:rPr>
              <w:t>Ar tiesību akta projektu tiek ieviesta</w:t>
            </w:r>
            <w:r>
              <w:rPr>
                <w:rFonts w:eastAsia="Times New Roman"/>
                <w:sz w:val="24"/>
                <w:szCs w:val="24"/>
                <w:lang w:val="lv-LV" w:eastAsia="lv-LV"/>
              </w:rPr>
              <w:t xml:space="preserve"> </w:t>
            </w:r>
            <w:r w:rsidRPr="00D970AB">
              <w:rPr>
                <w:sz w:val="24"/>
                <w:szCs w:val="24"/>
                <w:lang w:val="lv-LV"/>
              </w:rPr>
              <w:t>Komisijas</w:t>
            </w:r>
            <w:r w:rsidRPr="00D970AB">
              <w:rPr>
                <w:rFonts w:eastAsia="Times New Roman"/>
                <w:sz w:val="24"/>
                <w:szCs w:val="24"/>
                <w:lang w:val="lv-LV" w:eastAsia="lv-LV"/>
              </w:rPr>
              <w:t xml:space="preserve"> </w:t>
            </w:r>
            <w:r w:rsidRPr="00D970AB">
              <w:rPr>
                <w:sz w:val="24"/>
                <w:szCs w:val="24"/>
                <w:lang w:val="lv-LV"/>
              </w:rPr>
              <w:t xml:space="preserve">2013.gada 18.decembra Regula (ES) Nr. 1407/2013 par Līguma par Eiropas Savienības darbību 107. un 108.panta piemērošanu </w:t>
            </w:r>
            <w:proofErr w:type="spellStart"/>
            <w:r w:rsidRPr="00D970AB">
              <w:rPr>
                <w:i/>
                <w:sz w:val="24"/>
                <w:szCs w:val="24"/>
                <w:lang w:val="lv-LV"/>
              </w:rPr>
              <w:t>de</w:t>
            </w:r>
            <w:proofErr w:type="spellEnd"/>
            <w:r w:rsidRPr="00D970AB">
              <w:rPr>
                <w:i/>
                <w:sz w:val="24"/>
                <w:szCs w:val="24"/>
                <w:lang w:val="lv-LV"/>
              </w:rPr>
              <w:t xml:space="preserve"> </w:t>
            </w:r>
            <w:proofErr w:type="spellStart"/>
            <w:r w:rsidRPr="00D970AB">
              <w:rPr>
                <w:i/>
                <w:sz w:val="24"/>
                <w:szCs w:val="24"/>
                <w:lang w:val="lv-LV"/>
              </w:rPr>
              <w:t>minimis</w:t>
            </w:r>
            <w:proofErr w:type="spellEnd"/>
            <w:r w:rsidRPr="00D970AB">
              <w:rPr>
                <w:sz w:val="24"/>
                <w:szCs w:val="24"/>
                <w:lang w:val="lv-LV"/>
              </w:rPr>
              <w:t xml:space="preserve"> atbalstam (Eiropas Savienības Oficiālais Vēstnesis, 2013.gada 24.decembris, Nr. L 352).</w:t>
            </w:r>
          </w:p>
        </w:tc>
      </w:tr>
      <w:tr w:rsidR="003F7212" w:rsidRPr="004E0D61" w:rsidTr="000A286B">
        <w:trPr>
          <w:tblCellSpacing w:w="0" w:type="dxa"/>
        </w:trPr>
        <w:tc>
          <w:tcPr>
            <w:tcW w:w="400" w:type="dxa"/>
            <w:hideMark/>
          </w:tcPr>
          <w:p w:rsidR="003F7212" w:rsidRPr="007043EB" w:rsidRDefault="003F7212" w:rsidP="000A286B">
            <w:pPr>
              <w:rPr>
                <w:rFonts w:eastAsia="Times New Roman"/>
                <w:sz w:val="24"/>
                <w:szCs w:val="24"/>
                <w:lang w:val="lv-LV" w:eastAsia="lv-LV"/>
              </w:rPr>
            </w:pPr>
            <w:r w:rsidRPr="004E0D61">
              <w:rPr>
                <w:rFonts w:eastAsia="Times New Roman"/>
                <w:sz w:val="24"/>
                <w:szCs w:val="24"/>
                <w:lang w:val="lv-LV" w:eastAsia="lv-LV"/>
              </w:rPr>
              <w:t> 2.</w:t>
            </w:r>
          </w:p>
        </w:tc>
        <w:tc>
          <w:tcPr>
            <w:tcW w:w="1645" w:type="dxa"/>
            <w:hideMark/>
          </w:tcPr>
          <w:p w:rsidR="003F7212" w:rsidRPr="00193049" w:rsidRDefault="003F7212" w:rsidP="000A286B">
            <w:pPr>
              <w:rPr>
                <w:rFonts w:eastAsia="Times New Roman"/>
                <w:sz w:val="24"/>
                <w:szCs w:val="24"/>
                <w:lang w:val="lv-LV" w:eastAsia="lv-LV"/>
              </w:rPr>
            </w:pPr>
            <w:r w:rsidRPr="007043EB">
              <w:rPr>
                <w:rFonts w:eastAsia="Times New Roman"/>
                <w:sz w:val="24"/>
                <w:szCs w:val="24"/>
                <w:lang w:val="lv-LV" w:eastAsia="lv-LV"/>
              </w:rPr>
              <w:t> Citas starptautiskās saistības</w:t>
            </w:r>
          </w:p>
        </w:tc>
        <w:tc>
          <w:tcPr>
            <w:tcW w:w="7146" w:type="dxa"/>
            <w:hideMark/>
          </w:tcPr>
          <w:p w:rsidR="003F7212" w:rsidRPr="0051659E" w:rsidRDefault="003F7212" w:rsidP="000A286B">
            <w:pPr>
              <w:rPr>
                <w:rFonts w:eastAsia="Times New Roman"/>
                <w:sz w:val="24"/>
                <w:szCs w:val="24"/>
                <w:lang w:val="lv-LV" w:eastAsia="lv-LV"/>
              </w:rPr>
            </w:pPr>
            <w:r>
              <w:rPr>
                <w:sz w:val="24"/>
                <w:szCs w:val="24"/>
                <w:lang w:val="lv-LV"/>
              </w:rPr>
              <w:t>Nav</w:t>
            </w:r>
          </w:p>
        </w:tc>
      </w:tr>
      <w:tr w:rsidR="003F7212" w:rsidRPr="004E0D61" w:rsidTr="000A286B">
        <w:trPr>
          <w:tblCellSpacing w:w="0" w:type="dxa"/>
        </w:trPr>
        <w:tc>
          <w:tcPr>
            <w:tcW w:w="400" w:type="dxa"/>
            <w:hideMark/>
          </w:tcPr>
          <w:p w:rsidR="003F7212" w:rsidRPr="007043EB" w:rsidRDefault="003F7212" w:rsidP="000A286B">
            <w:pPr>
              <w:rPr>
                <w:rFonts w:eastAsia="Times New Roman"/>
                <w:sz w:val="24"/>
                <w:szCs w:val="24"/>
                <w:lang w:val="lv-LV" w:eastAsia="lv-LV"/>
              </w:rPr>
            </w:pPr>
            <w:r w:rsidRPr="004E0D61">
              <w:rPr>
                <w:rFonts w:eastAsia="Times New Roman"/>
                <w:sz w:val="24"/>
                <w:szCs w:val="24"/>
                <w:lang w:val="lv-LV" w:eastAsia="lv-LV"/>
              </w:rPr>
              <w:t> 3.</w:t>
            </w:r>
          </w:p>
        </w:tc>
        <w:tc>
          <w:tcPr>
            <w:tcW w:w="1645" w:type="dxa"/>
            <w:hideMark/>
          </w:tcPr>
          <w:p w:rsidR="003F7212" w:rsidRPr="00193049" w:rsidRDefault="003F7212" w:rsidP="000A286B">
            <w:pPr>
              <w:rPr>
                <w:sz w:val="24"/>
                <w:szCs w:val="24"/>
                <w:lang w:val="lv-LV"/>
              </w:rPr>
            </w:pPr>
            <w:r w:rsidRPr="007043EB">
              <w:rPr>
                <w:sz w:val="24"/>
                <w:szCs w:val="24"/>
                <w:lang w:val="lv-LV"/>
              </w:rPr>
              <w:t> Cita informācija</w:t>
            </w:r>
          </w:p>
        </w:tc>
        <w:tc>
          <w:tcPr>
            <w:tcW w:w="7146" w:type="dxa"/>
            <w:hideMark/>
          </w:tcPr>
          <w:p w:rsidR="003F7212" w:rsidRPr="0051659E" w:rsidRDefault="003F7212" w:rsidP="000A286B">
            <w:pPr>
              <w:jc w:val="both"/>
              <w:rPr>
                <w:rFonts w:eastAsia="Times New Roman"/>
                <w:sz w:val="24"/>
                <w:szCs w:val="24"/>
                <w:lang w:val="lv-LV" w:eastAsia="lv-LV"/>
              </w:rPr>
            </w:pPr>
            <w:r>
              <w:rPr>
                <w:rFonts w:eastAsia="Times New Roman"/>
                <w:sz w:val="24"/>
                <w:szCs w:val="24"/>
                <w:lang w:val="lv-LV" w:eastAsia="lv-LV"/>
              </w:rPr>
              <w:t>Nav</w:t>
            </w:r>
          </w:p>
          <w:p w:rsidR="003F7212" w:rsidRPr="004E0D61" w:rsidRDefault="003F7212" w:rsidP="000A286B">
            <w:pPr>
              <w:jc w:val="both"/>
              <w:rPr>
                <w:rFonts w:eastAsia="Times New Roman"/>
                <w:sz w:val="24"/>
                <w:szCs w:val="24"/>
                <w:lang w:val="lv-LV" w:eastAsia="lv-LV"/>
              </w:rPr>
            </w:pPr>
          </w:p>
        </w:tc>
      </w:tr>
    </w:tbl>
    <w:p w:rsidR="003F7212" w:rsidRPr="007043EB" w:rsidRDefault="003F7212" w:rsidP="003F7212">
      <w:pPr>
        <w:ind w:firstLine="468"/>
        <w:jc w:val="both"/>
        <w:rPr>
          <w:rFonts w:eastAsia="Times New Roman"/>
          <w:sz w:val="16"/>
          <w:szCs w:val="16"/>
          <w:lang w:val="lv-LV" w:eastAsia="lv-LV"/>
        </w:rPr>
      </w:pPr>
      <w:r w:rsidRPr="004E0D61">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3F7212" w:rsidRPr="004E0D61" w:rsidTr="000A286B">
        <w:trPr>
          <w:trHeight w:val="525"/>
          <w:tblCellSpacing w:w="0" w:type="dxa"/>
        </w:trPr>
        <w:tc>
          <w:tcPr>
            <w:tcW w:w="9191" w:type="dxa"/>
            <w:gridSpan w:val="4"/>
            <w:vAlign w:val="center"/>
            <w:hideMark/>
          </w:tcPr>
          <w:p w:rsidR="003F7212" w:rsidRPr="00193049" w:rsidRDefault="003F7212" w:rsidP="000A286B">
            <w:pPr>
              <w:jc w:val="center"/>
              <w:rPr>
                <w:rFonts w:eastAsia="Times New Roman"/>
                <w:b/>
                <w:bCs/>
                <w:sz w:val="24"/>
                <w:szCs w:val="24"/>
                <w:lang w:val="lv-LV" w:eastAsia="lv-LV"/>
              </w:rPr>
            </w:pPr>
            <w:r w:rsidRPr="007043EB">
              <w:rPr>
                <w:rFonts w:eastAsia="Times New Roman"/>
                <w:b/>
                <w:bCs/>
                <w:sz w:val="24"/>
                <w:szCs w:val="24"/>
                <w:lang w:val="lv-LV" w:eastAsia="lv-LV"/>
              </w:rPr>
              <w:t> 1.tabula</w:t>
            </w:r>
          </w:p>
          <w:p w:rsidR="003F7212" w:rsidRPr="0051659E" w:rsidRDefault="003F7212" w:rsidP="000A286B">
            <w:pPr>
              <w:jc w:val="center"/>
              <w:rPr>
                <w:rFonts w:eastAsia="Times New Roman"/>
                <w:b/>
                <w:bCs/>
                <w:sz w:val="24"/>
                <w:szCs w:val="24"/>
                <w:lang w:val="lv-LV" w:eastAsia="lv-LV"/>
              </w:rPr>
            </w:pPr>
            <w:r w:rsidRPr="00150E3E">
              <w:rPr>
                <w:rFonts w:eastAsia="Times New Roman"/>
                <w:b/>
                <w:bCs/>
                <w:sz w:val="24"/>
                <w:szCs w:val="24"/>
                <w:lang w:val="lv-LV" w:eastAsia="lv-LV"/>
              </w:rPr>
              <w:t>Tiesību akta projekta atbilstība ES tiesību aktiem</w:t>
            </w:r>
          </w:p>
        </w:tc>
      </w:tr>
      <w:tr w:rsidR="003F7212" w:rsidRPr="004E0D61" w:rsidTr="000A286B">
        <w:trPr>
          <w:trHeight w:val="1174"/>
          <w:tblCellSpacing w:w="0" w:type="dxa"/>
        </w:trPr>
        <w:tc>
          <w:tcPr>
            <w:tcW w:w="2003" w:type="dxa"/>
            <w:vAlign w:val="center"/>
            <w:hideMark/>
          </w:tcPr>
          <w:p w:rsidR="003F7212" w:rsidRPr="007043EB" w:rsidRDefault="003F7212" w:rsidP="000A286B">
            <w:pPr>
              <w:jc w:val="center"/>
              <w:rPr>
                <w:rFonts w:eastAsia="Times New Roman"/>
                <w:sz w:val="24"/>
                <w:szCs w:val="24"/>
                <w:lang w:val="lv-LV" w:eastAsia="lv-LV"/>
              </w:rPr>
            </w:pPr>
            <w:r w:rsidRPr="004E0D61">
              <w:rPr>
                <w:rFonts w:eastAsia="Times New Roman"/>
                <w:sz w:val="24"/>
                <w:szCs w:val="24"/>
                <w:lang w:val="lv-LV" w:eastAsia="lv-LV"/>
              </w:rPr>
              <w:t> Attiecīgā ES tiesību akta datums, numurs un nosaukums</w:t>
            </w:r>
          </w:p>
        </w:tc>
        <w:tc>
          <w:tcPr>
            <w:tcW w:w="7188" w:type="dxa"/>
            <w:gridSpan w:val="3"/>
            <w:vAlign w:val="center"/>
            <w:hideMark/>
          </w:tcPr>
          <w:p w:rsidR="003F7212" w:rsidRPr="0051659E" w:rsidRDefault="003F7212" w:rsidP="000A286B">
            <w:pPr>
              <w:jc w:val="both"/>
              <w:rPr>
                <w:rFonts w:eastAsia="Times New Roman"/>
                <w:sz w:val="24"/>
                <w:szCs w:val="24"/>
                <w:lang w:val="lv-LV" w:eastAsia="lv-LV"/>
              </w:rPr>
            </w:pPr>
            <w:r w:rsidRPr="00193049">
              <w:rPr>
                <w:rFonts w:eastAsia="Times New Roman"/>
                <w:sz w:val="24"/>
                <w:szCs w:val="24"/>
                <w:lang w:val="lv-LV" w:eastAsia="lv-LV"/>
              </w:rPr>
              <w:t> Ar</w:t>
            </w:r>
            <w:r w:rsidRPr="00150E3E">
              <w:rPr>
                <w:rFonts w:eastAsia="Times New Roman"/>
                <w:sz w:val="24"/>
                <w:szCs w:val="24"/>
                <w:lang w:val="lv-LV" w:eastAsia="lv-LV"/>
              </w:rPr>
              <w:t xml:space="preserve"> normatīvo aktu tiek ieviestas Eiropas Savienības tiesību akta prasības:</w:t>
            </w:r>
          </w:p>
          <w:p w:rsidR="003F7212" w:rsidRPr="004E0D61" w:rsidRDefault="003F7212" w:rsidP="000A286B">
            <w:pPr>
              <w:jc w:val="both"/>
              <w:rPr>
                <w:sz w:val="24"/>
                <w:szCs w:val="24"/>
                <w:lang w:val="lv-LV"/>
              </w:rPr>
            </w:pPr>
            <w:r w:rsidRPr="004E0D61">
              <w:rPr>
                <w:rFonts w:eastAsia="Times New Roman"/>
                <w:sz w:val="24"/>
                <w:szCs w:val="24"/>
                <w:lang w:val="lv-LV" w:eastAsia="lv-LV"/>
              </w:rPr>
              <w:t xml:space="preserve">- </w:t>
            </w:r>
            <w:r w:rsidRPr="004E0D61">
              <w:rPr>
                <w:sz w:val="24"/>
                <w:szCs w:val="24"/>
                <w:lang w:val="lv-LV"/>
              </w:rPr>
              <w:t>Komisijas Regula Nr.1407/2013</w:t>
            </w:r>
          </w:p>
        </w:tc>
      </w:tr>
      <w:tr w:rsidR="003F7212" w:rsidRPr="004E0D61" w:rsidTr="000A286B">
        <w:trPr>
          <w:trHeight w:val="166"/>
          <w:tblCellSpacing w:w="0" w:type="dxa"/>
        </w:trPr>
        <w:tc>
          <w:tcPr>
            <w:tcW w:w="2003" w:type="dxa"/>
            <w:vAlign w:val="center"/>
            <w:hideMark/>
          </w:tcPr>
          <w:p w:rsidR="003F7212" w:rsidRPr="007043EB" w:rsidRDefault="003F7212" w:rsidP="000A286B">
            <w:pPr>
              <w:jc w:val="center"/>
              <w:rPr>
                <w:rFonts w:eastAsia="Times New Roman"/>
                <w:sz w:val="24"/>
                <w:szCs w:val="24"/>
                <w:lang w:val="lv-LV" w:eastAsia="lv-LV"/>
              </w:rPr>
            </w:pPr>
            <w:r w:rsidRPr="004E0D61">
              <w:rPr>
                <w:rFonts w:eastAsia="Times New Roman"/>
                <w:sz w:val="24"/>
                <w:szCs w:val="24"/>
                <w:lang w:val="lv-LV" w:eastAsia="lv-LV"/>
              </w:rPr>
              <w:t> A</w:t>
            </w:r>
          </w:p>
        </w:tc>
        <w:tc>
          <w:tcPr>
            <w:tcW w:w="2452" w:type="dxa"/>
            <w:vAlign w:val="center"/>
            <w:hideMark/>
          </w:tcPr>
          <w:p w:rsidR="003F7212" w:rsidRPr="00193049" w:rsidRDefault="003F7212" w:rsidP="000A286B">
            <w:pPr>
              <w:jc w:val="center"/>
              <w:rPr>
                <w:rFonts w:eastAsia="Times New Roman"/>
                <w:sz w:val="24"/>
                <w:szCs w:val="24"/>
                <w:lang w:val="lv-LV" w:eastAsia="lv-LV"/>
              </w:rPr>
            </w:pPr>
            <w:r w:rsidRPr="007043EB">
              <w:rPr>
                <w:rFonts w:eastAsia="Times New Roman"/>
                <w:sz w:val="24"/>
                <w:szCs w:val="24"/>
                <w:lang w:val="lv-LV" w:eastAsia="lv-LV"/>
              </w:rPr>
              <w:t> B</w:t>
            </w:r>
          </w:p>
        </w:tc>
        <w:tc>
          <w:tcPr>
            <w:tcW w:w="2703" w:type="dxa"/>
            <w:vAlign w:val="center"/>
            <w:hideMark/>
          </w:tcPr>
          <w:p w:rsidR="003F7212" w:rsidRPr="0051659E" w:rsidRDefault="003F7212" w:rsidP="000A286B">
            <w:pPr>
              <w:jc w:val="center"/>
              <w:rPr>
                <w:rFonts w:eastAsia="Times New Roman"/>
                <w:sz w:val="24"/>
                <w:szCs w:val="24"/>
                <w:lang w:val="lv-LV" w:eastAsia="lv-LV"/>
              </w:rPr>
            </w:pPr>
            <w:r w:rsidRPr="00150E3E">
              <w:rPr>
                <w:rFonts w:eastAsia="Times New Roman"/>
                <w:sz w:val="24"/>
                <w:szCs w:val="24"/>
                <w:lang w:val="lv-LV" w:eastAsia="lv-LV"/>
              </w:rPr>
              <w:t> C</w:t>
            </w:r>
          </w:p>
        </w:tc>
        <w:tc>
          <w:tcPr>
            <w:tcW w:w="2033" w:type="dxa"/>
            <w:vAlign w:val="center"/>
            <w:hideMark/>
          </w:tcPr>
          <w:p w:rsidR="003F7212" w:rsidRPr="004E0D61" w:rsidRDefault="003F7212" w:rsidP="000A286B">
            <w:pPr>
              <w:jc w:val="center"/>
              <w:rPr>
                <w:rFonts w:eastAsia="Times New Roman"/>
                <w:sz w:val="24"/>
                <w:szCs w:val="24"/>
                <w:lang w:val="lv-LV" w:eastAsia="lv-LV"/>
              </w:rPr>
            </w:pPr>
            <w:r w:rsidRPr="004E0D61">
              <w:rPr>
                <w:rFonts w:eastAsia="Times New Roman"/>
                <w:sz w:val="24"/>
                <w:szCs w:val="24"/>
                <w:lang w:val="lv-LV" w:eastAsia="lv-LV"/>
              </w:rPr>
              <w:t> D</w:t>
            </w:r>
          </w:p>
        </w:tc>
      </w:tr>
      <w:tr w:rsidR="003F7212" w:rsidRPr="004E0D61" w:rsidTr="000A286B">
        <w:trPr>
          <w:trHeight w:val="2917"/>
          <w:tblCellSpacing w:w="0" w:type="dxa"/>
        </w:trPr>
        <w:tc>
          <w:tcPr>
            <w:tcW w:w="2003" w:type="dxa"/>
            <w:hideMark/>
          </w:tcPr>
          <w:p w:rsidR="003F7212" w:rsidRPr="00193049" w:rsidRDefault="003F7212" w:rsidP="000A286B">
            <w:pPr>
              <w:rPr>
                <w:rFonts w:eastAsia="Times New Roman"/>
                <w:sz w:val="24"/>
                <w:szCs w:val="24"/>
                <w:lang w:val="lv-LV" w:eastAsia="lv-LV"/>
              </w:rPr>
            </w:pPr>
            <w:r w:rsidRPr="004E0D61">
              <w:rPr>
                <w:rFonts w:eastAsia="Times New Roman"/>
                <w:sz w:val="24"/>
                <w:szCs w:val="24"/>
                <w:lang w:val="lv-LV" w:eastAsia="lv-LV"/>
              </w:rPr>
              <w:t> Attiecīgā ES tiesību akta panta numurs (uzskaitot katru tiesību akta</w:t>
            </w:r>
            <w:r w:rsidRPr="004E0D61">
              <w:rPr>
                <w:rFonts w:eastAsia="Times New Roman"/>
                <w:sz w:val="24"/>
                <w:szCs w:val="24"/>
                <w:lang w:val="lv-LV" w:eastAsia="lv-LV"/>
              </w:rPr>
              <w:br/>
              <w:t xml:space="preserve">vienību – pantu, daļu, punktu, </w:t>
            </w:r>
            <w:r w:rsidRPr="007043EB">
              <w:rPr>
                <w:rFonts w:eastAsia="Times New Roman"/>
                <w:sz w:val="24"/>
                <w:szCs w:val="24"/>
                <w:lang w:val="lv-LV" w:eastAsia="lv-LV"/>
              </w:rPr>
              <w:t>apakšpunktu)</w:t>
            </w:r>
          </w:p>
        </w:tc>
        <w:tc>
          <w:tcPr>
            <w:tcW w:w="2452" w:type="dxa"/>
            <w:hideMark/>
          </w:tcPr>
          <w:p w:rsidR="003F7212" w:rsidRPr="004E0D61" w:rsidRDefault="003F7212" w:rsidP="000A286B">
            <w:pPr>
              <w:rPr>
                <w:rFonts w:eastAsia="Times New Roman"/>
                <w:sz w:val="24"/>
                <w:szCs w:val="24"/>
                <w:lang w:val="lv-LV" w:eastAsia="lv-LV"/>
              </w:rPr>
            </w:pPr>
            <w:r w:rsidRPr="00150E3E">
              <w:rPr>
                <w:rFonts w:eastAsia="Times New Roman"/>
                <w:sz w:val="24"/>
                <w:szCs w:val="24"/>
                <w:lang w:val="lv-LV" w:eastAsia="lv-LV"/>
              </w:rPr>
              <w:t> Projekta vienība, kas pārņem vai ievieš katru šīs tabulas A ailē minēto ES tiesību akta vienību</w:t>
            </w:r>
          </w:p>
        </w:tc>
        <w:tc>
          <w:tcPr>
            <w:tcW w:w="2703" w:type="dxa"/>
            <w:hideMark/>
          </w:tcPr>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 Informācija par to, vai šīs tabulas A ailē minētās ES tiesību akta vienības tiek pārņemtas vai ieviestas pilnībā vai daļēji.</w:t>
            </w:r>
          </w:p>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 </w:t>
            </w:r>
          </w:p>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 </w:t>
            </w:r>
          </w:p>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Norāda institūciju, kas ir atbildīga par šo saistību izpildi pilnībā</w:t>
            </w:r>
          </w:p>
        </w:tc>
        <w:tc>
          <w:tcPr>
            <w:tcW w:w="2033" w:type="dxa"/>
            <w:hideMark/>
          </w:tcPr>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 </w:t>
            </w:r>
          </w:p>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Ja projekts satur stingrākas prasības nekā attiecīgais ES tiesību akts, – norāda pamatojumu un samērīgumu.</w:t>
            </w:r>
          </w:p>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 </w:t>
            </w:r>
          </w:p>
          <w:p w:rsidR="003F7212" w:rsidRPr="004E0D61" w:rsidRDefault="003F7212" w:rsidP="000A286B">
            <w:pPr>
              <w:rPr>
                <w:rFonts w:eastAsia="Times New Roman"/>
                <w:sz w:val="24"/>
                <w:szCs w:val="24"/>
                <w:lang w:val="lv-LV" w:eastAsia="lv-LV"/>
              </w:rPr>
            </w:pPr>
            <w:r w:rsidRPr="004E0D61">
              <w:rPr>
                <w:rFonts w:eastAsia="Times New Roman"/>
                <w:sz w:val="24"/>
                <w:szCs w:val="24"/>
                <w:lang w:val="lv-LV" w:eastAsia="lv-LV"/>
              </w:rPr>
              <w:t xml:space="preserve">Norāda iespējamās alternatīvas (t.sk. </w:t>
            </w:r>
            <w:r w:rsidRPr="004E0D61">
              <w:rPr>
                <w:rFonts w:eastAsia="Times New Roman"/>
                <w:sz w:val="24"/>
                <w:szCs w:val="24"/>
                <w:lang w:val="lv-LV" w:eastAsia="lv-LV"/>
              </w:rPr>
              <w:lastRenderedPageBreak/>
              <w:t>alternatīvas, kas neparedz tiesiskā regulējuma izstrādi) – kādos gadījumos būtu iespējams izvairīties no stingrāku prasību noteikšanas, nekā paredzēts attiecīgajos ES tiesību aktos</w:t>
            </w:r>
          </w:p>
        </w:tc>
      </w:tr>
      <w:tr w:rsidR="003F7212" w:rsidRPr="00D95246" w:rsidTr="000A286B">
        <w:trPr>
          <w:trHeight w:val="360"/>
          <w:tblCellSpacing w:w="0" w:type="dxa"/>
        </w:trPr>
        <w:tc>
          <w:tcPr>
            <w:tcW w:w="2003" w:type="dxa"/>
          </w:tcPr>
          <w:p w:rsidR="003F7212" w:rsidRPr="00B65C7D" w:rsidRDefault="003F7212" w:rsidP="000A286B">
            <w:pPr>
              <w:jc w:val="both"/>
              <w:rPr>
                <w:rFonts w:eastAsia="Times New Roman"/>
                <w:i/>
                <w:sz w:val="24"/>
                <w:szCs w:val="24"/>
                <w:lang w:val="lv-LV" w:eastAsia="lv-LV"/>
              </w:rPr>
            </w:pPr>
            <w:r w:rsidRPr="00B65C7D">
              <w:rPr>
                <w:rFonts w:eastAsia="Times New Roman"/>
                <w:i/>
                <w:sz w:val="24"/>
                <w:szCs w:val="24"/>
                <w:lang w:val="lv-LV" w:eastAsia="lv-LV"/>
              </w:rPr>
              <w:lastRenderedPageBreak/>
              <w:t>Komisijas regulas Nr.1407/2013 6.panta 4.punkts</w:t>
            </w:r>
          </w:p>
        </w:tc>
        <w:tc>
          <w:tcPr>
            <w:tcW w:w="2452" w:type="dxa"/>
          </w:tcPr>
          <w:p w:rsidR="003F7212" w:rsidRPr="00B65C7D" w:rsidRDefault="003F7212" w:rsidP="003F7212">
            <w:pPr>
              <w:jc w:val="both"/>
              <w:rPr>
                <w:rFonts w:eastAsia="Times New Roman"/>
                <w:i/>
                <w:sz w:val="24"/>
                <w:szCs w:val="24"/>
                <w:lang w:val="lv-LV"/>
              </w:rPr>
            </w:pPr>
            <w:r w:rsidRPr="00B65C7D">
              <w:rPr>
                <w:rFonts w:eastAsia="Times New Roman"/>
                <w:i/>
                <w:sz w:val="24"/>
                <w:szCs w:val="24"/>
                <w:lang w:val="lv-LV"/>
              </w:rPr>
              <w:t xml:space="preserve">Noteikumu projekta 4.punkts (ar ko papildina MK noteikumu Nr.164 ar </w:t>
            </w:r>
            <w:r w:rsidRPr="003F7212">
              <w:rPr>
                <w:rFonts w:eastAsia="Times New Roman"/>
                <w:sz w:val="24"/>
                <w:szCs w:val="24"/>
                <w:lang w:eastAsia="lv-LV"/>
              </w:rPr>
              <w:t>38.</w:t>
            </w:r>
            <w:r w:rsidRPr="003F7212">
              <w:rPr>
                <w:rFonts w:eastAsia="Times New Roman"/>
                <w:sz w:val="24"/>
                <w:szCs w:val="24"/>
                <w:vertAlign w:val="superscript"/>
                <w:lang w:eastAsia="lv-LV"/>
              </w:rPr>
              <w:t>3</w:t>
            </w:r>
            <w:r w:rsidRPr="00863DB7">
              <w:rPr>
                <w:rFonts w:eastAsia="Times New Roman"/>
                <w:sz w:val="24"/>
                <w:szCs w:val="24"/>
                <w:vertAlign w:val="superscript"/>
                <w:lang w:eastAsia="lv-LV"/>
              </w:rPr>
              <w:t xml:space="preserve"> </w:t>
            </w:r>
            <w:r w:rsidRPr="00B65C7D">
              <w:rPr>
                <w:rFonts w:eastAsia="Times New Roman"/>
                <w:i/>
                <w:sz w:val="24"/>
                <w:szCs w:val="24"/>
                <w:lang w:val="lv-LV"/>
              </w:rPr>
              <w:t>punktu.</w:t>
            </w:r>
          </w:p>
        </w:tc>
        <w:tc>
          <w:tcPr>
            <w:tcW w:w="2703" w:type="dxa"/>
          </w:tcPr>
          <w:p w:rsidR="003F7212" w:rsidRPr="00B65C7D" w:rsidRDefault="003F7212" w:rsidP="000A286B">
            <w:pPr>
              <w:pStyle w:val="naisf"/>
              <w:spacing w:before="0" w:after="0"/>
              <w:rPr>
                <w:i/>
              </w:rPr>
            </w:pPr>
            <w:r w:rsidRPr="00B65C7D">
              <w:rPr>
                <w:i/>
              </w:rPr>
              <w:t xml:space="preserve">ieviests pilnībā </w:t>
            </w:r>
          </w:p>
        </w:tc>
        <w:tc>
          <w:tcPr>
            <w:tcW w:w="2033" w:type="dxa"/>
          </w:tcPr>
          <w:p w:rsidR="003F7212" w:rsidRPr="00B65C7D" w:rsidRDefault="003F7212" w:rsidP="000A286B">
            <w:pPr>
              <w:pStyle w:val="naisf"/>
              <w:spacing w:before="0" w:after="0"/>
              <w:ind w:firstLine="0"/>
              <w:rPr>
                <w:i/>
              </w:rPr>
            </w:pPr>
            <w:r w:rsidRPr="00B65C7D">
              <w:rPr>
                <w:i/>
              </w:rPr>
              <w:t>neparedz stingrākas prasības</w:t>
            </w:r>
          </w:p>
        </w:tc>
      </w:tr>
      <w:tr w:rsidR="003F7212" w:rsidRPr="004E0D61" w:rsidTr="000A286B">
        <w:trPr>
          <w:trHeight w:val="282"/>
          <w:tblCellSpacing w:w="0" w:type="dxa"/>
        </w:trPr>
        <w:tc>
          <w:tcPr>
            <w:tcW w:w="2003" w:type="dxa"/>
            <w:vAlign w:val="center"/>
            <w:hideMark/>
          </w:tcPr>
          <w:p w:rsidR="003F7212" w:rsidRPr="007043EB" w:rsidRDefault="003F7212" w:rsidP="000A286B">
            <w:pPr>
              <w:rPr>
                <w:rFonts w:eastAsia="Times New Roman"/>
                <w:sz w:val="24"/>
                <w:szCs w:val="24"/>
                <w:lang w:val="lv-LV" w:eastAsia="lv-LV"/>
              </w:rPr>
            </w:pPr>
            <w:r w:rsidRPr="004E0D61">
              <w:rPr>
                <w:rFonts w:eastAsia="Times New Roman"/>
                <w:sz w:val="24"/>
                <w:szCs w:val="24"/>
                <w:lang w:val="lv-LV" w:eastAsia="lv-LV"/>
              </w:rPr>
              <w:t> Kā ir izmantota ES tiesību aktā paredzētā rīcības brīvība dalībvalstij pārņemt vai ieviest noteiktas ES tiesību akta normas.</w:t>
            </w:r>
          </w:p>
          <w:p w:rsidR="003F7212" w:rsidRPr="00150E3E" w:rsidRDefault="003F7212" w:rsidP="000A286B">
            <w:pPr>
              <w:rPr>
                <w:rFonts w:eastAsia="Times New Roman"/>
                <w:sz w:val="24"/>
                <w:szCs w:val="24"/>
                <w:lang w:val="lv-LV" w:eastAsia="lv-LV"/>
              </w:rPr>
            </w:pPr>
            <w:r w:rsidRPr="00193049">
              <w:rPr>
                <w:rFonts w:eastAsia="Times New Roman"/>
                <w:sz w:val="24"/>
                <w:szCs w:val="24"/>
                <w:lang w:val="lv-LV" w:eastAsia="lv-LV"/>
              </w:rPr>
              <w:t>Kādēļ?</w:t>
            </w:r>
          </w:p>
        </w:tc>
        <w:tc>
          <w:tcPr>
            <w:tcW w:w="7188" w:type="dxa"/>
            <w:gridSpan w:val="3"/>
            <w:hideMark/>
          </w:tcPr>
          <w:p w:rsidR="003F7212" w:rsidRPr="004E0D61" w:rsidRDefault="003F7212" w:rsidP="000A286B">
            <w:pPr>
              <w:rPr>
                <w:rFonts w:eastAsia="Times New Roman"/>
                <w:i/>
                <w:sz w:val="24"/>
                <w:szCs w:val="24"/>
                <w:lang w:val="lv-LV" w:eastAsia="lv-LV"/>
              </w:rPr>
            </w:pPr>
            <w:r w:rsidRPr="004E0D61">
              <w:rPr>
                <w:rFonts w:eastAsia="Times New Roman"/>
                <w:sz w:val="24"/>
                <w:szCs w:val="24"/>
                <w:lang w:val="lv-LV" w:eastAsia="lv-LV"/>
              </w:rPr>
              <w:t> </w:t>
            </w:r>
            <w:r w:rsidRPr="004E0D61">
              <w:rPr>
                <w:rFonts w:eastAsia="Times New Roman"/>
                <w:i/>
                <w:sz w:val="24"/>
                <w:szCs w:val="24"/>
                <w:lang w:val="lv-LV" w:eastAsia="lv-LV"/>
              </w:rPr>
              <w:t>Projekts šo jomu neskar.</w:t>
            </w:r>
          </w:p>
        </w:tc>
      </w:tr>
      <w:tr w:rsidR="003F7212" w:rsidRPr="004E0D61" w:rsidTr="000A286B">
        <w:trPr>
          <w:trHeight w:val="916"/>
          <w:tblCellSpacing w:w="0" w:type="dxa"/>
        </w:trPr>
        <w:tc>
          <w:tcPr>
            <w:tcW w:w="2003" w:type="dxa"/>
            <w:vAlign w:val="center"/>
            <w:hideMark/>
          </w:tcPr>
          <w:p w:rsidR="003F7212" w:rsidRPr="00193049" w:rsidRDefault="003F7212" w:rsidP="000A286B">
            <w:pPr>
              <w:rPr>
                <w:rFonts w:eastAsia="Times New Roman"/>
                <w:sz w:val="24"/>
                <w:szCs w:val="24"/>
                <w:lang w:val="lv-LV" w:eastAsia="lv-LV"/>
              </w:rPr>
            </w:pPr>
            <w:r w:rsidRPr="004E0D61">
              <w:rPr>
                <w:rFonts w:eastAsia="Times New Roman"/>
                <w:sz w:val="24"/>
                <w:szCs w:val="24"/>
                <w:lang w:val="lv-LV" w:eastAsia="lv-LV"/>
              </w:rPr>
              <w:t xml:space="preserve"> Saistības sniegt paziņojumu ES institūcijām un ES </w:t>
            </w:r>
            <w:r w:rsidRPr="007043EB">
              <w:rPr>
                <w:rFonts w:eastAsia="Times New Roman"/>
                <w:sz w:val="24"/>
                <w:szCs w:val="24"/>
                <w:lang w:val="lv-LV" w:eastAsia="lv-LV"/>
              </w:rPr>
              <w:t>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3F7212" w:rsidRPr="00150E3E" w:rsidRDefault="003F7212" w:rsidP="000A286B">
            <w:pPr>
              <w:jc w:val="both"/>
              <w:rPr>
                <w:rFonts w:eastAsia="Times New Roman"/>
                <w:i/>
                <w:sz w:val="24"/>
                <w:szCs w:val="24"/>
                <w:lang w:val="lv-LV" w:eastAsia="lv-LV"/>
              </w:rPr>
            </w:pPr>
            <w:r w:rsidRPr="00150E3E">
              <w:rPr>
                <w:rFonts w:eastAsia="Times New Roman"/>
                <w:i/>
                <w:sz w:val="24"/>
                <w:szCs w:val="24"/>
                <w:lang w:val="lv-LV" w:eastAsia="lv-LV"/>
              </w:rPr>
              <w:t>Projekts šo jomu neskar.</w:t>
            </w:r>
          </w:p>
        </w:tc>
      </w:tr>
      <w:tr w:rsidR="003F7212" w:rsidRPr="004E0D61" w:rsidTr="000A286B">
        <w:trPr>
          <w:trHeight w:val="249"/>
          <w:tblCellSpacing w:w="0" w:type="dxa"/>
        </w:trPr>
        <w:tc>
          <w:tcPr>
            <w:tcW w:w="2003" w:type="dxa"/>
            <w:hideMark/>
          </w:tcPr>
          <w:p w:rsidR="003F7212" w:rsidRPr="007043EB" w:rsidRDefault="003F7212" w:rsidP="000A286B">
            <w:pPr>
              <w:rPr>
                <w:rFonts w:eastAsia="Times New Roman"/>
                <w:sz w:val="24"/>
                <w:szCs w:val="24"/>
                <w:lang w:val="lv-LV" w:eastAsia="lv-LV"/>
              </w:rPr>
            </w:pPr>
            <w:r w:rsidRPr="004E0D61">
              <w:rPr>
                <w:rFonts w:eastAsia="Times New Roman"/>
                <w:sz w:val="24"/>
                <w:szCs w:val="24"/>
                <w:lang w:val="lv-LV" w:eastAsia="lv-LV"/>
              </w:rPr>
              <w:t> Cita informācija</w:t>
            </w:r>
          </w:p>
        </w:tc>
        <w:tc>
          <w:tcPr>
            <w:tcW w:w="7188" w:type="dxa"/>
            <w:gridSpan w:val="3"/>
            <w:hideMark/>
          </w:tcPr>
          <w:p w:rsidR="003F7212" w:rsidRPr="00150E3E" w:rsidRDefault="003F7212" w:rsidP="000A286B">
            <w:pPr>
              <w:rPr>
                <w:rFonts w:eastAsia="Times New Roman"/>
                <w:i/>
                <w:sz w:val="24"/>
                <w:szCs w:val="24"/>
                <w:lang w:val="lv-LV" w:eastAsia="lv-LV"/>
              </w:rPr>
            </w:pPr>
            <w:r w:rsidRPr="007043EB">
              <w:rPr>
                <w:rFonts w:eastAsia="Times New Roman"/>
                <w:sz w:val="24"/>
                <w:szCs w:val="24"/>
                <w:lang w:val="lv-LV" w:eastAsia="lv-LV"/>
              </w:rPr>
              <w:t> </w:t>
            </w:r>
            <w:r w:rsidRPr="00193049">
              <w:rPr>
                <w:i/>
                <w:sz w:val="24"/>
                <w:szCs w:val="24"/>
                <w:lang w:val="lv-LV"/>
              </w:rPr>
              <w:t>Nav.</w:t>
            </w:r>
          </w:p>
        </w:tc>
      </w:tr>
    </w:tbl>
    <w:p w:rsidR="003F7212" w:rsidRPr="007043EB" w:rsidRDefault="003F7212" w:rsidP="003F7212">
      <w:pPr>
        <w:ind w:firstLine="468"/>
        <w:jc w:val="both"/>
        <w:rPr>
          <w:rFonts w:eastAsia="Times New Roman"/>
          <w:sz w:val="24"/>
          <w:szCs w:val="24"/>
          <w:lang w:val="lv-LV" w:eastAsia="lv-LV"/>
        </w:rPr>
      </w:pPr>
      <w:r w:rsidRPr="004E0D61">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3F7212" w:rsidRPr="004E0D61" w:rsidTr="000A286B">
        <w:trPr>
          <w:trHeight w:val="796"/>
          <w:tblCellSpacing w:w="0" w:type="dxa"/>
        </w:trPr>
        <w:tc>
          <w:tcPr>
            <w:tcW w:w="9115" w:type="dxa"/>
            <w:gridSpan w:val="4"/>
            <w:vAlign w:val="center"/>
            <w:hideMark/>
          </w:tcPr>
          <w:p w:rsidR="003F7212" w:rsidRPr="00193049" w:rsidRDefault="003F7212" w:rsidP="000A286B">
            <w:pPr>
              <w:jc w:val="center"/>
              <w:rPr>
                <w:rFonts w:eastAsia="Times New Roman"/>
                <w:b/>
                <w:bCs/>
                <w:sz w:val="24"/>
                <w:szCs w:val="24"/>
                <w:lang w:val="lv-LV"/>
              </w:rPr>
            </w:pPr>
            <w:r w:rsidRPr="007043EB">
              <w:rPr>
                <w:rFonts w:eastAsia="Times New Roman"/>
                <w:b/>
                <w:bCs/>
                <w:sz w:val="24"/>
                <w:szCs w:val="24"/>
                <w:lang w:val="lv-LV"/>
              </w:rPr>
              <w:lastRenderedPageBreak/>
              <w:t> 2.tabula</w:t>
            </w:r>
          </w:p>
          <w:p w:rsidR="003F7212" w:rsidRPr="004E0D61" w:rsidRDefault="003F7212" w:rsidP="000A286B">
            <w:pPr>
              <w:jc w:val="center"/>
              <w:rPr>
                <w:rFonts w:eastAsia="Times New Roman"/>
                <w:b/>
                <w:bCs/>
                <w:sz w:val="24"/>
                <w:szCs w:val="24"/>
                <w:lang w:val="lv-LV"/>
              </w:rPr>
            </w:pPr>
            <w:r w:rsidRPr="00150E3E">
              <w:rPr>
                <w:rFonts w:eastAsia="Times New Roman"/>
                <w:b/>
                <w:bCs/>
                <w:sz w:val="24"/>
                <w:szCs w:val="24"/>
                <w:lang w:val="lv-LV"/>
              </w:rPr>
              <w:t>Ar tiesību akta projektu uzņemtās saistības, kas izriet no starptautiskajiem tiesību aktiem vai starptautiskas institūcijas vai organizācijas dokumentiem</w:t>
            </w:r>
          </w:p>
          <w:p w:rsidR="003F7212" w:rsidRPr="004E0D61" w:rsidRDefault="003F7212" w:rsidP="000A286B">
            <w:pPr>
              <w:jc w:val="center"/>
              <w:rPr>
                <w:rFonts w:eastAsia="Times New Roman"/>
                <w:b/>
                <w:bCs/>
                <w:sz w:val="24"/>
                <w:szCs w:val="24"/>
                <w:lang w:val="lv-LV"/>
              </w:rPr>
            </w:pPr>
            <w:r w:rsidRPr="004E0D61">
              <w:rPr>
                <w:rFonts w:eastAsia="Times New Roman"/>
                <w:b/>
                <w:bCs/>
                <w:sz w:val="24"/>
                <w:szCs w:val="24"/>
                <w:lang w:val="lv-LV"/>
              </w:rPr>
              <w:t>Pasākumi šo saistību izpildei</w:t>
            </w:r>
          </w:p>
        </w:tc>
      </w:tr>
      <w:tr w:rsidR="003F7212" w:rsidRPr="004E0D61" w:rsidTr="000A286B">
        <w:trPr>
          <w:trHeight w:val="1393"/>
          <w:tblCellSpacing w:w="0" w:type="dxa"/>
        </w:trPr>
        <w:tc>
          <w:tcPr>
            <w:tcW w:w="3594" w:type="dxa"/>
            <w:gridSpan w:val="2"/>
            <w:vAlign w:val="center"/>
            <w:hideMark/>
          </w:tcPr>
          <w:p w:rsidR="003F7212" w:rsidRPr="00193049" w:rsidRDefault="003F7212" w:rsidP="000A286B">
            <w:pPr>
              <w:rPr>
                <w:rFonts w:eastAsia="Times New Roman"/>
                <w:sz w:val="24"/>
                <w:szCs w:val="24"/>
                <w:lang w:val="lv-LV"/>
              </w:rPr>
            </w:pPr>
            <w:r w:rsidRPr="004E0D61">
              <w:rPr>
                <w:rFonts w:eastAsia="Times New Roman"/>
                <w:sz w:val="24"/>
                <w:szCs w:val="24"/>
                <w:lang w:val="lv-LV"/>
              </w:rPr>
              <w:t xml:space="preserve"> Attiecīgā starptautiskā tiesību akta vai starptautiskas </w:t>
            </w:r>
            <w:r w:rsidRPr="007043EB">
              <w:rPr>
                <w:rFonts w:eastAsia="Times New Roman"/>
                <w:sz w:val="24"/>
                <w:szCs w:val="24"/>
                <w:lang w:val="lv-LV"/>
              </w:rPr>
              <w:t>institūcijas vai organizācijas dokumenta (turpmāk – starptautiskais dokuments) datums, numurs un nosaukums</w:t>
            </w:r>
          </w:p>
        </w:tc>
        <w:tc>
          <w:tcPr>
            <w:tcW w:w="5521" w:type="dxa"/>
            <w:gridSpan w:val="2"/>
            <w:hideMark/>
          </w:tcPr>
          <w:p w:rsidR="003F7212" w:rsidRPr="004E0D61" w:rsidRDefault="003F7212" w:rsidP="000A286B">
            <w:pPr>
              <w:rPr>
                <w:rFonts w:eastAsia="Times New Roman"/>
                <w:sz w:val="24"/>
                <w:szCs w:val="24"/>
                <w:lang w:val="lv-LV"/>
              </w:rPr>
            </w:pPr>
            <w:r w:rsidRPr="00150E3E">
              <w:rPr>
                <w:rFonts w:eastAsia="Times New Roman"/>
                <w:sz w:val="24"/>
                <w:szCs w:val="24"/>
                <w:lang w:val="lv-LV"/>
              </w:rPr>
              <w:t> Aizpilda, ja ar projektu izpildītas vai tiek uzņemtas saistības, kas izriet no vairāk nekā viena starptautiskā dokumenta, – jānorāda tā pati informā</w:t>
            </w:r>
            <w:r w:rsidRPr="004E0D61">
              <w:rPr>
                <w:rFonts w:eastAsia="Times New Roman"/>
                <w:sz w:val="24"/>
                <w:szCs w:val="24"/>
                <w:lang w:val="lv-LV"/>
              </w:rPr>
              <w:t>cija, kas prasīta instrukcijas 57.1.apakšpunktā un jau tikusi norādīta arī V sadaļas 2.punkta ietvaros</w:t>
            </w:r>
          </w:p>
        </w:tc>
      </w:tr>
      <w:tr w:rsidR="003F7212" w:rsidRPr="004E0D61" w:rsidTr="000A286B">
        <w:trPr>
          <w:trHeight w:val="343"/>
          <w:tblCellSpacing w:w="0" w:type="dxa"/>
        </w:trPr>
        <w:tc>
          <w:tcPr>
            <w:tcW w:w="2602" w:type="dxa"/>
            <w:vAlign w:val="center"/>
            <w:hideMark/>
          </w:tcPr>
          <w:p w:rsidR="003F7212" w:rsidRPr="007043EB" w:rsidRDefault="003F7212" w:rsidP="000A286B">
            <w:pPr>
              <w:jc w:val="center"/>
              <w:rPr>
                <w:rFonts w:eastAsia="Times New Roman"/>
                <w:sz w:val="24"/>
                <w:szCs w:val="24"/>
                <w:lang w:val="lv-LV"/>
              </w:rPr>
            </w:pPr>
            <w:r w:rsidRPr="004E0D61">
              <w:rPr>
                <w:rFonts w:eastAsia="Times New Roman"/>
                <w:sz w:val="24"/>
                <w:szCs w:val="24"/>
                <w:lang w:val="lv-LV"/>
              </w:rPr>
              <w:t> A</w:t>
            </w:r>
          </w:p>
        </w:tc>
        <w:tc>
          <w:tcPr>
            <w:tcW w:w="2599" w:type="dxa"/>
            <w:gridSpan w:val="2"/>
            <w:vAlign w:val="center"/>
            <w:hideMark/>
          </w:tcPr>
          <w:p w:rsidR="003F7212" w:rsidRPr="00193049" w:rsidRDefault="003F7212" w:rsidP="000A286B">
            <w:pPr>
              <w:jc w:val="center"/>
              <w:rPr>
                <w:rFonts w:eastAsia="Times New Roman"/>
                <w:sz w:val="24"/>
                <w:szCs w:val="24"/>
                <w:lang w:val="lv-LV"/>
              </w:rPr>
            </w:pPr>
            <w:r w:rsidRPr="007043EB">
              <w:rPr>
                <w:rFonts w:eastAsia="Times New Roman"/>
                <w:sz w:val="24"/>
                <w:szCs w:val="24"/>
                <w:lang w:val="lv-LV"/>
              </w:rPr>
              <w:t> B</w:t>
            </w:r>
          </w:p>
        </w:tc>
        <w:tc>
          <w:tcPr>
            <w:tcW w:w="3914" w:type="dxa"/>
            <w:vAlign w:val="center"/>
            <w:hideMark/>
          </w:tcPr>
          <w:p w:rsidR="003F7212" w:rsidRPr="00150E3E" w:rsidRDefault="003F7212" w:rsidP="000A286B">
            <w:pPr>
              <w:jc w:val="center"/>
              <w:rPr>
                <w:rFonts w:eastAsia="Times New Roman"/>
                <w:sz w:val="24"/>
                <w:szCs w:val="24"/>
                <w:lang w:val="lv-LV"/>
              </w:rPr>
            </w:pPr>
            <w:r w:rsidRPr="00150E3E">
              <w:rPr>
                <w:rFonts w:eastAsia="Times New Roman"/>
                <w:sz w:val="24"/>
                <w:szCs w:val="24"/>
                <w:lang w:val="lv-LV"/>
              </w:rPr>
              <w:t> C</w:t>
            </w:r>
          </w:p>
        </w:tc>
      </w:tr>
      <w:tr w:rsidR="003F7212" w:rsidRPr="004E0D61" w:rsidTr="000A286B">
        <w:trPr>
          <w:trHeight w:val="234"/>
          <w:tblCellSpacing w:w="0" w:type="dxa"/>
        </w:trPr>
        <w:tc>
          <w:tcPr>
            <w:tcW w:w="2602" w:type="dxa"/>
            <w:hideMark/>
          </w:tcPr>
          <w:p w:rsidR="003F7212" w:rsidRPr="007043EB" w:rsidRDefault="003F7212" w:rsidP="000A286B">
            <w:pPr>
              <w:rPr>
                <w:rFonts w:eastAsia="Times New Roman"/>
                <w:sz w:val="24"/>
                <w:szCs w:val="24"/>
                <w:lang w:val="lv-LV"/>
              </w:rPr>
            </w:pPr>
            <w:r w:rsidRPr="004E0D61">
              <w:rPr>
                <w:rFonts w:eastAsia="Times New Roman"/>
                <w:sz w:val="24"/>
                <w:szCs w:val="24"/>
                <w:lang w:val="lv-LV"/>
              </w:rPr>
              <w:t> Starptautiskās saistības (pēc būtības), kas izriet no norādītā starptautiskā dokumenta.</w:t>
            </w:r>
          </w:p>
          <w:p w:rsidR="003F7212" w:rsidRPr="00150E3E" w:rsidRDefault="003F7212" w:rsidP="000A286B">
            <w:pPr>
              <w:rPr>
                <w:rFonts w:eastAsia="Times New Roman"/>
                <w:sz w:val="24"/>
                <w:szCs w:val="24"/>
                <w:lang w:val="lv-LV"/>
              </w:rPr>
            </w:pPr>
            <w:r w:rsidRPr="00193049">
              <w:rPr>
                <w:rFonts w:eastAsia="Times New Roman"/>
                <w:sz w:val="24"/>
                <w:szCs w:val="24"/>
                <w:lang w:val="lv-LV"/>
              </w:rPr>
              <w:t> </w:t>
            </w:r>
          </w:p>
          <w:p w:rsidR="003F7212" w:rsidRPr="004E0D61" w:rsidRDefault="003F7212" w:rsidP="000A286B">
            <w:pPr>
              <w:rPr>
                <w:rFonts w:eastAsia="Times New Roman"/>
                <w:sz w:val="24"/>
                <w:szCs w:val="24"/>
                <w:lang w:val="lv-LV"/>
              </w:rPr>
            </w:pPr>
            <w:r w:rsidRPr="004E0D61">
              <w:rPr>
                <w:rFonts w:eastAsia="Times New Roman"/>
                <w:sz w:val="24"/>
                <w:szCs w:val="24"/>
                <w:lang w:val="lv-LV"/>
              </w:rPr>
              <w:t>Konkrēti veicamie pasākumi vai uzdevumi, kas nepieciešami šo starptautisko saistību izpildei</w:t>
            </w:r>
          </w:p>
        </w:tc>
        <w:tc>
          <w:tcPr>
            <w:tcW w:w="2599" w:type="dxa"/>
            <w:gridSpan w:val="2"/>
            <w:hideMark/>
          </w:tcPr>
          <w:p w:rsidR="003F7212" w:rsidRPr="004E0D61" w:rsidRDefault="003F7212" w:rsidP="000A286B">
            <w:pPr>
              <w:rPr>
                <w:rFonts w:eastAsia="Times New Roman"/>
                <w:sz w:val="24"/>
                <w:szCs w:val="24"/>
                <w:lang w:val="lv-LV"/>
              </w:rPr>
            </w:pPr>
            <w:r w:rsidRPr="004E0D61">
              <w:rPr>
                <w:rFonts w:eastAsia="Times New Roman"/>
                <w:sz w:val="24"/>
                <w:szCs w:val="24"/>
                <w:lang w:val="lv-LV"/>
              </w:rPr>
              <w:t> Ja pasākumi vai uzdevumi, ar ko tiks izpildītas starptautiskās saistības, tiek noteikti projektā, norāda attiecīgo projekta vienību.</w:t>
            </w:r>
          </w:p>
          <w:p w:rsidR="003F7212" w:rsidRPr="004E0D61" w:rsidRDefault="003F7212" w:rsidP="000A286B">
            <w:pPr>
              <w:rPr>
                <w:rFonts w:eastAsia="Times New Roman"/>
                <w:sz w:val="24"/>
                <w:szCs w:val="24"/>
                <w:lang w:val="lv-LV"/>
              </w:rPr>
            </w:pPr>
            <w:r w:rsidRPr="004E0D61">
              <w:rPr>
                <w:rFonts w:eastAsia="Times New Roman"/>
                <w:sz w:val="24"/>
                <w:szCs w:val="24"/>
                <w:lang w:val="lv-LV"/>
              </w:rPr>
              <w:t> </w:t>
            </w:r>
          </w:p>
          <w:p w:rsidR="003F7212" w:rsidRPr="004E0D61" w:rsidRDefault="003F7212" w:rsidP="000A286B">
            <w:pPr>
              <w:rPr>
                <w:rFonts w:eastAsia="Times New Roman"/>
                <w:sz w:val="24"/>
                <w:szCs w:val="24"/>
                <w:lang w:val="lv-LV"/>
              </w:rPr>
            </w:pPr>
            <w:r w:rsidRPr="004E0D61">
              <w:rPr>
                <w:rFonts w:eastAsia="Times New Roman"/>
                <w:sz w:val="24"/>
                <w:szCs w:val="24"/>
                <w:lang w:val="lv-LV"/>
              </w:rPr>
              <w:t>Vai arī norāda dokumentu, kurā sniegts izvērsts skaidrojums, kādā veidā tiks nodrošināta starptautisko saistību izpilde</w:t>
            </w:r>
          </w:p>
        </w:tc>
        <w:tc>
          <w:tcPr>
            <w:tcW w:w="3914" w:type="dxa"/>
            <w:hideMark/>
          </w:tcPr>
          <w:p w:rsidR="003F7212" w:rsidRPr="004E0D61" w:rsidRDefault="003F7212" w:rsidP="000A286B">
            <w:pPr>
              <w:rPr>
                <w:rFonts w:eastAsia="Times New Roman"/>
                <w:sz w:val="24"/>
                <w:szCs w:val="24"/>
                <w:lang w:val="lv-LV"/>
              </w:rPr>
            </w:pPr>
            <w:r w:rsidRPr="004E0D61">
              <w:rPr>
                <w:rFonts w:eastAsia="Times New Roman"/>
                <w:sz w:val="24"/>
                <w:szCs w:val="24"/>
                <w:lang w:val="lv-LV"/>
              </w:rPr>
              <w:t> Informācija par to, vai starptautiskās saistības, kas minētas šīs tabulas A ailē, tiek izpildītas pilnībā vai daļēji.</w:t>
            </w:r>
          </w:p>
          <w:p w:rsidR="003F7212" w:rsidRPr="004E0D61" w:rsidRDefault="003F7212" w:rsidP="000A286B">
            <w:pPr>
              <w:rPr>
                <w:rFonts w:eastAsia="Times New Roman"/>
                <w:sz w:val="24"/>
                <w:szCs w:val="24"/>
                <w:lang w:val="lv-LV"/>
              </w:rPr>
            </w:pPr>
            <w:r w:rsidRPr="004E0D61">
              <w:rPr>
                <w:rFonts w:eastAsia="Times New Roman"/>
                <w:sz w:val="24"/>
                <w:szCs w:val="24"/>
                <w:lang w:val="lv-LV"/>
              </w:rPr>
              <w:t> </w:t>
            </w:r>
          </w:p>
          <w:p w:rsidR="003F7212" w:rsidRPr="004E0D61" w:rsidRDefault="003F7212" w:rsidP="000A286B">
            <w:pPr>
              <w:rPr>
                <w:rFonts w:eastAsia="Times New Roman"/>
                <w:sz w:val="24"/>
                <w:szCs w:val="24"/>
                <w:lang w:val="lv-LV"/>
              </w:rPr>
            </w:pPr>
            <w:r w:rsidRPr="004E0D61">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3F7212" w:rsidRPr="004E0D61" w:rsidRDefault="003F7212" w:rsidP="000A286B">
            <w:pPr>
              <w:rPr>
                <w:rFonts w:eastAsia="Times New Roman"/>
                <w:sz w:val="24"/>
                <w:szCs w:val="24"/>
                <w:lang w:val="lv-LV"/>
              </w:rPr>
            </w:pPr>
            <w:r w:rsidRPr="004E0D61">
              <w:rPr>
                <w:rFonts w:eastAsia="Times New Roman"/>
                <w:sz w:val="24"/>
                <w:szCs w:val="24"/>
                <w:lang w:val="lv-LV"/>
              </w:rPr>
              <w:t> </w:t>
            </w:r>
          </w:p>
          <w:p w:rsidR="003F7212" w:rsidRPr="004E0D61" w:rsidRDefault="003F7212" w:rsidP="000A286B">
            <w:pPr>
              <w:rPr>
                <w:rFonts w:eastAsia="Times New Roman"/>
                <w:sz w:val="24"/>
                <w:szCs w:val="24"/>
                <w:lang w:val="lv-LV"/>
              </w:rPr>
            </w:pPr>
            <w:r w:rsidRPr="004E0D61">
              <w:rPr>
                <w:rFonts w:eastAsia="Times New Roman"/>
                <w:sz w:val="24"/>
                <w:szCs w:val="24"/>
                <w:lang w:val="lv-LV"/>
              </w:rPr>
              <w:t>Norāda institūciju, kas ir atbildīga par šo saistību izpildi pilnībā</w:t>
            </w:r>
          </w:p>
        </w:tc>
      </w:tr>
      <w:tr w:rsidR="003F7212" w:rsidRPr="004E0D61" w:rsidTr="000A286B">
        <w:trPr>
          <w:trHeight w:val="282"/>
          <w:tblCellSpacing w:w="0" w:type="dxa"/>
        </w:trPr>
        <w:tc>
          <w:tcPr>
            <w:tcW w:w="2602" w:type="dxa"/>
            <w:hideMark/>
          </w:tcPr>
          <w:p w:rsidR="003F7212" w:rsidRPr="007043EB" w:rsidRDefault="003F7212" w:rsidP="000A286B">
            <w:pPr>
              <w:rPr>
                <w:rFonts w:eastAsia="Times New Roman"/>
                <w:i/>
                <w:sz w:val="24"/>
                <w:szCs w:val="24"/>
                <w:lang w:val="lv-LV"/>
              </w:rPr>
            </w:pPr>
            <w:r w:rsidRPr="004E0D61">
              <w:rPr>
                <w:rFonts w:eastAsia="Times New Roman"/>
                <w:i/>
                <w:sz w:val="24"/>
                <w:szCs w:val="24"/>
                <w:lang w:val="lv-LV"/>
              </w:rPr>
              <w:t xml:space="preserve"> Projekts šo jomu neskar.</w:t>
            </w:r>
          </w:p>
        </w:tc>
        <w:tc>
          <w:tcPr>
            <w:tcW w:w="2599" w:type="dxa"/>
            <w:gridSpan w:val="2"/>
            <w:hideMark/>
          </w:tcPr>
          <w:p w:rsidR="003F7212" w:rsidRPr="00193049" w:rsidRDefault="003F7212" w:rsidP="000A286B">
            <w:pPr>
              <w:rPr>
                <w:rFonts w:eastAsia="Times New Roman"/>
                <w:i/>
                <w:sz w:val="24"/>
                <w:szCs w:val="24"/>
                <w:lang w:val="lv-LV"/>
              </w:rPr>
            </w:pPr>
            <w:r w:rsidRPr="007043EB">
              <w:rPr>
                <w:rFonts w:eastAsia="Times New Roman"/>
                <w:i/>
                <w:sz w:val="24"/>
                <w:szCs w:val="24"/>
                <w:lang w:val="lv-LV"/>
              </w:rPr>
              <w:t xml:space="preserve"> Projekts šo jomu neskar.</w:t>
            </w:r>
          </w:p>
        </w:tc>
        <w:tc>
          <w:tcPr>
            <w:tcW w:w="3914" w:type="dxa"/>
            <w:hideMark/>
          </w:tcPr>
          <w:p w:rsidR="003F7212" w:rsidRPr="00150E3E" w:rsidRDefault="003F7212" w:rsidP="000A286B">
            <w:pPr>
              <w:rPr>
                <w:rFonts w:eastAsia="Times New Roman"/>
                <w:i/>
                <w:sz w:val="24"/>
                <w:szCs w:val="24"/>
                <w:lang w:val="lv-LV"/>
              </w:rPr>
            </w:pPr>
            <w:r w:rsidRPr="00150E3E">
              <w:rPr>
                <w:rFonts w:eastAsia="Times New Roman"/>
                <w:i/>
                <w:sz w:val="24"/>
                <w:szCs w:val="24"/>
                <w:lang w:val="lv-LV"/>
              </w:rPr>
              <w:t xml:space="preserve"> Projekts šo jomu neskar.</w:t>
            </w:r>
          </w:p>
        </w:tc>
      </w:tr>
      <w:tr w:rsidR="003F7212" w:rsidRPr="004E0D61" w:rsidTr="000A286B">
        <w:trPr>
          <w:trHeight w:val="653"/>
          <w:tblCellSpacing w:w="0" w:type="dxa"/>
        </w:trPr>
        <w:tc>
          <w:tcPr>
            <w:tcW w:w="2602" w:type="dxa"/>
            <w:vAlign w:val="center"/>
            <w:hideMark/>
          </w:tcPr>
          <w:p w:rsidR="003F7212" w:rsidRPr="007043EB" w:rsidRDefault="003F7212" w:rsidP="000A286B">
            <w:pPr>
              <w:rPr>
                <w:rFonts w:eastAsia="Times New Roman"/>
                <w:sz w:val="24"/>
                <w:szCs w:val="24"/>
                <w:lang w:val="lv-LV"/>
              </w:rPr>
            </w:pPr>
            <w:r w:rsidRPr="004E0D61">
              <w:rPr>
                <w:rFonts w:eastAsia="Times New Roman"/>
                <w:sz w:val="24"/>
                <w:szCs w:val="24"/>
                <w:lang w:val="lv-LV"/>
              </w:rPr>
              <w:t xml:space="preserve"> Vai </w:t>
            </w:r>
            <w:r w:rsidRPr="007043EB">
              <w:rPr>
                <w:rFonts w:eastAsia="Times New Roman"/>
                <w:sz w:val="24"/>
                <w:szCs w:val="24"/>
                <w:lang w:val="lv-LV"/>
              </w:rPr>
              <w:t>starptautiskajā dokumentā paredzētās saistības nav pretrunā ar jau esošajām Latvijas Republikas starptautiskajām saistībām</w:t>
            </w:r>
          </w:p>
        </w:tc>
        <w:tc>
          <w:tcPr>
            <w:tcW w:w="6513" w:type="dxa"/>
            <w:gridSpan w:val="3"/>
            <w:hideMark/>
          </w:tcPr>
          <w:p w:rsidR="003F7212" w:rsidRPr="00150E3E" w:rsidRDefault="003F7212" w:rsidP="000A286B">
            <w:pPr>
              <w:rPr>
                <w:rFonts w:eastAsia="Times New Roman"/>
                <w:i/>
                <w:sz w:val="24"/>
                <w:szCs w:val="24"/>
                <w:lang w:val="lv-LV"/>
              </w:rPr>
            </w:pPr>
            <w:r w:rsidRPr="00193049">
              <w:rPr>
                <w:rFonts w:eastAsia="Times New Roman"/>
                <w:sz w:val="24"/>
                <w:szCs w:val="24"/>
                <w:lang w:val="lv-LV"/>
              </w:rPr>
              <w:t> </w:t>
            </w:r>
            <w:r w:rsidRPr="00150E3E">
              <w:rPr>
                <w:rFonts w:eastAsia="Times New Roman"/>
                <w:i/>
                <w:sz w:val="24"/>
                <w:szCs w:val="24"/>
                <w:lang w:val="lv-LV"/>
              </w:rPr>
              <w:t>Projekts šo jomu neskar.</w:t>
            </w:r>
          </w:p>
        </w:tc>
      </w:tr>
      <w:tr w:rsidR="003F7212" w:rsidRPr="004E0D61" w:rsidTr="000A286B">
        <w:trPr>
          <w:trHeight w:val="337"/>
          <w:tblCellSpacing w:w="0" w:type="dxa"/>
        </w:trPr>
        <w:tc>
          <w:tcPr>
            <w:tcW w:w="2602" w:type="dxa"/>
            <w:hideMark/>
          </w:tcPr>
          <w:p w:rsidR="003F7212" w:rsidRPr="007043EB" w:rsidRDefault="003F7212" w:rsidP="000A286B">
            <w:pPr>
              <w:rPr>
                <w:rFonts w:eastAsia="Times New Roman"/>
                <w:sz w:val="24"/>
                <w:szCs w:val="24"/>
                <w:lang w:val="lv-LV"/>
              </w:rPr>
            </w:pPr>
            <w:r w:rsidRPr="004E0D61">
              <w:rPr>
                <w:rFonts w:eastAsia="Times New Roman"/>
                <w:sz w:val="24"/>
                <w:szCs w:val="24"/>
                <w:lang w:val="lv-LV"/>
              </w:rPr>
              <w:t> Cita informācija</w:t>
            </w:r>
          </w:p>
        </w:tc>
        <w:tc>
          <w:tcPr>
            <w:tcW w:w="6513" w:type="dxa"/>
            <w:gridSpan w:val="3"/>
            <w:hideMark/>
          </w:tcPr>
          <w:p w:rsidR="003F7212" w:rsidRPr="00150E3E" w:rsidRDefault="003F7212" w:rsidP="000A286B">
            <w:pPr>
              <w:rPr>
                <w:rFonts w:eastAsia="Times New Roman"/>
                <w:i/>
                <w:sz w:val="24"/>
                <w:szCs w:val="24"/>
                <w:lang w:val="lv-LV"/>
              </w:rPr>
            </w:pPr>
            <w:r w:rsidRPr="007043EB">
              <w:rPr>
                <w:rFonts w:eastAsia="Times New Roman"/>
                <w:sz w:val="24"/>
                <w:szCs w:val="24"/>
                <w:lang w:val="lv-LV"/>
              </w:rPr>
              <w:t xml:space="preserve"> </w:t>
            </w:r>
            <w:r w:rsidRPr="00193049">
              <w:rPr>
                <w:rFonts w:eastAsia="Times New Roman"/>
                <w:i/>
                <w:sz w:val="24"/>
                <w:szCs w:val="24"/>
                <w:lang w:val="lv-LV"/>
              </w:rPr>
              <w:t>Nav.</w:t>
            </w:r>
          </w:p>
        </w:tc>
      </w:tr>
    </w:tbl>
    <w:p w:rsidR="003F7212" w:rsidRPr="003C6DDE" w:rsidRDefault="003F7212" w:rsidP="00C9779A">
      <w:pPr>
        <w:rPr>
          <w:sz w:val="24"/>
          <w:szCs w:val="24"/>
          <w:lang w:val="lv-LV"/>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
        <w:gridCol w:w="2745"/>
        <w:gridCol w:w="6033"/>
      </w:tblGrid>
      <w:tr w:rsidR="00706AFB" w:rsidRPr="003C6DDE" w:rsidTr="00245E5B">
        <w:trPr>
          <w:trHeight w:val="421"/>
        </w:trPr>
        <w:tc>
          <w:tcPr>
            <w:tcW w:w="9062" w:type="dxa"/>
            <w:gridSpan w:val="3"/>
            <w:vAlign w:val="center"/>
          </w:tcPr>
          <w:p w:rsidR="00706AFB" w:rsidRPr="003C6DDE" w:rsidRDefault="00706AFB" w:rsidP="006B7BA5">
            <w:pPr>
              <w:pStyle w:val="naisnod"/>
              <w:spacing w:before="0" w:after="0"/>
              <w:ind w:left="57" w:right="57"/>
            </w:pPr>
            <w:r w:rsidRPr="003C6DDE">
              <w:t>VII. Tiesību akta projekta izpildes nodrošināšana un tās ietekme uz institūcijām</w:t>
            </w:r>
          </w:p>
        </w:tc>
      </w:tr>
      <w:tr w:rsidR="00706AFB" w:rsidRPr="003C6DDE" w:rsidTr="00245E5B">
        <w:trPr>
          <w:trHeight w:val="553"/>
        </w:trPr>
        <w:tc>
          <w:tcPr>
            <w:tcW w:w="284" w:type="dxa"/>
          </w:tcPr>
          <w:p w:rsidR="00706AFB" w:rsidRPr="003C6DDE" w:rsidRDefault="00706AFB" w:rsidP="00706AFB">
            <w:pPr>
              <w:pStyle w:val="Default"/>
              <w:jc w:val="both"/>
              <w:rPr>
                <w:bCs/>
              </w:rPr>
            </w:pPr>
            <w:r w:rsidRPr="003C6DDE">
              <w:rPr>
                <w:bCs/>
              </w:rPr>
              <w:t>1.</w:t>
            </w:r>
          </w:p>
        </w:tc>
        <w:tc>
          <w:tcPr>
            <w:tcW w:w="2745" w:type="dxa"/>
          </w:tcPr>
          <w:p w:rsidR="00706AFB" w:rsidRPr="003C6DDE" w:rsidRDefault="00706AFB" w:rsidP="00706AFB">
            <w:pPr>
              <w:pStyle w:val="Default"/>
              <w:jc w:val="both"/>
              <w:rPr>
                <w:bCs/>
              </w:rPr>
            </w:pPr>
            <w:r w:rsidRPr="003C6DDE">
              <w:rPr>
                <w:bCs/>
              </w:rPr>
              <w:t>Projekta izpildē iesaistītās institūcijas</w:t>
            </w:r>
          </w:p>
        </w:tc>
        <w:tc>
          <w:tcPr>
            <w:tcW w:w="6033" w:type="dxa"/>
          </w:tcPr>
          <w:p w:rsidR="00706AFB" w:rsidRPr="003C6DDE" w:rsidRDefault="00706AFB" w:rsidP="00706AFB">
            <w:pPr>
              <w:pStyle w:val="Default"/>
              <w:jc w:val="both"/>
              <w:rPr>
                <w:bCs/>
              </w:rPr>
            </w:pPr>
            <w:r w:rsidRPr="003C6DDE">
              <w:rPr>
                <w:bCs/>
              </w:rPr>
              <w:t xml:space="preserve">EM kā atbildīgā iestāde, sabiedrība </w:t>
            </w:r>
            <w:proofErr w:type="spellStart"/>
            <w:r w:rsidRPr="003C6DDE">
              <w:rPr>
                <w:bCs/>
              </w:rPr>
              <w:t>Altum</w:t>
            </w:r>
            <w:proofErr w:type="spellEnd"/>
            <w:r w:rsidRPr="003C6DDE">
              <w:rPr>
                <w:bCs/>
              </w:rPr>
              <w:t xml:space="preserve"> kā VAP ieviesējs.</w:t>
            </w:r>
          </w:p>
        </w:tc>
      </w:tr>
      <w:tr w:rsidR="00706AFB" w:rsidRPr="003C6DDE" w:rsidTr="00245E5B">
        <w:trPr>
          <w:trHeight w:val="339"/>
        </w:trPr>
        <w:tc>
          <w:tcPr>
            <w:tcW w:w="284" w:type="dxa"/>
          </w:tcPr>
          <w:p w:rsidR="00706AFB" w:rsidRPr="003C6DDE" w:rsidRDefault="00706AFB" w:rsidP="00706AFB">
            <w:pPr>
              <w:pStyle w:val="Default"/>
              <w:jc w:val="both"/>
              <w:rPr>
                <w:bCs/>
              </w:rPr>
            </w:pPr>
            <w:r w:rsidRPr="003C6DDE">
              <w:rPr>
                <w:bCs/>
              </w:rPr>
              <w:t>2.</w:t>
            </w:r>
          </w:p>
        </w:tc>
        <w:tc>
          <w:tcPr>
            <w:tcW w:w="2745" w:type="dxa"/>
          </w:tcPr>
          <w:p w:rsidR="00706AFB" w:rsidRPr="003C6DDE" w:rsidRDefault="00706AFB" w:rsidP="00706AFB">
            <w:pPr>
              <w:pStyle w:val="Default"/>
              <w:jc w:val="both"/>
              <w:rPr>
                <w:bCs/>
              </w:rPr>
            </w:pPr>
            <w:r w:rsidRPr="003C6DDE">
              <w:rPr>
                <w:bCs/>
              </w:rPr>
              <w:t xml:space="preserve">Projekta izpildes ietekme uz pārvaldes funkcijām un institucionālo struktūru. </w:t>
            </w:r>
          </w:p>
          <w:p w:rsidR="00706AFB" w:rsidRPr="003C6DDE" w:rsidRDefault="00706AFB" w:rsidP="00706AFB">
            <w:pPr>
              <w:pStyle w:val="Default"/>
              <w:jc w:val="both"/>
              <w:rPr>
                <w:bCs/>
              </w:rPr>
            </w:pPr>
            <w:r w:rsidRPr="003C6DDE">
              <w:rPr>
                <w:bCs/>
              </w:rPr>
              <w:t>Jaunu institūciju izveide, esošu institūciju likvidācija vai reorganizācija, to ietekme uz institūcijas cilvēkresursiem</w:t>
            </w:r>
          </w:p>
        </w:tc>
        <w:tc>
          <w:tcPr>
            <w:tcW w:w="6033" w:type="dxa"/>
          </w:tcPr>
          <w:p w:rsidR="00706AFB" w:rsidRPr="003C6DDE" w:rsidRDefault="00706AFB" w:rsidP="00706AFB">
            <w:pPr>
              <w:pStyle w:val="Default"/>
              <w:jc w:val="both"/>
              <w:rPr>
                <w:bCs/>
              </w:rPr>
            </w:pPr>
            <w:r w:rsidRPr="003C6DDE">
              <w:rPr>
                <w:bCs/>
              </w:rPr>
              <w:t>Nav plānota jaunu institūciju izveide, esošu institūciju likvidācija vai reorga</w:t>
            </w:r>
            <w:r w:rsidRPr="003C6DDE">
              <w:rPr>
                <w:bCs/>
              </w:rPr>
              <w:softHyphen/>
              <w:t>nizācija.</w:t>
            </w:r>
          </w:p>
        </w:tc>
      </w:tr>
      <w:tr w:rsidR="00706AFB" w:rsidRPr="003C6DDE" w:rsidTr="00245E5B">
        <w:trPr>
          <w:trHeight w:val="476"/>
        </w:trPr>
        <w:tc>
          <w:tcPr>
            <w:tcW w:w="284" w:type="dxa"/>
          </w:tcPr>
          <w:p w:rsidR="00706AFB" w:rsidRPr="003C6DDE" w:rsidRDefault="00706AFB" w:rsidP="00706AFB">
            <w:pPr>
              <w:pStyle w:val="Default"/>
              <w:jc w:val="both"/>
              <w:rPr>
                <w:bCs/>
              </w:rPr>
            </w:pPr>
            <w:r w:rsidRPr="003C6DDE">
              <w:rPr>
                <w:bCs/>
              </w:rPr>
              <w:t>3.</w:t>
            </w:r>
          </w:p>
        </w:tc>
        <w:tc>
          <w:tcPr>
            <w:tcW w:w="2745" w:type="dxa"/>
          </w:tcPr>
          <w:p w:rsidR="00706AFB" w:rsidRPr="003C6DDE" w:rsidRDefault="00706AFB" w:rsidP="00706AFB">
            <w:pPr>
              <w:pStyle w:val="Default"/>
              <w:jc w:val="both"/>
              <w:rPr>
                <w:bCs/>
              </w:rPr>
            </w:pPr>
            <w:r w:rsidRPr="003C6DDE">
              <w:rPr>
                <w:bCs/>
              </w:rPr>
              <w:t>Cita informācija</w:t>
            </w:r>
          </w:p>
        </w:tc>
        <w:tc>
          <w:tcPr>
            <w:tcW w:w="6033" w:type="dxa"/>
          </w:tcPr>
          <w:p w:rsidR="00706AFB" w:rsidRPr="003C6DDE" w:rsidRDefault="00706AFB" w:rsidP="00706AFB">
            <w:pPr>
              <w:pStyle w:val="Default"/>
              <w:jc w:val="both"/>
              <w:rPr>
                <w:bCs/>
              </w:rPr>
            </w:pPr>
            <w:r w:rsidRPr="003C6DDE">
              <w:rPr>
                <w:bCs/>
              </w:rPr>
              <w:t xml:space="preserve">Nav. </w:t>
            </w:r>
          </w:p>
        </w:tc>
      </w:tr>
    </w:tbl>
    <w:p w:rsidR="0088512F" w:rsidRPr="003C6DDE" w:rsidRDefault="0088512F" w:rsidP="00F22471">
      <w:pPr>
        <w:tabs>
          <w:tab w:val="left" w:pos="7655"/>
        </w:tabs>
        <w:jc w:val="both"/>
        <w:rPr>
          <w:sz w:val="24"/>
          <w:szCs w:val="24"/>
          <w:highlight w:val="yellow"/>
          <w:lang w:val="lv-LV"/>
        </w:rPr>
      </w:pPr>
    </w:p>
    <w:p w:rsidR="00706AFB" w:rsidRPr="003C6DDE" w:rsidRDefault="00706AFB" w:rsidP="00F22471">
      <w:pPr>
        <w:tabs>
          <w:tab w:val="left" w:pos="7655"/>
        </w:tabs>
        <w:jc w:val="both"/>
        <w:rPr>
          <w:sz w:val="24"/>
          <w:szCs w:val="24"/>
          <w:highlight w:val="yellow"/>
          <w:lang w:val="lv-LV"/>
        </w:rPr>
      </w:pPr>
    </w:p>
    <w:p w:rsidR="00E009B0" w:rsidRPr="003C6DDE" w:rsidRDefault="00E009B0" w:rsidP="00E009B0">
      <w:pPr>
        <w:rPr>
          <w:rFonts w:eastAsia="Times New Roman"/>
          <w:b/>
          <w:sz w:val="24"/>
          <w:szCs w:val="24"/>
          <w:lang w:val="lv-LV" w:eastAsia="lv-LV"/>
        </w:rPr>
        <w:sectPr w:rsidR="00E009B0" w:rsidRPr="003C6DDE" w:rsidSect="00C97F6E">
          <w:type w:val="continuous"/>
          <w:pgSz w:w="11906" w:h="16838"/>
          <w:pgMar w:top="1418" w:right="1134" w:bottom="1134" w:left="1701" w:header="709" w:footer="709" w:gutter="0"/>
          <w:cols w:space="708"/>
          <w:titlePg/>
          <w:docGrid w:linePitch="360"/>
        </w:sectPr>
      </w:pPr>
      <w:r w:rsidRPr="003C6DDE">
        <w:rPr>
          <w:rFonts w:eastAsia="Times New Roman"/>
          <w:b/>
          <w:sz w:val="24"/>
          <w:szCs w:val="24"/>
          <w:lang w:val="lv-LV" w:eastAsia="lv-LV"/>
        </w:rPr>
        <w:t>Anotācijas II</w:t>
      </w:r>
      <w:r w:rsidR="00706AFB" w:rsidRPr="003C6DDE">
        <w:rPr>
          <w:rFonts w:eastAsia="Times New Roman"/>
          <w:b/>
          <w:sz w:val="24"/>
          <w:szCs w:val="24"/>
          <w:lang w:val="lv-LV" w:eastAsia="lv-LV"/>
        </w:rPr>
        <w:t>I</w:t>
      </w:r>
      <w:r w:rsidRPr="003C6DDE">
        <w:rPr>
          <w:rFonts w:eastAsia="Times New Roman"/>
          <w:b/>
          <w:sz w:val="24"/>
          <w:szCs w:val="24"/>
          <w:lang w:val="lv-LV" w:eastAsia="lv-LV"/>
        </w:rPr>
        <w:t>, IV</w:t>
      </w:r>
      <w:r w:rsidR="00DB184B" w:rsidRPr="003C6DDE">
        <w:rPr>
          <w:rFonts w:eastAsia="Times New Roman"/>
          <w:b/>
          <w:sz w:val="24"/>
          <w:szCs w:val="24"/>
          <w:lang w:val="lv-LV" w:eastAsia="lv-LV"/>
        </w:rPr>
        <w:t>,</w:t>
      </w:r>
      <w:r w:rsidR="00706AFB" w:rsidRPr="003C6DDE">
        <w:rPr>
          <w:rFonts w:eastAsia="Times New Roman"/>
          <w:b/>
          <w:sz w:val="24"/>
          <w:szCs w:val="24"/>
          <w:lang w:val="lv-LV" w:eastAsia="lv-LV"/>
        </w:rPr>
        <w:t xml:space="preserve"> </w:t>
      </w:r>
      <w:r w:rsidRPr="003C6DDE">
        <w:rPr>
          <w:rFonts w:eastAsia="Times New Roman"/>
          <w:b/>
          <w:sz w:val="24"/>
          <w:szCs w:val="24"/>
          <w:lang w:val="lv-LV" w:eastAsia="lv-LV"/>
        </w:rPr>
        <w:t>VI sadaļa – projekts šo jomu neskar</w:t>
      </w:r>
    </w:p>
    <w:p w:rsidR="00E009B0" w:rsidRPr="003C6DDE" w:rsidRDefault="00887653" w:rsidP="00F22471">
      <w:pPr>
        <w:tabs>
          <w:tab w:val="left" w:pos="7655"/>
        </w:tabs>
        <w:jc w:val="both"/>
        <w:rPr>
          <w:sz w:val="24"/>
          <w:szCs w:val="24"/>
          <w:highlight w:val="yellow"/>
          <w:lang w:val="lv-LV"/>
        </w:rPr>
      </w:pPr>
      <w:r w:rsidRPr="003C6DDE">
        <w:rPr>
          <w:sz w:val="24"/>
          <w:szCs w:val="24"/>
          <w:highlight w:val="yellow"/>
          <w:lang w:val="lv-LV"/>
        </w:rPr>
        <w:lastRenderedPageBreak/>
        <w:t xml:space="preserve"> </w:t>
      </w:r>
    </w:p>
    <w:p w:rsidR="002F75EE" w:rsidRPr="003C6DDE" w:rsidRDefault="002F75EE" w:rsidP="00F22471">
      <w:pPr>
        <w:tabs>
          <w:tab w:val="left" w:pos="7655"/>
        </w:tabs>
        <w:jc w:val="both"/>
        <w:rPr>
          <w:sz w:val="24"/>
          <w:szCs w:val="24"/>
          <w:highlight w:val="yellow"/>
          <w:lang w:val="lv-LV"/>
        </w:rPr>
      </w:pPr>
    </w:p>
    <w:p w:rsidR="002F75EE" w:rsidRPr="003C6DDE" w:rsidRDefault="002F75EE" w:rsidP="00F22471">
      <w:pPr>
        <w:tabs>
          <w:tab w:val="left" w:pos="7655"/>
        </w:tabs>
        <w:jc w:val="both"/>
        <w:rPr>
          <w:sz w:val="24"/>
          <w:szCs w:val="24"/>
          <w:highlight w:val="yellow"/>
          <w:lang w:val="lv-LV"/>
        </w:rPr>
      </w:pPr>
    </w:p>
    <w:p w:rsidR="00BE6E9C" w:rsidRPr="003C6DDE" w:rsidRDefault="00BE6E9C" w:rsidP="00A43665">
      <w:pPr>
        <w:tabs>
          <w:tab w:val="right" w:pos="9072"/>
        </w:tabs>
        <w:rPr>
          <w:sz w:val="24"/>
          <w:szCs w:val="24"/>
          <w:highlight w:val="yellow"/>
          <w:lang w:val="lv-LV"/>
        </w:rPr>
      </w:pPr>
    </w:p>
    <w:p w:rsidR="00636A5B" w:rsidRDefault="00636A5B" w:rsidP="00636A5B">
      <w:pPr>
        <w:jc w:val="both"/>
        <w:rPr>
          <w:sz w:val="24"/>
          <w:szCs w:val="24"/>
        </w:rPr>
      </w:pPr>
      <w:proofErr w:type="spellStart"/>
      <w:r>
        <w:rPr>
          <w:sz w:val="24"/>
          <w:szCs w:val="24"/>
        </w:rPr>
        <w:t>Ekonomikas</w:t>
      </w:r>
      <w:proofErr w:type="spellEnd"/>
      <w:r>
        <w:rPr>
          <w:sz w:val="24"/>
          <w:szCs w:val="24"/>
        </w:rPr>
        <w:t xml:space="preserve"> </w:t>
      </w:r>
      <w:proofErr w:type="spellStart"/>
      <w:r>
        <w:rPr>
          <w:sz w:val="24"/>
          <w:szCs w:val="24"/>
        </w:rPr>
        <w:t>ministre</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D.Reizniece-Ozola</w:t>
      </w:r>
      <w:proofErr w:type="spellEnd"/>
    </w:p>
    <w:p w:rsidR="00636A5B" w:rsidRPr="00DB66E2" w:rsidRDefault="00636A5B" w:rsidP="00636A5B">
      <w:pPr>
        <w:jc w:val="both"/>
        <w:rPr>
          <w:sz w:val="24"/>
          <w:szCs w:val="24"/>
        </w:rPr>
      </w:pPr>
    </w:p>
    <w:p w:rsidR="00522B62" w:rsidRPr="003C6DDE" w:rsidRDefault="00A43665" w:rsidP="00A43665">
      <w:pPr>
        <w:tabs>
          <w:tab w:val="right" w:pos="9072"/>
        </w:tabs>
        <w:rPr>
          <w:sz w:val="24"/>
          <w:szCs w:val="24"/>
          <w:lang w:val="lv-LV"/>
        </w:rPr>
      </w:pPr>
      <w:r w:rsidRPr="003C6DDE">
        <w:rPr>
          <w:sz w:val="24"/>
          <w:szCs w:val="24"/>
          <w:lang w:val="lv-LV"/>
        </w:rPr>
        <w:tab/>
      </w:r>
      <w:r w:rsidRPr="003C6DDE">
        <w:rPr>
          <w:sz w:val="24"/>
          <w:szCs w:val="24"/>
          <w:lang w:val="lv-LV"/>
        </w:rPr>
        <w:tab/>
      </w:r>
      <w:r w:rsidRPr="003C6DDE">
        <w:rPr>
          <w:sz w:val="24"/>
          <w:szCs w:val="24"/>
          <w:lang w:val="lv-LV"/>
        </w:rPr>
        <w:tab/>
      </w:r>
      <w:r w:rsidRPr="003C6DDE">
        <w:rPr>
          <w:sz w:val="24"/>
          <w:szCs w:val="24"/>
          <w:lang w:val="lv-LV"/>
        </w:rPr>
        <w:tab/>
      </w:r>
      <w:r w:rsidRPr="003C6DDE">
        <w:rPr>
          <w:sz w:val="24"/>
          <w:szCs w:val="24"/>
          <w:lang w:val="lv-LV"/>
        </w:rPr>
        <w:tab/>
      </w:r>
    </w:p>
    <w:p w:rsidR="00BE6E9C" w:rsidRPr="003C6DDE" w:rsidRDefault="00BE6E9C" w:rsidP="008E5F7D">
      <w:pPr>
        <w:tabs>
          <w:tab w:val="right" w:pos="9072"/>
        </w:tabs>
        <w:rPr>
          <w:sz w:val="24"/>
          <w:szCs w:val="24"/>
          <w:lang w:val="lv-LV"/>
        </w:rPr>
      </w:pPr>
    </w:p>
    <w:p w:rsidR="00FB4F55" w:rsidRPr="003C6DDE" w:rsidRDefault="00B74BCA" w:rsidP="00114265">
      <w:pPr>
        <w:jc w:val="both"/>
        <w:rPr>
          <w:sz w:val="24"/>
          <w:szCs w:val="24"/>
        </w:rPr>
      </w:pPr>
      <w:r w:rsidRPr="003C6DDE">
        <w:rPr>
          <w:sz w:val="24"/>
          <w:szCs w:val="24"/>
          <w:lang w:val="lv-LV"/>
        </w:rPr>
        <w:t xml:space="preserve">Vīza: </w:t>
      </w:r>
      <w:proofErr w:type="spellStart"/>
      <w:r w:rsidR="00114265" w:rsidRPr="003C6DDE">
        <w:rPr>
          <w:sz w:val="24"/>
          <w:szCs w:val="24"/>
        </w:rPr>
        <w:t>Valsts</w:t>
      </w:r>
      <w:proofErr w:type="spellEnd"/>
      <w:r w:rsidR="00114265" w:rsidRPr="003C6DDE">
        <w:rPr>
          <w:sz w:val="24"/>
          <w:szCs w:val="24"/>
        </w:rPr>
        <w:t xml:space="preserve"> </w:t>
      </w:r>
      <w:proofErr w:type="spellStart"/>
      <w:r w:rsidR="00114265" w:rsidRPr="003C6DDE">
        <w:rPr>
          <w:sz w:val="24"/>
          <w:szCs w:val="24"/>
        </w:rPr>
        <w:t>sekretārs</w:t>
      </w:r>
      <w:proofErr w:type="spellEnd"/>
      <w:r w:rsidR="00FB4F55" w:rsidRPr="003C6DDE">
        <w:rPr>
          <w:sz w:val="24"/>
          <w:szCs w:val="24"/>
        </w:rPr>
        <w:tab/>
      </w:r>
      <w:r w:rsidR="00FB4F55" w:rsidRPr="003C6DDE">
        <w:rPr>
          <w:sz w:val="24"/>
          <w:szCs w:val="24"/>
        </w:rPr>
        <w:tab/>
      </w:r>
      <w:r w:rsidR="00FB4F55" w:rsidRPr="003C6DDE">
        <w:rPr>
          <w:sz w:val="24"/>
          <w:szCs w:val="24"/>
        </w:rPr>
        <w:tab/>
      </w:r>
      <w:r w:rsidR="00FB4F55" w:rsidRPr="003C6DDE">
        <w:rPr>
          <w:sz w:val="24"/>
          <w:szCs w:val="24"/>
        </w:rPr>
        <w:tab/>
      </w:r>
      <w:r w:rsidR="00FB4F55" w:rsidRPr="003C6DDE">
        <w:rPr>
          <w:sz w:val="24"/>
          <w:szCs w:val="24"/>
        </w:rPr>
        <w:tab/>
      </w:r>
      <w:r w:rsidR="00FB4F55" w:rsidRPr="003C6DDE">
        <w:rPr>
          <w:sz w:val="24"/>
          <w:szCs w:val="24"/>
        </w:rPr>
        <w:tab/>
      </w:r>
      <w:r w:rsidR="00FB4F55" w:rsidRPr="003C6DDE">
        <w:rPr>
          <w:sz w:val="24"/>
          <w:szCs w:val="24"/>
        </w:rPr>
        <w:tab/>
      </w:r>
      <w:r w:rsidR="005222C5" w:rsidRPr="003C6DDE">
        <w:rPr>
          <w:sz w:val="24"/>
          <w:szCs w:val="24"/>
        </w:rPr>
        <w:t xml:space="preserve">     </w:t>
      </w:r>
      <w:r w:rsidR="00245E5B">
        <w:rPr>
          <w:sz w:val="24"/>
          <w:szCs w:val="24"/>
        </w:rPr>
        <w:t xml:space="preserve">          </w:t>
      </w:r>
      <w:proofErr w:type="spellStart"/>
      <w:r w:rsidR="00706AFB" w:rsidRPr="003C6DDE">
        <w:rPr>
          <w:sz w:val="24"/>
          <w:szCs w:val="24"/>
        </w:rPr>
        <w:t>R.Beinarovičs</w:t>
      </w:r>
      <w:proofErr w:type="spellEnd"/>
    </w:p>
    <w:p w:rsidR="002F75EE" w:rsidRPr="005222C5" w:rsidRDefault="002F75EE" w:rsidP="00F22471">
      <w:pPr>
        <w:jc w:val="both"/>
        <w:rPr>
          <w:color w:val="000000"/>
          <w:sz w:val="26"/>
          <w:szCs w:val="26"/>
          <w:lang w:val="lv-LV"/>
        </w:rPr>
      </w:pPr>
    </w:p>
    <w:p w:rsidR="002F75EE" w:rsidRDefault="002F75EE" w:rsidP="00F22471">
      <w:pPr>
        <w:jc w:val="both"/>
        <w:rPr>
          <w:color w:val="000000"/>
          <w:sz w:val="28"/>
          <w:szCs w:val="28"/>
          <w:lang w:val="lv-LV"/>
        </w:rPr>
      </w:pPr>
      <w:bookmarkStart w:id="9" w:name="_GoBack"/>
      <w:bookmarkEnd w:id="9"/>
    </w:p>
    <w:p w:rsidR="002F75EE" w:rsidRPr="004F2F78" w:rsidRDefault="002F75EE" w:rsidP="00F22471">
      <w:pPr>
        <w:jc w:val="both"/>
        <w:rPr>
          <w:color w:val="000000"/>
          <w:sz w:val="28"/>
          <w:szCs w:val="28"/>
          <w:lang w:val="lv-LV"/>
        </w:rPr>
      </w:pPr>
    </w:p>
    <w:p w:rsidR="00BF2F17" w:rsidRPr="00487737" w:rsidRDefault="00F91217" w:rsidP="00F22471">
      <w:pPr>
        <w:jc w:val="both"/>
        <w:rPr>
          <w:lang w:val="lv-LV"/>
        </w:rPr>
      </w:pPr>
      <w:r w:rsidRPr="00487737">
        <w:rPr>
          <w:lang w:val="lv-LV"/>
        </w:rPr>
        <w:fldChar w:fldCharType="begin"/>
      </w:r>
      <w:r w:rsidR="00BF2F17" w:rsidRPr="004F2F78">
        <w:rPr>
          <w:lang w:val="lv-LV"/>
        </w:rPr>
        <w:instrText xml:space="preserve"> TIME \@ "dd.MM.yyyy. H:mm" </w:instrText>
      </w:r>
      <w:r w:rsidRPr="00487737">
        <w:rPr>
          <w:lang w:val="lv-LV"/>
        </w:rPr>
        <w:fldChar w:fldCharType="separate"/>
      </w:r>
      <w:r w:rsidR="00636A5B">
        <w:rPr>
          <w:noProof/>
          <w:lang w:val="lv-LV"/>
        </w:rPr>
        <w:t>27.11.2015. 10:11</w:t>
      </w:r>
      <w:r w:rsidRPr="00487737">
        <w:rPr>
          <w:lang w:val="lv-LV"/>
        </w:rPr>
        <w:fldChar w:fldCharType="end"/>
      </w:r>
    </w:p>
    <w:p w:rsidR="00BF2F17" w:rsidRDefault="00E03D96" w:rsidP="00F22471">
      <w:pPr>
        <w:jc w:val="both"/>
        <w:rPr>
          <w:noProof/>
          <w:lang w:val="lv-LV"/>
        </w:rPr>
      </w:pPr>
      <w:r w:rsidRPr="00487737">
        <w:rPr>
          <w:lang w:val="lv-LV"/>
        </w:rPr>
        <w:fldChar w:fldCharType="begin"/>
      </w:r>
      <w:r w:rsidRPr="00487737">
        <w:rPr>
          <w:lang w:val="lv-LV"/>
        </w:rPr>
        <w:instrText xml:space="preserve"> NUMWORDS   \* MERGEFORMAT </w:instrText>
      </w:r>
      <w:r w:rsidRPr="00487737">
        <w:rPr>
          <w:lang w:val="lv-LV"/>
        </w:rPr>
        <w:fldChar w:fldCharType="separate"/>
      </w:r>
      <w:r w:rsidR="00636A5B">
        <w:rPr>
          <w:noProof/>
          <w:lang w:val="lv-LV"/>
        </w:rPr>
        <w:t>1576</w:t>
      </w:r>
      <w:r w:rsidRPr="00487737">
        <w:rPr>
          <w:noProof/>
          <w:lang w:val="lv-LV"/>
        </w:rPr>
        <w:fldChar w:fldCharType="end"/>
      </w:r>
    </w:p>
    <w:p w:rsidR="002009D2" w:rsidRDefault="002009D2" w:rsidP="002009D2">
      <w:pPr>
        <w:rPr>
          <w:noProof/>
          <w:sz w:val="18"/>
          <w:szCs w:val="18"/>
        </w:rPr>
      </w:pPr>
      <w:r>
        <w:rPr>
          <w:noProof/>
          <w:sz w:val="18"/>
          <w:szCs w:val="18"/>
        </w:rPr>
        <w:t>E.Dlohi</w:t>
      </w:r>
    </w:p>
    <w:p w:rsidR="002009D2" w:rsidRDefault="002009D2" w:rsidP="002009D2">
      <w:pPr>
        <w:rPr>
          <w:noProof/>
          <w:sz w:val="18"/>
          <w:szCs w:val="18"/>
        </w:rPr>
      </w:pPr>
      <w:r>
        <w:rPr>
          <w:noProof/>
          <w:sz w:val="18"/>
          <w:szCs w:val="18"/>
        </w:rPr>
        <w:t xml:space="preserve">67013082; </w:t>
      </w:r>
      <w:hyperlink r:id="rId15" w:history="1">
        <w:r w:rsidRPr="00766D22">
          <w:rPr>
            <w:rStyle w:val="Hyperlink"/>
            <w:noProof/>
            <w:sz w:val="18"/>
            <w:szCs w:val="18"/>
          </w:rPr>
          <w:t>Elina.Dlohi@em.gov.lv</w:t>
        </w:r>
      </w:hyperlink>
    </w:p>
    <w:p w:rsidR="002009D2" w:rsidRPr="00487737" w:rsidRDefault="002009D2" w:rsidP="00F22471">
      <w:pPr>
        <w:jc w:val="both"/>
        <w:rPr>
          <w:lang w:val="lv-LV"/>
        </w:rPr>
      </w:pPr>
    </w:p>
    <w:sectPr w:rsidR="002009D2" w:rsidRPr="00487737"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D4" w:rsidRDefault="009010D4" w:rsidP="00B014C2">
      <w:r>
        <w:separator/>
      </w:r>
    </w:p>
  </w:endnote>
  <w:endnote w:type="continuationSeparator" w:id="0">
    <w:p w:rsidR="009010D4" w:rsidRDefault="009010D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2E79E4" w:rsidRDefault="00710226" w:rsidP="00D7256E">
    <w:pPr>
      <w:pStyle w:val="BodyText"/>
      <w:rPr>
        <w:sz w:val="20"/>
      </w:rPr>
    </w:pPr>
    <w:r>
      <w:rPr>
        <w:sz w:val="20"/>
      </w:rPr>
      <w:t>EMAnot_</w:t>
    </w:r>
    <w:r w:rsidR="00295F86">
      <w:rPr>
        <w:sz w:val="20"/>
      </w:rPr>
      <w:t>26</w:t>
    </w:r>
    <w:r w:rsidR="00EA52E5">
      <w:rPr>
        <w:sz w:val="20"/>
      </w:rPr>
      <w:t>1</w:t>
    </w:r>
    <w:r w:rsidR="00E31934">
      <w:rPr>
        <w:sz w:val="20"/>
      </w:rPr>
      <w:t>1</w:t>
    </w:r>
    <w:r w:rsidR="00D11308" w:rsidRPr="002E79E4">
      <w:rPr>
        <w:sz w:val="20"/>
      </w:rPr>
      <w:t>1</w:t>
    </w:r>
    <w:r w:rsidR="00832C33">
      <w:rPr>
        <w:sz w:val="20"/>
      </w:rPr>
      <w:t>5</w:t>
    </w:r>
    <w:r w:rsidR="00655415" w:rsidRPr="002E79E4">
      <w:rPr>
        <w:sz w:val="20"/>
      </w:rPr>
      <w:t>_groz</w:t>
    </w:r>
    <w:r w:rsidR="003A38FD">
      <w:rPr>
        <w:sz w:val="20"/>
      </w:rPr>
      <w:t>164</w:t>
    </w:r>
    <w:r w:rsidR="00511C7D" w:rsidRPr="002E79E4">
      <w:rPr>
        <w:sz w:val="20"/>
      </w:rPr>
      <w:t xml:space="preserve">; </w:t>
    </w:r>
    <w:bookmarkStart w:id="0" w:name="OLE_LINK12"/>
    <w:bookmarkStart w:id="1" w:name="OLE_LINK13"/>
    <w:bookmarkStart w:id="2" w:name="_Hlk259447629"/>
    <w:r w:rsidR="00511C7D" w:rsidRPr="002E79E4">
      <w:rPr>
        <w:sz w:val="20"/>
      </w:rPr>
      <w:t xml:space="preserve">Ministru kabineta noteikumu projekta </w:t>
    </w:r>
    <w:r w:rsidR="003A38FD" w:rsidRPr="003A38FD">
      <w:rPr>
        <w:sz w:val="20"/>
      </w:rPr>
      <w:t>„Grozījumi Ministru kabineta 2009.gada 17.februāra noteikumos Nr.164 „</w:t>
    </w:r>
    <w:r w:rsidR="00832C33" w:rsidRPr="009F2831">
      <w:rPr>
        <w:sz w:val="20"/>
      </w:rPr>
      <w:t>Noteikumi par aizdevumiem saimnieciskās darbības uzsācējiem un komersantiem konkurētspējas uzlabošanai</w:t>
    </w:r>
    <w:r w:rsidR="003A38FD" w:rsidRPr="003A38FD">
      <w:rPr>
        <w:sz w:val="20"/>
      </w:rPr>
      <w:t xml:space="preserve">”” </w:t>
    </w:r>
    <w:r w:rsidR="00511C7D" w:rsidRPr="002E79E4">
      <w:rPr>
        <w:sz w:val="20"/>
      </w:rPr>
      <w:t xml:space="preserve">sākotnējās ietekmes novērtējuma </w:t>
    </w:r>
    <w:smartTag w:uri="schemas-tilde-lv/tildestengine" w:element="veidnes">
      <w:smartTagPr>
        <w:attr w:name="id" w:val="-1"/>
        <w:attr w:name="baseform" w:val="ziņojums"/>
        <w:attr w:name="text" w:val="ziņojums"/>
      </w:smartTagPr>
      <w:r w:rsidR="00511C7D" w:rsidRPr="002E79E4">
        <w:rPr>
          <w:sz w:val="20"/>
        </w:rPr>
        <w:t>ziņojums</w:t>
      </w:r>
    </w:smartTag>
    <w:r w:rsidR="00511C7D" w:rsidRPr="002E79E4">
      <w:rPr>
        <w:sz w:val="20"/>
      </w:rPr>
      <w:t xml:space="preserve">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FB" w:rsidRPr="002E79E4" w:rsidRDefault="00706AFB" w:rsidP="00706AFB">
    <w:pPr>
      <w:pStyle w:val="BodyText"/>
      <w:rPr>
        <w:sz w:val="20"/>
      </w:rPr>
    </w:pPr>
    <w:r>
      <w:rPr>
        <w:sz w:val="20"/>
      </w:rPr>
      <w:t>EMAnot_</w:t>
    </w:r>
    <w:r w:rsidR="00295F86">
      <w:rPr>
        <w:sz w:val="20"/>
      </w:rPr>
      <w:t>26</w:t>
    </w:r>
    <w:r>
      <w:rPr>
        <w:sz w:val="20"/>
      </w:rPr>
      <w:t>1</w:t>
    </w:r>
    <w:r w:rsidR="00E31934">
      <w:rPr>
        <w:sz w:val="20"/>
      </w:rPr>
      <w:t>1</w:t>
    </w:r>
    <w:r w:rsidRPr="002E79E4">
      <w:rPr>
        <w:sz w:val="20"/>
      </w:rPr>
      <w:t>1</w:t>
    </w:r>
    <w:r>
      <w:rPr>
        <w:sz w:val="20"/>
      </w:rPr>
      <w:t>5</w:t>
    </w:r>
    <w:r w:rsidRPr="002E79E4">
      <w:rPr>
        <w:sz w:val="20"/>
      </w:rPr>
      <w:t>_groz</w:t>
    </w:r>
    <w:r>
      <w:rPr>
        <w:sz w:val="20"/>
      </w:rPr>
      <w:t>164</w:t>
    </w:r>
    <w:r w:rsidRPr="002E79E4">
      <w:rPr>
        <w:sz w:val="20"/>
      </w:rPr>
      <w:t xml:space="preserve">; Ministru kabineta noteikumu projekta </w:t>
    </w:r>
    <w:r w:rsidRPr="003A38FD">
      <w:rPr>
        <w:sz w:val="20"/>
      </w:rPr>
      <w:t>„Grozījumi Ministru kabineta 2009.gada 17.februāra noteikumos Nr.164 „</w:t>
    </w:r>
    <w:r w:rsidRPr="009F2831">
      <w:rPr>
        <w:sz w:val="20"/>
      </w:rPr>
      <w:t>Noteikumi par aizdevumiem saimnieciskās darbības uzsācējiem un komersantiem konkurētspējas uzlabošanai</w:t>
    </w:r>
    <w:r w:rsidRPr="003A38FD">
      <w:rPr>
        <w:sz w:val="20"/>
      </w:rPr>
      <w:t xml:space="preserve">”” </w:t>
    </w:r>
    <w:r w:rsidRPr="002E79E4">
      <w:rPr>
        <w:sz w:val="20"/>
      </w:rPr>
      <w:t xml:space="preserve">sākotnējās ietekmes novērtējuma </w:t>
    </w:r>
    <w:smartTag w:uri="schemas-tilde-lv/tildestengine" w:element="veidnes">
      <w:smartTagPr>
        <w:attr w:name="id" w:val="-1"/>
        <w:attr w:name="baseform" w:val="ziņojums"/>
        <w:attr w:name="text" w:val="ziņojums"/>
      </w:smartTagPr>
      <w:r w:rsidRPr="002E79E4">
        <w:rPr>
          <w:sz w:val="20"/>
        </w:rPr>
        <w:t>ziņojums</w:t>
      </w:r>
    </w:smartTag>
    <w:r w:rsidRPr="002E79E4">
      <w:rPr>
        <w:sz w:val="20"/>
      </w:rPr>
      <w:t xml:space="preserve"> (anotācija)</w:t>
    </w:r>
  </w:p>
  <w:p w:rsidR="00D11308" w:rsidRPr="00706AFB" w:rsidRDefault="00D11308" w:rsidP="00706A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FB" w:rsidRPr="002E79E4" w:rsidRDefault="00706AFB" w:rsidP="00706AFB">
    <w:pPr>
      <w:pStyle w:val="BodyText"/>
      <w:rPr>
        <w:sz w:val="20"/>
      </w:rPr>
    </w:pPr>
    <w:r>
      <w:rPr>
        <w:sz w:val="20"/>
      </w:rPr>
      <w:t>EMAnot_2210</w:t>
    </w:r>
    <w:r w:rsidRPr="002E79E4">
      <w:rPr>
        <w:sz w:val="20"/>
      </w:rPr>
      <w:t>1</w:t>
    </w:r>
    <w:r>
      <w:rPr>
        <w:sz w:val="20"/>
      </w:rPr>
      <w:t>5</w:t>
    </w:r>
    <w:r w:rsidRPr="002E79E4">
      <w:rPr>
        <w:sz w:val="20"/>
      </w:rPr>
      <w:t>_groz</w:t>
    </w:r>
    <w:r>
      <w:rPr>
        <w:sz w:val="20"/>
      </w:rPr>
      <w:t>164</w:t>
    </w:r>
    <w:r w:rsidRPr="002E79E4">
      <w:rPr>
        <w:sz w:val="20"/>
      </w:rPr>
      <w:t xml:space="preserve">; Ministru kabineta noteikumu projekta </w:t>
    </w:r>
    <w:r w:rsidRPr="003A38FD">
      <w:rPr>
        <w:sz w:val="20"/>
      </w:rPr>
      <w:t>„Grozījumi Ministru kabineta 2009.gada 17.februāra noteikumos Nr.164 „</w:t>
    </w:r>
    <w:r w:rsidRPr="009F2831">
      <w:rPr>
        <w:sz w:val="20"/>
      </w:rPr>
      <w:t>Noteikumi par aizdevumiem saimnieciskās darbības uzsācējiem un komersantiem konkurētspējas uzlabošanai</w:t>
    </w:r>
    <w:r w:rsidRPr="003A38FD">
      <w:rPr>
        <w:sz w:val="20"/>
      </w:rPr>
      <w:t xml:space="preserve">”” </w:t>
    </w:r>
    <w:r w:rsidRPr="002E79E4">
      <w:rPr>
        <w:sz w:val="20"/>
      </w:rPr>
      <w:t xml:space="preserve">sākotnējās ietekmes novērtējuma </w:t>
    </w:r>
    <w:smartTag w:uri="schemas-tilde-lv/tildestengine" w:element="veidnes">
      <w:smartTagPr>
        <w:attr w:name="id" w:val="-1"/>
        <w:attr w:name="baseform" w:val="ziņojums"/>
        <w:attr w:name="text" w:val="ziņojums"/>
      </w:smartTagPr>
      <w:r w:rsidRPr="002E79E4">
        <w:rPr>
          <w:sz w:val="20"/>
        </w:rPr>
        <w:t>ziņojums</w:t>
      </w:r>
    </w:smartTag>
    <w:r w:rsidRPr="002E79E4">
      <w:rPr>
        <w:sz w:val="20"/>
      </w:rPr>
      <w:t xml:space="preserve"> (anotācija)</w:t>
    </w:r>
  </w:p>
  <w:p w:rsidR="00D11308" w:rsidRPr="000346D0" w:rsidRDefault="00D11308" w:rsidP="0003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D4" w:rsidRDefault="009010D4" w:rsidP="00B014C2">
      <w:r>
        <w:separator/>
      </w:r>
    </w:p>
  </w:footnote>
  <w:footnote w:type="continuationSeparator" w:id="0">
    <w:p w:rsidR="009010D4" w:rsidRDefault="009010D4" w:rsidP="00B014C2">
      <w:r>
        <w:continuationSeparator/>
      </w:r>
    </w:p>
  </w:footnote>
  <w:footnote w:id="1">
    <w:p w:rsidR="00F65581" w:rsidRPr="00F65581" w:rsidRDefault="00F65581" w:rsidP="00F65581">
      <w:pPr>
        <w:pStyle w:val="FootnoteText"/>
        <w:jc w:val="both"/>
        <w:rPr>
          <w:lang w:val="lv-LV"/>
        </w:rPr>
      </w:pPr>
      <w:r>
        <w:rPr>
          <w:rStyle w:val="FootnoteReference"/>
        </w:rPr>
        <w:footnoteRef/>
      </w:r>
      <w:r>
        <w:t xml:space="preserve"> </w:t>
      </w:r>
      <w:proofErr w:type="spellStart"/>
      <w:r w:rsidRPr="00F65581">
        <w:t>Ministru</w:t>
      </w:r>
      <w:proofErr w:type="spellEnd"/>
      <w:r w:rsidRPr="00F65581">
        <w:t xml:space="preserve"> </w:t>
      </w:r>
      <w:proofErr w:type="spellStart"/>
      <w:r w:rsidRPr="00F65581">
        <w:t>kabine</w:t>
      </w:r>
      <w:r>
        <w:t>ta</w:t>
      </w:r>
      <w:proofErr w:type="spellEnd"/>
      <w:r>
        <w:t xml:space="preserve"> 2009.gada 10.marta </w:t>
      </w:r>
      <w:proofErr w:type="spellStart"/>
      <w:r>
        <w:t>noteikumi</w:t>
      </w:r>
      <w:proofErr w:type="spellEnd"/>
      <w:r w:rsidRPr="00F65581">
        <w:t xml:space="preserve"> Nr.238 "</w:t>
      </w:r>
      <w:proofErr w:type="spellStart"/>
      <w:r w:rsidRPr="00F65581">
        <w:t>Noteikumi</w:t>
      </w:r>
      <w:proofErr w:type="spellEnd"/>
      <w:r w:rsidRPr="00F65581">
        <w:t xml:space="preserve"> par </w:t>
      </w:r>
      <w:proofErr w:type="spellStart"/>
      <w:r w:rsidRPr="00F65581">
        <w:t>darbības</w:t>
      </w:r>
      <w:proofErr w:type="spellEnd"/>
      <w:r w:rsidRPr="00F65581">
        <w:t xml:space="preserve"> </w:t>
      </w:r>
      <w:proofErr w:type="spellStart"/>
      <w:r w:rsidRPr="00F65581">
        <w:t>programmas</w:t>
      </w:r>
      <w:proofErr w:type="spellEnd"/>
      <w:r w:rsidRPr="00F65581">
        <w:t xml:space="preserve"> "</w:t>
      </w:r>
      <w:proofErr w:type="spellStart"/>
      <w:r w:rsidRPr="00F65581">
        <w:t>Uzņēmējdarbība</w:t>
      </w:r>
      <w:proofErr w:type="spellEnd"/>
      <w:r w:rsidRPr="00F65581">
        <w:t xml:space="preserve"> un </w:t>
      </w:r>
      <w:proofErr w:type="spellStart"/>
      <w:r w:rsidRPr="00F65581">
        <w:t>inovācijas</w:t>
      </w:r>
      <w:proofErr w:type="spellEnd"/>
      <w:r w:rsidRPr="00F65581">
        <w:t xml:space="preserve">" </w:t>
      </w:r>
      <w:proofErr w:type="spellStart"/>
      <w:r w:rsidRPr="00F65581">
        <w:t>papildinājuma</w:t>
      </w:r>
      <w:proofErr w:type="spellEnd"/>
      <w:r w:rsidRPr="00F65581">
        <w:t xml:space="preserve"> 2.2.1.4.1.apakšaktivitāti "Atbalsts </w:t>
      </w:r>
      <w:proofErr w:type="spellStart"/>
      <w:r w:rsidRPr="00F65581">
        <w:t>aizdevumu</w:t>
      </w:r>
      <w:proofErr w:type="spellEnd"/>
      <w:r w:rsidRPr="00F65581">
        <w:t xml:space="preserve"> </w:t>
      </w:r>
      <w:proofErr w:type="spellStart"/>
      <w:r w:rsidRPr="00F65581">
        <w:t>veidā</w:t>
      </w:r>
      <w:proofErr w:type="spellEnd"/>
      <w:r w:rsidRPr="00F65581">
        <w:t xml:space="preserve"> </w:t>
      </w:r>
      <w:proofErr w:type="spellStart"/>
      <w:r w:rsidRPr="00F65581">
        <w:t>komersantu</w:t>
      </w:r>
      <w:proofErr w:type="spellEnd"/>
      <w:r w:rsidRPr="00F65581">
        <w:t xml:space="preserve"> </w:t>
      </w:r>
      <w:proofErr w:type="spellStart"/>
      <w:r w:rsidRPr="00F65581">
        <w:t>konkurētspējas</w:t>
      </w:r>
      <w:proofErr w:type="spellEnd"/>
      <w:r w:rsidRPr="00F65581">
        <w:t xml:space="preserve"> </w:t>
      </w:r>
      <w:proofErr w:type="spellStart"/>
      <w:r w:rsidRPr="00F65581">
        <w:t>uzlabošanai</w:t>
      </w:r>
      <w:proofErr w:type="spellEnd"/>
      <w:r w:rsidRPr="00F65581">
        <w:t>""</w:t>
      </w:r>
    </w:p>
  </w:footnote>
  <w:footnote w:id="2">
    <w:p w:rsidR="005A4243" w:rsidRPr="005A4243" w:rsidRDefault="005A4243">
      <w:pPr>
        <w:pStyle w:val="FootnoteText"/>
      </w:pPr>
      <w:r>
        <w:rPr>
          <w:rStyle w:val="FootnoteReference"/>
        </w:rPr>
        <w:footnoteRef/>
      </w:r>
      <w:r>
        <w:t xml:space="preserve"> </w:t>
      </w:r>
      <w:r w:rsidRPr="005A4243">
        <w:t>http://tap.mk.gov.lv/mk/mksedes/saraksts/protokols/?protokols=2013-03-05</w:t>
      </w:r>
    </w:p>
  </w:footnote>
  <w:footnote w:id="3">
    <w:p w:rsidR="00403B20" w:rsidRPr="00403B20" w:rsidRDefault="00403B20">
      <w:pPr>
        <w:pStyle w:val="FootnoteText"/>
        <w:rPr>
          <w:lang w:val="lv-LV"/>
        </w:rPr>
      </w:pPr>
      <w:r>
        <w:rPr>
          <w:rStyle w:val="FootnoteReference"/>
        </w:rPr>
        <w:footnoteRef/>
      </w:r>
      <w:r>
        <w:t xml:space="preserve"> </w:t>
      </w:r>
      <w:r>
        <w:rPr>
          <w:lang w:val="lv-LV"/>
        </w:rPr>
        <w:t>Uz to brīdi valsts akciju sabiedrība “Latvijas Hipotēku un zemes banka”</w:t>
      </w:r>
    </w:p>
  </w:footnote>
  <w:footnote w:id="4">
    <w:p w:rsidR="00245E5B" w:rsidRPr="00245E5B" w:rsidRDefault="005A4243">
      <w:pPr>
        <w:pStyle w:val="FootnoteText"/>
      </w:pPr>
      <w:r>
        <w:rPr>
          <w:rStyle w:val="FootnoteReference"/>
        </w:rPr>
        <w:footnoteRef/>
      </w:r>
      <w:r>
        <w:t xml:space="preserve"> </w:t>
      </w:r>
      <w:r w:rsidRPr="005A4243">
        <w:t>http://tap.mk.gov.lv/mk/mksedes/saraksts/protokols/?protokols=2013-05-28</w:t>
      </w:r>
    </w:p>
  </w:footnote>
  <w:footnote w:id="5">
    <w:p w:rsidR="005A4243" w:rsidRPr="00245E5B" w:rsidRDefault="005A4243">
      <w:pPr>
        <w:pStyle w:val="FootnoteText"/>
      </w:pPr>
      <w:r>
        <w:rPr>
          <w:rStyle w:val="FootnoteReference"/>
        </w:rPr>
        <w:footnoteRef/>
      </w:r>
      <w:r>
        <w:t xml:space="preserve"> </w:t>
      </w:r>
      <w:hyperlink r:id="rId1" w:history="1">
        <w:r w:rsidRPr="00171661">
          <w:rPr>
            <w:rStyle w:val="Hyperlink"/>
          </w:rPr>
          <w:t>http://tap.mk.gov.lv/mk/mksedes/saraksts/protokols/?protokols=2013-08-20</w:t>
        </w:r>
      </w:hyperlink>
    </w:p>
  </w:footnote>
  <w:footnote w:id="6">
    <w:p w:rsidR="00382D4C" w:rsidRPr="00382D4C" w:rsidRDefault="00382D4C">
      <w:pPr>
        <w:pStyle w:val="FootnoteText"/>
        <w:rPr>
          <w:lang w:val="lv-LV"/>
        </w:rPr>
      </w:pPr>
      <w:r>
        <w:rPr>
          <w:rStyle w:val="FootnoteReference"/>
        </w:rPr>
        <w:footnoteRef/>
      </w:r>
      <w:r>
        <w:t xml:space="preserve"> </w:t>
      </w:r>
      <w:proofErr w:type="spellStart"/>
      <w:r w:rsidRPr="00382D4C">
        <w:t>Ministru</w:t>
      </w:r>
      <w:proofErr w:type="spellEnd"/>
      <w:r w:rsidRPr="00382D4C">
        <w:t xml:space="preserve"> </w:t>
      </w:r>
      <w:proofErr w:type="spellStart"/>
      <w:r w:rsidRPr="00382D4C">
        <w:t>kabinet</w:t>
      </w:r>
      <w:r>
        <w:t>a</w:t>
      </w:r>
      <w:proofErr w:type="spellEnd"/>
      <w:r>
        <w:t xml:space="preserve"> 2009.gada 31.marta </w:t>
      </w:r>
      <w:proofErr w:type="spellStart"/>
      <w:r>
        <w:t>noteikumi</w:t>
      </w:r>
      <w:proofErr w:type="spellEnd"/>
      <w:r>
        <w:t xml:space="preserve"> </w:t>
      </w:r>
      <w:r w:rsidRPr="00382D4C">
        <w:t>Nr.293 "</w:t>
      </w:r>
      <w:proofErr w:type="spellStart"/>
      <w:r w:rsidRPr="00382D4C">
        <w:t>Noteikumi</w:t>
      </w:r>
      <w:proofErr w:type="spellEnd"/>
      <w:r w:rsidRPr="00382D4C">
        <w:t xml:space="preserve"> par </w:t>
      </w:r>
      <w:proofErr w:type="spellStart"/>
      <w:r w:rsidRPr="00382D4C">
        <w:t>darbības</w:t>
      </w:r>
      <w:proofErr w:type="spellEnd"/>
      <w:r w:rsidRPr="00382D4C">
        <w:t xml:space="preserve"> </w:t>
      </w:r>
      <w:proofErr w:type="spellStart"/>
      <w:r w:rsidRPr="00382D4C">
        <w:t>programmas</w:t>
      </w:r>
      <w:proofErr w:type="spellEnd"/>
      <w:r w:rsidRPr="00382D4C">
        <w:t xml:space="preserve"> "</w:t>
      </w:r>
      <w:proofErr w:type="spellStart"/>
      <w:r w:rsidRPr="00382D4C">
        <w:t>Cilvēkresursi</w:t>
      </w:r>
      <w:proofErr w:type="spellEnd"/>
      <w:r w:rsidRPr="00382D4C">
        <w:t xml:space="preserve"> un </w:t>
      </w:r>
      <w:proofErr w:type="spellStart"/>
      <w:r w:rsidRPr="00382D4C">
        <w:t>nodarbinātība</w:t>
      </w:r>
      <w:proofErr w:type="spellEnd"/>
      <w:r w:rsidRPr="00382D4C">
        <w:t xml:space="preserve">" </w:t>
      </w:r>
      <w:proofErr w:type="spellStart"/>
      <w:r w:rsidRPr="00382D4C">
        <w:t>papildinājuma</w:t>
      </w:r>
      <w:proofErr w:type="spellEnd"/>
      <w:r w:rsidRPr="00382D4C">
        <w:t xml:space="preserve"> 1.3.1.2.aktivitāti "Atbalsts </w:t>
      </w:r>
      <w:proofErr w:type="spellStart"/>
      <w:r w:rsidRPr="00382D4C">
        <w:t>pašnodarbinātības</w:t>
      </w:r>
      <w:proofErr w:type="spellEnd"/>
      <w:r w:rsidRPr="00382D4C">
        <w:t xml:space="preserve"> un </w:t>
      </w:r>
      <w:proofErr w:type="spellStart"/>
      <w:r w:rsidRPr="00382D4C">
        <w:t>uzņēmējdarbības</w:t>
      </w:r>
      <w:proofErr w:type="spellEnd"/>
      <w:r w:rsidRPr="00382D4C">
        <w:t xml:space="preserve"> </w:t>
      </w:r>
      <w:proofErr w:type="spellStart"/>
      <w:r w:rsidRPr="00382D4C">
        <w:t>uzsākšanai</w:t>
      </w:r>
      <w:proofErr w:type="spellEnd"/>
      <w:r w:rsidRPr="00382D4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636A5B">
          <w:rPr>
            <w:noProof/>
            <w:sz w:val="24"/>
            <w:szCs w:val="24"/>
          </w:rPr>
          <w:t>7</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326330"/>
    <w:multiLevelType w:val="hybridMultilevel"/>
    <w:tmpl w:val="EB1C1C1C"/>
    <w:lvl w:ilvl="0" w:tplc="818433F0">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B67056"/>
    <w:multiLevelType w:val="hybridMultilevel"/>
    <w:tmpl w:val="0AA82AC4"/>
    <w:lvl w:ilvl="0" w:tplc="D4C05220">
      <w:start w:val="28"/>
      <w:numFmt w:val="bullet"/>
      <w:lvlText w:val="-"/>
      <w:lvlJc w:val="left"/>
      <w:pPr>
        <w:ind w:left="420" w:hanging="360"/>
      </w:pPr>
      <w:rPr>
        <w:rFonts w:ascii="Times New Roman" w:eastAsiaTheme="minorHAnsi" w:hAnsi="Times New Roman" w:cs="Times New Roman" w:hint="default"/>
        <w:u w:val="single"/>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3">
    <w:nsid w:val="3A16233E"/>
    <w:multiLevelType w:val="hybridMultilevel"/>
    <w:tmpl w:val="2EE8EA98"/>
    <w:lvl w:ilvl="0" w:tplc="3D0421A6">
      <w:numFmt w:val="bullet"/>
      <w:lvlText w:val="-"/>
      <w:lvlJc w:val="left"/>
      <w:pPr>
        <w:ind w:left="420" w:hanging="360"/>
      </w:pPr>
      <w:rPr>
        <w:rFonts w:ascii="Times New Roman" w:eastAsiaTheme="minorHAnsi" w:hAnsi="Times New Roman" w:cs="Times New Roman" w:hint="default"/>
        <w:i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3F64A54"/>
    <w:multiLevelType w:val="hybridMultilevel"/>
    <w:tmpl w:val="79D691EC"/>
    <w:lvl w:ilvl="0" w:tplc="C0561606">
      <w:start w:val="1"/>
      <w:numFmt w:val="decimal"/>
      <w:lvlText w:val="%1."/>
      <w:lvlJc w:val="left"/>
      <w:pPr>
        <w:ind w:left="720"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774206E"/>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2">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3">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1"/>
  </w:num>
  <w:num w:numId="2">
    <w:abstractNumId w:val="9"/>
  </w:num>
  <w:num w:numId="3">
    <w:abstractNumId w:val="17"/>
  </w:num>
  <w:num w:numId="4">
    <w:abstractNumId w:val="3"/>
  </w:num>
  <w:num w:numId="5">
    <w:abstractNumId w:val="1"/>
  </w:num>
  <w:num w:numId="6">
    <w:abstractNumId w:val="14"/>
  </w:num>
  <w:num w:numId="7">
    <w:abstractNumId w:val="23"/>
  </w:num>
  <w:num w:numId="8">
    <w:abstractNumId w:val="7"/>
  </w:num>
  <w:num w:numId="9">
    <w:abstractNumId w:val="15"/>
  </w:num>
  <w:num w:numId="10">
    <w:abstractNumId w:val="19"/>
  </w:num>
  <w:num w:numId="11">
    <w:abstractNumId w:val="5"/>
  </w:num>
  <w:num w:numId="12">
    <w:abstractNumId w:val="10"/>
  </w:num>
  <w:num w:numId="13">
    <w:abstractNumId w:val="22"/>
  </w:num>
  <w:num w:numId="14">
    <w:abstractNumId w:val="4"/>
  </w:num>
  <w:num w:numId="15">
    <w:abstractNumId w:val="6"/>
  </w:num>
  <w:num w:numId="16">
    <w:abstractNumId w:val="12"/>
  </w:num>
  <w:num w:numId="17">
    <w:abstractNumId w:val="0"/>
  </w:num>
  <w:num w:numId="18">
    <w:abstractNumId w:val="2"/>
  </w:num>
  <w:num w:numId="19">
    <w:abstractNumId w:val="18"/>
  </w:num>
  <w:num w:numId="20">
    <w:abstractNumId w:val="20"/>
  </w:num>
  <w:num w:numId="21">
    <w:abstractNumId w:val="8"/>
  </w:num>
  <w:num w:numId="22">
    <w:abstractNumId w:val="16"/>
  </w:num>
  <w:num w:numId="23">
    <w:abstractNumId w:val="11"/>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Mauriņa">
    <w15:presenceInfo w15:providerId="AD" w15:userId="S-1-5-21-734147818-1251574435-2103723179-7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729"/>
    <w:rsid w:val="0001186C"/>
    <w:rsid w:val="000120A0"/>
    <w:rsid w:val="00014006"/>
    <w:rsid w:val="0001626D"/>
    <w:rsid w:val="0001764D"/>
    <w:rsid w:val="00020A02"/>
    <w:rsid w:val="000214DF"/>
    <w:rsid w:val="00026BA7"/>
    <w:rsid w:val="00026C03"/>
    <w:rsid w:val="000275AB"/>
    <w:rsid w:val="0002762A"/>
    <w:rsid w:val="00031099"/>
    <w:rsid w:val="000320DD"/>
    <w:rsid w:val="000346D0"/>
    <w:rsid w:val="0003693D"/>
    <w:rsid w:val="00036E03"/>
    <w:rsid w:val="0004167C"/>
    <w:rsid w:val="000445F3"/>
    <w:rsid w:val="00045F54"/>
    <w:rsid w:val="000467E4"/>
    <w:rsid w:val="00047EF5"/>
    <w:rsid w:val="00050184"/>
    <w:rsid w:val="00050EA4"/>
    <w:rsid w:val="00051B13"/>
    <w:rsid w:val="00052380"/>
    <w:rsid w:val="000564DA"/>
    <w:rsid w:val="000578CC"/>
    <w:rsid w:val="000605AB"/>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2564"/>
    <w:rsid w:val="000A402E"/>
    <w:rsid w:val="000A4AED"/>
    <w:rsid w:val="000A50D5"/>
    <w:rsid w:val="000A548B"/>
    <w:rsid w:val="000A5FB9"/>
    <w:rsid w:val="000B0719"/>
    <w:rsid w:val="000B08FC"/>
    <w:rsid w:val="000B10BD"/>
    <w:rsid w:val="000B2AE3"/>
    <w:rsid w:val="000B5B6D"/>
    <w:rsid w:val="000D0388"/>
    <w:rsid w:val="000D19C8"/>
    <w:rsid w:val="000D1DDA"/>
    <w:rsid w:val="000D2F05"/>
    <w:rsid w:val="000D4DC9"/>
    <w:rsid w:val="000D6DF2"/>
    <w:rsid w:val="000D725E"/>
    <w:rsid w:val="000E2F17"/>
    <w:rsid w:val="000E409F"/>
    <w:rsid w:val="000E4277"/>
    <w:rsid w:val="000E4364"/>
    <w:rsid w:val="000E76F0"/>
    <w:rsid w:val="000F0232"/>
    <w:rsid w:val="000F6C72"/>
    <w:rsid w:val="000F6E9E"/>
    <w:rsid w:val="001000B5"/>
    <w:rsid w:val="001002E4"/>
    <w:rsid w:val="0010079A"/>
    <w:rsid w:val="0010385C"/>
    <w:rsid w:val="00103FE1"/>
    <w:rsid w:val="0010410B"/>
    <w:rsid w:val="001047E8"/>
    <w:rsid w:val="0010582B"/>
    <w:rsid w:val="00114265"/>
    <w:rsid w:val="00115E25"/>
    <w:rsid w:val="0011777C"/>
    <w:rsid w:val="00120651"/>
    <w:rsid w:val="0012067B"/>
    <w:rsid w:val="00120C26"/>
    <w:rsid w:val="001232D1"/>
    <w:rsid w:val="001254CC"/>
    <w:rsid w:val="001267F1"/>
    <w:rsid w:val="001305B3"/>
    <w:rsid w:val="00130697"/>
    <w:rsid w:val="00130D33"/>
    <w:rsid w:val="00131980"/>
    <w:rsid w:val="00131C62"/>
    <w:rsid w:val="00134E0F"/>
    <w:rsid w:val="00141C49"/>
    <w:rsid w:val="001428EB"/>
    <w:rsid w:val="00142A69"/>
    <w:rsid w:val="00142AC2"/>
    <w:rsid w:val="00142CBB"/>
    <w:rsid w:val="00144A11"/>
    <w:rsid w:val="00144D39"/>
    <w:rsid w:val="00153C1A"/>
    <w:rsid w:val="00155953"/>
    <w:rsid w:val="001611D0"/>
    <w:rsid w:val="001656FA"/>
    <w:rsid w:val="0017135E"/>
    <w:rsid w:val="0017312C"/>
    <w:rsid w:val="001733BE"/>
    <w:rsid w:val="0017472D"/>
    <w:rsid w:val="001764E7"/>
    <w:rsid w:val="00182537"/>
    <w:rsid w:val="00182AB8"/>
    <w:rsid w:val="00182CC4"/>
    <w:rsid w:val="001831F7"/>
    <w:rsid w:val="00184308"/>
    <w:rsid w:val="00184C02"/>
    <w:rsid w:val="00184E37"/>
    <w:rsid w:val="001860AA"/>
    <w:rsid w:val="00186895"/>
    <w:rsid w:val="001871BB"/>
    <w:rsid w:val="00190498"/>
    <w:rsid w:val="00191102"/>
    <w:rsid w:val="00191B2C"/>
    <w:rsid w:val="00194800"/>
    <w:rsid w:val="00196D43"/>
    <w:rsid w:val="001971A4"/>
    <w:rsid w:val="001973A7"/>
    <w:rsid w:val="001A082F"/>
    <w:rsid w:val="001A29A4"/>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535E"/>
    <w:rsid w:val="001E6651"/>
    <w:rsid w:val="001E7BB7"/>
    <w:rsid w:val="001F02C1"/>
    <w:rsid w:val="001F6151"/>
    <w:rsid w:val="001F7527"/>
    <w:rsid w:val="00200612"/>
    <w:rsid w:val="002009D2"/>
    <w:rsid w:val="00201FF1"/>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235D"/>
    <w:rsid w:val="00233657"/>
    <w:rsid w:val="00233F7A"/>
    <w:rsid w:val="0023462C"/>
    <w:rsid w:val="00234C58"/>
    <w:rsid w:val="00234DDC"/>
    <w:rsid w:val="00235168"/>
    <w:rsid w:val="00236989"/>
    <w:rsid w:val="002428B8"/>
    <w:rsid w:val="00245D09"/>
    <w:rsid w:val="00245E5B"/>
    <w:rsid w:val="002468E1"/>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5F86"/>
    <w:rsid w:val="00297E4A"/>
    <w:rsid w:val="002A0052"/>
    <w:rsid w:val="002A0CEE"/>
    <w:rsid w:val="002B30A6"/>
    <w:rsid w:val="002B34B0"/>
    <w:rsid w:val="002B4D01"/>
    <w:rsid w:val="002B667D"/>
    <w:rsid w:val="002B768A"/>
    <w:rsid w:val="002C0E0E"/>
    <w:rsid w:val="002C20C8"/>
    <w:rsid w:val="002C4039"/>
    <w:rsid w:val="002D22AE"/>
    <w:rsid w:val="002D259E"/>
    <w:rsid w:val="002D3DA5"/>
    <w:rsid w:val="002D3E95"/>
    <w:rsid w:val="002D43D4"/>
    <w:rsid w:val="002D7C26"/>
    <w:rsid w:val="002E1D56"/>
    <w:rsid w:val="002E3CFA"/>
    <w:rsid w:val="002E6122"/>
    <w:rsid w:val="002E7059"/>
    <w:rsid w:val="002E7530"/>
    <w:rsid w:val="002E7962"/>
    <w:rsid w:val="002E79E4"/>
    <w:rsid w:val="002E7BEF"/>
    <w:rsid w:val="002F063C"/>
    <w:rsid w:val="002F423D"/>
    <w:rsid w:val="002F4553"/>
    <w:rsid w:val="002F55B7"/>
    <w:rsid w:val="002F6D2C"/>
    <w:rsid w:val="002F75EE"/>
    <w:rsid w:val="003000F0"/>
    <w:rsid w:val="00301D6C"/>
    <w:rsid w:val="003124BE"/>
    <w:rsid w:val="00314594"/>
    <w:rsid w:val="00314A13"/>
    <w:rsid w:val="00315BB0"/>
    <w:rsid w:val="00320EB0"/>
    <w:rsid w:val="00321E80"/>
    <w:rsid w:val="00322A15"/>
    <w:rsid w:val="00324F11"/>
    <w:rsid w:val="00330AF0"/>
    <w:rsid w:val="003312F2"/>
    <w:rsid w:val="0033515A"/>
    <w:rsid w:val="00335837"/>
    <w:rsid w:val="00335C2E"/>
    <w:rsid w:val="003365BB"/>
    <w:rsid w:val="003369C8"/>
    <w:rsid w:val="003372CD"/>
    <w:rsid w:val="00337ACE"/>
    <w:rsid w:val="00340E1F"/>
    <w:rsid w:val="00341D01"/>
    <w:rsid w:val="0034284E"/>
    <w:rsid w:val="0034390B"/>
    <w:rsid w:val="00344B27"/>
    <w:rsid w:val="0034724B"/>
    <w:rsid w:val="0034794E"/>
    <w:rsid w:val="003479DF"/>
    <w:rsid w:val="0035630D"/>
    <w:rsid w:val="00356364"/>
    <w:rsid w:val="0035647E"/>
    <w:rsid w:val="00356CDF"/>
    <w:rsid w:val="00357B86"/>
    <w:rsid w:val="00360437"/>
    <w:rsid w:val="00360962"/>
    <w:rsid w:val="003611ED"/>
    <w:rsid w:val="00361DA6"/>
    <w:rsid w:val="00362D30"/>
    <w:rsid w:val="003707C8"/>
    <w:rsid w:val="0037466C"/>
    <w:rsid w:val="00376A40"/>
    <w:rsid w:val="00377007"/>
    <w:rsid w:val="00381946"/>
    <w:rsid w:val="003821AA"/>
    <w:rsid w:val="00382BA7"/>
    <w:rsid w:val="00382D4C"/>
    <w:rsid w:val="00383500"/>
    <w:rsid w:val="00384799"/>
    <w:rsid w:val="00385DB0"/>
    <w:rsid w:val="00386053"/>
    <w:rsid w:val="00391942"/>
    <w:rsid w:val="0039219F"/>
    <w:rsid w:val="00395628"/>
    <w:rsid w:val="00396D2E"/>
    <w:rsid w:val="003A38FD"/>
    <w:rsid w:val="003A4E07"/>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C6DDE"/>
    <w:rsid w:val="003D31B8"/>
    <w:rsid w:val="003D342E"/>
    <w:rsid w:val="003D3A14"/>
    <w:rsid w:val="003E0167"/>
    <w:rsid w:val="003E0BD3"/>
    <w:rsid w:val="003E284A"/>
    <w:rsid w:val="003E2968"/>
    <w:rsid w:val="003E3604"/>
    <w:rsid w:val="003E6CB3"/>
    <w:rsid w:val="003F0C4F"/>
    <w:rsid w:val="003F10C2"/>
    <w:rsid w:val="003F17ED"/>
    <w:rsid w:val="003F4E09"/>
    <w:rsid w:val="003F7212"/>
    <w:rsid w:val="00400C94"/>
    <w:rsid w:val="00401C5F"/>
    <w:rsid w:val="00402B2B"/>
    <w:rsid w:val="00403B20"/>
    <w:rsid w:val="00404B1E"/>
    <w:rsid w:val="00404C10"/>
    <w:rsid w:val="00404D4B"/>
    <w:rsid w:val="00406C83"/>
    <w:rsid w:val="004074FD"/>
    <w:rsid w:val="00410EC7"/>
    <w:rsid w:val="00410FEE"/>
    <w:rsid w:val="00414CC7"/>
    <w:rsid w:val="00415C03"/>
    <w:rsid w:val="00416C3A"/>
    <w:rsid w:val="00420FC8"/>
    <w:rsid w:val="0042129F"/>
    <w:rsid w:val="0042154E"/>
    <w:rsid w:val="004232D7"/>
    <w:rsid w:val="0042395B"/>
    <w:rsid w:val="0042472B"/>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6236C"/>
    <w:rsid w:val="00472EF3"/>
    <w:rsid w:val="00473603"/>
    <w:rsid w:val="00475A76"/>
    <w:rsid w:val="004775F4"/>
    <w:rsid w:val="004800EE"/>
    <w:rsid w:val="00484C10"/>
    <w:rsid w:val="00485E0B"/>
    <w:rsid w:val="00486BD6"/>
    <w:rsid w:val="00487737"/>
    <w:rsid w:val="00487753"/>
    <w:rsid w:val="0049013B"/>
    <w:rsid w:val="00491F0A"/>
    <w:rsid w:val="004960FB"/>
    <w:rsid w:val="00497086"/>
    <w:rsid w:val="004A22E5"/>
    <w:rsid w:val="004A554F"/>
    <w:rsid w:val="004B18A4"/>
    <w:rsid w:val="004B1FE7"/>
    <w:rsid w:val="004B3D19"/>
    <w:rsid w:val="004B77C0"/>
    <w:rsid w:val="004C1463"/>
    <w:rsid w:val="004D4997"/>
    <w:rsid w:val="004D54CD"/>
    <w:rsid w:val="004D6EF0"/>
    <w:rsid w:val="004D790D"/>
    <w:rsid w:val="004E01F5"/>
    <w:rsid w:val="004E3075"/>
    <w:rsid w:val="004E7B96"/>
    <w:rsid w:val="004F0E94"/>
    <w:rsid w:val="004F178A"/>
    <w:rsid w:val="004F2331"/>
    <w:rsid w:val="004F2B79"/>
    <w:rsid w:val="004F2F78"/>
    <w:rsid w:val="004F5D0A"/>
    <w:rsid w:val="004F746E"/>
    <w:rsid w:val="00501F08"/>
    <w:rsid w:val="00502247"/>
    <w:rsid w:val="00503D5C"/>
    <w:rsid w:val="00505A0D"/>
    <w:rsid w:val="00505B7D"/>
    <w:rsid w:val="00506DDA"/>
    <w:rsid w:val="00510235"/>
    <w:rsid w:val="00511ADB"/>
    <w:rsid w:val="00511C7D"/>
    <w:rsid w:val="0051358D"/>
    <w:rsid w:val="00513AF6"/>
    <w:rsid w:val="00517C20"/>
    <w:rsid w:val="005222C5"/>
    <w:rsid w:val="00522B62"/>
    <w:rsid w:val="00524D01"/>
    <w:rsid w:val="005254AB"/>
    <w:rsid w:val="00530C47"/>
    <w:rsid w:val="00531687"/>
    <w:rsid w:val="00532532"/>
    <w:rsid w:val="00532EE4"/>
    <w:rsid w:val="00532FEB"/>
    <w:rsid w:val="00534E6D"/>
    <w:rsid w:val="00535748"/>
    <w:rsid w:val="00537A29"/>
    <w:rsid w:val="005422C3"/>
    <w:rsid w:val="00542739"/>
    <w:rsid w:val="00542F49"/>
    <w:rsid w:val="00543052"/>
    <w:rsid w:val="00546599"/>
    <w:rsid w:val="00546E77"/>
    <w:rsid w:val="00554774"/>
    <w:rsid w:val="00554A7A"/>
    <w:rsid w:val="005631C8"/>
    <w:rsid w:val="0056506A"/>
    <w:rsid w:val="005663B6"/>
    <w:rsid w:val="0056795E"/>
    <w:rsid w:val="005679A3"/>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A83"/>
    <w:rsid w:val="005A1D6F"/>
    <w:rsid w:val="005A2A2D"/>
    <w:rsid w:val="005A37FF"/>
    <w:rsid w:val="005A4243"/>
    <w:rsid w:val="005A6E2E"/>
    <w:rsid w:val="005B29DE"/>
    <w:rsid w:val="005B4307"/>
    <w:rsid w:val="005C251D"/>
    <w:rsid w:val="005C3D47"/>
    <w:rsid w:val="005C4E19"/>
    <w:rsid w:val="005C6DDB"/>
    <w:rsid w:val="005D1220"/>
    <w:rsid w:val="005D3658"/>
    <w:rsid w:val="005D4522"/>
    <w:rsid w:val="005D6171"/>
    <w:rsid w:val="005E4730"/>
    <w:rsid w:val="005E713D"/>
    <w:rsid w:val="005F09EC"/>
    <w:rsid w:val="005F3202"/>
    <w:rsid w:val="00604CDB"/>
    <w:rsid w:val="00607722"/>
    <w:rsid w:val="00610DDF"/>
    <w:rsid w:val="00614602"/>
    <w:rsid w:val="00615E7E"/>
    <w:rsid w:val="006218A6"/>
    <w:rsid w:val="00625D54"/>
    <w:rsid w:val="00626624"/>
    <w:rsid w:val="00626F78"/>
    <w:rsid w:val="00630367"/>
    <w:rsid w:val="006309F5"/>
    <w:rsid w:val="00630BAA"/>
    <w:rsid w:val="00631039"/>
    <w:rsid w:val="00634095"/>
    <w:rsid w:val="00636440"/>
    <w:rsid w:val="00636A5B"/>
    <w:rsid w:val="00641379"/>
    <w:rsid w:val="00641DBB"/>
    <w:rsid w:val="00643B54"/>
    <w:rsid w:val="006456BB"/>
    <w:rsid w:val="00647402"/>
    <w:rsid w:val="00650716"/>
    <w:rsid w:val="006512F4"/>
    <w:rsid w:val="00651669"/>
    <w:rsid w:val="006543B3"/>
    <w:rsid w:val="00654C63"/>
    <w:rsid w:val="00655415"/>
    <w:rsid w:val="00657454"/>
    <w:rsid w:val="00663763"/>
    <w:rsid w:val="00664C33"/>
    <w:rsid w:val="00665020"/>
    <w:rsid w:val="00667BAB"/>
    <w:rsid w:val="006711E1"/>
    <w:rsid w:val="006722B5"/>
    <w:rsid w:val="00672A2F"/>
    <w:rsid w:val="00673175"/>
    <w:rsid w:val="00674BA7"/>
    <w:rsid w:val="00676770"/>
    <w:rsid w:val="0068051B"/>
    <w:rsid w:val="0068058E"/>
    <w:rsid w:val="00681496"/>
    <w:rsid w:val="006817FB"/>
    <w:rsid w:val="00682B64"/>
    <w:rsid w:val="0068409B"/>
    <w:rsid w:val="00684EA2"/>
    <w:rsid w:val="006910BE"/>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E6463"/>
    <w:rsid w:val="006F02CA"/>
    <w:rsid w:val="006F0C19"/>
    <w:rsid w:val="006F24A8"/>
    <w:rsid w:val="006F56C1"/>
    <w:rsid w:val="00702F77"/>
    <w:rsid w:val="007049BD"/>
    <w:rsid w:val="007058E9"/>
    <w:rsid w:val="0070678E"/>
    <w:rsid w:val="00706AFB"/>
    <w:rsid w:val="00706EC2"/>
    <w:rsid w:val="00710226"/>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0AEB"/>
    <w:rsid w:val="00763941"/>
    <w:rsid w:val="00763BCE"/>
    <w:rsid w:val="00767185"/>
    <w:rsid w:val="00767E0F"/>
    <w:rsid w:val="007715A2"/>
    <w:rsid w:val="00771913"/>
    <w:rsid w:val="00771E40"/>
    <w:rsid w:val="0077435A"/>
    <w:rsid w:val="00780DB9"/>
    <w:rsid w:val="00781C31"/>
    <w:rsid w:val="00790E90"/>
    <w:rsid w:val="00791433"/>
    <w:rsid w:val="007918C0"/>
    <w:rsid w:val="00793496"/>
    <w:rsid w:val="00793A6B"/>
    <w:rsid w:val="00794B98"/>
    <w:rsid w:val="007977BE"/>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4A24"/>
    <w:rsid w:val="007E63F8"/>
    <w:rsid w:val="007E7623"/>
    <w:rsid w:val="007F0242"/>
    <w:rsid w:val="007F0940"/>
    <w:rsid w:val="007F0C15"/>
    <w:rsid w:val="007F4B19"/>
    <w:rsid w:val="007F5B71"/>
    <w:rsid w:val="00810BB4"/>
    <w:rsid w:val="00812990"/>
    <w:rsid w:val="00814B24"/>
    <w:rsid w:val="0081539E"/>
    <w:rsid w:val="00815CC0"/>
    <w:rsid w:val="00816B98"/>
    <w:rsid w:val="008173C3"/>
    <w:rsid w:val="00817839"/>
    <w:rsid w:val="00823419"/>
    <w:rsid w:val="00823C4F"/>
    <w:rsid w:val="0082492B"/>
    <w:rsid w:val="008253A7"/>
    <w:rsid w:val="008265EF"/>
    <w:rsid w:val="00827407"/>
    <w:rsid w:val="008323B8"/>
    <w:rsid w:val="00832C33"/>
    <w:rsid w:val="00832E4E"/>
    <w:rsid w:val="00836318"/>
    <w:rsid w:val="00837E38"/>
    <w:rsid w:val="00840961"/>
    <w:rsid w:val="008444BD"/>
    <w:rsid w:val="00844DC6"/>
    <w:rsid w:val="00851D2A"/>
    <w:rsid w:val="008535B7"/>
    <w:rsid w:val="00855B83"/>
    <w:rsid w:val="00860387"/>
    <w:rsid w:val="00861A98"/>
    <w:rsid w:val="00861F33"/>
    <w:rsid w:val="008620C5"/>
    <w:rsid w:val="00863DB7"/>
    <w:rsid w:val="00864EFE"/>
    <w:rsid w:val="008657D2"/>
    <w:rsid w:val="00866076"/>
    <w:rsid w:val="0087348F"/>
    <w:rsid w:val="00874C25"/>
    <w:rsid w:val="0087682B"/>
    <w:rsid w:val="00877F72"/>
    <w:rsid w:val="00877FED"/>
    <w:rsid w:val="00880F80"/>
    <w:rsid w:val="008822A5"/>
    <w:rsid w:val="008833AC"/>
    <w:rsid w:val="0088512F"/>
    <w:rsid w:val="00885C85"/>
    <w:rsid w:val="00887653"/>
    <w:rsid w:val="00890CFA"/>
    <w:rsid w:val="00891DAA"/>
    <w:rsid w:val="00891EFC"/>
    <w:rsid w:val="008944E5"/>
    <w:rsid w:val="0089622A"/>
    <w:rsid w:val="0089704B"/>
    <w:rsid w:val="00897C16"/>
    <w:rsid w:val="008A4831"/>
    <w:rsid w:val="008A492C"/>
    <w:rsid w:val="008A4B38"/>
    <w:rsid w:val="008A4C41"/>
    <w:rsid w:val="008A515D"/>
    <w:rsid w:val="008A615D"/>
    <w:rsid w:val="008A6918"/>
    <w:rsid w:val="008A69DC"/>
    <w:rsid w:val="008B072B"/>
    <w:rsid w:val="008B3A38"/>
    <w:rsid w:val="008B44DF"/>
    <w:rsid w:val="008B46BA"/>
    <w:rsid w:val="008B4856"/>
    <w:rsid w:val="008B7C3D"/>
    <w:rsid w:val="008C2886"/>
    <w:rsid w:val="008D1537"/>
    <w:rsid w:val="008D17E5"/>
    <w:rsid w:val="008D2518"/>
    <w:rsid w:val="008D6725"/>
    <w:rsid w:val="008D78FF"/>
    <w:rsid w:val="008E476F"/>
    <w:rsid w:val="008E54FE"/>
    <w:rsid w:val="008E5F7D"/>
    <w:rsid w:val="008E6217"/>
    <w:rsid w:val="008F48C1"/>
    <w:rsid w:val="008F4C9D"/>
    <w:rsid w:val="008F5394"/>
    <w:rsid w:val="008F636C"/>
    <w:rsid w:val="008F6397"/>
    <w:rsid w:val="0090048A"/>
    <w:rsid w:val="009010D4"/>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33C61"/>
    <w:rsid w:val="0094012A"/>
    <w:rsid w:val="00940388"/>
    <w:rsid w:val="009429B7"/>
    <w:rsid w:val="00944903"/>
    <w:rsid w:val="009450CF"/>
    <w:rsid w:val="00945944"/>
    <w:rsid w:val="00945AEE"/>
    <w:rsid w:val="0094634F"/>
    <w:rsid w:val="0094732D"/>
    <w:rsid w:val="00947CF8"/>
    <w:rsid w:val="009520C3"/>
    <w:rsid w:val="00955C80"/>
    <w:rsid w:val="0095680E"/>
    <w:rsid w:val="0095696B"/>
    <w:rsid w:val="00962693"/>
    <w:rsid w:val="00962CEA"/>
    <w:rsid w:val="00963B68"/>
    <w:rsid w:val="009662EA"/>
    <w:rsid w:val="00971B45"/>
    <w:rsid w:val="00972275"/>
    <w:rsid w:val="00972C5D"/>
    <w:rsid w:val="009772A6"/>
    <w:rsid w:val="00977A1D"/>
    <w:rsid w:val="00983303"/>
    <w:rsid w:val="0098472B"/>
    <w:rsid w:val="009906DC"/>
    <w:rsid w:val="0099344A"/>
    <w:rsid w:val="00994A10"/>
    <w:rsid w:val="00995388"/>
    <w:rsid w:val="00996AE1"/>
    <w:rsid w:val="00996D7F"/>
    <w:rsid w:val="009971AC"/>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1E5"/>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0141"/>
    <w:rsid w:val="00A9241A"/>
    <w:rsid w:val="00A95893"/>
    <w:rsid w:val="00A963C3"/>
    <w:rsid w:val="00A96F94"/>
    <w:rsid w:val="00AA127F"/>
    <w:rsid w:val="00AA230A"/>
    <w:rsid w:val="00AA23E8"/>
    <w:rsid w:val="00AA52FB"/>
    <w:rsid w:val="00AA5C4F"/>
    <w:rsid w:val="00AA712A"/>
    <w:rsid w:val="00AA7E8A"/>
    <w:rsid w:val="00AB1A94"/>
    <w:rsid w:val="00AB248D"/>
    <w:rsid w:val="00AB2915"/>
    <w:rsid w:val="00AB2B24"/>
    <w:rsid w:val="00AB488D"/>
    <w:rsid w:val="00AB58B1"/>
    <w:rsid w:val="00AB5B30"/>
    <w:rsid w:val="00AB5FC3"/>
    <w:rsid w:val="00AB6101"/>
    <w:rsid w:val="00AC0231"/>
    <w:rsid w:val="00AC07D2"/>
    <w:rsid w:val="00AC1757"/>
    <w:rsid w:val="00AC6009"/>
    <w:rsid w:val="00AC6932"/>
    <w:rsid w:val="00AD0DF6"/>
    <w:rsid w:val="00AD2826"/>
    <w:rsid w:val="00AD4944"/>
    <w:rsid w:val="00AD5849"/>
    <w:rsid w:val="00AD7CF0"/>
    <w:rsid w:val="00AE05F1"/>
    <w:rsid w:val="00AE1659"/>
    <w:rsid w:val="00AE3351"/>
    <w:rsid w:val="00AE4EB6"/>
    <w:rsid w:val="00AE51EC"/>
    <w:rsid w:val="00AE6E0C"/>
    <w:rsid w:val="00AF1CE0"/>
    <w:rsid w:val="00AF1E99"/>
    <w:rsid w:val="00AF4719"/>
    <w:rsid w:val="00AF4BB2"/>
    <w:rsid w:val="00AF760F"/>
    <w:rsid w:val="00B014C2"/>
    <w:rsid w:val="00B033B8"/>
    <w:rsid w:val="00B0347F"/>
    <w:rsid w:val="00B04FAA"/>
    <w:rsid w:val="00B05F68"/>
    <w:rsid w:val="00B11752"/>
    <w:rsid w:val="00B121E8"/>
    <w:rsid w:val="00B13499"/>
    <w:rsid w:val="00B1662F"/>
    <w:rsid w:val="00B20342"/>
    <w:rsid w:val="00B20D39"/>
    <w:rsid w:val="00B221CA"/>
    <w:rsid w:val="00B274BB"/>
    <w:rsid w:val="00B30133"/>
    <w:rsid w:val="00B35C66"/>
    <w:rsid w:val="00B37577"/>
    <w:rsid w:val="00B45711"/>
    <w:rsid w:val="00B46B34"/>
    <w:rsid w:val="00B5655C"/>
    <w:rsid w:val="00B56EB8"/>
    <w:rsid w:val="00B57637"/>
    <w:rsid w:val="00B60083"/>
    <w:rsid w:val="00B60EEC"/>
    <w:rsid w:val="00B6151B"/>
    <w:rsid w:val="00B6155C"/>
    <w:rsid w:val="00B6163A"/>
    <w:rsid w:val="00B62197"/>
    <w:rsid w:val="00B63BE0"/>
    <w:rsid w:val="00B646BE"/>
    <w:rsid w:val="00B6474E"/>
    <w:rsid w:val="00B65C7D"/>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26B"/>
    <w:rsid w:val="00BA0A22"/>
    <w:rsid w:val="00BA14F4"/>
    <w:rsid w:val="00BA250D"/>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292F"/>
    <w:rsid w:val="00BD4752"/>
    <w:rsid w:val="00BD63E9"/>
    <w:rsid w:val="00BE0EC8"/>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8C6"/>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4027"/>
    <w:rsid w:val="00C85068"/>
    <w:rsid w:val="00C86127"/>
    <w:rsid w:val="00C8799F"/>
    <w:rsid w:val="00C87B1B"/>
    <w:rsid w:val="00C906FA"/>
    <w:rsid w:val="00C93C55"/>
    <w:rsid w:val="00C95CFC"/>
    <w:rsid w:val="00C9611B"/>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D7D98"/>
    <w:rsid w:val="00CE09F6"/>
    <w:rsid w:val="00CE128B"/>
    <w:rsid w:val="00CE46A5"/>
    <w:rsid w:val="00CF0131"/>
    <w:rsid w:val="00CF05DA"/>
    <w:rsid w:val="00CF370C"/>
    <w:rsid w:val="00CF44E5"/>
    <w:rsid w:val="00CF4D9E"/>
    <w:rsid w:val="00CF50F6"/>
    <w:rsid w:val="00CF58EB"/>
    <w:rsid w:val="00CF5C7C"/>
    <w:rsid w:val="00D0079F"/>
    <w:rsid w:val="00D01621"/>
    <w:rsid w:val="00D03BE9"/>
    <w:rsid w:val="00D11308"/>
    <w:rsid w:val="00D11E93"/>
    <w:rsid w:val="00D129A8"/>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7547C"/>
    <w:rsid w:val="00D815DC"/>
    <w:rsid w:val="00D8286C"/>
    <w:rsid w:val="00D83021"/>
    <w:rsid w:val="00D92BBA"/>
    <w:rsid w:val="00D94B9B"/>
    <w:rsid w:val="00D94F4A"/>
    <w:rsid w:val="00DA0A55"/>
    <w:rsid w:val="00DA17B3"/>
    <w:rsid w:val="00DA32D0"/>
    <w:rsid w:val="00DA33A5"/>
    <w:rsid w:val="00DA3D82"/>
    <w:rsid w:val="00DA4F89"/>
    <w:rsid w:val="00DA5256"/>
    <w:rsid w:val="00DA61A3"/>
    <w:rsid w:val="00DA6973"/>
    <w:rsid w:val="00DA775F"/>
    <w:rsid w:val="00DB0477"/>
    <w:rsid w:val="00DB1642"/>
    <w:rsid w:val="00DB184B"/>
    <w:rsid w:val="00DB28DC"/>
    <w:rsid w:val="00DB35ED"/>
    <w:rsid w:val="00DB3D2E"/>
    <w:rsid w:val="00DB4F45"/>
    <w:rsid w:val="00DB7168"/>
    <w:rsid w:val="00DC0A98"/>
    <w:rsid w:val="00DC1068"/>
    <w:rsid w:val="00DC2009"/>
    <w:rsid w:val="00DC27BB"/>
    <w:rsid w:val="00DC2AFF"/>
    <w:rsid w:val="00DC614F"/>
    <w:rsid w:val="00DC7ACA"/>
    <w:rsid w:val="00DD0266"/>
    <w:rsid w:val="00DD21C0"/>
    <w:rsid w:val="00DD3D24"/>
    <w:rsid w:val="00DD42C2"/>
    <w:rsid w:val="00DD5665"/>
    <w:rsid w:val="00DE01CE"/>
    <w:rsid w:val="00DE0762"/>
    <w:rsid w:val="00DE118D"/>
    <w:rsid w:val="00DE2DA4"/>
    <w:rsid w:val="00DE67FC"/>
    <w:rsid w:val="00DF00C1"/>
    <w:rsid w:val="00DF05BB"/>
    <w:rsid w:val="00DF0637"/>
    <w:rsid w:val="00DF0A7E"/>
    <w:rsid w:val="00DF1B59"/>
    <w:rsid w:val="00DF4BCE"/>
    <w:rsid w:val="00E0055F"/>
    <w:rsid w:val="00E009B0"/>
    <w:rsid w:val="00E03A78"/>
    <w:rsid w:val="00E03D96"/>
    <w:rsid w:val="00E05DE4"/>
    <w:rsid w:val="00E07DF2"/>
    <w:rsid w:val="00E13579"/>
    <w:rsid w:val="00E147E0"/>
    <w:rsid w:val="00E22906"/>
    <w:rsid w:val="00E22D5A"/>
    <w:rsid w:val="00E22EBE"/>
    <w:rsid w:val="00E237AA"/>
    <w:rsid w:val="00E25884"/>
    <w:rsid w:val="00E26AAA"/>
    <w:rsid w:val="00E31934"/>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86CFF"/>
    <w:rsid w:val="00E90C7E"/>
    <w:rsid w:val="00E921F7"/>
    <w:rsid w:val="00E9274F"/>
    <w:rsid w:val="00EA1465"/>
    <w:rsid w:val="00EA2820"/>
    <w:rsid w:val="00EA52E5"/>
    <w:rsid w:val="00EA6137"/>
    <w:rsid w:val="00EB03F5"/>
    <w:rsid w:val="00EB21EE"/>
    <w:rsid w:val="00EB263C"/>
    <w:rsid w:val="00EB4862"/>
    <w:rsid w:val="00EC09FD"/>
    <w:rsid w:val="00EC1C10"/>
    <w:rsid w:val="00EC1CD1"/>
    <w:rsid w:val="00EC4103"/>
    <w:rsid w:val="00EC7503"/>
    <w:rsid w:val="00EC7816"/>
    <w:rsid w:val="00ED175B"/>
    <w:rsid w:val="00ED29AD"/>
    <w:rsid w:val="00ED377B"/>
    <w:rsid w:val="00ED49F3"/>
    <w:rsid w:val="00ED7096"/>
    <w:rsid w:val="00EE209D"/>
    <w:rsid w:val="00EE35DE"/>
    <w:rsid w:val="00EE4E64"/>
    <w:rsid w:val="00EE4FC3"/>
    <w:rsid w:val="00EF10C5"/>
    <w:rsid w:val="00EF26A5"/>
    <w:rsid w:val="00EF335B"/>
    <w:rsid w:val="00EF4B50"/>
    <w:rsid w:val="00EF662A"/>
    <w:rsid w:val="00EF6CB9"/>
    <w:rsid w:val="00EF6E5B"/>
    <w:rsid w:val="00EF7435"/>
    <w:rsid w:val="00EF7A99"/>
    <w:rsid w:val="00F017F1"/>
    <w:rsid w:val="00F02F53"/>
    <w:rsid w:val="00F049E3"/>
    <w:rsid w:val="00F07806"/>
    <w:rsid w:val="00F10EB1"/>
    <w:rsid w:val="00F12786"/>
    <w:rsid w:val="00F14553"/>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2051"/>
    <w:rsid w:val="00F33C48"/>
    <w:rsid w:val="00F33E2D"/>
    <w:rsid w:val="00F345C4"/>
    <w:rsid w:val="00F45FC6"/>
    <w:rsid w:val="00F47E3B"/>
    <w:rsid w:val="00F52FB8"/>
    <w:rsid w:val="00F543D6"/>
    <w:rsid w:val="00F55D66"/>
    <w:rsid w:val="00F573E5"/>
    <w:rsid w:val="00F60C28"/>
    <w:rsid w:val="00F64547"/>
    <w:rsid w:val="00F65581"/>
    <w:rsid w:val="00F65DC0"/>
    <w:rsid w:val="00F65EC5"/>
    <w:rsid w:val="00F67545"/>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4460"/>
    <w:rsid w:val="00FA6053"/>
    <w:rsid w:val="00FA6507"/>
    <w:rsid w:val="00FA6DB0"/>
    <w:rsid w:val="00FA743C"/>
    <w:rsid w:val="00FA7C2F"/>
    <w:rsid w:val="00FB0E25"/>
    <w:rsid w:val="00FB4555"/>
    <w:rsid w:val="00FB4F55"/>
    <w:rsid w:val="00FB553F"/>
    <w:rsid w:val="00FC02DA"/>
    <w:rsid w:val="00FC4CC7"/>
    <w:rsid w:val="00FD3BBA"/>
    <w:rsid w:val="00FD4326"/>
    <w:rsid w:val="00FD7D7A"/>
    <w:rsid w:val="00FE2734"/>
    <w:rsid w:val="00FE6E77"/>
    <w:rsid w:val="00FE7CF6"/>
    <w:rsid w:val="00FF1D9A"/>
    <w:rsid w:val="00FF2409"/>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AF1CE0"/>
    <w:rPr>
      <w:vertAlign w:val="superscript"/>
    </w:rPr>
  </w:style>
  <w:style w:type="paragraph" w:customStyle="1" w:styleId="naislab">
    <w:name w:val="naislab"/>
    <w:basedOn w:val="Normal"/>
    <w:rsid w:val="00404B1E"/>
    <w:pPr>
      <w:spacing w:before="75" w:after="75"/>
      <w:jc w:val="right"/>
    </w:pPr>
    <w:rPr>
      <w:rFonts w:eastAsia="Times New Roman"/>
      <w:sz w:val="24"/>
      <w:szCs w:val="24"/>
      <w:lang w:val="lv-LV" w:eastAsia="lv-LV"/>
    </w:rPr>
  </w:style>
  <w:style w:type="paragraph" w:styleId="Subtitle">
    <w:name w:val="Subtitle"/>
    <w:basedOn w:val="Normal"/>
    <w:next w:val="Normal"/>
    <w:link w:val="SubtitleChar"/>
    <w:qFormat/>
    <w:rsid w:val="00F65581"/>
    <w:pPr>
      <w:keepNext/>
      <w:keepLines/>
      <w:widowControl w:val="0"/>
      <w:suppressAutoHyphens/>
      <w:spacing w:before="600" w:after="600"/>
      <w:ind w:right="4820"/>
    </w:pPr>
    <w:rPr>
      <w:rFonts w:eastAsia="Times New Roman"/>
      <w:b/>
      <w:sz w:val="26"/>
    </w:rPr>
  </w:style>
  <w:style w:type="character" w:customStyle="1" w:styleId="SubtitleChar">
    <w:name w:val="Subtitle Char"/>
    <w:basedOn w:val="DefaultParagraphFont"/>
    <w:link w:val="Subtitle"/>
    <w:rsid w:val="00F65581"/>
    <w:rPr>
      <w:rFonts w:eastAsia="Times New Roman" w:cs="Times New Roman"/>
      <w:b/>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AF1CE0"/>
    <w:rPr>
      <w:vertAlign w:val="superscript"/>
    </w:rPr>
  </w:style>
  <w:style w:type="paragraph" w:customStyle="1" w:styleId="naislab">
    <w:name w:val="naislab"/>
    <w:basedOn w:val="Normal"/>
    <w:rsid w:val="00404B1E"/>
    <w:pPr>
      <w:spacing w:before="75" w:after="75"/>
      <w:jc w:val="right"/>
    </w:pPr>
    <w:rPr>
      <w:rFonts w:eastAsia="Times New Roman"/>
      <w:sz w:val="24"/>
      <w:szCs w:val="24"/>
      <w:lang w:val="lv-LV" w:eastAsia="lv-LV"/>
    </w:rPr>
  </w:style>
  <w:style w:type="paragraph" w:styleId="Subtitle">
    <w:name w:val="Subtitle"/>
    <w:basedOn w:val="Normal"/>
    <w:next w:val="Normal"/>
    <w:link w:val="SubtitleChar"/>
    <w:qFormat/>
    <w:rsid w:val="00F65581"/>
    <w:pPr>
      <w:keepNext/>
      <w:keepLines/>
      <w:widowControl w:val="0"/>
      <w:suppressAutoHyphens/>
      <w:spacing w:before="600" w:after="600"/>
      <w:ind w:right="4820"/>
    </w:pPr>
    <w:rPr>
      <w:rFonts w:eastAsia="Times New Roman"/>
      <w:b/>
      <w:sz w:val="26"/>
    </w:rPr>
  </w:style>
  <w:style w:type="character" w:customStyle="1" w:styleId="SubtitleChar">
    <w:name w:val="Subtitle Char"/>
    <w:basedOn w:val="DefaultParagraphFont"/>
    <w:link w:val="Subtitle"/>
    <w:rsid w:val="00F65581"/>
    <w:rPr>
      <w:rFonts w:eastAsia="Times New Roman" w:cs="Times New Roman"/>
      <w:b/>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296375639">
      <w:bodyDiv w:val="1"/>
      <w:marLeft w:val="0"/>
      <w:marRight w:val="0"/>
      <w:marTop w:val="0"/>
      <w:marBottom w:val="0"/>
      <w:divBdr>
        <w:top w:val="none" w:sz="0" w:space="0" w:color="auto"/>
        <w:left w:val="none" w:sz="0" w:space="0" w:color="auto"/>
        <w:bottom w:val="none" w:sz="0" w:space="0" w:color="auto"/>
        <w:right w:val="none" w:sz="0" w:space="0" w:color="auto"/>
      </w:divBdr>
    </w:div>
    <w:div w:id="358434833">
      <w:bodyDiv w:val="1"/>
      <w:marLeft w:val="0"/>
      <w:marRight w:val="0"/>
      <w:marTop w:val="0"/>
      <w:marBottom w:val="0"/>
      <w:divBdr>
        <w:top w:val="none" w:sz="0" w:space="0" w:color="auto"/>
        <w:left w:val="none" w:sz="0" w:space="0" w:color="auto"/>
        <w:bottom w:val="none" w:sz="0" w:space="0" w:color="auto"/>
        <w:right w:val="none" w:sz="0" w:space="0" w:color="auto"/>
      </w:divBdr>
    </w:div>
    <w:div w:id="365063804">
      <w:bodyDiv w:val="1"/>
      <w:marLeft w:val="0"/>
      <w:marRight w:val="0"/>
      <w:marTop w:val="0"/>
      <w:marBottom w:val="0"/>
      <w:divBdr>
        <w:top w:val="none" w:sz="0" w:space="0" w:color="auto"/>
        <w:left w:val="none" w:sz="0" w:space="0" w:color="auto"/>
        <w:bottom w:val="none" w:sz="0" w:space="0" w:color="auto"/>
        <w:right w:val="none" w:sz="0" w:space="0" w:color="auto"/>
      </w:divBdr>
    </w:div>
    <w:div w:id="446243690">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916865311">
      <w:bodyDiv w:val="1"/>
      <w:marLeft w:val="0"/>
      <w:marRight w:val="0"/>
      <w:marTop w:val="0"/>
      <w:marBottom w:val="0"/>
      <w:divBdr>
        <w:top w:val="none" w:sz="0" w:space="0" w:color="auto"/>
        <w:left w:val="none" w:sz="0" w:space="0" w:color="auto"/>
        <w:bottom w:val="none" w:sz="0" w:space="0" w:color="auto"/>
        <w:right w:val="none" w:sz="0" w:space="0" w:color="auto"/>
      </w:divBdr>
    </w:div>
    <w:div w:id="1008290970">
      <w:bodyDiv w:val="1"/>
      <w:marLeft w:val="0"/>
      <w:marRight w:val="0"/>
      <w:marTop w:val="0"/>
      <w:marBottom w:val="0"/>
      <w:divBdr>
        <w:top w:val="none" w:sz="0" w:space="0" w:color="auto"/>
        <w:left w:val="none" w:sz="0" w:space="0" w:color="auto"/>
        <w:bottom w:val="none" w:sz="0" w:space="0" w:color="auto"/>
        <w:right w:val="none" w:sz="0" w:space="0" w:color="auto"/>
      </w:divBdr>
      <w:divsChild>
        <w:div w:id="524636946">
          <w:marLeft w:val="0"/>
          <w:marRight w:val="0"/>
          <w:marTop w:val="0"/>
          <w:marBottom w:val="0"/>
          <w:divBdr>
            <w:top w:val="none" w:sz="0" w:space="0" w:color="auto"/>
            <w:left w:val="none" w:sz="0" w:space="0" w:color="auto"/>
            <w:bottom w:val="none" w:sz="0" w:space="0" w:color="auto"/>
            <w:right w:val="none" w:sz="0" w:space="0" w:color="auto"/>
          </w:divBdr>
        </w:div>
        <w:div w:id="1789087111">
          <w:marLeft w:val="0"/>
          <w:marRight w:val="0"/>
          <w:marTop w:val="0"/>
          <w:marBottom w:val="0"/>
          <w:divBdr>
            <w:top w:val="none" w:sz="0" w:space="0" w:color="auto"/>
            <w:left w:val="none" w:sz="0" w:space="0" w:color="auto"/>
            <w:bottom w:val="none" w:sz="0" w:space="0" w:color="auto"/>
            <w:right w:val="none" w:sz="0" w:space="0" w:color="auto"/>
          </w:divBdr>
        </w:div>
        <w:div w:id="1438133422">
          <w:marLeft w:val="0"/>
          <w:marRight w:val="0"/>
          <w:marTop w:val="0"/>
          <w:marBottom w:val="0"/>
          <w:divBdr>
            <w:top w:val="none" w:sz="0" w:space="0" w:color="auto"/>
            <w:left w:val="none" w:sz="0" w:space="0" w:color="auto"/>
            <w:bottom w:val="none" w:sz="0" w:space="0" w:color="auto"/>
            <w:right w:val="none" w:sz="0" w:space="0" w:color="auto"/>
          </w:divBdr>
        </w:div>
        <w:div w:id="377439284">
          <w:marLeft w:val="0"/>
          <w:marRight w:val="0"/>
          <w:marTop w:val="0"/>
          <w:marBottom w:val="0"/>
          <w:divBdr>
            <w:top w:val="none" w:sz="0" w:space="0" w:color="auto"/>
            <w:left w:val="none" w:sz="0" w:space="0" w:color="auto"/>
            <w:bottom w:val="none" w:sz="0" w:space="0" w:color="auto"/>
            <w:right w:val="none" w:sz="0" w:space="0" w:color="auto"/>
          </w:divBdr>
        </w:div>
        <w:div w:id="321784825">
          <w:marLeft w:val="0"/>
          <w:marRight w:val="0"/>
          <w:marTop w:val="0"/>
          <w:marBottom w:val="0"/>
          <w:divBdr>
            <w:top w:val="none" w:sz="0" w:space="0" w:color="auto"/>
            <w:left w:val="none" w:sz="0" w:space="0" w:color="auto"/>
            <w:bottom w:val="none" w:sz="0" w:space="0" w:color="auto"/>
            <w:right w:val="none" w:sz="0" w:space="0" w:color="auto"/>
          </w:divBdr>
        </w:div>
        <w:div w:id="1553033568">
          <w:marLeft w:val="0"/>
          <w:marRight w:val="0"/>
          <w:marTop w:val="0"/>
          <w:marBottom w:val="0"/>
          <w:divBdr>
            <w:top w:val="none" w:sz="0" w:space="0" w:color="auto"/>
            <w:left w:val="none" w:sz="0" w:space="0" w:color="auto"/>
            <w:bottom w:val="none" w:sz="0" w:space="0" w:color="auto"/>
            <w:right w:val="none" w:sz="0" w:space="0" w:color="auto"/>
          </w:divBdr>
        </w:div>
      </w:divsChild>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89449890">
      <w:bodyDiv w:val="1"/>
      <w:marLeft w:val="0"/>
      <w:marRight w:val="0"/>
      <w:marTop w:val="0"/>
      <w:marBottom w:val="0"/>
      <w:divBdr>
        <w:top w:val="none" w:sz="0" w:space="0" w:color="auto"/>
        <w:left w:val="none" w:sz="0" w:space="0" w:color="auto"/>
        <w:bottom w:val="none" w:sz="0" w:space="0" w:color="auto"/>
        <w:right w:val="none" w:sz="0" w:space="0" w:color="auto"/>
      </w:divBdr>
    </w:div>
    <w:div w:id="1419205539">
      <w:bodyDiv w:val="1"/>
      <w:marLeft w:val="0"/>
      <w:marRight w:val="0"/>
      <w:marTop w:val="0"/>
      <w:marBottom w:val="0"/>
      <w:divBdr>
        <w:top w:val="none" w:sz="0" w:space="0" w:color="auto"/>
        <w:left w:val="none" w:sz="0" w:space="0" w:color="auto"/>
        <w:bottom w:val="none" w:sz="0" w:space="0" w:color="auto"/>
        <w:right w:val="none" w:sz="0" w:space="0" w:color="auto"/>
      </w:divBdr>
    </w:div>
    <w:div w:id="1448621419">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1296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3-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19E5-BBD1-42B6-9CE8-8B9F02FC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1612</Words>
  <Characters>11468</Characters>
  <Application>Microsoft Office Word</Application>
  <DocSecurity>0</DocSecurity>
  <Lines>441</Lines>
  <Paragraphs>148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17.februāra noteikumos Nr.164 „Noteikumi par aizdevumiem saimnieciskās darbības uzsācējiem un komersantiem konkurētspējas uzlabošanai"” sākotnējās ietekmes novērtējuma ziņojums (a</vt:lpstr>
    </vt:vector>
  </TitlesOfParts>
  <Company>LR Ekonomikas ministrija</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17.februāra noteikumos Nr.164 „Noteikumi par aizdevumiem saimnieciskās darbības uzsācējiem un komersantiem konkurētspējas uzlabošanai"”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9</cp:revision>
  <cp:lastPrinted>2015-11-27T08:11:00Z</cp:lastPrinted>
  <dcterms:created xsi:type="dcterms:W3CDTF">2015-11-11T14:37:00Z</dcterms:created>
  <dcterms:modified xsi:type="dcterms:W3CDTF">2015-11-27T08:11:00Z</dcterms:modified>
</cp:coreProperties>
</file>