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E1" w:rsidRPr="00C50EAF" w:rsidRDefault="00AC01E1" w:rsidP="00C50EAF">
      <w:pPr>
        <w:spacing w:after="0" w:line="240" w:lineRule="auto"/>
        <w:jc w:val="center"/>
        <w:rPr>
          <w:rFonts w:ascii="Times New Roman" w:hAnsi="Times New Roman"/>
          <w:b/>
          <w:sz w:val="24"/>
          <w:szCs w:val="24"/>
        </w:rPr>
      </w:pPr>
      <w:bookmarkStart w:id="0" w:name="_GoBack"/>
      <w:bookmarkEnd w:id="0"/>
      <w:r w:rsidRPr="00C50EAF">
        <w:rPr>
          <w:rFonts w:ascii="Times New Roman" w:hAnsi="Times New Roman"/>
          <w:b/>
          <w:sz w:val="24"/>
          <w:szCs w:val="24"/>
        </w:rPr>
        <w:t>Likumprojekta</w:t>
      </w:r>
    </w:p>
    <w:p w:rsidR="00AC01E1" w:rsidRPr="00C50EAF" w:rsidRDefault="002634E4" w:rsidP="00C50EAF">
      <w:pPr>
        <w:spacing w:after="0" w:line="240" w:lineRule="auto"/>
        <w:jc w:val="center"/>
        <w:rPr>
          <w:rFonts w:ascii="Times New Roman" w:hAnsi="Times New Roman"/>
          <w:b/>
          <w:sz w:val="24"/>
          <w:szCs w:val="24"/>
        </w:rPr>
      </w:pPr>
      <w:r>
        <w:rPr>
          <w:rFonts w:ascii="Times New Roman" w:hAnsi="Times New Roman"/>
          <w:b/>
          <w:sz w:val="24"/>
          <w:szCs w:val="24"/>
        </w:rPr>
        <w:t>“</w:t>
      </w:r>
      <w:r w:rsidR="00E51858">
        <w:rPr>
          <w:rFonts w:ascii="Times New Roman" w:hAnsi="Times New Roman"/>
          <w:b/>
          <w:sz w:val="24"/>
          <w:szCs w:val="24"/>
        </w:rPr>
        <w:t>Grozījums</w:t>
      </w:r>
      <w:r w:rsidR="000A2EBA" w:rsidRPr="00C50EAF">
        <w:rPr>
          <w:rFonts w:ascii="Times New Roman" w:hAnsi="Times New Roman"/>
          <w:bCs/>
          <w:sz w:val="24"/>
          <w:szCs w:val="24"/>
        </w:rPr>
        <w:t xml:space="preserve"> </w:t>
      </w:r>
      <w:r w:rsidR="00654033" w:rsidRPr="00C50EAF">
        <w:rPr>
          <w:rFonts w:ascii="Times New Roman" w:hAnsi="Times New Roman"/>
          <w:b/>
          <w:bCs/>
          <w:sz w:val="24"/>
          <w:szCs w:val="24"/>
        </w:rPr>
        <w:t>Finanšu instrumentu tirgus likumā</w:t>
      </w:r>
      <w:r w:rsidR="00B57EA2" w:rsidRPr="00C50EAF">
        <w:rPr>
          <w:rFonts w:ascii="Times New Roman" w:hAnsi="Times New Roman"/>
          <w:b/>
          <w:sz w:val="24"/>
          <w:szCs w:val="24"/>
        </w:rPr>
        <w:t xml:space="preserve"> </w:t>
      </w:r>
      <w:r w:rsidR="00AC01E1" w:rsidRPr="00C50EAF">
        <w:rPr>
          <w:rFonts w:ascii="Times New Roman" w:hAnsi="Times New Roman"/>
          <w:b/>
          <w:sz w:val="24"/>
          <w:szCs w:val="24"/>
        </w:rPr>
        <w:t>”</w:t>
      </w:r>
    </w:p>
    <w:p w:rsidR="00AC01E1" w:rsidRPr="00C50EAF" w:rsidRDefault="00AC01E1" w:rsidP="00C50EAF">
      <w:pPr>
        <w:spacing w:after="0" w:line="240" w:lineRule="auto"/>
        <w:jc w:val="center"/>
        <w:rPr>
          <w:rFonts w:ascii="Times New Roman" w:hAnsi="Times New Roman"/>
          <w:b/>
          <w:sz w:val="24"/>
          <w:szCs w:val="24"/>
        </w:rPr>
      </w:pPr>
      <w:r w:rsidRPr="00C50EAF">
        <w:rPr>
          <w:rFonts w:ascii="Times New Roman" w:hAnsi="Times New Roman"/>
          <w:b/>
          <w:sz w:val="24"/>
          <w:szCs w:val="24"/>
        </w:rPr>
        <w:t>sākotnējās ietekmes novērtējuma ziņojums (anotācija)</w:t>
      </w:r>
    </w:p>
    <w:p w:rsidR="00AC01E1" w:rsidRPr="00C50EAF" w:rsidRDefault="00AC01E1" w:rsidP="00C50EAF">
      <w:pPr>
        <w:spacing w:after="0" w:line="240" w:lineRule="auto"/>
        <w:jc w:val="both"/>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70"/>
        <w:gridCol w:w="5299"/>
        <w:gridCol w:w="7"/>
      </w:tblGrid>
      <w:tr w:rsidR="00AC01E1" w:rsidRPr="00C50EAF" w:rsidTr="00AC01E1">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AC01E1" w:rsidRPr="00C50EAF" w:rsidRDefault="00AC01E1" w:rsidP="00C50EAF">
            <w:pPr>
              <w:spacing w:after="0" w:line="240" w:lineRule="auto"/>
              <w:ind w:firstLine="300"/>
              <w:jc w:val="both"/>
              <w:rPr>
                <w:rFonts w:ascii="Times New Roman" w:eastAsia="Times New Roman" w:hAnsi="Times New Roman"/>
                <w:b/>
                <w:bCs/>
                <w:sz w:val="24"/>
                <w:szCs w:val="24"/>
                <w:lang w:eastAsia="lv-LV"/>
              </w:rPr>
            </w:pPr>
            <w:r w:rsidRPr="00C50EAF">
              <w:rPr>
                <w:rFonts w:ascii="Times New Roman" w:eastAsia="Times New Roman" w:hAnsi="Times New Roman"/>
                <w:b/>
                <w:bCs/>
                <w:sz w:val="24"/>
                <w:szCs w:val="24"/>
                <w:lang w:eastAsia="lv-LV"/>
              </w:rPr>
              <w:t>I. Tiesību akta projekta izstrādes nepieciešamība</w:t>
            </w:r>
          </w:p>
        </w:tc>
      </w:tr>
      <w:tr w:rsidR="00AC01E1" w:rsidRPr="00C50EAF" w:rsidTr="00AC01E1">
        <w:trPr>
          <w:trHeight w:val="212"/>
        </w:trPr>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AC01E1" w:rsidRPr="00C50EAF" w:rsidRDefault="00B04D8E" w:rsidP="00E20D8F">
            <w:pPr>
              <w:spacing w:after="0" w:line="240" w:lineRule="auto"/>
              <w:jc w:val="both"/>
              <w:rPr>
                <w:rFonts w:ascii="Times New Roman" w:eastAsia="Times New Roman" w:hAnsi="Times New Roman"/>
                <w:sz w:val="24"/>
                <w:szCs w:val="24"/>
                <w:lang w:eastAsia="lv-LV"/>
              </w:rPr>
            </w:pPr>
            <w:r w:rsidRPr="00C50EAF">
              <w:rPr>
                <w:rFonts w:ascii="Times New Roman" w:hAnsi="Times New Roman"/>
                <w:sz w:val="24"/>
                <w:szCs w:val="24"/>
              </w:rPr>
              <w:t>Eiropas Sa</w:t>
            </w:r>
            <w:r w:rsidR="006B505A" w:rsidRPr="00C50EAF">
              <w:rPr>
                <w:rFonts w:ascii="Times New Roman" w:hAnsi="Times New Roman"/>
                <w:sz w:val="24"/>
                <w:szCs w:val="24"/>
              </w:rPr>
              <w:t>darbības u</w:t>
            </w:r>
            <w:r w:rsidR="00CD663F">
              <w:rPr>
                <w:rFonts w:ascii="Times New Roman" w:hAnsi="Times New Roman"/>
                <w:sz w:val="24"/>
                <w:szCs w:val="24"/>
              </w:rPr>
              <w:t>n attīstības organizācijas (</w:t>
            </w:r>
            <w:r w:rsidR="00433547">
              <w:rPr>
                <w:rFonts w:ascii="Times New Roman" w:hAnsi="Times New Roman"/>
                <w:sz w:val="24"/>
                <w:szCs w:val="24"/>
              </w:rPr>
              <w:t xml:space="preserve">turpmāk – </w:t>
            </w:r>
            <w:r w:rsidR="00CD663F">
              <w:rPr>
                <w:rFonts w:ascii="Times New Roman" w:hAnsi="Times New Roman"/>
                <w:sz w:val="24"/>
                <w:szCs w:val="24"/>
              </w:rPr>
              <w:t>OECD</w:t>
            </w:r>
            <w:r w:rsidR="006B505A" w:rsidRPr="00C50EAF">
              <w:rPr>
                <w:rFonts w:ascii="Times New Roman" w:hAnsi="Times New Roman"/>
                <w:sz w:val="24"/>
                <w:szCs w:val="24"/>
              </w:rPr>
              <w:t>) Investīciju komitejas</w:t>
            </w:r>
            <w:r w:rsidR="007750A8" w:rsidRPr="00C50EAF">
              <w:rPr>
                <w:rFonts w:ascii="Times New Roman" w:hAnsi="Times New Roman"/>
                <w:sz w:val="24"/>
                <w:szCs w:val="24"/>
              </w:rPr>
              <w:t xml:space="preserve"> sekretariāt</w:t>
            </w:r>
            <w:r w:rsidR="00332278" w:rsidRPr="00C50EAF">
              <w:rPr>
                <w:rFonts w:ascii="Times New Roman" w:hAnsi="Times New Roman"/>
                <w:sz w:val="24"/>
                <w:szCs w:val="24"/>
              </w:rPr>
              <w:t>a</w:t>
            </w:r>
            <w:r w:rsidR="007750A8" w:rsidRPr="00C50EAF">
              <w:rPr>
                <w:rFonts w:ascii="Times New Roman" w:hAnsi="Times New Roman"/>
                <w:sz w:val="24"/>
                <w:szCs w:val="24"/>
              </w:rPr>
              <w:t xml:space="preserve"> ziņojums</w:t>
            </w:r>
          </w:p>
        </w:tc>
      </w:tr>
      <w:tr w:rsidR="00AC01E1" w:rsidRPr="00C50EAF"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150ADB" w:rsidRPr="00C50EAF" w:rsidRDefault="002634E4" w:rsidP="001E45C5">
            <w:pPr>
              <w:spacing w:after="0" w:line="240" w:lineRule="auto"/>
              <w:jc w:val="both"/>
              <w:rPr>
                <w:rFonts w:ascii="Times New Roman" w:hAnsi="Times New Roman"/>
                <w:sz w:val="24"/>
                <w:szCs w:val="24"/>
                <w:shd w:val="clear" w:color="auto" w:fill="FFFFFF" w:themeFill="background1"/>
              </w:rPr>
            </w:pPr>
            <w:r>
              <w:rPr>
                <w:rFonts w:ascii="Times New Roman" w:hAnsi="Times New Roman"/>
                <w:sz w:val="24"/>
                <w:szCs w:val="24"/>
              </w:rPr>
              <w:t>Likumprojekts „Grozījums</w:t>
            </w:r>
            <w:r w:rsidR="00150ADB" w:rsidRPr="00C50EAF">
              <w:rPr>
                <w:rFonts w:ascii="Times New Roman" w:hAnsi="Times New Roman"/>
                <w:sz w:val="24"/>
                <w:szCs w:val="24"/>
              </w:rPr>
              <w:t xml:space="preserve"> Finanšu instru</w:t>
            </w:r>
            <w:r w:rsidR="00540636">
              <w:rPr>
                <w:rFonts w:ascii="Times New Roman" w:hAnsi="Times New Roman"/>
                <w:sz w:val="24"/>
                <w:szCs w:val="24"/>
              </w:rPr>
              <w:t>mentu tirgus likumā” (turpmāk–l</w:t>
            </w:r>
            <w:r>
              <w:rPr>
                <w:rFonts w:ascii="Times New Roman" w:hAnsi="Times New Roman"/>
                <w:sz w:val="24"/>
                <w:szCs w:val="24"/>
              </w:rPr>
              <w:t>ikumprojekts) aptver grozījumu</w:t>
            </w:r>
            <w:r w:rsidR="00150ADB" w:rsidRPr="00C50EAF">
              <w:rPr>
                <w:rFonts w:ascii="Times New Roman" w:hAnsi="Times New Roman"/>
                <w:sz w:val="24"/>
                <w:szCs w:val="24"/>
              </w:rPr>
              <w:t>, k</w:t>
            </w:r>
            <w:r>
              <w:rPr>
                <w:rFonts w:ascii="Times New Roman" w:hAnsi="Times New Roman"/>
                <w:sz w:val="24"/>
                <w:szCs w:val="24"/>
              </w:rPr>
              <w:t>as saistīts</w:t>
            </w:r>
            <w:r w:rsidR="00150ADB" w:rsidRPr="00C50EAF">
              <w:rPr>
                <w:rFonts w:ascii="Times New Roman" w:hAnsi="Times New Roman"/>
                <w:sz w:val="24"/>
                <w:szCs w:val="24"/>
              </w:rPr>
              <w:t xml:space="preserve"> ar nosacījuma, ka Finanšu instrumentu tirgus likuma 3.panta </w:t>
            </w:r>
            <w:r w:rsidR="00FA4716">
              <w:rPr>
                <w:rFonts w:ascii="Times New Roman" w:hAnsi="Times New Roman"/>
                <w:sz w:val="24"/>
                <w:szCs w:val="24"/>
              </w:rPr>
              <w:t xml:space="preserve">piektās daļas </w:t>
            </w:r>
            <w:r w:rsidR="00150ADB" w:rsidRPr="00C50EAF">
              <w:rPr>
                <w:rFonts w:ascii="Times New Roman" w:hAnsi="Times New Roman"/>
                <w:sz w:val="24"/>
                <w:szCs w:val="24"/>
              </w:rPr>
              <w:t xml:space="preserve">7. punktā minēto ieguldījumu </w:t>
            </w:r>
            <w:proofErr w:type="spellStart"/>
            <w:r w:rsidR="00150ADB" w:rsidRPr="00C50EAF">
              <w:rPr>
                <w:rFonts w:ascii="Times New Roman" w:hAnsi="Times New Roman"/>
                <w:sz w:val="24"/>
                <w:szCs w:val="24"/>
              </w:rPr>
              <w:t>blakuspakalpojumu</w:t>
            </w:r>
            <w:proofErr w:type="spellEnd"/>
            <w:r w:rsidR="00150ADB" w:rsidRPr="00C50EAF">
              <w:rPr>
                <w:rFonts w:ascii="Times New Roman" w:hAnsi="Times New Roman"/>
                <w:sz w:val="24"/>
                <w:szCs w:val="24"/>
              </w:rPr>
              <w:t xml:space="preserve"> var </w:t>
            </w:r>
            <w:r w:rsidR="00150ADB" w:rsidRPr="00C50EAF">
              <w:rPr>
                <w:rFonts w:ascii="Times New Roman" w:hAnsi="Times New Roman"/>
                <w:sz w:val="24"/>
                <w:szCs w:val="24"/>
                <w:shd w:val="clear" w:color="auto" w:fill="FFFFFF" w:themeFill="background1"/>
              </w:rPr>
              <w:t>sniegt tikai tad, ja saņemta licence ieguldījumu pakalpojumu sniegšanai, atcelšanu.</w:t>
            </w:r>
          </w:p>
          <w:p w:rsidR="00AD7B99" w:rsidRPr="00C50EAF" w:rsidRDefault="00AD7B99" w:rsidP="001E45C5">
            <w:pPr>
              <w:spacing w:after="0" w:line="240" w:lineRule="auto"/>
              <w:jc w:val="both"/>
              <w:rPr>
                <w:rFonts w:ascii="Times New Roman" w:hAnsi="Times New Roman"/>
                <w:sz w:val="24"/>
                <w:szCs w:val="24"/>
                <w:shd w:val="clear" w:color="auto" w:fill="FFFFFF" w:themeFill="background1"/>
              </w:rPr>
            </w:pPr>
            <w:r w:rsidRPr="00C50EAF">
              <w:rPr>
                <w:rFonts w:ascii="Times New Roman" w:hAnsi="Times New Roman"/>
                <w:sz w:val="24"/>
                <w:szCs w:val="24"/>
              </w:rPr>
              <w:t xml:space="preserve">Šobrīd Finanšu instrumentu tirgus likuma 102. panta otrā daļa paredz, ka likuma 3.panta </w:t>
            </w:r>
            <w:r w:rsidR="00FA4716">
              <w:rPr>
                <w:rFonts w:ascii="Times New Roman" w:hAnsi="Times New Roman"/>
                <w:sz w:val="24"/>
                <w:szCs w:val="24"/>
              </w:rPr>
              <w:t xml:space="preserve">piektās daļas </w:t>
            </w:r>
            <w:r w:rsidRPr="00C50EAF">
              <w:rPr>
                <w:rFonts w:ascii="Times New Roman" w:hAnsi="Times New Roman"/>
                <w:sz w:val="24"/>
                <w:szCs w:val="24"/>
              </w:rPr>
              <w:t xml:space="preserve">7. punktā minēto ieguldījumu </w:t>
            </w:r>
            <w:proofErr w:type="spellStart"/>
            <w:r w:rsidRPr="00C50EAF">
              <w:rPr>
                <w:rFonts w:ascii="Times New Roman" w:hAnsi="Times New Roman"/>
                <w:sz w:val="24"/>
                <w:szCs w:val="24"/>
              </w:rPr>
              <w:t>blakuspaka</w:t>
            </w:r>
            <w:r w:rsidR="006B505A" w:rsidRPr="00C50EAF">
              <w:rPr>
                <w:rFonts w:ascii="Times New Roman" w:hAnsi="Times New Roman"/>
                <w:sz w:val="24"/>
                <w:szCs w:val="24"/>
              </w:rPr>
              <w:t>l</w:t>
            </w:r>
            <w:r w:rsidRPr="00C50EAF">
              <w:rPr>
                <w:rFonts w:ascii="Times New Roman" w:hAnsi="Times New Roman"/>
                <w:sz w:val="24"/>
                <w:szCs w:val="24"/>
              </w:rPr>
              <w:t>pojumu</w:t>
            </w:r>
            <w:proofErr w:type="spellEnd"/>
            <w:r w:rsidR="000D1475" w:rsidRPr="00C50EAF">
              <w:rPr>
                <w:rFonts w:ascii="Times New Roman" w:hAnsi="Times New Roman"/>
                <w:sz w:val="24"/>
                <w:szCs w:val="24"/>
              </w:rPr>
              <w:t xml:space="preserve"> (</w:t>
            </w:r>
            <w:r w:rsidR="00FA4716">
              <w:rPr>
                <w:rFonts w:ascii="Times New Roman" w:hAnsi="Times New Roman"/>
                <w:sz w:val="24"/>
                <w:szCs w:val="24"/>
              </w:rPr>
              <w:t xml:space="preserve">ieguldījumu </w:t>
            </w:r>
            <w:r w:rsidRPr="00C50EAF">
              <w:rPr>
                <w:rFonts w:ascii="Times New Roman" w:hAnsi="Times New Roman"/>
                <w:sz w:val="24"/>
                <w:szCs w:val="24"/>
              </w:rPr>
              <w:t>pētījuma, finanšu analīzes vai citas vispārējas rekomendācijas sniegšana attiecībā uz darījumiem ar finanšu instrumentiem</w:t>
            </w:r>
            <w:r w:rsidR="000D1475" w:rsidRPr="00C50EAF">
              <w:rPr>
                <w:rFonts w:ascii="Times New Roman" w:hAnsi="Times New Roman"/>
                <w:sz w:val="24"/>
                <w:szCs w:val="24"/>
              </w:rPr>
              <w:t>)</w:t>
            </w:r>
            <w:r w:rsidRPr="00C50EAF">
              <w:rPr>
                <w:rFonts w:ascii="Times New Roman" w:hAnsi="Times New Roman"/>
                <w:sz w:val="24"/>
                <w:szCs w:val="24"/>
              </w:rPr>
              <w:t xml:space="preserve"> </w:t>
            </w:r>
            <w:r w:rsidRPr="00C50EAF">
              <w:rPr>
                <w:rFonts w:ascii="Times New Roman" w:hAnsi="Times New Roman"/>
                <w:sz w:val="24"/>
                <w:szCs w:val="24"/>
                <w:shd w:val="clear" w:color="auto" w:fill="FFFFFF" w:themeFill="background1"/>
              </w:rPr>
              <w:t>ir tiesības sniegt tikai tad, ja saņemta licence ieguldījumu pakalpojumu sniegšanai.</w:t>
            </w:r>
          </w:p>
          <w:p w:rsidR="00AD7B99" w:rsidRPr="00C50EAF" w:rsidRDefault="00AD7B99" w:rsidP="001E45C5">
            <w:pPr>
              <w:spacing w:after="0" w:line="240" w:lineRule="auto"/>
              <w:jc w:val="both"/>
              <w:rPr>
                <w:rFonts w:ascii="Times New Roman" w:hAnsi="Times New Roman"/>
                <w:sz w:val="24"/>
                <w:szCs w:val="24"/>
                <w:shd w:val="clear" w:color="auto" w:fill="FFFFFF" w:themeFill="background1"/>
              </w:rPr>
            </w:pPr>
            <w:r w:rsidRPr="00C50EAF">
              <w:rPr>
                <w:rFonts w:ascii="Times New Roman" w:hAnsi="Times New Roman"/>
                <w:sz w:val="24"/>
                <w:szCs w:val="24"/>
                <w:shd w:val="clear" w:color="auto" w:fill="FFFFFF" w:themeFill="background1"/>
              </w:rPr>
              <w:t xml:space="preserve">Ņemot vērā, ka ieguldījumu pakalpojumus </w:t>
            </w:r>
            <w:proofErr w:type="spellStart"/>
            <w:r w:rsidRPr="00C50EAF">
              <w:rPr>
                <w:rFonts w:ascii="Times New Roman" w:hAnsi="Times New Roman"/>
                <w:sz w:val="24"/>
                <w:szCs w:val="24"/>
                <w:shd w:val="clear" w:color="auto" w:fill="FFFFFF" w:themeFill="background1"/>
              </w:rPr>
              <w:t>pārrobe</w:t>
            </w:r>
            <w:r w:rsidR="00B04D8E" w:rsidRPr="00C50EAF">
              <w:rPr>
                <w:rFonts w:ascii="Times New Roman" w:hAnsi="Times New Roman"/>
                <w:sz w:val="24"/>
                <w:szCs w:val="24"/>
                <w:shd w:val="clear" w:color="auto" w:fill="FFFFFF" w:themeFill="background1"/>
              </w:rPr>
              <w:t>žā</w:t>
            </w:r>
            <w:proofErr w:type="spellEnd"/>
            <w:r w:rsidR="00B04D8E" w:rsidRPr="00C50EAF">
              <w:rPr>
                <w:rFonts w:ascii="Times New Roman" w:hAnsi="Times New Roman"/>
                <w:sz w:val="24"/>
                <w:szCs w:val="24"/>
                <w:shd w:val="clear" w:color="auto" w:fill="FFFFFF" w:themeFill="background1"/>
              </w:rPr>
              <w:t xml:space="preserve"> </w:t>
            </w:r>
            <w:r w:rsidR="00FA4716">
              <w:rPr>
                <w:rFonts w:ascii="Times New Roman" w:hAnsi="Times New Roman"/>
                <w:sz w:val="24"/>
                <w:szCs w:val="24"/>
                <w:shd w:val="clear" w:color="auto" w:fill="FFFFFF" w:themeFill="background1"/>
              </w:rPr>
              <w:t xml:space="preserve">ar vai </w:t>
            </w:r>
            <w:r w:rsidR="00B04D8E" w:rsidRPr="00C50EAF">
              <w:rPr>
                <w:rFonts w:ascii="Times New Roman" w:hAnsi="Times New Roman"/>
                <w:sz w:val="24"/>
                <w:szCs w:val="24"/>
                <w:shd w:val="clear" w:color="auto" w:fill="FFFFFF" w:themeFill="background1"/>
              </w:rPr>
              <w:t>bez filiāles nodibināšanas saskaņā ar Finanšu instrumentu tirgus likumu var sniegt</w:t>
            </w:r>
            <w:r w:rsidR="00150ADB" w:rsidRPr="00C50EAF">
              <w:rPr>
                <w:rFonts w:ascii="Times New Roman" w:hAnsi="Times New Roman"/>
                <w:sz w:val="24"/>
                <w:szCs w:val="24"/>
                <w:shd w:val="clear" w:color="auto" w:fill="FFFFFF" w:themeFill="background1"/>
              </w:rPr>
              <w:t xml:space="preserve"> tikai</w:t>
            </w:r>
            <w:r w:rsidR="00B04D8E" w:rsidRPr="00C50EAF">
              <w:rPr>
                <w:rFonts w:ascii="Times New Roman" w:hAnsi="Times New Roman"/>
                <w:sz w:val="24"/>
                <w:szCs w:val="24"/>
                <w:shd w:val="clear" w:color="auto" w:fill="FFFFFF" w:themeFill="background1"/>
              </w:rPr>
              <w:t xml:space="preserve"> ieguldījumu brokeru sabiedrības</w:t>
            </w:r>
            <w:r w:rsidR="00332278" w:rsidRPr="00C50EAF">
              <w:rPr>
                <w:rFonts w:ascii="Times New Roman" w:hAnsi="Times New Roman"/>
                <w:sz w:val="24"/>
                <w:szCs w:val="24"/>
                <w:shd w:val="clear" w:color="auto" w:fill="FFFFFF" w:themeFill="background1"/>
              </w:rPr>
              <w:t xml:space="preserve"> vai kredītiestādes</w:t>
            </w:r>
            <w:r w:rsidR="00B04D8E" w:rsidRPr="00C50EAF">
              <w:rPr>
                <w:rFonts w:ascii="Times New Roman" w:hAnsi="Times New Roman"/>
                <w:sz w:val="24"/>
                <w:szCs w:val="24"/>
                <w:shd w:val="clear" w:color="auto" w:fill="FFFFFF" w:themeFill="background1"/>
              </w:rPr>
              <w:t xml:space="preserve">, kas reģistrētas Eiropas Savienībā, </w:t>
            </w:r>
            <w:r w:rsidR="006B505A" w:rsidRPr="00C50EAF">
              <w:rPr>
                <w:rFonts w:ascii="Times New Roman" w:hAnsi="Times New Roman"/>
                <w:sz w:val="24"/>
                <w:szCs w:val="24"/>
                <w:shd w:val="clear" w:color="auto" w:fill="FFFFFF" w:themeFill="background1"/>
              </w:rPr>
              <w:t>pastāv</w:t>
            </w:r>
            <w:r w:rsidR="00B04D8E" w:rsidRPr="00C50EAF">
              <w:rPr>
                <w:rFonts w:ascii="Times New Roman" w:hAnsi="Times New Roman"/>
                <w:sz w:val="24"/>
                <w:szCs w:val="24"/>
                <w:shd w:val="clear" w:color="auto" w:fill="FFFFFF" w:themeFill="background1"/>
              </w:rPr>
              <w:t xml:space="preserve"> situācija, ka </w:t>
            </w:r>
            <w:r w:rsidR="006B505A" w:rsidRPr="00C50EAF">
              <w:rPr>
                <w:rFonts w:ascii="Times New Roman" w:hAnsi="Times New Roman"/>
                <w:sz w:val="24"/>
                <w:szCs w:val="24"/>
              </w:rPr>
              <w:t>likuma 3.panta</w:t>
            </w:r>
            <w:r w:rsidR="00FA4716">
              <w:rPr>
                <w:rFonts w:ascii="Times New Roman" w:hAnsi="Times New Roman"/>
                <w:sz w:val="24"/>
                <w:szCs w:val="24"/>
              </w:rPr>
              <w:t xml:space="preserve"> piektās daļas</w:t>
            </w:r>
            <w:r w:rsidR="006B505A" w:rsidRPr="00C50EAF">
              <w:rPr>
                <w:rFonts w:ascii="Times New Roman" w:hAnsi="Times New Roman"/>
                <w:sz w:val="24"/>
                <w:szCs w:val="24"/>
              </w:rPr>
              <w:t xml:space="preserve"> 7. punktā minēto ieguldījumu </w:t>
            </w:r>
            <w:proofErr w:type="spellStart"/>
            <w:r w:rsidR="006B505A" w:rsidRPr="00C50EAF">
              <w:rPr>
                <w:rFonts w:ascii="Times New Roman" w:hAnsi="Times New Roman"/>
                <w:sz w:val="24"/>
                <w:szCs w:val="24"/>
              </w:rPr>
              <w:t>blakuspakalpojumu</w:t>
            </w:r>
            <w:proofErr w:type="spellEnd"/>
            <w:r w:rsidR="00B04D8E" w:rsidRPr="00C50EAF">
              <w:rPr>
                <w:rFonts w:ascii="Times New Roman" w:hAnsi="Times New Roman"/>
                <w:sz w:val="24"/>
                <w:szCs w:val="24"/>
                <w:shd w:val="clear" w:color="auto" w:fill="FFFFFF" w:themeFill="background1"/>
              </w:rPr>
              <w:t xml:space="preserve"> (</w:t>
            </w:r>
            <w:r w:rsidR="00FA4716">
              <w:rPr>
                <w:rFonts w:ascii="Times New Roman" w:hAnsi="Times New Roman"/>
                <w:sz w:val="24"/>
                <w:szCs w:val="24"/>
                <w:shd w:val="clear" w:color="auto" w:fill="FFFFFF" w:themeFill="background1"/>
              </w:rPr>
              <w:t xml:space="preserve">ieguldījumu </w:t>
            </w:r>
            <w:r w:rsidR="00B04D8E" w:rsidRPr="00C50EAF">
              <w:rPr>
                <w:rFonts w:ascii="Times New Roman" w:hAnsi="Times New Roman"/>
                <w:sz w:val="24"/>
                <w:szCs w:val="24"/>
              </w:rPr>
              <w:t>pētījuma, finanšu analīzes vai citas vispārējas rekomendācijas sniegšana attiecībā uz darījumiem ar finanšu instrumentiem)</w:t>
            </w:r>
            <w:r w:rsidR="00B04D8E" w:rsidRPr="00C50EAF">
              <w:rPr>
                <w:rFonts w:ascii="Times New Roman" w:hAnsi="Times New Roman"/>
                <w:sz w:val="24"/>
                <w:szCs w:val="24"/>
                <w:shd w:val="clear" w:color="auto" w:fill="FFFFFF" w:themeFill="background1"/>
              </w:rPr>
              <w:t xml:space="preserve"> </w:t>
            </w:r>
            <w:r w:rsidR="005943E3" w:rsidRPr="00C50EAF">
              <w:rPr>
                <w:rFonts w:ascii="Times New Roman" w:hAnsi="Times New Roman"/>
                <w:sz w:val="24"/>
                <w:szCs w:val="24"/>
                <w:shd w:val="clear" w:color="auto" w:fill="FFFFFF" w:themeFill="background1"/>
              </w:rPr>
              <w:t xml:space="preserve">Latvijā kā pārrobežu pakalpojumu </w:t>
            </w:r>
            <w:r w:rsidR="00B04D8E" w:rsidRPr="00C50EAF">
              <w:rPr>
                <w:rFonts w:ascii="Times New Roman" w:hAnsi="Times New Roman"/>
                <w:sz w:val="24"/>
                <w:szCs w:val="24"/>
                <w:shd w:val="clear" w:color="auto" w:fill="FFFFFF" w:themeFill="background1"/>
              </w:rPr>
              <w:t xml:space="preserve">nevar sniegt sabiedrības, kas reģistrētas ārpus Eiropas Savienības. </w:t>
            </w:r>
          </w:p>
          <w:p w:rsidR="006B505A" w:rsidRPr="00C50EAF" w:rsidRDefault="006B505A" w:rsidP="00C50EAF">
            <w:pPr>
              <w:spacing w:after="0" w:line="240" w:lineRule="auto"/>
              <w:ind w:firstLine="391"/>
              <w:jc w:val="both"/>
              <w:rPr>
                <w:rFonts w:ascii="Times New Roman" w:hAnsi="Times New Roman"/>
                <w:sz w:val="16"/>
                <w:szCs w:val="16"/>
                <w:shd w:val="clear" w:color="auto" w:fill="FFFFFF" w:themeFill="background1"/>
              </w:rPr>
            </w:pPr>
          </w:p>
          <w:p w:rsidR="000A2EBA" w:rsidRPr="00C50EAF" w:rsidRDefault="000A2EBA" w:rsidP="001E45C5">
            <w:pPr>
              <w:autoSpaceDE w:val="0"/>
              <w:autoSpaceDN w:val="0"/>
              <w:adjustRightInd w:val="0"/>
              <w:spacing w:after="0" w:line="240" w:lineRule="auto"/>
              <w:jc w:val="both"/>
              <w:rPr>
                <w:rFonts w:ascii="Times New Roman" w:hAnsi="Times New Roman"/>
                <w:sz w:val="24"/>
                <w:szCs w:val="24"/>
              </w:rPr>
            </w:pPr>
            <w:r w:rsidRPr="00C50EAF">
              <w:rPr>
                <w:rFonts w:ascii="Times New Roman" w:hAnsi="Times New Roman"/>
                <w:sz w:val="24"/>
                <w:szCs w:val="24"/>
              </w:rPr>
              <w:t xml:space="preserve">Saskaņā ar 2013. gadā </w:t>
            </w:r>
            <w:r w:rsidR="00CD663F">
              <w:rPr>
                <w:rFonts w:ascii="Times New Roman" w:hAnsi="Times New Roman"/>
                <w:sz w:val="24"/>
                <w:szCs w:val="24"/>
              </w:rPr>
              <w:t>OECD</w:t>
            </w:r>
            <w:r w:rsidRPr="00C50EAF">
              <w:rPr>
                <w:rFonts w:ascii="Times New Roman" w:hAnsi="Times New Roman"/>
                <w:sz w:val="24"/>
                <w:szCs w:val="24"/>
              </w:rPr>
              <w:t xml:space="preserve"> apstiprināto Latvijas iestāšanās sarunu „Ceļa karti” tiek turpinātas iestāšanās tehniskās sarunas. Tās paredz Latvijas </w:t>
            </w:r>
            <w:proofErr w:type="spellStart"/>
            <w:r w:rsidRPr="00C50EAF">
              <w:rPr>
                <w:rFonts w:ascii="Times New Roman" w:hAnsi="Times New Roman"/>
                <w:sz w:val="24"/>
                <w:szCs w:val="24"/>
              </w:rPr>
              <w:t>izvērtējumu</w:t>
            </w:r>
            <w:proofErr w:type="spellEnd"/>
            <w:r w:rsidRPr="00C50EAF">
              <w:rPr>
                <w:rFonts w:ascii="Times New Roman" w:hAnsi="Times New Roman"/>
                <w:sz w:val="24"/>
                <w:szCs w:val="24"/>
              </w:rPr>
              <w:t xml:space="preserve"> 21 </w:t>
            </w:r>
            <w:r w:rsidR="00CD663F">
              <w:rPr>
                <w:rFonts w:ascii="Times New Roman" w:hAnsi="Times New Roman"/>
                <w:sz w:val="24"/>
                <w:szCs w:val="24"/>
              </w:rPr>
              <w:t>OECD</w:t>
            </w:r>
            <w:r w:rsidRPr="00C50EAF">
              <w:rPr>
                <w:rFonts w:ascii="Times New Roman" w:hAnsi="Times New Roman"/>
                <w:sz w:val="24"/>
                <w:szCs w:val="24"/>
              </w:rPr>
              <w:t xml:space="preserve"> komitejā, kas sarunu noslēgumā sniegs savu formālo viedokli un attiecīgi veidos pamatu lēmumam par Latvijas uzaicināšanu kļūt par </w:t>
            </w:r>
            <w:r w:rsidR="00CD663F">
              <w:rPr>
                <w:rFonts w:ascii="Times New Roman" w:hAnsi="Times New Roman"/>
                <w:sz w:val="24"/>
                <w:szCs w:val="24"/>
              </w:rPr>
              <w:t>OECD</w:t>
            </w:r>
            <w:r w:rsidRPr="00C50EAF">
              <w:rPr>
                <w:rFonts w:ascii="Times New Roman" w:hAnsi="Times New Roman"/>
                <w:sz w:val="24"/>
                <w:szCs w:val="24"/>
              </w:rPr>
              <w:t xml:space="preserve"> dalībvalsti. Sarunas paredz </w:t>
            </w:r>
            <w:proofErr w:type="spellStart"/>
            <w:r w:rsidRPr="00C50EAF">
              <w:rPr>
                <w:rFonts w:ascii="Times New Roman" w:hAnsi="Times New Roman"/>
                <w:sz w:val="24"/>
                <w:szCs w:val="24"/>
              </w:rPr>
              <w:t>izvērtējumu</w:t>
            </w:r>
            <w:proofErr w:type="spellEnd"/>
            <w:r w:rsidRPr="00C50EAF">
              <w:rPr>
                <w:rFonts w:ascii="Times New Roman" w:hAnsi="Times New Roman"/>
                <w:sz w:val="24"/>
                <w:szCs w:val="24"/>
              </w:rPr>
              <w:t xml:space="preserve"> par Latvijas spēkā esošo tiesību aktu un to piemērošanas atbilstību </w:t>
            </w:r>
            <w:r w:rsidR="00CD663F">
              <w:rPr>
                <w:rFonts w:ascii="Times New Roman" w:hAnsi="Times New Roman"/>
                <w:sz w:val="24"/>
                <w:szCs w:val="24"/>
              </w:rPr>
              <w:t>OECD</w:t>
            </w:r>
            <w:r w:rsidRPr="00C50EAF">
              <w:rPr>
                <w:rFonts w:ascii="Times New Roman" w:hAnsi="Times New Roman"/>
                <w:sz w:val="24"/>
                <w:szCs w:val="24"/>
              </w:rPr>
              <w:t xml:space="preserve"> juridiskajiem instrumentiem. Viens no šādiem instrumentiem ir </w:t>
            </w:r>
            <w:r w:rsidR="00CD663F">
              <w:rPr>
                <w:rFonts w:ascii="Times New Roman" w:hAnsi="Times New Roman"/>
                <w:sz w:val="24"/>
                <w:szCs w:val="24"/>
              </w:rPr>
              <w:t>OECD</w:t>
            </w:r>
            <w:r w:rsidRPr="00C50EAF">
              <w:rPr>
                <w:rFonts w:ascii="Times New Roman" w:hAnsi="Times New Roman"/>
                <w:sz w:val="24"/>
                <w:szCs w:val="24"/>
              </w:rPr>
              <w:t xml:space="preserve"> Liberalizācijas kodeksi, kas </w:t>
            </w:r>
            <w:r w:rsidR="00CD663F">
              <w:rPr>
                <w:rFonts w:ascii="Times New Roman" w:hAnsi="Times New Roman"/>
                <w:sz w:val="24"/>
                <w:szCs w:val="24"/>
              </w:rPr>
              <w:t xml:space="preserve"> OECD</w:t>
            </w:r>
            <w:r w:rsidRPr="00C50EAF">
              <w:rPr>
                <w:rFonts w:ascii="Times New Roman" w:hAnsi="Times New Roman"/>
                <w:sz w:val="24"/>
                <w:szCs w:val="24"/>
              </w:rPr>
              <w:t xml:space="preserve"> dalībvalstu vidū nodrošina regulējumu attiecībā uz brīvu </w:t>
            </w:r>
            <w:r w:rsidR="00F668F8" w:rsidRPr="00C50EAF">
              <w:rPr>
                <w:rFonts w:ascii="Times New Roman" w:hAnsi="Times New Roman"/>
                <w:sz w:val="24"/>
                <w:szCs w:val="24"/>
              </w:rPr>
              <w:t xml:space="preserve">kapitāla un </w:t>
            </w:r>
            <w:r w:rsidR="0071435F" w:rsidRPr="00C50EAF">
              <w:rPr>
                <w:rFonts w:ascii="Times New Roman" w:hAnsi="Times New Roman"/>
                <w:sz w:val="24"/>
                <w:szCs w:val="24"/>
              </w:rPr>
              <w:t>pakalpojumu</w:t>
            </w:r>
            <w:r w:rsidRPr="00C50EAF">
              <w:rPr>
                <w:rFonts w:ascii="Times New Roman" w:hAnsi="Times New Roman"/>
                <w:sz w:val="24"/>
                <w:szCs w:val="24"/>
              </w:rPr>
              <w:t xml:space="preserve"> kustību. Latvijas </w:t>
            </w:r>
            <w:proofErr w:type="spellStart"/>
            <w:r w:rsidRPr="00C50EAF">
              <w:rPr>
                <w:rFonts w:ascii="Times New Roman" w:hAnsi="Times New Roman"/>
                <w:sz w:val="24"/>
                <w:szCs w:val="24"/>
              </w:rPr>
              <w:t>izvērtējums</w:t>
            </w:r>
            <w:proofErr w:type="spellEnd"/>
            <w:r w:rsidRPr="00C50EAF">
              <w:rPr>
                <w:rFonts w:ascii="Times New Roman" w:hAnsi="Times New Roman"/>
                <w:sz w:val="24"/>
                <w:szCs w:val="24"/>
              </w:rPr>
              <w:t xml:space="preserve"> šajā jautājumā tiek veikts </w:t>
            </w:r>
            <w:r w:rsidR="00CD663F">
              <w:rPr>
                <w:rFonts w:ascii="Times New Roman" w:hAnsi="Times New Roman"/>
                <w:sz w:val="24"/>
                <w:szCs w:val="24"/>
              </w:rPr>
              <w:t>OECD</w:t>
            </w:r>
            <w:r w:rsidRPr="00C50EAF">
              <w:rPr>
                <w:rFonts w:ascii="Times New Roman" w:hAnsi="Times New Roman"/>
                <w:sz w:val="24"/>
                <w:szCs w:val="24"/>
              </w:rPr>
              <w:t xml:space="preserve"> Investīciju komitejā.</w:t>
            </w:r>
          </w:p>
          <w:p w:rsidR="0071435F" w:rsidRPr="00C50EAF" w:rsidRDefault="0071435F" w:rsidP="001E45C5">
            <w:pPr>
              <w:autoSpaceDE w:val="0"/>
              <w:autoSpaceDN w:val="0"/>
              <w:adjustRightInd w:val="0"/>
              <w:spacing w:after="0" w:line="240" w:lineRule="auto"/>
              <w:jc w:val="both"/>
              <w:rPr>
                <w:rFonts w:ascii="Times New Roman" w:hAnsi="Times New Roman"/>
                <w:sz w:val="16"/>
                <w:szCs w:val="16"/>
                <w:shd w:val="clear" w:color="auto" w:fill="FFFFFF" w:themeFill="background1"/>
              </w:rPr>
            </w:pPr>
            <w:proofErr w:type="spellStart"/>
            <w:r w:rsidRPr="00C50EAF">
              <w:rPr>
                <w:rFonts w:ascii="Times New Roman" w:hAnsi="Times New Roman"/>
                <w:sz w:val="24"/>
                <w:szCs w:val="24"/>
              </w:rPr>
              <w:lastRenderedPageBreak/>
              <w:t>Izvērtējuma</w:t>
            </w:r>
            <w:proofErr w:type="spellEnd"/>
            <w:r w:rsidRPr="00C50EAF">
              <w:rPr>
                <w:rFonts w:ascii="Times New Roman" w:hAnsi="Times New Roman"/>
                <w:sz w:val="24"/>
                <w:szCs w:val="24"/>
              </w:rPr>
              <w:t xml:space="preserve"> ietvaros tika saņemtas </w:t>
            </w:r>
            <w:proofErr w:type="spellStart"/>
            <w:r w:rsidRPr="00C50EAF">
              <w:rPr>
                <w:rFonts w:ascii="Times New Roman" w:hAnsi="Times New Roman"/>
                <w:sz w:val="24"/>
                <w:szCs w:val="24"/>
              </w:rPr>
              <w:t>iebildes</w:t>
            </w:r>
            <w:proofErr w:type="spellEnd"/>
            <w:r w:rsidRPr="00C50EAF">
              <w:rPr>
                <w:rFonts w:ascii="Times New Roman" w:hAnsi="Times New Roman"/>
                <w:sz w:val="24"/>
                <w:szCs w:val="24"/>
              </w:rPr>
              <w:t xml:space="preserve"> no</w:t>
            </w:r>
            <w:r w:rsidR="00CD663F">
              <w:rPr>
                <w:rFonts w:ascii="Times New Roman" w:hAnsi="Times New Roman"/>
                <w:sz w:val="24"/>
                <w:szCs w:val="24"/>
              </w:rPr>
              <w:t xml:space="preserve"> OECD</w:t>
            </w:r>
            <w:r w:rsidR="005943E3" w:rsidRPr="00C50EAF">
              <w:rPr>
                <w:rFonts w:ascii="Times New Roman" w:hAnsi="Times New Roman"/>
                <w:sz w:val="24"/>
                <w:szCs w:val="24"/>
              </w:rPr>
              <w:t xml:space="preserve"> Investīciju komitejas sekretariāta</w:t>
            </w:r>
            <w:r w:rsidRPr="00C50EAF">
              <w:rPr>
                <w:rFonts w:ascii="Times New Roman" w:hAnsi="Times New Roman"/>
                <w:sz w:val="24"/>
                <w:szCs w:val="24"/>
              </w:rPr>
              <w:t xml:space="preserve">, ka regulējums, kas ierobežo </w:t>
            </w:r>
            <w:r w:rsidR="00CD663F">
              <w:rPr>
                <w:rFonts w:ascii="Times New Roman" w:hAnsi="Times New Roman"/>
                <w:sz w:val="24"/>
                <w:szCs w:val="24"/>
              </w:rPr>
              <w:t>OECD</w:t>
            </w:r>
            <w:r w:rsidRPr="00C50EAF">
              <w:rPr>
                <w:rFonts w:ascii="Times New Roman" w:hAnsi="Times New Roman"/>
                <w:sz w:val="24"/>
                <w:szCs w:val="24"/>
              </w:rPr>
              <w:t xml:space="preserve"> dalībvalst</w:t>
            </w:r>
            <w:r w:rsidR="005943E3" w:rsidRPr="00C50EAF">
              <w:rPr>
                <w:rFonts w:ascii="Times New Roman" w:hAnsi="Times New Roman"/>
                <w:sz w:val="24"/>
                <w:szCs w:val="24"/>
              </w:rPr>
              <w:t>is</w:t>
            </w:r>
            <w:r w:rsidRPr="00C50EAF">
              <w:rPr>
                <w:rFonts w:ascii="Times New Roman" w:hAnsi="Times New Roman"/>
                <w:sz w:val="24"/>
                <w:szCs w:val="24"/>
              </w:rPr>
              <w:t>, kuras nav Eiropas Savienības dalībvalstis</w:t>
            </w:r>
            <w:r w:rsidR="005943E3" w:rsidRPr="00C50EAF">
              <w:rPr>
                <w:rFonts w:ascii="Times New Roman" w:hAnsi="Times New Roman"/>
                <w:sz w:val="24"/>
                <w:szCs w:val="24"/>
              </w:rPr>
              <w:t>,</w:t>
            </w:r>
            <w:r w:rsidRPr="00C50EAF">
              <w:rPr>
                <w:rFonts w:ascii="Times New Roman" w:hAnsi="Times New Roman"/>
                <w:sz w:val="24"/>
                <w:szCs w:val="24"/>
              </w:rPr>
              <w:t xml:space="preserve"> piedāvāt </w:t>
            </w:r>
            <w:proofErr w:type="spellStart"/>
            <w:r w:rsidRPr="00C50EAF">
              <w:rPr>
                <w:rFonts w:ascii="Times New Roman" w:hAnsi="Times New Roman"/>
                <w:sz w:val="24"/>
                <w:szCs w:val="24"/>
              </w:rPr>
              <w:t>pārrobežā</w:t>
            </w:r>
            <w:proofErr w:type="spellEnd"/>
            <w:r w:rsidRPr="00C50EAF">
              <w:rPr>
                <w:rFonts w:ascii="Times New Roman" w:hAnsi="Times New Roman"/>
                <w:sz w:val="24"/>
                <w:szCs w:val="24"/>
              </w:rPr>
              <w:t xml:space="preserve"> ieguldījumu </w:t>
            </w:r>
            <w:proofErr w:type="spellStart"/>
            <w:r w:rsidRPr="00C50EAF">
              <w:rPr>
                <w:rFonts w:ascii="Times New Roman" w:hAnsi="Times New Roman"/>
                <w:sz w:val="24"/>
                <w:szCs w:val="24"/>
              </w:rPr>
              <w:t>blakuspakalpojumu</w:t>
            </w:r>
            <w:proofErr w:type="spellEnd"/>
            <w:r w:rsidRPr="00C50EAF">
              <w:rPr>
                <w:rFonts w:ascii="Times New Roman" w:hAnsi="Times New Roman"/>
                <w:sz w:val="24"/>
                <w:szCs w:val="24"/>
              </w:rPr>
              <w:t xml:space="preserve"> </w:t>
            </w:r>
            <w:r w:rsidR="00C50EAF" w:rsidRPr="00C50EAF">
              <w:rPr>
                <w:rFonts w:ascii="Times New Roman" w:hAnsi="Times New Roman"/>
                <w:sz w:val="24"/>
                <w:szCs w:val="24"/>
              </w:rPr>
              <w:t>(</w:t>
            </w:r>
            <w:r w:rsidR="00FA4716">
              <w:rPr>
                <w:rFonts w:ascii="Times New Roman" w:hAnsi="Times New Roman"/>
                <w:sz w:val="24"/>
                <w:szCs w:val="24"/>
              </w:rPr>
              <w:t xml:space="preserve">ieguldījumu </w:t>
            </w:r>
            <w:r w:rsidRPr="00C50EAF">
              <w:rPr>
                <w:rFonts w:ascii="Times New Roman" w:hAnsi="Times New Roman"/>
                <w:sz w:val="24"/>
                <w:szCs w:val="24"/>
              </w:rPr>
              <w:t>pētījuma, finanšu analīzes vai citas vispārējas rekomendācijas sniegšan</w:t>
            </w:r>
            <w:r w:rsidR="00C50EAF" w:rsidRPr="00C50EAF">
              <w:rPr>
                <w:rFonts w:ascii="Times New Roman" w:hAnsi="Times New Roman"/>
                <w:sz w:val="24"/>
                <w:szCs w:val="24"/>
              </w:rPr>
              <w:t>a</w:t>
            </w:r>
            <w:r w:rsidRPr="00C50EAF">
              <w:rPr>
                <w:rFonts w:ascii="Times New Roman" w:hAnsi="Times New Roman"/>
                <w:sz w:val="24"/>
                <w:szCs w:val="24"/>
              </w:rPr>
              <w:t xml:space="preserve"> attiecībā uz darījumiem ar finanšu instrumentiem</w:t>
            </w:r>
            <w:r w:rsidR="00C50EAF" w:rsidRPr="00C50EAF">
              <w:rPr>
                <w:rFonts w:ascii="Times New Roman" w:hAnsi="Times New Roman"/>
                <w:sz w:val="24"/>
                <w:szCs w:val="24"/>
              </w:rPr>
              <w:t>)</w:t>
            </w:r>
            <w:r w:rsidRPr="00C50EAF">
              <w:rPr>
                <w:rFonts w:ascii="Times New Roman" w:hAnsi="Times New Roman"/>
                <w:sz w:val="24"/>
                <w:szCs w:val="24"/>
              </w:rPr>
              <w:t xml:space="preserve"> neatbilst </w:t>
            </w:r>
            <w:r w:rsidRPr="00C50EAF">
              <w:rPr>
                <w:rFonts w:ascii="Times New Roman" w:hAnsi="Times New Roman"/>
                <w:sz w:val="24"/>
                <w:szCs w:val="24"/>
                <w:shd w:val="clear" w:color="auto" w:fill="FFFFFF" w:themeFill="background1"/>
              </w:rPr>
              <w:t xml:space="preserve">Latvijas uzņemtajām saistībām, iestājoties Pasaules tirdzniecības organizācijā, jo Latvijas </w:t>
            </w:r>
            <w:r w:rsidR="00C50EAF" w:rsidRPr="00C50EAF">
              <w:rPr>
                <w:rFonts w:ascii="Times New Roman" w:hAnsi="Times New Roman"/>
                <w:sz w:val="24"/>
                <w:szCs w:val="24"/>
                <w:shd w:val="clear" w:color="auto" w:fill="FFFFFF" w:themeFill="background1"/>
              </w:rPr>
              <w:t>īpašo saistību grafikā</w:t>
            </w:r>
            <w:r w:rsidRPr="00C50EAF">
              <w:rPr>
                <w:rFonts w:ascii="Times New Roman" w:hAnsi="Times New Roman"/>
                <w:sz w:val="24"/>
                <w:szCs w:val="24"/>
                <w:shd w:val="clear" w:color="auto" w:fill="FFFFFF" w:themeFill="background1"/>
              </w:rPr>
              <w:t xml:space="preserve"> nav </w:t>
            </w:r>
            <w:r w:rsidR="00C50EAF" w:rsidRPr="00C50EAF">
              <w:rPr>
                <w:rFonts w:ascii="Times New Roman" w:hAnsi="Times New Roman"/>
                <w:sz w:val="24"/>
                <w:szCs w:val="24"/>
                <w:shd w:val="clear" w:color="auto" w:fill="FFFFFF" w:themeFill="background1"/>
              </w:rPr>
              <w:t>rezervēti</w:t>
            </w:r>
            <w:r w:rsidRPr="00C50EAF">
              <w:rPr>
                <w:rFonts w:ascii="Times New Roman" w:hAnsi="Times New Roman"/>
                <w:sz w:val="24"/>
                <w:szCs w:val="24"/>
                <w:shd w:val="clear" w:color="auto" w:fill="FFFFFF" w:themeFill="background1"/>
              </w:rPr>
              <w:t xml:space="preserve"> ierobežojumi </w:t>
            </w:r>
            <w:r w:rsidRPr="00C50EAF">
              <w:rPr>
                <w:rFonts w:ascii="Times New Roman" w:hAnsi="Times New Roman"/>
                <w:sz w:val="24"/>
                <w:szCs w:val="24"/>
              </w:rPr>
              <w:t>citām Pasaules tirdzniecības organizācijas dalībvalstīm</w:t>
            </w:r>
            <w:r w:rsidRPr="00C50EAF">
              <w:rPr>
                <w:rFonts w:ascii="Times New Roman" w:hAnsi="Times New Roman"/>
                <w:sz w:val="24"/>
                <w:szCs w:val="24"/>
                <w:shd w:val="clear" w:color="auto" w:fill="FFFFFF" w:themeFill="background1"/>
              </w:rPr>
              <w:t xml:space="preserve"> finanšu konsultāciju, tai skaitā ieguldījumu </w:t>
            </w:r>
            <w:r w:rsidRPr="00C50EAF">
              <w:rPr>
                <w:rFonts w:ascii="Times New Roman" w:hAnsi="Times New Roman"/>
                <w:sz w:val="24"/>
                <w:szCs w:val="24"/>
              </w:rPr>
              <w:t xml:space="preserve">pētījuma, finanšu analīzes vai citas vispārējas rekomendācijas </w:t>
            </w:r>
            <w:r w:rsidR="00C50EAF" w:rsidRPr="00C50EAF">
              <w:rPr>
                <w:rFonts w:ascii="Times New Roman" w:hAnsi="Times New Roman"/>
                <w:sz w:val="24"/>
                <w:szCs w:val="24"/>
                <w:shd w:val="clear" w:color="auto" w:fill="FFFFFF" w:themeFill="background1"/>
              </w:rPr>
              <w:t xml:space="preserve">pārrobežu </w:t>
            </w:r>
            <w:r w:rsidR="00C50EAF" w:rsidRPr="00C50EAF">
              <w:rPr>
                <w:rFonts w:ascii="Times New Roman" w:hAnsi="Times New Roman"/>
                <w:sz w:val="24"/>
                <w:szCs w:val="24"/>
              </w:rPr>
              <w:t>sniegšanai</w:t>
            </w:r>
            <w:r w:rsidRPr="00C50EAF">
              <w:rPr>
                <w:rFonts w:ascii="Times New Roman" w:hAnsi="Times New Roman"/>
                <w:sz w:val="24"/>
                <w:szCs w:val="24"/>
              </w:rPr>
              <w:t>.</w:t>
            </w:r>
          </w:p>
          <w:p w:rsidR="006E6BAC" w:rsidRDefault="0083641F" w:rsidP="001E45C5">
            <w:pPr>
              <w:spacing w:after="0" w:line="240" w:lineRule="auto"/>
              <w:jc w:val="both"/>
              <w:rPr>
                <w:rFonts w:ascii="Times New Roman" w:eastAsia="Times New Roman" w:hAnsi="Times New Roman"/>
                <w:sz w:val="24"/>
                <w:szCs w:val="24"/>
                <w:lang w:eastAsia="lv-LV"/>
              </w:rPr>
            </w:pPr>
            <w:r w:rsidRPr="00C50EAF">
              <w:rPr>
                <w:rFonts w:ascii="Times New Roman" w:hAnsi="Times New Roman"/>
                <w:sz w:val="24"/>
                <w:szCs w:val="24"/>
              </w:rPr>
              <w:t xml:space="preserve">Likumprojekts </w:t>
            </w:r>
            <w:r w:rsidR="008F63F2" w:rsidRPr="00C50EAF">
              <w:rPr>
                <w:rFonts w:ascii="Times New Roman" w:hAnsi="Times New Roman"/>
                <w:sz w:val="24"/>
                <w:szCs w:val="24"/>
              </w:rPr>
              <w:t>paredz</w:t>
            </w:r>
            <w:r w:rsidRPr="00C50EAF">
              <w:rPr>
                <w:rFonts w:ascii="Times New Roman" w:hAnsi="Times New Roman"/>
                <w:sz w:val="24"/>
                <w:szCs w:val="24"/>
              </w:rPr>
              <w:t xml:space="preserve"> atcelt nosacījumu, ka</w:t>
            </w:r>
            <w:r w:rsidR="005943E3" w:rsidRPr="00C50EAF">
              <w:rPr>
                <w:rFonts w:ascii="Times New Roman" w:hAnsi="Times New Roman"/>
                <w:sz w:val="24"/>
                <w:szCs w:val="24"/>
              </w:rPr>
              <w:t xml:space="preserve"> likuma 3.panta</w:t>
            </w:r>
            <w:r w:rsidR="00FA4716">
              <w:rPr>
                <w:rFonts w:ascii="Times New Roman" w:hAnsi="Times New Roman"/>
                <w:sz w:val="24"/>
                <w:szCs w:val="24"/>
              </w:rPr>
              <w:t xml:space="preserve"> piektās daļas</w:t>
            </w:r>
            <w:r w:rsidR="005943E3" w:rsidRPr="00C50EAF">
              <w:rPr>
                <w:rFonts w:ascii="Times New Roman" w:hAnsi="Times New Roman"/>
                <w:sz w:val="24"/>
                <w:szCs w:val="24"/>
              </w:rPr>
              <w:t xml:space="preserve"> 7. punktā minēto ieguldījumu </w:t>
            </w:r>
            <w:proofErr w:type="spellStart"/>
            <w:r w:rsidR="005943E3" w:rsidRPr="00C50EAF">
              <w:rPr>
                <w:rFonts w:ascii="Times New Roman" w:hAnsi="Times New Roman"/>
                <w:sz w:val="24"/>
                <w:szCs w:val="24"/>
              </w:rPr>
              <w:t>blakuspakalpojumu</w:t>
            </w:r>
            <w:proofErr w:type="spellEnd"/>
            <w:r w:rsidR="00C50EAF" w:rsidRPr="00C50EAF">
              <w:rPr>
                <w:rFonts w:ascii="Times New Roman" w:hAnsi="Times New Roman"/>
                <w:sz w:val="24"/>
                <w:szCs w:val="24"/>
              </w:rPr>
              <w:t xml:space="preserve"> (</w:t>
            </w:r>
            <w:r w:rsidR="00FA4716">
              <w:rPr>
                <w:rFonts w:ascii="Times New Roman" w:hAnsi="Times New Roman"/>
                <w:sz w:val="24"/>
                <w:szCs w:val="24"/>
              </w:rPr>
              <w:t xml:space="preserve">ieguldījumu </w:t>
            </w:r>
            <w:r w:rsidR="005943E3" w:rsidRPr="00C50EAF">
              <w:rPr>
                <w:rFonts w:ascii="Times New Roman" w:hAnsi="Times New Roman"/>
                <w:sz w:val="24"/>
                <w:szCs w:val="24"/>
              </w:rPr>
              <w:t>pētījuma, finanšu analīzes vai citas vispārējas rekomendācijas sniegšana attiecībā uz darījumiem ar finanšu instrumentiem</w:t>
            </w:r>
            <w:r w:rsidR="00C50EAF" w:rsidRPr="00C50EAF">
              <w:rPr>
                <w:rFonts w:ascii="Times New Roman" w:hAnsi="Times New Roman"/>
                <w:sz w:val="24"/>
                <w:szCs w:val="24"/>
              </w:rPr>
              <w:t>)</w:t>
            </w:r>
            <w:r w:rsidR="005943E3" w:rsidRPr="00C50EAF">
              <w:rPr>
                <w:rFonts w:ascii="Times New Roman" w:hAnsi="Times New Roman"/>
                <w:bCs/>
                <w:sz w:val="24"/>
                <w:szCs w:val="24"/>
              </w:rPr>
              <w:t xml:space="preserve"> </w:t>
            </w:r>
            <w:r w:rsidRPr="00C50EAF">
              <w:rPr>
                <w:rFonts w:ascii="Times New Roman" w:hAnsi="Times New Roman"/>
                <w:bCs/>
                <w:sz w:val="24"/>
                <w:szCs w:val="24"/>
              </w:rPr>
              <w:t>var sniegt tikai</w:t>
            </w:r>
            <w:r w:rsidRPr="00C50EAF">
              <w:rPr>
                <w:rFonts w:ascii="Times New Roman" w:hAnsi="Times New Roman"/>
                <w:sz w:val="24"/>
                <w:szCs w:val="24"/>
                <w:shd w:val="clear" w:color="auto" w:fill="FFFFFF" w:themeFill="background1"/>
              </w:rPr>
              <w:t>, ja saņemta licence ieguldījumu pakalpojumu sniegšanai.</w:t>
            </w:r>
            <w:r w:rsidRPr="00C50EAF">
              <w:rPr>
                <w:rFonts w:ascii="Times New Roman" w:hAnsi="Times New Roman"/>
                <w:bCs/>
                <w:sz w:val="24"/>
                <w:szCs w:val="24"/>
              </w:rPr>
              <w:t xml:space="preserve"> Tādējādi šād</w:t>
            </w:r>
            <w:r w:rsidR="00F668F8" w:rsidRPr="00C50EAF">
              <w:rPr>
                <w:rFonts w:ascii="Times New Roman" w:hAnsi="Times New Roman"/>
                <w:bCs/>
                <w:sz w:val="24"/>
                <w:szCs w:val="24"/>
              </w:rPr>
              <w:t>a</w:t>
            </w:r>
            <w:r w:rsidRPr="00C50EAF">
              <w:rPr>
                <w:rFonts w:ascii="Times New Roman" w:hAnsi="Times New Roman"/>
                <w:bCs/>
                <w:sz w:val="24"/>
                <w:szCs w:val="24"/>
              </w:rPr>
              <w:t xml:space="preserve"> </w:t>
            </w:r>
            <w:proofErr w:type="spellStart"/>
            <w:r w:rsidRPr="00C50EAF">
              <w:rPr>
                <w:rFonts w:ascii="Times New Roman" w:hAnsi="Times New Roman"/>
                <w:bCs/>
                <w:sz w:val="24"/>
                <w:szCs w:val="24"/>
              </w:rPr>
              <w:t>blakuspakalpojum</w:t>
            </w:r>
            <w:r w:rsidR="00F668F8" w:rsidRPr="00C50EAF">
              <w:rPr>
                <w:rFonts w:ascii="Times New Roman" w:hAnsi="Times New Roman"/>
                <w:bCs/>
                <w:sz w:val="24"/>
                <w:szCs w:val="24"/>
              </w:rPr>
              <w:t>a</w:t>
            </w:r>
            <w:proofErr w:type="spellEnd"/>
            <w:r w:rsidR="00F668F8" w:rsidRPr="00C50EAF">
              <w:rPr>
                <w:rFonts w:ascii="Times New Roman" w:hAnsi="Times New Roman"/>
                <w:bCs/>
                <w:sz w:val="24"/>
                <w:szCs w:val="24"/>
              </w:rPr>
              <w:t xml:space="preserve"> sniegšana</w:t>
            </w:r>
            <w:r w:rsidR="00FA4716">
              <w:rPr>
                <w:rFonts w:ascii="Times New Roman" w:hAnsi="Times New Roman"/>
                <w:bCs/>
                <w:sz w:val="24"/>
                <w:szCs w:val="24"/>
              </w:rPr>
              <w:t xml:space="preserve">, tāpat kā citu likumā norādīto ieguldījumu </w:t>
            </w:r>
            <w:proofErr w:type="spellStart"/>
            <w:r w:rsidR="00FA4716">
              <w:rPr>
                <w:rFonts w:ascii="Times New Roman" w:hAnsi="Times New Roman"/>
                <w:bCs/>
                <w:sz w:val="24"/>
                <w:szCs w:val="24"/>
              </w:rPr>
              <w:t>blakuspakalpojumu</w:t>
            </w:r>
            <w:proofErr w:type="spellEnd"/>
            <w:r w:rsidR="00FA4716">
              <w:rPr>
                <w:rFonts w:ascii="Times New Roman" w:hAnsi="Times New Roman"/>
                <w:bCs/>
                <w:sz w:val="24"/>
                <w:szCs w:val="24"/>
              </w:rPr>
              <w:t xml:space="preserve"> sniegšana, izņemot ieguldījumu </w:t>
            </w:r>
            <w:proofErr w:type="spellStart"/>
            <w:r w:rsidR="00FA4716">
              <w:rPr>
                <w:rFonts w:ascii="Times New Roman" w:hAnsi="Times New Roman"/>
                <w:bCs/>
                <w:sz w:val="24"/>
                <w:szCs w:val="24"/>
              </w:rPr>
              <w:t>blakuspakalpojumu</w:t>
            </w:r>
            <w:proofErr w:type="spellEnd"/>
            <w:r w:rsidR="00FA4716">
              <w:rPr>
                <w:rFonts w:ascii="Times New Roman" w:hAnsi="Times New Roman"/>
                <w:bCs/>
                <w:sz w:val="24"/>
                <w:szCs w:val="24"/>
              </w:rPr>
              <w:t xml:space="preserve"> - finanšu instrumentu turēšanu, </w:t>
            </w:r>
            <w:r w:rsidR="00F668F8" w:rsidRPr="00C50EAF">
              <w:rPr>
                <w:rFonts w:ascii="Times New Roman" w:hAnsi="Times New Roman"/>
                <w:bCs/>
                <w:sz w:val="24"/>
                <w:szCs w:val="24"/>
              </w:rPr>
              <w:t xml:space="preserve"> </w:t>
            </w:r>
            <w:r w:rsidRPr="00C50EAF">
              <w:rPr>
                <w:rFonts w:ascii="Times New Roman" w:hAnsi="Times New Roman"/>
                <w:bCs/>
                <w:sz w:val="24"/>
                <w:szCs w:val="24"/>
              </w:rPr>
              <w:t>netiks licencēt</w:t>
            </w:r>
            <w:r w:rsidR="00F668F8" w:rsidRPr="00C50EAF">
              <w:rPr>
                <w:rFonts w:ascii="Times New Roman" w:hAnsi="Times New Roman"/>
                <w:bCs/>
                <w:sz w:val="24"/>
                <w:szCs w:val="24"/>
              </w:rPr>
              <w:t xml:space="preserve">a. Tas atbilst arī </w:t>
            </w:r>
            <w:r w:rsidR="00F668F8" w:rsidRPr="00C50EAF">
              <w:rPr>
                <w:rStyle w:val="Strong"/>
                <w:rFonts w:ascii="Times New Roman" w:hAnsi="Times New Roman"/>
                <w:b w:val="0"/>
                <w:sz w:val="24"/>
                <w:szCs w:val="24"/>
                <w:bdr w:val="none" w:sz="0" w:space="0" w:color="auto" w:frame="1"/>
                <w:shd w:val="clear" w:color="auto" w:fill="FFFFFF"/>
              </w:rPr>
              <w:t xml:space="preserve">Eiropas Parlamenta un padomes Direktīvai 2004/39/EK (2004. gada 21. aprīlis), kas attiecas uz finanšu instrumentu tirgiem un ar ko groza Padomes Direktīvas 85/611/EEK un 93/6/EEK un Eiropas Parlamenta un Padomes Direktīvu 2000/12/EK un atceļ Padomes Direktīvu 93/22/EEK, jo </w:t>
            </w:r>
            <w:r w:rsidR="00FF6507" w:rsidRPr="00C50EAF">
              <w:rPr>
                <w:rStyle w:val="Strong"/>
                <w:rFonts w:ascii="Times New Roman" w:hAnsi="Times New Roman"/>
                <w:b w:val="0"/>
                <w:sz w:val="24"/>
                <w:szCs w:val="24"/>
                <w:bdr w:val="none" w:sz="0" w:space="0" w:color="auto" w:frame="1"/>
                <w:shd w:val="clear" w:color="auto" w:fill="FFFFFF"/>
              </w:rPr>
              <w:t>šī direktīva</w:t>
            </w:r>
            <w:r w:rsidR="00F668F8" w:rsidRPr="00C50EAF">
              <w:rPr>
                <w:rStyle w:val="Strong"/>
                <w:rFonts w:ascii="Times New Roman" w:hAnsi="Times New Roman"/>
                <w:b w:val="0"/>
                <w:sz w:val="24"/>
                <w:szCs w:val="24"/>
                <w:bdr w:val="none" w:sz="0" w:space="0" w:color="auto" w:frame="1"/>
                <w:shd w:val="clear" w:color="auto" w:fill="FFFFFF"/>
              </w:rPr>
              <w:t xml:space="preserve"> paredz vienotās licences principu ieguldījumu pamatpakalpojum</w:t>
            </w:r>
            <w:r w:rsidR="00FF6507" w:rsidRPr="00C50EAF">
              <w:rPr>
                <w:rStyle w:val="Strong"/>
                <w:rFonts w:ascii="Times New Roman" w:hAnsi="Times New Roman"/>
                <w:b w:val="0"/>
                <w:sz w:val="24"/>
                <w:szCs w:val="24"/>
                <w:bdr w:val="none" w:sz="0" w:space="0" w:color="auto" w:frame="1"/>
                <w:shd w:val="clear" w:color="auto" w:fill="FFFFFF"/>
              </w:rPr>
              <w:t>u sniegšanā</w:t>
            </w:r>
            <w:r w:rsidR="00F668F8" w:rsidRPr="00C50EAF">
              <w:rPr>
                <w:rStyle w:val="Strong"/>
                <w:rFonts w:ascii="Times New Roman" w:hAnsi="Times New Roman"/>
                <w:b w:val="0"/>
                <w:sz w:val="24"/>
                <w:szCs w:val="24"/>
                <w:bdr w:val="none" w:sz="0" w:space="0" w:color="auto" w:frame="1"/>
                <w:shd w:val="clear" w:color="auto" w:fill="FFFFFF"/>
              </w:rPr>
              <w:t xml:space="preserve">, </w:t>
            </w:r>
            <w:r w:rsidR="003616C6" w:rsidRPr="00C50EAF">
              <w:rPr>
                <w:rStyle w:val="Strong"/>
                <w:rFonts w:ascii="Times New Roman" w:hAnsi="Times New Roman"/>
                <w:b w:val="0"/>
                <w:sz w:val="24"/>
                <w:szCs w:val="24"/>
                <w:bdr w:val="none" w:sz="0" w:space="0" w:color="auto" w:frame="1"/>
                <w:shd w:val="clear" w:color="auto" w:fill="FFFFFF"/>
              </w:rPr>
              <w:t>savukārt</w:t>
            </w:r>
            <w:r w:rsidR="00F668F8" w:rsidRPr="00C50EAF">
              <w:rPr>
                <w:rStyle w:val="Strong"/>
                <w:rFonts w:ascii="Times New Roman" w:hAnsi="Times New Roman"/>
                <w:b w:val="0"/>
                <w:sz w:val="24"/>
                <w:szCs w:val="24"/>
                <w:bdr w:val="none" w:sz="0" w:space="0" w:color="auto" w:frame="1"/>
                <w:shd w:val="clear" w:color="auto" w:fill="FFFFFF"/>
              </w:rPr>
              <w:t xml:space="preserve"> nereg</w:t>
            </w:r>
            <w:r w:rsidR="00FF6507" w:rsidRPr="00C50EAF">
              <w:rPr>
                <w:rStyle w:val="Strong"/>
                <w:rFonts w:ascii="Times New Roman" w:hAnsi="Times New Roman"/>
                <w:b w:val="0"/>
                <w:sz w:val="24"/>
                <w:szCs w:val="24"/>
                <w:bdr w:val="none" w:sz="0" w:space="0" w:color="auto" w:frame="1"/>
                <w:shd w:val="clear" w:color="auto" w:fill="FFFFFF"/>
              </w:rPr>
              <w:t xml:space="preserve">ulē </w:t>
            </w:r>
            <w:proofErr w:type="spellStart"/>
            <w:r w:rsidR="00FF6507" w:rsidRPr="00C50EAF">
              <w:rPr>
                <w:rStyle w:val="Strong"/>
                <w:rFonts w:ascii="Times New Roman" w:hAnsi="Times New Roman"/>
                <w:b w:val="0"/>
                <w:sz w:val="24"/>
                <w:szCs w:val="24"/>
                <w:bdr w:val="none" w:sz="0" w:space="0" w:color="auto" w:frame="1"/>
                <w:shd w:val="clear" w:color="auto" w:fill="FFFFFF"/>
              </w:rPr>
              <w:t>blakuspakalpojumu</w:t>
            </w:r>
            <w:proofErr w:type="spellEnd"/>
            <w:r w:rsidR="00FF6507" w:rsidRPr="00C50EAF">
              <w:rPr>
                <w:rStyle w:val="Strong"/>
                <w:rFonts w:ascii="Times New Roman" w:hAnsi="Times New Roman"/>
                <w:b w:val="0"/>
                <w:sz w:val="24"/>
                <w:szCs w:val="24"/>
                <w:bdr w:val="none" w:sz="0" w:space="0" w:color="auto" w:frame="1"/>
                <w:shd w:val="clear" w:color="auto" w:fill="FFFFFF"/>
              </w:rPr>
              <w:t xml:space="preserve"> sniegšanu, kas pēc būtības paliek nacionālo valstu ziņā.</w:t>
            </w:r>
            <w:r w:rsidR="003616C6">
              <w:rPr>
                <w:rStyle w:val="Strong"/>
                <w:rFonts w:ascii="Times New Roman" w:hAnsi="Times New Roman"/>
                <w:b w:val="0"/>
                <w:sz w:val="24"/>
                <w:szCs w:val="24"/>
                <w:bdr w:val="none" w:sz="0" w:space="0" w:color="auto" w:frame="1"/>
                <w:shd w:val="clear" w:color="auto" w:fill="FFFFFF"/>
              </w:rPr>
              <w:t xml:space="preserve"> Līdz šim Latvija bija izvēlējusies piemērot stingrākus nosacījumus un noteica, ka licence nepieciešama arī divu ieguldījumu </w:t>
            </w:r>
            <w:proofErr w:type="spellStart"/>
            <w:r w:rsidR="003616C6">
              <w:rPr>
                <w:rStyle w:val="Strong"/>
                <w:rFonts w:ascii="Times New Roman" w:hAnsi="Times New Roman"/>
                <w:b w:val="0"/>
                <w:sz w:val="24"/>
                <w:szCs w:val="24"/>
                <w:bdr w:val="none" w:sz="0" w:space="0" w:color="auto" w:frame="1"/>
                <w:shd w:val="clear" w:color="auto" w:fill="FFFFFF"/>
              </w:rPr>
              <w:t>blakuspakalpojumu</w:t>
            </w:r>
            <w:proofErr w:type="spellEnd"/>
            <w:r w:rsidR="003616C6">
              <w:rPr>
                <w:rStyle w:val="Strong"/>
                <w:rFonts w:ascii="Times New Roman" w:hAnsi="Times New Roman"/>
                <w:b w:val="0"/>
                <w:sz w:val="24"/>
                <w:szCs w:val="24"/>
                <w:bdr w:val="none" w:sz="0" w:space="0" w:color="auto" w:frame="1"/>
                <w:shd w:val="clear" w:color="auto" w:fill="FFFFFF"/>
              </w:rPr>
              <w:t xml:space="preserve"> sniegšanai, tas ir, (1) </w:t>
            </w:r>
            <w:r w:rsidR="003616C6">
              <w:rPr>
                <w:rFonts w:ascii="Times New Roman" w:hAnsi="Times New Roman"/>
                <w:sz w:val="24"/>
                <w:szCs w:val="24"/>
              </w:rPr>
              <w:t xml:space="preserve">ieguldījumu </w:t>
            </w:r>
            <w:r w:rsidR="003616C6" w:rsidRPr="00C50EAF">
              <w:rPr>
                <w:rFonts w:ascii="Times New Roman" w:hAnsi="Times New Roman"/>
                <w:sz w:val="24"/>
                <w:szCs w:val="24"/>
              </w:rPr>
              <w:t>pētījuma, finanšu analīzes vai citas vispārējas rekomendācijas sniegšana attiecībā uz darījumiem ar finanšu instrumentiem</w:t>
            </w:r>
            <w:r w:rsidR="003616C6">
              <w:rPr>
                <w:rFonts w:ascii="Times New Roman" w:hAnsi="Times New Roman"/>
                <w:sz w:val="24"/>
                <w:szCs w:val="24"/>
              </w:rPr>
              <w:t xml:space="preserve"> un (2)</w:t>
            </w:r>
            <w:r w:rsidR="003616C6">
              <w:rPr>
                <w:rFonts w:ascii="Times New Roman" w:hAnsi="Times New Roman"/>
                <w:bCs/>
                <w:sz w:val="24"/>
                <w:szCs w:val="24"/>
              </w:rPr>
              <w:t xml:space="preserve"> finanšu instrumentu turēšanu. Tādējādi ar šiem grozījumiem tiks arī samazināts </w:t>
            </w:r>
            <w:r w:rsidR="003616C6">
              <w:rPr>
                <w:rFonts w:ascii="Times New Roman" w:eastAsia="Times New Roman" w:hAnsi="Times New Roman"/>
                <w:sz w:val="24"/>
                <w:szCs w:val="24"/>
                <w:lang w:eastAsia="lv-LV"/>
              </w:rPr>
              <w:t>a</w:t>
            </w:r>
            <w:r w:rsidR="003616C6" w:rsidRPr="00C50EAF">
              <w:rPr>
                <w:rFonts w:ascii="Times New Roman" w:eastAsia="Times New Roman" w:hAnsi="Times New Roman"/>
                <w:sz w:val="24"/>
                <w:szCs w:val="24"/>
                <w:lang w:eastAsia="lv-LV"/>
              </w:rPr>
              <w:t>dministratīvais slogs</w:t>
            </w:r>
            <w:r w:rsidR="003616C6">
              <w:rPr>
                <w:rFonts w:ascii="Times New Roman" w:eastAsia="Times New Roman" w:hAnsi="Times New Roman"/>
                <w:sz w:val="24"/>
                <w:szCs w:val="24"/>
                <w:lang w:eastAsia="lv-LV"/>
              </w:rPr>
              <w:t xml:space="preserve"> uzņēmējiem</w:t>
            </w:r>
            <w:r w:rsidR="003616C6" w:rsidRPr="00C50EAF">
              <w:rPr>
                <w:rFonts w:ascii="Times New Roman" w:eastAsia="Times New Roman" w:hAnsi="Times New Roman"/>
                <w:sz w:val="24"/>
                <w:szCs w:val="24"/>
                <w:lang w:eastAsia="lv-LV"/>
              </w:rPr>
              <w:t xml:space="preserve">, jo pakalpojuma sniegšanai </w:t>
            </w:r>
            <w:r w:rsidR="003616C6">
              <w:rPr>
                <w:rFonts w:ascii="Times New Roman" w:eastAsia="Times New Roman" w:hAnsi="Times New Roman"/>
                <w:sz w:val="24"/>
                <w:szCs w:val="24"/>
                <w:lang w:eastAsia="lv-LV"/>
              </w:rPr>
              <w:t>turpmāk nebūs jāsaņem licence.</w:t>
            </w:r>
          </w:p>
          <w:p w:rsidR="000A2EBA" w:rsidRPr="00C50EAF" w:rsidRDefault="002634E4" w:rsidP="001E45C5">
            <w:pPr>
              <w:spacing w:after="0" w:line="240" w:lineRule="auto"/>
              <w:jc w:val="both"/>
              <w:rPr>
                <w:rFonts w:ascii="Times New Roman" w:hAnsi="Times New Roman"/>
                <w:sz w:val="24"/>
                <w:szCs w:val="24"/>
              </w:rPr>
            </w:pPr>
            <w:r>
              <w:rPr>
                <w:rFonts w:ascii="Times New Roman" w:hAnsi="Times New Roman"/>
                <w:sz w:val="24"/>
                <w:szCs w:val="24"/>
              </w:rPr>
              <w:t>Šī grozījuma</w:t>
            </w:r>
            <w:r w:rsidR="000A2EBA" w:rsidRPr="00C50EAF">
              <w:rPr>
                <w:rFonts w:ascii="Times New Roman" w:hAnsi="Times New Roman"/>
                <w:sz w:val="24"/>
                <w:szCs w:val="24"/>
              </w:rPr>
              <w:t xml:space="preserve"> s</w:t>
            </w:r>
            <w:r w:rsidR="00C15CEB" w:rsidRPr="00C50EAF">
              <w:rPr>
                <w:rFonts w:ascii="Times New Roman" w:hAnsi="Times New Roman"/>
                <w:sz w:val="24"/>
                <w:szCs w:val="24"/>
              </w:rPr>
              <w:t xml:space="preserve">teidzamība pamatojama ar Latvijas valdības izvirzīto mērķi noslēgt iestāšanās sarunas un kļūt par </w:t>
            </w:r>
            <w:r w:rsidR="00CD663F">
              <w:rPr>
                <w:rFonts w:ascii="Times New Roman" w:hAnsi="Times New Roman"/>
                <w:sz w:val="24"/>
                <w:szCs w:val="24"/>
              </w:rPr>
              <w:t>OECD</w:t>
            </w:r>
            <w:r w:rsidR="005943E3" w:rsidRPr="00C50EAF">
              <w:rPr>
                <w:rFonts w:ascii="Times New Roman" w:hAnsi="Times New Roman"/>
                <w:sz w:val="24"/>
                <w:szCs w:val="24"/>
              </w:rPr>
              <w:t xml:space="preserve"> </w:t>
            </w:r>
            <w:r w:rsidR="00C15CEB" w:rsidRPr="00C50EAF">
              <w:rPr>
                <w:rFonts w:ascii="Times New Roman" w:hAnsi="Times New Roman"/>
                <w:sz w:val="24"/>
                <w:szCs w:val="24"/>
              </w:rPr>
              <w:t xml:space="preserve">dalībvalsti 2016.gadā. Lai to paveiktu nepieciešams saņemt visu </w:t>
            </w:r>
            <w:r w:rsidR="00CD663F">
              <w:rPr>
                <w:rFonts w:ascii="Times New Roman" w:hAnsi="Times New Roman"/>
                <w:sz w:val="24"/>
                <w:szCs w:val="24"/>
              </w:rPr>
              <w:t>OECD</w:t>
            </w:r>
            <w:r w:rsidR="00C15CEB" w:rsidRPr="00C50EAF">
              <w:rPr>
                <w:rFonts w:ascii="Times New Roman" w:hAnsi="Times New Roman"/>
                <w:sz w:val="24"/>
                <w:szCs w:val="24"/>
              </w:rPr>
              <w:t xml:space="preserve"> komiteju t.sk Investīciju komitejas  pozitīvu vērtējumu par Latvijas atbilstību </w:t>
            </w:r>
            <w:r w:rsidR="00CD663F">
              <w:rPr>
                <w:rFonts w:ascii="Times New Roman" w:hAnsi="Times New Roman"/>
                <w:sz w:val="24"/>
                <w:szCs w:val="24"/>
              </w:rPr>
              <w:t>OECD</w:t>
            </w:r>
            <w:r w:rsidR="00C15CEB" w:rsidRPr="00C50EAF">
              <w:rPr>
                <w:rFonts w:ascii="Times New Roman" w:hAnsi="Times New Roman"/>
                <w:sz w:val="24"/>
                <w:szCs w:val="24"/>
              </w:rPr>
              <w:t xml:space="preserve"> standartiem. Saskaņā ar </w:t>
            </w:r>
            <w:r w:rsidR="00CD663F">
              <w:rPr>
                <w:rFonts w:ascii="Times New Roman" w:hAnsi="Times New Roman"/>
                <w:sz w:val="24"/>
                <w:szCs w:val="24"/>
              </w:rPr>
              <w:t>OECD</w:t>
            </w:r>
            <w:r w:rsidR="00C15CEB" w:rsidRPr="00C50EAF">
              <w:rPr>
                <w:rFonts w:ascii="Times New Roman" w:hAnsi="Times New Roman"/>
                <w:sz w:val="24"/>
                <w:szCs w:val="24"/>
              </w:rPr>
              <w:t xml:space="preserve"> </w:t>
            </w:r>
            <w:r w:rsidR="00C15CEB" w:rsidRPr="00C50EAF">
              <w:rPr>
                <w:rFonts w:ascii="Times New Roman" w:hAnsi="Times New Roman"/>
                <w:sz w:val="24"/>
                <w:szCs w:val="24"/>
              </w:rPr>
              <w:lastRenderedPageBreak/>
              <w:t>sniegto informāciju, lai nodrošinātu šāda lēmuma pieņemšanu nepieciešamie grozījumi likumos ir jāpieņem līdz 2016.gada janvārim/februārim.</w:t>
            </w:r>
          </w:p>
          <w:p w:rsidR="00AD7B99" w:rsidRPr="00C50EAF" w:rsidRDefault="00C50EAF" w:rsidP="001E45C5">
            <w:pPr>
              <w:spacing w:after="0" w:line="240" w:lineRule="auto"/>
              <w:jc w:val="both"/>
              <w:rPr>
                <w:rFonts w:ascii="Times New Roman" w:hAnsi="Times New Roman"/>
                <w:sz w:val="24"/>
                <w:szCs w:val="24"/>
              </w:rPr>
            </w:pPr>
            <w:r w:rsidRPr="00C50EAF">
              <w:rPr>
                <w:rFonts w:ascii="Times New Roman" w:hAnsi="Times New Roman"/>
                <w:sz w:val="24"/>
                <w:szCs w:val="24"/>
              </w:rPr>
              <w:t>Likumprojekts</w:t>
            </w:r>
            <w:r w:rsidR="00C15CEB" w:rsidRPr="00C50EAF">
              <w:rPr>
                <w:rFonts w:ascii="Times New Roman" w:hAnsi="Times New Roman"/>
                <w:sz w:val="24"/>
                <w:szCs w:val="24"/>
              </w:rPr>
              <w:t xml:space="preserve"> netika iesniegti ātrāk, jo līdz šim turpinājās trīspusējās sarunas ar OECD sekretariātu, Eiropas Komisiju un Latvijas ekspertiem par Latvijas iespējām attiecināt ES iekšējā tirgus priekšrocības arī attiecībā uz citām OECD dalībvalstīm.</w:t>
            </w:r>
          </w:p>
        </w:tc>
      </w:tr>
      <w:tr w:rsidR="00AC01E1" w:rsidRPr="00C50EAF"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AC01E1" w:rsidRPr="00C50EAF" w:rsidRDefault="00AE71C3" w:rsidP="001E45C5">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Finanšu Ministrija,</w:t>
            </w:r>
            <w:r w:rsidRPr="00C50EAF">
              <w:rPr>
                <w:rFonts w:ascii="Times New Roman" w:hAnsi="Times New Roman"/>
              </w:rPr>
              <w:t xml:space="preserve"> </w:t>
            </w:r>
            <w:r w:rsidRPr="00C50EAF">
              <w:rPr>
                <w:rFonts w:ascii="Times New Roman" w:hAnsi="Times New Roman"/>
                <w:sz w:val="24"/>
                <w:szCs w:val="24"/>
              </w:rPr>
              <w:t>Finanšu un kapitāla tirgus komisija</w:t>
            </w:r>
            <w:r w:rsidRPr="00C50EAF">
              <w:rPr>
                <w:rFonts w:ascii="Times New Roman" w:eastAsia="Times New Roman" w:hAnsi="Times New Roman"/>
                <w:sz w:val="24"/>
                <w:szCs w:val="24"/>
                <w:lang w:eastAsia="lv-LV"/>
              </w:rPr>
              <w:t xml:space="preserve"> </w:t>
            </w:r>
          </w:p>
        </w:tc>
      </w:tr>
      <w:tr w:rsidR="00AC01E1" w:rsidRPr="00C50EAF"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ind w:firstLine="391"/>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 xml:space="preserve">Nav </w:t>
            </w:r>
          </w:p>
        </w:tc>
      </w:tr>
      <w:tr w:rsidR="00AC01E1" w:rsidRPr="00C50EAF" w:rsidTr="00AC01E1">
        <w:trPr>
          <w:trHeight w:val="128"/>
        </w:trPr>
        <w:tc>
          <w:tcPr>
            <w:tcW w:w="5000" w:type="pct"/>
            <w:gridSpan w:val="4"/>
            <w:tcBorders>
              <w:top w:val="outset" w:sz="6" w:space="0" w:color="414142"/>
              <w:left w:val="nil"/>
              <w:bottom w:val="outset" w:sz="6" w:space="0" w:color="414142"/>
              <w:right w:val="nil"/>
            </w:tcBorders>
            <w:hideMark/>
          </w:tcPr>
          <w:p w:rsidR="00AC01E1" w:rsidRDefault="00AC01E1" w:rsidP="00C50EAF">
            <w:pPr>
              <w:tabs>
                <w:tab w:val="left" w:pos="990"/>
              </w:tabs>
              <w:spacing w:after="0" w:line="240" w:lineRule="auto"/>
              <w:ind w:firstLine="391"/>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ab/>
            </w:r>
          </w:p>
          <w:p w:rsidR="00B87540" w:rsidRPr="00C50EAF" w:rsidRDefault="00B87540" w:rsidP="00C50EAF">
            <w:pPr>
              <w:tabs>
                <w:tab w:val="left" w:pos="990"/>
              </w:tabs>
              <w:spacing w:after="0" w:line="240" w:lineRule="auto"/>
              <w:ind w:firstLine="391"/>
              <w:jc w:val="both"/>
              <w:rPr>
                <w:rFonts w:ascii="Times New Roman" w:eastAsia="Times New Roman" w:hAnsi="Times New Roman"/>
                <w:sz w:val="24"/>
                <w:szCs w:val="24"/>
                <w:lang w:eastAsia="lv-LV"/>
              </w:rPr>
            </w:pPr>
          </w:p>
        </w:tc>
      </w:tr>
      <w:tr w:rsidR="00AC01E1" w:rsidRPr="00C50EAF" w:rsidTr="00AC01E1">
        <w:trPr>
          <w:gridAfter w:val="1"/>
          <w:wAfter w:w="4" w:type="pct"/>
          <w:trHeight w:val="560"/>
        </w:trPr>
        <w:tc>
          <w:tcPr>
            <w:tcW w:w="0" w:type="auto"/>
            <w:gridSpan w:val="3"/>
            <w:tcBorders>
              <w:top w:val="nil"/>
              <w:left w:val="outset" w:sz="6" w:space="0" w:color="414142"/>
              <w:bottom w:val="outset" w:sz="6" w:space="0" w:color="414142"/>
              <w:right w:val="outset" w:sz="6" w:space="0" w:color="414142"/>
            </w:tcBorders>
            <w:vAlign w:val="center"/>
            <w:hideMark/>
          </w:tcPr>
          <w:p w:rsidR="00AC01E1" w:rsidRPr="00C50EAF" w:rsidRDefault="00AC01E1" w:rsidP="00C50EAF">
            <w:pPr>
              <w:spacing w:after="0" w:line="240" w:lineRule="auto"/>
              <w:ind w:firstLine="391"/>
              <w:jc w:val="both"/>
              <w:rPr>
                <w:rFonts w:ascii="Times New Roman" w:eastAsia="Times New Roman" w:hAnsi="Times New Roman"/>
                <w:b/>
                <w:bCs/>
                <w:sz w:val="24"/>
                <w:szCs w:val="24"/>
                <w:lang w:eastAsia="lv-LV"/>
              </w:rPr>
            </w:pPr>
            <w:r w:rsidRPr="00C50EAF">
              <w:rPr>
                <w:rFonts w:ascii="Times New Roman" w:eastAsia="Times New Roman" w:hAnsi="Times New Roman"/>
                <w:b/>
                <w:bCs/>
                <w:sz w:val="24"/>
                <w:szCs w:val="24"/>
                <w:lang w:eastAsia="lv-LV"/>
              </w:rPr>
              <w:t>II. Tiesību akta projekta ietekme uz sabiedrību, tautsaimniecības attīstību un administratīvo slogu</w:t>
            </w:r>
          </w:p>
        </w:tc>
      </w:tr>
      <w:tr w:rsidR="00AC01E1" w:rsidRPr="00C50EAF" w:rsidTr="00AC01E1">
        <w:trPr>
          <w:gridAfter w:val="1"/>
          <w:wAfter w:w="4" w:type="pct"/>
          <w:trHeight w:val="469"/>
        </w:trPr>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 xml:space="preserve">Sabiedrības </w:t>
            </w:r>
            <w:proofErr w:type="spellStart"/>
            <w:r w:rsidRPr="00C50EAF">
              <w:rPr>
                <w:rFonts w:ascii="Times New Roman" w:eastAsia="Times New Roman" w:hAnsi="Times New Roman"/>
                <w:sz w:val="24"/>
                <w:szCs w:val="24"/>
                <w:lang w:eastAsia="lv-LV"/>
              </w:rPr>
              <w:t>mērķgrupas</w:t>
            </w:r>
            <w:proofErr w:type="spellEnd"/>
            <w:r w:rsidRPr="00C50EAF">
              <w:rPr>
                <w:rFonts w:ascii="Times New Roman" w:eastAsia="Times New Roman" w:hAnsi="Times New Roman"/>
                <w:sz w:val="24"/>
                <w:szCs w:val="24"/>
                <w:lang w:eastAsia="lv-LV"/>
              </w:rPr>
              <w:t>, kuras tiesiskais regulējums ietekmē vai varētu ietekmēt</w:t>
            </w:r>
          </w:p>
        </w:tc>
        <w:tc>
          <w:tcPr>
            <w:tcW w:w="3196" w:type="pct"/>
            <w:tcBorders>
              <w:top w:val="outset" w:sz="6" w:space="0" w:color="414142"/>
              <w:left w:val="outset" w:sz="6" w:space="0" w:color="414142"/>
              <w:bottom w:val="outset" w:sz="6" w:space="0" w:color="414142"/>
              <w:right w:val="outset" w:sz="6" w:space="0" w:color="414142"/>
            </w:tcBorders>
            <w:hideMark/>
          </w:tcPr>
          <w:p w:rsidR="002D75FD" w:rsidRPr="00C50EAF" w:rsidRDefault="002D75FD" w:rsidP="001E45C5">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 xml:space="preserve">Regulējums attiecas uz </w:t>
            </w:r>
            <w:r w:rsidR="000D1475" w:rsidRPr="00C50EAF">
              <w:rPr>
                <w:rFonts w:ascii="Times New Roman" w:eastAsia="Times New Roman" w:hAnsi="Times New Roman"/>
                <w:sz w:val="24"/>
                <w:szCs w:val="24"/>
                <w:lang w:eastAsia="lv-LV"/>
              </w:rPr>
              <w:t xml:space="preserve">sabiedrībām, kas sniedz </w:t>
            </w:r>
            <w:r w:rsidR="000D1475" w:rsidRPr="00C50EAF">
              <w:rPr>
                <w:rFonts w:ascii="Times New Roman" w:hAnsi="Times New Roman"/>
                <w:sz w:val="24"/>
                <w:szCs w:val="24"/>
              </w:rPr>
              <w:t>pētījumus, finanšu analīz</w:t>
            </w:r>
            <w:r w:rsidR="00C50EAF" w:rsidRPr="00C50EAF">
              <w:rPr>
                <w:rFonts w:ascii="Times New Roman" w:hAnsi="Times New Roman"/>
                <w:sz w:val="24"/>
                <w:szCs w:val="24"/>
              </w:rPr>
              <w:t>i</w:t>
            </w:r>
            <w:r w:rsidR="000D1475" w:rsidRPr="00C50EAF">
              <w:rPr>
                <w:rFonts w:ascii="Times New Roman" w:hAnsi="Times New Roman"/>
                <w:sz w:val="24"/>
                <w:szCs w:val="24"/>
              </w:rPr>
              <w:t xml:space="preserve"> vai citas vispārējas rekomendācijas attiecībā uz darījumiem ar finanšu instrumentiem</w:t>
            </w:r>
          </w:p>
          <w:p w:rsidR="00AC01E1" w:rsidRPr="00C50EAF" w:rsidRDefault="002D75FD" w:rsidP="00C50EAF">
            <w:pPr>
              <w:spacing w:after="0" w:line="240" w:lineRule="auto"/>
              <w:ind w:firstLine="391"/>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 xml:space="preserve"> </w:t>
            </w:r>
          </w:p>
        </w:tc>
      </w:tr>
      <w:tr w:rsidR="00AC01E1" w:rsidRPr="00C50EAF" w:rsidTr="00AC01E1">
        <w:trPr>
          <w:gridAfter w:val="1"/>
          <w:wAfter w:w="4" w:type="pct"/>
          <w:trHeight w:val="515"/>
        </w:trPr>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Tiesiskā regulējuma ietekme uz tautsaimniecību un administratīvo slogu</w:t>
            </w:r>
          </w:p>
        </w:tc>
        <w:tc>
          <w:tcPr>
            <w:tcW w:w="3196" w:type="pct"/>
            <w:tcBorders>
              <w:top w:val="outset" w:sz="6" w:space="0" w:color="414142"/>
              <w:left w:val="outset" w:sz="6" w:space="0" w:color="414142"/>
              <w:bottom w:val="outset" w:sz="6" w:space="0" w:color="414142"/>
              <w:right w:val="outset" w:sz="6" w:space="0" w:color="414142"/>
            </w:tcBorders>
            <w:hideMark/>
          </w:tcPr>
          <w:p w:rsidR="00AC01E1" w:rsidRPr="00C50EAF" w:rsidRDefault="00C50EAF" w:rsidP="001E45C5">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 xml:space="preserve">Administratīvais slogs samazinās, jo pakalpojuma sniegšanai nav jāsaņem licence. </w:t>
            </w:r>
          </w:p>
        </w:tc>
      </w:tr>
      <w:tr w:rsidR="00AC01E1" w:rsidRPr="00C50EAF" w:rsidTr="00AC01E1">
        <w:trPr>
          <w:gridAfter w:val="1"/>
          <w:wAfter w:w="4" w:type="pct"/>
          <w:trHeight w:val="515"/>
        </w:trPr>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Administratīvo izmaksu monetārs novērtējums</w:t>
            </w:r>
          </w:p>
        </w:tc>
        <w:tc>
          <w:tcPr>
            <w:tcW w:w="3196"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433547">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bCs/>
                <w:sz w:val="24"/>
                <w:szCs w:val="24"/>
                <w:lang w:eastAsia="lv-LV"/>
              </w:rPr>
              <w:t>Projekts šo jomu neskar.</w:t>
            </w:r>
          </w:p>
        </w:tc>
      </w:tr>
      <w:tr w:rsidR="00AC01E1" w:rsidRPr="00C50EAF" w:rsidTr="00AC01E1">
        <w:trPr>
          <w:gridAfter w:val="1"/>
          <w:wAfter w:w="4" w:type="pct"/>
          <w:trHeight w:val="348"/>
        </w:trPr>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Cita informācija</w:t>
            </w:r>
          </w:p>
        </w:tc>
        <w:tc>
          <w:tcPr>
            <w:tcW w:w="3196"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433547">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Nav.</w:t>
            </w:r>
          </w:p>
        </w:tc>
      </w:tr>
      <w:tr w:rsidR="00AC01E1" w:rsidRPr="00C50EAF" w:rsidTr="00AC01E1">
        <w:trPr>
          <w:gridAfter w:val="1"/>
          <w:wAfter w:w="4" w:type="pct"/>
          <w:trHeight w:val="348"/>
        </w:trPr>
        <w:tc>
          <w:tcPr>
            <w:tcW w:w="4996" w:type="pct"/>
            <w:gridSpan w:val="3"/>
            <w:tcBorders>
              <w:top w:val="nil"/>
              <w:left w:val="nil"/>
              <w:bottom w:val="single" w:sz="4" w:space="0" w:color="auto"/>
              <w:right w:val="nil"/>
            </w:tcBorders>
          </w:tcPr>
          <w:p w:rsidR="00AC01E1" w:rsidRDefault="00AC01E1" w:rsidP="00C50EAF">
            <w:pPr>
              <w:spacing w:after="0" w:line="240" w:lineRule="auto"/>
              <w:jc w:val="both"/>
              <w:rPr>
                <w:rFonts w:ascii="Times New Roman" w:eastAsia="Times New Roman" w:hAnsi="Times New Roman"/>
                <w:sz w:val="24"/>
                <w:szCs w:val="24"/>
                <w:lang w:eastAsia="lv-LV"/>
              </w:rPr>
            </w:pPr>
          </w:p>
          <w:p w:rsidR="00B87540" w:rsidRPr="00C50EAF" w:rsidRDefault="00B87540" w:rsidP="00C50EAF">
            <w:pPr>
              <w:spacing w:after="0" w:line="240" w:lineRule="auto"/>
              <w:jc w:val="both"/>
              <w:rPr>
                <w:rFonts w:ascii="Times New Roman" w:eastAsia="Times New Roman" w:hAnsi="Times New Roman"/>
                <w:sz w:val="24"/>
                <w:szCs w:val="24"/>
                <w:lang w:eastAsia="lv-LV"/>
              </w:rPr>
            </w:pPr>
          </w:p>
        </w:tc>
      </w:tr>
      <w:tr w:rsidR="00AC01E1" w:rsidRPr="00C50EAF" w:rsidTr="00AC01E1">
        <w:trPr>
          <w:trHeight w:val="360"/>
        </w:trPr>
        <w:tc>
          <w:tcPr>
            <w:tcW w:w="0" w:type="auto"/>
            <w:gridSpan w:val="4"/>
            <w:tcBorders>
              <w:top w:val="nil"/>
              <w:left w:val="outset" w:sz="6" w:space="0" w:color="414142"/>
              <w:bottom w:val="outset" w:sz="6" w:space="0" w:color="414142"/>
              <w:right w:val="outset" w:sz="6" w:space="0" w:color="414142"/>
            </w:tcBorders>
            <w:vAlign w:val="center"/>
            <w:hideMark/>
          </w:tcPr>
          <w:p w:rsidR="00AC01E1" w:rsidRPr="00C50EAF" w:rsidRDefault="00AC01E1" w:rsidP="00C50EAF">
            <w:pPr>
              <w:spacing w:after="0" w:line="240" w:lineRule="auto"/>
              <w:ind w:firstLine="300"/>
              <w:jc w:val="both"/>
              <w:rPr>
                <w:rFonts w:ascii="Times New Roman" w:eastAsia="Times New Roman" w:hAnsi="Times New Roman"/>
                <w:b/>
                <w:bCs/>
                <w:sz w:val="24"/>
                <w:szCs w:val="24"/>
                <w:lang w:eastAsia="lv-LV"/>
              </w:rPr>
            </w:pPr>
            <w:r w:rsidRPr="00C50EAF">
              <w:rPr>
                <w:rFonts w:ascii="Times New Roman" w:eastAsia="Times New Roman" w:hAnsi="Times New Roman"/>
                <w:b/>
                <w:bCs/>
                <w:sz w:val="24"/>
                <w:szCs w:val="24"/>
                <w:lang w:eastAsia="lv-LV"/>
              </w:rPr>
              <w:t>III. Tiesību akta projekta ietekme uz valsts budžetu un pašvaldību budžetiem</w:t>
            </w:r>
          </w:p>
        </w:tc>
      </w:tr>
      <w:tr w:rsidR="00AC01E1" w:rsidRPr="00C50EAF" w:rsidTr="00AC01E1">
        <w:trPr>
          <w:trHeight w:val="360"/>
        </w:trPr>
        <w:tc>
          <w:tcPr>
            <w:tcW w:w="0" w:type="auto"/>
            <w:gridSpan w:val="4"/>
            <w:tcBorders>
              <w:top w:val="nil"/>
              <w:left w:val="outset" w:sz="6" w:space="0" w:color="414142"/>
              <w:bottom w:val="outset" w:sz="6" w:space="0" w:color="414142"/>
              <w:right w:val="outset" w:sz="6" w:space="0" w:color="414142"/>
            </w:tcBorders>
            <w:vAlign w:val="center"/>
            <w:hideMark/>
          </w:tcPr>
          <w:p w:rsidR="00AC01E1" w:rsidRPr="00C50EAF" w:rsidRDefault="00AC01E1" w:rsidP="00433547">
            <w:pPr>
              <w:spacing w:after="0" w:line="240" w:lineRule="auto"/>
              <w:jc w:val="center"/>
              <w:rPr>
                <w:rFonts w:ascii="Times New Roman" w:eastAsia="Times New Roman" w:hAnsi="Times New Roman"/>
                <w:bCs/>
                <w:sz w:val="24"/>
                <w:szCs w:val="24"/>
                <w:lang w:eastAsia="lv-LV"/>
              </w:rPr>
            </w:pPr>
            <w:r w:rsidRPr="00C50EAF">
              <w:rPr>
                <w:rFonts w:ascii="Times New Roman" w:eastAsia="Times New Roman" w:hAnsi="Times New Roman"/>
                <w:bCs/>
                <w:sz w:val="24"/>
                <w:szCs w:val="24"/>
                <w:lang w:eastAsia="lv-LV"/>
              </w:rPr>
              <w:t>Projekts šo jomu neskar</w:t>
            </w:r>
          </w:p>
        </w:tc>
      </w:tr>
    </w:tbl>
    <w:p w:rsidR="00AC01E1" w:rsidRDefault="00AC01E1" w:rsidP="00C50EAF">
      <w:pPr>
        <w:spacing w:after="0" w:line="240" w:lineRule="auto"/>
        <w:jc w:val="both"/>
        <w:rPr>
          <w:rFonts w:ascii="Times New Roman" w:eastAsia="Times New Roman" w:hAnsi="Times New Roman"/>
          <w:sz w:val="24"/>
          <w:szCs w:val="24"/>
          <w:lang w:eastAsia="lv-LV"/>
        </w:rPr>
      </w:pPr>
    </w:p>
    <w:p w:rsidR="00B87540" w:rsidRPr="00C50EAF" w:rsidRDefault="00B87540" w:rsidP="00C50EAF">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AC01E1" w:rsidRPr="00C50EAF" w:rsidTr="00AC01E1">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01E1" w:rsidRPr="00C50EAF" w:rsidRDefault="00AC01E1" w:rsidP="00C50EAF">
            <w:pPr>
              <w:spacing w:after="0" w:line="240" w:lineRule="auto"/>
              <w:ind w:firstLine="300"/>
              <w:jc w:val="both"/>
              <w:rPr>
                <w:rFonts w:ascii="Times New Roman" w:eastAsia="Times New Roman" w:hAnsi="Times New Roman"/>
                <w:b/>
                <w:bCs/>
                <w:sz w:val="24"/>
                <w:szCs w:val="24"/>
                <w:lang w:eastAsia="lv-LV"/>
              </w:rPr>
            </w:pPr>
            <w:r w:rsidRPr="00C50EAF">
              <w:rPr>
                <w:rFonts w:ascii="Times New Roman" w:eastAsia="Times New Roman" w:hAnsi="Times New Roman"/>
                <w:b/>
                <w:bCs/>
                <w:sz w:val="24"/>
                <w:szCs w:val="24"/>
                <w:lang w:eastAsia="lv-LV"/>
              </w:rPr>
              <w:t>IV. Tiesību akta projekta ietekme uz spēkā esošo tiesību normu sistēmu</w:t>
            </w:r>
          </w:p>
        </w:tc>
      </w:tr>
      <w:tr w:rsidR="00AC01E1" w:rsidRPr="00C50EAF"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2634E4" w:rsidRPr="007304B9" w:rsidRDefault="002634E4" w:rsidP="002634E4">
            <w:pPr>
              <w:autoSpaceDE w:val="0"/>
              <w:autoSpaceDN w:val="0"/>
              <w:jc w:val="both"/>
              <w:rPr>
                <w:rFonts w:ascii="Times New Roman" w:hAnsi="Times New Roman"/>
                <w:sz w:val="24"/>
                <w:szCs w:val="24"/>
              </w:rPr>
            </w:pPr>
            <w:r w:rsidRPr="007304B9">
              <w:rPr>
                <w:rFonts w:ascii="Times New Roman" w:hAnsi="Times New Roman"/>
                <w:sz w:val="24"/>
                <w:szCs w:val="24"/>
              </w:rPr>
              <w:t xml:space="preserve">Šis likumprojekts tiks virzīts vienlaikus ar </w:t>
            </w:r>
            <w:r>
              <w:rPr>
                <w:rFonts w:ascii="Times New Roman" w:hAnsi="Times New Roman"/>
                <w:sz w:val="24"/>
                <w:szCs w:val="24"/>
              </w:rPr>
              <w:t>likumprojektu “Grozījums</w:t>
            </w:r>
            <w:r w:rsidRPr="007304B9">
              <w:rPr>
                <w:rFonts w:ascii="Times New Roman" w:hAnsi="Times New Roman"/>
                <w:sz w:val="24"/>
                <w:szCs w:val="24"/>
              </w:rPr>
              <w:t xml:space="preserve"> Ieguldījumu pārvaldes sabiedrību likumā</w:t>
            </w:r>
            <w:r>
              <w:rPr>
                <w:rFonts w:ascii="Times New Roman" w:hAnsi="Times New Roman"/>
                <w:sz w:val="24"/>
                <w:szCs w:val="24"/>
              </w:rPr>
              <w:t>”</w:t>
            </w:r>
            <w:r w:rsidRPr="007304B9">
              <w:rPr>
                <w:rFonts w:ascii="Times New Roman" w:hAnsi="Times New Roman"/>
                <w:sz w:val="24"/>
                <w:szCs w:val="24"/>
              </w:rPr>
              <w:t xml:space="preserve">, </w:t>
            </w:r>
            <w:r>
              <w:rPr>
                <w:rFonts w:ascii="Times New Roman" w:hAnsi="Times New Roman"/>
                <w:sz w:val="24"/>
                <w:szCs w:val="24"/>
              </w:rPr>
              <w:t xml:space="preserve">likumprojektu “Grozījums likumā </w:t>
            </w:r>
            <w:r w:rsidRPr="007304B9">
              <w:rPr>
                <w:rFonts w:ascii="Times New Roman" w:hAnsi="Times New Roman"/>
                <w:sz w:val="24"/>
                <w:szCs w:val="24"/>
              </w:rPr>
              <w:t xml:space="preserve">Par privātajiem pensiju fondiem" un </w:t>
            </w:r>
            <w:r>
              <w:rPr>
                <w:rFonts w:ascii="Times New Roman" w:hAnsi="Times New Roman"/>
                <w:sz w:val="24"/>
                <w:szCs w:val="24"/>
              </w:rPr>
              <w:t xml:space="preserve">likumprojektu “Grozījums </w:t>
            </w:r>
            <w:r w:rsidRPr="002634E4">
              <w:rPr>
                <w:rFonts w:ascii="Times New Roman" w:hAnsi="Times New Roman"/>
                <w:bCs/>
                <w:color w:val="000000"/>
                <w:sz w:val="24"/>
                <w:szCs w:val="24"/>
              </w:rPr>
              <w:t xml:space="preserve">Valsts </w:t>
            </w:r>
            <w:proofErr w:type="spellStart"/>
            <w:r w:rsidRPr="002634E4">
              <w:rPr>
                <w:rFonts w:ascii="Times New Roman" w:hAnsi="Times New Roman"/>
                <w:bCs/>
                <w:color w:val="000000"/>
                <w:sz w:val="24"/>
                <w:szCs w:val="24"/>
              </w:rPr>
              <w:t>fondēto</w:t>
            </w:r>
            <w:proofErr w:type="spellEnd"/>
            <w:r w:rsidRPr="002634E4">
              <w:rPr>
                <w:rFonts w:ascii="Times New Roman" w:hAnsi="Times New Roman"/>
                <w:bCs/>
                <w:color w:val="000000"/>
                <w:sz w:val="24"/>
                <w:szCs w:val="24"/>
              </w:rPr>
              <w:t xml:space="preserve"> pensiju likumā</w:t>
            </w:r>
            <w:r>
              <w:rPr>
                <w:rFonts w:ascii="Times New Roman" w:hAnsi="Times New Roman"/>
                <w:color w:val="000000"/>
                <w:sz w:val="24"/>
                <w:szCs w:val="24"/>
              </w:rPr>
              <w:t>”.</w:t>
            </w:r>
          </w:p>
          <w:p w:rsidR="00AC01E1" w:rsidRPr="00C50EAF" w:rsidRDefault="00AC01E1" w:rsidP="002634E4">
            <w:pPr>
              <w:spacing w:after="0" w:line="240" w:lineRule="auto"/>
              <w:jc w:val="both"/>
              <w:rPr>
                <w:rFonts w:ascii="Times New Roman" w:eastAsia="Times New Roman" w:hAnsi="Times New Roman"/>
                <w:sz w:val="24"/>
                <w:szCs w:val="24"/>
                <w:lang w:eastAsia="lv-LV"/>
              </w:rPr>
            </w:pPr>
          </w:p>
        </w:tc>
      </w:tr>
      <w:tr w:rsidR="00AC01E1" w:rsidRPr="00C50EAF"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AC01E1" w:rsidRPr="00C50EAF" w:rsidRDefault="000A2EBA"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Finanšu</w:t>
            </w:r>
            <w:r w:rsidR="00AC01E1" w:rsidRPr="00C50EAF">
              <w:rPr>
                <w:rFonts w:ascii="Times New Roman" w:eastAsia="Times New Roman" w:hAnsi="Times New Roman"/>
                <w:sz w:val="24"/>
                <w:szCs w:val="24"/>
                <w:lang w:eastAsia="lv-LV"/>
              </w:rPr>
              <w:t xml:space="preserve"> ministrija.</w:t>
            </w:r>
          </w:p>
        </w:tc>
      </w:tr>
      <w:tr w:rsidR="00AC01E1" w:rsidRPr="00C50EAF"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Nav.</w:t>
            </w:r>
          </w:p>
        </w:tc>
      </w:tr>
    </w:tbl>
    <w:p w:rsidR="00AC01E1" w:rsidRPr="00C50EAF" w:rsidRDefault="00AC01E1" w:rsidP="00C50EAF">
      <w:pPr>
        <w:spacing w:after="0" w:line="240" w:lineRule="auto"/>
        <w:jc w:val="both"/>
        <w:rPr>
          <w:rFonts w:ascii="Times New Roman" w:eastAsia="Times New Roman" w:hAnsi="Times New Roman"/>
          <w:sz w:val="24"/>
          <w:szCs w:val="24"/>
          <w:lang w:eastAsia="lv-LV"/>
        </w:rPr>
      </w:pPr>
    </w:p>
    <w:p w:rsidR="00AC01E1" w:rsidRPr="00C50EAF" w:rsidRDefault="00AC01E1" w:rsidP="00C50EAF">
      <w:pPr>
        <w:spacing w:after="0" w:line="240" w:lineRule="auto"/>
        <w:jc w:val="both"/>
        <w:rPr>
          <w:rFonts w:ascii="Times New Roman" w:eastAsia="Times New Roman" w:hAnsi="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05"/>
        <w:gridCol w:w="5537"/>
      </w:tblGrid>
      <w:tr w:rsidR="00AC01E1" w:rsidRPr="00C50EAF" w:rsidTr="009B01F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01E1" w:rsidRPr="00C50EAF" w:rsidRDefault="00AC01E1" w:rsidP="00C50EAF">
            <w:pPr>
              <w:spacing w:after="0" w:line="240" w:lineRule="auto"/>
              <w:ind w:firstLine="300"/>
              <w:jc w:val="both"/>
              <w:rPr>
                <w:rFonts w:ascii="Times New Roman" w:eastAsia="Times New Roman" w:hAnsi="Times New Roman"/>
                <w:b/>
                <w:bCs/>
                <w:sz w:val="24"/>
                <w:szCs w:val="24"/>
                <w:lang w:eastAsia="lv-LV"/>
              </w:rPr>
            </w:pPr>
            <w:r w:rsidRPr="00C50EAF">
              <w:rPr>
                <w:rFonts w:ascii="Times New Roman" w:eastAsia="Times New Roman" w:hAnsi="Times New Roman"/>
                <w:b/>
                <w:bCs/>
                <w:sz w:val="24"/>
                <w:szCs w:val="24"/>
                <w:lang w:eastAsia="lv-LV"/>
              </w:rPr>
              <w:t>V. Tiesību akta projekta atbilstība Latvijas Republikas starptautiskajām saistībām</w:t>
            </w:r>
          </w:p>
        </w:tc>
      </w:tr>
      <w:tr w:rsidR="009B01F8" w:rsidRPr="00C50EAF" w:rsidTr="009B01F8">
        <w:tc>
          <w:tcPr>
            <w:tcW w:w="248"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1.</w:t>
            </w:r>
          </w:p>
        </w:tc>
        <w:tc>
          <w:tcPr>
            <w:tcW w:w="1439"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hAnsi="Times New Roman"/>
                <w:sz w:val="24"/>
                <w:szCs w:val="24"/>
              </w:rPr>
              <w:t>Saistības pret Eiropas Savienību</w:t>
            </w:r>
          </w:p>
        </w:tc>
        <w:tc>
          <w:tcPr>
            <w:tcW w:w="3313" w:type="pct"/>
            <w:tcBorders>
              <w:top w:val="outset" w:sz="6" w:space="0" w:color="414142"/>
              <w:left w:val="outset" w:sz="6" w:space="0" w:color="414142"/>
              <w:bottom w:val="outset" w:sz="6" w:space="0" w:color="414142"/>
              <w:right w:val="outset" w:sz="6" w:space="0" w:color="414142"/>
            </w:tcBorders>
            <w:hideMark/>
          </w:tcPr>
          <w:p w:rsidR="00F95AC5" w:rsidRPr="00C50EAF" w:rsidRDefault="00F95AC5" w:rsidP="00C50EAF">
            <w:pPr>
              <w:spacing w:after="0" w:line="240" w:lineRule="auto"/>
              <w:jc w:val="both"/>
              <w:rPr>
                <w:rStyle w:val="Strong"/>
                <w:rFonts w:ascii="Times New Roman" w:hAnsi="Times New Roman"/>
                <w:b w:val="0"/>
                <w:sz w:val="24"/>
                <w:szCs w:val="24"/>
                <w:bdr w:val="none" w:sz="0" w:space="0" w:color="auto" w:frame="1"/>
                <w:shd w:val="clear" w:color="auto" w:fill="FFFFFF"/>
              </w:rPr>
            </w:pPr>
            <w:r w:rsidRPr="00C50EAF">
              <w:rPr>
                <w:rStyle w:val="Strong"/>
                <w:rFonts w:ascii="Times New Roman" w:hAnsi="Times New Roman"/>
                <w:b w:val="0"/>
                <w:sz w:val="24"/>
                <w:szCs w:val="24"/>
                <w:bdr w:val="none" w:sz="0" w:space="0" w:color="auto" w:frame="1"/>
                <w:shd w:val="clear" w:color="auto" w:fill="FFFFFF"/>
              </w:rPr>
              <w:t>Eiropas Parlamenta un padomes Direktīva 2004/39/EK (2004. gada 21. aprīlis), kas attiecas uz finanšu instrumentu tirgiem un ar ko groza Padomes Direktīvas 85/611/EEK un 93/6/EEK un Eiropas Parlamenta un Padomes Direktīvu 2000/12/EK un atceļ Padomes Direktīvu 93/22/EEK</w:t>
            </w:r>
          </w:p>
          <w:p w:rsidR="009B01F8" w:rsidRPr="00C50EAF" w:rsidRDefault="00F95AC5" w:rsidP="00C50EAF">
            <w:pPr>
              <w:spacing w:after="0" w:line="240" w:lineRule="auto"/>
              <w:jc w:val="both"/>
              <w:rPr>
                <w:rFonts w:ascii="Times New Roman" w:eastAsia="Times New Roman" w:hAnsi="Times New Roman"/>
                <w:b/>
                <w:sz w:val="24"/>
                <w:szCs w:val="24"/>
                <w:lang w:eastAsia="lv-LV"/>
              </w:rPr>
            </w:pPr>
            <w:r w:rsidRPr="00C50EAF">
              <w:rPr>
                <w:rStyle w:val="apple-converted-space"/>
                <w:rFonts w:ascii="Times New Roman" w:hAnsi="Times New Roman"/>
                <w:b/>
                <w:bCs/>
                <w:sz w:val="24"/>
                <w:szCs w:val="24"/>
                <w:bdr w:val="none" w:sz="0" w:space="0" w:color="auto" w:frame="1"/>
                <w:shd w:val="clear" w:color="auto" w:fill="FFFFFF"/>
              </w:rPr>
              <w:t> </w:t>
            </w:r>
            <w:r w:rsidR="009B01F8" w:rsidRPr="00C50EAF">
              <w:rPr>
                <w:rFonts w:ascii="Times New Roman" w:hAnsi="Times New Roman"/>
                <w:b/>
                <w:sz w:val="24"/>
                <w:szCs w:val="24"/>
              </w:rPr>
              <w:t xml:space="preserve"> </w:t>
            </w:r>
          </w:p>
        </w:tc>
      </w:tr>
      <w:tr w:rsidR="009B01F8" w:rsidRPr="00C50EAF" w:rsidTr="009B01F8">
        <w:tc>
          <w:tcPr>
            <w:tcW w:w="248"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2.</w:t>
            </w:r>
          </w:p>
        </w:tc>
        <w:tc>
          <w:tcPr>
            <w:tcW w:w="1439"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hAnsi="Times New Roman"/>
                <w:sz w:val="24"/>
                <w:szCs w:val="24"/>
              </w:rPr>
              <w:t>Citas starptautiskās saistības</w:t>
            </w:r>
          </w:p>
        </w:tc>
        <w:tc>
          <w:tcPr>
            <w:tcW w:w="3313" w:type="pct"/>
            <w:tcBorders>
              <w:top w:val="outset" w:sz="6" w:space="0" w:color="414142"/>
              <w:left w:val="outset" w:sz="6" w:space="0" w:color="414142"/>
              <w:bottom w:val="outset" w:sz="6" w:space="0" w:color="414142"/>
              <w:right w:val="outset" w:sz="6" w:space="0" w:color="414142"/>
            </w:tcBorders>
            <w:hideMark/>
          </w:tcPr>
          <w:p w:rsidR="009B01F8" w:rsidRPr="00C50EAF" w:rsidRDefault="0083641F" w:rsidP="00C50EAF">
            <w:pPr>
              <w:spacing w:after="0" w:line="240" w:lineRule="auto"/>
              <w:jc w:val="both"/>
              <w:rPr>
                <w:rFonts w:ascii="Times New Roman" w:eastAsia="Times New Roman" w:hAnsi="Times New Roman"/>
                <w:sz w:val="24"/>
                <w:szCs w:val="24"/>
                <w:lang w:eastAsia="lv-LV"/>
              </w:rPr>
            </w:pPr>
            <w:r w:rsidRPr="00C50EAF">
              <w:rPr>
                <w:rFonts w:ascii="Times New Roman" w:hAnsi="Times New Roman"/>
                <w:sz w:val="24"/>
                <w:szCs w:val="24"/>
                <w:shd w:val="clear" w:color="auto" w:fill="FFFFFF"/>
              </w:rPr>
              <w:t xml:space="preserve">Protokola par Latvijas pievienošanos Marakešas līgumam par Pasaules Tirdzniecības organizācijas izveidošanu </w:t>
            </w:r>
            <w:r w:rsidR="00F95AC5" w:rsidRPr="00C50EAF">
              <w:rPr>
                <w:rFonts w:ascii="Times New Roman" w:hAnsi="Times New Roman"/>
                <w:sz w:val="24"/>
                <w:szCs w:val="24"/>
                <w:shd w:val="clear" w:color="auto" w:fill="FFFFFF"/>
              </w:rPr>
              <w:t>Latvijas pakalpojumu īpašo saistību grafik</w:t>
            </w:r>
            <w:r w:rsidRPr="00C50EAF">
              <w:rPr>
                <w:rFonts w:ascii="Times New Roman" w:hAnsi="Times New Roman"/>
                <w:sz w:val="24"/>
                <w:szCs w:val="24"/>
                <w:shd w:val="clear" w:color="auto" w:fill="FFFFFF"/>
              </w:rPr>
              <w:t>a 7. daļas Finanšu pakalpojumi B punkta (k) apakšpunkts</w:t>
            </w:r>
          </w:p>
        </w:tc>
      </w:tr>
      <w:tr w:rsidR="009B01F8" w:rsidRPr="00C50EAF" w:rsidTr="009B01F8">
        <w:tc>
          <w:tcPr>
            <w:tcW w:w="248"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3.</w:t>
            </w:r>
          </w:p>
        </w:tc>
        <w:tc>
          <w:tcPr>
            <w:tcW w:w="1439"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hAnsi="Times New Roman"/>
                <w:sz w:val="24"/>
                <w:szCs w:val="24"/>
              </w:rPr>
            </w:pPr>
            <w:r w:rsidRPr="00C50EAF">
              <w:rPr>
                <w:rFonts w:ascii="Times New Roman" w:hAnsi="Times New Roman"/>
                <w:sz w:val="24"/>
                <w:szCs w:val="24"/>
              </w:rPr>
              <w:t>Cita informācija</w:t>
            </w:r>
          </w:p>
        </w:tc>
        <w:tc>
          <w:tcPr>
            <w:tcW w:w="3313"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hAnsi="Times New Roman"/>
                <w:iCs/>
                <w:sz w:val="24"/>
                <w:szCs w:val="24"/>
              </w:rPr>
              <w:t>Nav.</w:t>
            </w:r>
          </w:p>
        </w:tc>
      </w:tr>
    </w:tbl>
    <w:p w:rsidR="00AC01E1" w:rsidRDefault="00AC01E1" w:rsidP="00C50EAF">
      <w:pPr>
        <w:spacing w:after="0" w:line="240" w:lineRule="auto"/>
        <w:jc w:val="both"/>
        <w:rPr>
          <w:rFonts w:ascii="Times New Roman" w:eastAsia="Times New Roman" w:hAnsi="Times New Roman"/>
          <w:sz w:val="24"/>
          <w:szCs w:val="24"/>
          <w:lang w:eastAsia="lv-LV"/>
        </w:rPr>
      </w:pPr>
    </w:p>
    <w:p w:rsidR="00B87540" w:rsidRPr="00C50EAF" w:rsidRDefault="00B87540" w:rsidP="00C50EAF">
      <w:pPr>
        <w:spacing w:after="0" w:line="240" w:lineRule="auto"/>
        <w:jc w:val="both"/>
        <w:rPr>
          <w:rFonts w:ascii="Times New Roman" w:eastAsia="Times New Roman" w:hAnsi="Times New Roman"/>
          <w:sz w:val="24"/>
          <w:szCs w:val="24"/>
          <w:lang w:eastAsia="lv-LV"/>
        </w:rPr>
      </w:pPr>
    </w:p>
    <w:p w:rsidR="00AC01E1" w:rsidRPr="00C50EAF" w:rsidRDefault="00AC01E1" w:rsidP="00C50EAF">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7"/>
        <w:gridCol w:w="5389"/>
      </w:tblGrid>
      <w:tr w:rsidR="00AC01E1" w:rsidRPr="00C50EAF" w:rsidTr="00AC01E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01E1" w:rsidRPr="00C50EAF" w:rsidRDefault="00AC01E1" w:rsidP="00C50EAF">
            <w:pPr>
              <w:spacing w:after="0" w:line="240" w:lineRule="auto"/>
              <w:ind w:firstLine="300"/>
              <w:jc w:val="both"/>
              <w:rPr>
                <w:rFonts w:ascii="Times New Roman" w:eastAsia="Times New Roman" w:hAnsi="Times New Roman"/>
                <w:b/>
                <w:bCs/>
                <w:sz w:val="24"/>
                <w:szCs w:val="24"/>
                <w:lang w:eastAsia="lv-LV"/>
              </w:rPr>
            </w:pPr>
            <w:r w:rsidRPr="00C50EAF">
              <w:rPr>
                <w:rFonts w:ascii="Times New Roman" w:eastAsia="Times New Roman" w:hAnsi="Times New Roman"/>
                <w:b/>
                <w:bCs/>
                <w:sz w:val="24"/>
                <w:szCs w:val="24"/>
                <w:lang w:eastAsia="lv-LV"/>
              </w:rPr>
              <w:t>VI. Sabiedrības līdzdalība un komunikācijas aktivitātes</w:t>
            </w:r>
          </w:p>
        </w:tc>
      </w:tr>
      <w:tr w:rsidR="00AC01E1" w:rsidRPr="00C50EAF" w:rsidTr="00AC01E1">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AC01E1" w:rsidRPr="00C50EAF" w:rsidRDefault="00AC01E1"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C01E1" w:rsidRPr="00C50EAF" w:rsidRDefault="007750A8" w:rsidP="00C50EAF">
            <w:pPr>
              <w:spacing w:after="0" w:line="240" w:lineRule="auto"/>
              <w:jc w:val="both"/>
              <w:rPr>
                <w:rFonts w:ascii="Times New Roman" w:eastAsiaTheme="minorHAnsi" w:hAnsi="Times New Roman"/>
                <w:sz w:val="24"/>
                <w:szCs w:val="24"/>
              </w:rPr>
            </w:pPr>
            <w:r w:rsidRPr="00C50EAF">
              <w:rPr>
                <w:rFonts w:ascii="Times New Roman" w:hAnsi="Times New Roman"/>
                <w:sz w:val="24"/>
                <w:szCs w:val="24"/>
              </w:rPr>
              <w:t>Izstrādājot likumprojektu, tika ņemti vērā Finanšu un kapitāla tirgus komisijas ieteikumi un iebildumi. Uzziņa par likumprojektu tika publicēta Finanšu ministrijas mājas lapā, sadaļā “Sabiedrības līdzdalība”.</w:t>
            </w:r>
          </w:p>
        </w:tc>
      </w:tr>
      <w:tr w:rsidR="009B01F8" w:rsidRPr="00C50EAF" w:rsidTr="00AC01E1">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Nav attiecināms.</w:t>
            </w:r>
          </w:p>
        </w:tc>
      </w:tr>
      <w:tr w:rsidR="009B01F8" w:rsidRPr="00C50EAF"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Nav attiecināms.</w:t>
            </w:r>
          </w:p>
        </w:tc>
      </w:tr>
      <w:tr w:rsidR="009B01F8" w:rsidRPr="00C50EAF"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Nav.</w:t>
            </w:r>
          </w:p>
        </w:tc>
      </w:tr>
    </w:tbl>
    <w:p w:rsidR="00AC01E1" w:rsidRPr="00C50EAF" w:rsidRDefault="00AC01E1" w:rsidP="00C50EAF">
      <w:pPr>
        <w:spacing w:after="0" w:line="240" w:lineRule="auto"/>
        <w:jc w:val="both"/>
        <w:rPr>
          <w:rFonts w:ascii="Times New Roman" w:eastAsia="Times New Roman" w:hAnsi="Times New Roman"/>
          <w:sz w:val="24"/>
          <w:szCs w:val="24"/>
          <w:lang w:eastAsia="lv-LV"/>
        </w:rPr>
      </w:pPr>
    </w:p>
    <w:p w:rsidR="00AC01E1" w:rsidRPr="00C50EAF" w:rsidRDefault="00AC01E1" w:rsidP="00C50EAF">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24"/>
        <w:gridCol w:w="5452"/>
      </w:tblGrid>
      <w:tr w:rsidR="00AC01E1" w:rsidRPr="00C50EAF" w:rsidTr="00AC01E1">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01E1" w:rsidRPr="00C50EAF" w:rsidRDefault="00AC01E1" w:rsidP="00C50EAF">
            <w:pPr>
              <w:spacing w:after="0" w:line="240" w:lineRule="auto"/>
              <w:ind w:firstLine="300"/>
              <w:jc w:val="both"/>
              <w:rPr>
                <w:rFonts w:ascii="Times New Roman" w:eastAsia="Times New Roman" w:hAnsi="Times New Roman"/>
                <w:b/>
                <w:bCs/>
                <w:sz w:val="24"/>
                <w:szCs w:val="24"/>
                <w:lang w:eastAsia="lv-LV"/>
              </w:rPr>
            </w:pPr>
            <w:r w:rsidRPr="00C50EAF">
              <w:rPr>
                <w:rFonts w:ascii="Times New Roman" w:eastAsia="Times New Roman" w:hAnsi="Times New Roman"/>
                <w:b/>
                <w:bCs/>
                <w:sz w:val="24"/>
                <w:szCs w:val="24"/>
                <w:lang w:eastAsia="lv-LV"/>
              </w:rPr>
              <w:t>VII. Tiesību akta projekta izpildes nodrošināšana un tās ietekme uz institūcijām</w:t>
            </w:r>
          </w:p>
        </w:tc>
      </w:tr>
      <w:tr w:rsidR="009B01F8" w:rsidRPr="00C50EAF" w:rsidTr="000D147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1.</w:t>
            </w:r>
          </w:p>
        </w:tc>
        <w:tc>
          <w:tcPr>
            <w:tcW w:w="1462"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Projekta izpildē iesaistītās institūcijas</w:t>
            </w:r>
          </w:p>
        </w:tc>
        <w:tc>
          <w:tcPr>
            <w:tcW w:w="3288"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hAnsi="Times New Roman"/>
                <w:sz w:val="24"/>
                <w:szCs w:val="24"/>
              </w:rPr>
              <w:t>Likumprojekta prasību izpildi nodrošinās Finanšu un kapitāla tirgus komisija.</w:t>
            </w:r>
          </w:p>
        </w:tc>
      </w:tr>
      <w:tr w:rsidR="009B01F8" w:rsidRPr="00C50EAF" w:rsidTr="000D147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2.</w:t>
            </w:r>
          </w:p>
        </w:tc>
        <w:tc>
          <w:tcPr>
            <w:tcW w:w="1462"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 xml:space="preserve">Projekta izpildes ietekme uz pārvaldes funkcijām un institucionālo struktūru. </w:t>
            </w:r>
          </w:p>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88"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Projekta izpilde neietekmēs pārvaldes funkcijas vai institucionālo struktūru.</w:t>
            </w:r>
          </w:p>
        </w:tc>
      </w:tr>
      <w:tr w:rsidR="009B01F8" w:rsidRPr="00C50EAF" w:rsidTr="000D1475">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lastRenderedPageBreak/>
              <w:t>3.</w:t>
            </w:r>
          </w:p>
        </w:tc>
        <w:tc>
          <w:tcPr>
            <w:tcW w:w="1462"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Cita informācija</w:t>
            </w:r>
          </w:p>
        </w:tc>
        <w:tc>
          <w:tcPr>
            <w:tcW w:w="3288" w:type="pct"/>
            <w:tcBorders>
              <w:top w:val="outset" w:sz="6" w:space="0" w:color="414142"/>
              <w:left w:val="outset" w:sz="6" w:space="0" w:color="414142"/>
              <w:bottom w:val="outset" w:sz="6" w:space="0" w:color="414142"/>
              <w:right w:val="outset" w:sz="6" w:space="0" w:color="414142"/>
            </w:tcBorders>
            <w:hideMark/>
          </w:tcPr>
          <w:p w:rsidR="009B01F8" w:rsidRPr="00C50EAF" w:rsidRDefault="009B01F8" w:rsidP="00C50EAF">
            <w:pPr>
              <w:spacing w:after="0" w:line="240" w:lineRule="auto"/>
              <w:jc w:val="both"/>
              <w:rPr>
                <w:rFonts w:ascii="Times New Roman" w:eastAsia="Times New Roman" w:hAnsi="Times New Roman"/>
                <w:sz w:val="24"/>
                <w:szCs w:val="24"/>
                <w:lang w:eastAsia="lv-LV"/>
              </w:rPr>
            </w:pPr>
            <w:r w:rsidRPr="00C50EAF">
              <w:rPr>
                <w:rFonts w:ascii="Times New Roman" w:eastAsia="Times New Roman" w:hAnsi="Times New Roman"/>
                <w:sz w:val="24"/>
                <w:szCs w:val="24"/>
                <w:lang w:eastAsia="lv-LV"/>
              </w:rPr>
              <w:t>Nav.</w:t>
            </w:r>
          </w:p>
        </w:tc>
      </w:tr>
    </w:tbl>
    <w:p w:rsidR="00AC01E1" w:rsidRPr="00C50EAF" w:rsidRDefault="00AC01E1" w:rsidP="00C50EAF">
      <w:pPr>
        <w:spacing w:after="0" w:line="240" w:lineRule="auto"/>
        <w:jc w:val="both"/>
        <w:rPr>
          <w:rFonts w:ascii="Times New Roman" w:hAnsi="Times New Roman"/>
          <w:sz w:val="24"/>
          <w:szCs w:val="24"/>
        </w:rPr>
      </w:pPr>
    </w:p>
    <w:p w:rsidR="00AC01E1" w:rsidRPr="00C50EAF" w:rsidRDefault="00AC01E1" w:rsidP="00C50EAF">
      <w:pPr>
        <w:spacing w:after="0" w:line="240" w:lineRule="auto"/>
        <w:jc w:val="both"/>
        <w:rPr>
          <w:rFonts w:ascii="Times New Roman" w:hAnsi="Times New Roman"/>
          <w:sz w:val="24"/>
          <w:szCs w:val="24"/>
        </w:rPr>
      </w:pPr>
    </w:p>
    <w:p w:rsidR="00AE71C3" w:rsidRPr="00C50EAF" w:rsidRDefault="00AE71C3" w:rsidP="00C50EAF">
      <w:pPr>
        <w:spacing w:after="0" w:line="240" w:lineRule="auto"/>
        <w:jc w:val="both"/>
        <w:rPr>
          <w:rFonts w:ascii="Times New Roman" w:hAnsi="Times New Roman"/>
          <w:sz w:val="24"/>
          <w:szCs w:val="24"/>
        </w:rPr>
      </w:pPr>
    </w:p>
    <w:p w:rsidR="00AC01E1" w:rsidRPr="000D1475" w:rsidRDefault="00AE71C3" w:rsidP="00C50EAF">
      <w:pPr>
        <w:spacing w:after="0" w:line="240" w:lineRule="auto"/>
        <w:jc w:val="both"/>
        <w:rPr>
          <w:rFonts w:ascii="Times New Roman" w:hAnsi="Times New Roman"/>
          <w:sz w:val="24"/>
          <w:szCs w:val="24"/>
        </w:rPr>
      </w:pPr>
      <w:r w:rsidRPr="00C50EAF">
        <w:rPr>
          <w:rFonts w:ascii="Times New Roman" w:hAnsi="Times New Roman"/>
          <w:sz w:val="24"/>
          <w:szCs w:val="24"/>
        </w:rPr>
        <w:t>Finanšu</w:t>
      </w:r>
      <w:r w:rsidR="00AC01E1" w:rsidRPr="00C50EAF">
        <w:rPr>
          <w:rFonts w:ascii="Times New Roman" w:hAnsi="Times New Roman"/>
          <w:sz w:val="24"/>
          <w:szCs w:val="24"/>
        </w:rPr>
        <w:t xml:space="preserve"> ministrs</w:t>
      </w:r>
      <w:r w:rsidR="00AC01E1" w:rsidRPr="00C50EAF">
        <w:rPr>
          <w:rFonts w:ascii="Times New Roman" w:hAnsi="Times New Roman"/>
          <w:sz w:val="24"/>
          <w:szCs w:val="24"/>
        </w:rPr>
        <w:tab/>
      </w:r>
      <w:r w:rsidR="00AC01E1" w:rsidRPr="00C50EAF">
        <w:rPr>
          <w:rFonts w:ascii="Times New Roman" w:hAnsi="Times New Roman"/>
          <w:sz w:val="24"/>
          <w:szCs w:val="24"/>
        </w:rPr>
        <w:tab/>
      </w:r>
      <w:r w:rsidR="00AC01E1" w:rsidRPr="00C50EAF">
        <w:rPr>
          <w:rFonts w:ascii="Times New Roman" w:hAnsi="Times New Roman"/>
          <w:sz w:val="24"/>
          <w:szCs w:val="24"/>
        </w:rPr>
        <w:tab/>
      </w:r>
      <w:r w:rsidR="00AC01E1" w:rsidRPr="00C50EAF">
        <w:rPr>
          <w:rFonts w:ascii="Times New Roman" w:hAnsi="Times New Roman"/>
          <w:sz w:val="24"/>
          <w:szCs w:val="24"/>
        </w:rPr>
        <w:tab/>
        <w:t xml:space="preserve">                                      </w:t>
      </w:r>
      <w:r w:rsidR="00450D34">
        <w:rPr>
          <w:rFonts w:ascii="Times New Roman" w:hAnsi="Times New Roman"/>
          <w:sz w:val="24"/>
          <w:szCs w:val="24"/>
        </w:rPr>
        <w:t>J.</w:t>
      </w:r>
      <w:r w:rsidRPr="00C50EAF">
        <w:rPr>
          <w:rFonts w:ascii="Times New Roman" w:hAnsi="Times New Roman"/>
          <w:sz w:val="24"/>
          <w:szCs w:val="24"/>
        </w:rPr>
        <w:t xml:space="preserve"> Reirs</w:t>
      </w:r>
    </w:p>
    <w:p w:rsidR="00AC01E1" w:rsidRPr="000D1475" w:rsidRDefault="00AC01E1" w:rsidP="00C50EAF">
      <w:pPr>
        <w:spacing w:after="0" w:line="240" w:lineRule="auto"/>
        <w:jc w:val="both"/>
        <w:rPr>
          <w:rFonts w:ascii="Times New Roman" w:hAnsi="Times New Roman"/>
          <w:szCs w:val="24"/>
        </w:rPr>
      </w:pPr>
    </w:p>
    <w:p w:rsidR="00AC01E1" w:rsidRPr="000D1475" w:rsidRDefault="00AC01E1" w:rsidP="00C50EAF">
      <w:pPr>
        <w:spacing w:after="0" w:line="240" w:lineRule="auto"/>
        <w:jc w:val="both"/>
        <w:rPr>
          <w:rFonts w:ascii="Times New Roman" w:hAnsi="Times New Roman"/>
          <w:sz w:val="20"/>
          <w:szCs w:val="20"/>
        </w:rPr>
      </w:pPr>
      <w:r w:rsidRPr="000D1475">
        <w:rPr>
          <w:rFonts w:ascii="Times New Roman" w:hAnsi="Times New Roman"/>
          <w:sz w:val="20"/>
          <w:szCs w:val="20"/>
        </w:rPr>
        <w:t xml:space="preserve"> </w:t>
      </w:r>
    </w:p>
    <w:p w:rsidR="00450D34" w:rsidRPr="00B85714" w:rsidRDefault="00382CA6" w:rsidP="00450D34">
      <w:pPr>
        <w:spacing w:after="0" w:line="240" w:lineRule="auto"/>
        <w:rPr>
          <w:rFonts w:ascii="Times New Roman" w:hAnsi="Times New Roman"/>
          <w:sz w:val="20"/>
          <w:szCs w:val="20"/>
        </w:rPr>
      </w:pPr>
      <w:r>
        <w:rPr>
          <w:rFonts w:ascii="Times New Roman" w:hAnsi="Times New Roman"/>
          <w:sz w:val="20"/>
          <w:szCs w:val="20"/>
        </w:rPr>
        <w:t>01.12</w:t>
      </w:r>
      <w:r w:rsidR="00450D34" w:rsidRPr="00B85714">
        <w:rPr>
          <w:rFonts w:ascii="Times New Roman" w:hAnsi="Times New Roman"/>
          <w:sz w:val="20"/>
          <w:szCs w:val="20"/>
        </w:rPr>
        <w:t>.2015. 1</w:t>
      </w:r>
      <w:r w:rsidR="00F41E3A">
        <w:rPr>
          <w:rFonts w:ascii="Times New Roman" w:hAnsi="Times New Roman"/>
          <w:sz w:val="20"/>
          <w:szCs w:val="20"/>
        </w:rPr>
        <w:t>0</w:t>
      </w:r>
      <w:r w:rsidR="00450D34" w:rsidRPr="00B85714">
        <w:rPr>
          <w:rFonts w:ascii="Times New Roman" w:hAnsi="Times New Roman"/>
          <w:sz w:val="20"/>
          <w:szCs w:val="20"/>
        </w:rPr>
        <w:t>:27</w:t>
      </w:r>
    </w:p>
    <w:p w:rsidR="00450D34" w:rsidRDefault="005F2B3F" w:rsidP="00450D34">
      <w:pPr>
        <w:spacing w:after="0" w:line="240" w:lineRule="auto"/>
        <w:rPr>
          <w:rFonts w:ascii="Times New Roman" w:hAnsi="Times New Roman"/>
          <w:sz w:val="20"/>
          <w:szCs w:val="20"/>
        </w:rPr>
      </w:pPr>
      <w:r>
        <w:rPr>
          <w:rFonts w:ascii="Times New Roman" w:hAnsi="Times New Roman"/>
          <w:sz w:val="20"/>
          <w:szCs w:val="20"/>
        </w:rPr>
        <w:t>992</w:t>
      </w:r>
    </w:p>
    <w:p w:rsidR="00450D34" w:rsidRDefault="00450D34" w:rsidP="00450D34">
      <w:pPr>
        <w:spacing w:after="0" w:line="240" w:lineRule="auto"/>
        <w:rPr>
          <w:rFonts w:ascii="Times New Roman" w:hAnsi="Times New Roman"/>
          <w:sz w:val="20"/>
          <w:szCs w:val="20"/>
        </w:rPr>
      </w:pPr>
      <w:proofErr w:type="spellStart"/>
      <w:r>
        <w:rPr>
          <w:rFonts w:ascii="Times New Roman" w:hAnsi="Times New Roman"/>
          <w:sz w:val="20"/>
          <w:szCs w:val="20"/>
        </w:rPr>
        <w:t>I.Tuševs</w:t>
      </w:r>
      <w:proofErr w:type="spellEnd"/>
    </w:p>
    <w:p w:rsidR="00450D34" w:rsidRDefault="00450D34" w:rsidP="00450D34">
      <w:pPr>
        <w:spacing w:after="0" w:line="240" w:lineRule="auto"/>
        <w:rPr>
          <w:rFonts w:ascii="Times New Roman" w:hAnsi="Times New Roman"/>
          <w:sz w:val="20"/>
          <w:szCs w:val="20"/>
        </w:rPr>
      </w:pPr>
      <w:r>
        <w:rPr>
          <w:rFonts w:ascii="Times New Roman" w:hAnsi="Times New Roman"/>
          <w:sz w:val="20"/>
          <w:szCs w:val="20"/>
        </w:rPr>
        <w:t xml:space="preserve">67095441, </w:t>
      </w:r>
      <w:r w:rsidRPr="00450D34">
        <w:rPr>
          <w:rFonts w:ascii="Times New Roman" w:hAnsi="Times New Roman"/>
          <w:sz w:val="20"/>
          <w:szCs w:val="20"/>
        </w:rPr>
        <w:t>Ignats.Tusevs@fm.gov.lv</w:t>
      </w:r>
      <w:r>
        <w:rPr>
          <w:rFonts w:ascii="Times New Roman" w:hAnsi="Times New Roman"/>
          <w:sz w:val="20"/>
          <w:szCs w:val="20"/>
        </w:rPr>
        <w:t xml:space="preserve"> </w:t>
      </w:r>
    </w:p>
    <w:p w:rsidR="003D4EE3" w:rsidRPr="000D1475" w:rsidRDefault="003D4EE3" w:rsidP="00C50EAF">
      <w:pPr>
        <w:spacing w:after="0" w:line="240" w:lineRule="auto"/>
        <w:jc w:val="both"/>
        <w:rPr>
          <w:rFonts w:ascii="Times New Roman" w:hAnsi="Times New Roman"/>
        </w:rPr>
      </w:pPr>
    </w:p>
    <w:sectPr w:rsidR="003D4EE3" w:rsidRPr="000D1475" w:rsidSect="00DF035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80" w:rsidRDefault="00C37380" w:rsidP="00DE31D7">
      <w:pPr>
        <w:spacing w:after="0" w:line="240" w:lineRule="auto"/>
      </w:pPr>
      <w:r>
        <w:separator/>
      </w:r>
    </w:p>
  </w:endnote>
  <w:endnote w:type="continuationSeparator" w:id="0">
    <w:p w:rsidR="00C37380" w:rsidRDefault="00C37380" w:rsidP="00DE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34" w:rsidRPr="00672C21" w:rsidRDefault="00450D34" w:rsidP="00450D34">
    <w:pPr>
      <w:spacing w:after="0" w:line="240" w:lineRule="auto"/>
      <w:jc w:val="both"/>
      <w:rPr>
        <w:rFonts w:ascii="Times New Roman" w:hAnsi="Times New Roman"/>
        <w:color w:val="000000"/>
        <w:sz w:val="20"/>
        <w:szCs w:val="20"/>
      </w:rPr>
    </w:pPr>
    <w:r>
      <w:rPr>
        <w:rFonts w:ascii="Times New Roman" w:hAnsi="Times New Roman"/>
        <w:sz w:val="20"/>
        <w:szCs w:val="20"/>
      </w:rPr>
      <w:t>FManot_27102015_FITL</w:t>
    </w:r>
    <w:r w:rsidRPr="00672C21">
      <w:rPr>
        <w:rFonts w:ascii="Times New Roman" w:hAnsi="Times New Roman"/>
        <w:sz w:val="20"/>
        <w:szCs w:val="20"/>
      </w:rPr>
      <w:t>_OECD;</w:t>
    </w:r>
    <w:r w:rsidRPr="00672C21">
      <w:rPr>
        <w:rFonts w:ascii="Times New Roman" w:hAnsi="Times New Roman"/>
        <w:b/>
        <w:color w:val="000000"/>
        <w:sz w:val="20"/>
        <w:szCs w:val="20"/>
      </w:rPr>
      <w:t xml:space="preserve"> </w:t>
    </w:r>
    <w:r w:rsidRPr="00672C21">
      <w:rPr>
        <w:rFonts w:ascii="Times New Roman" w:hAnsi="Times New Roman"/>
        <w:color w:val="000000"/>
        <w:sz w:val="20"/>
        <w:szCs w:val="20"/>
      </w:rPr>
      <w:t>Likumprojekta</w:t>
    </w:r>
    <w:r>
      <w:rPr>
        <w:rFonts w:ascii="Times New Roman" w:hAnsi="Times New Roman"/>
        <w:color w:val="000000"/>
        <w:sz w:val="20"/>
        <w:szCs w:val="20"/>
      </w:rPr>
      <w:t xml:space="preserve"> </w:t>
    </w:r>
    <w:r w:rsidR="00E20D8F">
      <w:rPr>
        <w:rFonts w:ascii="Times New Roman" w:hAnsi="Times New Roman"/>
        <w:color w:val="000000"/>
        <w:sz w:val="20"/>
        <w:szCs w:val="20"/>
      </w:rPr>
      <w:t>„Grozījums</w:t>
    </w:r>
    <w:r w:rsidRPr="00672C21">
      <w:rPr>
        <w:rFonts w:ascii="Times New Roman" w:hAnsi="Times New Roman"/>
        <w:bCs/>
        <w:color w:val="000000"/>
        <w:sz w:val="20"/>
        <w:szCs w:val="20"/>
      </w:rPr>
      <w:t xml:space="preserve"> </w:t>
    </w:r>
    <w:r>
      <w:rPr>
        <w:rFonts w:ascii="Times New Roman" w:hAnsi="Times New Roman"/>
        <w:bCs/>
        <w:color w:val="000000"/>
        <w:sz w:val="20"/>
        <w:szCs w:val="20"/>
      </w:rPr>
      <w:t>Finanšu instrumentu tirgus likuma</w:t>
    </w:r>
    <w:r w:rsidRPr="00672C21">
      <w:rPr>
        <w:rFonts w:ascii="Times New Roman" w:hAnsi="Times New Roman"/>
        <w:color w:val="000000"/>
        <w:sz w:val="20"/>
        <w:szCs w:val="20"/>
      </w:rPr>
      <w:t>”</w:t>
    </w:r>
    <w:r>
      <w:rPr>
        <w:rFonts w:ascii="Times New Roman" w:hAnsi="Times New Roman"/>
        <w:color w:val="000000"/>
        <w:sz w:val="20"/>
        <w:szCs w:val="20"/>
      </w:rPr>
      <w:t xml:space="preserve"> </w:t>
    </w:r>
    <w:r w:rsidRPr="00672C21">
      <w:rPr>
        <w:rFonts w:ascii="Times New Roman" w:hAnsi="Times New Roman"/>
        <w:color w:val="000000"/>
        <w:sz w:val="20"/>
        <w:szCs w:val="20"/>
      </w:rPr>
      <w:t>sākotnējās ietekmes novērtējuma ziņojums (anotācija)</w:t>
    </w:r>
  </w:p>
  <w:p w:rsidR="00450D34" w:rsidRDefault="0045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80" w:rsidRDefault="00C37380" w:rsidP="00DE31D7">
      <w:pPr>
        <w:spacing w:after="0" w:line="240" w:lineRule="auto"/>
      </w:pPr>
      <w:r>
        <w:separator/>
      </w:r>
    </w:p>
  </w:footnote>
  <w:footnote w:type="continuationSeparator" w:id="0">
    <w:p w:rsidR="00C37380" w:rsidRDefault="00C37380" w:rsidP="00DE3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37A25"/>
    <w:multiLevelType w:val="hybridMultilevel"/>
    <w:tmpl w:val="78C8FAEC"/>
    <w:lvl w:ilvl="0" w:tplc="04260001">
      <w:start w:val="1"/>
      <w:numFmt w:val="bullet"/>
      <w:lvlText w:val=""/>
      <w:lvlJc w:val="left"/>
      <w:pPr>
        <w:ind w:left="1261" w:hanging="360"/>
      </w:pPr>
      <w:rPr>
        <w:rFonts w:ascii="Symbol" w:hAnsi="Symbol" w:hint="default"/>
      </w:rPr>
    </w:lvl>
    <w:lvl w:ilvl="1" w:tplc="04260003">
      <w:start w:val="1"/>
      <w:numFmt w:val="bullet"/>
      <w:lvlText w:val="o"/>
      <w:lvlJc w:val="left"/>
      <w:pPr>
        <w:ind w:left="1981" w:hanging="360"/>
      </w:pPr>
      <w:rPr>
        <w:rFonts w:ascii="Courier New" w:hAnsi="Courier New" w:cs="Courier New" w:hint="default"/>
      </w:rPr>
    </w:lvl>
    <w:lvl w:ilvl="2" w:tplc="04260005">
      <w:start w:val="1"/>
      <w:numFmt w:val="bullet"/>
      <w:lvlText w:val=""/>
      <w:lvlJc w:val="left"/>
      <w:pPr>
        <w:ind w:left="2701" w:hanging="360"/>
      </w:pPr>
      <w:rPr>
        <w:rFonts w:ascii="Wingdings" w:hAnsi="Wingdings" w:hint="default"/>
      </w:rPr>
    </w:lvl>
    <w:lvl w:ilvl="3" w:tplc="04260001">
      <w:start w:val="1"/>
      <w:numFmt w:val="bullet"/>
      <w:lvlText w:val=""/>
      <w:lvlJc w:val="left"/>
      <w:pPr>
        <w:ind w:left="3421" w:hanging="360"/>
      </w:pPr>
      <w:rPr>
        <w:rFonts w:ascii="Symbol" w:hAnsi="Symbol" w:hint="default"/>
      </w:rPr>
    </w:lvl>
    <w:lvl w:ilvl="4" w:tplc="04260003">
      <w:start w:val="1"/>
      <w:numFmt w:val="bullet"/>
      <w:lvlText w:val="o"/>
      <w:lvlJc w:val="left"/>
      <w:pPr>
        <w:ind w:left="4141" w:hanging="360"/>
      </w:pPr>
      <w:rPr>
        <w:rFonts w:ascii="Courier New" w:hAnsi="Courier New" w:cs="Courier New" w:hint="default"/>
      </w:rPr>
    </w:lvl>
    <w:lvl w:ilvl="5" w:tplc="04260005">
      <w:start w:val="1"/>
      <w:numFmt w:val="bullet"/>
      <w:lvlText w:val=""/>
      <w:lvlJc w:val="left"/>
      <w:pPr>
        <w:ind w:left="4861" w:hanging="360"/>
      </w:pPr>
      <w:rPr>
        <w:rFonts w:ascii="Wingdings" w:hAnsi="Wingdings" w:hint="default"/>
      </w:rPr>
    </w:lvl>
    <w:lvl w:ilvl="6" w:tplc="04260001">
      <w:start w:val="1"/>
      <w:numFmt w:val="bullet"/>
      <w:lvlText w:val=""/>
      <w:lvlJc w:val="left"/>
      <w:pPr>
        <w:ind w:left="5581" w:hanging="360"/>
      </w:pPr>
      <w:rPr>
        <w:rFonts w:ascii="Symbol" w:hAnsi="Symbol" w:hint="default"/>
      </w:rPr>
    </w:lvl>
    <w:lvl w:ilvl="7" w:tplc="04260003">
      <w:start w:val="1"/>
      <w:numFmt w:val="bullet"/>
      <w:lvlText w:val="o"/>
      <w:lvlJc w:val="left"/>
      <w:pPr>
        <w:ind w:left="6301" w:hanging="360"/>
      </w:pPr>
      <w:rPr>
        <w:rFonts w:ascii="Courier New" w:hAnsi="Courier New" w:cs="Courier New" w:hint="default"/>
      </w:rPr>
    </w:lvl>
    <w:lvl w:ilvl="8" w:tplc="04260005">
      <w:start w:val="1"/>
      <w:numFmt w:val="bullet"/>
      <w:lvlText w:val=""/>
      <w:lvlJc w:val="left"/>
      <w:pPr>
        <w:ind w:left="70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3C"/>
    <w:rsid w:val="000524EC"/>
    <w:rsid w:val="000943FF"/>
    <w:rsid w:val="000962FF"/>
    <w:rsid w:val="000A2EBA"/>
    <w:rsid w:val="000D1475"/>
    <w:rsid w:val="000F63D4"/>
    <w:rsid w:val="00150ADB"/>
    <w:rsid w:val="00182B50"/>
    <w:rsid w:val="001E45C5"/>
    <w:rsid w:val="00240406"/>
    <w:rsid w:val="002449D7"/>
    <w:rsid w:val="00262A17"/>
    <w:rsid w:val="002634E4"/>
    <w:rsid w:val="002D75FD"/>
    <w:rsid w:val="00332278"/>
    <w:rsid w:val="003616C6"/>
    <w:rsid w:val="00382CA6"/>
    <w:rsid w:val="00392827"/>
    <w:rsid w:val="003A3082"/>
    <w:rsid w:val="003D4EE3"/>
    <w:rsid w:val="003F561D"/>
    <w:rsid w:val="00433547"/>
    <w:rsid w:val="00450D34"/>
    <w:rsid w:val="004E51A0"/>
    <w:rsid w:val="00540636"/>
    <w:rsid w:val="005943E3"/>
    <w:rsid w:val="005C414A"/>
    <w:rsid w:val="005F2B3F"/>
    <w:rsid w:val="00654033"/>
    <w:rsid w:val="00672D64"/>
    <w:rsid w:val="00672F69"/>
    <w:rsid w:val="006A06DC"/>
    <w:rsid w:val="006A6FF9"/>
    <w:rsid w:val="006B505A"/>
    <w:rsid w:val="006E6BAC"/>
    <w:rsid w:val="0071435F"/>
    <w:rsid w:val="00725D65"/>
    <w:rsid w:val="0073383F"/>
    <w:rsid w:val="007420A3"/>
    <w:rsid w:val="007750A8"/>
    <w:rsid w:val="0077543F"/>
    <w:rsid w:val="007F1E40"/>
    <w:rsid w:val="0083641F"/>
    <w:rsid w:val="008B3EA0"/>
    <w:rsid w:val="008E067E"/>
    <w:rsid w:val="008E5F85"/>
    <w:rsid w:val="008F63F2"/>
    <w:rsid w:val="00943F70"/>
    <w:rsid w:val="0095163C"/>
    <w:rsid w:val="0099222D"/>
    <w:rsid w:val="009B01F8"/>
    <w:rsid w:val="00AC01E1"/>
    <w:rsid w:val="00AD7B99"/>
    <w:rsid w:val="00AE71C3"/>
    <w:rsid w:val="00B04D8E"/>
    <w:rsid w:val="00B57EA2"/>
    <w:rsid w:val="00B85714"/>
    <w:rsid w:val="00B87540"/>
    <w:rsid w:val="00C02707"/>
    <w:rsid w:val="00C15CEB"/>
    <w:rsid w:val="00C21603"/>
    <w:rsid w:val="00C37380"/>
    <w:rsid w:val="00C50EAF"/>
    <w:rsid w:val="00CB189F"/>
    <w:rsid w:val="00CD663F"/>
    <w:rsid w:val="00D009FF"/>
    <w:rsid w:val="00DE31D7"/>
    <w:rsid w:val="00DF035A"/>
    <w:rsid w:val="00E1526F"/>
    <w:rsid w:val="00E20D8F"/>
    <w:rsid w:val="00E3226C"/>
    <w:rsid w:val="00E51858"/>
    <w:rsid w:val="00E51D4C"/>
    <w:rsid w:val="00E96C19"/>
    <w:rsid w:val="00F2720E"/>
    <w:rsid w:val="00F41E3A"/>
    <w:rsid w:val="00F668F8"/>
    <w:rsid w:val="00F85005"/>
    <w:rsid w:val="00F95AC5"/>
    <w:rsid w:val="00FA4716"/>
    <w:rsid w:val="00FB3A53"/>
    <w:rsid w:val="00FF6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F5BFD-269D-4310-B2FC-316A14A6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E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1E1"/>
    <w:rPr>
      <w:color w:val="0000FF"/>
      <w:u w:val="single"/>
    </w:rPr>
  </w:style>
  <w:style w:type="paragraph" w:customStyle="1" w:styleId="tv2131">
    <w:name w:val="tv2131"/>
    <w:basedOn w:val="Normal"/>
    <w:rsid w:val="00AC01E1"/>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AC01E1"/>
    <w:pPr>
      <w:autoSpaceDE w:val="0"/>
      <w:autoSpaceDN w:val="0"/>
      <w:adjustRightInd w:val="0"/>
    </w:pPr>
    <w:rPr>
      <w:rFonts w:eastAsia="Times New Roman" w:cs="Times New Roman"/>
      <w:color w:val="000000"/>
      <w:szCs w:val="24"/>
      <w:lang w:eastAsia="lv-LV"/>
    </w:rPr>
  </w:style>
  <w:style w:type="paragraph" w:styleId="FootnoteText">
    <w:name w:val="footnote text"/>
    <w:basedOn w:val="Normal"/>
    <w:link w:val="FootnoteTextChar"/>
    <w:uiPriority w:val="99"/>
    <w:semiHidden/>
    <w:unhideWhenUsed/>
    <w:rsid w:val="00DE31D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E31D7"/>
    <w:rPr>
      <w:rFonts w:asciiTheme="minorHAnsi" w:hAnsiTheme="minorHAnsi"/>
      <w:sz w:val="20"/>
      <w:szCs w:val="20"/>
    </w:rPr>
  </w:style>
  <w:style w:type="character" w:styleId="FootnoteReference">
    <w:name w:val="footnote reference"/>
    <w:basedOn w:val="DefaultParagraphFont"/>
    <w:uiPriority w:val="99"/>
    <w:semiHidden/>
    <w:unhideWhenUsed/>
    <w:rsid w:val="00DE31D7"/>
    <w:rPr>
      <w:vertAlign w:val="superscript"/>
    </w:rPr>
  </w:style>
  <w:style w:type="character" w:styleId="Strong">
    <w:name w:val="Strong"/>
    <w:basedOn w:val="DefaultParagraphFont"/>
    <w:uiPriority w:val="22"/>
    <w:qFormat/>
    <w:rsid w:val="00F95AC5"/>
    <w:rPr>
      <w:b/>
      <w:bCs/>
    </w:rPr>
  </w:style>
  <w:style w:type="character" w:customStyle="1" w:styleId="apple-converted-space">
    <w:name w:val="apple-converted-space"/>
    <w:basedOn w:val="DefaultParagraphFont"/>
    <w:rsid w:val="00F95AC5"/>
  </w:style>
  <w:style w:type="paragraph" w:styleId="Header">
    <w:name w:val="header"/>
    <w:basedOn w:val="Normal"/>
    <w:link w:val="HeaderChar"/>
    <w:uiPriority w:val="99"/>
    <w:unhideWhenUsed/>
    <w:rsid w:val="00450D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0D34"/>
    <w:rPr>
      <w:rFonts w:ascii="Calibri" w:eastAsia="Calibri" w:hAnsi="Calibri" w:cs="Times New Roman"/>
      <w:sz w:val="22"/>
    </w:rPr>
  </w:style>
  <w:style w:type="paragraph" w:styleId="Footer">
    <w:name w:val="footer"/>
    <w:basedOn w:val="Normal"/>
    <w:link w:val="FooterChar"/>
    <w:uiPriority w:val="99"/>
    <w:unhideWhenUsed/>
    <w:rsid w:val="00450D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0D34"/>
    <w:rPr>
      <w:rFonts w:ascii="Calibri" w:eastAsia="Calibri" w:hAnsi="Calibri" w:cs="Times New Roman"/>
      <w:sz w:val="22"/>
    </w:rPr>
  </w:style>
  <w:style w:type="character" w:styleId="CommentReference">
    <w:name w:val="annotation reference"/>
    <w:basedOn w:val="DefaultParagraphFont"/>
    <w:uiPriority w:val="99"/>
    <w:semiHidden/>
    <w:unhideWhenUsed/>
    <w:rsid w:val="002634E4"/>
    <w:rPr>
      <w:sz w:val="16"/>
      <w:szCs w:val="16"/>
    </w:rPr>
  </w:style>
  <w:style w:type="paragraph" w:styleId="CommentText">
    <w:name w:val="annotation text"/>
    <w:basedOn w:val="Normal"/>
    <w:link w:val="CommentTextChar"/>
    <w:uiPriority w:val="99"/>
    <w:semiHidden/>
    <w:unhideWhenUsed/>
    <w:rsid w:val="002634E4"/>
    <w:pPr>
      <w:spacing w:line="240" w:lineRule="auto"/>
    </w:pPr>
    <w:rPr>
      <w:sz w:val="20"/>
      <w:szCs w:val="20"/>
    </w:rPr>
  </w:style>
  <w:style w:type="character" w:customStyle="1" w:styleId="CommentTextChar">
    <w:name w:val="Comment Text Char"/>
    <w:basedOn w:val="DefaultParagraphFont"/>
    <w:link w:val="CommentText"/>
    <w:uiPriority w:val="99"/>
    <w:semiHidden/>
    <w:rsid w:val="002634E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63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1323">
      <w:bodyDiv w:val="1"/>
      <w:marLeft w:val="0"/>
      <w:marRight w:val="0"/>
      <w:marTop w:val="0"/>
      <w:marBottom w:val="0"/>
      <w:divBdr>
        <w:top w:val="none" w:sz="0" w:space="0" w:color="auto"/>
        <w:left w:val="none" w:sz="0" w:space="0" w:color="auto"/>
        <w:bottom w:val="none" w:sz="0" w:space="0" w:color="auto"/>
        <w:right w:val="none" w:sz="0" w:space="0" w:color="auto"/>
      </w:divBdr>
    </w:div>
    <w:div w:id="475340652">
      <w:bodyDiv w:val="1"/>
      <w:marLeft w:val="0"/>
      <w:marRight w:val="0"/>
      <w:marTop w:val="0"/>
      <w:marBottom w:val="0"/>
      <w:divBdr>
        <w:top w:val="none" w:sz="0" w:space="0" w:color="auto"/>
        <w:left w:val="none" w:sz="0" w:space="0" w:color="auto"/>
        <w:bottom w:val="none" w:sz="0" w:space="0" w:color="auto"/>
        <w:right w:val="none" w:sz="0" w:space="0" w:color="auto"/>
      </w:divBdr>
    </w:div>
    <w:div w:id="18063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7A6C-6452-445E-AC83-245CCFBB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5300</Words>
  <Characters>3021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Ignats Tuševs</dc:creator>
  <cp:lastModifiedBy>Finanšu ministrija</cp:lastModifiedBy>
  <cp:revision>6</cp:revision>
  <dcterms:created xsi:type="dcterms:W3CDTF">2015-11-24T08:38:00Z</dcterms:created>
  <dcterms:modified xsi:type="dcterms:W3CDTF">2015-12-02T13:51:00Z</dcterms:modified>
</cp:coreProperties>
</file>