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9EF" w:rsidRPr="0049772C" w:rsidRDefault="001239EF" w:rsidP="001239EF">
      <w:pPr>
        <w:pStyle w:val="naisf"/>
        <w:spacing w:before="0" w:beforeAutospacing="0" w:after="0" w:afterAutospacing="0"/>
        <w:jc w:val="right"/>
        <w:rPr>
          <w:rFonts w:eastAsiaTheme="minorHAnsi"/>
          <w:bCs/>
          <w:sz w:val="28"/>
          <w:szCs w:val="28"/>
          <w:lang w:eastAsia="x-none"/>
        </w:rPr>
      </w:pPr>
      <w:r>
        <w:rPr>
          <w:rFonts w:eastAsiaTheme="minorHAnsi"/>
          <w:bCs/>
          <w:sz w:val="28"/>
          <w:szCs w:val="28"/>
          <w:lang w:eastAsia="x-none"/>
        </w:rPr>
        <w:t>Projekts</w:t>
      </w:r>
    </w:p>
    <w:p w:rsidR="001239EF" w:rsidRPr="00C676EE" w:rsidRDefault="001239EF" w:rsidP="001239EF">
      <w:pPr>
        <w:pStyle w:val="naisf"/>
        <w:spacing w:before="0" w:beforeAutospacing="0" w:after="0" w:afterAutospacing="0"/>
        <w:jc w:val="center"/>
        <w:rPr>
          <w:rFonts w:eastAsiaTheme="minorHAnsi"/>
          <w:b/>
          <w:bCs/>
          <w:sz w:val="26"/>
          <w:szCs w:val="26"/>
          <w:lang w:eastAsia="x-none"/>
        </w:rPr>
      </w:pPr>
      <w:bookmarkStart w:id="0" w:name="_GoBack"/>
      <w:r w:rsidRPr="00C676EE">
        <w:rPr>
          <w:rFonts w:eastAsiaTheme="minorHAnsi"/>
          <w:b/>
          <w:bCs/>
          <w:sz w:val="26"/>
          <w:szCs w:val="26"/>
          <w:lang w:eastAsia="x-none"/>
        </w:rPr>
        <w:t>Likumprojekta „Grozījumi likumā „Par uzņēmumu ienākuma nodokli”” sākotnējās ietekmes novērtējuma ziņojums (anotācija)</w:t>
      </w:r>
    </w:p>
    <w:bookmarkEnd w:id="0"/>
    <w:p w:rsidR="001239EF" w:rsidRPr="00C676EE" w:rsidRDefault="001239EF" w:rsidP="001239EF">
      <w:pPr>
        <w:pStyle w:val="naisf"/>
        <w:spacing w:before="0" w:beforeAutospacing="0" w:after="0" w:afterAutospacing="0"/>
        <w:jc w:val="center"/>
        <w:rPr>
          <w:b/>
          <w:sz w:val="26"/>
          <w:szCs w:val="26"/>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2"/>
        <w:gridCol w:w="6648"/>
      </w:tblGrid>
      <w:tr w:rsidR="001239EF" w:rsidRPr="00C676EE" w:rsidTr="0039357C">
        <w:trPr>
          <w:trHeight w:val="419"/>
        </w:trPr>
        <w:tc>
          <w:tcPr>
            <w:tcW w:w="5000" w:type="pct"/>
            <w:gridSpan w:val="3"/>
            <w:vAlign w:val="center"/>
          </w:tcPr>
          <w:p w:rsidR="001239EF" w:rsidRPr="00C676EE" w:rsidRDefault="001239EF" w:rsidP="0039357C">
            <w:pPr>
              <w:pStyle w:val="naisnod"/>
              <w:spacing w:before="0" w:beforeAutospacing="0" w:after="0" w:afterAutospacing="0"/>
              <w:ind w:right="57"/>
              <w:jc w:val="center"/>
              <w:rPr>
                <w:b/>
                <w:sz w:val="26"/>
                <w:szCs w:val="26"/>
              </w:rPr>
            </w:pPr>
            <w:r w:rsidRPr="00C676EE">
              <w:rPr>
                <w:b/>
                <w:sz w:val="26"/>
                <w:szCs w:val="26"/>
              </w:rPr>
              <w:t>I. Tiesību akta projekta izstrādes nepieciešamība</w:t>
            </w:r>
          </w:p>
        </w:tc>
      </w:tr>
      <w:tr w:rsidR="001239EF" w:rsidRPr="00C676EE" w:rsidTr="0039357C">
        <w:trPr>
          <w:trHeight w:val="415"/>
        </w:trPr>
        <w:tc>
          <w:tcPr>
            <w:tcW w:w="227" w:type="pct"/>
          </w:tcPr>
          <w:p w:rsidR="001239EF" w:rsidRPr="00C676EE" w:rsidRDefault="001239EF" w:rsidP="0039357C">
            <w:pPr>
              <w:pStyle w:val="naiskr"/>
              <w:spacing w:before="0" w:beforeAutospacing="0" w:after="0" w:afterAutospacing="0"/>
              <w:ind w:right="57"/>
              <w:jc w:val="center"/>
              <w:rPr>
                <w:sz w:val="26"/>
                <w:szCs w:val="26"/>
              </w:rPr>
            </w:pPr>
            <w:r w:rsidRPr="00C676EE">
              <w:rPr>
                <w:sz w:val="26"/>
                <w:szCs w:val="26"/>
              </w:rPr>
              <w:t>1.</w:t>
            </w:r>
          </w:p>
        </w:tc>
        <w:tc>
          <w:tcPr>
            <w:tcW w:w="1267" w:type="pct"/>
          </w:tcPr>
          <w:p w:rsidR="001239EF" w:rsidRPr="00C676EE" w:rsidRDefault="001239EF" w:rsidP="0039357C">
            <w:pPr>
              <w:pStyle w:val="naiskr"/>
              <w:spacing w:before="0" w:beforeAutospacing="0" w:after="0" w:afterAutospacing="0"/>
              <w:ind w:right="57"/>
              <w:jc w:val="both"/>
              <w:rPr>
                <w:sz w:val="26"/>
                <w:szCs w:val="26"/>
              </w:rPr>
            </w:pPr>
            <w:r w:rsidRPr="00C676EE">
              <w:rPr>
                <w:sz w:val="26"/>
                <w:szCs w:val="26"/>
              </w:rPr>
              <w:t>Pamatojums</w:t>
            </w:r>
          </w:p>
          <w:p w:rsidR="001239EF" w:rsidRPr="00C676EE" w:rsidRDefault="001239EF" w:rsidP="0039357C">
            <w:pPr>
              <w:jc w:val="center"/>
              <w:rPr>
                <w:rFonts w:ascii="Times New Roman" w:hAnsi="Times New Roman" w:cs="Times New Roman"/>
                <w:sz w:val="26"/>
                <w:szCs w:val="26"/>
                <w:lang w:eastAsia="lv-LV"/>
              </w:rPr>
            </w:pPr>
          </w:p>
        </w:tc>
        <w:tc>
          <w:tcPr>
            <w:tcW w:w="3506" w:type="pct"/>
          </w:tcPr>
          <w:p w:rsidR="001239EF" w:rsidRPr="00C676EE" w:rsidRDefault="001239EF" w:rsidP="0039357C">
            <w:pPr>
              <w:spacing w:after="0" w:line="240" w:lineRule="auto"/>
              <w:ind w:right="130" w:firstLine="284"/>
              <w:contextualSpacing/>
              <w:jc w:val="both"/>
              <w:rPr>
                <w:rFonts w:ascii="Times New Roman" w:hAnsi="Times New Roman" w:cs="Times New Roman"/>
                <w:sz w:val="26"/>
                <w:szCs w:val="26"/>
                <w:lang w:eastAsia="lv-LV"/>
              </w:rPr>
            </w:pPr>
            <w:r w:rsidRPr="00C676EE">
              <w:rPr>
                <w:rFonts w:ascii="Times New Roman" w:hAnsi="Times New Roman" w:cs="Times New Roman"/>
                <w:sz w:val="26"/>
                <w:szCs w:val="26"/>
              </w:rPr>
              <w:t xml:space="preserve">Likumprojekts ir izstrādāts ņemot vērā Ministru kabineta </w:t>
            </w:r>
            <w:r w:rsidRPr="00C676EE">
              <w:rPr>
                <w:rFonts w:ascii="Times New Roman" w:hAnsi="Times New Roman" w:cs="Times New Roman"/>
                <w:color w:val="000000"/>
                <w:sz w:val="26"/>
                <w:szCs w:val="26"/>
                <w:shd w:val="clear" w:color="auto" w:fill="FFFFFF"/>
              </w:rPr>
              <w:t xml:space="preserve"> 2015.gada 17.marta </w:t>
            </w:r>
            <w:proofErr w:type="spellStart"/>
            <w:r w:rsidRPr="00C676EE">
              <w:rPr>
                <w:rFonts w:ascii="Times New Roman" w:hAnsi="Times New Roman" w:cs="Times New Roman"/>
                <w:color w:val="000000"/>
                <w:sz w:val="26"/>
                <w:szCs w:val="26"/>
                <w:shd w:val="clear" w:color="auto" w:fill="FFFFFF"/>
              </w:rPr>
              <w:t>protokollēmuma</w:t>
            </w:r>
            <w:proofErr w:type="spellEnd"/>
            <w:r w:rsidRPr="00C676EE">
              <w:rPr>
                <w:rFonts w:ascii="Times New Roman" w:hAnsi="Times New Roman" w:cs="Times New Roman"/>
                <w:color w:val="000000"/>
                <w:sz w:val="26"/>
                <w:szCs w:val="26"/>
                <w:shd w:val="clear" w:color="auto" w:fill="FFFFFF"/>
              </w:rPr>
              <w:t xml:space="preserve"> Nr.15, 8.</w:t>
            </w:r>
            <w:r w:rsidRPr="00C676EE">
              <w:rPr>
                <w:rFonts w:ascii="Times New Roman" w:hAnsi="Times New Roman" w:cs="Times New Roman"/>
                <w:bCs/>
                <w:color w:val="000000"/>
                <w:sz w:val="26"/>
                <w:szCs w:val="26"/>
                <w:shd w:val="clear" w:color="auto" w:fill="FFFFFF"/>
                <w:lang w:val="en-GB"/>
              </w:rPr>
              <w:t>§</w:t>
            </w:r>
            <w:r w:rsidRPr="00C676EE">
              <w:rPr>
                <w:rFonts w:ascii="Times New Roman" w:hAnsi="Times New Roman" w:cs="Times New Roman"/>
                <w:color w:val="000000"/>
                <w:sz w:val="26"/>
                <w:szCs w:val="26"/>
                <w:shd w:val="clear" w:color="auto" w:fill="FFFFFF"/>
              </w:rPr>
              <w:t xml:space="preserve"> (TA-427) 4.punktā doto uzdevumu  - līdz 2015.gada 31.oktobrim noteiktā kārtībā iesniegt izskatīšanai Ministru kabinetā grozījumus likumā “Par uzņēmumu ienākuma nodokli” (turpmāk – likums), lai saskaņotu spēkā esošos normatīvos aktus ar Gada pārskatu un konsolidēto gada pārskatu likuma normām.</w:t>
            </w:r>
          </w:p>
        </w:tc>
      </w:tr>
      <w:tr w:rsidR="001239EF" w:rsidRPr="00C676EE" w:rsidTr="0039357C">
        <w:trPr>
          <w:trHeight w:val="472"/>
        </w:trPr>
        <w:tc>
          <w:tcPr>
            <w:tcW w:w="227" w:type="pct"/>
          </w:tcPr>
          <w:p w:rsidR="001239EF" w:rsidRPr="00C676EE" w:rsidRDefault="001239EF" w:rsidP="0039357C">
            <w:pPr>
              <w:pStyle w:val="naiskr"/>
              <w:spacing w:before="0" w:beforeAutospacing="0" w:after="0" w:afterAutospacing="0"/>
              <w:ind w:right="57"/>
              <w:jc w:val="center"/>
              <w:rPr>
                <w:sz w:val="26"/>
                <w:szCs w:val="26"/>
              </w:rPr>
            </w:pPr>
            <w:r w:rsidRPr="00C676EE">
              <w:rPr>
                <w:sz w:val="26"/>
                <w:szCs w:val="26"/>
              </w:rPr>
              <w:t>2.</w:t>
            </w:r>
          </w:p>
        </w:tc>
        <w:tc>
          <w:tcPr>
            <w:tcW w:w="1267" w:type="pct"/>
          </w:tcPr>
          <w:p w:rsidR="001239EF" w:rsidRPr="00C676EE" w:rsidRDefault="001239EF" w:rsidP="0039357C">
            <w:pPr>
              <w:pStyle w:val="naiskr"/>
              <w:tabs>
                <w:tab w:val="left" w:pos="170"/>
              </w:tabs>
              <w:spacing w:before="0" w:beforeAutospacing="0" w:after="0" w:afterAutospacing="0"/>
              <w:ind w:right="57"/>
              <w:rPr>
                <w:sz w:val="26"/>
                <w:szCs w:val="26"/>
              </w:rPr>
            </w:pPr>
            <w:r w:rsidRPr="00C676EE">
              <w:rPr>
                <w:sz w:val="26"/>
                <w:szCs w:val="26"/>
              </w:rPr>
              <w:t>Pašreizējā situācija un problēmas, kuru risināšanai tiesību akta projekts izstrādāts, tiesiskā regulējuma mērķis un būtība</w:t>
            </w:r>
          </w:p>
          <w:p w:rsidR="001239EF" w:rsidRPr="00C676EE" w:rsidRDefault="001239EF" w:rsidP="0039357C">
            <w:pPr>
              <w:ind w:firstLine="720"/>
              <w:rPr>
                <w:rFonts w:ascii="Times New Roman" w:hAnsi="Times New Roman" w:cs="Times New Roman"/>
                <w:sz w:val="26"/>
                <w:szCs w:val="26"/>
                <w:lang w:eastAsia="lv-LV"/>
              </w:rPr>
            </w:pPr>
          </w:p>
        </w:tc>
        <w:tc>
          <w:tcPr>
            <w:tcW w:w="3506" w:type="pct"/>
          </w:tcPr>
          <w:p w:rsidR="001239EF" w:rsidRPr="00995620" w:rsidRDefault="001239EF" w:rsidP="0039357C">
            <w:pPr>
              <w:pStyle w:val="NormalWeb"/>
              <w:spacing w:before="0" w:beforeAutospacing="0" w:after="0" w:afterAutospacing="0"/>
              <w:ind w:firstLine="281"/>
              <w:contextualSpacing/>
              <w:jc w:val="both"/>
              <w:rPr>
                <w:b/>
                <w:i/>
              </w:rPr>
            </w:pPr>
            <w:r w:rsidRPr="00C676EE">
              <w:rPr>
                <w:b/>
                <w:i/>
                <w:sz w:val="26"/>
                <w:szCs w:val="26"/>
              </w:rPr>
              <w:t>Grozījumi</w:t>
            </w:r>
            <w:r w:rsidRPr="00C676EE">
              <w:rPr>
                <w:b/>
                <w:i/>
                <w:color w:val="000000"/>
                <w:sz w:val="26"/>
                <w:szCs w:val="26"/>
                <w:shd w:val="clear" w:color="auto" w:fill="FFFFFF"/>
              </w:rPr>
              <w:t xml:space="preserve"> ņemot vērā Gada pārskatu un konsolidēto gada pārskatu likuma </w:t>
            </w:r>
            <w:r w:rsidRPr="00C676EE">
              <w:rPr>
                <w:b/>
                <w:i/>
                <w:sz w:val="26"/>
                <w:szCs w:val="26"/>
              </w:rPr>
              <w:t xml:space="preserve"> redakciju </w:t>
            </w:r>
            <w:r w:rsidRPr="00995620">
              <w:rPr>
                <w:i/>
              </w:rPr>
              <w:t xml:space="preserve">(grozījumi likuma 1.panta 1.daļā, 2.panta 2.daļas 2.punktā, </w:t>
            </w:r>
            <w:r w:rsidR="00594B7C">
              <w:rPr>
                <w:i/>
              </w:rPr>
              <w:t xml:space="preserve">3.panta 7.daļā, </w:t>
            </w:r>
            <w:r w:rsidRPr="00995620">
              <w:rPr>
                <w:i/>
              </w:rPr>
              <w:t>4.panta 1., 1.</w:t>
            </w:r>
            <w:r w:rsidRPr="00995620">
              <w:rPr>
                <w:i/>
                <w:vertAlign w:val="superscript"/>
              </w:rPr>
              <w:t>1</w:t>
            </w:r>
            <w:r w:rsidRPr="00995620">
              <w:rPr>
                <w:i/>
              </w:rPr>
              <w:t xml:space="preserve"> un 5. daļā, 6.panta 1.daļas 1. un 4.punktā un 5. daļā, 13.panta 2.</w:t>
            </w:r>
            <w:r w:rsidRPr="00995620">
              <w:rPr>
                <w:i/>
                <w:vertAlign w:val="superscript"/>
              </w:rPr>
              <w:t>1</w:t>
            </w:r>
            <w:r w:rsidRPr="00995620">
              <w:rPr>
                <w:i/>
              </w:rPr>
              <w:t>daļa, 23.panta 1.daļas 1.punktā, 26.panta 1.daļā)</w:t>
            </w:r>
          </w:p>
          <w:p w:rsidR="001239EF" w:rsidRPr="00C676EE" w:rsidRDefault="001239EF" w:rsidP="0039357C">
            <w:pPr>
              <w:pStyle w:val="NormalWeb"/>
              <w:spacing w:before="0" w:beforeAutospacing="0" w:after="0" w:afterAutospacing="0"/>
              <w:ind w:firstLine="281"/>
              <w:contextualSpacing/>
              <w:jc w:val="both"/>
              <w:rPr>
                <w:sz w:val="26"/>
                <w:szCs w:val="26"/>
              </w:rPr>
            </w:pPr>
          </w:p>
          <w:p w:rsidR="001239EF" w:rsidRPr="00C676EE" w:rsidRDefault="001239EF" w:rsidP="0039357C">
            <w:pPr>
              <w:pStyle w:val="NormalWeb"/>
              <w:spacing w:before="0" w:beforeAutospacing="0" w:after="0" w:afterAutospacing="0"/>
              <w:ind w:firstLine="281"/>
              <w:contextualSpacing/>
              <w:jc w:val="both"/>
              <w:rPr>
                <w:color w:val="000000"/>
                <w:sz w:val="26"/>
                <w:szCs w:val="26"/>
                <w:shd w:val="clear" w:color="auto" w:fill="FFFFFF"/>
              </w:rPr>
            </w:pPr>
            <w:r w:rsidRPr="00C676EE">
              <w:rPr>
                <w:sz w:val="26"/>
                <w:szCs w:val="26"/>
              </w:rPr>
              <w:t xml:space="preserve">Ņemot vērā </w:t>
            </w:r>
            <w:r w:rsidRPr="00C676EE">
              <w:rPr>
                <w:color w:val="000000"/>
                <w:sz w:val="26"/>
                <w:szCs w:val="26"/>
                <w:shd w:val="clear" w:color="auto" w:fill="FFFFFF"/>
              </w:rPr>
              <w:t>Gada pārskatu un konsolidēto gada pārskatu likumu, ar kuru spēku zaudē Gada pārskatu likums, attiecīgi likumā tiek mainīta atsauce uz Gada pārskatu un konsolidēto gada pārskatu likumu.</w:t>
            </w:r>
          </w:p>
          <w:p w:rsidR="001239EF" w:rsidRPr="00C676EE" w:rsidRDefault="001239EF" w:rsidP="0039357C">
            <w:pPr>
              <w:pStyle w:val="NormalWeb"/>
              <w:spacing w:before="0" w:beforeAutospacing="0" w:after="0" w:afterAutospacing="0"/>
              <w:ind w:firstLine="281"/>
              <w:contextualSpacing/>
              <w:jc w:val="both"/>
              <w:rPr>
                <w:sz w:val="26"/>
                <w:szCs w:val="26"/>
              </w:rPr>
            </w:pPr>
          </w:p>
          <w:p w:rsidR="001239EF" w:rsidRPr="00C676EE" w:rsidRDefault="001239EF" w:rsidP="0039357C">
            <w:pPr>
              <w:pStyle w:val="NormalWeb"/>
              <w:spacing w:before="0" w:beforeAutospacing="0" w:after="0" w:afterAutospacing="0"/>
              <w:ind w:firstLine="281"/>
              <w:contextualSpacing/>
              <w:jc w:val="both"/>
              <w:rPr>
                <w:sz w:val="26"/>
                <w:szCs w:val="26"/>
              </w:rPr>
            </w:pPr>
            <w:r w:rsidRPr="00C676EE">
              <w:rPr>
                <w:sz w:val="26"/>
                <w:szCs w:val="26"/>
              </w:rPr>
              <w:t xml:space="preserve">Atkarībā no nodokļa maksātāja darbības virziena nodokļa maksātājam saskaņā   Latvijas normatīvajiem aktiem, kas nosaka gada pārskata sagatavošanu (t.i., Gada pārskatu un konsolidēto gada pārskatu likumu, Kredītiestāžu likumu vai </w:t>
            </w:r>
            <w:proofErr w:type="spellStart"/>
            <w:r w:rsidRPr="00C676EE">
              <w:rPr>
                <w:sz w:val="26"/>
                <w:szCs w:val="26"/>
              </w:rPr>
              <w:t>Krājaizdevu</w:t>
            </w:r>
            <w:proofErr w:type="spellEnd"/>
            <w:r w:rsidRPr="00C676EE">
              <w:rPr>
                <w:sz w:val="26"/>
                <w:szCs w:val="26"/>
              </w:rPr>
              <w:t xml:space="preserve"> sabiedrību likumu, vai  Apdrošināšanas un pārapdrošināšanas likumu (spēkā no 2016.gada 1.j</w:t>
            </w:r>
            <w:r w:rsidR="00594B7C">
              <w:rPr>
                <w:sz w:val="26"/>
                <w:szCs w:val="26"/>
              </w:rPr>
              <w:t>a</w:t>
            </w:r>
            <w:r w:rsidRPr="00C676EE">
              <w:rPr>
                <w:sz w:val="26"/>
                <w:szCs w:val="26"/>
              </w:rPr>
              <w:t>nvāra) vai Ieguldījumu pārvaldes sabiedrību likumu, vai Finanšu instrumentu tirgus likumu) Valsts ieņēmumu dienestā  ir jāiesniedz gada pārskats. Lai nebūtu jāveic grozījumi likumā gadījumos, kad tiek aizstāti attiecīgie likumi, likuma tekstā atsauces uz iepriekš uzskaitītajiem likumiem tiek aizstātas ar atsauci uz terminu - Latvijas normatīvie akti, kas nosaka gada pārskata sagatavošanu attiecīgajam subjektam, izņemot gadījumus, kad atsauce ir uz noteikta likuma normām.</w:t>
            </w:r>
          </w:p>
          <w:p w:rsidR="001239EF" w:rsidRPr="00C676EE" w:rsidRDefault="001239EF" w:rsidP="0039357C">
            <w:pPr>
              <w:pStyle w:val="NormalWeb"/>
              <w:spacing w:before="0" w:beforeAutospacing="0" w:after="0" w:afterAutospacing="0"/>
              <w:ind w:firstLine="281"/>
              <w:contextualSpacing/>
              <w:jc w:val="both"/>
              <w:rPr>
                <w:sz w:val="26"/>
                <w:szCs w:val="26"/>
              </w:rPr>
            </w:pPr>
          </w:p>
          <w:p w:rsidR="001239EF" w:rsidRPr="00C676EE" w:rsidRDefault="001239EF" w:rsidP="0039357C">
            <w:pPr>
              <w:pStyle w:val="NormalWeb"/>
              <w:spacing w:before="0" w:beforeAutospacing="0" w:after="0" w:afterAutospacing="0"/>
              <w:ind w:firstLine="281"/>
              <w:contextualSpacing/>
              <w:jc w:val="both"/>
              <w:rPr>
                <w:sz w:val="26"/>
                <w:szCs w:val="26"/>
              </w:rPr>
            </w:pPr>
            <w:r w:rsidRPr="00C676EE">
              <w:rPr>
                <w:sz w:val="26"/>
                <w:szCs w:val="26"/>
              </w:rPr>
              <w:t xml:space="preserve">Gada pārskatu un konsolidēto gada pārskatu likuma 3.panta piektā un septītā daļa paredz pienākumu gada pārskatu attiecīgajos gadījumos (piemēram, ja kapitālsabiedrības pārvedami vērtspapīri ir iekļauti oficiālajā sarakstā Latvijas Republikā)  sagatavot atbilstoši starptautiskajiem grāmatvedības standartiem, kas pieņemti saskaņā ar Eiropas Parlamenta un Padomes 2002.gada 19.jūlija regulu (EK) Nr. 1606/2002 par </w:t>
            </w:r>
            <w:r w:rsidRPr="00C676EE">
              <w:rPr>
                <w:sz w:val="26"/>
                <w:szCs w:val="26"/>
              </w:rPr>
              <w:lastRenderedPageBreak/>
              <w:t>starptautisko grāmatvedības standartu piemērošanu</w:t>
            </w:r>
            <w:r w:rsidR="007E0295">
              <w:rPr>
                <w:sz w:val="26"/>
                <w:szCs w:val="26"/>
              </w:rPr>
              <w:t>.</w:t>
            </w:r>
            <w:r w:rsidRPr="00C676EE">
              <w:rPr>
                <w:sz w:val="26"/>
                <w:szCs w:val="26"/>
              </w:rPr>
              <w:t xml:space="preserve"> Ņemot vērā minēto, likuma 4.panta pirmajā daļā ir iekļauta atsauce uz minētajiem starptautiskajiem grāmatvedības standartiem. </w:t>
            </w:r>
          </w:p>
          <w:p w:rsidR="001239EF" w:rsidRPr="00C676EE" w:rsidRDefault="001239EF" w:rsidP="0039357C">
            <w:pPr>
              <w:pStyle w:val="NormalWeb"/>
              <w:spacing w:before="0" w:beforeAutospacing="0" w:after="0" w:afterAutospacing="0"/>
              <w:ind w:firstLine="281"/>
              <w:contextualSpacing/>
              <w:jc w:val="both"/>
              <w:rPr>
                <w:sz w:val="26"/>
                <w:szCs w:val="26"/>
              </w:rPr>
            </w:pPr>
            <w:r w:rsidRPr="00C676EE">
              <w:rPr>
                <w:sz w:val="26"/>
                <w:szCs w:val="26"/>
              </w:rPr>
              <w:t xml:space="preserve">16.Starptautiskais grāmatvedības standarts “Pamatlīdzekļi”  paredz iespēju pamatlīdzekļa uzskaites vērtībā iekļaut  aplēstās nojaukšanas un likvidācijas, kā arī tā atrašanās vietas atjaunošanas izmaksas. Savukārt Latvijas normatīvie akti grāmatvedības jomā šādu iespēju nepieļauj. Lai novērstu situāciju, kad atkarībā no piemērotā  grāmatvedības uzskaites </w:t>
            </w:r>
            <w:r w:rsidR="00960E69">
              <w:rPr>
                <w:sz w:val="26"/>
                <w:szCs w:val="26"/>
              </w:rPr>
              <w:t xml:space="preserve">veida </w:t>
            </w:r>
            <w:r w:rsidRPr="00C676EE">
              <w:rPr>
                <w:sz w:val="26"/>
                <w:szCs w:val="26"/>
              </w:rPr>
              <w:t xml:space="preserve">ir iespējams atšķirīgs nodokļa apmērs, likuma </w:t>
            </w:r>
            <w:r w:rsidRPr="00C676EE">
              <w:rPr>
                <w:i/>
                <w:sz w:val="26"/>
                <w:szCs w:val="26"/>
                <w:u w:val="single"/>
              </w:rPr>
              <w:t>13.panta 2.</w:t>
            </w:r>
            <w:r w:rsidRPr="00960E69">
              <w:rPr>
                <w:i/>
                <w:sz w:val="26"/>
                <w:szCs w:val="26"/>
                <w:u w:val="single"/>
                <w:vertAlign w:val="superscript"/>
              </w:rPr>
              <w:t>1</w:t>
            </w:r>
            <w:r w:rsidRPr="00C676EE">
              <w:rPr>
                <w:i/>
                <w:sz w:val="26"/>
                <w:szCs w:val="26"/>
                <w:u w:val="single"/>
              </w:rPr>
              <w:t>daļā</w:t>
            </w:r>
            <w:r w:rsidRPr="00C676EE">
              <w:rPr>
                <w:sz w:val="26"/>
                <w:szCs w:val="26"/>
              </w:rPr>
              <w:t xml:space="preserve"> tiek atrunāts, ka minētās izmaksas pamatlīdzekļa uzskaites vērtībā nodokļa aprēķināšanai neņem vērā. Līdz ar to, nodokļa maksātāji, kuri grāmatvedības uzskaitē  pamatlīdzekļu vērtībā būs iekļāvuši </w:t>
            </w:r>
            <w:r w:rsidR="00E6436F">
              <w:rPr>
                <w:sz w:val="26"/>
                <w:szCs w:val="26"/>
              </w:rPr>
              <w:t xml:space="preserve">pamatlīdzekļa </w:t>
            </w:r>
            <w:r w:rsidRPr="00C676EE">
              <w:rPr>
                <w:sz w:val="26"/>
                <w:szCs w:val="26"/>
              </w:rPr>
              <w:t xml:space="preserve">aplēstās nojaukšanas un likvidācijas, kā arī tā atrašanās vietas atjaunošanas izmaksas, uzņēmumu ienākuma nodokļa aprēķinam pamatlīdzekļu vērtībā šīs izmaksas neietvers, bet veiks </w:t>
            </w:r>
            <w:r w:rsidR="00E6436F">
              <w:rPr>
                <w:sz w:val="26"/>
                <w:szCs w:val="26"/>
              </w:rPr>
              <w:t xml:space="preserve">ar </w:t>
            </w:r>
            <w:r w:rsidRPr="00C676EE">
              <w:rPr>
                <w:sz w:val="26"/>
                <w:szCs w:val="26"/>
              </w:rPr>
              <w:t>uzņēmumu ienākuma nodok</w:t>
            </w:r>
            <w:r w:rsidR="00E6436F">
              <w:rPr>
                <w:sz w:val="26"/>
                <w:szCs w:val="26"/>
              </w:rPr>
              <w:t>li apliekamā ienākuma</w:t>
            </w:r>
            <w:r w:rsidRPr="00C676EE">
              <w:rPr>
                <w:sz w:val="26"/>
                <w:szCs w:val="26"/>
              </w:rPr>
              <w:t xml:space="preserve"> korekciju taksācijas periodā, kurā faktiski šādas izmaksas veidosies.</w:t>
            </w:r>
          </w:p>
          <w:p w:rsidR="001239EF" w:rsidRPr="00C676EE" w:rsidRDefault="001239EF" w:rsidP="0039357C">
            <w:pPr>
              <w:pStyle w:val="NormalWeb"/>
              <w:spacing w:before="0" w:beforeAutospacing="0" w:after="0" w:afterAutospacing="0"/>
              <w:ind w:firstLine="281"/>
              <w:contextualSpacing/>
              <w:jc w:val="both"/>
              <w:rPr>
                <w:sz w:val="26"/>
                <w:szCs w:val="26"/>
              </w:rPr>
            </w:pPr>
          </w:p>
          <w:p w:rsidR="001239EF" w:rsidRPr="00C676EE" w:rsidRDefault="001239EF" w:rsidP="0039357C">
            <w:pPr>
              <w:pStyle w:val="NormalWeb"/>
              <w:spacing w:before="0" w:beforeAutospacing="0" w:after="0" w:afterAutospacing="0"/>
              <w:ind w:firstLine="281"/>
              <w:contextualSpacing/>
              <w:jc w:val="both"/>
              <w:rPr>
                <w:sz w:val="26"/>
                <w:szCs w:val="26"/>
              </w:rPr>
            </w:pPr>
            <w:r w:rsidRPr="00C676EE">
              <w:rPr>
                <w:sz w:val="26"/>
                <w:szCs w:val="26"/>
              </w:rPr>
              <w:t>Ņe</w:t>
            </w:r>
            <w:r w:rsidRPr="00C676EE">
              <w:rPr>
                <w:color w:val="000000"/>
                <w:sz w:val="26"/>
                <w:szCs w:val="26"/>
                <w:shd w:val="clear" w:color="auto" w:fill="FFFFFF"/>
              </w:rPr>
              <w:t>mot vērā   Gada pārskatu un konsolidēto gada pārskatu likuma jauno struktūru, lai novērstu dažādu interpretāciju uzņēmumu ienākuma nodokļa piemērošanai attiecībā uz līdzekļiem, kuriem tiek mainīta vērtība (t.i., tiek mainīta iegādāto vai esošo līdzekļu vērtība, kura var ietekmēt peļņu vai zaudējumus un par kuru nav pamata samazināt ar uzņēmumu ienākuma nodokli apliekamo ienākumu),  likumā tiek iekļauta norma (</w:t>
            </w:r>
            <w:r w:rsidRPr="00C676EE">
              <w:rPr>
                <w:i/>
                <w:color w:val="000000"/>
                <w:sz w:val="26"/>
                <w:szCs w:val="26"/>
                <w:u w:val="single"/>
                <w:shd w:val="clear" w:color="auto" w:fill="FFFFFF"/>
              </w:rPr>
              <w:t>grozījumi likuma 6.panta piektajā daļā</w:t>
            </w:r>
            <w:r w:rsidRPr="00C676EE">
              <w:rPr>
                <w:color w:val="000000"/>
                <w:sz w:val="26"/>
                <w:szCs w:val="26"/>
                <w:shd w:val="clear" w:color="auto" w:fill="FFFFFF"/>
              </w:rPr>
              <w:t>), kas atrunā, ka likuma izpratnē ar vārdu “pārvērtēšana” saprot arī “</w:t>
            </w:r>
            <w:r w:rsidRPr="00C676EE">
              <w:rPr>
                <w:sz w:val="26"/>
                <w:szCs w:val="26"/>
              </w:rPr>
              <w:t>novērtēšanu patiesajā vērtībā”.</w:t>
            </w:r>
          </w:p>
          <w:p w:rsidR="001239EF" w:rsidRPr="00C676EE" w:rsidRDefault="001239EF" w:rsidP="0039357C">
            <w:pPr>
              <w:pStyle w:val="NormalWeb"/>
              <w:spacing w:before="0" w:beforeAutospacing="0" w:after="0" w:afterAutospacing="0"/>
              <w:ind w:firstLine="281"/>
              <w:contextualSpacing/>
              <w:jc w:val="both"/>
              <w:rPr>
                <w:sz w:val="26"/>
                <w:szCs w:val="26"/>
              </w:rPr>
            </w:pPr>
          </w:p>
          <w:p w:rsidR="001239EF" w:rsidRPr="00C676EE" w:rsidRDefault="001239EF" w:rsidP="0039357C">
            <w:pPr>
              <w:pStyle w:val="NormalWeb"/>
              <w:spacing w:before="0" w:beforeAutospacing="0" w:after="0" w:afterAutospacing="0"/>
              <w:ind w:firstLine="281"/>
              <w:contextualSpacing/>
              <w:jc w:val="both"/>
              <w:rPr>
                <w:sz w:val="26"/>
                <w:szCs w:val="26"/>
              </w:rPr>
            </w:pPr>
            <w:r w:rsidRPr="00C676EE">
              <w:rPr>
                <w:sz w:val="26"/>
                <w:szCs w:val="26"/>
              </w:rPr>
              <w:t xml:space="preserve">Papildus minētajam, nemainot panta būtību, redakcionāli tiek precizēts </w:t>
            </w:r>
            <w:r w:rsidRPr="00C676EE">
              <w:rPr>
                <w:i/>
                <w:sz w:val="26"/>
                <w:szCs w:val="26"/>
                <w:u w:val="single"/>
              </w:rPr>
              <w:t>likuma 6.panta pirmās daļas 4.punkts</w:t>
            </w:r>
            <w:r w:rsidRPr="00C676EE">
              <w:rPr>
                <w:sz w:val="26"/>
                <w:szCs w:val="26"/>
              </w:rPr>
              <w:t xml:space="preserve">, kas nosaka par kuriem maksājumiem nerezidentam jāpalielina ar uzņēmumu ienākuma nodokli apliekamais ienākums, ja no šiem maksājumiem </w:t>
            </w:r>
            <w:r w:rsidR="00E6436F">
              <w:rPr>
                <w:sz w:val="26"/>
                <w:szCs w:val="26"/>
              </w:rPr>
              <w:t xml:space="preserve">izmaksas brīdī </w:t>
            </w:r>
            <w:r w:rsidRPr="00C676EE">
              <w:rPr>
                <w:sz w:val="26"/>
                <w:szCs w:val="26"/>
              </w:rPr>
              <w:t xml:space="preserve">nav ieturēts nodoklis. Savukārt no pārējiem attiecīgajiem maksājumiem nerezidentam, no kuriem nodoklis jāietur, bet tas nav ieturēts jāaprēķina nokavējuma nauda atbilstoši likumam "Par nodokļiem un nodevām". </w:t>
            </w:r>
          </w:p>
          <w:p w:rsidR="001239EF" w:rsidRPr="00C676EE" w:rsidRDefault="001239EF" w:rsidP="0039357C">
            <w:pPr>
              <w:pStyle w:val="NormalWeb"/>
              <w:spacing w:before="0" w:beforeAutospacing="0" w:after="0" w:afterAutospacing="0"/>
              <w:ind w:firstLine="281"/>
              <w:contextualSpacing/>
              <w:jc w:val="both"/>
              <w:rPr>
                <w:sz w:val="26"/>
                <w:szCs w:val="26"/>
              </w:rPr>
            </w:pPr>
          </w:p>
          <w:p w:rsidR="001239EF" w:rsidRPr="007E0295" w:rsidRDefault="001239EF" w:rsidP="0039357C">
            <w:pPr>
              <w:pStyle w:val="NormalWeb"/>
              <w:spacing w:before="0" w:beforeAutospacing="0" w:after="0" w:afterAutospacing="0"/>
              <w:ind w:firstLine="281"/>
              <w:contextualSpacing/>
              <w:jc w:val="both"/>
              <w:rPr>
                <w:b/>
              </w:rPr>
            </w:pPr>
            <w:r w:rsidRPr="00C676EE">
              <w:rPr>
                <w:b/>
                <w:sz w:val="26"/>
                <w:szCs w:val="26"/>
              </w:rPr>
              <w:t xml:space="preserve">Atsauce uz Apdrošināšanas un pārapdrošināšanas likumu </w:t>
            </w:r>
            <w:r w:rsidRPr="007E0295">
              <w:t>(grozījumi likuma 1.panta 1.daļā</w:t>
            </w:r>
            <w:r w:rsidR="00343398">
              <w:t>,</w:t>
            </w:r>
            <w:r w:rsidRPr="007E0295">
              <w:t xml:space="preserve"> 6.panta 6.daļā</w:t>
            </w:r>
            <w:r w:rsidR="00343398">
              <w:t xml:space="preserve"> un 8.panta 1.daļā</w:t>
            </w:r>
            <w:r w:rsidRPr="007E0295">
              <w:t>)</w:t>
            </w:r>
          </w:p>
          <w:p w:rsidR="00194D05" w:rsidRDefault="00194D05" w:rsidP="0039357C">
            <w:pPr>
              <w:pStyle w:val="NormalWeb"/>
              <w:spacing w:before="0" w:beforeAutospacing="0" w:after="0" w:afterAutospacing="0"/>
              <w:ind w:firstLine="281"/>
              <w:contextualSpacing/>
              <w:jc w:val="both"/>
              <w:rPr>
                <w:sz w:val="26"/>
                <w:szCs w:val="26"/>
              </w:rPr>
            </w:pPr>
          </w:p>
          <w:p w:rsidR="001239EF" w:rsidRPr="00C676EE" w:rsidRDefault="001239EF" w:rsidP="0039357C">
            <w:pPr>
              <w:pStyle w:val="NormalWeb"/>
              <w:spacing w:before="0" w:beforeAutospacing="0" w:after="0" w:afterAutospacing="0"/>
              <w:ind w:firstLine="281"/>
              <w:contextualSpacing/>
              <w:jc w:val="both"/>
              <w:rPr>
                <w:sz w:val="26"/>
                <w:szCs w:val="26"/>
              </w:rPr>
            </w:pPr>
            <w:r w:rsidRPr="00C676EE">
              <w:rPr>
                <w:sz w:val="26"/>
                <w:szCs w:val="26"/>
              </w:rPr>
              <w:t>Ņemot vērā, ka saskaņā ar Apdrošināšanas un pārapdrošināšanas likuma Pārejas noteikumu 1.punktu</w:t>
            </w:r>
            <w:r w:rsidR="00194D05">
              <w:rPr>
                <w:sz w:val="26"/>
                <w:szCs w:val="26"/>
              </w:rPr>
              <w:t>,</w:t>
            </w:r>
            <w:r w:rsidRPr="00C676EE">
              <w:rPr>
                <w:sz w:val="26"/>
                <w:szCs w:val="26"/>
              </w:rPr>
              <w:t xml:space="preserve"> sākot ar 2016.gada 1.janvāri</w:t>
            </w:r>
            <w:r w:rsidR="00194D05">
              <w:rPr>
                <w:sz w:val="26"/>
                <w:szCs w:val="26"/>
              </w:rPr>
              <w:t>,</w:t>
            </w:r>
            <w:r w:rsidRPr="00C676EE">
              <w:rPr>
                <w:sz w:val="26"/>
                <w:szCs w:val="26"/>
              </w:rPr>
              <w:t xml:space="preserve"> spēku zaudē Apdrošināšanas sabiedrību un </w:t>
            </w:r>
            <w:r w:rsidRPr="00C676EE">
              <w:rPr>
                <w:sz w:val="26"/>
                <w:szCs w:val="26"/>
              </w:rPr>
              <w:lastRenderedPageBreak/>
              <w:t>to uzraudzības likums un Pārapdrošināšanas likums, likumā tiek mainītas atsauces uz  Apdrošināšanas un pārapdrošināšanas likumu.</w:t>
            </w:r>
          </w:p>
          <w:p w:rsidR="001239EF" w:rsidRPr="00C676EE" w:rsidRDefault="001239EF" w:rsidP="0039357C">
            <w:pPr>
              <w:pStyle w:val="NormalWeb"/>
              <w:spacing w:before="0" w:beforeAutospacing="0" w:after="0" w:afterAutospacing="0"/>
              <w:ind w:firstLine="281"/>
              <w:contextualSpacing/>
              <w:jc w:val="both"/>
              <w:rPr>
                <w:i/>
                <w:sz w:val="26"/>
                <w:szCs w:val="26"/>
                <w:u w:val="single"/>
              </w:rPr>
            </w:pPr>
          </w:p>
          <w:p w:rsidR="001239EF" w:rsidRPr="00194D05" w:rsidRDefault="001239EF" w:rsidP="0039357C">
            <w:pPr>
              <w:pStyle w:val="NormalWeb"/>
              <w:spacing w:before="0" w:beforeAutospacing="0" w:after="0" w:afterAutospacing="0"/>
              <w:ind w:firstLine="281"/>
              <w:contextualSpacing/>
              <w:jc w:val="both"/>
              <w:rPr>
                <w:i/>
                <w:u w:val="single"/>
              </w:rPr>
            </w:pPr>
            <w:r w:rsidRPr="00C676EE">
              <w:rPr>
                <w:b/>
                <w:i/>
                <w:sz w:val="26"/>
                <w:szCs w:val="26"/>
              </w:rPr>
              <w:t>Informācijas apmaiņa</w:t>
            </w:r>
            <w:r w:rsidRPr="00C676EE">
              <w:rPr>
                <w:i/>
                <w:sz w:val="26"/>
                <w:szCs w:val="26"/>
              </w:rPr>
              <w:t xml:space="preserve"> </w:t>
            </w:r>
            <w:r w:rsidRPr="00194D05">
              <w:rPr>
                <w:i/>
              </w:rPr>
              <w:t>(grozījumi likuma 24.panta 1.daļā un 27.panta 1. daļas 3.punktā)</w:t>
            </w:r>
          </w:p>
          <w:p w:rsidR="00194D05" w:rsidRDefault="00194D05" w:rsidP="0039357C">
            <w:pPr>
              <w:pStyle w:val="NormalWeb"/>
              <w:spacing w:before="0" w:beforeAutospacing="0" w:after="0" w:afterAutospacing="0"/>
              <w:ind w:firstLine="284"/>
              <w:contextualSpacing/>
              <w:jc w:val="both"/>
              <w:rPr>
                <w:bCs/>
                <w:color w:val="000000"/>
                <w:sz w:val="26"/>
                <w:szCs w:val="26"/>
              </w:rPr>
            </w:pPr>
          </w:p>
          <w:p w:rsidR="001239EF" w:rsidRPr="00C676EE" w:rsidRDefault="001239EF" w:rsidP="0039357C">
            <w:pPr>
              <w:pStyle w:val="NormalWeb"/>
              <w:spacing w:before="0" w:beforeAutospacing="0" w:after="0" w:afterAutospacing="0"/>
              <w:ind w:firstLine="284"/>
              <w:contextualSpacing/>
              <w:jc w:val="both"/>
              <w:rPr>
                <w:sz w:val="26"/>
                <w:szCs w:val="26"/>
              </w:rPr>
            </w:pPr>
            <w:r w:rsidRPr="00C676EE">
              <w:rPr>
                <w:bCs/>
                <w:color w:val="000000"/>
                <w:sz w:val="26"/>
                <w:szCs w:val="26"/>
              </w:rPr>
              <w:t>Eiropas Padomes direktīvas 2011/16/ES (2011. gada 15. februāris) par administratīvu sadarbību nodokļu jomā paredz automātisku informācijas apmaiņu par nerezidentu gūtajiem ienākumiem. Ņemot vērā, ka šobrīd minētā informācija Valsts ieņēmumu dienestā tiek iesniegta daļēji un, lai pilnībā nodrošinātu direktīvā minētās prasības, likumprojektā iekļauta norma, kas paredz</w:t>
            </w:r>
            <w:r w:rsidRPr="00C676EE">
              <w:rPr>
                <w:sz w:val="26"/>
                <w:szCs w:val="26"/>
              </w:rPr>
              <w:t xml:space="preserve">,  ka nodokļa maksātājam jāsniedz informācija par veiktajiem maksājumiem nerezidentam arī tad, ja nodoklis no šī maksājuma nav jāietur (piemēram, izmaksātajām dividendēm, procentu maksājumiem un maksājumiem par intelektuālo īpašumu). Papildus minētajam, tiks veikti grozījumi </w:t>
            </w:r>
            <w:r w:rsidRPr="00C676EE">
              <w:rPr>
                <w:bCs/>
                <w:sz w:val="26"/>
                <w:szCs w:val="26"/>
              </w:rPr>
              <w:t xml:space="preserve">Ministru kabineta </w:t>
            </w:r>
            <w:r w:rsidRPr="00C676EE">
              <w:rPr>
                <w:sz w:val="26"/>
                <w:szCs w:val="26"/>
              </w:rPr>
              <w:t xml:space="preserve">2006. gada 4.jūlija </w:t>
            </w:r>
            <w:r w:rsidRPr="00C676EE">
              <w:rPr>
                <w:bCs/>
                <w:sz w:val="26"/>
                <w:szCs w:val="26"/>
              </w:rPr>
              <w:t>noteikumos Nr.556</w:t>
            </w:r>
            <w:r w:rsidRPr="00C676EE">
              <w:rPr>
                <w:sz w:val="26"/>
                <w:szCs w:val="26"/>
              </w:rPr>
              <w:t xml:space="preserve">  “</w:t>
            </w:r>
            <w:r w:rsidRPr="00C676EE">
              <w:rPr>
                <w:bCs/>
                <w:sz w:val="26"/>
                <w:szCs w:val="26"/>
              </w:rPr>
              <w:t>Likuma “</w:t>
            </w:r>
            <w:hyperlink r:id="rId6" w:tgtFrame="_blank" w:history="1">
              <w:r w:rsidRPr="00C676EE">
                <w:rPr>
                  <w:bCs/>
                  <w:sz w:val="26"/>
                  <w:szCs w:val="26"/>
                </w:rPr>
                <w:t>Par uzņēmumu ienākuma nodokli</w:t>
              </w:r>
            </w:hyperlink>
            <w:r w:rsidRPr="00C676EE">
              <w:rPr>
                <w:bCs/>
                <w:sz w:val="26"/>
                <w:szCs w:val="26"/>
              </w:rPr>
              <w:t xml:space="preserve">” normu piemērošanas noteikumi”” </w:t>
            </w:r>
            <w:r w:rsidRPr="00C676EE">
              <w:rPr>
                <w:iCs/>
                <w:sz w:val="26"/>
                <w:szCs w:val="26"/>
              </w:rPr>
              <w:t>(turpmāk – noteikumi Nr.556)</w:t>
            </w:r>
            <w:r w:rsidRPr="00C676EE">
              <w:rPr>
                <w:bCs/>
                <w:sz w:val="26"/>
                <w:szCs w:val="26"/>
              </w:rPr>
              <w:t>, kuros tiks atrunāts, ka informāciju par izmaksām, no kurām netiek ieturēts uzņēmumu ienākuma nodoklis, jāsniedz kopā ar uzņēmumu ienākuma nodokļa deklarāciju.</w:t>
            </w:r>
            <w:r w:rsidRPr="00C676EE">
              <w:rPr>
                <w:sz w:val="26"/>
                <w:szCs w:val="26"/>
              </w:rPr>
              <w:t xml:space="preserve">  Minētā norma tiks attiecināta uz  darījumiem, kas veikti sākot ar 2017.gada 1.janvāri.</w:t>
            </w:r>
          </w:p>
        </w:tc>
      </w:tr>
      <w:tr w:rsidR="001239EF" w:rsidRPr="00C676EE" w:rsidTr="0039357C">
        <w:trPr>
          <w:trHeight w:val="476"/>
        </w:trPr>
        <w:tc>
          <w:tcPr>
            <w:tcW w:w="227" w:type="pct"/>
          </w:tcPr>
          <w:p w:rsidR="001239EF" w:rsidRPr="00C676EE" w:rsidRDefault="001239EF" w:rsidP="0039357C">
            <w:pPr>
              <w:pStyle w:val="naiskr"/>
              <w:spacing w:before="0" w:beforeAutospacing="0" w:after="0" w:afterAutospacing="0"/>
              <w:ind w:right="57"/>
              <w:jc w:val="center"/>
              <w:rPr>
                <w:sz w:val="26"/>
                <w:szCs w:val="26"/>
              </w:rPr>
            </w:pPr>
            <w:r w:rsidRPr="00C676EE">
              <w:rPr>
                <w:sz w:val="26"/>
                <w:szCs w:val="26"/>
              </w:rPr>
              <w:lastRenderedPageBreak/>
              <w:t>3.</w:t>
            </w:r>
          </w:p>
        </w:tc>
        <w:tc>
          <w:tcPr>
            <w:tcW w:w="1267" w:type="pct"/>
          </w:tcPr>
          <w:p w:rsidR="001239EF" w:rsidRPr="00C676EE" w:rsidRDefault="001239EF" w:rsidP="0039357C">
            <w:pPr>
              <w:pStyle w:val="naiskr"/>
              <w:spacing w:before="0" w:beforeAutospacing="0" w:after="0" w:afterAutospacing="0"/>
              <w:ind w:right="57"/>
              <w:rPr>
                <w:sz w:val="26"/>
                <w:szCs w:val="26"/>
              </w:rPr>
            </w:pPr>
            <w:r w:rsidRPr="00C676EE">
              <w:rPr>
                <w:sz w:val="26"/>
                <w:szCs w:val="26"/>
              </w:rPr>
              <w:t>Projekta izstrādē iesaistītās institūcijas</w:t>
            </w:r>
          </w:p>
        </w:tc>
        <w:tc>
          <w:tcPr>
            <w:tcW w:w="3506" w:type="pct"/>
          </w:tcPr>
          <w:p w:rsidR="001239EF" w:rsidRPr="00C676EE" w:rsidRDefault="001239EF" w:rsidP="0039357C">
            <w:pPr>
              <w:spacing w:after="0" w:line="240" w:lineRule="auto"/>
              <w:ind w:right="57"/>
              <w:jc w:val="both"/>
              <w:rPr>
                <w:rFonts w:ascii="Times New Roman" w:hAnsi="Times New Roman" w:cs="Times New Roman"/>
                <w:iCs/>
                <w:sz w:val="26"/>
                <w:szCs w:val="26"/>
              </w:rPr>
            </w:pPr>
            <w:r w:rsidRPr="00C676EE">
              <w:rPr>
                <w:rFonts w:ascii="Times New Roman" w:hAnsi="Times New Roman" w:cs="Times New Roman"/>
                <w:iCs/>
                <w:sz w:val="26"/>
                <w:szCs w:val="26"/>
              </w:rPr>
              <w:t>Valsts ieņēmumu dienests.</w:t>
            </w:r>
          </w:p>
          <w:p w:rsidR="001239EF" w:rsidRPr="00C676EE" w:rsidRDefault="001239EF" w:rsidP="0039357C">
            <w:pPr>
              <w:spacing w:after="0" w:line="240" w:lineRule="auto"/>
              <w:ind w:right="57"/>
              <w:jc w:val="both"/>
              <w:rPr>
                <w:rFonts w:ascii="Times New Roman" w:hAnsi="Times New Roman" w:cs="Times New Roman"/>
                <w:iCs/>
                <w:sz w:val="26"/>
                <w:szCs w:val="26"/>
              </w:rPr>
            </w:pPr>
          </w:p>
        </w:tc>
      </w:tr>
      <w:tr w:rsidR="001239EF" w:rsidRPr="00C676EE" w:rsidTr="0039357C">
        <w:tc>
          <w:tcPr>
            <w:tcW w:w="227" w:type="pct"/>
          </w:tcPr>
          <w:p w:rsidR="001239EF" w:rsidRPr="00C676EE" w:rsidRDefault="001239EF" w:rsidP="0039357C">
            <w:pPr>
              <w:pStyle w:val="naiskr"/>
              <w:spacing w:before="0" w:beforeAutospacing="0" w:after="0" w:afterAutospacing="0"/>
              <w:ind w:right="57"/>
              <w:jc w:val="center"/>
              <w:rPr>
                <w:sz w:val="26"/>
                <w:szCs w:val="26"/>
              </w:rPr>
            </w:pPr>
            <w:r w:rsidRPr="00C676EE">
              <w:rPr>
                <w:sz w:val="26"/>
                <w:szCs w:val="26"/>
              </w:rPr>
              <w:t>4.</w:t>
            </w:r>
          </w:p>
        </w:tc>
        <w:tc>
          <w:tcPr>
            <w:tcW w:w="1267" w:type="pct"/>
          </w:tcPr>
          <w:p w:rsidR="001239EF" w:rsidRPr="00C676EE" w:rsidRDefault="001239EF" w:rsidP="0039357C">
            <w:pPr>
              <w:pStyle w:val="naiskr"/>
              <w:spacing w:before="0" w:beforeAutospacing="0" w:after="0" w:afterAutospacing="0"/>
              <w:ind w:right="57"/>
              <w:rPr>
                <w:sz w:val="26"/>
                <w:szCs w:val="26"/>
              </w:rPr>
            </w:pPr>
            <w:r w:rsidRPr="00C676EE">
              <w:rPr>
                <w:sz w:val="26"/>
                <w:szCs w:val="26"/>
              </w:rPr>
              <w:t>Cita informācija</w:t>
            </w:r>
          </w:p>
        </w:tc>
        <w:tc>
          <w:tcPr>
            <w:tcW w:w="3506" w:type="pct"/>
          </w:tcPr>
          <w:p w:rsidR="001239EF" w:rsidRPr="00C676EE" w:rsidRDefault="001239EF" w:rsidP="0039357C">
            <w:pPr>
              <w:spacing w:after="0" w:line="240" w:lineRule="auto"/>
              <w:contextualSpacing/>
              <w:jc w:val="both"/>
              <w:rPr>
                <w:rFonts w:ascii="Times New Roman" w:hAnsi="Times New Roman" w:cs="Times New Roman"/>
                <w:sz w:val="26"/>
                <w:szCs w:val="26"/>
              </w:rPr>
            </w:pPr>
            <w:r w:rsidRPr="00C676EE">
              <w:rPr>
                <w:rFonts w:ascii="Times New Roman" w:hAnsi="Times New Roman" w:cs="Times New Roman"/>
                <w:sz w:val="26"/>
                <w:szCs w:val="26"/>
              </w:rPr>
              <w:t>Nav</w:t>
            </w:r>
          </w:p>
        </w:tc>
      </w:tr>
    </w:tbl>
    <w:p w:rsidR="001239EF" w:rsidRPr="00C676EE" w:rsidRDefault="001239EF" w:rsidP="001239EF">
      <w:pPr>
        <w:spacing w:after="0" w:line="240" w:lineRule="auto"/>
        <w:rPr>
          <w:rFonts w:ascii="Times New Roman" w:hAnsi="Times New Roman" w:cs="Times New Roman"/>
          <w:sz w:val="26"/>
          <w:szCs w:val="26"/>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1239EF" w:rsidRPr="00C676EE" w:rsidTr="0039357C">
        <w:trPr>
          <w:trHeight w:val="419"/>
        </w:trPr>
        <w:tc>
          <w:tcPr>
            <w:tcW w:w="5000" w:type="pct"/>
            <w:gridSpan w:val="3"/>
            <w:vAlign w:val="center"/>
          </w:tcPr>
          <w:p w:rsidR="001239EF" w:rsidRPr="00C676EE" w:rsidRDefault="001239EF" w:rsidP="0039357C">
            <w:pPr>
              <w:spacing w:after="0" w:line="240" w:lineRule="auto"/>
              <w:jc w:val="center"/>
              <w:rPr>
                <w:rFonts w:ascii="Times New Roman" w:hAnsi="Times New Roman" w:cs="Times New Roman"/>
                <w:b/>
                <w:sz w:val="26"/>
                <w:szCs w:val="26"/>
              </w:rPr>
            </w:pPr>
            <w:r w:rsidRPr="00C676EE">
              <w:rPr>
                <w:rFonts w:ascii="Times New Roman" w:hAnsi="Times New Roman" w:cs="Times New Roman"/>
                <w:b/>
                <w:bCs/>
                <w:sz w:val="26"/>
                <w:szCs w:val="26"/>
              </w:rPr>
              <w:t>II. Tiesību akta projekta ietekme uz sabiedrību, tautsaimniecības attīstību un administratīvo slogu</w:t>
            </w:r>
          </w:p>
        </w:tc>
      </w:tr>
      <w:tr w:rsidR="001239EF" w:rsidRPr="00C676EE" w:rsidTr="0039357C">
        <w:trPr>
          <w:trHeight w:val="415"/>
        </w:trPr>
        <w:tc>
          <w:tcPr>
            <w:tcW w:w="227" w:type="pct"/>
          </w:tcPr>
          <w:p w:rsidR="001239EF" w:rsidRPr="00C676EE" w:rsidRDefault="001239EF" w:rsidP="0039357C">
            <w:pPr>
              <w:spacing w:after="0" w:line="240" w:lineRule="auto"/>
              <w:rPr>
                <w:rFonts w:ascii="Times New Roman" w:hAnsi="Times New Roman" w:cs="Times New Roman"/>
                <w:sz w:val="26"/>
                <w:szCs w:val="26"/>
              </w:rPr>
            </w:pPr>
            <w:r w:rsidRPr="00C676EE">
              <w:rPr>
                <w:rFonts w:ascii="Times New Roman" w:hAnsi="Times New Roman" w:cs="Times New Roman"/>
                <w:sz w:val="26"/>
                <w:szCs w:val="26"/>
              </w:rPr>
              <w:t>1.</w:t>
            </w:r>
          </w:p>
        </w:tc>
        <w:tc>
          <w:tcPr>
            <w:tcW w:w="1566" w:type="pct"/>
          </w:tcPr>
          <w:p w:rsidR="001239EF" w:rsidRPr="00C676EE" w:rsidRDefault="001239EF" w:rsidP="0039357C">
            <w:pPr>
              <w:spacing w:after="0" w:line="240" w:lineRule="auto"/>
              <w:rPr>
                <w:rFonts w:ascii="Times New Roman" w:hAnsi="Times New Roman" w:cs="Times New Roman"/>
                <w:sz w:val="26"/>
                <w:szCs w:val="26"/>
              </w:rPr>
            </w:pPr>
            <w:r w:rsidRPr="00C676EE">
              <w:rPr>
                <w:rFonts w:ascii="Times New Roman" w:hAnsi="Times New Roman" w:cs="Times New Roman"/>
                <w:sz w:val="26"/>
                <w:szCs w:val="26"/>
              </w:rPr>
              <w:t xml:space="preserve">Sabiedrības </w:t>
            </w:r>
            <w:proofErr w:type="spellStart"/>
            <w:r w:rsidRPr="00C676EE">
              <w:rPr>
                <w:rFonts w:ascii="Times New Roman" w:hAnsi="Times New Roman" w:cs="Times New Roman"/>
                <w:sz w:val="26"/>
                <w:szCs w:val="26"/>
              </w:rPr>
              <w:t>mērķgrupas</w:t>
            </w:r>
            <w:proofErr w:type="spellEnd"/>
            <w:r w:rsidRPr="00C676EE">
              <w:rPr>
                <w:rFonts w:ascii="Times New Roman" w:hAnsi="Times New Roman" w:cs="Times New Roman"/>
                <w:sz w:val="26"/>
                <w:szCs w:val="26"/>
              </w:rPr>
              <w:t>, kuras tiesiskais regulējums ietekmē vai varētu ietekmēt</w:t>
            </w:r>
          </w:p>
        </w:tc>
        <w:tc>
          <w:tcPr>
            <w:tcW w:w="3207" w:type="pct"/>
          </w:tcPr>
          <w:p w:rsidR="001239EF" w:rsidRPr="00C676EE" w:rsidRDefault="001239EF" w:rsidP="0039357C">
            <w:pPr>
              <w:spacing w:after="0" w:line="240" w:lineRule="auto"/>
              <w:ind w:right="130" w:firstLine="142"/>
              <w:jc w:val="both"/>
              <w:rPr>
                <w:rFonts w:ascii="Times New Roman" w:hAnsi="Times New Roman" w:cs="Times New Roman"/>
                <w:sz w:val="26"/>
                <w:szCs w:val="26"/>
              </w:rPr>
            </w:pPr>
            <w:r w:rsidRPr="00C676EE">
              <w:rPr>
                <w:rFonts w:ascii="Times New Roman" w:hAnsi="Times New Roman" w:cs="Times New Roman"/>
                <w:sz w:val="26"/>
                <w:szCs w:val="26"/>
              </w:rPr>
              <w:t>Likumprojekts ietekmēs uzņēmumu ienākuma nodokļa maksātājus, kuri veic darījumus ar personām, kas reģistrētas   beznodokļu vai zemu nodokļu zonās, kā arī veic maksājumus nerezidentiem.</w:t>
            </w:r>
          </w:p>
          <w:p w:rsidR="001239EF" w:rsidRPr="00C676EE" w:rsidRDefault="001239EF" w:rsidP="0039357C">
            <w:pPr>
              <w:spacing w:after="0" w:line="240" w:lineRule="auto"/>
              <w:ind w:right="130" w:firstLine="142"/>
              <w:jc w:val="both"/>
              <w:rPr>
                <w:rFonts w:ascii="Times New Roman" w:hAnsi="Times New Roman" w:cs="Times New Roman"/>
                <w:sz w:val="26"/>
                <w:szCs w:val="26"/>
              </w:rPr>
            </w:pPr>
          </w:p>
        </w:tc>
      </w:tr>
      <w:tr w:rsidR="001239EF" w:rsidRPr="00C676EE" w:rsidTr="0039357C">
        <w:trPr>
          <w:trHeight w:val="472"/>
        </w:trPr>
        <w:tc>
          <w:tcPr>
            <w:tcW w:w="227" w:type="pct"/>
          </w:tcPr>
          <w:p w:rsidR="001239EF" w:rsidRPr="00C676EE" w:rsidRDefault="001239EF" w:rsidP="0039357C">
            <w:pPr>
              <w:spacing w:after="0" w:line="240" w:lineRule="auto"/>
              <w:rPr>
                <w:rFonts w:ascii="Times New Roman" w:hAnsi="Times New Roman" w:cs="Times New Roman"/>
                <w:sz w:val="26"/>
                <w:szCs w:val="26"/>
              </w:rPr>
            </w:pPr>
            <w:r w:rsidRPr="00C676EE">
              <w:rPr>
                <w:rFonts w:ascii="Times New Roman" w:hAnsi="Times New Roman" w:cs="Times New Roman"/>
                <w:sz w:val="26"/>
                <w:szCs w:val="26"/>
              </w:rPr>
              <w:t>2.</w:t>
            </w:r>
          </w:p>
        </w:tc>
        <w:tc>
          <w:tcPr>
            <w:tcW w:w="1566" w:type="pct"/>
          </w:tcPr>
          <w:p w:rsidR="001239EF" w:rsidRPr="00C676EE" w:rsidRDefault="001239EF" w:rsidP="0039357C">
            <w:pPr>
              <w:spacing w:after="0" w:line="240" w:lineRule="auto"/>
              <w:rPr>
                <w:rFonts w:ascii="Times New Roman" w:hAnsi="Times New Roman" w:cs="Times New Roman"/>
                <w:sz w:val="26"/>
                <w:szCs w:val="26"/>
              </w:rPr>
            </w:pPr>
            <w:r w:rsidRPr="00C676EE">
              <w:rPr>
                <w:rFonts w:ascii="Times New Roman" w:hAnsi="Times New Roman" w:cs="Times New Roman"/>
                <w:sz w:val="26"/>
                <w:szCs w:val="26"/>
              </w:rPr>
              <w:t>Tiesiskā regulējuma ietekme uz tautsaimniecību un administratīvo slogu</w:t>
            </w:r>
          </w:p>
        </w:tc>
        <w:tc>
          <w:tcPr>
            <w:tcW w:w="3207" w:type="pct"/>
          </w:tcPr>
          <w:p w:rsidR="001239EF" w:rsidRPr="00C676EE" w:rsidRDefault="001239EF" w:rsidP="0039357C">
            <w:pPr>
              <w:spacing w:after="0" w:line="240" w:lineRule="auto"/>
              <w:ind w:right="130" w:firstLine="142"/>
              <w:contextualSpacing/>
              <w:jc w:val="both"/>
              <w:rPr>
                <w:rFonts w:ascii="Times New Roman" w:hAnsi="Times New Roman" w:cs="Times New Roman"/>
                <w:sz w:val="26"/>
                <w:szCs w:val="26"/>
              </w:rPr>
            </w:pPr>
            <w:r w:rsidRPr="00C676EE">
              <w:rPr>
                <w:rFonts w:ascii="Times New Roman" w:hAnsi="Times New Roman" w:cs="Times New Roman"/>
                <w:sz w:val="26"/>
                <w:szCs w:val="26"/>
              </w:rPr>
              <w:t>Grozījumi likumā palielinās administratīvo slogu tiem nodokļu maksātājiem, kas veic maksājumus nerezidentiem. Ņemot vērā, ka veicot grozījumus Ministru kabineta noteikumos Nr.556 tiks noteikti arī izņēmumi, kuriem izpildoties informācija nebūs jāsniedz, tad paredzamais administratīvā sloga palielinājums nebūs liels.</w:t>
            </w:r>
          </w:p>
        </w:tc>
      </w:tr>
      <w:tr w:rsidR="001239EF" w:rsidRPr="00C676EE" w:rsidTr="0039357C">
        <w:trPr>
          <w:trHeight w:val="476"/>
        </w:trPr>
        <w:tc>
          <w:tcPr>
            <w:tcW w:w="227" w:type="pct"/>
          </w:tcPr>
          <w:p w:rsidR="001239EF" w:rsidRPr="00C676EE" w:rsidRDefault="001239EF" w:rsidP="0039357C">
            <w:pPr>
              <w:spacing w:after="0" w:line="240" w:lineRule="auto"/>
              <w:rPr>
                <w:rFonts w:ascii="Times New Roman" w:hAnsi="Times New Roman" w:cs="Times New Roman"/>
                <w:sz w:val="26"/>
                <w:szCs w:val="26"/>
              </w:rPr>
            </w:pPr>
            <w:r w:rsidRPr="00C676EE">
              <w:rPr>
                <w:rFonts w:ascii="Times New Roman" w:hAnsi="Times New Roman" w:cs="Times New Roman"/>
                <w:sz w:val="26"/>
                <w:szCs w:val="26"/>
              </w:rPr>
              <w:lastRenderedPageBreak/>
              <w:t>3.</w:t>
            </w:r>
          </w:p>
        </w:tc>
        <w:tc>
          <w:tcPr>
            <w:tcW w:w="1566" w:type="pct"/>
          </w:tcPr>
          <w:p w:rsidR="001239EF" w:rsidRPr="00C676EE" w:rsidRDefault="001239EF" w:rsidP="0039357C">
            <w:pPr>
              <w:spacing w:line="240" w:lineRule="auto"/>
              <w:rPr>
                <w:rFonts w:ascii="Times New Roman" w:hAnsi="Times New Roman" w:cs="Times New Roman"/>
                <w:sz w:val="26"/>
                <w:szCs w:val="26"/>
              </w:rPr>
            </w:pPr>
            <w:r w:rsidRPr="00C676EE">
              <w:rPr>
                <w:rFonts w:ascii="Times New Roman" w:hAnsi="Times New Roman" w:cs="Times New Roman"/>
                <w:sz w:val="26"/>
                <w:szCs w:val="26"/>
              </w:rPr>
              <w:t>Administratīvo izmaksu monetārs novērtējums</w:t>
            </w:r>
          </w:p>
        </w:tc>
        <w:tc>
          <w:tcPr>
            <w:tcW w:w="3207" w:type="pct"/>
          </w:tcPr>
          <w:p w:rsidR="001239EF" w:rsidRPr="00C676EE" w:rsidRDefault="001239EF" w:rsidP="0039357C">
            <w:pPr>
              <w:spacing w:after="0" w:line="240" w:lineRule="auto"/>
              <w:ind w:right="130" w:firstLine="142"/>
              <w:contextualSpacing/>
              <w:jc w:val="both"/>
              <w:rPr>
                <w:rFonts w:ascii="Times New Roman" w:hAnsi="Times New Roman" w:cs="Times New Roman"/>
                <w:sz w:val="26"/>
                <w:szCs w:val="26"/>
              </w:rPr>
            </w:pPr>
            <w:r w:rsidRPr="00C676EE">
              <w:rPr>
                <w:rFonts w:ascii="Times New Roman" w:hAnsi="Times New Roman" w:cs="Times New Roman"/>
                <w:sz w:val="26"/>
                <w:szCs w:val="26"/>
              </w:rPr>
              <w:t>Lai nodrošinātu informācijas apmaiņu darījumiem ar nerezidentiem nodokļu maksātājam vienu reizi gadā, kopā ar uzņēmumu ienākuma nodokļa deklarāciju Valsts ieņēmumu dienestam būs jāiesniedz pārskats. Pārskatu par attiecīgajiem maksājumiem nerezidentam nodokļu maksātāji iesniedz jau šobrīd.</w:t>
            </w:r>
          </w:p>
          <w:p w:rsidR="001239EF" w:rsidRPr="00C676EE" w:rsidRDefault="001239EF" w:rsidP="0039357C">
            <w:pPr>
              <w:spacing w:after="0" w:line="240" w:lineRule="auto"/>
              <w:ind w:right="140" w:firstLine="139"/>
              <w:contextualSpacing/>
              <w:jc w:val="both"/>
              <w:rPr>
                <w:rFonts w:ascii="Times New Roman" w:hAnsi="Times New Roman" w:cs="Times New Roman"/>
                <w:sz w:val="26"/>
                <w:szCs w:val="26"/>
              </w:rPr>
            </w:pPr>
            <w:r w:rsidRPr="00C676EE">
              <w:rPr>
                <w:rFonts w:ascii="Times New Roman" w:hAnsi="Times New Roman" w:cs="Times New Roman"/>
                <w:sz w:val="26"/>
                <w:szCs w:val="26"/>
              </w:rPr>
              <w:t xml:space="preserve">Ņemot vērā, ka darījumus ar nerezidentiem pārsvarā veic lielie uzņēmumi, kuri grāmatvedības uzskaiti veic izmantojot attiecīgas grāmatvedības programmas, tad var pieņemt, ka paziņojuma papildināšanai ar informāciju par citiem  maksājumiem nerezidentiem notiks automātiski. Līdz ar to var pieņemt, ka grāmatveža patērētais darba laiks un izmaksas par minēto darbību nepārsniegs 1/2 stundu gadā </w:t>
            </w:r>
            <w:r w:rsidRPr="00C676EE">
              <w:rPr>
                <w:rFonts w:ascii="Times New Roman" w:hAnsi="Times New Roman" w:cs="Times New Roman"/>
                <w:bCs/>
                <w:sz w:val="26"/>
                <w:szCs w:val="26"/>
              </w:rPr>
              <w:t xml:space="preserve">(stundas samaksas likme – 5,09 </w:t>
            </w:r>
            <w:proofErr w:type="spellStart"/>
            <w:r w:rsidRPr="00C676EE">
              <w:rPr>
                <w:rFonts w:ascii="Times New Roman" w:hAnsi="Times New Roman" w:cs="Times New Roman"/>
                <w:bCs/>
                <w:i/>
                <w:sz w:val="26"/>
                <w:szCs w:val="26"/>
              </w:rPr>
              <w:t>euro</w:t>
            </w:r>
            <w:proofErr w:type="spellEnd"/>
            <w:r w:rsidRPr="00C676EE">
              <w:rPr>
                <w:rFonts w:ascii="Times New Roman" w:hAnsi="Times New Roman" w:cs="Times New Roman"/>
                <w:bCs/>
                <w:sz w:val="26"/>
                <w:szCs w:val="26"/>
              </w:rPr>
              <w:t xml:space="preserve">) kur kopējais nodokļu maksātāju skaits, kuri varētu sniegt informāciju,  vidēji varētu būt 700. nodokļu maksātāji (700 * 2,55 </w:t>
            </w:r>
            <w:proofErr w:type="spellStart"/>
            <w:r w:rsidRPr="00C676EE">
              <w:rPr>
                <w:rFonts w:ascii="Times New Roman" w:hAnsi="Times New Roman" w:cs="Times New Roman"/>
                <w:bCs/>
                <w:i/>
                <w:sz w:val="26"/>
                <w:szCs w:val="26"/>
              </w:rPr>
              <w:t>euro</w:t>
            </w:r>
            <w:proofErr w:type="spellEnd"/>
            <w:r w:rsidRPr="00C676EE">
              <w:rPr>
                <w:rFonts w:ascii="Times New Roman" w:hAnsi="Times New Roman" w:cs="Times New Roman"/>
                <w:bCs/>
                <w:sz w:val="26"/>
                <w:szCs w:val="26"/>
              </w:rPr>
              <w:t xml:space="preserve"> = 1785 </w:t>
            </w:r>
            <w:proofErr w:type="spellStart"/>
            <w:r w:rsidRPr="00C676EE">
              <w:rPr>
                <w:rFonts w:ascii="Times New Roman" w:hAnsi="Times New Roman" w:cs="Times New Roman"/>
                <w:bCs/>
                <w:i/>
                <w:sz w:val="26"/>
                <w:szCs w:val="26"/>
              </w:rPr>
              <w:t>euro</w:t>
            </w:r>
            <w:proofErr w:type="spellEnd"/>
            <w:r w:rsidRPr="00C676EE">
              <w:rPr>
                <w:rFonts w:ascii="Times New Roman" w:hAnsi="Times New Roman" w:cs="Times New Roman"/>
                <w:bCs/>
                <w:sz w:val="26"/>
                <w:szCs w:val="26"/>
              </w:rPr>
              <w:t>).</w:t>
            </w:r>
            <w:r w:rsidRPr="00C676EE">
              <w:rPr>
                <w:rFonts w:ascii="Times New Roman" w:hAnsi="Times New Roman" w:cs="Times New Roman"/>
                <w:sz w:val="26"/>
                <w:szCs w:val="26"/>
              </w:rPr>
              <w:t xml:space="preserve"> Pieņemot, ka lielākā daļa pārskatu par izmaksām nerezidentam sniedz jau šobrīd, tad minētais laiks, attiecībā uz papildus informācijas sagatavošanu būs ievērojami mazāks. </w:t>
            </w:r>
          </w:p>
        </w:tc>
      </w:tr>
      <w:tr w:rsidR="001239EF" w:rsidRPr="00C676EE" w:rsidTr="0039357C">
        <w:tc>
          <w:tcPr>
            <w:tcW w:w="227" w:type="pct"/>
          </w:tcPr>
          <w:p w:rsidR="001239EF" w:rsidRPr="00C676EE" w:rsidRDefault="001239EF" w:rsidP="0039357C">
            <w:pPr>
              <w:spacing w:after="0" w:line="240" w:lineRule="auto"/>
              <w:rPr>
                <w:rFonts w:ascii="Times New Roman" w:hAnsi="Times New Roman" w:cs="Times New Roman"/>
                <w:sz w:val="26"/>
                <w:szCs w:val="26"/>
              </w:rPr>
            </w:pPr>
            <w:r w:rsidRPr="00C676EE">
              <w:rPr>
                <w:rFonts w:ascii="Times New Roman" w:hAnsi="Times New Roman" w:cs="Times New Roman"/>
                <w:sz w:val="26"/>
                <w:szCs w:val="26"/>
              </w:rPr>
              <w:t>4.</w:t>
            </w:r>
          </w:p>
        </w:tc>
        <w:tc>
          <w:tcPr>
            <w:tcW w:w="1566" w:type="pct"/>
          </w:tcPr>
          <w:p w:rsidR="001239EF" w:rsidRPr="00C676EE" w:rsidRDefault="001239EF" w:rsidP="0039357C">
            <w:pPr>
              <w:spacing w:after="0" w:line="240" w:lineRule="auto"/>
              <w:rPr>
                <w:rFonts w:ascii="Times New Roman" w:hAnsi="Times New Roman" w:cs="Times New Roman"/>
                <w:sz w:val="26"/>
                <w:szCs w:val="26"/>
              </w:rPr>
            </w:pPr>
            <w:r w:rsidRPr="00C676EE">
              <w:rPr>
                <w:rFonts w:ascii="Times New Roman" w:hAnsi="Times New Roman" w:cs="Times New Roman"/>
                <w:sz w:val="26"/>
                <w:szCs w:val="26"/>
              </w:rPr>
              <w:t>Cita informācija</w:t>
            </w:r>
          </w:p>
        </w:tc>
        <w:tc>
          <w:tcPr>
            <w:tcW w:w="3207" w:type="pct"/>
          </w:tcPr>
          <w:p w:rsidR="001239EF" w:rsidRPr="00C676EE" w:rsidRDefault="001239EF" w:rsidP="0039357C">
            <w:pPr>
              <w:spacing w:after="0" w:line="240" w:lineRule="auto"/>
              <w:jc w:val="both"/>
              <w:rPr>
                <w:rFonts w:ascii="Times New Roman" w:hAnsi="Times New Roman" w:cs="Times New Roman"/>
                <w:sz w:val="26"/>
                <w:szCs w:val="26"/>
              </w:rPr>
            </w:pPr>
            <w:r w:rsidRPr="00C676EE">
              <w:rPr>
                <w:rFonts w:ascii="Times New Roman" w:hAnsi="Times New Roman" w:cs="Times New Roman"/>
                <w:sz w:val="26"/>
                <w:szCs w:val="26"/>
              </w:rPr>
              <w:t xml:space="preserve">Nav </w:t>
            </w:r>
          </w:p>
        </w:tc>
      </w:tr>
    </w:tbl>
    <w:p w:rsidR="001239EF" w:rsidRPr="00C676EE" w:rsidRDefault="001239EF" w:rsidP="001239EF">
      <w:pPr>
        <w:spacing w:after="0" w:line="240" w:lineRule="auto"/>
        <w:rPr>
          <w:rFonts w:ascii="Times New Roman" w:hAnsi="Times New Roman" w:cs="Times New Roman"/>
          <w:sz w:val="26"/>
          <w:szCs w:val="26"/>
        </w:rPr>
      </w:pPr>
    </w:p>
    <w:tbl>
      <w:tblPr>
        <w:tblW w:w="9498" w:type="dxa"/>
        <w:tblInd w:w="-28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498"/>
      </w:tblGrid>
      <w:tr w:rsidR="001239EF" w:rsidRPr="00C676EE" w:rsidTr="0039357C">
        <w:tc>
          <w:tcPr>
            <w:tcW w:w="5000" w:type="pct"/>
            <w:tcBorders>
              <w:top w:val="single" w:sz="4" w:space="0" w:color="auto"/>
              <w:left w:val="single" w:sz="4" w:space="0" w:color="auto"/>
              <w:bottom w:val="single" w:sz="4" w:space="0" w:color="auto"/>
              <w:right w:val="single" w:sz="4" w:space="0" w:color="auto"/>
            </w:tcBorders>
            <w:hideMark/>
          </w:tcPr>
          <w:p w:rsidR="001239EF" w:rsidRPr="00C676EE" w:rsidRDefault="001239EF" w:rsidP="0039357C">
            <w:pPr>
              <w:spacing w:before="100" w:beforeAutospacing="1" w:after="100" w:afterAutospacing="1"/>
              <w:jc w:val="center"/>
              <w:rPr>
                <w:rFonts w:ascii="Times New Roman" w:hAnsi="Times New Roman" w:cs="Times New Roman"/>
                <w:b/>
                <w:bCs/>
                <w:color w:val="000000"/>
                <w:sz w:val="26"/>
                <w:szCs w:val="26"/>
              </w:rPr>
            </w:pPr>
            <w:r w:rsidRPr="00C676EE">
              <w:rPr>
                <w:rFonts w:ascii="Times New Roman" w:hAnsi="Times New Roman" w:cs="Times New Roman"/>
                <w:b/>
                <w:bCs/>
                <w:color w:val="000000"/>
                <w:sz w:val="26"/>
                <w:szCs w:val="26"/>
              </w:rPr>
              <w:t>III. Tiesību akta projekta ietekme uz valsts budžetu un pašvaldību budžetiem</w:t>
            </w:r>
          </w:p>
        </w:tc>
      </w:tr>
      <w:tr w:rsidR="001239EF" w:rsidRPr="00C676EE" w:rsidTr="0039357C">
        <w:tc>
          <w:tcPr>
            <w:tcW w:w="5000" w:type="pct"/>
            <w:tcBorders>
              <w:top w:val="single" w:sz="4" w:space="0" w:color="auto"/>
              <w:left w:val="single" w:sz="4" w:space="0" w:color="auto"/>
              <w:bottom w:val="single" w:sz="4" w:space="0" w:color="auto"/>
              <w:right w:val="single" w:sz="4" w:space="0" w:color="auto"/>
            </w:tcBorders>
          </w:tcPr>
          <w:p w:rsidR="001239EF" w:rsidRPr="00C676EE" w:rsidRDefault="001239EF" w:rsidP="0039357C">
            <w:pPr>
              <w:spacing w:before="100" w:beforeAutospacing="1" w:after="100" w:afterAutospacing="1"/>
              <w:jc w:val="center"/>
              <w:rPr>
                <w:rFonts w:ascii="Times New Roman" w:hAnsi="Times New Roman" w:cs="Times New Roman"/>
                <w:bCs/>
                <w:color w:val="000000"/>
                <w:sz w:val="26"/>
                <w:szCs w:val="26"/>
              </w:rPr>
            </w:pPr>
            <w:r w:rsidRPr="00C676EE">
              <w:rPr>
                <w:rFonts w:ascii="Times New Roman" w:hAnsi="Times New Roman" w:cs="Times New Roman"/>
                <w:bCs/>
                <w:color w:val="000000"/>
                <w:sz w:val="26"/>
                <w:szCs w:val="26"/>
              </w:rPr>
              <w:t>Nav attiecināms.</w:t>
            </w:r>
          </w:p>
        </w:tc>
      </w:tr>
    </w:tbl>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69"/>
        <w:gridCol w:w="6512"/>
      </w:tblGrid>
      <w:tr w:rsidR="001239EF" w:rsidRPr="00C676EE" w:rsidTr="0039357C">
        <w:trPr>
          <w:trHeight w:val="419"/>
        </w:trPr>
        <w:tc>
          <w:tcPr>
            <w:tcW w:w="5000" w:type="pct"/>
            <w:gridSpan w:val="2"/>
            <w:vAlign w:val="center"/>
          </w:tcPr>
          <w:p w:rsidR="001239EF" w:rsidRPr="00C676EE" w:rsidRDefault="001239EF" w:rsidP="0039357C">
            <w:pPr>
              <w:spacing w:after="0" w:line="240" w:lineRule="auto"/>
              <w:jc w:val="center"/>
              <w:rPr>
                <w:rFonts w:ascii="Times New Roman" w:eastAsia="Times New Roman" w:hAnsi="Times New Roman" w:cs="Times New Roman"/>
                <w:b/>
                <w:sz w:val="26"/>
                <w:szCs w:val="26"/>
                <w:lang w:eastAsia="lv-LV"/>
              </w:rPr>
            </w:pPr>
            <w:r w:rsidRPr="00C676EE">
              <w:rPr>
                <w:rFonts w:ascii="Times New Roman" w:eastAsia="Times New Roman" w:hAnsi="Times New Roman" w:cs="Times New Roman"/>
                <w:b/>
                <w:bCs/>
                <w:sz w:val="26"/>
                <w:szCs w:val="26"/>
                <w:lang w:eastAsia="lv-LV"/>
              </w:rPr>
              <w:t>IV. Tiesību akta projekta ietekme uz spēkā esošo tiesību normu sistēmu</w:t>
            </w:r>
          </w:p>
        </w:tc>
      </w:tr>
      <w:tr w:rsidR="001239EF" w:rsidRPr="00C676EE" w:rsidTr="0039357C">
        <w:trPr>
          <w:trHeight w:val="415"/>
        </w:trPr>
        <w:tc>
          <w:tcPr>
            <w:tcW w:w="1566" w:type="pct"/>
          </w:tcPr>
          <w:p w:rsidR="001239EF" w:rsidRPr="00C676EE" w:rsidRDefault="001239EF" w:rsidP="0039357C">
            <w:pPr>
              <w:spacing w:line="240" w:lineRule="auto"/>
              <w:rPr>
                <w:rFonts w:ascii="Times New Roman" w:eastAsia="Times New Roman" w:hAnsi="Times New Roman" w:cs="Times New Roman"/>
                <w:sz w:val="26"/>
                <w:szCs w:val="26"/>
                <w:lang w:eastAsia="lv-LV"/>
              </w:rPr>
            </w:pPr>
            <w:r w:rsidRPr="00C676EE">
              <w:rPr>
                <w:rFonts w:ascii="Times New Roman" w:eastAsia="Times New Roman" w:hAnsi="Times New Roman" w:cs="Times New Roman"/>
                <w:sz w:val="26"/>
                <w:szCs w:val="26"/>
                <w:lang w:eastAsia="lv-LV"/>
              </w:rPr>
              <w:t>Nepieciešamie saistītie tiesību aktu projekti</w:t>
            </w:r>
          </w:p>
        </w:tc>
        <w:tc>
          <w:tcPr>
            <w:tcW w:w="3434" w:type="pct"/>
          </w:tcPr>
          <w:p w:rsidR="001239EF" w:rsidRPr="00C676EE" w:rsidRDefault="001239EF" w:rsidP="0039357C">
            <w:pPr>
              <w:spacing w:after="0" w:line="240" w:lineRule="auto"/>
              <w:ind w:right="130" w:firstLine="423"/>
              <w:jc w:val="both"/>
              <w:rPr>
                <w:rFonts w:ascii="Times New Roman" w:eastAsia="Times New Roman" w:hAnsi="Times New Roman" w:cs="Times New Roman"/>
                <w:sz w:val="26"/>
                <w:szCs w:val="26"/>
                <w:lang w:eastAsia="lv-LV"/>
              </w:rPr>
            </w:pPr>
            <w:r w:rsidRPr="00C676EE">
              <w:rPr>
                <w:rFonts w:ascii="Times New Roman" w:eastAsia="Times New Roman" w:hAnsi="Times New Roman" w:cs="Times New Roman"/>
                <w:sz w:val="26"/>
                <w:szCs w:val="26"/>
                <w:lang w:eastAsia="lv-LV"/>
              </w:rPr>
              <w:t>Finanšu ministrijai jāveic grozījumi Ministru kabineta noteikumos Nr.556 un līdz 2016.gada 1.septembrim Ministru kabinetā jāiesniedz minētais noteikumu projekts, kurā tiks atrunāta kārtība, kādā tiek sniegta informācija Valsts ieņēmumu dienestam par nerezidentiem veiktajiem maksājumiem.</w:t>
            </w:r>
          </w:p>
        </w:tc>
      </w:tr>
      <w:tr w:rsidR="001239EF" w:rsidRPr="00C676EE" w:rsidTr="0039357C">
        <w:trPr>
          <w:trHeight w:val="472"/>
        </w:trPr>
        <w:tc>
          <w:tcPr>
            <w:tcW w:w="1566" w:type="pct"/>
          </w:tcPr>
          <w:p w:rsidR="001239EF" w:rsidRPr="00C676EE" w:rsidRDefault="001239EF" w:rsidP="0039357C">
            <w:pPr>
              <w:spacing w:line="240" w:lineRule="auto"/>
              <w:rPr>
                <w:rFonts w:ascii="Times New Roman" w:eastAsia="Times New Roman" w:hAnsi="Times New Roman" w:cs="Times New Roman"/>
                <w:sz w:val="26"/>
                <w:szCs w:val="26"/>
                <w:lang w:eastAsia="lv-LV"/>
              </w:rPr>
            </w:pPr>
            <w:r w:rsidRPr="00C676EE">
              <w:rPr>
                <w:rFonts w:ascii="Times New Roman" w:eastAsia="Times New Roman" w:hAnsi="Times New Roman" w:cs="Times New Roman"/>
                <w:sz w:val="26"/>
                <w:szCs w:val="26"/>
                <w:lang w:eastAsia="lv-LV"/>
              </w:rPr>
              <w:t>Atbildīgā institūcija</w:t>
            </w:r>
          </w:p>
        </w:tc>
        <w:tc>
          <w:tcPr>
            <w:tcW w:w="3434" w:type="pct"/>
          </w:tcPr>
          <w:p w:rsidR="001239EF" w:rsidRPr="00C676EE" w:rsidRDefault="001239EF" w:rsidP="0039357C">
            <w:pPr>
              <w:spacing w:line="240" w:lineRule="auto"/>
              <w:rPr>
                <w:rFonts w:ascii="Times New Roman" w:eastAsia="Times New Roman" w:hAnsi="Times New Roman" w:cs="Times New Roman"/>
                <w:sz w:val="26"/>
                <w:szCs w:val="26"/>
                <w:lang w:eastAsia="lv-LV"/>
              </w:rPr>
            </w:pPr>
            <w:r w:rsidRPr="00C676EE">
              <w:rPr>
                <w:rFonts w:ascii="Times New Roman" w:eastAsia="Times New Roman" w:hAnsi="Times New Roman" w:cs="Times New Roman"/>
                <w:sz w:val="26"/>
                <w:szCs w:val="26"/>
                <w:lang w:eastAsia="lv-LV"/>
              </w:rPr>
              <w:t>Finanšu ministrija.</w:t>
            </w:r>
          </w:p>
        </w:tc>
      </w:tr>
      <w:tr w:rsidR="001239EF" w:rsidRPr="00C676EE" w:rsidTr="0039357C">
        <w:tc>
          <w:tcPr>
            <w:tcW w:w="1566" w:type="pct"/>
          </w:tcPr>
          <w:p w:rsidR="001239EF" w:rsidRPr="00C676EE" w:rsidRDefault="001239EF" w:rsidP="0039357C">
            <w:pPr>
              <w:spacing w:after="0" w:line="240" w:lineRule="auto"/>
              <w:rPr>
                <w:rFonts w:ascii="Times New Roman" w:eastAsia="Times New Roman" w:hAnsi="Times New Roman" w:cs="Times New Roman"/>
                <w:sz w:val="26"/>
                <w:szCs w:val="26"/>
                <w:lang w:eastAsia="lv-LV"/>
              </w:rPr>
            </w:pPr>
            <w:r w:rsidRPr="00C676EE">
              <w:rPr>
                <w:rFonts w:ascii="Times New Roman" w:eastAsia="Times New Roman" w:hAnsi="Times New Roman" w:cs="Times New Roman"/>
                <w:sz w:val="26"/>
                <w:szCs w:val="26"/>
                <w:lang w:eastAsia="lv-LV"/>
              </w:rPr>
              <w:t>Cita informācija</w:t>
            </w:r>
          </w:p>
        </w:tc>
        <w:tc>
          <w:tcPr>
            <w:tcW w:w="3434" w:type="pct"/>
          </w:tcPr>
          <w:p w:rsidR="001239EF" w:rsidRPr="00C676EE" w:rsidRDefault="001239EF" w:rsidP="0039357C">
            <w:pPr>
              <w:spacing w:after="0" w:line="240" w:lineRule="auto"/>
              <w:rPr>
                <w:rFonts w:ascii="Times New Roman" w:eastAsia="Times New Roman" w:hAnsi="Times New Roman" w:cs="Times New Roman"/>
                <w:sz w:val="26"/>
                <w:szCs w:val="26"/>
                <w:lang w:eastAsia="lv-LV"/>
              </w:rPr>
            </w:pPr>
            <w:r w:rsidRPr="00C676EE">
              <w:rPr>
                <w:rFonts w:ascii="Times New Roman" w:eastAsia="Times New Roman" w:hAnsi="Times New Roman" w:cs="Times New Roman"/>
                <w:sz w:val="26"/>
                <w:szCs w:val="26"/>
                <w:lang w:eastAsia="lv-LV"/>
              </w:rPr>
              <w:t>Nav.</w:t>
            </w:r>
          </w:p>
        </w:tc>
      </w:tr>
    </w:tbl>
    <w:p w:rsidR="001239EF" w:rsidRPr="00C676EE" w:rsidRDefault="001239EF" w:rsidP="001239EF">
      <w:pPr>
        <w:spacing w:after="0" w:line="240" w:lineRule="auto"/>
        <w:rPr>
          <w:rFonts w:ascii="Times New Roman" w:eastAsia="Times New Roman" w:hAnsi="Times New Roman" w:cs="Times New Roman"/>
          <w:sz w:val="26"/>
          <w:szCs w:val="26"/>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518"/>
      </w:tblGrid>
      <w:tr w:rsidR="001239EF" w:rsidRPr="00C676EE" w:rsidTr="0039357C">
        <w:trPr>
          <w:trHeight w:val="381"/>
          <w:jc w:val="center"/>
        </w:trPr>
        <w:tc>
          <w:tcPr>
            <w:tcW w:w="9518" w:type="dxa"/>
            <w:vAlign w:val="center"/>
          </w:tcPr>
          <w:p w:rsidR="001239EF" w:rsidRPr="00C676EE" w:rsidRDefault="001239EF" w:rsidP="0039357C">
            <w:pPr>
              <w:pStyle w:val="naisnod"/>
              <w:spacing w:before="0" w:beforeAutospacing="0" w:after="0" w:afterAutospacing="0"/>
              <w:ind w:left="57" w:right="57"/>
              <w:jc w:val="center"/>
              <w:rPr>
                <w:i/>
                <w:sz w:val="26"/>
                <w:szCs w:val="26"/>
              </w:rPr>
            </w:pPr>
            <w:r w:rsidRPr="00C676EE">
              <w:rPr>
                <w:b/>
                <w:sz w:val="26"/>
                <w:szCs w:val="26"/>
              </w:rPr>
              <w:t>V. Tiesību akta projekta atbilstība Latvijas Republikas starptautiskajām saistībām</w:t>
            </w:r>
          </w:p>
        </w:tc>
      </w:tr>
      <w:tr w:rsidR="001239EF" w:rsidRPr="00C676EE" w:rsidTr="0039357C">
        <w:trPr>
          <w:trHeight w:val="427"/>
          <w:jc w:val="center"/>
        </w:trPr>
        <w:tc>
          <w:tcPr>
            <w:tcW w:w="9518" w:type="dxa"/>
            <w:tcBorders>
              <w:bottom w:val="single" w:sz="4" w:space="0" w:color="auto"/>
            </w:tcBorders>
          </w:tcPr>
          <w:p w:rsidR="001239EF" w:rsidRPr="00C676EE" w:rsidRDefault="001239EF" w:rsidP="0039357C">
            <w:pPr>
              <w:spacing w:after="0" w:line="240" w:lineRule="auto"/>
              <w:ind w:firstLine="452"/>
              <w:contextualSpacing/>
              <w:jc w:val="center"/>
              <w:rPr>
                <w:rFonts w:ascii="Times New Roman" w:eastAsia="Times New Roman" w:hAnsi="Times New Roman" w:cs="Times New Roman"/>
                <w:sz w:val="26"/>
                <w:szCs w:val="26"/>
                <w:lang w:eastAsia="lv-LV"/>
              </w:rPr>
            </w:pPr>
            <w:r w:rsidRPr="00C676EE">
              <w:rPr>
                <w:rFonts w:ascii="Times New Roman" w:eastAsia="Times New Roman" w:hAnsi="Times New Roman" w:cs="Times New Roman"/>
                <w:sz w:val="26"/>
                <w:szCs w:val="26"/>
                <w:lang w:eastAsia="lv-LV"/>
              </w:rPr>
              <w:t>Nav attiecināms.</w:t>
            </w:r>
          </w:p>
        </w:tc>
      </w:tr>
    </w:tbl>
    <w:p w:rsidR="001239EF" w:rsidRPr="00C676EE" w:rsidRDefault="001239EF" w:rsidP="001239EF">
      <w:pPr>
        <w:spacing w:after="0" w:line="240" w:lineRule="auto"/>
        <w:rPr>
          <w:rFonts w:ascii="Times New Roman" w:eastAsia="Times New Roman" w:hAnsi="Times New Roman" w:cs="Times New Roman"/>
          <w:sz w:val="26"/>
          <w:szCs w:val="26"/>
          <w:lang w:eastAsia="lv-LV"/>
        </w:rPr>
      </w:pPr>
    </w:p>
    <w:tbl>
      <w:tblPr>
        <w:tblW w:w="5244"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01"/>
        <w:gridCol w:w="6196"/>
      </w:tblGrid>
      <w:tr w:rsidR="001239EF" w:rsidRPr="00C676EE" w:rsidTr="0039357C">
        <w:trPr>
          <w:trHeight w:val="420"/>
          <w:jc w:val="center"/>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rsidR="001239EF" w:rsidRPr="00C676EE" w:rsidRDefault="001239EF" w:rsidP="0039357C">
            <w:pPr>
              <w:spacing w:before="100" w:beforeAutospacing="1" w:after="100" w:afterAutospacing="1"/>
              <w:jc w:val="center"/>
              <w:rPr>
                <w:rFonts w:ascii="Times New Roman" w:eastAsia="Times New Roman" w:hAnsi="Times New Roman" w:cs="Times New Roman"/>
                <w:sz w:val="26"/>
                <w:szCs w:val="26"/>
                <w:lang w:eastAsia="lv-LV"/>
              </w:rPr>
            </w:pPr>
            <w:r w:rsidRPr="00C676EE">
              <w:rPr>
                <w:rFonts w:ascii="Times New Roman" w:eastAsia="Times New Roman" w:hAnsi="Times New Roman" w:cs="Times New Roman"/>
                <w:b/>
                <w:bCs/>
                <w:sz w:val="26"/>
                <w:szCs w:val="26"/>
                <w:lang w:eastAsia="lv-LV"/>
              </w:rPr>
              <w:t>VI. Sabiedrības līdzdalība un komunikācijas aktivitātes</w:t>
            </w:r>
          </w:p>
        </w:tc>
      </w:tr>
      <w:tr w:rsidR="001239EF" w:rsidRPr="00C676EE" w:rsidTr="0039357C">
        <w:trPr>
          <w:trHeight w:val="540"/>
          <w:jc w:val="center"/>
        </w:trPr>
        <w:tc>
          <w:tcPr>
            <w:tcW w:w="1738" w:type="pct"/>
            <w:tcBorders>
              <w:top w:val="outset" w:sz="6" w:space="0" w:color="auto"/>
              <w:left w:val="outset" w:sz="6" w:space="0" w:color="auto"/>
              <w:bottom w:val="outset" w:sz="6" w:space="0" w:color="auto"/>
              <w:right w:val="outset" w:sz="6" w:space="0" w:color="auto"/>
            </w:tcBorders>
            <w:hideMark/>
          </w:tcPr>
          <w:p w:rsidR="001239EF" w:rsidRPr="00C676EE" w:rsidRDefault="001239EF" w:rsidP="0039357C">
            <w:pPr>
              <w:spacing w:after="0" w:line="240" w:lineRule="auto"/>
              <w:contextualSpacing/>
              <w:rPr>
                <w:rFonts w:ascii="Times New Roman" w:eastAsia="Times New Roman" w:hAnsi="Times New Roman" w:cs="Times New Roman"/>
                <w:sz w:val="26"/>
                <w:szCs w:val="26"/>
                <w:lang w:eastAsia="lv-LV"/>
              </w:rPr>
            </w:pPr>
            <w:r w:rsidRPr="00C676EE">
              <w:rPr>
                <w:rFonts w:ascii="Times New Roman" w:eastAsia="Times New Roman" w:hAnsi="Times New Roman" w:cs="Times New Roman"/>
                <w:sz w:val="26"/>
                <w:szCs w:val="26"/>
                <w:lang w:eastAsia="lv-LV"/>
              </w:rPr>
              <w:t>Plānotās sabiedrības līdzdalības un komunikācijas aktivitātes saistībā ar projektu</w:t>
            </w:r>
          </w:p>
        </w:tc>
        <w:tc>
          <w:tcPr>
            <w:tcW w:w="3262" w:type="pct"/>
            <w:tcBorders>
              <w:top w:val="outset" w:sz="6" w:space="0" w:color="auto"/>
              <w:left w:val="outset" w:sz="6" w:space="0" w:color="auto"/>
              <w:bottom w:val="outset" w:sz="6" w:space="0" w:color="auto"/>
              <w:right w:val="outset" w:sz="6" w:space="0" w:color="auto"/>
            </w:tcBorders>
            <w:hideMark/>
          </w:tcPr>
          <w:p w:rsidR="001239EF" w:rsidRPr="00C676EE" w:rsidRDefault="001239EF" w:rsidP="0039357C">
            <w:pPr>
              <w:spacing w:after="0" w:line="240" w:lineRule="auto"/>
              <w:contextualSpacing/>
              <w:jc w:val="both"/>
              <w:rPr>
                <w:rFonts w:ascii="Times New Roman" w:eastAsia="Times New Roman" w:hAnsi="Times New Roman" w:cs="Times New Roman"/>
                <w:sz w:val="26"/>
                <w:szCs w:val="26"/>
                <w:lang w:eastAsia="lv-LV"/>
              </w:rPr>
            </w:pPr>
            <w:r w:rsidRPr="00C676EE">
              <w:rPr>
                <w:rFonts w:ascii="Times New Roman" w:eastAsia="Times New Roman" w:hAnsi="Times New Roman" w:cs="Times New Roman"/>
                <w:sz w:val="26"/>
                <w:szCs w:val="26"/>
                <w:lang w:eastAsia="lv-LV"/>
              </w:rPr>
              <w:t xml:space="preserve">Likumprojekts tika publiskots izsludinot to valsts sekretāru sanāksmē 2015.gada 14.septembrī. Savukārt informācija </w:t>
            </w:r>
            <w:r w:rsidRPr="00C676EE">
              <w:rPr>
                <w:rFonts w:ascii="Times New Roman" w:eastAsia="Times New Roman" w:hAnsi="Times New Roman" w:cs="Times New Roman"/>
                <w:sz w:val="26"/>
                <w:szCs w:val="26"/>
                <w:lang w:eastAsia="lv-LV"/>
              </w:rPr>
              <w:lastRenderedPageBreak/>
              <w:t xml:space="preserve">par izstrādātajām normām tika iekļauta Finanšu ministrijas interneta mājaslapā. </w:t>
            </w:r>
          </w:p>
        </w:tc>
      </w:tr>
      <w:tr w:rsidR="001239EF" w:rsidRPr="00C676EE" w:rsidTr="0039357C">
        <w:trPr>
          <w:trHeight w:val="330"/>
          <w:jc w:val="center"/>
        </w:trPr>
        <w:tc>
          <w:tcPr>
            <w:tcW w:w="1738" w:type="pct"/>
            <w:tcBorders>
              <w:top w:val="outset" w:sz="6" w:space="0" w:color="auto"/>
              <w:left w:val="outset" w:sz="6" w:space="0" w:color="auto"/>
              <w:bottom w:val="outset" w:sz="6" w:space="0" w:color="auto"/>
              <w:right w:val="outset" w:sz="6" w:space="0" w:color="auto"/>
            </w:tcBorders>
            <w:hideMark/>
          </w:tcPr>
          <w:p w:rsidR="001239EF" w:rsidRPr="00C676EE" w:rsidRDefault="001239EF" w:rsidP="0039357C">
            <w:pPr>
              <w:spacing w:after="0" w:line="240" w:lineRule="auto"/>
              <w:contextualSpacing/>
              <w:rPr>
                <w:rFonts w:ascii="Times New Roman" w:eastAsia="Times New Roman" w:hAnsi="Times New Roman" w:cs="Times New Roman"/>
                <w:sz w:val="26"/>
                <w:szCs w:val="26"/>
                <w:lang w:eastAsia="lv-LV"/>
              </w:rPr>
            </w:pPr>
            <w:r w:rsidRPr="00C676EE">
              <w:rPr>
                <w:rFonts w:ascii="Times New Roman" w:eastAsia="Times New Roman" w:hAnsi="Times New Roman" w:cs="Times New Roman"/>
                <w:sz w:val="26"/>
                <w:szCs w:val="26"/>
                <w:lang w:eastAsia="lv-LV"/>
              </w:rPr>
              <w:lastRenderedPageBreak/>
              <w:t>Sabiedrības līdzdalība projekta izstrādē</w:t>
            </w:r>
          </w:p>
        </w:tc>
        <w:tc>
          <w:tcPr>
            <w:tcW w:w="3262" w:type="pct"/>
            <w:tcBorders>
              <w:top w:val="outset" w:sz="6" w:space="0" w:color="auto"/>
              <w:left w:val="outset" w:sz="6" w:space="0" w:color="auto"/>
              <w:bottom w:val="outset" w:sz="6" w:space="0" w:color="auto"/>
              <w:right w:val="outset" w:sz="6" w:space="0" w:color="auto"/>
            </w:tcBorders>
            <w:hideMark/>
          </w:tcPr>
          <w:p w:rsidR="001239EF" w:rsidRPr="00C676EE" w:rsidRDefault="001239EF" w:rsidP="0039357C">
            <w:pPr>
              <w:spacing w:after="0" w:line="240" w:lineRule="auto"/>
              <w:contextualSpacing/>
              <w:jc w:val="both"/>
              <w:rPr>
                <w:rFonts w:ascii="Times New Roman" w:eastAsia="Times New Roman" w:hAnsi="Times New Roman" w:cs="Times New Roman"/>
                <w:sz w:val="26"/>
                <w:szCs w:val="26"/>
                <w:lang w:eastAsia="lv-LV"/>
              </w:rPr>
            </w:pPr>
            <w:r w:rsidRPr="00C676EE">
              <w:rPr>
                <w:rFonts w:ascii="Times New Roman" w:eastAsia="Times New Roman" w:hAnsi="Times New Roman" w:cs="Times New Roman"/>
                <w:sz w:val="26"/>
                <w:szCs w:val="26"/>
                <w:lang w:eastAsia="lv-LV"/>
              </w:rPr>
              <w:t xml:space="preserve">Ņemot vērā, ka likumprojekta izstrāde ir veikta, </w:t>
            </w:r>
            <w:r w:rsidRPr="00C676EE">
              <w:rPr>
                <w:rFonts w:ascii="Times New Roman" w:hAnsi="Times New Roman" w:cs="Times New Roman"/>
                <w:color w:val="000000"/>
                <w:sz w:val="26"/>
                <w:szCs w:val="26"/>
                <w:shd w:val="clear" w:color="auto" w:fill="FFFFFF"/>
              </w:rPr>
              <w:t>lai saskaņotu spēkā esošos normatīvos aktus ar Gada pārskatu un konsolidēto gada pārskatu likuma normām, tad minētā projekta izstrādē nevalstiskās organizācijas netika piesaistītas.</w:t>
            </w:r>
          </w:p>
        </w:tc>
      </w:tr>
      <w:tr w:rsidR="001239EF" w:rsidRPr="00C676EE" w:rsidTr="0039357C">
        <w:trPr>
          <w:trHeight w:val="465"/>
          <w:jc w:val="center"/>
        </w:trPr>
        <w:tc>
          <w:tcPr>
            <w:tcW w:w="1738" w:type="pct"/>
            <w:tcBorders>
              <w:top w:val="outset" w:sz="6" w:space="0" w:color="auto"/>
              <w:left w:val="outset" w:sz="6" w:space="0" w:color="auto"/>
              <w:bottom w:val="outset" w:sz="6" w:space="0" w:color="auto"/>
              <w:right w:val="outset" w:sz="6" w:space="0" w:color="auto"/>
            </w:tcBorders>
            <w:hideMark/>
          </w:tcPr>
          <w:p w:rsidR="001239EF" w:rsidRPr="00C676EE" w:rsidRDefault="001239EF" w:rsidP="0039357C">
            <w:pPr>
              <w:rPr>
                <w:rFonts w:ascii="Times New Roman" w:eastAsia="Times New Roman" w:hAnsi="Times New Roman" w:cs="Times New Roman"/>
                <w:sz w:val="26"/>
                <w:szCs w:val="26"/>
                <w:lang w:eastAsia="lv-LV"/>
              </w:rPr>
            </w:pPr>
            <w:r w:rsidRPr="00C676EE">
              <w:rPr>
                <w:rFonts w:ascii="Times New Roman" w:eastAsia="Times New Roman" w:hAnsi="Times New Roman" w:cs="Times New Roman"/>
                <w:sz w:val="26"/>
                <w:szCs w:val="26"/>
                <w:lang w:eastAsia="lv-LV"/>
              </w:rPr>
              <w:t>Sabiedrības līdzdalības rezultāti</w:t>
            </w:r>
          </w:p>
        </w:tc>
        <w:tc>
          <w:tcPr>
            <w:tcW w:w="3262" w:type="pct"/>
            <w:tcBorders>
              <w:top w:val="outset" w:sz="6" w:space="0" w:color="auto"/>
              <w:left w:val="outset" w:sz="6" w:space="0" w:color="auto"/>
              <w:bottom w:val="outset" w:sz="6" w:space="0" w:color="auto"/>
              <w:right w:val="outset" w:sz="6" w:space="0" w:color="auto"/>
            </w:tcBorders>
            <w:hideMark/>
          </w:tcPr>
          <w:p w:rsidR="001239EF" w:rsidRPr="00C676EE" w:rsidRDefault="001239EF" w:rsidP="0039357C">
            <w:pPr>
              <w:spacing w:after="0" w:line="240" w:lineRule="auto"/>
              <w:contextualSpacing/>
              <w:jc w:val="both"/>
              <w:rPr>
                <w:rFonts w:ascii="Times New Roman" w:eastAsia="Times New Roman" w:hAnsi="Times New Roman" w:cs="Times New Roman"/>
                <w:sz w:val="26"/>
                <w:szCs w:val="26"/>
                <w:lang w:eastAsia="lv-LV"/>
              </w:rPr>
            </w:pPr>
            <w:r w:rsidRPr="00C676EE">
              <w:rPr>
                <w:rFonts w:ascii="Times New Roman" w:eastAsia="Times New Roman" w:hAnsi="Times New Roman" w:cs="Times New Roman"/>
                <w:sz w:val="26"/>
                <w:szCs w:val="26"/>
                <w:lang w:eastAsia="lv-LV"/>
              </w:rPr>
              <w:t>Nav.</w:t>
            </w:r>
          </w:p>
        </w:tc>
      </w:tr>
      <w:tr w:rsidR="001239EF" w:rsidRPr="00C676EE" w:rsidTr="0039357C">
        <w:trPr>
          <w:trHeight w:val="465"/>
          <w:jc w:val="center"/>
        </w:trPr>
        <w:tc>
          <w:tcPr>
            <w:tcW w:w="1738" w:type="pct"/>
            <w:tcBorders>
              <w:top w:val="outset" w:sz="6" w:space="0" w:color="auto"/>
              <w:left w:val="outset" w:sz="6" w:space="0" w:color="auto"/>
              <w:bottom w:val="outset" w:sz="6" w:space="0" w:color="auto"/>
              <w:right w:val="outset" w:sz="6" w:space="0" w:color="auto"/>
            </w:tcBorders>
            <w:hideMark/>
          </w:tcPr>
          <w:p w:rsidR="001239EF" w:rsidRPr="00C676EE" w:rsidRDefault="001239EF" w:rsidP="0039357C">
            <w:pPr>
              <w:rPr>
                <w:rFonts w:ascii="Times New Roman" w:eastAsia="Times New Roman" w:hAnsi="Times New Roman" w:cs="Times New Roman"/>
                <w:sz w:val="26"/>
                <w:szCs w:val="26"/>
                <w:lang w:eastAsia="lv-LV"/>
              </w:rPr>
            </w:pPr>
            <w:r w:rsidRPr="00C676EE">
              <w:rPr>
                <w:rFonts w:ascii="Times New Roman" w:eastAsia="Times New Roman" w:hAnsi="Times New Roman" w:cs="Times New Roman"/>
                <w:sz w:val="26"/>
                <w:szCs w:val="26"/>
                <w:lang w:eastAsia="lv-LV"/>
              </w:rPr>
              <w:t>Cita informācija</w:t>
            </w:r>
          </w:p>
        </w:tc>
        <w:tc>
          <w:tcPr>
            <w:tcW w:w="3262" w:type="pct"/>
            <w:tcBorders>
              <w:top w:val="outset" w:sz="6" w:space="0" w:color="auto"/>
              <w:left w:val="outset" w:sz="6" w:space="0" w:color="auto"/>
              <w:bottom w:val="outset" w:sz="6" w:space="0" w:color="auto"/>
              <w:right w:val="outset" w:sz="6" w:space="0" w:color="auto"/>
            </w:tcBorders>
            <w:hideMark/>
          </w:tcPr>
          <w:p w:rsidR="001239EF" w:rsidRPr="00C676EE" w:rsidRDefault="001239EF" w:rsidP="0039357C">
            <w:pPr>
              <w:spacing w:before="100" w:beforeAutospacing="1" w:after="100" w:afterAutospacing="1"/>
              <w:rPr>
                <w:rFonts w:ascii="Times New Roman" w:eastAsia="Times New Roman" w:hAnsi="Times New Roman" w:cs="Times New Roman"/>
                <w:sz w:val="26"/>
                <w:szCs w:val="26"/>
                <w:lang w:eastAsia="lv-LV"/>
              </w:rPr>
            </w:pPr>
            <w:r w:rsidRPr="00C676EE">
              <w:rPr>
                <w:rFonts w:ascii="Times New Roman" w:eastAsia="Times New Roman" w:hAnsi="Times New Roman" w:cs="Times New Roman"/>
                <w:sz w:val="26"/>
                <w:szCs w:val="26"/>
                <w:lang w:eastAsia="lv-LV"/>
              </w:rPr>
              <w:t>Nav.</w:t>
            </w:r>
          </w:p>
        </w:tc>
      </w:tr>
    </w:tbl>
    <w:p w:rsidR="001239EF" w:rsidRPr="00C676EE" w:rsidRDefault="001239EF" w:rsidP="001239EF">
      <w:pPr>
        <w:spacing w:after="0" w:line="240" w:lineRule="auto"/>
        <w:rPr>
          <w:rFonts w:ascii="Times New Roman" w:eastAsia="Times New Roman" w:hAnsi="Times New Roman" w:cs="Times New Roman"/>
          <w:sz w:val="26"/>
          <w:szCs w:val="26"/>
          <w:lang w:eastAsia="lv-LV"/>
        </w:rPr>
      </w:pPr>
    </w:p>
    <w:p w:rsidR="001239EF" w:rsidRPr="00C676EE" w:rsidRDefault="001239EF" w:rsidP="001239EF">
      <w:pPr>
        <w:spacing w:after="0" w:line="240" w:lineRule="auto"/>
        <w:rPr>
          <w:rFonts w:ascii="Times New Roman" w:eastAsia="Times New Roman" w:hAnsi="Times New Roman" w:cs="Times New Roman"/>
          <w:sz w:val="26"/>
          <w:szCs w:val="26"/>
          <w:lang w:eastAsia="lv-LV"/>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2481"/>
        <w:gridCol w:w="6600"/>
      </w:tblGrid>
      <w:tr w:rsidR="001239EF" w:rsidRPr="00C676EE" w:rsidTr="0039357C">
        <w:trPr>
          <w:trHeight w:val="381"/>
          <w:jc w:val="center"/>
        </w:trPr>
        <w:tc>
          <w:tcPr>
            <w:tcW w:w="9518" w:type="dxa"/>
            <w:gridSpan w:val="3"/>
            <w:vAlign w:val="center"/>
          </w:tcPr>
          <w:p w:rsidR="001239EF" w:rsidRPr="00C676EE" w:rsidRDefault="001239EF" w:rsidP="0039357C">
            <w:pPr>
              <w:pStyle w:val="naisnod"/>
              <w:spacing w:before="0" w:beforeAutospacing="0" w:after="0" w:afterAutospacing="0"/>
              <w:ind w:right="57"/>
              <w:jc w:val="center"/>
              <w:rPr>
                <w:sz w:val="26"/>
                <w:szCs w:val="26"/>
              </w:rPr>
            </w:pPr>
            <w:r w:rsidRPr="00C676EE">
              <w:rPr>
                <w:b/>
                <w:sz w:val="26"/>
                <w:szCs w:val="26"/>
              </w:rPr>
              <w:t>VII. Tiesību akta projekta izpildes nodrošināšana un tās ietekme uz institūcijām</w:t>
            </w:r>
          </w:p>
        </w:tc>
      </w:tr>
      <w:tr w:rsidR="001239EF" w:rsidRPr="00C676EE" w:rsidTr="0039357C">
        <w:trPr>
          <w:trHeight w:val="427"/>
          <w:jc w:val="center"/>
        </w:trPr>
        <w:tc>
          <w:tcPr>
            <w:tcW w:w="437" w:type="dxa"/>
          </w:tcPr>
          <w:p w:rsidR="001239EF" w:rsidRPr="00C676EE" w:rsidRDefault="001239EF" w:rsidP="0039357C">
            <w:pPr>
              <w:pStyle w:val="naisnod"/>
              <w:spacing w:before="0" w:beforeAutospacing="0" w:after="0" w:afterAutospacing="0"/>
              <w:ind w:right="57"/>
              <w:jc w:val="both"/>
              <w:rPr>
                <w:sz w:val="26"/>
                <w:szCs w:val="26"/>
              </w:rPr>
            </w:pPr>
            <w:r w:rsidRPr="00C676EE">
              <w:rPr>
                <w:sz w:val="26"/>
                <w:szCs w:val="26"/>
              </w:rPr>
              <w:t>1.</w:t>
            </w:r>
          </w:p>
        </w:tc>
        <w:tc>
          <w:tcPr>
            <w:tcW w:w="2481" w:type="dxa"/>
          </w:tcPr>
          <w:p w:rsidR="001239EF" w:rsidRPr="00C676EE" w:rsidRDefault="001239EF" w:rsidP="0039357C">
            <w:pPr>
              <w:pStyle w:val="naisf"/>
              <w:spacing w:before="0" w:beforeAutospacing="0" w:after="0" w:afterAutospacing="0"/>
              <w:ind w:right="57"/>
              <w:jc w:val="both"/>
              <w:rPr>
                <w:sz w:val="26"/>
                <w:szCs w:val="26"/>
              </w:rPr>
            </w:pPr>
            <w:r w:rsidRPr="00C676EE">
              <w:rPr>
                <w:sz w:val="26"/>
                <w:szCs w:val="26"/>
              </w:rPr>
              <w:t>Projekta izpildē iesaistītās institūcijas</w:t>
            </w:r>
          </w:p>
        </w:tc>
        <w:tc>
          <w:tcPr>
            <w:tcW w:w="6600" w:type="dxa"/>
          </w:tcPr>
          <w:p w:rsidR="001239EF" w:rsidRPr="00C676EE" w:rsidRDefault="001239EF" w:rsidP="0039357C">
            <w:pPr>
              <w:shd w:val="clear" w:color="auto" w:fill="FFFFFF"/>
              <w:spacing w:after="0" w:line="240" w:lineRule="auto"/>
              <w:jc w:val="both"/>
              <w:rPr>
                <w:rFonts w:ascii="Times New Roman" w:hAnsi="Times New Roman" w:cs="Times New Roman"/>
                <w:sz w:val="26"/>
                <w:szCs w:val="26"/>
                <w:lang w:eastAsia="lv-LV"/>
              </w:rPr>
            </w:pPr>
            <w:r w:rsidRPr="00C676EE">
              <w:rPr>
                <w:rFonts w:ascii="Times New Roman" w:hAnsi="Times New Roman" w:cs="Times New Roman"/>
                <w:sz w:val="26"/>
                <w:szCs w:val="26"/>
                <w:lang w:eastAsia="lv-LV"/>
              </w:rPr>
              <w:t>Valsts ieņēmumu dienests.</w:t>
            </w:r>
          </w:p>
        </w:tc>
      </w:tr>
      <w:tr w:rsidR="001239EF" w:rsidRPr="00C676EE" w:rsidTr="0039357C">
        <w:trPr>
          <w:trHeight w:val="463"/>
          <w:jc w:val="center"/>
        </w:trPr>
        <w:tc>
          <w:tcPr>
            <w:tcW w:w="437" w:type="dxa"/>
          </w:tcPr>
          <w:p w:rsidR="001239EF" w:rsidRPr="00C676EE" w:rsidRDefault="001239EF" w:rsidP="0039357C">
            <w:pPr>
              <w:pStyle w:val="naisnod"/>
              <w:spacing w:before="0" w:beforeAutospacing="0" w:after="0" w:afterAutospacing="0"/>
              <w:ind w:right="57"/>
              <w:jc w:val="both"/>
              <w:rPr>
                <w:sz w:val="26"/>
                <w:szCs w:val="26"/>
              </w:rPr>
            </w:pPr>
            <w:r w:rsidRPr="00C676EE">
              <w:rPr>
                <w:sz w:val="26"/>
                <w:szCs w:val="26"/>
              </w:rPr>
              <w:t>2.</w:t>
            </w:r>
          </w:p>
        </w:tc>
        <w:tc>
          <w:tcPr>
            <w:tcW w:w="2481" w:type="dxa"/>
          </w:tcPr>
          <w:p w:rsidR="001239EF" w:rsidRPr="00C676EE" w:rsidRDefault="001239EF" w:rsidP="0039357C">
            <w:pPr>
              <w:pStyle w:val="naisf"/>
              <w:spacing w:before="0" w:beforeAutospacing="0" w:after="0" w:afterAutospacing="0"/>
              <w:ind w:right="57"/>
              <w:contextualSpacing/>
              <w:jc w:val="both"/>
              <w:rPr>
                <w:sz w:val="26"/>
                <w:szCs w:val="26"/>
              </w:rPr>
            </w:pPr>
            <w:r w:rsidRPr="00C676EE">
              <w:rPr>
                <w:sz w:val="26"/>
                <w:szCs w:val="26"/>
              </w:rPr>
              <w:t>Projekta izpildes ietekme uz pār</w:t>
            </w:r>
            <w:r w:rsidRPr="00C676EE">
              <w:rPr>
                <w:sz w:val="26"/>
                <w:szCs w:val="26"/>
              </w:rPr>
              <w:softHyphen/>
              <w:t>valdes funkcijām un institucionālo struktūru.</w:t>
            </w:r>
          </w:p>
          <w:p w:rsidR="001239EF" w:rsidRPr="00C676EE" w:rsidRDefault="001239EF" w:rsidP="0039357C">
            <w:pPr>
              <w:pStyle w:val="naisf"/>
              <w:spacing w:before="0" w:beforeAutospacing="0" w:after="0" w:afterAutospacing="0"/>
              <w:ind w:right="57"/>
              <w:contextualSpacing/>
              <w:jc w:val="both"/>
              <w:rPr>
                <w:sz w:val="26"/>
                <w:szCs w:val="26"/>
              </w:rPr>
            </w:pPr>
            <w:r w:rsidRPr="00C676EE">
              <w:rPr>
                <w:sz w:val="26"/>
                <w:szCs w:val="26"/>
              </w:rPr>
              <w:t>Jaunu institūciju izveide, esošu institūciju likvidācija vai reorga</w:t>
            </w:r>
            <w:r w:rsidRPr="00C676EE">
              <w:rPr>
                <w:sz w:val="26"/>
                <w:szCs w:val="26"/>
              </w:rPr>
              <w:softHyphen/>
              <w:t>nizācija, to ietekme uz institūcijas cilvēkresursiem</w:t>
            </w:r>
          </w:p>
        </w:tc>
        <w:tc>
          <w:tcPr>
            <w:tcW w:w="6600" w:type="dxa"/>
          </w:tcPr>
          <w:p w:rsidR="001239EF" w:rsidRPr="00C676EE" w:rsidRDefault="001239EF" w:rsidP="0039357C">
            <w:pPr>
              <w:shd w:val="clear" w:color="auto" w:fill="FFFFFF"/>
              <w:spacing w:after="0" w:line="240" w:lineRule="auto"/>
              <w:jc w:val="both"/>
              <w:rPr>
                <w:rFonts w:ascii="Times New Roman" w:hAnsi="Times New Roman" w:cs="Times New Roman"/>
                <w:sz w:val="26"/>
                <w:szCs w:val="26"/>
                <w:lang w:val="en-US" w:eastAsia="lv-LV"/>
              </w:rPr>
            </w:pPr>
            <w:proofErr w:type="spellStart"/>
            <w:r w:rsidRPr="00C676EE">
              <w:rPr>
                <w:rFonts w:ascii="Times New Roman" w:hAnsi="Times New Roman" w:cs="Times New Roman"/>
                <w:sz w:val="26"/>
                <w:szCs w:val="26"/>
                <w:lang w:val="en-US" w:eastAsia="lv-LV"/>
              </w:rPr>
              <w:t>Projekts</w:t>
            </w:r>
            <w:proofErr w:type="spellEnd"/>
            <w:r w:rsidRPr="00C676EE">
              <w:rPr>
                <w:rFonts w:ascii="Times New Roman" w:hAnsi="Times New Roman" w:cs="Times New Roman"/>
                <w:sz w:val="26"/>
                <w:szCs w:val="26"/>
                <w:lang w:val="en-US" w:eastAsia="lv-LV"/>
              </w:rPr>
              <w:t xml:space="preserve"> </w:t>
            </w:r>
            <w:proofErr w:type="spellStart"/>
            <w:r w:rsidRPr="00C676EE">
              <w:rPr>
                <w:rFonts w:ascii="Times New Roman" w:hAnsi="Times New Roman" w:cs="Times New Roman"/>
                <w:sz w:val="26"/>
                <w:szCs w:val="26"/>
                <w:lang w:val="en-US" w:eastAsia="lv-LV"/>
              </w:rPr>
              <w:t>šo</w:t>
            </w:r>
            <w:proofErr w:type="spellEnd"/>
            <w:r w:rsidRPr="00C676EE">
              <w:rPr>
                <w:rFonts w:ascii="Times New Roman" w:hAnsi="Times New Roman" w:cs="Times New Roman"/>
                <w:sz w:val="26"/>
                <w:szCs w:val="26"/>
                <w:lang w:val="en-US" w:eastAsia="lv-LV"/>
              </w:rPr>
              <w:t xml:space="preserve"> </w:t>
            </w:r>
            <w:proofErr w:type="spellStart"/>
            <w:r w:rsidRPr="00C676EE">
              <w:rPr>
                <w:rFonts w:ascii="Times New Roman" w:hAnsi="Times New Roman" w:cs="Times New Roman"/>
                <w:sz w:val="26"/>
                <w:szCs w:val="26"/>
                <w:lang w:val="en-US" w:eastAsia="lv-LV"/>
              </w:rPr>
              <w:t>jomu</w:t>
            </w:r>
            <w:proofErr w:type="spellEnd"/>
            <w:r w:rsidRPr="00C676EE">
              <w:rPr>
                <w:rFonts w:ascii="Times New Roman" w:hAnsi="Times New Roman" w:cs="Times New Roman"/>
                <w:sz w:val="26"/>
                <w:szCs w:val="26"/>
                <w:lang w:val="en-US" w:eastAsia="lv-LV"/>
              </w:rPr>
              <w:t xml:space="preserve"> </w:t>
            </w:r>
            <w:proofErr w:type="spellStart"/>
            <w:r w:rsidRPr="00C676EE">
              <w:rPr>
                <w:rFonts w:ascii="Times New Roman" w:hAnsi="Times New Roman" w:cs="Times New Roman"/>
                <w:sz w:val="26"/>
                <w:szCs w:val="26"/>
                <w:lang w:val="en-US" w:eastAsia="lv-LV"/>
              </w:rPr>
              <w:t>neskar</w:t>
            </w:r>
            <w:proofErr w:type="spellEnd"/>
            <w:r w:rsidRPr="00C676EE">
              <w:rPr>
                <w:rFonts w:ascii="Times New Roman" w:hAnsi="Times New Roman" w:cs="Times New Roman"/>
                <w:sz w:val="26"/>
                <w:szCs w:val="26"/>
                <w:lang w:val="en-US" w:eastAsia="lv-LV"/>
              </w:rPr>
              <w:t>.</w:t>
            </w:r>
          </w:p>
          <w:p w:rsidR="001239EF" w:rsidRPr="00C676EE" w:rsidRDefault="001239EF" w:rsidP="0039357C">
            <w:pPr>
              <w:shd w:val="clear" w:color="auto" w:fill="FFFFFF"/>
              <w:spacing w:after="0" w:line="240" w:lineRule="auto"/>
              <w:jc w:val="both"/>
              <w:rPr>
                <w:rFonts w:ascii="Times New Roman" w:hAnsi="Times New Roman" w:cs="Times New Roman"/>
                <w:sz w:val="26"/>
                <w:szCs w:val="26"/>
                <w:lang w:val="en-US" w:eastAsia="lv-LV"/>
              </w:rPr>
            </w:pPr>
          </w:p>
        </w:tc>
      </w:tr>
      <w:tr w:rsidR="001239EF" w:rsidRPr="00C676EE" w:rsidTr="0039357C">
        <w:trPr>
          <w:trHeight w:val="283"/>
          <w:jc w:val="center"/>
        </w:trPr>
        <w:tc>
          <w:tcPr>
            <w:tcW w:w="437" w:type="dxa"/>
            <w:tcBorders>
              <w:top w:val="single" w:sz="4" w:space="0" w:color="auto"/>
              <w:left w:val="single" w:sz="4" w:space="0" w:color="auto"/>
              <w:bottom w:val="single" w:sz="4" w:space="0" w:color="auto"/>
              <w:right w:val="single" w:sz="4" w:space="0" w:color="auto"/>
            </w:tcBorders>
          </w:tcPr>
          <w:p w:rsidR="001239EF" w:rsidRPr="00C676EE" w:rsidRDefault="001239EF" w:rsidP="0039357C">
            <w:pPr>
              <w:pStyle w:val="naisnod"/>
              <w:spacing w:before="0" w:beforeAutospacing="0" w:after="0" w:afterAutospacing="0"/>
              <w:ind w:right="57"/>
              <w:jc w:val="both"/>
              <w:rPr>
                <w:sz w:val="26"/>
                <w:szCs w:val="26"/>
              </w:rPr>
            </w:pPr>
            <w:r w:rsidRPr="00C676EE">
              <w:rPr>
                <w:sz w:val="26"/>
                <w:szCs w:val="26"/>
              </w:rPr>
              <w:t>3.</w:t>
            </w:r>
          </w:p>
        </w:tc>
        <w:tc>
          <w:tcPr>
            <w:tcW w:w="2481" w:type="dxa"/>
            <w:tcBorders>
              <w:top w:val="single" w:sz="4" w:space="0" w:color="auto"/>
              <w:left w:val="single" w:sz="4" w:space="0" w:color="auto"/>
              <w:bottom w:val="single" w:sz="4" w:space="0" w:color="auto"/>
              <w:right w:val="single" w:sz="4" w:space="0" w:color="auto"/>
            </w:tcBorders>
          </w:tcPr>
          <w:p w:rsidR="001239EF" w:rsidRPr="00C676EE" w:rsidRDefault="001239EF" w:rsidP="0039357C">
            <w:pPr>
              <w:pStyle w:val="naisf"/>
              <w:spacing w:before="0" w:beforeAutospacing="0" w:after="0" w:afterAutospacing="0"/>
              <w:ind w:right="57"/>
              <w:jc w:val="both"/>
              <w:rPr>
                <w:sz w:val="26"/>
                <w:szCs w:val="26"/>
              </w:rPr>
            </w:pPr>
            <w:r w:rsidRPr="00C676EE">
              <w:rPr>
                <w:sz w:val="26"/>
                <w:szCs w:val="26"/>
              </w:rPr>
              <w:t>Cita informācija</w:t>
            </w:r>
          </w:p>
        </w:tc>
        <w:tc>
          <w:tcPr>
            <w:tcW w:w="6600" w:type="dxa"/>
            <w:tcBorders>
              <w:top w:val="single" w:sz="4" w:space="0" w:color="auto"/>
              <w:left w:val="single" w:sz="4" w:space="0" w:color="auto"/>
              <w:bottom w:val="single" w:sz="4" w:space="0" w:color="auto"/>
              <w:right w:val="single" w:sz="4" w:space="0" w:color="auto"/>
            </w:tcBorders>
          </w:tcPr>
          <w:p w:rsidR="001239EF" w:rsidRPr="00C676EE" w:rsidRDefault="001239EF" w:rsidP="0039357C">
            <w:pPr>
              <w:spacing w:after="0" w:line="240" w:lineRule="auto"/>
              <w:ind w:right="57"/>
              <w:jc w:val="both"/>
              <w:rPr>
                <w:rFonts w:ascii="Times New Roman" w:hAnsi="Times New Roman" w:cs="Times New Roman"/>
                <w:sz w:val="26"/>
                <w:szCs w:val="26"/>
                <w:lang w:eastAsia="lv-LV"/>
              </w:rPr>
            </w:pPr>
            <w:r w:rsidRPr="00C676EE">
              <w:rPr>
                <w:rFonts w:ascii="Times New Roman" w:hAnsi="Times New Roman" w:cs="Times New Roman"/>
                <w:sz w:val="26"/>
                <w:szCs w:val="26"/>
              </w:rPr>
              <w:t>Nav.</w:t>
            </w:r>
          </w:p>
        </w:tc>
      </w:tr>
    </w:tbl>
    <w:p w:rsidR="001239EF" w:rsidRPr="00C676EE" w:rsidRDefault="001239EF" w:rsidP="001239EF">
      <w:pPr>
        <w:spacing w:after="0" w:line="240" w:lineRule="auto"/>
        <w:jc w:val="both"/>
        <w:rPr>
          <w:rFonts w:ascii="Times New Roman" w:eastAsia="Times New Roman" w:hAnsi="Times New Roman" w:cs="Times New Roman"/>
          <w:sz w:val="26"/>
          <w:szCs w:val="26"/>
          <w:lang w:eastAsia="lv-LV"/>
        </w:rPr>
      </w:pPr>
    </w:p>
    <w:p w:rsidR="00921EB7" w:rsidRPr="00921EB7" w:rsidRDefault="00921EB7" w:rsidP="00921EB7">
      <w:pPr>
        <w:spacing w:after="0" w:line="240" w:lineRule="auto"/>
        <w:jc w:val="both"/>
        <w:rPr>
          <w:rFonts w:ascii="Times New Roman" w:eastAsia="Times New Roman" w:hAnsi="Times New Roman" w:cs="Times New Roman"/>
          <w:sz w:val="26"/>
          <w:szCs w:val="26"/>
        </w:rPr>
      </w:pPr>
      <w:r w:rsidRPr="00921EB7">
        <w:rPr>
          <w:rFonts w:ascii="Times New Roman" w:eastAsia="Times New Roman" w:hAnsi="Times New Roman" w:cs="Times New Roman"/>
          <w:sz w:val="26"/>
          <w:szCs w:val="26"/>
        </w:rPr>
        <w:t>Finanšu ministr</w:t>
      </w:r>
      <w:r w:rsidR="008C11DC">
        <w:rPr>
          <w:rFonts w:ascii="Times New Roman" w:eastAsia="Times New Roman" w:hAnsi="Times New Roman" w:cs="Times New Roman"/>
          <w:sz w:val="26"/>
          <w:szCs w:val="26"/>
        </w:rPr>
        <w:t>s</w:t>
      </w:r>
      <w:r w:rsidRPr="00921EB7">
        <w:rPr>
          <w:rFonts w:ascii="Times New Roman" w:eastAsia="Times New Roman" w:hAnsi="Times New Roman" w:cs="Times New Roman"/>
          <w:sz w:val="26"/>
          <w:szCs w:val="26"/>
        </w:rPr>
        <w:t xml:space="preserve">                                                                  </w:t>
      </w:r>
      <w:r w:rsidR="008C11DC">
        <w:rPr>
          <w:rFonts w:ascii="Times New Roman" w:eastAsia="Times New Roman" w:hAnsi="Times New Roman" w:cs="Times New Roman"/>
          <w:sz w:val="26"/>
          <w:szCs w:val="26"/>
        </w:rPr>
        <w:t xml:space="preserve">              </w:t>
      </w:r>
      <w:r w:rsidRPr="00921EB7">
        <w:rPr>
          <w:rFonts w:ascii="Times New Roman" w:eastAsia="Times New Roman" w:hAnsi="Times New Roman" w:cs="Times New Roman"/>
          <w:sz w:val="26"/>
          <w:szCs w:val="26"/>
        </w:rPr>
        <w:t xml:space="preserve">                 </w:t>
      </w:r>
      <w:proofErr w:type="spellStart"/>
      <w:r w:rsidRPr="00921EB7">
        <w:rPr>
          <w:rFonts w:ascii="Times New Roman" w:eastAsia="Times New Roman" w:hAnsi="Times New Roman" w:cs="Times New Roman"/>
          <w:sz w:val="26"/>
          <w:szCs w:val="26"/>
        </w:rPr>
        <w:t>J.</w:t>
      </w:r>
      <w:r w:rsidR="008C11DC">
        <w:rPr>
          <w:rFonts w:ascii="Times New Roman" w:eastAsia="Times New Roman" w:hAnsi="Times New Roman" w:cs="Times New Roman"/>
          <w:sz w:val="26"/>
          <w:szCs w:val="26"/>
        </w:rPr>
        <w:t>Reirs</w:t>
      </w:r>
      <w:proofErr w:type="spellEnd"/>
    </w:p>
    <w:p w:rsidR="001239EF" w:rsidRDefault="001239EF" w:rsidP="001239EF">
      <w:pPr>
        <w:pStyle w:val="Footer"/>
        <w:rPr>
          <w:rFonts w:ascii="Times New Roman" w:hAnsi="Times New Roman" w:cs="Times New Roman"/>
          <w:sz w:val="20"/>
          <w:szCs w:val="20"/>
        </w:rPr>
      </w:pPr>
    </w:p>
    <w:p w:rsidR="001239EF" w:rsidRDefault="001239EF" w:rsidP="001239EF">
      <w:pPr>
        <w:pStyle w:val="Footer"/>
        <w:rPr>
          <w:rFonts w:ascii="Times New Roman" w:hAnsi="Times New Roman" w:cs="Times New Roman"/>
          <w:sz w:val="20"/>
          <w:szCs w:val="20"/>
        </w:rPr>
      </w:pPr>
    </w:p>
    <w:p w:rsidR="001239EF" w:rsidRDefault="001239EF" w:rsidP="001239EF">
      <w:pPr>
        <w:pStyle w:val="Footer"/>
        <w:rPr>
          <w:rFonts w:ascii="Times New Roman" w:hAnsi="Times New Roman" w:cs="Times New Roman"/>
          <w:sz w:val="20"/>
          <w:szCs w:val="20"/>
        </w:rPr>
      </w:pPr>
    </w:p>
    <w:p w:rsidR="001239EF" w:rsidRDefault="001239EF" w:rsidP="001239EF">
      <w:pPr>
        <w:pStyle w:val="Footer"/>
        <w:rPr>
          <w:rFonts w:ascii="Times New Roman" w:hAnsi="Times New Roman" w:cs="Times New Roman"/>
          <w:sz w:val="20"/>
          <w:szCs w:val="20"/>
        </w:rPr>
      </w:pPr>
    </w:p>
    <w:p w:rsidR="00D877BF" w:rsidRDefault="00D877BF" w:rsidP="001239EF">
      <w:pPr>
        <w:pStyle w:val="Footer"/>
        <w:rPr>
          <w:rFonts w:ascii="Times New Roman" w:hAnsi="Times New Roman" w:cs="Times New Roman"/>
          <w:sz w:val="20"/>
          <w:szCs w:val="20"/>
        </w:rPr>
      </w:pPr>
    </w:p>
    <w:p w:rsidR="00D877BF" w:rsidRDefault="00D877BF" w:rsidP="001239EF">
      <w:pPr>
        <w:pStyle w:val="Footer"/>
        <w:rPr>
          <w:rFonts w:ascii="Times New Roman" w:hAnsi="Times New Roman" w:cs="Times New Roman"/>
          <w:sz w:val="20"/>
          <w:szCs w:val="20"/>
        </w:rPr>
      </w:pPr>
    </w:p>
    <w:p w:rsidR="001239EF" w:rsidRDefault="001239EF" w:rsidP="001239EF">
      <w:pPr>
        <w:pStyle w:val="Footer"/>
        <w:rPr>
          <w:rFonts w:ascii="Times New Roman" w:hAnsi="Times New Roman" w:cs="Times New Roman"/>
          <w:sz w:val="20"/>
          <w:szCs w:val="20"/>
        </w:rPr>
      </w:pPr>
    </w:p>
    <w:p w:rsidR="001239EF" w:rsidRDefault="001239EF" w:rsidP="001239EF">
      <w:pPr>
        <w:pStyle w:val="Footer"/>
        <w:rPr>
          <w:rFonts w:ascii="Times New Roman" w:hAnsi="Times New Roman" w:cs="Times New Roman"/>
          <w:sz w:val="20"/>
          <w:szCs w:val="20"/>
        </w:rPr>
      </w:pPr>
    </w:p>
    <w:p w:rsidR="001239EF" w:rsidRDefault="001239EF" w:rsidP="001239EF">
      <w:pPr>
        <w:pStyle w:val="Footer"/>
        <w:rPr>
          <w:rFonts w:ascii="Times New Roman" w:hAnsi="Times New Roman" w:cs="Times New Roman"/>
          <w:sz w:val="20"/>
          <w:szCs w:val="20"/>
        </w:rPr>
      </w:pPr>
    </w:p>
    <w:p w:rsidR="001239EF" w:rsidRDefault="001239EF" w:rsidP="001239EF">
      <w:pPr>
        <w:pStyle w:val="Footer"/>
        <w:rPr>
          <w:rFonts w:ascii="Times New Roman" w:hAnsi="Times New Roman" w:cs="Times New Roman"/>
          <w:sz w:val="20"/>
          <w:szCs w:val="20"/>
        </w:rPr>
      </w:pPr>
    </w:p>
    <w:p w:rsidR="001239EF" w:rsidRPr="00CF725C" w:rsidRDefault="001239EF" w:rsidP="001239EF">
      <w:pPr>
        <w:pStyle w:val="Footer"/>
        <w:rPr>
          <w:rFonts w:ascii="Times New Roman" w:hAnsi="Times New Roman" w:cs="Times New Roman"/>
          <w:sz w:val="20"/>
          <w:szCs w:val="20"/>
        </w:rPr>
      </w:pPr>
      <w:r>
        <w:rPr>
          <w:rFonts w:ascii="Times New Roman" w:hAnsi="Times New Roman" w:cs="Times New Roman"/>
          <w:sz w:val="20"/>
          <w:szCs w:val="20"/>
        </w:rPr>
        <w:t>03.11</w:t>
      </w:r>
      <w:r w:rsidRPr="00CF725C">
        <w:rPr>
          <w:rFonts w:ascii="Times New Roman" w:hAnsi="Times New Roman" w:cs="Times New Roman"/>
          <w:sz w:val="20"/>
          <w:szCs w:val="20"/>
        </w:rPr>
        <w:t>.201</w:t>
      </w:r>
      <w:r>
        <w:rPr>
          <w:rFonts w:ascii="Times New Roman" w:hAnsi="Times New Roman" w:cs="Times New Roman"/>
          <w:sz w:val="20"/>
          <w:szCs w:val="20"/>
        </w:rPr>
        <w:t>5</w:t>
      </w:r>
      <w:r w:rsidRPr="00CF725C">
        <w:rPr>
          <w:rFonts w:ascii="Times New Roman" w:hAnsi="Times New Roman" w:cs="Times New Roman"/>
          <w:sz w:val="20"/>
          <w:szCs w:val="20"/>
        </w:rPr>
        <w:t>.</w:t>
      </w:r>
    </w:p>
    <w:p w:rsidR="001239EF" w:rsidRPr="00CF725C" w:rsidRDefault="001239EF" w:rsidP="001239EF">
      <w:pPr>
        <w:pStyle w:val="Footer"/>
        <w:rPr>
          <w:rFonts w:ascii="Times New Roman" w:hAnsi="Times New Roman" w:cs="Times New Roman"/>
          <w:sz w:val="20"/>
          <w:szCs w:val="20"/>
        </w:rPr>
      </w:pPr>
      <w:r w:rsidRPr="00CF725C">
        <w:rPr>
          <w:rFonts w:ascii="Times New Roman" w:hAnsi="Times New Roman" w:cs="Times New Roman"/>
          <w:sz w:val="20"/>
          <w:szCs w:val="20"/>
        </w:rPr>
        <w:fldChar w:fldCharType="begin"/>
      </w:r>
      <w:r w:rsidRPr="00CF725C">
        <w:rPr>
          <w:rFonts w:ascii="Times New Roman" w:hAnsi="Times New Roman" w:cs="Times New Roman"/>
          <w:sz w:val="20"/>
          <w:szCs w:val="20"/>
        </w:rPr>
        <w:instrText xml:space="preserve"> NUMWORDS  \* MERGEFORMAT </w:instrText>
      </w:r>
      <w:r w:rsidRPr="00CF725C">
        <w:rPr>
          <w:rFonts w:ascii="Times New Roman" w:hAnsi="Times New Roman" w:cs="Times New Roman"/>
          <w:sz w:val="20"/>
          <w:szCs w:val="20"/>
        </w:rPr>
        <w:fldChar w:fldCharType="separate"/>
      </w:r>
      <w:r w:rsidR="008C11DC">
        <w:rPr>
          <w:rFonts w:ascii="Times New Roman" w:hAnsi="Times New Roman" w:cs="Times New Roman"/>
          <w:noProof/>
          <w:sz w:val="20"/>
          <w:szCs w:val="20"/>
        </w:rPr>
        <w:t>1218</w:t>
      </w:r>
      <w:r w:rsidRPr="00CF725C">
        <w:rPr>
          <w:rFonts w:ascii="Times New Roman" w:hAnsi="Times New Roman" w:cs="Times New Roman"/>
          <w:sz w:val="20"/>
          <w:szCs w:val="20"/>
        </w:rPr>
        <w:fldChar w:fldCharType="end"/>
      </w:r>
    </w:p>
    <w:p w:rsidR="001239EF" w:rsidRPr="00CF725C" w:rsidRDefault="001239EF" w:rsidP="001239EF">
      <w:pPr>
        <w:pStyle w:val="Footer"/>
        <w:rPr>
          <w:rFonts w:ascii="Times New Roman" w:hAnsi="Times New Roman" w:cs="Times New Roman"/>
          <w:sz w:val="20"/>
          <w:szCs w:val="20"/>
        </w:rPr>
      </w:pPr>
      <w:r w:rsidRPr="00CF725C">
        <w:rPr>
          <w:rFonts w:ascii="Times New Roman" w:hAnsi="Times New Roman" w:cs="Times New Roman"/>
          <w:sz w:val="20"/>
          <w:szCs w:val="20"/>
        </w:rPr>
        <w:t>Mačivka, 67095630</w:t>
      </w:r>
    </w:p>
    <w:p w:rsidR="001D2D97" w:rsidRPr="001D2D97" w:rsidRDefault="00E90B64" w:rsidP="00AA63A7">
      <w:pPr>
        <w:pStyle w:val="Footer"/>
      </w:pPr>
      <w:hyperlink r:id="rId7" w:history="1">
        <w:r w:rsidR="001239EF" w:rsidRPr="00CF725C">
          <w:rPr>
            <w:rStyle w:val="Hyperlink"/>
            <w:rFonts w:ascii="Times New Roman" w:hAnsi="Times New Roman" w:cs="Times New Roman"/>
            <w:sz w:val="20"/>
            <w:szCs w:val="20"/>
          </w:rPr>
          <w:t>Sandra.Macivka@fm.gov.lv</w:t>
        </w:r>
      </w:hyperlink>
    </w:p>
    <w:p w:rsidR="00A36973" w:rsidRPr="001D2D97" w:rsidRDefault="001D2D97" w:rsidP="001D2D97">
      <w:pPr>
        <w:tabs>
          <w:tab w:val="left" w:pos="1230"/>
        </w:tabs>
      </w:pPr>
      <w:r>
        <w:tab/>
      </w:r>
    </w:p>
    <w:sectPr w:rsidR="00A36973" w:rsidRPr="001D2D97" w:rsidSect="00490681">
      <w:headerReference w:type="default" r:id="rId8"/>
      <w:footerReference w:type="default" r:id="rId9"/>
      <w:headerReference w:type="first" r:id="rId10"/>
      <w:footerReference w:type="first" r:id="rId11"/>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B64" w:rsidRDefault="00E90B64" w:rsidP="001239EF">
      <w:pPr>
        <w:spacing w:after="0" w:line="240" w:lineRule="auto"/>
      </w:pPr>
      <w:r>
        <w:separator/>
      </w:r>
    </w:p>
  </w:endnote>
  <w:endnote w:type="continuationSeparator" w:id="0">
    <w:p w:rsidR="00E90B64" w:rsidRDefault="00E90B64" w:rsidP="00123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54" w:rsidRPr="00F74954" w:rsidRDefault="001D2D97" w:rsidP="00F74954">
    <w:pPr>
      <w:pStyle w:val="naisf"/>
      <w:spacing w:before="0" w:beforeAutospacing="0" w:after="0" w:afterAutospacing="0"/>
      <w:jc w:val="both"/>
      <w:rPr>
        <w:rFonts w:eastAsiaTheme="minorHAnsi"/>
        <w:bCs/>
        <w:sz w:val="20"/>
        <w:szCs w:val="20"/>
        <w:lang w:eastAsia="x-none"/>
      </w:rPr>
    </w:pPr>
    <w:r w:rsidRPr="00F74954">
      <w:rPr>
        <w:sz w:val="20"/>
        <w:szCs w:val="20"/>
      </w:rPr>
      <w:fldChar w:fldCharType="begin"/>
    </w:r>
    <w:r w:rsidRPr="00F74954">
      <w:rPr>
        <w:sz w:val="20"/>
        <w:szCs w:val="20"/>
      </w:rPr>
      <w:instrText xml:space="preserve"> FILENAME   \* MERGEFORMAT </w:instrText>
    </w:r>
    <w:r w:rsidRPr="00F74954">
      <w:rPr>
        <w:sz w:val="20"/>
        <w:szCs w:val="20"/>
      </w:rPr>
      <w:fldChar w:fldCharType="separate"/>
    </w:r>
    <w:r w:rsidR="008C11DC">
      <w:rPr>
        <w:noProof/>
        <w:sz w:val="20"/>
        <w:szCs w:val="20"/>
      </w:rPr>
      <w:t>FMAnot_031115_UIN.docx</w:t>
    </w:r>
    <w:r w:rsidRPr="00F74954">
      <w:rPr>
        <w:noProof/>
        <w:sz w:val="20"/>
        <w:szCs w:val="20"/>
      </w:rPr>
      <w:fldChar w:fldCharType="end"/>
    </w:r>
    <w:r w:rsidRPr="00F74954">
      <w:rPr>
        <w:sz w:val="20"/>
        <w:szCs w:val="20"/>
      </w:rPr>
      <w:t xml:space="preserve">; </w:t>
    </w:r>
    <w:r w:rsidRPr="00F74954">
      <w:rPr>
        <w:rFonts w:eastAsiaTheme="minorHAnsi"/>
        <w:bCs/>
        <w:sz w:val="20"/>
        <w:szCs w:val="20"/>
        <w:lang w:eastAsia="x-none"/>
      </w:rPr>
      <w:t>Likumprojekta „Grozījumi likumā „Par uzņēmumu ienākuma nodokli”” sākotnējās ietekmes novērtējuma ziņojums (anotācija)</w:t>
    </w:r>
  </w:p>
  <w:p w:rsidR="00F324BB" w:rsidRPr="00BF62F3" w:rsidRDefault="00E90B64" w:rsidP="00F324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19F" w:rsidRPr="00F74954" w:rsidRDefault="001D2D97" w:rsidP="001E019F">
    <w:pPr>
      <w:pStyle w:val="naisf"/>
      <w:spacing w:before="0" w:beforeAutospacing="0" w:after="0" w:afterAutospacing="0"/>
      <w:jc w:val="both"/>
      <w:rPr>
        <w:rFonts w:eastAsiaTheme="minorHAnsi"/>
        <w:bCs/>
        <w:sz w:val="20"/>
        <w:szCs w:val="20"/>
        <w:lang w:eastAsia="x-none"/>
      </w:rPr>
    </w:pPr>
    <w:r w:rsidRPr="00F74954">
      <w:rPr>
        <w:sz w:val="20"/>
        <w:szCs w:val="20"/>
      </w:rPr>
      <w:fldChar w:fldCharType="begin"/>
    </w:r>
    <w:r w:rsidRPr="00F74954">
      <w:rPr>
        <w:sz w:val="20"/>
        <w:szCs w:val="20"/>
      </w:rPr>
      <w:instrText xml:space="preserve"> FILENAME   \* MERGEFORMAT </w:instrText>
    </w:r>
    <w:r w:rsidRPr="00F74954">
      <w:rPr>
        <w:sz w:val="20"/>
        <w:szCs w:val="20"/>
      </w:rPr>
      <w:fldChar w:fldCharType="separate"/>
    </w:r>
    <w:r w:rsidR="008C11DC">
      <w:rPr>
        <w:noProof/>
        <w:sz w:val="20"/>
        <w:szCs w:val="20"/>
      </w:rPr>
      <w:t>FMAnot_031115_UIN.docx</w:t>
    </w:r>
    <w:r w:rsidRPr="00F74954">
      <w:rPr>
        <w:noProof/>
        <w:sz w:val="20"/>
        <w:szCs w:val="20"/>
      </w:rPr>
      <w:fldChar w:fldCharType="end"/>
    </w:r>
    <w:r w:rsidRPr="00F74954">
      <w:rPr>
        <w:sz w:val="20"/>
        <w:szCs w:val="20"/>
      </w:rPr>
      <w:t xml:space="preserve">; </w:t>
    </w:r>
    <w:r w:rsidRPr="00F74954">
      <w:rPr>
        <w:rFonts w:eastAsiaTheme="minorHAnsi"/>
        <w:bCs/>
        <w:sz w:val="20"/>
        <w:szCs w:val="20"/>
        <w:lang w:eastAsia="x-none"/>
      </w:rPr>
      <w:t>Likumprojekta „Grozījumi likumā „Par uzņēmumu ienākuma nodokli”” sākotnējās ietekmes novērtējuma ziņojums (anotācija)</w:t>
    </w:r>
  </w:p>
  <w:p w:rsidR="00F324BB" w:rsidRPr="001E019F" w:rsidRDefault="00E90B64" w:rsidP="001E0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B64" w:rsidRDefault="00E90B64" w:rsidP="001239EF">
      <w:pPr>
        <w:spacing w:after="0" w:line="240" w:lineRule="auto"/>
      </w:pPr>
      <w:r>
        <w:separator/>
      </w:r>
    </w:p>
  </w:footnote>
  <w:footnote w:type="continuationSeparator" w:id="0">
    <w:p w:rsidR="00E90B64" w:rsidRDefault="00E90B64" w:rsidP="00123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358746"/>
      <w:docPartObj>
        <w:docPartGallery w:val="Page Numbers (Top of Page)"/>
        <w:docPartUnique/>
      </w:docPartObj>
    </w:sdtPr>
    <w:sdtEndPr>
      <w:rPr>
        <w:noProof/>
      </w:rPr>
    </w:sdtEndPr>
    <w:sdtContent>
      <w:p w:rsidR="001239EF" w:rsidRDefault="001239EF">
        <w:pPr>
          <w:pStyle w:val="Header"/>
          <w:jc w:val="center"/>
        </w:pPr>
        <w:r>
          <w:fldChar w:fldCharType="begin"/>
        </w:r>
        <w:r>
          <w:instrText xml:space="preserve"> PAGE   \* MERGEFORMAT </w:instrText>
        </w:r>
        <w:r>
          <w:fldChar w:fldCharType="separate"/>
        </w:r>
        <w:r w:rsidR="00A77FE7">
          <w:rPr>
            <w:noProof/>
          </w:rPr>
          <w:t>5</w:t>
        </w:r>
        <w:r>
          <w:rPr>
            <w:noProof/>
          </w:rPr>
          <w:fldChar w:fldCharType="end"/>
        </w:r>
      </w:p>
    </w:sdtContent>
  </w:sdt>
  <w:p w:rsidR="00F324BB" w:rsidRDefault="00E90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D80" w:rsidRDefault="00E90B64">
    <w:pPr>
      <w:pStyle w:val="Header"/>
      <w:jc w:val="center"/>
    </w:pPr>
  </w:p>
  <w:p w:rsidR="00EF3D80" w:rsidRDefault="00E90B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EF"/>
    <w:rsid w:val="00013767"/>
    <w:rsid w:val="00080395"/>
    <w:rsid w:val="001239EF"/>
    <w:rsid w:val="0014268B"/>
    <w:rsid w:val="00194D05"/>
    <w:rsid w:val="001A365B"/>
    <w:rsid w:val="001D2D97"/>
    <w:rsid w:val="0023038B"/>
    <w:rsid w:val="00304702"/>
    <w:rsid w:val="00343398"/>
    <w:rsid w:val="003A1CAE"/>
    <w:rsid w:val="00436E4D"/>
    <w:rsid w:val="00594B7C"/>
    <w:rsid w:val="0068386F"/>
    <w:rsid w:val="00733D48"/>
    <w:rsid w:val="007E0295"/>
    <w:rsid w:val="008C11DC"/>
    <w:rsid w:val="008D08CC"/>
    <w:rsid w:val="00921EB7"/>
    <w:rsid w:val="00942F9B"/>
    <w:rsid w:val="00960E69"/>
    <w:rsid w:val="00995620"/>
    <w:rsid w:val="00A36973"/>
    <w:rsid w:val="00A454D3"/>
    <w:rsid w:val="00A77FE7"/>
    <w:rsid w:val="00AA63A7"/>
    <w:rsid w:val="00AA6A43"/>
    <w:rsid w:val="00AB297A"/>
    <w:rsid w:val="00B3185E"/>
    <w:rsid w:val="00BF70CA"/>
    <w:rsid w:val="00D877BF"/>
    <w:rsid w:val="00D97F0A"/>
    <w:rsid w:val="00DA4E75"/>
    <w:rsid w:val="00E6436F"/>
    <w:rsid w:val="00E90B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9E897-9BE6-41C5-9F36-ACB00FCC7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239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1239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1239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239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39EF"/>
  </w:style>
  <w:style w:type="paragraph" w:styleId="Footer">
    <w:name w:val="footer"/>
    <w:basedOn w:val="Normal"/>
    <w:link w:val="FooterChar"/>
    <w:unhideWhenUsed/>
    <w:rsid w:val="001239EF"/>
    <w:pPr>
      <w:tabs>
        <w:tab w:val="center" w:pos="4153"/>
        <w:tab w:val="right" w:pos="8306"/>
      </w:tabs>
      <w:spacing w:after="0" w:line="240" w:lineRule="auto"/>
    </w:pPr>
  </w:style>
  <w:style w:type="character" w:customStyle="1" w:styleId="FooterChar">
    <w:name w:val="Footer Char"/>
    <w:basedOn w:val="DefaultParagraphFont"/>
    <w:link w:val="Footer"/>
    <w:rsid w:val="001239EF"/>
  </w:style>
  <w:style w:type="character" w:styleId="Hyperlink">
    <w:name w:val="Hyperlink"/>
    <w:basedOn w:val="DefaultParagraphFont"/>
    <w:uiPriority w:val="99"/>
    <w:rsid w:val="001239EF"/>
    <w:rPr>
      <w:color w:val="0000FF"/>
      <w:u w:val="single"/>
    </w:rPr>
  </w:style>
  <w:style w:type="paragraph" w:styleId="NormalWeb">
    <w:name w:val="Normal (Web)"/>
    <w:basedOn w:val="Normal"/>
    <w:uiPriority w:val="99"/>
    <w:unhideWhenUsed/>
    <w:rsid w:val="001239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80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andra.Macivka@fm.gov.lv"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doc.php?id=34094"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6490</Words>
  <Characters>3700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uzņēmumu ienākuma nodokli”” sākotnējās ietekmes novērtējuma ziņojums (anotācija)</dc:title>
  <dc:subject>Anotācija</dc:subject>
  <dc:creator>Sandra Mačivka</dc:creator>
  <cp:keywords/>
  <dc:description>67095630,                                             
 Sandra.Macivka@fm.gov.lv</dc:description>
  <cp:lastModifiedBy>Finanšu ministrija</cp:lastModifiedBy>
  <cp:revision>6</cp:revision>
  <cp:lastPrinted>2015-11-25T12:23:00Z</cp:lastPrinted>
  <dcterms:created xsi:type="dcterms:W3CDTF">2015-11-23T09:55:00Z</dcterms:created>
  <dcterms:modified xsi:type="dcterms:W3CDTF">2015-12-03T10:52:00Z</dcterms:modified>
</cp:coreProperties>
</file>