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2C9E" w14:textId="7D082BC6" w:rsidR="00616AA6" w:rsidRPr="00D65D1A" w:rsidRDefault="00132DF0" w:rsidP="00132DF0">
      <w:pPr>
        <w:jc w:val="center"/>
        <w:rPr>
          <w:b/>
          <w:color w:val="000000"/>
          <w:sz w:val="28"/>
          <w:szCs w:val="28"/>
        </w:rPr>
      </w:pPr>
      <w:bookmarkStart w:id="0" w:name="_GoBack"/>
      <w:bookmarkEnd w:id="0"/>
      <w:r>
        <w:rPr>
          <w:b/>
          <w:sz w:val="28"/>
          <w:szCs w:val="28"/>
        </w:rPr>
        <w:t>Ministru kabineta rīkojuma projekta “</w:t>
      </w:r>
      <w:r w:rsidRPr="00A81B7F">
        <w:rPr>
          <w:b/>
          <w:sz w:val="28"/>
          <w:szCs w:val="28"/>
        </w:rPr>
        <w:t xml:space="preserve">Par </w:t>
      </w:r>
      <w:r>
        <w:rPr>
          <w:b/>
          <w:sz w:val="28"/>
          <w:szCs w:val="28"/>
        </w:rPr>
        <w:t xml:space="preserve">grozījumiem </w:t>
      </w:r>
      <w:r w:rsidRPr="007260D3">
        <w:rPr>
          <w:b/>
          <w:sz w:val="28"/>
          <w:szCs w:val="28"/>
        </w:rPr>
        <w:t>Ministru kabineta 2013.gada 27.decembra rīkojumā Nr.675 “Par Koncepciju par jaunu darba samaksas sistēmu Iekšlietu ministrijas sistēmas iestāžu un Ieslodzījuma vietu pārvaldes amatpersonām ar speciālajām dienesta pakāpēm</w:t>
      </w:r>
      <w:r>
        <w:rPr>
          <w:b/>
          <w:sz w:val="28"/>
          <w:szCs w:val="28"/>
        </w:rPr>
        <w:t xml:space="preserve">”” </w:t>
      </w:r>
      <w:r w:rsidR="00616AA6" w:rsidRPr="00D65D1A">
        <w:rPr>
          <w:b/>
          <w:sz w:val="28"/>
          <w:szCs w:val="28"/>
        </w:rPr>
        <w:t>sākotnējās ietekmes novērtējuma ziņojums</w:t>
      </w:r>
      <w:r w:rsidR="00CC496E" w:rsidRPr="00D65D1A">
        <w:rPr>
          <w:b/>
          <w:sz w:val="28"/>
          <w:szCs w:val="28"/>
        </w:rPr>
        <w:t xml:space="preserve"> </w:t>
      </w:r>
      <w:r w:rsidR="00616AA6" w:rsidRPr="00D65D1A">
        <w:rPr>
          <w:b/>
          <w:sz w:val="28"/>
          <w:szCs w:val="28"/>
        </w:rPr>
        <w:t>(anotācija)</w:t>
      </w:r>
    </w:p>
    <w:p w14:paraId="4E9F9811" w14:textId="77777777" w:rsidR="00616AA6" w:rsidRPr="00D65D1A" w:rsidRDefault="00616AA6" w:rsidP="00616AA6">
      <w:pPr>
        <w:pStyle w:val="BodyText"/>
        <w:rPr>
          <w:szCs w:val="28"/>
        </w:rPr>
      </w:pPr>
    </w:p>
    <w:tbl>
      <w:tblPr>
        <w:tblStyle w:val="TableGrid"/>
        <w:tblW w:w="9133" w:type="dxa"/>
        <w:tblLook w:val="04A0" w:firstRow="1" w:lastRow="0" w:firstColumn="1" w:lastColumn="0" w:noHBand="0" w:noVBand="1"/>
      </w:tblPr>
      <w:tblGrid>
        <w:gridCol w:w="426"/>
        <w:gridCol w:w="108"/>
        <w:gridCol w:w="2601"/>
        <w:gridCol w:w="1935"/>
        <w:gridCol w:w="4063"/>
      </w:tblGrid>
      <w:tr w:rsidR="00616AA6" w:rsidRPr="00D65D1A" w14:paraId="30F37E3F" w14:textId="77777777" w:rsidTr="00F03184">
        <w:tc>
          <w:tcPr>
            <w:tcW w:w="9133" w:type="dxa"/>
            <w:gridSpan w:val="5"/>
          </w:tcPr>
          <w:p w14:paraId="5B99A8F4" w14:textId="77777777"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14:paraId="2FA85720" w14:textId="77777777" w:rsidTr="00F03184">
        <w:tc>
          <w:tcPr>
            <w:tcW w:w="426" w:type="dxa"/>
          </w:tcPr>
          <w:p w14:paraId="083EF60E" w14:textId="77777777" w:rsidR="00616AA6" w:rsidRPr="00D65D1A" w:rsidRDefault="00616AA6" w:rsidP="00710EAA">
            <w:pPr>
              <w:spacing w:before="60"/>
              <w:rPr>
                <w:sz w:val="28"/>
                <w:szCs w:val="28"/>
              </w:rPr>
            </w:pPr>
            <w:r w:rsidRPr="00D65D1A">
              <w:rPr>
                <w:sz w:val="28"/>
                <w:szCs w:val="28"/>
              </w:rPr>
              <w:t>1.</w:t>
            </w:r>
          </w:p>
        </w:tc>
        <w:tc>
          <w:tcPr>
            <w:tcW w:w="2709" w:type="dxa"/>
            <w:gridSpan w:val="2"/>
          </w:tcPr>
          <w:p w14:paraId="72722F48" w14:textId="77777777" w:rsidR="00616AA6" w:rsidRPr="00D65D1A" w:rsidRDefault="00616AA6" w:rsidP="00710EAA">
            <w:pPr>
              <w:spacing w:before="60"/>
              <w:rPr>
                <w:sz w:val="28"/>
                <w:szCs w:val="28"/>
              </w:rPr>
            </w:pPr>
            <w:r w:rsidRPr="00D65D1A">
              <w:rPr>
                <w:sz w:val="28"/>
                <w:szCs w:val="28"/>
              </w:rPr>
              <w:t>Pamatojums</w:t>
            </w:r>
          </w:p>
        </w:tc>
        <w:tc>
          <w:tcPr>
            <w:tcW w:w="5998" w:type="dxa"/>
            <w:gridSpan w:val="2"/>
          </w:tcPr>
          <w:p w14:paraId="218CBFD7" w14:textId="74ECDC99" w:rsidR="007E5425" w:rsidRPr="00D65D1A" w:rsidRDefault="00057968" w:rsidP="00FA0D45">
            <w:pPr>
              <w:jc w:val="both"/>
              <w:rPr>
                <w:sz w:val="28"/>
                <w:szCs w:val="28"/>
              </w:rPr>
            </w:pPr>
            <w:r w:rsidRPr="00D65D1A">
              <w:rPr>
                <w:sz w:val="28"/>
                <w:szCs w:val="28"/>
              </w:rPr>
              <w:t xml:space="preserve">Ministru kabineta </w:t>
            </w:r>
            <w:r w:rsidR="00132DF0">
              <w:rPr>
                <w:sz w:val="28"/>
                <w:szCs w:val="28"/>
              </w:rPr>
              <w:t xml:space="preserve">rīkojuma </w:t>
            </w:r>
            <w:r w:rsidR="00736938" w:rsidRPr="00D65D1A">
              <w:rPr>
                <w:sz w:val="28"/>
                <w:szCs w:val="28"/>
              </w:rPr>
              <w:t xml:space="preserve">projekts </w:t>
            </w:r>
            <w:r w:rsidR="00871B81" w:rsidRPr="00871B81">
              <w:rPr>
                <w:sz w:val="28"/>
                <w:szCs w:val="28"/>
              </w:rPr>
              <w:t>“</w:t>
            </w:r>
            <w:r w:rsidR="00FA0D45">
              <w:rPr>
                <w:sz w:val="28"/>
                <w:szCs w:val="28"/>
              </w:rPr>
              <w:t>G</w:t>
            </w:r>
            <w:r w:rsidR="00871B81" w:rsidRPr="00871B81">
              <w:rPr>
                <w:sz w:val="28"/>
                <w:szCs w:val="28"/>
              </w:rPr>
              <w:t>rozījumi Ministru kabineta 2013.gada 27.decembra rīkojumā Nr.675 “Par Koncepciju par jaunu darba samaksas sistēmu Iekšlietu ministrijas sistēmas iestāžu un Ieslodzījuma vietu pārvaldes amatpersonām ar speciālajām dienesta pakāpēm””</w:t>
            </w:r>
            <w:r w:rsidR="00871B81" w:rsidRPr="00D65D1A">
              <w:rPr>
                <w:sz w:val="28"/>
                <w:szCs w:val="28"/>
              </w:rPr>
              <w:t xml:space="preserve"> </w:t>
            </w:r>
            <w:r w:rsidR="00736938" w:rsidRPr="00D65D1A">
              <w:rPr>
                <w:sz w:val="28"/>
                <w:szCs w:val="28"/>
              </w:rPr>
              <w:t>(turpmāk –</w:t>
            </w:r>
            <w:r w:rsidRPr="00D65D1A">
              <w:rPr>
                <w:sz w:val="28"/>
                <w:szCs w:val="28"/>
              </w:rPr>
              <w:t xml:space="preserve"> projekts</w:t>
            </w:r>
            <w:r w:rsidR="00736938" w:rsidRPr="00D65D1A">
              <w:rPr>
                <w:sz w:val="28"/>
                <w:szCs w:val="28"/>
              </w:rPr>
              <w:t>)</w:t>
            </w:r>
            <w:r w:rsidR="0070343E" w:rsidRPr="00D65D1A">
              <w:rPr>
                <w:sz w:val="28"/>
                <w:szCs w:val="28"/>
                <w:lang w:eastAsia="lv-LV"/>
              </w:rPr>
              <w:t xml:space="preserve"> izstrādāt</w:t>
            </w:r>
            <w:r w:rsidR="0070343E" w:rsidRPr="00D65D1A">
              <w:rPr>
                <w:sz w:val="28"/>
                <w:szCs w:val="28"/>
              </w:rPr>
              <w:t>s</w:t>
            </w:r>
            <w:r w:rsidR="008C2B20">
              <w:rPr>
                <w:sz w:val="28"/>
                <w:szCs w:val="28"/>
              </w:rPr>
              <w:t xml:space="preserve">, ievērojot </w:t>
            </w:r>
            <w:r w:rsidR="008C2B20" w:rsidRPr="008C2B20">
              <w:rPr>
                <w:sz w:val="28"/>
                <w:szCs w:val="28"/>
              </w:rPr>
              <w:t>Ministru kabineta 2015.gada 27.augusta sēdē (prot. Nr.42, 3.§ “Informatīvais ziņojums “Par priekšlikumiem valsts budžeta ieņēmumiem un izdevumiem 2016.gadam un ietvaram 2016.-2018.gadam”, 6.3.1. un 6.10. apakšpunkts, 16.punkts) pieņemtos lēmumu</w:t>
            </w:r>
            <w:r w:rsidR="008C2B20">
              <w:rPr>
                <w:sz w:val="28"/>
                <w:szCs w:val="28"/>
              </w:rPr>
              <w:t>s</w:t>
            </w:r>
            <w:r w:rsidR="008C2B20" w:rsidRPr="008C2B20">
              <w:rPr>
                <w:sz w:val="28"/>
                <w:szCs w:val="28"/>
              </w:rPr>
              <w:t xml:space="preserve"> par atlīdzības paaugstināšanu Iekšlietu ministrijas sistēmas iestāžu un Ieslodzījuma vietu pārvaldes amatpersonām ar speciālajām dienesta pakāpēm</w:t>
            </w:r>
            <w:r w:rsidR="0034364F">
              <w:rPr>
                <w:sz w:val="28"/>
                <w:szCs w:val="28"/>
              </w:rPr>
              <w:t xml:space="preserve"> un jaunās darba samaksas sistēmas ieviešanu</w:t>
            </w:r>
            <w:r w:rsidR="008C2B20" w:rsidRPr="008C2B20">
              <w:rPr>
                <w:sz w:val="28"/>
                <w:szCs w:val="28"/>
              </w:rPr>
              <w:t>.</w:t>
            </w:r>
            <w:r w:rsidR="008C2B20" w:rsidRPr="00A41F6C">
              <w:t xml:space="preserve"> </w:t>
            </w:r>
          </w:p>
        </w:tc>
      </w:tr>
      <w:tr w:rsidR="00616AA6" w:rsidRPr="00D108AA" w14:paraId="5FCB99D7" w14:textId="77777777" w:rsidTr="00F03184">
        <w:tc>
          <w:tcPr>
            <w:tcW w:w="426" w:type="dxa"/>
          </w:tcPr>
          <w:p w14:paraId="68232D0E" w14:textId="70037335" w:rsidR="00616AA6" w:rsidRPr="00D65D1A" w:rsidRDefault="00616AA6" w:rsidP="00710EAA">
            <w:pPr>
              <w:spacing w:before="60" w:line="720" w:lineRule="auto"/>
              <w:rPr>
                <w:sz w:val="28"/>
                <w:szCs w:val="28"/>
              </w:rPr>
            </w:pPr>
            <w:r w:rsidRPr="00D65D1A">
              <w:rPr>
                <w:sz w:val="28"/>
                <w:szCs w:val="28"/>
              </w:rPr>
              <w:t>2.</w:t>
            </w:r>
          </w:p>
        </w:tc>
        <w:tc>
          <w:tcPr>
            <w:tcW w:w="2709" w:type="dxa"/>
            <w:gridSpan w:val="2"/>
          </w:tcPr>
          <w:p w14:paraId="28846866" w14:textId="77777777" w:rsidR="00616AA6" w:rsidRPr="00D65D1A" w:rsidRDefault="00616AA6" w:rsidP="00710EAA">
            <w:pPr>
              <w:spacing w:before="60"/>
              <w:rPr>
                <w:sz w:val="28"/>
                <w:szCs w:val="28"/>
              </w:rPr>
            </w:pPr>
            <w:r w:rsidRPr="00D65D1A">
              <w:rPr>
                <w:sz w:val="28"/>
                <w:szCs w:val="28"/>
              </w:rPr>
              <w:t>Pašreizējā situācija un problēmas</w:t>
            </w:r>
            <w:r w:rsidR="000F2F91" w:rsidRPr="00D65D1A">
              <w:rPr>
                <w:sz w:val="28"/>
                <w:szCs w:val="28"/>
              </w:rPr>
              <w:t>, kuru risināšanai tiesību akta projekts izstrādāts, tiesiskā regulējuma mērķis un būtība</w:t>
            </w:r>
          </w:p>
        </w:tc>
        <w:tc>
          <w:tcPr>
            <w:tcW w:w="5998" w:type="dxa"/>
            <w:gridSpan w:val="2"/>
          </w:tcPr>
          <w:p w14:paraId="3D079DF2" w14:textId="5149AA96" w:rsidR="008C2B20" w:rsidRPr="00061D6A" w:rsidRDefault="008C2B20" w:rsidP="008C2B20">
            <w:pPr>
              <w:jc w:val="both"/>
              <w:rPr>
                <w:sz w:val="28"/>
                <w:szCs w:val="28"/>
              </w:rPr>
            </w:pPr>
            <w:r w:rsidRPr="00061D6A">
              <w:rPr>
                <w:sz w:val="28"/>
                <w:szCs w:val="28"/>
              </w:rPr>
              <w:t>Ministru kabinet</w:t>
            </w:r>
            <w:r w:rsidR="00061D6A" w:rsidRPr="00061D6A">
              <w:rPr>
                <w:sz w:val="28"/>
                <w:szCs w:val="28"/>
              </w:rPr>
              <w:t>s</w:t>
            </w:r>
            <w:r w:rsidRPr="00061D6A">
              <w:rPr>
                <w:sz w:val="28"/>
                <w:szCs w:val="28"/>
              </w:rPr>
              <w:t xml:space="preserve"> 2015.gada 27.augusta sēdē pieņ</w:t>
            </w:r>
            <w:r w:rsidR="00061D6A" w:rsidRPr="00061D6A">
              <w:rPr>
                <w:sz w:val="28"/>
                <w:szCs w:val="28"/>
              </w:rPr>
              <w:t>ē</w:t>
            </w:r>
            <w:r w:rsidRPr="00061D6A">
              <w:rPr>
                <w:sz w:val="28"/>
                <w:szCs w:val="28"/>
              </w:rPr>
              <w:t>m</w:t>
            </w:r>
            <w:r w:rsidR="00061D6A" w:rsidRPr="00061D6A">
              <w:rPr>
                <w:sz w:val="28"/>
                <w:szCs w:val="28"/>
              </w:rPr>
              <w:t>a</w:t>
            </w:r>
            <w:r w:rsidRPr="00061D6A">
              <w:rPr>
                <w:sz w:val="28"/>
                <w:szCs w:val="28"/>
              </w:rPr>
              <w:t xml:space="preserve"> lēmumu par 26 178 280 </w:t>
            </w:r>
            <w:r w:rsidRPr="00061D6A">
              <w:rPr>
                <w:i/>
                <w:sz w:val="28"/>
                <w:szCs w:val="28"/>
              </w:rPr>
              <w:t>euro</w:t>
            </w:r>
            <w:r w:rsidRPr="00061D6A">
              <w:rPr>
                <w:sz w:val="28"/>
                <w:szCs w:val="28"/>
              </w:rPr>
              <w:t xml:space="preserve"> finansējuma piešķiršanu Iekšlietu ministrijai papildu atlīdzības nodrošināšanai 2016.-2018.gadā Iekšlietu ministrijas </w:t>
            </w:r>
            <w:r w:rsidR="00061D6A">
              <w:rPr>
                <w:sz w:val="28"/>
                <w:szCs w:val="28"/>
              </w:rPr>
              <w:t xml:space="preserve">sistēmas iestāžu </w:t>
            </w:r>
            <w:r w:rsidRPr="00061D6A">
              <w:rPr>
                <w:sz w:val="28"/>
                <w:szCs w:val="28"/>
              </w:rPr>
              <w:t xml:space="preserve">amatpersonām ar speciālajām dienesta pakāpēm un 4 279 096 </w:t>
            </w:r>
            <w:r w:rsidRPr="00061D6A">
              <w:rPr>
                <w:i/>
                <w:sz w:val="28"/>
                <w:szCs w:val="28"/>
              </w:rPr>
              <w:t>euro</w:t>
            </w:r>
            <w:r w:rsidRPr="00061D6A">
              <w:rPr>
                <w:sz w:val="28"/>
                <w:szCs w:val="28"/>
              </w:rPr>
              <w:t xml:space="preserve"> finansējuma piešķiršanu Tieslietu ministrijai apakšprogrammā 04.01.00 “Ieslodzījuma vietas” atlīdzības nodrošināšanai 2016.-2018.gadā Ieslodzījuma vietu pārvaldes amatpersonām ar speciālajām dienesta pakāpēm</w:t>
            </w:r>
            <w:r w:rsidR="00061D6A" w:rsidRPr="00061D6A">
              <w:rPr>
                <w:sz w:val="28"/>
                <w:szCs w:val="28"/>
              </w:rPr>
              <w:t xml:space="preserve">, nosakot, ka  </w:t>
            </w:r>
            <w:r w:rsidRPr="00061D6A">
              <w:rPr>
                <w:sz w:val="28"/>
                <w:szCs w:val="28"/>
              </w:rPr>
              <w:t>jautājumu par papildu nepieciešamo finansējumu Iekšlietu ministrijai un Tieslietu ministrijai jaunās darba samaksas sistēmas ieviešanai amatpersonām izskatīt kā prioritāru likumprojekta “Par valsts budžetu 2017.gadam”</w:t>
            </w:r>
            <w:r w:rsidR="0034364F">
              <w:rPr>
                <w:sz w:val="28"/>
                <w:szCs w:val="28"/>
              </w:rPr>
              <w:t xml:space="preserve"> </w:t>
            </w:r>
            <w:r w:rsidRPr="00061D6A">
              <w:rPr>
                <w:sz w:val="28"/>
                <w:szCs w:val="28"/>
              </w:rPr>
              <w:t>un likumprojekta “Par vidēja termiņa budžeta ietvaru 2017., 2018. un 2019.gadam”</w:t>
            </w:r>
            <w:r w:rsidR="00A80801">
              <w:rPr>
                <w:sz w:val="28"/>
                <w:szCs w:val="28"/>
              </w:rPr>
              <w:t xml:space="preserve"> </w:t>
            </w:r>
            <w:r w:rsidRPr="00061D6A">
              <w:rPr>
                <w:sz w:val="28"/>
                <w:szCs w:val="28"/>
              </w:rPr>
              <w:t>sagatavošanas procesā.</w:t>
            </w:r>
          </w:p>
          <w:p w14:paraId="077AFAB7" w14:textId="14728552" w:rsidR="00361411" w:rsidRDefault="00871B81" w:rsidP="00104D50">
            <w:pPr>
              <w:ind w:left="360"/>
              <w:jc w:val="both"/>
              <w:rPr>
                <w:sz w:val="28"/>
                <w:szCs w:val="28"/>
              </w:rPr>
            </w:pPr>
            <w:r w:rsidRPr="00104D50">
              <w:rPr>
                <w:sz w:val="28"/>
                <w:szCs w:val="28"/>
              </w:rPr>
              <w:lastRenderedPageBreak/>
              <w:t>Projekt</w:t>
            </w:r>
            <w:r w:rsidR="00361411">
              <w:rPr>
                <w:sz w:val="28"/>
                <w:szCs w:val="28"/>
              </w:rPr>
              <w:t>s</w:t>
            </w:r>
            <w:r w:rsidRPr="00104D50">
              <w:rPr>
                <w:sz w:val="28"/>
                <w:szCs w:val="28"/>
              </w:rPr>
              <w:t xml:space="preserve"> paredz</w:t>
            </w:r>
            <w:r w:rsidR="00361411">
              <w:rPr>
                <w:sz w:val="28"/>
                <w:szCs w:val="28"/>
              </w:rPr>
              <w:t>:</w:t>
            </w:r>
          </w:p>
          <w:p w14:paraId="08714BA5" w14:textId="49CBD513" w:rsidR="00061D6A" w:rsidRDefault="00061D6A" w:rsidP="00104D50">
            <w:pPr>
              <w:ind w:left="360"/>
              <w:jc w:val="both"/>
              <w:rPr>
                <w:sz w:val="28"/>
                <w:szCs w:val="28"/>
              </w:rPr>
            </w:pPr>
            <w:r>
              <w:rPr>
                <w:sz w:val="28"/>
                <w:szCs w:val="28"/>
              </w:rPr>
              <w:t>- precizēt termiņus jaunās darba samaksas sistēmas ieviešanai nepieciešamo normatīvo aktu projektu sagatavošanai un iesniegšanai Ministru kabinetā;</w:t>
            </w:r>
          </w:p>
          <w:p w14:paraId="60D008F4" w14:textId="77777777" w:rsidR="009E7AB4" w:rsidRDefault="00061D6A" w:rsidP="0034364F">
            <w:pPr>
              <w:ind w:left="360"/>
              <w:jc w:val="both"/>
              <w:rPr>
                <w:sz w:val="26"/>
                <w:szCs w:val="26"/>
              </w:rPr>
            </w:pPr>
            <w:r>
              <w:rPr>
                <w:sz w:val="28"/>
                <w:szCs w:val="28"/>
              </w:rPr>
              <w:t xml:space="preserve">- precizēt papildu nepieciešamā finansējuma apmēru, ievērojot likumprojekta par vidēja termiņa budžeta ietvaru 2016., 2017.un 2018.gadam </w:t>
            </w:r>
            <w:r w:rsidR="0008347A">
              <w:rPr>
                <w:sz w:val="28"/>
                <w:szCs w:val="28"/>
              </w:rPr>
              <w:t xml:space="preserve">un likumprojekta par valsts budžetu 2016.gadam </w:t>
            </w:r>
            <w:r>
              <w:rPr>
                <w:sz w:val="28"/>
                <w:szCs w:val="28"/>
              </w:rPr>
              <w:t>sagatavošanas procesā pieņemt</w:t>
            </w:r>
            <w:r w:rsidR="0008347A">
              <w:rPr>
                <w:sz w:val="28"/>
                <w:szCs w:val="28"/>
              </w:rPr>
              <w:t>o</w:t>
            </w:r>
            <w:r>
              <w:rPr>
                <w:sz w:val="28"/>
                <w:szCs w:val="28"/>
              </w:rPr>
              <w:t xml:space="preserve"> lēmum</w:t>
            </w:r>
            <w:r w:rsidR="0008347A">
              <w:rPr>
                <w:sz w:val="28"/>
                <w:szCs w:val="28"/>
              </w:rPr>
              <w:t>u</w:t>
            </w:r>
            <w:r>
              <w:rPr>
                <w:sz w:val="28"/>
                <w:szCs w:val="28"/>
              </w:rPr>
              <w:t xml:space="preserve"> par finansējuma</w:t>
            </w:r>
            <w:r w:rsidR="0008347A">
              <w:rPr>
                <w:sz w:val="28"/>
                <w:szCs w:val="28"/>
              </w:rPr>
              <w:t xml:space="preserve"> piešķiršanu</w:t>
            </w:r>
            <w:r>
              <w:rPr>
                <w:sz w:val="28"/>
                <w:szCs w:val="28"/>
              </w:rPr>
              <w:t xml:space="preserve"> papildu atlīdzības nodrošināšanai – </w:t>
            </w:r>
            <w:r w:rsidRPr="001306BB">
              <w:rPr>
                <w:sz w:val="28"/>
                <w:szCs w:val="28"/>
              </w:rPr>
              <w:t>30 457 376</w:t>
            </w:r>
            <w:r w:rsidRPr="001306BB">
              <w:rPr>
                <w:lang w:eastAsia="lv-LV"/>
              </w:rPr>
              <w:t xml:space="preserve"> </w:t>
            </w:r>
            <w:r>
              <w:rPr>
                <w:sz w:val="28"/>
                <w:szCs w:val="28"/>
              </w:rPr>
              <w:t xml:space="preserve"> </w:t>
            </w:r>
            <w:r w:rsidRPr="00270CF0">
              <w:rPr>
                <w:i/>
                <w:sz w:val="28"/>
                <w:szCs w:val="28"/>
              </w:rPr>
              <w:t>euro</w:t>
            </w:r>
            <w:r>
              <w:rPr>
                <w:sz w:val="28"/>
                <w:szCs w:val="28"/>
              </w:rPr>
              <w:t xml:space="preserve"> apmērā piešķiršanu</w:t>
            </w:r>
            <w:r w:rsidR="0008347A">
              <w:rPr>
                <w:sz w:val="28"/>
                <w:szCs w:val="28"/>
              </w:rPr>
              <w:t>.</w:t>
            </w:r>
            <w:r w:rsidRPr="004443D0">
              <w:rPr>
                <w:sz w:val="26"/>
                <w:szCs w:val="26"/>
              </w:rPr>
              <w:t xml:space="preserve"> </w:t>
            </w:r>
          </w:p>
          <w:p w14:paraId="525346AF" w14:textId="3278AC99" w:rsidR="00AD7422" w:rsidRPr="00D65488" w:rsidRDefault="00B22FC5" w:rsidP="005C0E17">
            <w:pPr>
              <w:numPr>
                <w:ilvl w:val="0"/>
                <w:numId w:val="12"/>
              </w:numPr>
              <w:jc w:val="both"/>
              <w:rPr>
                <w:sz w:val="28"/>
                <w:szCs w:val="28"/>
              </w:rPr>
            </w:pPr>
            <w:r w:rsidRPr="00AD7422">
              <w:rPr>
                <w:sz w:val="28"/>
                <w:szCs w:val="28"/>
              </w:rPr>
              <w:t xml:space="preserve">Ministru kabineta protokollēmuma projekts paredz </w:t>
            </w:r>
            <w:r w:rsidR="00AD7422" w:rsidRPr="00AD7422">
              <w:rPr>
                <w:sz w:val="28"/>
                <w:szCs w:val="28"/>
              </w:rPr>
              <w:t>uzdevumu</w:t>
            </w:r>
            <w:r w:rsidR="00AD7422">
              <w:rPr>
                <w:sz w:val="26"/>
                <w:szCs w:val="26"/>
              </w:rPr>
              <w:t xml:space="preserve"> </w:t>
            </w:r>
            <w:r w:rsidR="00AD7422" w:rsidRPr="001429D9">
              <w:rPr>
                <w:sz w:val="28"/>
                <w:szCs w:val="28"/>
                <w:lang w:eastAsia="lv-LV"/>
              </w:rPr>
              <w:t>Iekšlietu ministrijai kopīgi ar Tieslietu ministriju likumprojekta “Par valsts budžetu 2017.gadam” un likumprojekta “Par vidēja termiņa budžeta ietvaru 2017., 2018. un 2019.gadam” sagatavošanas procesā precizēt papildu nepieciešamā finansējuma apjom</w:t>
            </w:r>
            <w:r w:rsidR="00AD7422">
              <w:rPr>
                <w:sz w:val="28"/>
                <w:szCs w:val="28"/>
                <w:lang w:eastAsia="lv-LV"/>
              </w:rPr>
              <w:t>a</w:t>
            </w:r>
            <w:r w:rsidR="00AD7422" w:rsidRPr="001429D9">
              <w:rPr>
                <w:sz w:val="28"/>
                <w:szCs w:val="28"/>
                <w:lang w:eastAsia="lv-LV"/>
              </w:rPr>
              <w:t xml:space="preserve"> </w:t>
            </w:r>
            <w:r w:rsidR="00AD7422">
              <w:rPr>
                <w:sz w:val="28"/>
                <w:szCs w:val="28"/>
                <w:lang w:eastAsia="lv-LV"/>
              </w:rPr>
              <w:t>(</w:t>
            </w:r>
            <w:r w:rsidR="00AD7422" w:rsidRPr="00270CF0">
              <w:rPr>
                <w:sz w:val="28"/>
                <w:szCs w:val="28"/>
              </w:rPr>
              <w:t>ne vairāk kā</w:t>
            </w:r>
            <w:r w:rsidR="00AD7422">
              <w:rPr>
                <w:sz w:val="28"/>
                <w:szCs w:val="28"/>
              </w:rPr>
              <w:t xml:space="preserve"> 3</w:t>
            </w:r>
            <w:r w:rsidR="00AD7422" w:rsidRPr="00270CF0">
              <w:rPr>
                <w:sz w:val="28"/>
                <w:szCs w:val="28"/>
              </w:rPr>
              <w:t xml:space="preserve">1 </w:t>
            </w:r>
            <w:r w:rsidR="00AD7422">
              <w:rPr>
                <w:sz w:val="28"/>
                <w:szCs w:val="28"/>
              </w:rPr>
              <w:t xml:space="preserve">515 537 </w:t>
            </w:r>
            <w:r w:rsidR="00AD7422" w:rsidRPr="00270CF0">
              <w:rPr>
                <w:i/>
                <w:sz w:val="28"/>
                <w:szCs w:val="28"/>
              </w:rPr>
              <w:t>euro</w:t>
            </w:r>
            <w:r w:rsidR="00AD7422">
              <w:rPr>
                <w:sz w:val="28"/>
                <w:szCs w:val="28"/>
              </w:rPr>
              <w:t xml:space="preserve">) </w:t>
            </w:r>
            <w:r w:rsidR="00AD7422" w:rsidRPr="001429D9">
              <w:rPr>
                <w:sz w:val="28"/>
                <w:szCs w:val="28"/>
                <w:lang w:eastAsia="lv-LV"/>
              </w:rPr>
              <w:t>2017.gadam un turpmākiem gadiem sadalījum</w:t>
            </w:r>
            <w:r w:rsidR="00AD7422">
              <w:rPr>
                <w:sz w:val="28"/>
                <w:szCs w:val="28"/>
                <w:lang w:eastAsia="lv-LV"/>
              </w:rPr>
              <w:t>u</w:t>
            </w:r>
            <w:r w:rsidR="00AD7422" w:rsidRPr="001429D9">
              <w:rPr>
                <w:sz w:val="28"/>
                <w:szCs w:val="28"/>
                <w:lang w:eastAsia="lv-LV"/>
              </w:rPr>
              <w:t xml:space="preserve"> pa ministrijām, ņemot vērā amatu klasificēšanas rezultātus</w:t>
            </w:r>
            <w:r w:rsidR="00AD7422">
              <w:rPr>
                <w:sz w:val="28"/>
                <w:szCs w:val="28"/>
                <w:lang w:eastAsia="lv-LV"/>
              </w:rPr>
              <w:t xml:space="preserve">, </w:t>
            </w:r>
            <w:r w:rsidR="005C0E17" w:rsidRPr="00615C8C">
              <w:rPr>
                <w:sz w:val="28"/>
                <w:szCs w:val="28"/>
                <w:lang w:eastAsia="lv-LV"/>
              </w:rPr>
              <w:t>un Iekšlietu ministrijai normatīvajos aktos noteiktajā kārtībā sagatavot un iesniegt Finanšu ministrijā un Pārresoru koordinācijas centrā attiecīgu starpnozaru jaunās politikas iniciatīvu.</w:t>
            </w:r>
          </w:p>
        </w:tc>
      </w:tr>
      <w:tr w:rsidR="00616AA6" w:rsidRPr="00BA5E65" w14:paraId="799CDE87" w14:textId="77777777" w:rsidTr="00F03184">
        <w:tc>
          <w:tcPr>
            <w:tcW w:w="426" w:type="dxa"/>
          </w:tcPr>
          <w:p w14:paraId="20D9A706" w14:textId="1EF77A26" w:rsidR="00616AA6" w:rsidRPr="00BA5E65" w:rsidRDefault="00616AA6" w:rsidP="00710EAA">
            <w:pPr>
              <w:spacing w:before="60"/>
              <w:rPr>
                <w:sz w:val="28"/>
                <w:szCs w:val="28"/>
              </w:rPr>
            </w:pPr>
            <w:r w:rsidRPr="00BA5E65">
              <w:rPr>
                <w:sz w:val="28"/>
                <w:szCs w:val="28"/>
              </w:rPr>
              <w:lastRenderedPageBreak/>
              <w:t>3.</w:t>
            </w:r>
          </w:p>
        </w:tc>
        <w:tc>
          <w:tcPr>
            <w:tcW w:w="2709" w:type="dxa"/>
            <w:gridSpan w:val="2"/>
          </w:tcPr>
          <w:p w14:paraId="58E94375" w14:textId="77777777" w:rsidR="00616AA6" w:rsidRPr="00BA5E65" w:rsidRDefault="008C47BE" w:rsidP="00710EAA">
            <w:pPr>
              <w:spacing w:before="60" w:after="60"/>
              <w:rPr>
                <w:sz w:val="28"/>
                <w:szCs w:val="28"/>
              </w:rPr>
            </w:pPr>
            <w:r w:rsidRPr="00BA5E65">
              <w:rPr>
                <w:sz w:val="28"/>
                <w:szCs w:val="28"/>
              </w:rPr>
              <w:t>Projekta izstrādē iesaistītās institūcijas</w:t>
            </w:r>
          </w:p>
        </w:tc>
        <w:tc>
          <w:tcPr>
            <w:tcW w:w="5998" w:type="dxa"/>
            <w:gridSpan w:val="2"/>
          </w:tcPr>
          <w:p w14:paraId="07CDB4C7" w14:textId="56804029" w:rsidR="00616AA6" w:rsidRPr="00BA5E65" w:rsidRDefault="0013129B" w:rsidP="00B2006F">
            <w:pPr>
              <w:autoSpaceDE w:val="0"/>
              <w:autoSpaceDN w:val="0"/>
              <w:adjustRightInd w:val="0"/>
              <w:spacing w:before="60" w:after="60"/>
              <w:jc w:val="both"/>
              <w:rPr>
                <w:sz w:val="28"/>
                <w:szCs w:val="28"/>
              </w:rPr>
            </w:pPr>
            <w:r>
              <w:rPr>
                <w:sz w:val="28"/>
                <w:szCs w:val="28"/>
              </w:rPr>
              <w:t>Iekšlietu ministrija.</w:t>
            </w:r>
          </w:p>
        </w:tc>
      </w:tr>
      <w:tr w:rsidR="00616AA6" w:rsidRPr="00BA5E65" w14:paraId="3C5F3A2E" w14:textId="77777777" w:rsidTr="00F03184">
        <w:tc>
          <w:tcPr>
            <w:tcW w:w="426" w:type="dxa"/>
          </w:tcPr>
          <w:p w14:paraId="1211CFA4" w14:textId="77777777" w:rsidR="00616AA6" w:rsidRPr="00BA5E65" w:rsidRDefault="00616AA6" w:rsidP="00710EAA">
            <w:pPr>
              <w:spacing w:before="60"/>
              <w:rPr>
                <w:sz w:val="28"/>
                <w:szCs w:val="28"/>
              </w:rPr>
            </w:pPr>
            <w:r w:rsidRPr="00BA5E65">
              <w:rPr>
                <w:sz w:val="28"/>
                <w:szCs w:val="28"/>
              </w:rPr>
              <w:t>4.</w:t>
            </w:r>
          </w:p>
        </w:tc>
        <w:tc>
          <w:tcPr>
            <w:tcW w:w="2709" w:type="dxa"/>
            <w:gridSpan w:val="2"/>
          </w:tcPr>
          <w:p w14:paraId="50577DF3" w14:textId="77777777" w:rsidR="00616AA6" w:rsidRPr="00BA5E65" w:rsidRDefault="008C47BE" w:rsidP="00710EAA">
            <w:pPr>
              <w:spacing w:before="60" w:after="60"/>
              <w:rPr>
                <w:sz w:val="28"/>
                <w:szCs w:val="28"/>
              </w:rPr>
            </w:pPr>
            <w:r w:rsidRPr="00BA5E65">
              <w:rPr>
                <w:sz w:val="28"/>
                <w:szCs w:val="28"/>
              </w:rPr>
              <w:t xml:space="preserve">Cita informācija </w:t>
            </w:r>
          </w:p>
        </w:tc>
        <w:tc>
          <w:tcPr>
            <w:tcW w:w="5998" w:type="dxa"/>
            <w:gridSpan w:val="2"/>
          </w:tcPr>
          <w:p w14:paraId="4787B608" w14:textId="5A1900B2" w:rsidR="00E06CCE" w:rsidRPr="005651F4" w:rsidRDefault="004371FF" w:rsidP="00710EAA">
            <w:pPr>
              <w:spacing w:before="60" w:after="60"/>
              <w:jc w:val="both"/>
              <w:rPr>
                <w:sz w:val="28"/>
                <w:szCs w:val="28"/>
              </w:rPr>
            </w:pPr>
            <w:r>
              <w:rPr>
                <w:sz w:val="28"/>
                <w:szCs w:val="28"/>
              </w:rPr>
              <w:t>Nav.</w:t>
            </w:r>
          </w:p>
        </w:tc>
      </w:tr>
      <w:tr w:rsidR="00E86D2D" w:rsidRPr="00BA5E65" w14:paraId="5B465550" w14:textId="77777777" w:rsidTr="00F03184">
        <w:tc>
          <w:tcPr>
            <w:tcW w:w="9133" w:type="dxa"/>
            <w:gridSpan w:val="5"/>
          </w:tcPr>
          <w:p w14:paraId="2C47D86B" w14:textId="77777777" w:rsidR="00E86D2D" w:rsidRDefault="00E86D2D" w:rsidP="00710EAA">
            <w:pPr>
              <w:spacing w:before="60" w:after="60"/>
              <w:jc w:val="center"/>
              <w:rPr>
                <w:sz w:val="28"/>
                <w:szCs w:val="28"/>
              </w:rPr>
            </w:pPr>
            <w:r w:rsidRPr="00E86D2D">
              <w:rPr>
                <w:b/>
                <w:sz w:val="28"/>
                <w:szCs w:val="28"/>
              </w:rPr>
              <w:t>II. Tiesību akta projekta ietekme uz sabiedrību, tautsaimniecības attīstību un administratīvo slogu</w:t>
            </w:r>
          </w:p>
        </w:tc>
      </w:tr>
      <w:tr w:rsidR="00E86D2D" w:rsidRPr="00BA5E65" w14:paraId="57C704B7" w14:textId="77777777" w:rsidTr="00953A72">
        <w:tc>
          <w:tcPr>
            <w:tcW w:w="426" w:type="dxa"/>
          </w:tcPr>
          <w:p w14:paraId="3443D31A" w14:textId="77777777" w:rsidR="00E86D2D" w:rsidRPr="00BA5E65" w:rsidRDefault="00E86D2D" w:rsidP="00953A72">
            <w:pPr>
              <w:rPr>
                <w:sz w:val="28"/>
                <w:szCs w:val="28"/>
              </w:rPr>
            </w:pPr>
            <w:r>
              <w:rPr>
                <w:sz w:val="28"/>
                <w:szCs w:val="28"/>
              </w:rPr>
              <w:t xml:space="preserve">1. </w:t>
            </w:r>
          </w:p>
        </w:tc>
        <w:tc>
          <w:tcPr>
            <w:tcW w:w="2709" w:type="dxa"/>
            <w:gridSpan w:val="2"/>
          </w:tcPr>
          <w:p w14:paraId="29065BA5" w14:textId="77777777" w:rsidR="00E86D2D" w:rsidRPr="00BA5E65" w:rsidRDefault="00E86D2D" w:rsidP="00710EAA">
            <w:pPr>
              <w:spacing w:before="60" w:after="60"/>
              <w:rPr>
                <w:sz w:val="28"/>
                <w:szCs w:val="28"/>
              </w:rPr>
            </w:pPr>
            <w:r w:rsidRPr="00F31085">
              <w:rPr>
                <w:sz w:val="28"/>
                <w:szCs w:val="28"/>
              </w:rPr>
              <w:t>Sabiedrības mērķgrupas, kuras tiesiskais regulējums ietekmē vai varētu ietekmēt</w:t>
            </w:r>
          </w:p>
        </w:tc>
        <w:tc>
          <w:tcPr>
            <w:tcW w:w="5998" w:type="dxa"/>
            <w:gridSpan w:val="2"/>
          </w:tcPr>
          <w:p w14:paraId="73F6A28E" w14:textId="1B93BDFA" w:rsidR="00E86D2D" w:rsidRDefault="00E86D2D" w:rsidP="004676D7">
            <w:pPr>
              <w:spacing w:before="60" w:after="60"/>
              <w:jc w:val="both"/>
              <w:rPr>
                <w:sz w:val="28"/>
                <w:szCs w:val="28"/>
              </w:rPr>
            </w:pPr>
            <w:r w:rsidRPr="00F31085">
              <w:rPr>
                <w:sz w:val="28"/>
                <w:szCs w:val="28"/>
              </w:rPr>
              <w:t>Iekšlietu ministrijas sistēmas iestāžu un Ieslodzījuma vietu pārvaldes amatpersonas ar speciālajām dienesta pakāpēm.</w:t>
            </w:r>
          </w:p>
        </w:tc>
      </w:tr>
      <w:tr w:rsidR="00E86D2D" w:rsidRPr="00BA5E65" w14:paraId="6E450FA4" w14:textId="77777777" w:rsidTr="00953A72">
        <w:tc>
          <w:tcPr>
            <w:tcW w:w="426" w:type="dxa"/>
          </w:tcPr>
          <w:p w14:paraId="090CC650" w14:textId="77777777" w:rsidR="00E86D2D" w:rsidRDefault="00E86D2D" w:rsidP="00953A72">
            <w:pPr>
              <w:rPr>
                <w:sz w:val="28"/>
                <w:szCs w:val="28"/>
              </w:rPr>
            </w:pPr>
            <w:r>
              <w:rPr>
                <w:sz w:val="28"/>
                <w:szCs w:val="28"/>
              </w:rPr>
              <w:lastRenderedPageBreak/>
              <w:t>2.</w:t>
            </w:r>
          </w:p>
        </w:tc>
        <w:tc>
          <w:tcPr>
            <w:tcW w:w="2709" w:type="dxa"/>
            <w:gridSpan w:val="2"/>
          </w:tcPr>
          <w:p w14:paraId="4A2098C5" w14:textId="77777777" w:rsidR="00E86D2D" w:rsidRPr="00F31085" w:rsidRDefault="00E86D2D" w:rsidP="00710EAA">
            <w:pPr>
              <w:spacing w:before="60" w:after="60"/>
              <w:rPr>
                <w:sz w:val="28"/>
                <w:szCs w:val="28"/>
              </w:rPr>
            </w:pPr>
            <w:r w:rsidRPr="00D65D1A">
              <w:rPr>
                <w:sz w:val="28"/>
                <w:szCs w:val="28"/>
              </w:rPr>
              <w:t>Tiesiskā regulējuma ietekme uz tautsaimniecību un administratīvo slogu</w:t>
            </w:r>
          </w:p>
        </w:tc>
        <w:tc>
          <w:tcPr>
            <w:tcW w:w="5998" w:type="dxa"/>
            <w:gridSpan w:val="2"/>
          </w:tcPr>
          <w:p w14:paraId="5F918FC3" w14:textId="0727CF83" w:rsidR="00E86D2D" w:rsidRPr="00F31085" w:rsidRDefault="005B2CAE" w:rsidP="00FA3806">
            <w:pPr>
              <w:spacing w:before="60" w:after="60"/>
              <w:jc w:val="both"/>
              <w:rPr>
                <w:sz w:val="28"/>
                <w:szCs w:val="28"/>
              </w:rPr>
            </w:pPr>
            <w:r w:rsidRPr="00F31085">
              <w:rPr>
                <w:sz w:val="28"/>
                <w:szCs w:val="28"/>
              </w:rPr>
              <w:t>Projekts šo jomu neskar.</w:t>
            </w:r>
          </w:p>
        </w:tc>
      </w:tr>
      <w:tr w:rsidR="00E86D2D" w:rsidRPr="00BA5E65" w14:paraId="288D41B9" w14:textId="77777777" w:rsidTr="00953A72">
        <w:tc>
          <w:tcPr>
            <w:tcW w:w="426" w:type="dxa"/>
          </w:tcPr>
          <w:p w14:paraId="6A7604AE" w14:textId="77777777" w:rsidR="00E86D2D" w:rsidRPr="00BA5E65" w:rsidRDefault="00E86D2D" w:rsidP="00953A72">
            <w:pPr>
              <w:rPr>
                <w:sz w:val="28"/>
                <w:szCs w:val="28"/>
              </w:rPr>
            </w:pPr>
            <w:r>
              <w:rPr>
                <w:sz w:val="28"/>
                <w:szCs w:val="28"/>
              </w:rPr>
              <w:t>3.</w:t>
            </w:r>
          </w:p>
        </w:tc>
        <w:tc>
          <w:tcPr>
            <w:tcW w:w="2709" w:type="dxa"/>
            <w:gridSpan w:val="2"/>
          </w:tcPr>
          <w:p w14:paraId="4C9E7C06" w14:textId="77777777" w:rsidR="00E86D2D" w:rsidRPr="00BA5E65" w:rsidRDefault="00E86D2D" w:rsidP="00710EAA">
            <w:pPr>
              <w:spacing w:before="60" w:after="60"/>
              <w:rPr>
                <w:sz w:val="28"/>
                <w:szCs w:val="28"/>
              </w:rPr>
            </w:pPr>
            <w:r w:rsidRPr="003B10C2">
              <w:rPr>
                <w:sz w:val="28"/>
                <w:szCs w:val="28"/>
              </w:rPr>
              <w:t>Administratīvo izmaksu monetārs novērtējums</w:t>
            </w:r>
          </w:p>
        </w:tc>
        <w:tc>
          <w:tcPr>
            <w:tcW w:w="5998" w:type="dxa"/>
            <w:gridSpan w:val="2"/>
          </w:tcPr>
          <w:p w14:paraId="7708D2D6" w14:textId="77777777" w:rsidR="00E86D2D" w:rsidRDefault="00E86D2D" w:rsidP="00710EAA">
            <w:pPr>
              <w:spacing w:before="60" w:after="60"/>
              <w:jc w:val="both"/>
              <w:rPr>
                <w:sz w:val="28"/>
                <w:szCs w:val="28"/>
              </w:rPr>
            </w:pPr>
            <w:r w:rsidRPr="00F31085">
              <w:rPr>
                <w:sz w:val="28"/>
                <w:szCs w:val="28"/>
              </w:rPr>
              <w:t>Projekts šo jomu neskar.</w:t>
            </w:r>
          </w:p>
        </w:tc>
      </w:tr>
      <w:tr w:rsidR="00E86D2D" w:rsidRPr="00BA5E65" w14:paraId="36609A53" w14:textId="77777777" w:rsidTr="00953A72">
        <w:tc>
          <w:tcPr>
            <w:tcW w:w="426" w:type="dxa"/>
          </w:tcPr>
          <w:p w14:paraId="4E1F11ED" w14:textId="77777777" w:rsidR="00E86D2D" w:rsidRPr="00BA5E65" w:rsidRDefault="00E86D2D" w:rsidP="00953A72">
            <w:pPr>
              <w:rPr>
                <w:sz w:val="28"/>
                <w:szCs w:val="28"/>
              </w:rPr>
            </w:pPr>
            <w:r>
              <w:rPr>
                <w:sz w:val="28"/>
                <w:szCs w:val="28"/>
              </w:rPr>
              <w:t>4.</w:t>
            </w:r>
          </w:p>
        </w:tc>
        <w:tc>
          <w:tcPr>
            <w:tcW w:w="2709" w:type="dxa"/>
            <w:gridSpan w:val="2"/>
          </w:tcPr>
          <w:p w14:paraId="18FF8206" w14:textId="77777777" w:rsidR="00E86D2D" w:rsidRPr="00BA5E65" w:rsidRDefault="00E86D2D" w:rsidP="00710EAA">
            <w:pPr>
              <w:spacing w:before="60" w:after="60"/>
              <w:rPr>
                <w:sz w:val="28"/>
                <w:szCs w:val="28"/>
              </w:rPr>
            </w:pPr>
            <w:r w:rsidRPr="00D65D1A">
              <w:rPr>
                <w:sz w:val="28"/>
                <w:szCs w:val="28"/>
              </w:rPr>
              <w:t>Cita informācija</w:t>
            </w:r>
          </w:p>
        </w:tc>
        <w:tc>
          <w:tcPr>
            <w:tcW w:w="5998" w:type="dxa"/>
            <w:gridSpan w:val="2"/>
          </w:tcPr>
          <w:p w14:paraId="1D2BDA40" w14:textId="77777777" w:rsidR="00E86D2D" w:rsidRDefault="00E86D2D" w:rsidP="00710EAA">
            <w:pPr>
              <w:spacing w:before="60" w:after="60"/>
              <w:jc w:val="both"/>
              <w:rPr>
                <w:sz w:val="28"/>
                <w:szCs w:val="28"/>
              </w:rPr>
            </w:pPr>
            <w:r w:rsidRPr="00D65D1A">
              <w:rPr>
                <w:sz w:val="28"/>
                <w:szCs w:val="28"/>
              </w:rPr>
              <w:t>Nav</w:t>
            </w:r>
            <w:r>
              <w:rPr>
                <w:sz w:val="28"/>
                <w:szCs w:val="28"/>
              </w:rPr>
              <w:t>.</w:t>
            </w:r>
          </w:p>
        </w:tc>
      </w:tr>
      <w:tr w:rsidR="00F03184" w:rsidRPr="005A3C61" w14:paraId="26039478" w14:textId="77777777" w:rsidTr="008A4EEF">
        <w:tc>
          <w:tcPr>
            <w:tcW w:w="9133" w:type="dxa"/>
            <w:gridSpan w:val="5"/>
          </w:tcPr>
          <w:p w14:paraId="78A67C83" w14:textId="0B670581" w:rsidR="00F03184" w:rsidRPr="00F03184" w:rsidRDefault="00C6045F" w:rsidP="00C6045F">
            <w:pPr>
              <w:pStyle w:val="naisf"/>
              <w:spacing w:before="60" w:after="60"/>
              <w:ind w:firstLine="357"/>
              <w:jc w:val="center"/>
              <w:rPr>
                <w:b/>
                <w:color w:val="000000" w:themeColor="text1"/>
                <w:sz w:val="28"/>
                <w:szCs w:val="26"/>
              </w:rPr>
            </w:pPr>
            <w:r w:rsidRPr="00C6045F">
              <w:rPr>
                <w:b/>
                <w:sz w:val="28"/>
              </w:rPr>
              <w:t>IV. Tiesību akta projekta ietekme uz spēkā esošo tiesību normu sistēmu</w:t>
            </w:r>
            <w:r w:rsidRPr="00F03184">
              <w:rPr>
                <w:b/>
                <w:sz w:val="28"/>
              </w:rPr>
              <w:t xml:space="preserve"> </w:t>
            </w:r>
          </w:p>
        </w:tc>
      </w:tr>
      <w:tr w:rsidR="00F03184" w14:paraId="0E11D3FD" w14:textId="77777777" w:rsidTr="008A4EEF">
        <w:tc>
          <w:tcPr>
            <w:tcW w:w="534" w:type="dxa"/>
            <w:gridSpan w:val="2"/>
          </w:tcPr>
          <w:p w14:paraId="72638234" w14:textId="77777777" w:rsidR="00F03184" w:rsidRDefault="00F03184" w:rsidP="008A4EEF">
            <w:pPr>
              <w:rPr>
                <w:iCs/>
                <w:sz w:val="28"/>
                <w:szCs w:val="28"/>
                <w:lang w:eastAsia="lv-LV"/>
              </w:rPr>
            </w:pPr>
            <w:r>
              <w:rPr>
                <w:iCs/>
                <w:sz w:val="28"/>
                <w:szCs w:val="28"/>
                <w:lang w:eastAsia="lv-LV"/>
              </w:rPr>
              <w:t>1.</w:t>
            </w:r>
          </w:p>
        </w:tc>
        <w:tc>
          <w:tcPr>
            <w:tcW w:w="4536" w:type="dxa"/>
            <w:gridSpan w:val="2"/>
          </w:tcPr>
          <w:p w14:paraId="6E86F116" w14:textId="36ACE996" w:rsidR="00F03184" w:rsidRDefault="00C6045F" w:rsidP="008A4EEF">
            <w:pPr>
              <w:spacing w:before="60" w:after="60"/>
              <w:rPr>
                <w:iCs/>
                <w:sz w:val="28"/>
                <w:szCs w:val="28"/>
                <w:lang w:eastAsia="lv-LV"/>
              </w:rPr>
            </w:pPr>
            <w:r w:rsidRPr="00C6045F">
              <w:rPr>
                <w:sz w:val="28"/>
                <w:szCs w:val="28"/>
              </w:rPr>
              <w:t>Nepieciešamie saistītie tiesību aktu projekti</w:t>
            </w:r>
          </w:p>
        </w:tc>
        <w:tc>
          <w:tcPr>
            <w:tcW w:w="4063" w:type="dxa"/>
            <w:vAlign w:val="center"/>
          </w:tcPr>
          <w:p w14:paraId="49DBBDEC" w14:textId="69C911ED" w:rsidR="00F03184" w:rsidRDefault="00B0298E" w:rsidP="00EC0BC5">
            <w:pPr>
              <w:spacing w:before="60" w:after="60"/>
              <w:jc w:val="both"/>
              <w:rPr>
                <w:iCs/>
                <w:sz w:val="28"/>
                <w:szCs w:val="28"/>
                <w:lang w:eastAsia="lv-LV"/>
              </w:rPr>
            </w:pPr>
            <w:r>
              <w:rPr>
                <w:iCs/>
                <w:sz w:val="28"/>
                <w:szCs w:val="28"/>
                <w:lang w:eastAsia="lv-LV"/>
              </w:rPr>
              <w:t xml:space="preserve">Rīkojuma projekts izskatāms Ministru kabinetā pēc </w:t>
            </w:r>
            <w:r w:rsidRPr="00061D6A">
              <w:rPr>
                <w:sz w:val="28"/>
                <w:szCs w:val="28"/>
              </w:rPr>
              <w:t>likumprojekta “Par valsts budžetu 201</w:t>
            </w:r>
            <w:r>
              <w:rPr>
                <w:sz w:val="28"/>
                <w:szCs w:val="28"/>
              </w:rPr>
              <w:t>6</w:t>
            </w:r>
            <w:r w:rsidRPr="00061D6A">
              <w:rPr>
                <w:sz w:val="28"/>
                <w:szCs w:val="28"/>
              </w:rPr>
              <w:t>.gadam”</w:t>
            </w:r>
            <w:r>
              <w:rPr>
                <w:sz w:val="28"/>
                <w:szCs w:val="28"/>
              </w:rPr>
              <w:t xml:space="preserve"> </w:t>
            </w:r>
            <w:r w:rsidRPr="00061D6A">
              <w:rPr>
                <w:sz w:val="28"/>
                <w:szCs w:val="28"/>
              </w:rPr>
              <w:t>un likumprojekta “Par vidēja termiņa budžeta ietvaru 201</w:t>
            </w:r>
            <w:r>
              <w:rPr>
                <w:sz w:val="28"/>
                <w:szCs w:val="28"/>
              </w:rPr>
              <w:t>6</w:t>
            </w:r>
            <w:r w:rsidRPr="00061D6A">
              <w:rPr>
                <w:sz w:val="28"/>
                <w:szCs w:val="28"/>
              </w:rPr>
              <w:t>., 201</w:t>
            </w:r>
            <w:r>
              <w:rPr>
                <w:sz w:val="28"/>
                <w:szCs w:val="28"/>
              </w:rPr>
              <w:t>7</w:t>
            </w:r>
            <w:r w:rsidRPr="00061D6A">
              <w:rPr>
                <w:sz w:val="28"/>
                <w:szCs w:val="28"/>
              </w:rPr>
              <w:t>. un 201</w:t>
            </w:r>
            <w:r>
              <w:rPr>
                <w:sz w:val="28"/>
                <w:szCs w:val="28"/>
              </w:rPr>
              <w:t>8</w:t>
            </w:r>
            <w:r w:rsidRPr="00061D6A">
              <w:rPr>
                <w:sz w:val="28"/>
                <w:szCs w:val="28"/>
              </w:rPr>
              <w:t>.gadam”</w:t>
            </w:r>
            <w:r>
              <w:rPr>
                <w:sz w:val="28"/>
                <w:szCs w:val="28"/>
              </w:rPr>
              <w:t xml:space="preserve"> pieņemšanas Saeimā</w:t>
            </w:r>
            <w:r w:rsidR="00EC0BC5">
              <w:rPr>
                <w:sz w:val="28"/>
                <w:szCs w:val="28"/>
              </w:rPr>
              <w:t xml:space="preserve"> otrajā </w:t>
            </w:r>
            <w:r>
              <w:rPr>
                <w:sz w:val="28"/>
                <w:szCs w:val="28"/>
              </w:rPr>
              <w:t xml:space="preserve">lasījumā. </w:t>
            </w:r>
          </w:p>
        </w:tc>
      </w:tr>
      <w:tr w:rsidR="00C6045F" w14:paraId="189A75B9" w14:textId="77777777" w:rsidTr="008A4EEF">
        <w:tc>
          <w:tcPr>
            <w:tcW w:w="534" w:type="dxa"/>
            <w:gridSpan w:val="2"/>
          </w:tcPr>
          <w:p w14:paraId="5CFE4ECD" w14:textId="77777777" w:rsidR="00C6045F" w:rsidRDefault="00C6045F" w:rsidP="00C6045F">
            <w:pPr>
              <w:rPr>
                <w:iCs/>
                <w:sz w:val="28"/>
                <w:szCs w:val="28"/>
                <w:lang w:eastAsia="lv-LV"/>
              </w:rPr>
            </w:pPr>
            <w:r>
              <w:rPr>
                <w:iCs/>
                <w:sz w:val="28"/>
                <w:szCs w:val="28"/>
                <w:lang w:eastAsia="lv-LV"/>
              </w:rPr>
              <w:t>2.</w:t>
            </w:r>
          </w:p>
        </w:tc>
        <w:tc>
          <w:tcPr>
            <w:tcW w:w="4536" w:type="dxa"/>
            <w:gridSpan w:val="2"/>
          </w:tcPr>
          <w:p w14:paraId="2321E9AA" w14:textId="4D891547" w:rsidR="00C6045F" w:rsidRPr="00C6045F" w:rsidRDefault="00C6045F" w:rsidP="00C6045F">
            <w:pPr>
              <w:spacing w:before="60" w:after="60"/>
              <w:rPr>
                <w:sz w:val="28"/>
                <w:szCs w:val="28"/>
              </w:rPr>
            </w:pPr>
            <w:r w:rsidRPr="00C6045F">
              <w:rPr>
                <w:sz w:val="28"/>
                <w:szCs w:val="28"/>
              </w:rPr>
              <w:t>Atbildīgā institūcija</w:t>
            </w:r>
          </w:p>
        </w:tc>
        <w:tc>
          <w:tcPr>
            <w:tcW w:w="4063" w:type="dxa"/>
          </w:tcPr>
          <w:p w14:paraId="670DD468" w14:textId="1F0228D3" w:rsidR="00C6045F" w:rsidRPr="00C6045F" w:rsidRDefault="00C6045F" w:rsidP="00C6045F">
            <w:pPr>
              <w:spacing w:before="60"/>
              <w:jc w:val="both"/>
              <w:rPr>
                <w:sz w:val="28"/>
                <w:szCs w:val="28"/>
              </w:rPr>
            </w:pPr>
            <w:r w:rsidRPr="00C6045F">
              <w:rPr>
                <w:sz w:val="28"/>
                <w:szCs w:val="28"/>
              </w:rPr>
              <w:t>Iekšlietu ministrija.</w:t>
            </w:r>
          </w:p>
        </w:tc>
      </w:tr>
      <w:tr w:rsidR="00C6045F" w14:paraId="3FEC1AB6" w14:textId="77777777" w:rsidTr="008A4EEF">
        <w:tc>
          <w:tcPr>
            <w:tcW w:w="534" w:type="dxa"/>
            <w:gridSpan w:val="2"/>
          </w:tcPr>
          <w:p w14:paraId="78A2E8CF" w14:textId="77777777" w:rsidR="00C6045F" w:rsidRDefault="00C6045F" w:rsidP="00C6045F">
            <w:pPr>
              <w:rPr>
                <w:iCs/>
                <w:sz w:val="28"/>
                <w:szCs w:val="28"/>
                <w:lang w:eastAsia="lv-LV"/>
              </w:rPr>
            </w:pPr>
            <w:r>
              <w:rPr>
                <w:iCs/>
                <w:sz w:val="28"/>
                <w:szCs w:val="28"/>
                <w:lang w:eastAsia="lv-LV"/>
              </w:rPr>
              <w:t>3.</w:t>
            </w:r>
          </w:p>
        </w:tc>
        <w:tc>
          <w:tcPr>
            <w:tcW w:w="4536" w:type="dxa"/>
            <w:gridSpan w:val="2"/>
          </w:tcPr>
          <w:p w14:paraId="1CCA4CA8" w14:textId="77777777" w:rsidR="00C6045F" w:rsidRDefault="00C6045F" w:rsidP="00C6045F">
            <w:pPr>
              <w:spacing w:before="60" w:after="60"/>
              <w:rPr>
                <w:iCs/>
                <w:sz w:val="28"/>
                <w:szCs w:val="28"/>
                <w:lang w:eastAsia="lv-LV"/>
              </w:rPr>
            </w:pPr>
            <w:r>
              <w:rPr>
                <w:iCs/>
                <w:sz w:val="28"/>
                <w:szCs w:val="28"/>
                <w:lang w:eastAsia="lv-LV"/>
              </w:rPr>
              <w:t>Cita informācija</w:t>
            </w:r>
          </w:p>
        </w:tc>
        <w:tc>
          <w:tcPr>
            <w:tcW w:w="4063" w:type="dxa"/>
            <w:vAlign w:val="center"/>
          </w:tcPr>
          <w:p w14:paraId="17EB7B76" w14:textId="77777777" w:rsidR="00C6045F" w:rsidRDefault="00C6045F" w:rsidP="00C6045F">
            <w:pPr>
              <w:spacing w:before="60" w:after="60"/>
              <w:rPr>
                <w:iCs/>
                <w:sz w:val="28"/>
                <w:szCs w:val="28"/>
                <w:lang w:eastAsia="lv-LV"/>
              </w:rPr>
            </w:pPr>
            <w:r w:rsidRPr="00ED6A06">
              <w:rPr>
                <w:sz w:val="28"/>
                <w:szCs w:val="28"/>
              </w:rPr>
              <w:t>Nav</w:t>
            </w:r>
            <w:r>
              <w:rPr>
                <w:sz w:val="28"/>
                <w:szCs w:val="28"/>
              </w:rPr>
              <w:t>.</w:t>
            </w:r>
          </w:p>
        </w:tc>
      </w:tr>
      <w:tr w:rsidR="00C6045F" w:rsidRPr="00F03184" w14:paraId="530DC64E" w14:textId="77777777" w:rsidTr="00DB3A0C">
        <w:tc>
          <w:tcPr>
            <w:tcW w:w="9133" w:type="dxa"/>
            <w:gridSpan w:val="5"/>
          </w:tcPr>
          <w:p w14:paraId="6A8A3485" w14:textId="77777777" w:rsidR="00C6045F" w:rsidRPr="00F03184" w:rsidRDefault="00C6045F" w:rsidP="00C6045F">
            <w:pPr>
              <w:pStyle w:val="naisf"/>
              <w:spacing w:before="60" w:after="60"/>
              <w:ind w:firstLine="357"/>
              <w:jc w:val="center"/>
              <w:rPr>
                <w:b/>
                <w:color w:val="000000" w:themeColor="text1"/>
                <w:sz w:val="28"/>
                <w:szCs w:val="26"/>
              </w:rPr>
            </w:pPr>
            <w:r w:rsidRPr="00F03184">
              <w:rPr>
                <w:b/>
                <w:sz w:val="28"/>
              </w:rPr>
              <w:t>VII</w:t>
            </w:r>
            <w:r>
              <w:rPr>
                <w:b/>
                <w:sz w:val="28"/>
              </w:rPr>
              <w:t>.</w:t>
            </w:r>
            <w:r w:rsidRPr="00F03184">
              <w:rPr>
                <w:b/>
                <w:sz w:val="28"/>
              </w:rPr>
              <w:t xml:space="preserve"> Tiesību akta projekta izpildes nodrošināšana un tās ietekme uz institūcijām</w:t>
            </w:r>
          </w:p>
        </w:tc>
      </w:tr>
      <w:tr w:rsidR="00C6045F" w14:paraId="51078F22" w14:textId="77777777" w:rsidTr="00DB3A0C">
        <w:tc>
          <w:tcPr>
            <w:tcW w:w="534" w:type="dxa"/>
            <w:gridSpan w:val="2"/>
          </w:tcPr>
          <w:p w14:paraId="527D7F11" w14:textId="77777777" w:rsidR="00C6045F" w:rsidRDefault="00C6045F" w:rsidP="00C6045F">
            <w:pPr>
              <w:rPr>
                <w:iCs/>
                <w:sz w:val="28"/>
                <w:szCs w:val="28"/>
                <w:lang w:eastAsia="lv-LV"/>
              </w:rPr>
            </w:pPr>
            <w:r>
              <w:rPr>
                <w:iCs/>
                <w:sz w:val="28"/>
                <w:szCs w:val="28"/>
                <w:lang w:eastAsia="lv-LV"/>
              </w:rPr>
              <w:t>1.</w:t>
            </w:r>
          </w:p>
        </w:tc>
        <w:tc>
          <w:tcPr>
            <w:tcW w:w="4536" w:type="dxa"/>
            <w:gridSpan w:val="2"/>
          </w:tcPr>
          <w:p w14:paraId="33809C1F" w14:textId="77777777" w:rsidR="00C6045F" w:rsidRDefault="00C6045F" w:rsidP="00C6045F">
            <w:pPr>
              <w:spacing w:before="60" w:after="60"/>
              <w:rPr>
                <w:iCs/>
                <w:sz w:val="28"/>
                <w:szCs w:val="28"/>
                <w:lang w:eastAsia="lv-LV"/>
              </w:rPr>
            </w:pPr>
            <w:r w:rsidRPr="00ED6A06">
              <w:rPr>
                <w:sz w:val="28"/>
                <w:szCs w:val="28"/>
              </w:rPr>
              <w:t>Projekta izpildē iesaistītās institūcijas</w:t>
            </w:r>
          </w:p>
        </w:tc>
        <w:tc>
          <w:tcPr>
            <w:tcW w:w="4063" w:type="dxa"/>
            <w:vAlign w:val="center"/>
          </w:tcPr>
          <w:p w14:paraId="67F22F25" w14:textId="77777777" w:rsidR="00C6045F" w:rsidRDefault="00C6045F" w:rsidP="00C6045F">
            <w:pPr>
              <w:spacing w:before="60" w:after="60"/>
              <w:jc w:val="both"/>
              <w:rPr>
                <w:iCs/>
                <w:sz w:val="28"/>
                <w:szCs w:val="28"/>
                <w:lang w:eastAsia="lv-LV"/>
              </w:rPr>
            </w:pPr>
            <w:r w:rsidRPr="00F31085">
              <w:rPr>
                <w:sz w:val="28"/>
                <w:szCs w:val="28"/>
              </w:rPr>
              <w:t>Iekšlietu ministrijas sistēmas iestā</w:t>
            </w:r>
            <w:r>
              <w:rPr>
                <w:sz w:val="28"/>
                <w:szCs w:val="28"/>
              </w:rPr>
              <w:t>des (Valsts policija, Valsts robežsardze, Valsts ugunsdzēsības un glābšanas dienests, Valsts policijas koledža, Valsts robežsardzes koledža, Ugunsdrošības un civilās aizsardzības koledža, Iekšējās drošības birojs)</w:t>
            </w:r>
            <w:r w:rsidRPr="00F31085">
              <w:rPr>
                <w:sz w:val="28"/>
                <w:szCs w:val="28"/>
              </w:rPr>
              <w:t xml:space="preserve"> un Ieslodzījuma vietu pārvalde</w:t>
            </w:r>
            <w:r w:rsidRPr="007A462B">
              <w:rPr>
                <w:iCs/>
                <w:sz w:val="28"/>
                <w:szCs w:val="28"/>
                <w:lang w:eastAsia="lv-LV"/>
              </w:rPr>
              <w:t>.</w:t>
            </w:r>
          </w:p>
        </w:tc>
      </w:tr>
      <w:tr w:rsidR="00C6045F" w14:paraId="1B731107" w14:textId="77777777" w:rsidTr="00DB3A0C">
        <w:tc>
          <w:tcPr>
            <w:tcW w:w="534" w:type="dxa"/>
            <w:gridSpan w:val="2"/>
          </w:tcPr>
          <w:p w14:paraId="2A0AEC63" w14:textId="77777777" w:rsidR="00C6045F" w:rsidRDefault="00C6045F" w:rsidP="00C6045F">
            <w:pPr>
              <w:rPr>
                <w:iCs/>
                <w:sz w:val="28"/>
                <w:szCs w:val="28"/>
                <w:lang w:eastAsia="lv-LV"/>
              </w:rPr>
            </w:pPr>
            <w:r>
              <w:rPr>
                <w:iCs/>
                <w:sz w:val="28"/>
                <w:szCs w:val="28"/>
                <w:lang w:eastAsia="lv-LV"/>
              </w:rPr>
              <w:t>2.</w:t>
            </w:r>
          </w:p>
        </w:tc>
        <w:tc>
          <w:tcPr>
            <w:tcW w:w="4536" w:type="dxa"/>
            <w:gridSpan w:val="2"/>
          </w:tcPr>
          <w:p w14:paraId="001B4E10" w14:textId="77777777" w:rsidR="00C6045F" w:rsidRDefault="00C6045F" w:rsidP="00C6045F">
            <w:pPr>
              <w:spacing w:before="60" w:after="60"/>
              <w:rPr>
                <w:iCs/>
                <w:sz w:val="28"/>
                <w:szCs w:val="28"/>
                <w:lang w:eastAsia="lv-LV"/>
              </w:rPr>
            </w:pPr>
            <w:r w:rsidRPr="00ED6A06">
              <w:rPr>
                <w:sz w:val="28"/>
                <w:szCs w:val="28"/>
              </w:rPr>
              <w:t>Projekta izpildes ietekme uz pārvaldes funkcijām un institucionālo struktūru. Jaunu institūciju izveide, esošu institūciju likvidācija vai reorganizācija, to ietekme uz institūcijas cilvēkresursiem</w:t>
            </w:r>
          </w:p>
        </w:tc>
        <w:tc>
          <w:tcPr>
            <w:tcW w:w="4063" w:type="dxa"/>
          </w:tcPr>
          <w:p w14:paraId="328E62DA" w14:textId="77777777" w:rsidR="00C6045F" w:rsidRDefault="00C6045F" w:rsidP="00C6045F">
            <w:pPr>
              <w:spacing w:before="60"/>
              <w:jc w:val="both"/>
              <w:rPr>
                <w:iCs/>
                <w:sz w:val="28"/>
                <w:szCs w:val="28"/>
                <w:lang w:eastAsia="lv-LV"/>
              </w:rPr>
            </w:pPr>
            <w:r w:rsidRPr="00ED6A06">
              <w:rPr>
                <w:sz w:val="28"/>
                <w:szCs w:val="28"/>
              </w:rPr>
              <w:t>Saistībā ar projekta izpildi nav nepieciešams veidot jaunas institūcijas, likvidēt vai reorganizēt esošās.</w:t>
            </w:r>
          </w:p>
        </w:tc>
      </w:tr>
      <w:tr w:rsidR="00C6045F" w14:paraId="3A2C18FA" w14:textId="77777777" w:rsidTr="00DB3A0C">
        <w:tc>
          <w:tcPr>
            <w:tcW w:w="534" w:type="dxa"/>
            <w:gridSpan w:val="2"/>
          </w:tcPr>
          <w:p w14:paraId="2860F483" w14:textId="77777777" w:rsidR="00C6045F" w:rsidRDefault="00C6045F" w:rsidP="00C6045F">
            <w:pPr>
              <w:rPr>
                <w:iCs/>
                <w:sz w:val="28"/>
                <w:szCs w:val="28"/>
                <w:lang w:eastAsia="lv-LV"/>
              </w:rPr>
            </w:pPr>
            <w:r>
              <w:rPr>
                <w:iCs/>
                <w:sz w:val="28"/>
                <w:szCs w:val="28"/>
                <w:lang w:eastAsia="lv-LV"/>
              </w:rPr>
              <w:lastRenderedPageBreak/>
              <w:t>3.</w:t>
            </w:r>
          </w:p>
        </w:tc>
        <w:tc>
          <w:tcPr>
            <w:tcW w:w="4536" w:type="dxa"/>
            <w:gridSpan w:val="2"/>
          </w:tcPr>
          <w:p w14:paraId="2A911D8F" w14:textId="77777777" w:rsidR="00C6045F" w:rsidRDefault="00C6045F" w:rsidP="00C6045F">
            <w:pPr>
              <w:spacing w:before="60" w:after="60"/>
              <w:rPr>
                <w:iCs/>
                <w:sz w:val="28"/>
                <w:szCs w:val="28"/>
                <w:lang w:eastAsia="lv-LV"/>
              </w:rPr>
            </w:pPr>
            <w:r>
              <w:rPr>
                <w:iCs/>
                <w:sz w:val="28"/>
                <w:szCs w:val="28"/>
                <w:lang w:eastAsia="lv-LV"/>
              </w:rPr>
              <w:t>Cita informācija</w:t>
            </w:r>
          </w:p>
        </w:tc>
        <w:tc>
          <w:tcPr>
            <w:tcW w:w="4063" w:type="dxa"/>
            <w:vAlign w:val="center"/>
          </w:tcPr>
          <w:p w14:paraId="1C27B3DE" w14:textId="77777777" w:rsidR="00C6045F" w:rsidRDefault="00C6045F" w:rsidP="00C6045F">
            <w:pPr>
              <w:spacing w:before="60" w:after="60"/>
              <w:rPr>
                <w:iCs/>
                <w:sz w:val="28"/>
                <w:szCs w:val="28"/>
                <w:lang w:eastAsia="lv-LV"/>
              </w:rPr>
            </w:pPr>
            <w:r w:rsidRPr="00ED6A06">
              <w:rPr>
                <w:sz w:val="28"/>
                <w:szCs w:val="28"/>
              </w:rPr>
              <w:t>Nav</w:t>
            </w:r>
            <w:r>
              <w:rPr>
                <w:sz w:val="28"/>
                <w:szCs w:val="28"/>
              </w:rPr>
              <w:t>.</w:t>
            </w:r>
          </w:p>
        </w:tc>
      </w:tr>
    </w:tbl>
    <w:p w14:paraId="5FC97E79" w14:textId="77777777" w:rsidR="00ED6A06" w:rsidRDefault="00ED6A06" w:rsidP="0007077C">
      <w:pPr>
        <w:rPr>
          <w:iCs/>
          <w:sz w:val="28"/>
          <w:szCs w:val="28"/>
          <w:lang w:eastAsia="lv-LV"/>
        </w:rPr>
      </w:pPr>
    </w:p>
    <w:p w14:paraId="5005D74D" w14:textId="31370057" w:rsidR="0007077C" w:rsidRPr="00A63E6C" w:rsidRDefault="008D5F20" w:rsidP="0007077C">
      <w:pPr>
        <w:rPr>
          <w:sz w:val="28"/>
          <w:szCs w:val="28"/>
          <w:lang w:eastAsia="lv-LV"/>
        </w:rPr>
      </w:pPr>
      <w:r>
        <w:rPr>
          <w:iCs/>
          <w:sz w:val="28"/>
          <w:szCs w:val="28"/>
          <w:lang w:eastAsia="lv-LV"/>
        </w:rPr>
        <w:t xml:space="preserve">Anotācijas </w:t>
      </w:r>
      <w:r w:rsidR="00132DF0">
        <w:rPr>
          <w:iCs/>
          <w:sz w:val="28"/>
          <w:szCs w:val="28"/>
          <w:lang w:eastAsia="lv-LV"/>
        </w:rPr>
        <w:t xml:space="preserve">III, </w:t>
      </w:r>
      <w:r w:rsidR="0007077C" w:rsidRPr="00A63E6C">
        <w:rPr>
          <w:iCs/>
          <w:sz w:val="28"/>
          <w:szCs w:val="28"/>
          <w:lang w:eastAsia="lv-LV"/>
        </w:rPr>
        <w:t>V</w:t>
      </w:r>
      <w:r w:rsidR="00AF1B96">
        <w:rPr>
          <w:iCs/>
          <w:sz w:val="28"/>
          <w:szCs w:val="28"/>
          <w:lang w:eastAsia="lv-LV"/>
        </w:rPr>
        <w:t xml:space="preserve"> un</w:t>
      </w:r>
      <w:r w:rsidR="0007077C" w:rsidRPr="00A63E6C">
        <w:rPr>
          <w:iCs/>
          <w:sz w:val="28"/>
          <w:szCs w:val="28"/>
          <w:lang w:eastAsia="lv-LV"/>
        </w:rPr>
        <w:t xml:space="preserve"> VI</w:t>
      </w:r>
      <w:r>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14:paraId="0B217BAB" w14:textId="77777777" w:rsidR="00AF1B96" w:rsidRDefault="00AF1B96" w:rsidP="00C338A6">
      <w:pPr>
        <w:jc w:val="both"/>
        <w:rPr>
          <w:sz w:val="28"/>
          <w:szCs w:val="28"/>
          <w:lang w:val="de-DE"/>
        </w:rPr>
      </w:pPr>
    </w:p>
    <w:p w14:paraId="1E9208AB" w14:textId="77777777" w:rsidR="00AF1B96" w:rsidRDefault="00AF1B96" w:rsidP="00C338A6">
      <w:pPr>
        <w:jc w:val="both"/>
        <w:rPr>
          <w:sz w:val="28"/>
          <w:szCs w:val="28"/>
          <w:lang w:val="de-DE"/>
        </w:rPr>
      </w:pPr>
    </w:p>
    <w:p w14:paraId="63634EC7" w14:textId="77777777" w:rsidR="00616AA6" w:rsidRDefault="00616AA6" w:rsidP="00C338A6">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00A217E7" w:rsidRPr="00D1252E">
        <w:rPr>
          <w:sz w:val="28"/>
          <w:szCs w:val="28"/>
          <w:lang w:val="de-DE"/>
        </w:rPr>
        <w:t xml:space="preserve">             </w:t>
      </w:r>
      <w:r w:rsidRPr="00D1252E">
        <w:rPr>
          <w:sz w:val="28"/>
          <w:szCs w:val="28"/>
          <w:lang w:val="de-DE"/>
        </w:rPr>
        <w:t>R. Kozlovskis</w:t>
      </w:r>
    </w:p>
    <w:p w14:paraId="60B7E2C7" w14:textId="77777777" w:rsidR="0008347A" w:rsidRPr="00D1252E" w:rsidRDefault="0008347A" w:rsidP="00C338A6">
      <w:pPr>
        <w:jc w:val="both"/>
        <w:rPr>
          <w:sz w:val="28"/>
          <w:szCs w:val="28"/>
        </w:rPr>
      </w:pPr>
    </w:p>
    <w:p w14:paraId="73D20D25" w14:textId="77777777" w:rsidR="002720A2" w:rsidRDefault="00616AA6" w:rsidP="00C338A6">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r>
      <w:r w:rsidR="00502E7D" w:rsidRPr="00D1252E">
        <w:rPr>
          <w:sz w:val="28"/>
          <w:szCs w:val="28"/>
        </w:rPr>
        <w:t xml:space="preserve"> </w:t>
      </w:r>
      <w:r w:rsidRPr="00D1252E">
        <w:rPr>
          <w:sz w:val="28"/>
          <w:szCs w:val="28"/>
        </w:rPr>
        <w:t>I.Pētersone</w:t>
      </w:r>
      <w:r w:rsidR="00B74BDF" w:rsidRPr="00D1252E">
        <w:rPr>
          <w:sz w:val="28"/>
          <w:szCs w:val="28"/>
        </w:rPr>
        <w:t>–</w:t>
      </w:r>
      <w:r w:rsidRPr="00D1252E">
        <w:rPr>
          <w:sz w:val="28"/>
          <w:szCs w:val="28"/>
        </w:rPr>
        <w:t>Godmane</w:t>
      </w:r>
    </w:p>
    <w:p w14:paraId="5C4F3103" w14:textId="77777777" w:rsidR="00AF1B96" w:rsidRDefault="00AF1B96" w:rsidP="00D539DB">
      <w:pPr>
        <w:rPr>
          <w:color w:val="000000"/>
          <w:sz w:val="20"/>
          <w:szCs w:val="20"/>
        </w:rPr>
      </w:pPr>
    </w:p>
    <w:p w14:paraId="0C861115" w14:textId="77777777" w:rsidR="0018504A" w:rsidRPr="00270B28" w:rsidRDefault="0018504A" w:rsidP="00CE417F">
      <w:pPr>
        <w:pStyle w:val="naisf"/>
        <w:spacing w:before="0" w:after="0"/>
        <w:ind w:firstLine="0"/>
        <w:rPr>
          <w:sz w:val="20"/>
          <w:szCs w:val="20"/>
          <w:lang w:val="en-US"/>
        </w:rPr>
      </w:pPr>
    </w:p>
    <w:p w14:paraId="0E49FAA5" w14:textId="77777777" w:rsidR="0018504A" w:rsidRDefault="0018504A" w:rsidP="00CE417F">
      <w:pPr>
        <w:pStyle w:val="naisf"/>
        <w:spacing w:before="0" w:after="0"/>
        <w:ind w:firstLine="0"/>
        <w:rPr>
          <w:sz w:val="20"/>
          <w:szCs w:val="20"/>
          <w:lang w:val="en-US"/>
        </w:rPr>
      </w:pPr>
    </w:p>
    <w:p w14:paraId="36D2FC2C" w14:textId="77777777" w:rsidR="005A114C" w:rsidRDefault="005A114C" w:rsidP="00CE417F">
      <w:pPr>
        <w:pStyle w:val="naisf"/>
        <w:spacing w:before="0" w:after="0"/>
        <w:ind w:firstLine="0"/>
        <w:rPr>
          <w:sz w:val="20"/>
          <w:szCs w:val="20"/>
          <w:lang w:val="en-US"/>
        </w:rPr>
      </w:pPr>
    </w:p>
    <w:p w14:paraId="5720FE7F" w14:textId="77777777" w:rsidR="005A114C" w:rsidRDefault="005A114C" w:rsidP="00CE417F">
      <w:pPr>
        <w:pStyle w:val="naisf"/>
        <w:spacing w:before="0" w:after="0"/>
        <w:ind w:firstLine="0"/>
        <w:rPr>
          <w:sz w:val="20"/>
          <w:szCs w:val="20"/>
          <w:lang w:val="en-US"/>
        </w:rPr>
      </w:pPr>
    </w:p>
    <w:p w14:paraId="27D03829" w14:textId="77777777" w:rsidR="005A114C" w:rsidRDefault="005A114C" w:rsidP="00CE417F">
      <w:pPr>
        <w:pStyle w:val="naisf"/>
        <w:spacing w:before="0" w:after="0"/>
        <w:ind w:firstLine="0"/>
        <w:rPr>
          <w:sz w:val="20"/>
          <w:szCs w:val="20"/>
          <w:lang w:val="en-US"/>
        </w:rPr>
      </w:pPr>
    </w:p>
    <w:p w14:paraId="7A07578E" w14:textId="77777777" w:rsidR="005A114C" w:rsidRDefault="005A114C" w:rsidP="00CE417F">
      <w:pPr>
        <w:pStyle w:val="naisf"/>
        <w:spacing w:before="0" w:after="0"/>
        <w:ind w:firstLine="0"/>
        <w:rPr>
          <w:sz w:val="20"/>
          <w:szCs w:val="20"/>
          <w:lang w:val="en-US"/>
        </w:rPr>
      </w:pPr>
    </w:p>
    <w:p w14:paraId="06B6DA8D" w14:textId="77777777" w:rsidR="005A114C" w:rsidRDefault="005A114C" w:rsidP="00CE417F">
      <w:pPr>
        <w:pStyle w:val="naisf"/>
        <w:spacing w:before="0" w:after="0"/>
        <w:ind w:firstLine="0"/>
        <w:rPr>
          <w:sz w:val="20"/>
          <w:szCs w:val="20"/>
          <w:lang w:val="en-US"/>
        </w:rPr>
      </w:pPr>
    </w:p>
    <w:p w14:paraId="2FEAFF5B" w14:textId="77777777" w:rsidR="005A114C" w:rsidRDefault="005A114C" w:rsidP="00CE417F">
      <w:pPr>
        <w:pStyle w:val="naisf"/>
        <w:spacing w:before="0" w:after="0"/>
        <w:ind w:firstLine="0"/>
        <w:rPr>
          <w:sz w:val="20"/>
          <w:szCs w:val="20"/>
          <w:lang w:val="en-US"/>
        </w:rPr>
      </w:pPr>
    </w:p>
    <w:p w14:paraId="65531F5F" w14:textId="77777777" w:rsidR="005A114C" w:rsidRDefault="005A114C" w:rsidP="00CE417F">
      <w:pPr>
        <w:pStyle w:val="naisf"/>
        <w:spacing w:before="0" w:after="0"/>
        <w:ind w:firstLine="0"/>
        <w:rPr>
          <w:sz w:val="20"/>
          <w:szCs w:val="20"/>
          <w:lang w:val="en-US"/>
        </w:rPr>
      </w:pPr>
    </w:p>
    <w:p w14:paraId="40E76D22" w14:textId="77777777" w:rsidR="005A114C" w:rsidRDefault="005A114C" w:rsidP="00CE417F">
      <w:pPr>
        <w:pStyle w:val="naisf"/>
        <w:spacing w:before="0" w:after="0"/>
        <w:ind w:firstLine="0"/>
        <w:rPr>
          <w:sz w:val="20"/>
          <w:szCs w:val="20"/>
          <w:lang w:val="en-US"/>
        </w:rPr>
      </w:pPr>
    </w:p>
    <w:p w14:paraId="0952813B" w14:textId="77777777" w:rsidR="005A114C" w:rsidRDefault="005A114C" w:rsidP="00CE417F">
      <w:pPr>
        <w:pStyle w:val="naisf"/>
        <w:spacing w:before="0" w:after="0"/>
        <w:ind w:firstLine="0"/>
        <w:rPr>
          <w:sz w:val="20"/>
          <w:szCs w:val="20"/>
          <w:lang w:val="en-US"/>
        </w:rPr>
      </w:pPr>
    </w:p>
    <w:p w14:paraId="3D3459AC" w14:textId="77777777" w:rsidR="005A114C" w:rsidRDefault="005A114C" w:rsidP="00CE417F">
      <w:pPr>
        <w:pStyle w:val="naisf"/>
        <w:spacing w:before="0" w:after="0"/>
        <w:ind w:firstLine="0"/>
        <w:rPr>
          <w:sz w:val="20"/>
          <w:szCs w:val="20"/>
          <w:lang w:val="en-US"/>
        </w:rPr>
      </w:pPr>
    </w:p>
    <w:p w14:paraId="1C60FFE4" w14:textId="77777777" w:rsidR="005A114C" w:rsidRDefault="005A114C" w:rsidP="00CE417F">
      <w:pPr>
        <w:pStyle w:val="naisf"/>
        <w:spacing w:before="0" w:after="0"/>
        <w:ind w:firstLine="0"/>
        <w:rPr>
          <w:sz w:val="20"/>
          <w:szCs w:val="20"/>
          <w:lang w:val="en-US"/>
        </w:rPr>
      </w:pPr>
    </w:p>
    <w:p w14:paraId="50459097" w14:textId="77777777" w:rsidR="005A114C" w:rsidRDefault="005A114C" w:rsidP="00CE417F">
      <w:pPr>
        <w:pStyle w:val="naisf"/>
        <w:spacing w:before="0" w:after="0"/>
        <w:ind w:firstLine="0"/>
        <w:rPr>
          <w:sz w:val="20"/>
          <w:szCs w:val="20"/>
          <w:lang w:val="en-US"/>
        </w:rPr>
      </w:pPr>
    </w:p>
    <w:p w14:paraId="17C8C4A1" w14:textId="77777777" w:rsidR="005A114C" w:rsidRDefault="005A114C" w:rsidP="00CE417F">
      <w:pPr>
        <w:pStyle w:val="naisf"/>
        <w:spacing w:before="0" w:after="0"/>
        <w:ind w:firstLine="0"/>
        <w:rPr>
          <w:sz w:val="20"/>
          <w:szCs w:val="20"/>
          <w:lang w:val="en-US"/>
        </w:rPr>
      </w:pPr>
    </w:p>
    <w:p w14:paraId="0C2C0AD1" w14:textId="77777777" w:rsidR="005A114C" w:rsidRDefault="005A114C" w:rsidP="00CE417F">
      <w:pPr>
        <w:pStyle w:val="naisf"/>
        <w:spacing w:before="0" w:after="0"/>
        <w:ind w:firstLine="0"/>
        <w:rPr>
          <w:sz w:val="20"/>
          <w:szCs w:val="20"/>
          <w:lang w:val="en-US"/>
        </w:rPr>
      </w:pPr>
    </w:p>
    <w:p w14:paraId="10A79B7E" w14:textId="77777777" w:rsidR="005A114C" w:rsidRDefault="005A114C" w:rsidP="00CE417F">
      <w:pPr>
        <w:pStyle w:val="naisf"/>
        <w:spacing w:before="0" w:after="0"/>
        <w:ind w:firstLine="0"/>
        <w:rPr>
          <w:sz w:val="20"/>
          <w:szCs w:val="20"/>
          <w:lang w:val="en-US"/>
        </w:rPr>
      </w:pPr>
    </w:p>
    <w:p w14:paraId="0904E0A8" w14:textId="77777777" w:rsidR="005A114C" w:rsidRDefault="005A114C" w:rsidP="00CE417F">
      <w:pPr>
        <w:pStyle w:val="naisf"/>
        <w:spacing w:before="0" w:after="0"/>
        <w:ind w:firstLine="0"/>
        <w:rPr>
          <w:sz w:val="20"/>
          <w:szCs w:val="20"/>
          <w:lang w:val="en-US"/>
        </w:rPr>
      </w:pPr>
    </w:p>
    <w:p w14:paraId="1B2B4322" w14:textId="77777777" w:rsidR="005A114C" w:rsidRDefault="005A114C" w:rsidP="00CE417F">
      <w:pPr>
        <w:pStyle w:val="naisf"/>
        <w:spacing w:before="0" w:after="0"/>
        <w:ind w:firstLine="0"/>
        <w:rPr>
          <w:sz w:val="20"/>
          <w:szCs w:val="20"/>
          <w:lang w:val="en-US"/>
        </w:rPr>
      </w:pPr>
    </w:p>
    <w:p w14:paraId="65BB285F" w14:textId="77777777" w:rsidR="005A114C" w:rsidRDefault="005A114C" w:rsidP="00CE417F">
      <w:pPr>
        <w:pStyle w:val="naisf"/>
        <w:spacing w:before="0" w:after="0"/>
        <w:ind w:firstLine="0"/>
        <w:rPr>
          <w:sz w:val="20"/>
          <w:szCs w:val="20"/>
          <w:lang w:val="en-US"/>
        </w:rPr>
      </w:pPr>
    </w:p>
    <w:p w14:paraId="5808A71E" w14:textId="77777777" w:rsidR="005A114C" w:rsidRDefault="005A114C" w:rsidP="00CE417F">
      <w:pPr>
        <w:pStyle w:val="naisf"/>
        <w:spacing w:before="0" w:after="0"/>
        <w:ind w:firstLine="0"/>
        <w:rPr>
          <w:sz w:val="20"/>
          <w:szCs w:val="20"/>
          <w:lang w:val="en-US"/>
        </w:rPr>
      </w:pPr>
    </w:p>
    <w:p w14:paraId="5F00053C" w14:textId="77777777" w:rsidR="005A114C" w:rsidRDefault="005A114C" w:rsidP="00CE417F">
      <w:pPr>
        <w:pStyle w:val="naisf"/>
        <w:spacing w:before="0" w:after="0"/>
        <w:ind w:firstLine="0"/>
        <w:rPr>
          <w:sz w:val="20"/>
          <w:szCs w:val="20"/>
          <w:lang w:val="en-US"/>
        </w:rPr>
      </w:pPr>
    </w:p>
    <w:p w14:paraId="1ED5B8BF" w14:textId="77777777" w:rsidR="005A114C" w:rsidRDefault="005A114C" w:rsidP="00CE417F">
      <w:pPr>
        <w:pStyle w:val="naisf"/>
        <w:spacing w:before="0" w:after="0"/>
        <w:ind w:firstLine="0"/>
        <w:rPr>
          <w:sz w:val="20"/>
          <w:szCs w:val="20"/>
          <w:lang w:val="en-US"/>
        </w:rPr>
      </w:pPr>
    </w:p>
    <w:p w14:paraId="081D4B16" w14:textId="77777777" w:rsidR="005A114C" w:rsidRDefault="005A114C" w:rsidP="00CE417F">
      <w:pPr>
        <w:pStyle w:val="naisf"/>
        <w:spacing w:before="0" w:after="0"/>
        <w:ind w:firstLine="0"/>
        <w:rPr>
          <w:sz w:val="20"/>
          <w:szCs w:val="20"/>
          <w:lang w:val="en-US"/>
        </w:rPr>
      </w:pPr>
    </w:p>
    <w:p w14:paraId="66D63A58" w14:textId="77777777" w:rsidR="005A114C" w:rsidRDefault="005A114C" w:rsidP="00CE417F">
      <w:pPr>
        <w:pStyle w:val="naisf"/>
        <w:spacing w:before="0" w:after="0"/>
        <w:ind w:firstLine="0"/>
        <w:rPr>
          <w:sz w:val="20"/>
          <w:szCs w:val="20"/>
          <w:lang w:val="en-US"/>
        </w:rPr>
      </w:pPr>
    </w:p>
    <w:p w14:paraId="43893A61" w14:textId="77777777" w:rsidR="005A114C" w:rsidRDefault="005A114C" w:rsidP="00CE417F">
      <w:pPr>
        <w:pStyle w:val="naisf"/>
        <w:spacing w:before="0" w:after="0"/>
        <w:ind w:firstLine="0"/>
        <w:rPr>
          <w:sz w:val="20"/>
          <w:szCs w:val="20"/>
          <w:lang w:val="en-US"/>
        </w:rPr>
      </w:pPr>
    </w:p>
    <w:p w14:paraId="0291711C" w14:textId="77777777" w:rsidR="005A114C" w:rsidRDefault="005A114C" w:rsidP="00CE417F">
      <w:pPr>
        <w:pStyle w:val="naisf"/>
        <w:spacing w:before="0" w:after="0"/>
        <w:ind w:firstLine="0"/>
        <w:rPr>
          <w:sz w:val="20"/>
          <w:szCs w:val="20"/>
          <w:lang w:val="en-US"/>
        </w:rPr>
      </w:pPr>
    </w:p>
    <w:p w14:paraId="20ACF8CB" w14:textId="77777777" w:rsidR="005A114C" w:rsidRDefault="005A114C" w:rsidP="00CE417F">
      <w:pPr>
        <w:pStyle w:val="naisf"/>
        <w:spacing w:before="0" w:after="0"/>
        <w:ind w:firstLine="0"/>
        <w:rPr>
          <w:sz w:val="20"/>
          <w:szCs w:val="20"/>
          <w:lang w:val="en-US"/>
        </w:rPr>
      </w:pPr>
    </w:p>
    <w:p w14:paraId="26D15160" w14:textId="77777777" w:rsidR="005A114C" w:rsidRDefault="005A114C" w:rsidP="00CE417F">
      <w:pPr>
        <w:pStyle w:val="naisf"/>
        <w:spacing w:before="0" w:after="0"/>
        <w:ind w:firstLine="0"/>
        <w:rPr>
          <w:sz w:val="20"/>
          <w:szCs w:val="20"/>
          <w:lang w:val="en-US"/>
        </w:rPr>
      </w:pPr>
    </w:p>
    <w:p w14:paraId="472BA13F" w14:textId="77777777" w:rsidR="005A114C" w:rsidRDefault="005A114C" w:rsidP="00CE417F">
      <w:pPr>
        <w:pStyle w:val="naisf"/>
        <w:spacing w:before="0" w:after="0"/>
        <w:ind w:firstLine="0"/>
        <w:rPr>
          <w:sz w:val="20"/>
          <w:szCs w:val="20"/>
          <w:lang w:val="en-US"/>
        </w:rPr>
      </w:pPr>
    </w:p>
    <w:p w14:paraId="6FD5D1C3" w14:textId="77777777" w:rsidR="005A114C" w:rsidRDefault="005A114C" w:rsidP="00CE417F">
      <w:pPr>
        <w:pStyle w:val="naisf"/>
        <w:spacing w:before="0" w:after="0"/>
        <w:ind w:firstLine="0"/>
        <w:rPr>
          <w:sz w:val="20"/>
          <w:szCs w:val="20"/>
          <w:lang w:val="en-US"/>
        </w:rPr>
      </w:pPr>
    </w:p>
    <w:p w14:paraId="78DD2AE9" w14:textId="77777777" w:rsidR="005A114C" w:rsidRDefault="005A114C" w:rsidP="00CE417F">
      <w:pPr>
        <w:pStyle w:val="naisf"/>
        <w:spacing w:before="0" w:after="0"/>
        <w:ind w:firstLine="0"/>
        <w:rPr>
          <w:sz w:val="20"/>
          <w:szCs w:val="20"/>
          <w:lang w:val="en-US"/>
        </w:rPr>
      </w:pPr>
    </w:p>
    <w:p w14:paraId="332BE38E" w14:textId="77777777" w:rsidR="005A114C" w:rsidRDefault="005A114C" w:rsidP="00CE417F">
      <w:pPr>
        <w:pStyle w:val="naisf"/>
        <w:spacing w:before="0" w:after="0"/>
        <w:ind w:firstLine="0"/>
        <w:rPr>
          <w:sz w:val="20"/>
          <w:szCs w:val="20"/>
          <w:lang w:val="en-US"/>
        </w:rPr>
      </w:pPr>
    </w:p>
    <w:p w14:paraId="35C58E50" w14:textId="77777777" w:rsidR="005A114C" w:rsidRDefault="005A114C" w:rsidP="00CE417F">
      <w:pPr>
        <w:pStyle w:val="naisf"/>
        <w:spacing w:before="0" w:after="0"/>
        <w:ind w:firstLine="0"/>
        <w:rPr>
          <w:sz w:val="20"/>
          <w:szCs w:val="20"/>
          <w:lang w:val="en-US"/>
        </w:rPr>
      </w:pPr>
    </w:p>
    <w:p w14:paraId="76F150BA" w14:textId="77777777" w:rsidR="005A114C" w:rsidRDefault="005A114C" w:rsidP="00CE417F">
      <w:pPr>
        <w:pStyle w:val="naisf"/>
        <w:spacing w:before="0" w:after="0"/>
        <w:ind w:firstLine="0"/>
        <w:rPr>
          <w:sz w:val="20"/>
          <w:szCs w:val="20"/>
          <w:lang w:val="en-US"/>
        </w:rPr>
      </w:pPr>
    </w:p>
    <w:p w14:paraId="22B2DC38" w14:textId="77777777" w:rsidR="005A114C" w:rsidRPr="00270B28" w:rsidRDefault="005A114C" w:rsidP="00CE417F">
      <w:pPr>
        <w:pStyle w:val="naisf"/>
        <w:spacing w:before="0" w:after="0"/>
        <w:ind w:firstLine="0"/>
        <w:rPr>
          <w:sz w:val="20"/>
          <w:szCs w:val="20"/>
          <w:lang w:val="en-US"/>
        </w:rPr>
      </w:pPr>
    </w:p>
    <w:p w14:paraId="0071D529" w14:textId="461A51D3" w:rsidR="00CE417F" w:rsidRPr="00FC2F9C" w:rsidRDefault="00CE417F" w:rsidP="00CE417F">
      <w:pPr>
        <w:pStyle w:val="naisf"/>
        <w:spacing w:before="0" w:after="0"/>
        <w:ind w:firstLine="0"/>
        <w:rPr>
          <w:sz w:val="20"/>
          <w:szCs w:val="20"/>
        </w:rPr>
      </w:pPr>
      <w:r w:rsidRPr="00FC2F9C">
        <w:rPr>
          <w:sz w:val="20"/>
          <w:szCs w:val="20"/>
          <w:lang w:val="ru-RU"/>
        </w:rPr>
        <w:fldChar w:fldCharType="begin"/>
      </w:r>
      <w:r w:rsidRPr="00FC2F9C">
        <w:rPr>
          <w:sz w:val="20"/>
          <w:szCs w:val="20"/>
          <w:lang w:val="ru-RU"/>
        </w:rPr>
        <w:instrText xml:space="preserve"> TIME \@ "dd.MM.yyyy H:mm" </w:instrText>
      </w:r>
      <w:r w:rsidRPr="00FC2F9C">
        <w:rPr>
          <w:sz w:val="20"/>
          <w:szCs w:val="20"/>
          <w:lang w:val="ru-RU"/>
        </w:rPr>
        <w:fldChar w:fldCharType="separate"/>
      </w:r>
      <w:r w:rsidR="006E3BEA">
        <w:rPr>
          <w:noProof/>
          <w:sz w:val="20"/>
          <w:szCs w:val="20"/>
          <w:lang w:val="ru-RU"/>
        </w:rPr>
        <w:t>10.11.2015 14:56</w:t>
      </w:r>
      <w:r w:rsidRPr="00FC2F9C">
        <w:rPr>
          <w:sz w:val="20"/>
          <w:szCs w:val="20"/>
          <w:lang w:val="ru-RU"/>
        </w:rPr>
        <w:fldChar w:fldCharType="end"/>
      </w:r>
    </w:p>
    <w:p w14:paraId="2A0B38FF" w14:textId="7AC1E843" w:rsidR="00CE417F" w:rsidRPr="00FC2F9C" w:rsidRDefault="00CE417F" w:rsidP="00CE417F">
      <w:pPr>
        <w:jc w:val="both"/>
        <w:rPr>
          <w:sz w:val="20"/>
        </w:rPr>
      </w:pPr>
      <w:r w:rsidRPr="00FC2F9C">
        <w:rPr>
          <w:sz w:val="20"/>
        </w:rPr>
        <w:fldChar w:fldCharType="begin"/>
      </w:r>
      <w:r w:rsidRPr="00FC2F9C">
        <w:rPr>
          <w:sz w:val="20"/>
        </w:rPr>
        <w:instrText xml:space="preserve"> NUMWORDS   \* MERGEFORMAT </w:instrText>
      </w:r>
      <w:r w:rsidRPr="00FC2F9C">
        <w:rPr>
          <w:sz w:val="20"/>
        </w:rPr>
        <w:fldChar w:fldCharType="separate"/>
      </w:r>
      <w:r w:rsidR="0011275C">
        <w:rPr>
          <w:noProof/>
          <w:sz w:val="20"/>
        </w:rPr>
        <w:t>607</w:t>
      </w:r>
      <w:r w:rsidRPr="00FC2F9C">
        <w:rPr>
          <w:sz w:val="20"/>
        </w:rPr>
        <w:fldChar w:fldCharType="end"/>
      </w:r>
    </w:p>
    <w:p w14:paraId="1BC03D98" w14:textId="77777777" w:rsidR="00D1252E" w:rsidRDefault="00D1252E" w:rsidP="00527A75">
      <w:pPr>
        <w:pStyle w:val="BodyText"/>
        <w:jc w:val="left"/>
        <w:rPr>
          <w:b w:val="0"/>
          <w:sz w:val="20"/>
        </w:rPr>
      </w:pPr>
      <w:r>
        <w:rPr>
          <w:b w:val="0"/>
          <w:sz w:val="20"/>
        </w:rPr>
        <w:t>A.Strode</w:t>
      </w:r>
    </w:p>
    <w:p w14:paraId="3907A7A1" w14:textId="77777777" w:rsidR="00D1252E" w:rsidRPr="00527A75" w:rsidRDefault="00D1252E" w:rsidP="00527A75">
      <w:pPr>
        <w:pStyle w:val="BodyText"/>
        <w:jc w:val="left"/>
        <w:rPr>
          <w:b w:val="0"/>
          <w:sz w:val="20"/>
        </w:rPr>
      </w:pPr>
      <w:r>
        <w:rPr>
          <w:b w:val="0"/>
          <w:sz w:val="20"/>
        </w:rPr>
        <w:t xml:space="preserve">67219602, </w:t>
      </w:r>
      <w:hyperlink r:id="rId8" w:history="1">
        <w:r w:rsidRPr="00395BA1">
          <w:rPr>
            <w:rStyle w:val="Hyperlink"/>
            <w:b w:val="0"/>
            <w:sz w:val="20"/>
          </w:rPr>
          <w:t>Alda.Strode@iem.gov.lv</w:t>
        </w:r>
      </w:hyperlink>
      <w:r>
        <w:rPr>
          <w:b w:val="0"/>
          <w:sz w:val="20"/>
        </w:rPr>
        <w:t xml:space="preserve"> </w:t>
      </w:r>
    </w:p>
    <w:sectPr w:rsidR="00D1252E" w:rsidRPr="00527A75" w:rsidSect="00542E31">
      <w:headerReference w:type="even" r:id="rId9"/>
      <w:headerReference w:type="default" r:id="rId10"/>
      <w:footerReference w:type="default" r:id="rId11"/>
      <w:footerReference w:type="first" r:id="rId12"/>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6D9C1" w14:textId="77777777" w:rsidR="004B5ACB" w:rsidRDefault="004B5ACB" w:rsidP="00616AA6">
      <w:r>
        <w:separator/>
      </w:r>
    </w:p>
  </w:endnote>
  <w:endnote w:type="continuationSeparator" w:id="0">
    <w:p w14:paraId="3054BCDE" w14:textId="77777777" w:rsidR="004B5ACB" w:rsidRDefault="004B5ACB"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4445" w14:textId="6B72E4F2" w:rsidR="00732FE0" w:rsidRPr="00732FE0" w:rsidRDefault="00732FE0" w:rsidP="00732FE0">
    <w:pPr>
      <w:jc w:val="both"/>
      <w:rPr>
        <w:sz w:val="20"/>
        <w:szCs w:val="20"/>
      </w:rPr>
    </w:pPr>
    <w:r w:rsidRPr="00732FE0">
      <w:rPr>
        <w:sz w:val="20"/>
        <w:szCs w:val="20"/>
      </w:rPr>
      <w:t>IEMAnot_</w:t>
    </w:r>
    <w:r w:rsidR="008D6330">
      <w:rPr>
        <w:sz w:val="20"/>
        <w:szCs w:val="20"/>
      </w:rPr>
      <w:t>0</w:t>
    </w:r>
    <w:r w:rsidR="008A564D">
      <w:rPr>
        <w:sz w:val="20"/>
        <w:szCs w:val="20"/>
      </w:rPr>
      <w:t>9</w:t>
    </w:r>
    <w:r w:rsidR="008D6330">
      <w:rPr>
        <w:sz w:val="20"/>
        <w:szCs w:val="20"/>
      </w:rPr>
      <w:t>11</w:t>
    </w:r>
    <w:r w:rsidRPr="00732FE0">
      <w:rPr>
        <w:sz w:val="20"/>
        <w:szCs w:val="20"/>
      </w:rPr>
      <w:t>15_675; Ministru kabineta rīkojuma projekta “</w:t>
    </w:r>
    <w:r w:rsidR="00072425">
      <w:rPr>
        <w:sz w:val="20"/>
        <w:szCs w:val="20"/>
      </w:rPr>
      <w:t>G</w:t>
    </w:r>
    <w:r w:rsidRPr="00732FE0">
      <w:rPr>
        <w:sz w:val="20"/>
        <w:szCs w:val="20"/>
      </w:rPr>
      <w:t>rozījumi Ministru kabineta 2013.gada 27.decembra rīkojumā Nr.675 “Par Koncepciju par jaunu darba samaksas sistēmu Iekšlietu ministrijas sistēmas iestāžu un Ieslodzījuma vietu pārvaldes amatpersonām ar speciālajām dienesta pakāpēm”” sākotnējās ietekmes novērtējuma ziņojums (anotācija)</w:t>
    </w:r>
  </w:p>
  <w:p w14:paraId="3003B2AB" w14:textId="7979C453" w:rsidR="00FA3806" w:rsidRPr="00732FE0" w:rsidRDefault="00FA3806" w:rsidP="00732FE0">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1EE7" w14:textId="13147CA3" w:rsidR="00732FE0" w:rsidRPr="00732FE0" w:rsidRDefault="00732FE0" w:rsidP="00732FE0">
    <w:pPr>
      <w:jc w:val="both"/>
      <w:rPr>
        <w:sz w:val="20"/>
        <w:szCs w:val="20"/>
      </w:rPr>
    </w:pPr>
    <w:r w:rsidRPr="00732FE0">
      <w:rPr>
        <w:sz w:val="20"/>
        <w:szCs w:val="20"/>
      </w:rPr>
      <w:t>IEMAnot_</w:t>
    </w:r>
    <w:r w:rsidR="00F473EB">
      <w:rPr>
        <w:sz w:val="20"/>
        <w:szCs w:val="20"/>
      </w:rPr>
      <w:t>0</w:t>
    </w:r>
    <w:r w:rsidR="008A564D">
      <w:rPr>
        <w:sz w:val="20"/>
        <w:szCs w:val="20"/>
      </w:rPr>
      <w:t>9</w:t>
    </w:r>
    <w:r w:rsidR="00F473EB">
      <w:rPr>
        <w:sz w:val="20"/>
        <w:szCs w:val="20"/>
      </w:rPr>
      <w:t>11</w:t>
    </w:r>
    <w:r w:rsidRPr="00732FE0">
      <w:rPr>
        <w:sz w:val="20"/>
        <w:szCs w:val="20"/>
      </w:rPr>
      <w:t>15_675; Ministru kabineta rīkojuma projekta “</w:t>
    </w:r>
    <w:r w:rsidR="00072425">
      <w:rPr>
        <w:sz w:val="20"/>
        <w:szCs w:val="20"/>
      </w:rPr>
      <w:t>G</w:t>
    </w:r>
    <w:r w:rsidRPr="00732FE0">
      <w:rPr>
        <w:sz w:val="20"/>
        <w:szCs w:val="20"/>
      </w:rPr>
      <w:t>rozījumi Ministru kabineta 2013.gada 27.decembra rīkojumā Nr.675 “Par Koncepciju par jaunu darba samaksas sistēmu Iekšlietu ministrijas sistēmas iestāžu un Ieslodzījuma vietu pārvaldes amatpersonām ar speciālajām dienesta pakāpēm”” sākotnējās ietekmes novērtējuma ziņojums (anotācija)</w:t>
    </w:r>
  </w:p>
  <w:p w14:paraId="3E4690EF" w14:textId="77777777" w:rsidR="00732FE0" w:rsidRPr="00732FE0" w:rsidRDefault="00732FE0" w:rsidP="0073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9C0D" w14:textId="77777777" w:rsidR="004B5ACB" w:rsidRDefault="004B5ACB" w:rsidP="00616AA6">
      <w:r>
        <w:separator/>
      </w:r>
    </w:p>
  </w:footnote>
  <w:footnote w:type="continuationSeparator" w:id="0">
    <w:p w14:paraId="3D0D68D5" w14:textId="77777777" w:rsidR="004B5ACB" w:rsidRDefault="004B5ACB"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3149"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762E8" w14:textId="77777777" w:rsidR="00FA3806" w:rsidRDefault="00FA3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4A4"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BEA">
      <w:rPr>
        <w:rStyle w:val="PageNumber"/>
        <w:noProof/>
      </w:rPr>
      <w:t>2</w:t>
    </w:r>
    <w:r>
      <w:rPr>
        <w:rStyle w:val="PageNumber"/>
      </w:rPr>
      <w:fldChar w:fldCharType="end"/>
    </w:r>
  </w:p>
  <w:p w14:paraId="2FCBC276" w14:textId="77777777" w:rsidR="00FA3806" w:rsidRDefault="00FA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8E7387"/>
    <w:multiLevelType w:val="hybridMultilevel"/>
    <w:tmpl w:val="0206D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556368"/>
    <w:multiLevelType w:val="multilevel"/>
    <w:tmpl w:val="17B85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3" w15:restartNumberingAfterBreak="0">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4" w15:restartNumberingAfterBreak="0">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A27680"/>
    <w:multiLevelType w:val="hybridMultilevel"/>
    <w:tmpl w:val="6D54CE4E"/>
    <w:lvl w:ilvl="0" w:tplc="8F4CDBC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0"/>
  </w:num>
  <w:num w:numId="2">
    <w:abstractNumId w:val="9"/>
  </w:num>
  <w:num w:numId="3">
    <w:abstractNumId w:val="4"/>
  </w:num>
  <w:num w:numId="4">
    <w:abstractNumId w:val="0"/>
  </w:num>
  <w:num w:numId="5">
    <w:abstractNumId w:val="5"/>
  </w:num>
  <w:num w:numId="6">
    <w:abstractNumId w:val="3"/>
  </w:num>
  <w:num w:numId="7">
    <w:abstractNumId w:val="7"/>
  </w:num>
  <w:num w:numId="8">
    <w:abstractNumId w:val="6"/>
  </w:num>
  <w:num w:numId="9">
    <w:abstractNumId w:val="1"/>
  </w:num>
  <w:num w:numId="10">
    <w:abstractNumId w:va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10981"/>
    <w:rsid w:val="0002334F"/>
    <w:rsid w:val="00027BDC"/>
    <w:rsid w:val="00027C37"/>
    <w:rsid w:val="000307BA"/>
    <w:rsid w:val="00051AAA"/>
    <w:rsid w:val="00056443"/>
    <w:rsid w:val="00057968"/>
    <w:rsid w:val="00061D6A"/>
    <w:rsid w:val="0007077C"/>
    <w:rsid w:val="00070AA3"/>
    <w:rsid w:val="00072425"/>
    <w:rsid w:val="000757EC"/>
    <w:rsid w:val="00080BAA"/>
    <w:rsid w:val="00080E08"/>
    <w:rsid w:val="0008347A"/>
    <w:rsid w:val="000A06FD"/>
    <w:rsid w:val="000A650A"/>
    <w:rsid w:val="000A7F51"/>
    <w:rsid w:val="000B528F"/>
    <w:rsid w:val="000F1582"/>
    <w:rsid w:val="000F1729"/>
    <w:rsid w:val="000F2A4A"/>
    <w:rsid w:val="000F2F91"/>
    <w:rsid w:val="00104D50"/>
    <w:rsid w:val="0011275C"/>
    <w:rsid w:val="00116D23"/>
    <w:rsid w:val="00127E4B"/>
    <w:rsid w:val="0013129B"/>
    <w:rsid w:val="00132192"/>
    <w:rsid w:val="00132DF0"/>
    <w:rsid w:val="00133064"/>
    <w:rsid w:val="001403DC"/>
    <w:rsid w:val="00144CAD"/>
    <w:rsid w:val="0015500E"/>
    <w:rsid w:val="0015557D"/>
    <w:rsid w:val="00166FDD"/>
    <w:rsid w:val="00172FAF"/>
    <w:rsid w:val="00174DE1"/>
    <w:rsid w:val="0017581A"/>
    <w:rsid w:val="0018504A"/>
    <w:rsid w:val="00186EFA"/>
    <w:rsid w:val="00193A8B"/>
    <w:rsid w:val="00197C43"/>
    <w:rsid w:val="001A4AE4"/>
    <w:rsid w:val="001B30CD"/>
    <w:rsid w:val="001B3EBE"/>
    <w:rsid w:val="001D23EC"/>
    <w:rsid w:val="001D349F"/>
    <w:rsid w:val="001E3E86"/>
    <w:rsid w:val="001F3153"/>
    <w:rsid w:val="001F4C14"/>
    <w:rsid w:val="001F692A"/>
    <w:rsid w:val="00201BD9"/>
    <w:rsid w:val="002055CE"/>
    <w:rsid w:val="00215D9C"/>
    <w:rsid w:val="00221979"/>
    <w:rsid w:val="00221D5F"/>
    <w:rsid w:val="00223E3D"/>
    <w:rsid w:val="00237C20"/>
    <w:rsid w:val="002447E8"/>
    <w:rsid w:val="00246FDC"/>
    <w:rsid w:val="002554BA"/>
    <w:rsid w:val="00257716"/>
    <w:rsid w:val="00267391"/>
    <w:rsid w:val="00270572"/>
    <w:rsid w:val="00270B28"/>
    <w:rsid w:val="002720A2"/>
    <w:rsid w:val="00273A9F"/>
    <w:rsid w:val="00275C6D"/>
    <w:rsid w:val="00283342"/>
    <w:rsid w:val="0029110D"/>
    <w:rsid w:val="002926D3"/>
    <w:rsid w:val="002940CD"/>
    <w:rsid w:val="002960EA"/>
    <w:rsid w:val="002A6197"/>
    <w:rsid w:val="002A7573"/>
    <w:rsid w:val="002B10A1"/>
    <w:rsid w:val="002B21C0"/>
    <w:rsid w:val="002B4610"/>
    <w:rsid w:val="002B5B67"/>
    <w:rsid w:val="002C7006"/>
    <w:rsid w:val="002C7EAA"/>
    <w:rsid w:val="002D1149"/>
    <w:rsid w:val="002D66F8"/>
    <w:rsid w:val="002E5EF8"/>
    <w:rsid w:val="002E6C12"/>
    <w:rsid w:val="00300439"/>
    <w:rsid w:val="003005B6"/>
    <w:rsid w:val="003019EE"/>
    <w:rsid w:val="0030306E"/>
    <w:rsid w:val="00311674"/>
    <w:rsid w:val="003126D5"/>
    <w:rsid w:val="003166FB"/>
    <w:rsid w:val="0034364F"/>
    <w:rsid w:val="00344B8D"/>
    <w:rsid w:val="0035487B"/>
    <w:rsid w:val="00361411"/>
    <w:rsid w:val="00364798"/>
    <w:rsid w:val="003665C6"/>
    <w:rsid w:val="00373890"/>
    <w:rsid w:val="00374F27"/>
    <w:rsid w:val="0037540D"/>
    <w:rsid w:val="00375FAB"/>
    <w:rsid w:val="00382850"/>
    <w:rsid w:val="00383A15"/>
    <w:rsid w:val="003B10C2"/>
    <w:rsid w:val="003C5BC9"/>
    <w:rsid w:val="003C6387"/>
    <w:rsid w:val="003D1339"/>
    <w:rsid w:val="003D1A40"/>
    <w:rsid w:val="003F6F12"/>
    <w:rsid w:val="00403411"/>
    <w:rsid w:val="004034E0"/>
    <w:rsid w:val="00410DE6"/>
    <w:rsid w:val="004130AE"/>
    <w:rsid w:val="004139D6"/>
    <w:rsid w:val="004175B1"/>
    <w:rsid w:val="004262C0"/>
    <w:rsid w:val="00430403"/>
    <w:rsid w:val="004327F8"/>
    <w:rsid w:val="004371FF"/>
    <w:rsid w:val="00437542"/>
    <w:rsid w:val="00442C6B"/>
    <w:rsid w:val="004430F1"/>
    <w:rsid w:val="004519E2"/>
    <w:rsid w:val="004529EF"/>
    <w:rsid w:val="00453324"/>
    <w:rsid w:val="004545E7"/>
    <w:rsid w:val="004676D7"/>
    <w:rsid w:val="004705F1"/>
    <w:rsid w:val="004767AF"/>
    <w:rsid w:val="004854D4"/>
    <w:rsid w:val="004A11F7"/>
    <w:rsid w:val="004A4FA5"/>
    <w:rsid w:val="004B32B3"/>
    <w:rsid w:val="004B3E87"/>
    <w:rsid w:val="004B4B44"/>
    <w:rsid w:val="004B4D39"/>
    <w:rsid w:val="004B5ACB"/>
    <w:rsid w:val="004C51BE"/>
    <w:rsid w:val="004C669F"/>
    <w:rsid w:val="004D1FCD"/>
    <w:rsid w:val="004D4483"/>
    <w:rsid w:val="004E1E03"/>
    <w:rsid w:val="004F3F5D"/>
    <w:rsid w:val="00500381"/>
    <w:rsid w:val="00502E7D"/>
    <w:rsid w:val="00504DDF"/>
    <w:rsid w:val="0051217B"/>
    <w:rsid w:val="005126CA"/>
    <w:rsid w:val="00527A75"/>
    <w:rsid w:val="00527E3D"/>
    <w:rsid w:val="0053087D"/>
    <w:rsid w:val="0053640B"/>
    <w:rsid w:val="00542E31"/>
    <w:rsid w:val="00545E70"/>
    <w:rsid w:val="005614ED"/>
    <w:rsid w:val="005651F4"/>
    <w:rsid w:val="00577B09"/>
    <w:rsid w:val="00581CD9"/>
    <w:rsid w:val="00593AC8"/>
    <w:rsid w:val="005A114C"/>
    <w:rsid w:val="005A1B50"/>
    <w:rsid w:val="005B2CAE"/>
    <w:rsid w:val="005B2CE7"/>
    <w:rsid w:val="005C0E17"/>
    <w:rsid w:val="005C3D9C"/>
    <w:rsid w:val="005D6BAC"/>
    <w:rsid w:val="00612741"/>
    <w:rsid w:val="00612D7E"/>
    <w:rsid w:val="00615C3B"/>
    <w:rsid w:val="00615C8C"/>
    <w:rsid w:val="00616AA6"/>
    <w:rsid w:val="00623908"/>
    <w:rsid w:val="006329F8"/>
    <w:rsid w:val="00633D6B"/>
    <w:rsid w:val="00646185"/>
    <w:rsid w:val="00655C91"/>
    <w:rsid w:val="006617E1"/>
    <w:rsid w:val="00664FC6"/>
    <w:rsid w:val="00680236"/>
    <w:rsid w:val="006A0DA7"/>
    <w:rsid w:val="006B251F"/>
    <w:rsid w:val="006C55ED"/>
    <w:rsid w:val="006E3688"/>
    <w:rsid w:val="006E3BEA"/>
    <w:rsid w:val="006E480C"/>
    <w:rsid w:val="006E54AA"/>
    <w:rsid w:val="006E54B1"/>
    <w:rsid w:val="006E76B7"/>
    <w:rsid w:val="006F0B68"/>
    <w:rsid w:val="006F73BC"/>
    <w:rsid w:val="0070343E"/>
    <w:rsid w:val="00710EAA"/>
    <w:rsid w:val="00711E40"/>
    <w:rsid w:val="00717B91"/>
    <w:rsid w:val="00725865"/>
    <w:rsid w:val="00730E41"/>
    <w:rsid w:val="00732C68"/>
    <w:rsid w:val="00732FE0"/>
    <w:rsid w:val="00736938"/>
    <w:rsid w:val="00747C51"/>
    <w:rsid w:val="007528E2"/>
    <w:rsid w:val="00753535"/>
    <w:rsid w:val="00755684"/>
    <w:rsid w:val="007610E4"/>
    <w:rsid w:val="00762F26"/>
    <w:rsid w:val="00765A92"/>
    <w:rsid w:val="0077070F"/>
    <w:rsid w:val="00770BEE"/>
    <w:rsid w:val="00772A46"/>
    <w:rsid w:val="00777C69"/>
    <w:rsid w:val="00784102"/>
    <w:rsid w:val="00791C04"/>
    <w:rsid w:val="00794E6B"/>
    <w:rsid w:val="00795FF1"/>
    <w:rsid w:val="0079708F"/>
    <w:rsid w:val="007A462B"/>
    <w:rsid w:val="007B0C0C"/>
    <w:rsid w:val="007B5718"/>
    <w:rsid w:val="007D3FD0"/>
    <w:rsid w:val="007D4808"/>
    <w:rsid w:val="007D4C86"/>
    <w:rsid w:val="007D783D"/>
    <w:rsid w:val="007E11F5"/>
    <w:rsid w:val="007E5425"/>
    <w:rsid w:val="007E7062"/>
    <w:rsid w:val="007F4918"/>
    <w:rsid w:val="00805D9E"/>
    <w:rsid w:val="0080751B"/>
    <w:rsid w:val="00816363"/>
    <w:rsid w:val="008167ED"/>
    <w:rsid w:val="00834ED9"/>
    <w:rsid w:val="008372E7"/>
    <w:rsid w:val="00837BD6"/>
    <w:rsid w:val="00850054"/>
    <w:rsid w:val="00851783"/>
    <w:rsid w:val="00851BC0"/>
    <w:rsid w:val="008605D0"/>
    <w:rsid w:val="00863995"/>
    <w:rsid w:val="00863DB5"/>
    <w:rsid w:val="00866E6B"/>
    <w:rsid w:val="00871B81"/>
    <w:rsid w:val="00874E35"/>
    <w:rsid w:val="008936BC"/>
    <w:rsid w:val="008A023A"/>
    <w:rsid w:val="008A4EEF"/>
    <w:rsid w:val="008A564D"/>
    <w:rsid w:val="008C2585"/>
    <w:rsid w:val="008C2B20"/>
    <w:rsid w:val="008C2D66"/>
    <w:rsid w:val="008C47BE"/>
    <w:rsid w:val="008C6FC8"/>
    <w:rsid w:val="008D39F4"/>
    <w:rsid w:val="008D5F20"/>
    <w:rsid w:val="008D6330"/>
    <w:rsid w:val="008F2ACB"/>
    <w:rsid w:val="0090153F"/>
    <w:rsid w:val="009114A0"/>
    <w:rsid w:val="00921B1A"/>
    <w:rsid w:val="00927C25"/>
    <w:rsid w:val="009304C8"/>
    <w:rsid w:val="00942BC7"/>
    <w:rsid w:val="00947830"/>
    <w:rsid w:val="00953A72"/>
    <w:rsid w:val="0096051F"/>
    <w:rsid w:val="00963119"/>
    <w:rsid w:val="009652EF"/>
    <w:rsid w:val="00973642"/>
    <w:rsid w:val="00977B2E"/>
    <w:rsid w:val="0098089E"/>
    <w:rsid w:val="0098181D"/>
    <w:rsid w:val="009860CC"/>
    <w:rsid w:val="009860E6"/>
    <w:rsid w:val="0099042F"/>
    <w:rsid w:val="00990B02"/>
    <w:rsid w:val="00991ED2"/>
    <w:rsid w:val="00997FA9"/>
    <w:rsid w:val="009A1968"/>
    <w:rsid w:val="009A1D77"/>
    <w:rsid w:val="009A5325"/>
    <w:rsid w:val="009A64DE"/>
    <w:rsid w:val="009A6FC2"/>
    <w:rsid w:val="009B1BDE"/>
    <w:rsid w:val="009B56A3"/>
    <w:rsid w:val="009B6C9D"/>
    <w:rsid w:val="009B7E5E"/>
    <w:rsid w:val="009C3026"/>
    <w:rsid w:val="009D1066"/>
    <w:rsid w:val="009D62F6"/>
    <w:rsid w:val="009E0671"/>
    <w:rsid w:val="009E4FD6"/>
    <w:rsid w:val="009E7AB4"/>
    <w:rsid w:val="009F0229"/>
    <w:rsid w:val="00A03CBF"/>
    <w:rsid w:val="00A074A5"/>
    <w:rsid w:val="00A07F4E"/>
    <w:rsid w:val="00A102C0"/>
    <w:rsid w:val="00A105D7"/>
    <w:rsid w:val="00A162FE"/>
    <w:rsid w:val="00A217E7"/>
    <w:rsid w:val="00A329B2"/>
    <w:rsid w:val="00A55FEA"/>
    <w:rsid w:val="00A63E6C"/>
    <w:rsid w:val="00A6421B"/>
    <w:rsid w:val="00A70FC1"/>
    <w:rsid w:val="00A80801"/>
    <w:rsid w:val="00A81223"/>
    <w:rsid w:val="00A84C26"/>
    <w:rsid w:val="00A91B2A"/>
    <w:rsid w:val="00A9333D"/>
    <w:rsid w:val="00A959EC"/>
    <w:rsid w:val="00A965F1"/>
    <w:rsid w:val="00AB0063"/>
    <w:rsid w:val="00AB0C04"/>
    <w:rsid w:val="00AB1199"/>
    <w:rsid w:val="00AB3C41"/>
    <w:rsid w:val="00AC1E3B"/>
    <w:rsid w:val="00AC609F"/>
    <w:rsid w:val="00AD7422"/>
    <w:rsid w:val="00AE4367"/>
    <w:rsid w:val="00AE608F"/>
    <w:rsid w:val="00AE70EE"/>
    <w:rsid w:val="00AF000F"/>
    <w:rsid w:val="00AF1B96"/>
    <w:rsid w:val="00AF352B"/>
    <w:rsid w:val="00AF666E"/>
    <w:rsid w:val="00B01423"/>
    <w:rsid w:val="00B0227E"/>
    <w:rsid w:val="00B0298E"/>
    <w:rsid w:val="00B03005"/>
    <w:rsid w:val="00B05EBC"/>
    <w:rsid w:val="00B069C2"/>
    <w:rsid w:val="00B06A93"/>
    <w:rsid w:val="00B14E57"/>
    <w:rsid w:val="00B2006F"/>
    <w:rsid w:val="00B22FC5"/>
    <w:rsid w:val="00B25820"/>
    <w:rsid w:val="00B313A5"/>
    <w:rsid w:val="00B31A7F"/>
    <w:rsid w:val="00B36137"/>
    <w:rsid w:val="00B55E0D"/>
    <w:rsid w:val="00B6426D"/>
    <w:rsid w:val="00B70B4A"/>
    <w:rsid w:val="00B73EF6"/>
    <w:rsid w:val="00B74BDF"/>
    <w:rsid w:val="00B81CE4"/>
    <w:rsid w:val="00B8301F"/>
    <w:rsid w:val="00B8615D"/>
    <w:rsid w:val="00B9098B"/>
    <w:rsid w:val="00B93F08"/>
    <w:rsid w:val="00B945D8"/>
    <w:rsid w:val="00BA682D"/>
    <w:rsid w:val="00BB3042"/>
    <w:rsid w:val="00BC1C4E"/>
    <w:rsid w:val="00BD6300"/>
    <w:rsid w:val="00BE2989"/>
    <w:rsid w:val="00BE31A9"/>
    <w:rsid w:val="00BF2B82"/>
    <w:rsid w:val="00C10320"/>
    <w:rsid w:val="00C213E9"/>
    <w:rsid w:val="00C215E5"/>
    <w:rsid w:val="00C21897"/>
    <w:rsid w:val="00C22E09"/>
    <w:rsid w:val="00C338A6"/>
    <w:rsid w:val="00C37320"/>
    <w:rsid w:val="00C409BA"/>
    <w:rsid w:val="00C40B1A"/>
    <w:rsid w:val="00C435E9"/>
    <w:rsid w:val="00C47791"/>
    <w:rsid w:val="00C477D5"/>
    <w:rsid w:val="00C50297"/>
    <w:rsid w:val="00C51712"/>
    <w:rsid w:val="00C51910"/>
    <w:rsid w:val="00C52D99"/>
    <w:rsid w:val="00C555E0"/>
    <w:rsid w:val="00C56A76"/>
    <w:rsid w:val="00C6045F"/>
    <w:rsid w:val="00C642A7"/>
    <w:rsid w:val="00C64847"/>
    <w:rsid w:val="00C657C0"/>
    <w:rsid w:val="00C66F33"/>
    <w:rsid w:val="00C67515"/>
    <w:rsid w:val="00C67B32"/>
    <w:rsid w:val="00C772F4"/>
    <w:rsid w:val="00C82AE8"/>
    <w:rsid w:val="00C82F00"/>
    <w:rsid w:val="00C95F96"/>
    <w:rsid w:val="00C971CE"/>
    <w:rsid w:val="00C971D2"/>
    <w:rsid w:val="00CB4634"/>
    <w:rsid w:val="00CC35CF"/>
    <w:rsid w:val="00CC4638"/>
    <w:rsid w:val="00CC496E"/>
    <w:rsid w:val="00CD4F8E"/>
    <w:rsid w:val="00CD54B5"/>
    <w:rsid w:val="00CD628B"/>
    <w:rsid w:val="00CD676A"/>
    <w:rsid w:val="00CE3660"/>
    <w:rsid w:val="00CE36C0"/>
    <w:rsid w:val="00CE417F"/>
    <w:rsid w:val="00D01F6B"/>
    <w:rsid w:val="00D108AA"/>
    <w:rsid w:val="00D1252E"/>
    <w:rsid w:val="00D12B8D"/>
    <w:rsid w:val="00D20893"/>
    <w:rsid w:val="00D22685"/>
    <w:rsid w:val="00D23903"/>
    <w:rsid w:val="00D27291"/>
    <w:rsid w:val="00D34670"/>
    <w:rsid w:val="00D346C9"/>
    <w:rsid w:val="00D4062C"/>
    <w:rsid w:val="00D42BC2"/>
    <w:rsid w:val="00D430F0"/>
    <w:rsid w:val="00D45A48"/>
    <w:rsid w:val="00D539DB"/>
    <w:rsid w:val="00D556A2"/>
    <w:rsid w:val="00D5707B"/>
    <w:rsid w:val="00D65488"/>
    <w:rsid w:val="00D65D1A"/>
    <w:rsid w:val="00D71FE1"/>
    <w:rsid w:val="00D80896"/>
    <w:rsid w:val="00D8120A"/>
    <w:rsid w:val="00D90FA7"/>
    <w:rsid w:val="00D915CC"/>
    <w:rsid w:val="00D94C4E"/>
    <w:rsid w:val="00DA3EC5"/>
    <w:rsid w:val="00DB2C83"/>
    <w:rsid w:val="00DB313F"/>
    <w:rsid w:val="00DB3BC6"/>
    <w:rsid w:val="00DC1244"/>
    <w:rsid w:val="00DC152F"/>
    <w:rsid w:val="00DC1543"/>
    <w:rsid w:val="00DC287F"/>
    <w:rsid w:val="00DC5725"/>
    <w:rsid w:val="00DD02FF"/>
    <w:rsid w:val="00DE03B5"/>
    <w:rsid w:val="00DE0EDD"/>
    <w:rsid w:val="00DE5E38"/>
    <w:rsid w:val="00DF2B43"/>
    <w:rsid w:val="00DF45E9"/>
    <w:rsid w:val="00E06CCE"/>
    <w:rsid w:val="00E07EB8"/>
    <w:rsid w:val="00E150BC"/>
    <w:rsid w:val="00E16CDE"/>
    <w:rsid w:val="00E249A5"/>
    <w:rsid w:val="00E26598"/>
    <w:rsid w:val="00E27051"/>
    <w:rsid w:val="00E2769F"/>
    <w:rsid w:val="00E307A9"/>
    <w:rsid w:val="00E40EE3"/>
    <w:rsid w:val="00E568D4"/>
    <w:rsid w:val="00E7262B"/>
    <w:rsid w:val="00E75E5B"/>
    <w:rsid w:val="00E80593"/>
    <w:rsid w:val="00E807C4"/>
    <w:rsid w:val="00E86D2D"/>
    <w:rsid w:val="00E9479A"/>
    <w:rsid w:val="00EA3691"/>
    <w:rsid w:val="00EA526B"/>
    <w:rsid w:val="00EA55BE"/>
    <w:rsid w:val="00EA7D81"/>
    <w:rsid w:val="00EB2636"/>
    <w:rsid w:val="00EB4CB3"/>
    <w:rsid w:val="00EC0BC5"/>
    <w:rsid w:val="00EC1FB6"/>
    <w:rsid w:val="00EC4578"/>
    <w:rsid w:val="00EC51E6"/>
    <w:rsid w:val="00EC5ED5"/>
    <w:rsid w:val="00ED2217"/>
    <w:rsid w:val="00ED6A06"/>
    <w:rsid w:val="00ED7568"/>
    <w:rsid w:val="00EE0C0F"/>
    <w:rsid w:val="00EE4A6F"/>
    <w:rsid w:val="00EE501B"/>
    <w:rsid w:val="00EE55CF"/>
    <w:rsid w:val="00EE7707"/>
    <w:rsid w:val="00EF30AD"/>
    <w:rsid w:val="00EF75F9"/>
    <w:rsid w:val="00F02DB5"/>
    <w:rsid w:val="00F03184"/>
    <w:rsid w:val="00F0543C"/>
    <w:rsid w:val="00F05AB6"/>
    <w:rsid w:val="00F11BBB"/>
    <w:rsid w:val="00F129F4"/>
    <w:rsid w:val="00F13B40"/>
    <w:rsid w:val="00F153B3"/>
    <w:rsid w:val="00F16489"/>
    <w:rsid w:val="00F17318"/>
    <w:rsid w:val="00F22CE0"/>
    <w:rsid w:val="00F23834"/>
    <w:rsid w:val="00F31085"/>
    <w:rsid w:val="00F36722"/>
    <w:rsid w:val="00F44595"/>
    <w:rsid w:val="00F473EB"/>
    <w:rsid w:val="00F506A2"/>
    <w:rsid w:val="00F50D7F"/>
    <w:rsid w:val="00F602CC"/>
    <w:rsid w:val="00F66B7E"/>
    <w:rsid w:val="00F80661"/>
    <w:rsid w:val="00F91CB1"/>
    <w:rsid w:val="00F9365C"/>
    <w:rsid w:val="00F97240"/>
    <w:rsid w:val="00FA0150"/>
    <w:rsid w:val="00FA0D45"/>
    <w:rsid w:val="00FA3806"/>
    <w:rsid w:val="00FA6074"/>
    <w:rsid w:val="00FB0D6A"/>
    <w:rsid w:val="00FC116E"/>
    <w:rsid w:val="00FC26F8"/>
    <w:rsid w:val="00FC2F9C"/>
    <w:rsid w:val="00FC420D"/>
    <w:rsid w:val="00FC538E"/>
    <w:rsid w:val="00FD1BF2"/>
    <w:rsid w:val="00FD2175"/>
    <w:rsid w:val="00FD2840"/>
    <w:rsid w:val="00FD5FE7"/>
    <w:rsid w:val="00FE110A"/>
    <w:rsid w:val="00FE77F0"/>
    <w:rsid w:val="00FF2A6F"/>
    <w:rsid w:val="00FF5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6DA2"/>
  <w15:docId w15:val="{DE0A6AEB-E01E-4F9B-96D7-0DA7859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semiHidden/>
    <w:rsid w:val="00ED6A06"/>
    <w:rPr>
      <w:sz w:val="20"/>
      <w:szCs w:val="20"/>
      <w:lang w:eastAsia="lv-LV"/>
    </w:rPr>
  </w:style>
  <w:style w:type="character" w:customStyle="1" w:styleId="FootnoteTextChar">
    <w:name w:val="Footnote Text Char"/>
    <w:basedOn w:val="DefaultParagraphFont"/>
    <w:link w:val="FootnoteText"/>
    <w:semiHidden/>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EC5"/>
    <w:rPr>
      <w:sz w:val="16"/>
      <w:szCs w:val="16"/>
    </w:rPr>
  </w:style>
  <w:style w:type="paragraph" w:styleId="CommentText">
    <w:name w:val="annotation text"/>
    <w:basedOn w:val="Normal"/>
    <w:link w:val="CommentTextChar"/>
    <w:uiPriority w:val="99"/>
    <w:semiHidden/>
    <w:unhideWhenUsed/>
    <w:rsid w:val="00DA3EC5"/>
    <w:rPr>
      <w:sz w:val="20"/>
      <w:szCs w:val="20"/>
    </w:rPr>
  </w:style>
  <w:style w:type="character" w:customStyle="1" w:styleId="CommentTextChar">
    <w:name w:val="Comment Text Char"/>
    <w:basedOn w:val="DefaultParagraphFont"/>
    <w:link w:val="CommentText"/>
    <w:uiPriority w:val="99"/>
    <w:semiHidden/>
    <w:rsid w:val="00DA3E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EC5"/>
    <w:rPr>
      <w:b/>
      <w:bCs/>
    </w:rPr>
  </w:style>
  <w:style w:type="character" w:customStyle="1" w:styleId="CommentSubjectChar">
    <w:name w:val="Comment Subject Char"/>
    <w:basedOn w:val="CommentTextChar"/>
    <w:link w:val="CommentSubject"/>
    <w:uiPriority w:val="99"/>
    <w:semiHidden/>
    <w:rsid w:val="00DA3EC5"/>
    <w:rPr>
      <w:rFonts w:ascii="Times New Roman" w:eastAsia="Times New Roman" w:hAnsi="Times New Roman" w:cs="Times New Roman"/>
      <w:b/>
      <w:bCs/>
      <w:sz w:val="20"/>
      <w:szCs w:val="20"/>
    </w:rPr>
  </w:style>
  <w:style w:type="paragraph" w:customStyle="1" w:styleId="naisc">
    <w:name w:val="naisc"/>
    <w:basedOn w:val="Normal"/>
    <w:rsid w:val="00784102"/>
    <w:pPr>
      <w:spacing w:before="75" w:after="75"/>
      <w:jc w:val="center"/>
    </w:pPr>
    <w:rPr>
      <w:lang w:eastAsia="lv-LV"/>
    </w:rPr>
  </w:style>
  <w:style w:type="paragraph" w:styleId="Revision">
    <w:name w:val="Revision"/>
    <w:hidden/>
    <w:uiPriority w:val="99"/>
    <w:semiHidden/>
    <w:rsid w:val="00C95F9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8A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38858405">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75097538">
      <w:bodyDiv w:val="1"/>
      <w:marLeft w:val="0"/>
      <w:marRight w:val="0"/>
      <w:marTop w:val="0"/>
      <w:marBottom w:val="0"/>
      <w:divBdr>
        <w:top w:val="none" w:sz="0" w:space="0" w:color="auto"/>
        <w:left w:val="none" w:sz="0" w:space="0" w:color="auto"/>
        <w:bottom w:val="none" w:sz="0" w:space="0" w:color="auto"/>
        <w:right w:val="none" w:sz="0" w:space="0" w:color="auto"/>
      </w:divBdr>
      <w:divsChild>
        <w:div w:id="1654526277">
          <w:marLeft w:val="0"/>
          <w:marRight w:val="0"/>
          <w:marTop w:val="0"/>
          <w:marBottom w:val="0"/>
          <w:divBdr>
            <w:top w:val="none" w:sz="0" w:space="0" w:color="auto"/>
            <w:left w:val="none" w:sz="0" w:space="0" w:color="auto"/>
            <w:bottom w:val="none" w:sz="0" w:space="0" w:color="auto"/>
            <w:right w:val="none" w:sz="0" w:space="0" w:color="auto"/>
          </w:divBdr>
        </w:div>
        <w:div w:id="43720036">
          <w:marLeft w:val="0"/>
          <w:marRight w:val="0"/>
          <w:marTop w:val="0"/>
          <w:marBottom w:val="0"/>
          <w:divBdr>
            <w:top w:val="none" w:sz="0" w:space="0" w:color="auto"/>
            <w:left w:val="none" w:sz="0" w:space="0" w:color="auto"/>
            <w:bottom w:val="none" w:sz="0" w:space="0" w:color="auto"/>
            <w:right w:val="none" w:sz="0" w:space="0" w:color="auto"/>
          </w:divBdr>
        </w:div>
        <w:div w:id="476536182">
          <w:marLeft w:val="0"/>
          <w:marRight w:val="0"/>
          <w:marTop w:val="0"/>
          <w:marBottom w:val="0"/>
          <w:divBdr>
            <w:top w:val="none" w:sz="0" w:space="0" w:color="auto"/>
            <w:left w:val="none" w:sz="0" w:space="0" w:color="auto"/>
            <w:bottom w:val="none" w:sz="0" w:space="0" w:color="auto"/>
            <w:right w:val="none" w:sz="0" w:space="0" w:color="auto"/>
          </w:divBdr>
        </w:div>
        <w:div w:id="727073742">
          <w:marLeft w:val="0"/>
          <w:marRight w:val="0"/>
          <w:marTop w:val="0"/>
          <w:marBottom w:val="0"/>
          <w:divBdr>
            <w:top w:val="none" w:sz="0" w:space="0" w:color="auto"/>
            <w:left w:val="none" w:sz="0" w:space="0" w:color="auto"/>
            <w:bottom w:val="none" w:sz="0" w:space="0" w:color="auto"/>
            <w:right w:val="none" w:sz="0" w:space="0" w:color="auto"/>
          </w:divBdr>
        </w:div>
      </w:divsChild>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34926337">
      <w:bodyDiv w:val="1"/>
      <w:marLeft w:val="0"/>
      <w:marRight w:val="0"/>
      <w:marTop w:val="0"/>
      <w:marBottom w:val="0"/>
      <w:divBdr>
        <w:top w:val="none" w:sz="0" w:space="0" w:color="auto"/>
        <w:left w:val="none" w:sz="0" w:space="0" w:color="auto"/>
        <w:bottom w:val="none" w:sz="0" w:space="0" w:color="auto"/>
        <w:right w:val="none" w:sz="0" w:space="0" w:color="auto"/>
      </w:divBdr>
      <w:divsChild>
        <w:div w:id="1083645441">
          <w:marLeft w:val="0"/>
          <w:marRight w:val="0"/>
          <w:marTop w:val="0"/>
          <w:marBottom w:val="0"/>
          <w:divBdr>
            <w:top w:val="none" w:sz="0" w:space="0" w:color="auto"/>
            <w:left w:val="none" w:sz="0" w:space="0" w:color="auto"/>
            <w:bottom w:val="none" w:sz="0" w:space="0" w:color="auto"/>
            <w:right w:val="none" w:sz="0" w:space="0" w:color="auto"/>
          </w:divBdr>
        </w:div>
        <w:div w:id="336886743">
          <w:marLeft w:val="0"/>
          <w:marRight w:val="0"/>
          <w:marTop w:val="0"/>
          <w:marBottom w:val="0"/>
          <w:divBdr>
            <w:top w:val="none" w:sz="0" w:space="0" w:color="auto"/>
            <w:left w:val="none" w:sz="0" w:space="0" w:color="auto"/>
            <w:bottom w:val="none" w:sz="0" w:space="0" w:color="auto"/>
            <w:right w:val="none" w:sz="0" w:space="0" w:color="auto"/>
          </w:divBdr>
        </w:div>
        <w:div w:id="91750462">
          <w:marLeft w:val="0"/>
          <w:marRight w:val="0"/>
          <w:marTop w:val="0"/>
          <w:marBottom w:val="0"/>
          <w:divBdr>
            <w:top w:val="none" w:sz="0" w:space="0" w:color="auto"/>
            <w:left w:val="none" w:sz="0" w:space="0" w:color="auto"/>
            <w:bottom w:val="none" w:sz="0" w:space="0" w:color="auto"/>
            <w:right w:val="none" w:sz="0" w:space="0" w:color="auto"/>
          </w:divBdr>
        </w:div>
      </w:divsChild>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 w:id="1591891720">
      <w:bodyDiv w:val="1"/>
      <w:marLeft w:val="0"/>
      <w:marRight w:val="0"/>
      <w:marTop w:val="0"/>
      <w:marBottom w:val="0"/>
      <w:divBdr>
        <w:top w:val="none" w:sz="0" w:space="0" w:color="auto"/>
        <w:left w:val="none" w:sz="0" w:space="0" w:color="auto"/>
        <w:bottom w:val="none" w:sz="0" w:space="0" w:color="auto"/>
        <w:right w:val="none" w:sz="0" w:space="0" w:color="auto"/>
      </w:divBdr>
    </w:div>
    <w:div w:id="2088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4A96-BAAF-4DF0-BCA2-1382AD2D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607</Words>
  <Characters>4534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Aiva Urbāne</cp:lastModifiedBy>
  <cp:revision>7</cp:revision>
  <cp:lastPrinted>2014-08-22T09:12:00Z</cp:lastPrinted>
  <dcterms:created xsi:type="dcterms:W3CDTF">2015-11-09T11:10:00Z</dcterms:created>
  <dcterms:modified xsi:type="dcterms:W3CDTF">2015-11-10T12:56:00Z</dcterms:modified>
</cp:coreProperties>
</file>