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75" w:rsidRPr="00DF2A4D" w:rsidRDefault="00413375" w:rsidP="00413375">
      <w:pPr>
        <w:jc w:val="center"/>
        <w:rPr>
          <w:b/>
          <w:sz w:val="28"/>
          <w:szCs w:val="28"/>
        </w:rPr>
      </w:pPr>
      <w:r w:rsidRPr="00DF2A4D">
        <w:rPr>
          <w:b/>
          <w:sz w:val="28"/>
          <w:szCs w:val="28"/>
        </w:rPr>
        <w:t>Likumprojekta „Grozījumi Izglītības likumā”</w:t>
      </w:r>
    </w:p>
    <w:p w:rsidR="00413375" w:rsidRPr="00DF2A4D" w:rsidRDefault="00413375" w:rsidP="00413375">
      <w:pPr>
        <w:jc w:val="center"/>
        <w:rPr>
          <w:b/>
          <w:sz w:val="28"/>
          <w:szCs w:val="28"/>
        </w:rPr>
      </w:pPr>
      <w:r w:rsidRPr="00DF2A4D">
        <w:rPr>
          <w:b/>
          <w:sz w:val="28"/>
          <w:szCs w:val="28"/>
        </w:rPr>
        <w:t>sākotnējās ietekmes novērtējuma ziņojums (anotācija)</w:t>
      </w:r>
    </w:p>
    <w:p w:rsidR="00413375" w:rsidRPr="00DF2A4D" w:rsidRDefault="00413375" w:rsidP="00413375">
      <w:pPr>
        <w:jc w:val="center"/>
        <w:rPr>
          <w:sz w:val="28"/>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1876"/>
        <w:gridCol w:w="7000"/>
      </w:tblGrid>
      <w:tr w:rsidR="00413375" w:rsidRPr="00DF2A4D" w:rsidTr="00AB377D">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rsidR="00413375" w:rsidRPr="00DF2A4D" w:rsidRDefault="00413375" w:rsidP="00AB377D">
            <w:pPr>
              <w:spacing w:before="100" w:beforeAutospacing="1" w:after="100" w:afterAutospacing="1"/>
              <w:jc w:val="center"/>
              <w:rPr>
                <w:b/>
                <w:bCs/>
                <w:sz w:val="28"/>
                <w:szCs w:val="28"/>
              </w:rPr>
            </w:pPr>
            <w:r w:rsidRPr="00DF2A4D">
              <w:rPr>
                <w:b/>
                <w:bCs/>
                <w:sz w:val="28"/>
                <w:szCs w:val="28"/>
              </w:rPr>
              <w:t>I. Tiesību akta projekta izstrādes nepieciešamība</w:t>
            </w:r>
          </w:p>
        </w:tc>
      </w:tr>
      <w:tr w:rsidR="00413375" w:rsidRPr="00DF2A4D" w:rsidTr="00AB377D">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pPr>
            <w:r w:rsidRPr="00DF2A4D">
              <w:t>1.</w:t>
            </w:r>
          </w:p>
        </w:tc>
        <w:tc>
          <w:tcPr>
            <w:tcW w:w="1001"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t>Pamatojums</w:t>
            </w:r>
          </w:p>
        </w:tc>
        <w:tc>
          <w:tcPr>
            <w:tcW w:w="3771"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pStyle w:val="Considrant"/>
              <w:numPr>
                <w:ilvl w:val="0"/>
                <w:numId w:val="0"/>
              </w:numPr>
              <w:spacing w:before="0" w:after="0"/>
              <w:rPr>
                <w:sz w:val="28"/>
                <w:szCs w:val="28"/>
              </w:rPr>
            </w:pPr>
            <w:r w:rsidRPr="00DF2A4D">
              <w:rPr>
                <w:sz w:val="28"/>
                <w:szCs w:val="28"/>
              </w:rPr>
              <w:t xml:space="preserve">Grozījumi Izglītības likumā (turpmāk – likumprojekts) ir izstrādāti pēc Izglītības un zinātnes ministrijas iniciatīvas, lai precizētu: </w:t>
            </w:r>
          </w:p>
          <w:p w:rsidR="00413375" w:rsidRPr="00DF2A4D" w:rsidRDefault="00413375" w:rsidP="00413375">
            <w:pPr>
              <w:pStyle w:val="Considrant"/>
              <w:numPr>
                <w:ilvl w:val="0"/>
                <w:numId w:val="2"/>
              </w:numPr>
              <w:spacing w:before="0" w:after="0"/>
              <w:rPr>
                <w:sz w:val="28"/>
                <w:szCs w:val="28"/>
              </w:rPr>
            </w:pPr>
            <w:r w:rsidRPr="00DF2A4D">
              <w:rPr>
                <w:sz w:val="28"/>
                <w:szCs w:val="28"/>
              </w:rPr>
              <w:t xml:space="preserve">Valsts izglītības informācijas sistēmas (turpmāk – </w:t>
            </w:r>
            <w:r>
              <w:rPr>
                <w:sz w:val="28"/>
                <w:szCs w:val="28"/>
              </w:rPr>
              <w:t>VIIS</w:t>
            </w:r>
            <w:r w:rsidRPr="00DF2A4D">
              <w:rPr>
                <w:sz w:val="28"/>
                <w:szCs w:val="28"/>
              </w:rPr>
              <w:t>) definīciju (Izglītības likuma 1.panta 26.</w:t>
            </w:r>
            <w:r w:rsidRPr="00DF2A4D">
              <w:rPr>
                <w:sz w:val="28"/>
                <w:szCs w:val="28"/>
                <w:vertAlign w:val="superscript"/>
              </w:rPr>
              <w:t>1</w:t>
            </w:r>
            <w:r w:rsidRPr="00DF2A4D">
              <w:rPr>
                <w:sz w:val="28"/>
                <w:szCs w:val="28"/>
              </w:rPr>
              <w:t>punkts);</w:t>
            </w:r>
          </w:p>
          <w:p w:rsidR="00413375" w:rsidRPr="00DF2A4D" w:rsidRDefault="00413375" w:rsidP="00413375">
            <w:pPr>
              <w:pStyle w:val="Considrant"/>
              <w:numPr>
                <w:ilvl w:val="0"/>
                <w:numId w:val="2"/>
              </w:numPr>
              <w:spacing w:before="0" w:after="0"/>
              <w:rPr>
                <w:sz w:val="28"/>
                <w:szCs w:val="28"/>
              </w:rPr>
            </w:pPr>
            <w:r w:rsidRPr="00DF2A4D">
              <w:rPr>
                <w:sz w:val="28"/>
                <w:szCs w:val="28"/>
              </w:rPr>
              <w:t>izglītības iestādes reģistrācijas iesniegumā norādāmo informāciju (Izglītības likuma 24.panta otrās daļas 4.punkts)</w:t>
            </w:r>
            <w:r>
              <w:rPr>
                <w:sz w:val="28"/>
                <w:szCs w:val="28"/>
              </w:rPr>
              <w:t>.</w:t>
            </w:r>
          </w:p>
          <w:p w:rsidR="00413375" w:rsidRPr="00DF2A4D" w:rsidRDefault="00413375" w:rsidP="00AB377D">
            <w:pPr>
              <w:pStyle w:val="Considrant"/>
              <w:numPr>
                <w:ilvl w:val="0"/>
                <w:numId w:val="0"/>
              </w:numPr>
              <w:spacing w:before="0" w:after="0"/>
              <w:rPr>
                <w:sz w:val="28"/>
                <w:szCs w:val="28"/>
              </w:rPr>
            </w:pPr>
            <w:r w:rsidRPr="00FD7D2A">
              <w:rPr>
                <w:sz w:val="28"/>
                <w:szCs w:val="28"/>
              </w:rPr>
              <w:t>Vienlaikus likumprojekts ir izstrādāts, nosakot Izglītības likuma 14.pantā deleģējumu Ministru kabinetam noteikt kārtību, kādā Izglītības kvalitātes valsts dienests (turpmāk – kvalitātes dienests) izsniedz, pedagoga privātprakses uzsākšanas sertifikātu un tā dublikātu, pagarina termiņu vai anulē to.</w:t>
            </w:r>
          </w:p>
        </w:tc>
      </w:tr>
      <w:tr w:rsidR="00413375" w:rsidRPr="00DF2A4D" w:rsidTr="00AB377D">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pPr>
            <w:r w:rsidRPr="00DF2A4D">
              <w:t>2.</w:t>
            </w:r>
          </w:p>
        </w:tc>
        <w:tc>
          <w:tcPr>
            <w:tcW w:w="1001"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t>Pašreizējā situācija un problēmas, kuru risināšanai tiesību akta projekts izstrādāts, tiesiskā regulējuma mērķis un būtība</w:t>
            </w:r>
          </w:p>
        </w:tc>
        <w:tc>
          <w:tcPr>
            <w:tcW w:w="3771" w:type="pct"/>
            <w:tcBorders>
              <w:top w:val="outset" w:sz="6" w:space="0" w:color="000000"/>
              <w:left w:val="outset" w:sz="6" w:space="0" w:color="000000"/>
              <w:bottom w:val="outset" w:sz="6" w:space="0" w:color="000000"/>
              <w:right w:val="outset" w:sz="6" w:space="0" w:color="000000"/>
            </w:tcBorders>
          </w:tcPr>
          <w:p w:rsidR="00413375" w:rsidRDefault="00413375" w:rsidP="00AB377D">
            <w:pPr>
              <w:jc w:val="both"/>
              <w:rPr>
                <w:sz w:val="28"/>
                <w:szCs w:val="28"/>
              </w:rPr>
            </w:pPr>
            <w:r>
              <w:rPr>
                <w:sz w:val="28"/>
                <w:szCs w:val="28"/>
              </w:rPr>
              <w:t xml:space="preserve">Likumprojekta mērķis ir precizēt </w:t>
            </w:r>
            <w:r w:rsidRPr="00DF2A4D">
              <w:rPr>
                <w:sz w:val="28"/>
                <w:szCs w:val="28"/>
              </w:rPr>
              <w:t>Izglītības likuma 1.panta 26.</w:t>
            </w:r>
            <w:r w:rsidRPr="00DF2A4D">
              <w:rPr>
                <w:sz w:val="28"/>
                <w:szCs w:val="28"/>
                <w:vertAlign w:val="superscript"/>
              </w:rPr>
              <w:t>1</w:t>
            </w:r>
            <w:r w:rsidRPr="00DF2A4D">
              <w:rPr>
                <w:sz w:val="28"/>
                <w:szCs w:val="28"/>
              </w:rPr>
              <w:t>punkt</w:t>
            </w:r>
            <w:r>
              <w:rPr>
                <w:sz w:val="28"/>
                <w:szCs w:val="28"/>
              </w:rPr>
              <w:t>ā</w:t>
            </w:r>
            <w:r w:rsidRPr="00DF2A4D">
              <w:rPr>
                <w:sz w:val="28"/>
                <w:szCs w:val="28"/>
              </w:rPr>
              <w:t xml:space="preserve"> notei</w:t>
            </w:r>
            <w:r>
              <w:rPr>
                <w:sz w:val="28"/>
                <w:szCs w:val="28"/>
              </w:rPr>
              <w:t>kto VIIS definīciju, paredzot VIIS iekļaut informāciju par:</w:t>
            </w:r>
          </w:p>
          <w:p w:rsidR="00413375" w:rsidRDefault="00413375" w:rsidP="00413375">
            <w:pPr>
              <w:pStyle w:val="ListParagraph"/>
              <w:numPr>
                <w:ilvl w:val="0"/>
                <w:numId w:val="3"/>
              </w:numPr>
              <w:jc w:val="both"/>
              <w:rPr>
                <w:sz w:val="28"/>
                <w:szCs w:val="28"/>
              </w:rPr>
            </w:pPr>
            <w:r w:rsidRPr="00413375">
              <w:rPr>
                <w:sz w:val="28"/>
                <w:szCs w:val="28"/>
              </w:rPr>
              <w:t>Izglītības likuma 36.panta pirmajā daļā noteiktajām institūcijām (biedrībām, nodibinājumiem, amatu meistaru darbnīcām, studijām vai Nacionālo bruņoto spēku vienībām), kuras īsteno pieaugušo izglītības programmas (turpmāk – institūcijas) un</w:t>
            </w:r>
          </w:p>
          <w:p w:rsidR="00413375" w:rsidRPr="00413375" w:rsidRDefault="00413375" w:rsidP="00413375">
            <w:pPr>
              <w:pStyle w:val="ListParagraph"/>
              <w:numPr>
                <w:ilvl w:val="0"/>
                <w:numId w:val="3"/>
              </w:numPr>
              <w:jc w:val="both"/>
              <w:rPr>
                <w:sz w:val="28"/>
                <w:szCs w:val="28"/>
              </w:rPr>
            </w:pPr>
            <w:r w:rsidRPr="00413375">
              <w:rPr>
                <w:sz w:val="28"/>
                <w:szCs w:val="28"/>
              </w:rPr>
              <w:t>bērnu uzraudzības pakalpojuma sniedzējiem</w:t>
            </w:r>
            <w:r>
              <w:rPr>
                <w:sz w:val="28"/>
                <w:szCs w:val="28"/>
              </w:rPr>
              <w:t>.</w:t>
            </w:r>
          </w:p>
          <w:p w:rsidR="005A50C0" w:rsidRDefault="005A50C0" w:rsidP="00413375">
            <w:pPr>
              <w:jc w:val="both"/>
              <w:rPr>
                <w:sz w:val="28"/>
                <w:szCs w:val="28"/>
              </w:rPr>
            </w:pPr>
          </w:p>
          <w:p w:rsidR="00413375" w:rsidRPr="00413375" w:rsidRDefault="00413375" w:rsidP="00413375">
            <w:pPr>
              <w:jc w:val="both"/>
              <w:rPr>
                <w:sz w:val="28"/>
                <w:szCs w:val="28"/>
              </w:rPr>
            </w:pPr>
            <w:r w:rsidRPr="00413375">
              <w:rPr>
                <w:sz w:val="28"/>
                <w:szCs w:val="28"/>
              </w:rPr>
              <w:t>Minētais pamatojams ar šādiem apsvērumiem:</w:t>
            </w:r>
          </w:p>
          <w:p w:rsidR="00413375" w:rsidRPr="005A50C0" w:rsidRDefault="005B0A37" w:rsidP="005A50C0">
            <w:pPr>
              <w:pStyle w:val="ListParagraph"/>
              <w:numPr>
                <w:ilvl w:val="0"/>
                <w:numId w:val="5"/>
              </w:numPr>
              <w:jc w:val="both"/>
              <w:rPr>
                <w:sz w:val="28"/>
                <w:szCs w:val="28"/>
              </w:rPr>
            </w:pPr>
            <w:r>
              <w:rPr>
                <w:sz w:val="28"/>
                <w:szCs w:val="28"/>
              </w:rPr>
              <w:t>I</w:t>
            </w:r>
            <w:r w:rsidR="00413375" w:rsidRPr="00413375">
              <w:rPr>
                <w:sz w:val="28"/>
                <w:szCs w:val="28"/>
              </w:rPr>
              <w:t>nstitūcijas saskaņā ar Izglītības likuma 36.panta pirmajā daļā noteikto ir tiesīgas īstenot pieaugušo izglītības programmas</w:t>
            </w:r>
            <w:r>
              <w:rPr>
                <w:sz w:val="28"/>
                <w:szCs w:val="28"/>
              </w:rPr>
              <w:t>. S</w:t>
            </w:r>
            <w:r w:rsidR="00413375" w:rsidRPr="00413375">
              <w:rPr>
                <w:sz w:val="28"/>
                <w:szCs w:val="28"/>
              </w:rPr>
              <w:t>askaņā ar Izglī</w:t>
            </w:r>
            <w:r w:rsidR="005A50C0">
              <w:rPr>
                <w:sz w:val="28"/>
                <w:szCs w:val="28"/>
              </w:rPr>
              <w:t>tības likuma 14.panta 8.punktā</w:t>
            </w:r>
            <w:r>
              <w:rPr>
                <w:sz w:val="28"/>
                <w:szCs w:val="28"/>
              </w:rPr>
              <w:t xml:space="preserve"> kopsakarā ar Ministru kabineta 2015.gada 14.jūlija noteikumos Nr.397 </w:t>
            </w:r>
            <w:r w:rsidR="00CB170B" w:rsidRPr="005B0A37">
              <w:rPr>
                <w:sz w:val="28"/>
                <w:szCs w:val="28"/>
              </w:rPr>
              <w:t>„</w:t>
            </w:r>
            <w:r>
              <w:rPr>
                <w:sz w:val="28"/>
                <w:szCs w:val="28"/>
              </w:rPr>
              <w:t>I</w:t>
            </w:r>
            <w:r w:rsidRPr="005B0A37">
              <w:rPr>
                <w:sz w:val="28"/>
                <w:szCs w:val="28"/>
              </w:rPr>
              <w:t>zglītības iestāžu un citu Izglītības likumā noteikto institūciju reģistrācijas kārtība</w:t>
            </w:r>
            <w:r>
              <w:rPr>
                <w:sz w:val="28"/>
                <w:szCs w:val="28"/>
              </w:rPr>
              <w:t>”</w:t>
            </w:r>
            <w:r w:rsidR="00413375" w:rsidRPr="00413375">
              <w:rPr>
                <w:sz w:val="28"/>
                <w:szCs w:val="28"/>
              </w:rPr>
              <w:t xml:space="preserve"> </w:t>
            </w:r>
            <w:r>
              <w:rPr>
                <w:sz w:val="28"/>
                <w:szCs w:val="28"/>
              </w:rPr>
              <w:t xml:space="preserve">noteikto </w:t>
            </w:r>
            <w:r w:rsidR="00413375" w:rsidRPr="00413375">
              <w:rPr>
                <w:sz w:val="28"/>
                <w:szCs w:val="28"/>
              </w:rPr>
              <w:t>tās ir reģistrējamas tāpat kā izglītības iestādes</w:t>
            </w:r>
            <w:r>
              <w:rPr>
                <w:sz w:val="28"/>
                <w:szCs w:val="28"/>
              </w:rPr>
              <w:t>. Līdz ar to</w:t>
            </w:r>
            <w:r w:rsidR="00413375" w:rsidRPr="005B0A37">
              <w:rPr>
                <w:sz w:val="28"/>
                <w:szCs w:val="28"/>
              </w:rPr>
              <w:t xml:space="preserve"> institūcijas </w:t>
            </w:r>
            <w:r w:rsidR="005A50C0">
              <w:rPr>
                <w:sz w:val="28"/>
                <w:szCs w:val="28"/>
              </w:rPr>
              <w:t>ir</w:t>
            </w:r>
            <w:r w:rsidR="00413375" w:rsidRPr="005B0A37">
              <w:rPr>
                <w:sz w:val="28"/>
                <w:szCs w:val="28"/>
              </w:rPr>
              <w:t xml:space="preserve"> iekļaujamas VIIS. </w:t>
            </w:r>
            <w:r w:rsidR="00CB170B" w:rsidRPr="005A50C0">
              <w:rPr>
                <w:sz w:val="28"/>
                <w:szCs w:val="28"/>
              </w:rPr>
              <w:t>Atbilstoši Ministru kabineta 2015.gada 14.jūlija noteikumu Nr.397 „Izglītības iestāžu un citu Izglītības likumā noteikto institūciju reģistrācijas kārtība” 3.punktā noteiktajam Institūciju reģistrs ir VIIS sastāvdaļa.</w:t>
            </w:r>
          </w:p>
          <w:p w:rsidR="00CB170B" w:rsidRPr="00CB170B" w:rsidRDefault="00CB170B" w:rsidP="00CB170B">
            <w:pPr>
              <w:pStyle w:val="ListParagraph"/>
              <w:numPr>
                <w:ilvl w:val="0"/>
                <w:numId w:val="5"/>
              </w:numPr>
              <w:jc w:val="both"/>
              <w:rPr>
                <w:sz w:val="28"/>
                <w:szCs w:val="28"/>
              </w:rPr>
            </w:pPr>
            <w:r w:rsidRPr="005B0A37">
              <w:rPr>
                <w:sz w:val="28"/>
                <w:szCs w:val="28"/>
              </w:rPr>
              <w:t>2013.gada 4.jūlijā stājās spēkā grozījumi Bērnu tiesību aizsardzības likumā, ietverot regulējumu par bērnu uzraudzības pakalpojumu, t.sk. paredzot Ministru kabinetam noteikt prasības bērnu uzraudzības pakalpojuma sniedzējiem, to reģistrēšanas noteikumus, Bērnu uzraudzības pakalpojuma sniedzēju reģistra (turpmāk – BUPS reģistrs) pārzini un reģistrā iekļaujamo informāciju. Līdz ar to 2013.gada 16.jūlijā tika pieņemti Ministru kabineta noteikumi Nr.404 „Prasības bērnu uzraudzības pakalpojuma sniedzējiem un bērnu uzraudzības pakalpojuma sniedzēju reģistrēšanas kārtība”, kas stājās spēkā 2013.gada 1.septembrī un kas paredz, ka BUPS reģistrs ir VIIS sastāvdaļa (ar 2015.gada 1.janvāri).</w:t>
            </w:r>
          </w:p>
          <w:p w:rsidR="00413375" w:rsidRPr="00DF2A4D" w:rsidRDefault="00413375" w:rsidP="00AB377D">
            <w:pPr>
              <w:jc w:val="both"/>
              <w:rPr>
                <w:sz w:val="28"/>
                <w:szCs w:val="28"/>
              </w:rPr>
            </w:pPr>
            <w:r w:rsidRPr="00DF2A4D">
              <w:rPr>
                <w:sz w:val="28"/>
                <w:szCs w:val="28"/>
              </w:rPr>
              <w:t>Ievērojot minēto, likumprojekts precizē Izglītības likuma 1.panta 26.</w:t>
            </w:r>
            <w:r w:rsidRPr="00DF2A4D">
              <w:rPr>
                <w:sz w:val="28"/>
                <w:szCs w:val="28"/>
                <w:vertAlign w:val="superscript"/>
              </w:rPr>
              <w:t>1</w:t>
            </w:r>
            <w:r w:rsidRPr="00DF2A4D">
              <w:rPr>
                <w:sz w:val="28"/>
                <w:szCs w:val="28"/>
              </w:rPr>
              <w:t xml:space="preserve">punktā noteikto </w:t>
            </w:r>
            <w:r>
              <w:rPr>
                <w:sz w:val="28"/>
                <w:szCs w:val="28"/>
              </w:rPr>
              <w:t>VIIS</w:t>
            </w:r>
            <w:r w:rsidRPr="00DF2A4D">
              <w:rPr>
                <w:sz w:val="28"/>
                <w:szCs w:val="28"/>
              </w:rPr>
              <w:t xml:space="preserve"> skaidrojumu, kas šobrīd neparedz </w:t>
            </w:r>
            <w:r>
              <w:rPr>
                <w:sz w:val="28"/>
                <w:szCs w:val="28"/>
              </w:rPr>
              <w:t>VIIS</w:t>
            </w:r>
            <w:r w:rsidRPr="00DF2A4D">
              <w:rPr>
                <w:sz w:val="28"/>
                <w:szCs w:val="28"/>
              </w:rPr>
              <w:t xml:space="preserve"> iekļaut informāciju par institūcijām un bērnu uzraudzības pakalpojuma sniedzējiem.</w:t>
            </w:r>
          </w:p>
          <w:p w:rsidR="005A50C0" w:rsidRDefault="005A50C0" w:rsidP="00AB377D">
            <w:pPr>
              <w:jc w:val="both"/>
              <w:rPr>
                <w:sz w:val="28"/>
                <w:szCs w:val="28"/>
              </w:rPr>
            </w:pPr>
          </w:p>
          <w:p w:rsidR="00413375" w:rsidRPr="00DF2A4D" w:rsidRDefault="00413375" w:rsidP="00AB377D">
            <w:pPr>
              <w:jc w:val="both"/>
              <w:rPr>
                <w:sz w:val="28"/>
                <w:szCs w:val="28"/>
              </w:rPr>
            </w:pPr>
            <w:r w:rsidRPr="00DF2A4D">
              <w:rPr>
                <w:sz w:val="28"/>
                <w:szCs w:val="28"/>
              </w:rPr>
              <w:t>Lai ievērotu Izglītības likuma 55.panta 8.punktā noteiktās izglītojamā tiesības uz dzīvībai un veselībai drošiem apstākļiem izglītības iestādē un tās organizētajos pasākumos, izglītības iestāde reģistrā ir reģistrējama, ja tās izglītības programmas īstenošanas vietas telpas atbilst higiēnas un drošības prasībām, t.sk. būvēm noteiktajām prasībām, par kuru atbilstību pārliecinās kvalitātes dienests, balstoties uz oficiālā valsts informācijas sistēmā reģistrētajiem objektu raksturojošiem datiem. Analoģiski minētā prasība attiecināma arī uz institūcijām, kas veic izglītojošu darbību. Izglītības likuma 24.panta otrās daļas 4.punktā noteikts, ka iesniegumā jānorāda telpu platība un tehniskais aprīkojums, nepaskaidrojot sīkāk, ko tas ietver. Veicot izglītības programmu īstenošanas uzraudzību, praksē ir bijuši gadījumi, kad klātienē izglītības iestāžu telpas nebija atbilstošas izglītojošai darbībai, tādejādi pārkāpjot Izglītības likuma 55.panta 8.punktā noteiktās izglītojamā tiesības uz dzīvībai un veselībai drošiem apstākļiem izglītības iestādē un tās organizētajos pasākumos. Ievērojot minēto, kvalitātes dienests ir anulējis vairākas izglītības programmu licences un svītrojis no Izglītības iestāžu reģistra vairākas izglītības iestādes.</w:t>
            </w:r>
          </w:p>
          <w:p w:rsidR="00413375" w:rsidRDefault="00413375" w:rsidP="00AB377D">
            <w:pPr>
              <w:jc w:val="both"/>
              <w:rPr>
                <w:sz w:val="28"/>
                <w:szCs w:val="28"/>
              </w:rPr>
            </w:pPr>
            <w:r w:rsidRPr="00DF2A4D">
              <w:rPr>
                <w:sz w:val="28"/>
                <w:szCs w:val="28"/>
              </w:rPr>
              <w:t xml:space="preserve">Nodrošinot izglītojamo tiesības uz drošu vidi, likumprojekts paredz iesniegumā norādīt informāciju par saņemtajiem apliecinājumiem par telpu atbilstību higiēnas prasībām, drošības prasībām, t.sk. būvēm noteiktām prasībām, ja minētie apliecinājumi ir dibinātāja rīcībā (piemēram, ziņas par Veselības inspekcijas izsniegtu atzinumu par objekta gatavību darbības uzsākšanai, kurā ietilpst objekta higiēnas prasību novērtējums, Valsts ugunsdzēsības un glābšanas dienesta izsniegtu atzinumu par atbilstību ugunsdrošības prasībām), proti, par to, ka telpas ir atbilstošas izglītojošai darbībai. </w:t>
            </w:r>
          </w:p>
          <w:p w:rsidR="005A50C0" w:rsidRDefault="005A50C0" w:rsidP="00AB377D">
            <w:pPr>
              <w:jc w:val="both"/>
              <w:rPr>
                <w:sz w:val="28"/>
                <w:szCs w:val="28"/>
              </w:rPr>
            </w:pPr>
          </w:p>
          <w:p w:rsidR="00413375" w:rsidRDefault="00413375" w:rsidP="00AB377D">
            <w:pPr>
              <w:jc w:val="both"/>
              <w:rPr>
                <w:sz w:val="28"/>
                <w:szCs w:val="28"/>
              </w:rPr>
            </w:pPr>
            <w:r w:rsidRPr="000D79BD">
              <w:rPr>
                <w:sz w:val="28"/>
                <w:szCs w:val="28"/>
              </w:rPr>
              <w:t>Tāpat likumprojekts paredz, ka Izglītības iestāžu reģistra atbildīgā amatpersona pirms izglītības iestādes reģistrācijas izvērtē iesniegumu un atbilstoši kompetentu institūciju izsniegtajiem dokumentiem pievienotos apliecinājumus par telpu atbilstību higiēnas prasībām, drošības prasībām, tai skaitā būvēm noteiktajām prasībām. Ja iesniegumā n</w:t>
            </w:r>
            <w:r>
              <w:rPr>
                <w:sz w:val="28"/>
                <w:szCs w:val="28"/>
              </w:rPr>
              <w:t>ebūs</w:t>
            </w:r>
            <w:r w:rsidRPr="000D79BD">
              <w:rPr>
                <w:sz w:val="28"/>
                <w:szCs w:val="28"/>
              </w:rPr>
              <w:t xml:space="preserve"> norādīta </w:t>
            </w:r>
            <w:r>
              <w:rPr>
                <w:sz w:val="28"/>
                <w:szCs w:val="28"/>
              </w:rPr>
              <w:t>Izglītības</w:t>
            </w:r>
            <w:r w:rsidRPr="000D79BD">
              <w:rPr>
                <w:sz w:val="28"/>
                <w:szCs w:val="28"/>
              </w:rPr>
              <w:t xml:space="preserve"> likuma 24.panta otrās daļas 4.punktā minētā informācija par saņemtajiem apliecinājumiem un apliecinājumi n</w:t>
            </w:r>
            <w:r>
              <w:rPr>
                <w:sz w:val="28"/>
                <w:szCs w:val="28"/>
              </w:rPr>
              <w:t>ebūs</w:t>
            </w:r>
            <w:r w:rsidRPr="000D79BD">
              <w:rPr>
                <w:sz w:val="28"/>
                <w:szCs w:val="28"/>
              </w:rPr>
              <w:t xml:space="preserve"> pievienoti, Izglītības iestāžu reģistra atbildīgā amatpersona sadarbībā ar kompetentajām institūcijām</w:t>
            </w:r>
            <w:r>
              <w:rPr>
                <w:sz w:val="28"/>
                <w:szCs w:val="28"/>
              </w:rPr>
              <w:t xml:space="preserve"> (</w:t>
            </w:r>
            <w:r w:rsidRPr="000D79BD">
              <w:rPr>
                <w:sz w:val="28"/>
                <w:szCs w:val="28"/>
              </w:rPr>
              <w:t xml:space="preserve">Veselības inspekcija, Valsts ugunsdzēsības un glābšanas dienests, būvvaldes, kā arī pārbaudot informāciju Nekustamo </w:t>
            </w:r>
            <w:r>
              <w:rPr>
                <w:sz w:val="28"/>
                <w:szCs w:val="28"/>
              </w:rPr>
              <w:t>īpašumu valsts kadastra sistēmā)</w:t>
            </w:r>
            <w:r w:rsidRPr="000D79BD">
              <w:rPr>
                <w:sz w:val="28"/>
                <w:szCs w:val="28"/>
              </w:rPr>
              <w:t xml:space="preserve"> organizē</w:t>
            </w:r>
            <w:r>
              <w:rPr>
                <w:sz w:val="28"/>
                <w:szCs w:val="28"/>
              </w:rPr>
              <w:t>s</w:t>
            </w:r>
            <w:r w:rsidRPr="000D79BD">
              <w:rPr>
                <w:sz w:val="28"/>
                <w:szCs w:val="28"/>
              </w:rPr>
              <w:t xml:space="preserve"> nepieciešamās pārbaudes nolūkā iegūt trūkstošo informāciju.</w:t>
            </w:r>
          </w:p>
          <w:p w:rsidR="00413375" w:rsidRDefault="00413375" w:rsidP="00AB377D">
            <w:pPr>
              <w:jc w:val="both"/>
              <w:rPr>
                <w:sz w:val="28"/>
                <w:szCs w:val="28"/>
              </w:rPr>
            </w:pPr>
            <w:r w:rsidRPr="000D79BD">
              <w:rPr>
                <w:sz w:val="28"/>
                <w:szCs w:val="28"/>
              </w:rPr>
              <w:t>Šādu regulējumu paredz arī Ministru kabineta 2015.gada 14.jūlija noteikumi Nr.397 “Izglītības iestāžu un citu izglītības likumā noteikto institūciju reģistrācijas kārtība”.</w:t>
            </w:r>
          </w:p>
          <w:p w:rsidR="005A50C0" w:rsidRDefault="005A50C0" w:rsidP="00AB377D">
            <w:pPr>
              <w:jc w:val="both"/>
              <w:rPr>
                <w:sz w:val="28"/>
                <w:szCs w:val="28"/>
              </w:rPr>
            </w:pPr>
          </w:p>
          <w:p w:rsidR="00413375" w:rsidRPr="00DF2A4D" w:rsidRDefault="00413375" w:rsidP="00AB377D">
            <w:pPr>
              <w:jc w:val="both"/>
              <w:rPr>
                <w:sz w:val="28"/>
                <w:szCs w:val="28"/>
              </w:rPr>
            </w:pPr>
            <w:r w:rsidRPr="00DF2A4D">
              <w:rPr>
                <w:sz w:val="28"/>
                <w:szCs w:val="28"/>
              </w:rPr>
              <w:t xml:space="preserve">Šobrīd ārējie normatīvie akti neparedz izvērstu regulējumu attiecībā uz pedagoga privātprakses uzsākšanas sertifikāta  izsniegšanu, pagarināšanu, atteikšanos izsniegt, kā arī tā anulēšanu. Atbilstoši Administratīvā procesa likuma 1.panta trešajā daļā noteiktajam lēmums par pedagoga privātprakses uzsākšanas sertifikāta anulēšanu ir uzskatāms par administratīvo aktu, turklāt tas ir uzskatāms par personai nelabvēlīgu administratīvo aktu. Administratīvā procesa likuma 11.pants (likuma atrunas princips) paredz, ka privātpersonai nelabvēlīgu administratīvo aktu izdot iestāde var uz Satversmes, likuma, kā arī uz starptautisko tiesību normas pamata. Ministru kabineta noteikumi vai pašvaldību saistošie noteikumi var būt par pamatu šādam administratīvajam aktam tikai tad, ja Satversmē, likumā vai starptautisko tiesību normā tieši vai netieši ir ietverts pilnvarojums Ministru kabinetam, izdodot noteikumus, vai pašvaldībām, izdodot saistošos noteikumus, tajos paredzēt šādus administratīvos aktus. Ne Izglītības likumā, ne citos Administratīvā procesa likuma 11.pantā norādītajos ārējos normatīvajos aktos nav paredzēta pedagoga privātprakses uzsākšanas sertifikāta anulēšana. </w:t>
            </w:r>
          </w:p>
          <w:p w:rsidR="00413375" w:rsidRPr="00DF2A4D" w:rsidRDefault="00413375" w:rsidP="00AB377D">
            <w:pPr>
              <w:jc w:val="both"/>
              <w:rPr>
                <w:sz w:val="28"/>
                <w:szCs w:val="28"/>
              </w:rPr>
            </w:pPr>
            <w:r w:rsidRPr="00DF2A4D">
              <w:rPr>
                <w:sz w:val="28"/>
                <w:szCs w:val="28"/>
              </w:rPr>
              <w:t>Ievērojot minēto, ar likumprojektu tiek noteikts deleģējums Ministru kabinetam noteikt kārtību, kādā Izglītības kvalitātes valsts dienests izsniedz pedagoga privātprakses uzsākšanas sertifikātu un tā dublikātu, pagarina termiņu vai anulē to.</w:t>
            </w:r>
          </w:p>
        </w:tc>
      </w:tr>
      <w:tr w:rsidR="00413375" w:rsidRPr="00DF2A4D" w:rsidTr="00AB377D">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t>3.</w:t>
            </w:r>
          </w:p>
        </w:tc>
        <w:tc>
          <w:tcPr>
            <w:tcW w:w="1001"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t>Projekta izstrādē iesaistītās institūcijas</w:t>
            </w:r>
          </w:p>
        </w:tc>
        <w:tc>
          <w:tcPr>
            <w:tcW w:w="3771"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jc w:val="both"/>
              <w:rPr>
                <w:sz w:val="28"/>
                <w:szCs w:val="28"/>
              </w:rPr>
            </w:pPr>
            <w:r w:rsidRPr="00DF2A4D">
              <w:rPr>
                <w:sz w:val="28"/>
                <w:szCs w:val="28"/>
              </w:rPr>
              <w:t>Likumprojekts šo jomu neskar.</w:t>
            </w:r>
          </w:p>
        </w:tc>
      </w:tr>
      <w:tr w:rsidR="00413375" w:rsidRPr="00DF2A4D" w:rsidTr="00AB377D">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t>4.</w:t>
            </w:r>
          </w:p>
        </w:tc>
        <w:tc>
          <w:tcPr>
            <w:tcW w:w="1001"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t>Cita informācija</w:t>
            </w:r>
          </w:p>
        </w:tc>
        <w:tc>
          <w:tcPr>
            <w:tcW w:w="3771"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jc w:val="both"/>
              <w:rPr>
                <w:sz w:val="28"/>
                <w:szCs w:val="28"/>
              </w:rPr>
            </w:pPr>
            <w:r w:rsidRPr="00DF2A4D">
              <w:rPr>
                <w:sz w:val="28"/>
                <w:szCs w:val="28"/>
              </w:rPr>
              <w:t>Nav.</w:t>
            </w:r>
          </w:p>
        </w:tc>
      </w:tr>
    </w:tbl>
    <w:p w:rsidR="00413375" w:rsidRPr="00DF2A4D" w:rsidRDefault="00413375" w:rsidP="00413375">
      <w:pPr>
        <w:spacing w:before="100" w:beforeAutospacing="1" w:after="100" w:afterAutospacing="1"/>
        <w:rPr>
          <w:sz w:val="28"/>
          <w:szCs w:val="28"/>
        </w:rPr>
      </w:pPr>
    </w:p>
    <w:tbl>
      <w:tblPr>
        <w:tblW w:w="5037"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
        <w:gridCol w:w="1893"/>
        <w:gridCol w:w="6974"/>
      </w:tblGrid>
      <w:tr w:rsidR="00413375" w:rsidRPr="00DF2A4D" w:rsidTr="00AB377D">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rsidR="00413375" w:rsidRPr="00DF2A4D" w:rsidRDefault="00413375" w:rsidP="00AB377D">
            <w:pPr>
              <w:spacing w:before="100" w:beforeAutospacing="1" w:after="100" w:afterAutospacing="1"/>
              <w:jc w:val="center"/>
              <w:rPr>
                <w:b/>
                <w:bCs/>
                <w:sz w:val="28"/>
                <w:szCs w:val="28"/>
              </w:rPr>
            </w:pPr>
            <w:r w:rsidRPr="00DF2A4D">
              <w:rPr>
                <w:b/>
                <w:bCs/>
                <w:sz w:val="28"/>
                <w:szCs w:val="28"/>
              </w:rPr>
              <w:t>II. Tiesību akta projekta ietekme uz sabiedrību, tautsaimniecības attīstību un administratīvo slogu</w:t>
            </w:r>
          </w:p>
        </w:tc>
      </w:tr>
      <w:tr w:rsidR="00413375" w:rsidRPr="00DF2A4D" w:rsidTr="00AB377D">
        <w:trPr>
          <w:tblCellSpacing w:w="15" w:type="dxa"/>
        </w:trPr>
        <w:tc>
          <w:tcPr>
            <w:tcW w:w="208"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1"/>
                <w:szCs w:val="21"/>
              </w:rPr>
            </w:pPr>
            <w:r w:rsidRPr="00DF2A4D">
              <w:rPr>
                <w:sz w:val="21"/>
                <w:szCs w:val="21"/>
              </w:rPr>
              <w:t>1.</w:t>
            </w:r>
          </w:p>
        </w:tc>
        <w:tc>
          <w:tcPr>
            <w:tcW w:w="1003"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t>Sabiedrības mērķgrupas, kuras tiesiskais regulējums ietekmē vai varētu ietekmēt</w:t>
            </w:r>
          </w:p>
        </w:tc>
        <w:tc>
          <w:tcPr>
            <w:tcW w:w="3724"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jc w:val="both"/>
              <w:rPr>
                <w:sz w:val="28"/>
                <w:szCs w:val="28"/>
              </w:rPr>
            </w:pPr>
            <w:r w:rsidRPr="00DF2A4D">
              <w:rPr>
                <w:sz w:val="28"/>
                <w:szCs w:val="28"/>
              </w:rPr>
              <w:t xml:space="preserve">Valsts, pašvaldību un citu personu dibinātās izglītības iestādes (apmēram 3000) un institūcijas, kuru uzdevumos ietilpst pieaugušo izglītības programmas īstenošana: biedrības, nodibinājumi, amatu meistaru darbnīcas studijas, Nacionālo Bruņoto spēku vienības (apmēram 3000), bērnu uzraudzības pakalpojumu sniedzēji (apmēram 1400). </w:t>
            </w:r>
          </w:p>
          <w:p w:rsidR="00413375" w:rsidRPr="00DF2A4D" w:rsidRDefault="00413375" w:rsidP="00AB377D">
            <w:pPr>
              <w:jc w:val="both"/>
              <w:rPr>
                <w:sz w:val="28"/>
                <w:szCs w:val="28"/>
              </w:rPr>
            </w:pPr>
            <w:r w:rsidRPr="00DF2A4D">
              <w:rPr>
                <w:sz w:val="28"/>
                <w:szCs w:val="28"/>
                <w:u w:val="single"/>
              </w:rPr>
              <w:t>Potenciālie</w:t>
            </w:r>
            <w:r w:rsidRPr="00DF2A4D">
              <w:rPr>
                <w:sz w:val="28"/>
                <w:szCs w:val="28"/>
              </w:rPr>
              <w:t xml:space="preserve"> izglītības iestāžu dibinātāji, no 2015.gada 1.septembra institūcijas, kas plāno īstenot pieaugušo izglītības programmu, kā arī bērnu uzraudzības pakalpojumu sniedzēji.</w:t>
            </w:r>
          </w:p>
          <w:p w:rsidR="00413375" w:rsidRPr="00DF2A4D" w:rsidRDefault="00413375" w:rsidP="00AB377D">
            <w:pPr>
              <w:jc w:val="both"/>
              <w:rPr>
                <w:sz w:val="28"/>
                <w:szCs w:val="28"/>
              </w:rPr>
            </w:pPr>
            <w:r w:rsidRPr="00DF2A4D">
              <w:rPr>
                <w:sz w:val="28"/>
                <w:szCs w:val="28"/>
              </w:rPr>
              <w:t>Personas, kas vēlas iegūt pedagoga privātprakses uzsākšanas sertifikātu.</w:t>
            </w:r>
          </w:p>
        </w:tc>
      </w:tr>
      <w:tr w:rsidR="00413375" w:rsidRPr="00DF2A4D" w:rsidTr="00AB377D">
        <w:trPr>
          <w:tblCellSpacing w:w="15" w:type="dxa"/>
        </w:trPr>
        <w:tc>
          <w:tcPr>
            <w:tcW w:w="208"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t>2.</w:t>
            </w:r>
          </w:p>
        </w:tc>
        <w:tc>
          <w:tcPr>
            <w:tcW w:w="1003"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t>Tiesiskā regulējuma ietekme uz tautsaimniecību un administratīvo slogu</w:t>
            </w:r>
          </w:p>
        </w:tc>
        <w:tc>
          <w:tcPr>
            <w:tcW w:w="3724"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jc w:val="both"/>
              <w:rPr>
                <w:sz w:val="28"/>
                <w:szCs w:val="28"/>
              </w:rPr>
            </w:pPr>
            <w:r w:rsidRPr="00DF2A4D">
              <w:rPr>
                <w:sz w:val="28"/>
                <w:szCs w:val="28"/>
              </w:rPr>
              <w:t xml:space="preserve">Likumprojekta ietekme uz sabiedrību, tautsaimniecības attīstību un administratīvo slogu  saistāma ar Institūciju reģistra izveidi un uzturēšanu, kas paredz </w:t>
            </w:r>
            <w:r>
              <w:rPr>
                <w:sz w:val="28"/>
                <w:szCs w:val="28"/>
              </w:rPr>
              <w:t>VIIS</w:t>
            </w:r>
            <w:r w:rsidRPr="00DF2A4D">
              <w:rPr>
                <w:sz w:val="28"/>
                <w:szCs w:val="28"/>
              </w:rPr>
              <w:t xml:space="preserve"> funkcionalitātes paplašināšanu.</w:t>
            </w:r>
          </w:p>
          <w:p w:rsidR="00413375" w:rsidRPr="00DF2A4D" w:rsidRDefault="00413375" w:rsidP="00AB377D">
            <w:pPr>
              <w:jc w:val="both"/>
              <w:rPr>
                <w:sz w:val="28"/>
                <w:szCs w:val="28"/>
              </w:rPr>
            </w:pPr>
            <w:r w:rsidRPr="00DF2A4D">
              <w:rPr>
                <w:sz w:val="28"/>
                <w:szCs w:val="28"/>
              </w:rPr>
              <w:t>Vienlaikus likumprojekts paredz jaunu deleģējumu Ministru kabinetam noteikt kārtību, kādā kvalitātes dienests izsniedz pedagoga privātprakses uzsākšanas sertifikātu un tā dublikātu, pagarina termiņu vai anulē to.</w:t>
            </w:r>
          </w:p>
          <w:p w:rsidR="00413375" w:rsidRPr="00DF2A4D" w:rsidRDefault="00413375" w:rsidP="00AB377D">
            <w:pPr>
              <w:jc w:val="both"/>
              <w:rPr>
                <w:sz w:val="28"/>
                <w:szCs w:val="28"/>
              </w:rPr>
            </w:pPr>
            <w:r w:rsidRPr="00DF2A4D">
              <w:rPr>
                <w:sz w:val="28"/>
                <w:szCs w:val="28"/>
              </w:rPr>
              <w:t>Likumprojekta izpilde notiks esošo cilvēkresursu ietvaros, nepalielinot nodarbināto skaitu.</w:t>
            </w:r>
          </w:p>
        </w:tc>
      </w:tr>
      <w:tr w:rsidR="00413375" w:rsidRPr="00DF2A4D" w:rsidTr="00AB377D">
        <w:trPr>
          <w:tblCellSpacing w:w="15" w:type="dxa"/>
        </w:trPr>
        <w:tc>
          <w:tcPr>
            <w:tcW w:w="208"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t>3.</w:t>
            </w:r>
          </w:p>
        </w:tc>
        <w:tc>
          <w:tcPr>
            <w:tcW w:w="1003"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t>Administratīvo izmaksu monetārs novērtējums</w:t>
            </w:r>
          </w:p>
        </w:tc>
        <w:tc>
          <w:tcPr>
            <w:tcW w:w="3724"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jc w:val="both"/>
              <w:rPr>
                <w:sz w:val="28"/>
                <w:szCs w:val="28"/>
              </w:rPr>
            </w:pPr>
            <w:r w:rsidRPr="00DF2A4D">
              <w:rPr>
                <w:sz w:val="28"/>
                <w:szCs w:val="28"/>
              </w:rPr>
              <w:t>1. Kvalitātes dienesta izmaksas lēmumu un apliecību sagatavošanai 1 (vienā) gadā: 8038 EUR</w:t>
            </w:r>
          </w:p>
          <w:p w:rsidR="00413375" w:rsidRPr="00DF2A4D" w:rsidRDefault="00413375" w:rsidP="00AB377D">
            <w:pPr>
              <w:spacing w:before="100" w:beforeAutospacing="1" w:after="100" w:afterAutospacing="1"/>
              <w:jc w:val="both"/>
              <w:rPr>
                <w:sz w:val="28"/>
                <w:szCs w:val="28"/>
              </w:rPr>
            </w:pPr>
            <w:r w:rsidRPr="00DF2A4D">
              <w:rPr>
                <w:sz w:val="28"/>
                <w:szCs w:val="28"/>
              </w:rPr>
              <w:t>Aprēķini veikti pēc formulas: C = (f x l) x (n x b), kur:</w:t>
            </w:r>
          </w:p>
          <w:p w:rsidR="00413375" w:rsidRPr="00DF2A4D" w:rsidRDefault="00413375" w:rsidP="00AB377D">
            <w:pPr>
              <w:spacing w:before="100" w:beforeAutospacing="1" w:after="100" w:afterAutospacing="1"/>
              <w:jc w:val="both"/>
              <w:rPr>
                <w:sz w:val="28"/>
                <w:szCs w:val="28"/>
              </w:rPr>
            </w:pPr>
            <w:r w:rsidRPr="00DF2A4D">
              <w:rPr>
                <w:sz w:val="28"/>
                <w:szCs w:val="28"/>
              </w:rPr>
              <w:t>C – informācijas sniegšanas pienākuma radītās izmaksas jeb administratīvās izmaksas;</w:t>
            </w:r>
          </w:p>
          <w:p w:rsidR="00413375" w:rsidRPr="00DF2A4D" w:rsidRDefault="00413375" w:rsidP="00AB377D">
            <w:pPr>
              <w:spacing w:before="100" w:beforeAutospacing="1" w:after="100" w:afterAutospacing="1"/>
              <w:jc w:val="both"/>
              <w:rPr>
                <w:sz w:val="28"/>
                <w:szCs w:val="28"/>
              </w:rPr>
            </w:pPr>
            <w:r w:rsidRPr="00DF2A4D">
              <w:rPr>
                <w:sz w:val="28"/>
                <w:szCs w:val="28"/>
              </w:rPr>
              <w:t>f – finanšu līdzekļu apjoms, kas nepieciešams, lai nodrošinātu projektā paredzētā informācijas sniegšanas pienākuma izpildi (stundas samaksas likme, ieskaitot virsstundas vai stundas limitu ārējo pakalpojumu sniedzējiem, ja tādi ir);</w:t>
            </w:r>
          </w:p>
          <w:p w:rsidR="00413375" w:rsidRPr="00DF2A4D" w:rsidRDefault="00413375" w:rsidP="00AB377D">
            <w:pPr>
              <w:spacing w:before="100" w:beforeAutospacing="1" w:after="100" w:afterAutospacing="1"/>
              <w:jc w:val="both"/>
              <w:rPr>
                <w:sz w:val="28"/>
                <w:szCs w:val="28"/>
              </w:rPr>
            </w:pPr>
            <w:r w:rsidRPr="00DF2A4D">
              <w:rPr>
                <w:sz w:val="28"/>
                <w:szCs w:val="28"/>
              </w:rPr>
              <w:t>l – laika patēriņš, kas nepieciešams, lai sagatavotu informāciju, kuras sniegšanu paredz projekts;</w:t>
            </w:r>
          </w:p>
          <w:p w:rsidR="00413375" w:rsidRPr="00DF2A4D" w:rsidRDefault="00413375" w:rsidP="00AB377D">
            <w:pPr>
              <w:spacing w:before="100" w:beforeAutospacing="1" w:after="100" w:afterAutospacing="1"/>
              <w:jc w:val="both"/>
              <w:rPr>
                <w:sz w:val="28"/>
                <w:szCs w:val="28"/>
              </w:rPr>
            </w:pPr>
            <w:r w:rsidRPr="00DF2A4D">
              <w:rPr>
                <w:sz w:val="28"/>
                <w:szCs w:val="28"/>
              </w:rPr>
              <w:t>n – subjektu skaits, uz ko attiecas projektā paredzētās informācijas sniegšanas prasības;</w:t>
            </w:r>
          </w:p>
          <w:p w:rsidR="00413375" w:rsidRPr="00DF2A4D" w:rsidRDefault="00413375" w:rsidP="00AB377D">
            <w:pPr>
              <w:spacing w:before="100" w:beforeAutospacing="1" w:after="100" w:afterAutospacing="1"/>
              <w:jc w:val="both"/>
              <w:rPr>
                <w:sz w:val="28"/>
                <w:szCs w:val="28"/>
              </w:rPr>
            </w:pPr>
            <w:r w:rsidRPr="00DF2A4D">
              <w:rPr>
                <w:sz w:val="28"/>
                <w:szCs w:val="28"/>
              </w:rPr>
              <w:t>b – cik bieži gada laikā projekts paredz informācijas sniegšanu.</w:t>
            </w:r>
          </w:p>
          <w:p w:rsidR="00413375" w:rsidRPr="00DF2A4D" w:rsidRDefault="00413375" w:rsidP="00AB377D">
            <w:pPr>
              <w:spacing w:before="100" w:beforeAutospacing="1" w:after="100" w:afterAutospacing="1"/>
              <w:jc w:val="both"/>
              <w:rPr>
                <w:sz w:val="28"/>
                <w:szCs w:val="28"/>
              </w:rPr>
            </w:pPr>
            <w:r w:rsidRPr="00DF2A4D">
              <w:rPr>
                <w:sz w:val="28"/>
                <w:szCs w:val="28"/>
              </w:rPr>
              <w:t>Administratīvās izmaksas = (5.14 EUR/h * 1h) * (1250 * 1) = 6425 EUR</w:t>
            </w:r>
          </w:p>
          <w:p w:rsidR="00413375" w:rsidRPr="00DF2A4D" w:rsidRDefault="00413375" w:rsidP="00AB377D">
            <w:pPr>
              <w:spacing w:before="100" w:beforeAutospacing="1" w:after="100" w:afterAutospacing="1"/>
              <w:jc w:val="both"/>
              <w:rPr>
                <w:sz w:val="28"/>
                <w:szCs w:val="28"/>
              </w:rPr>
            </w:pPr>
            <w:r w:rsidRPr="00DF2A4D">
              <w:rPr>
                <w:sz w:val="28"/>
                <w:szCs w:val="28"/>
              </w:rPr>
              <w:t>Citas izmaksas: 1613 EUR, t.sk. izdevumi par apliecību iegādi: 1250 * 1.29 = 1612.50 EUR</w:t>
            </w:r>
          </w:p>
          <w:p w:rsidR="00413375" w:rsidRPr="00DF2A4D" w:rsidRDefault="00413375" w:rsidP="00AB377D">
            <w:pPr>
              <w:spacing w:before="100" w:beforeAutospacing="1" w:after="100" w:afterAutospacing="1"/>
              <w:jc w:val="both"/>
              <w:rPr>
                <w:sz w:val="28"/>
                <w:szCs w:val="28"/>
              </w:rPr>
            </w:pPr>
            <w:r w:rsidRPr="00DF2A4D">
              <w:rPr>
                <w:sz w:val="28"/>
                <w:szCs w:val="28"/>
              </w:rPr>
              <w:t>2. Izglītības iestāžu un Izglītības likumā noteiktu institūciju (biedrības, nodibinājumi, amatu meistaru darbnīcas, studijas vai Nacionālo bruņoto spēku vienības, kuru uzdevumos ietilpst pieaugušo izglītības programmu īstenošana) izmaksas lēmumu un apliecību pieprasīšanai 1 (vienā) gadā: 3475 EUR</w:t>
            </w:r>
          </w:p>
          <w:p w:rsidR="00413375" w:rsidRPr="00DF2A4D" w:rsidRDefault="00413375" w:rsidP="00AB377D">
            <w:pPr>
              <w:spacing w:before="100" w:beforeAutospacing="1" w:after="100" w:afterAutospacing="1"/>
              <w:jc w:val="both"/>
              <w:rPr>
                <w:sz w:val="28"/>
                <w:szCs w:val="28"/>
              </w:rPr>
            </w:pPr>
            <w:r w:rsidRPr="00DF2A4D">
              <w:rPr>
                <w:sz w:val="28"/>
                <w:szCs w:val="28"/>
              </w:rPr>
              <w:t>Aprēķini veikti pēc formulas: C = (f x l) x (n x b), kur:</w:t>
            </w:r>
          </w:p>
          <w:p w:rsidR="00413375" w:rsidRPr="00DF2A4D" w:rsidRDefault="00413375" w:rsidP="00AB377D">
            <w:pPr>
              <w:spacing w:before="100" w:beforeAutospacing="1" w:after="100" w:afterAutospacing="1"/>
              <w:jc w:val="both"/>
              <w:rPr>
                <w:sz w:val="28"/>
                <w:szCs w:val="28"/>
              </w:rPr>
            </w:pPr>
            <w:r w:rsidRPr="00DF2A4D">
              <w:rPr>
                <w:sz w:val="28"/>
                <w:szCs w:val="28"/>
              </w:rPr>
              <w:t>C – informācijas sniegšanas pienākuma radītās izmaksas jeb administratīvās izmaksas;</w:t>
            </w:r>
          </w:p>
          <w:p w:rsidR="00413375" w:rsidRPr="00DF2A4D" w:rsidRDefault="00413375" w:rsidP="00AB377D">
            <w:pPr>
              <w:spacing w:before="100" w:beforeAutospacing="1" w:after="100" w:afterAutospacing="1"/>
              <w:jc w:val="both"/>
              <w:rPr>
                <w:sz w:val="28"/>
                <w:szCs w:val="28"/>
              </w:rPr>
            </w:pPr>
            <w:r w:rsidRPr="00DF2A4D">
              <w:rPr>
                <w:sz w:val="28"/>
                <w:szCs w:val="28"/>
              </w:rPr>
              <w:t>f – finanšu līdzekļu apjoms, kas nepieciešams, lai nodrošinātu projektā paredzētā informācijas sniegšanas pienākuma izpildi (stundas samaksas likme, ieskaitot virsstundas vai stundas limitu ārējo pakalpojumu sniedzējiem, ja tādi ir);</w:t>
            </w:r>
          </w:p>
          <w:p w:rsidR="00413375" w:rsidRPr="00DF2A4D" w:rsidRDefault="00413375" w:rsidP="00AB377D">
            <w:pPr>
              <w:spacing w:before="100" w:beforeAutospacing="1" w:after="100" w:afterAutospacing="1"/>
              <w:jc w:val="both"/>
              <w:rPr>
                <w:sz w:val="28"/>
                <w:szCs w:val="28"/>
              </w:rPr>
            </w:pPr>
            <w:r w:rsidRPr="00DF2A4D">
              <w:rPr>
                <w:sz w:val="28"/>
                <w:szCs w:val="28"/>
              </w:rPr>
              <w:t>l – laika patēriņš, kas nepieciešams, lai sagatavotu informāciju, kuras sniegšanu paredz projekts;</w:t>
            </w:r>
          </w:p>
          <w:p w:rsidR="00413375" w:rsidRPr="00DF2A4D" w:rsidRDefault="00413375" w:rsidP="00AB377D">
            <w:pPr>
              <w:spacing w:before="100" w:beforeAutospacing="1" w:after="100" w:afterAutospacing="1"/>
              <w:jc w:val="both"/>
              <w:rPr>
                <w:sz w:val="28"/>
                <w:szCs w:val="28"/>
              </w:rPr>
            </w:pPr>
            <w:r w:rsidRPr="00DF2A4D">
              <w:rPr>
                <w:sz w:val="28"/>
                <w:szCs w:val="28"/>
              </w:rPr>
              <w:t>n – subjektu skaits, uz ko attiecas projektā paredzētās informācijas sniegšanas prasības;</w:t>
            </w:r>
          </w:p>
          <w:p w:rsidR="00413375" w:rsidRPr="00DF2A4D" w:rsidRDefault="00413375" w:rsidP="00AB377D">
            <w:pPr>
              <w:spacing w:before="100" w:beforeAutospacing="1" w:after="100" w:afterAutospacing="1"/>
              <w:jc w:val="both"/>
              <w:rPr>
                <w:sz w:val="28"/>
                <w:szCs w:val="28"/>
              </w:rPr>
            </w:pPr>
            <w:r w:rsidRPr="00DF2A4D">
              <w:rPr>
                <w:sz w:val="28"/>
                <w:szCs w:val="28"/>
              </w:rPr>
              <w:t>b – cik bieži gada laikā projekts paredz informācijas sniegšanu.</w:t>
            </w:r>
          </w:p>
          <w:p w:rsidR="00413375" w:rsidRPr="00DF2A4D" w:rsidRDefault="00413375" w:rsidP="00AB377D">
            <w:pPr>
              <w:spacing w:before="100" w:beforeAutospacing="1" w:after="100" w:afterAutospacing="1"/>
              <w:jc w:val="both"/>
              <w:rPr>
                <w:sz w:val="28"/>
                <w:szCs w:val="28"/>
              </w:rPr>
            </w:pPr>
            <w:r w:rsidRPr="00DF2A4D">
              <w:rPr>
                <w:sz w:val="28"/>
                <w:szCs w:val="28"/>
              </w:rPr>
              <w:t>Administratīvās izmaksas = (2.78 EUR/h * 1h) * (1250 * 1) = 3475 EUR</w:t>
            </w:r>
          </w:p>
        </w:tc>
      </w:tr>
      <w:tr w:rsidR="00413375" w:rsidRPr="00DF2A4D" w:rsidTr="00AB377D">
        <w:trPr>
          <w:trHeight w:val="788"/>
          <w:tblCellSpacing w:w="15" w:type="dxa"/>
        </w:trPr>
        <w:tc>
          <w:tcPr>
            <w:tcW w:w="208"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t>4.</w:t>
            </w:r>
          </w:p>
        </w:tc>
        <w:tc>
          <w:tcPr>
            <w:tcW w:w="1003"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t>Cita informācija</w:t>
            </w:r>
          </w:p>
        </w:tc>
        <w:tc>
          <w:tcPr>
            <w:tcW w:w="3724" w:type="pct"/>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jc w:val="both"/>
              <w:rPr>
                <w:sz w:val="28"/>
                <w:szCs w:val="28"/>
              </w:rPr>
            </w:pPr>
            <w:r w:rsidRPr="00DF2A4D">
              <w:rPr>
                <w:sz w:val="28"/>
                <w:szCs w:val="28"/>
              </w:rPr>
              <w:t xml:space="preserve"> Nav.</w:t>
            </w:r>
          </w:p>
        </w:tc>
      </w:tr>
    </w:tbl>
    <w:p w:rsidR="00413375" w:rsidRPr="00DF2A4D" w:rsidRDefault="00413375" w:rsidP="00413375">
      <w:pPr>
        <w:spacing w:before="100" w:beforeAutospacing="1" w:after="100" w:afterAutospacing="1"/>
        <w:rPr>
          <w:sz w:val="28"/>
          <w:szCs w:val="28"/>
        </w:rPr>
      </w:pPr>
    </w:p>
    <w:tbl>
      <w:tblPr>
        <w:tblStyle w:val="TableGrid"/>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34"/>
        <w:gridCol w:w="1865"/>
        <w:gridCol w:w="6888"/>
      </w:tblGrid>
      <w:tr w:rsidR="00413375" w:rsidRPr="00DF2A4D" w:rsidTr="00AB377D">
        <w:tc>
          <w:tcPr>
            <w:tcW w:w="9287" w:type="dxa"/>
            <w:gridSpan w:val="3"/>
          </w:tcPr>
          <w:p w:rsidR="00413375" w:rsidRPr="00DF2A4D" w:rsidRDefault="00413375" w:rsidP="00AB377D">
            <w:pPr>
              <w:jc w:val="center"/>
              <w:rPr>
                <w:b/>
                <w:bCs/>
                <w:sz w:val="28"/>
                <w:szCs w:val="28"/>
              </w:rPr>
            </w:pPr>
            <w:r w:rsidRPr="00DF2A4D">
              <w:rPr>
                <w:b/>
                <w:bCs/>
                <w:sz w:val="28"/>
                <w:szCs w:val="28"/>
              </w:rPr>
              <w:t>IV. Tiesību akta projekta ietekme uz</w:t>
            </w:r>
          </w:p>
          <w:p w:rsidR="00413375" w:rsidRPr="00DF2A4D" w:rsidRDefault="00413375" w:rsidP="00AB377D">
            <w:pPr>
              <w:jc w:val="center"/>
              <w:rPr>
                <w:bCs/>
                <w:sz w:val="28"/>
                <w:szCs w:val="28"/>
              </w:rPr>
            </w:pPr>
            <w:r w:rsidRPr="00DF2A4D">
              <w:rPr>
                <w:b/>
                <w:bCs/>
                <w:sz w:val="28"/>
                <w:szCs w:val="28"/>
              </w:rPr>
              <w:t>spēkā esošo tiesību normu sistēmu</w:t>
            </w:r>
          </w:p>
        </w:tc>
      </w:tr>
      <w:tr w:rsidR="00413375" w:rsidRPr="00DF2A4D" w:rsidTr="00AB377D">
        <w:tc>
          <w:tcPr>
            <w:tcW w:w="534" w:type="dxa"/>
          </w:tcPr>
          <w:p w:rsidR="00413375" w:rsidRPr="00DF2A4D" w:rsidRDefault="00413375" w:rsidP="00AB377D">
            <w:pPr>
              <w:spacing w:before="100" w:beforeAutospacing="1" w:after="100" w:afterAutospacing="1"/>
              <w:rPr>
                <w:bCs/>
                <w:sz w:val="28"/>
                <w:szCs w:val="28"/>
              </w:rPr>
            </w:pPr>
            <w:r w:rsidRPr="00DF2A4D">
              <w:rPr>
                <w:bCs/>
                <w:sz w:val="28"/>
                <w:szCs w:val="28"/>
              </w:rPr>
              <w:t>1.</w:t>
            </w:r>
          </w:p>
        </w:tc>
        <w:tc>
          <w:tcPr>
            <w:tcW w:w="1865" w:type="dxa"/>
          </w:tcPr>
          <w:p w:rsidR="00413375" w:rsidRPr="00DF2A4D" w:rsidRDefault="00413375" w:rsidP="00AB377D">
            <w:pPr>
              <w:spacing w:before="100" w:beforeAutospacing="1" w:after="100" w:afterAutospacing="1"/>
              <w:rPr>
                <w:bCs/>
                <w:sz w:val="28"/>
                <w:szCs w:val="28"/>
              </w:rPr>
            </w:pPr>
            <w:r w:rsidRPr="00DF2A4D">
              <w:rPr>
                <w:sz w:val="28"/>
                <w:szCs w:val="28"/>
              </w:rPr>
              <w:t>Nepieciešamie saistītie tiesību akta projekti</w:t>
            </w:r>
          </w:p>
        </w:tc>
        <w:tc>
          <w:tcPr>
            <w:tcW w:w="6888" w:type="dxa"/>
          </w:tcPr>
          <w:p w:rsidR="00413375" w:rsidRPr="00DF2A4D" w:rsidRDefault="00413375" w:rsidP="00AB377D">
            <w:pPr>
              <w:jc w:val="both"/>
              <w:rPr>
                <w:sz w:val="28"/>
                <w:szCs w:val="28"/>
              </w:rPr>
            </w:pPr>
            <w:r w:rsidRPr="00DF2A4D">
              <w:rPr>
                <w:sz w:val="28"/>
                <w:szCs w:val="28"/>
              </w:rPr>
              <w:t>Likumprojekts paredz deleģējumu izstrādāt Ministru kabineta noteikumus „Kārtība, kādā izsniedz pedagoga privātprakses uzsākšanas sertifikātu un tā dublikātu, pagarina termiņu vai anulē to”</w:t>
            </w:r>
          </w:p>
        </w:tc>
      </w:tr>
      <w:tr w:rsidR="00413375" w:rsidRPr="00DF2A4D" w:rsidTr="00AB377D">
        <w:tc>
          <w:tcPr>
            <w:tcW w:w="534" w:type="dxa"/>
          </w:tcPr>
          <w:p w:rsidR="00413375" w:rsidRPr="00DF2A4D" w:rsidRDefault="00413375" w:rsidP="00AB377D">
            <w:pPr>
              <w:spacing w:before="100" w:beforeAutospacing="1" w:after="100" w:afterAutospacing="1"/>
              <w:rPr>
                <w:bCs/>
                <w:sz w:val="28"/>
                <w:szCs w:val="28"/>
              </w:rPr>
            </w:pPr>
            <w:r w:rsidRPr="00DF2A4D">
              <w:rPr>
                <w:bCs/>
                <w:sz w:val="28"/>
                <w:szCs w:val="28"/>
              </w:rPr>
              <w:t>2.</w:t>
            </w:r>
          </w:p>
        </w:tc>
        <w:tc>
          <w:tcPr>
            <w:tcW w:w="1865" w:type="dxa"/>
          </w:tcPr>
          <w:p w:rsidR="00413375" w:rsidRPr="00DF2A4D" w:rsidRDefault="00413375" w:rsidP="00AB377D">
            <w:pPr>
              <w:spacing w:before="100" w:beforeAutospacing="1" w:after="100" w:afterAutospacing="1"/>
              <w:rPr>
                <w:bCs/>
                <w:sz w:val="28"/>
                <w:szCs w:val="28"/>
              </w:rPr>
            </w:pPr>
            <w:r w:rsidRPr="00DF2A4D">
              <w:rPr>
                <w:sz w:val="28"/>
                <w:szCs w:val="28"/>
              </w:rPr>
              <w:t>Atbildīgā institūcija</w:t>
            </w:r>
          </w:p>
        </w:tc>
        <w:tc>
          <w:tcPr>
            <w:tcW w:w="6888" w:type="dxa"/>
          </w:tcPr>
          <w:p w:rsidR="00413375" w:rsidRPr="00DF2A4D" w:rsidRDefault="00413375" w:rsidP="00AB377D">
            <w:pPr>
              <w:spacing w:before="100" w:beforeAutospacing="1" w:after="100" w:afterAutospacing="1"/>
              <w:jc w:val="both"/>
              <w:rPr>
                <w:bCs/>
                <w:sz w:val="28"/>
                <w:szCs w:val="28"/>
              </w:rPr>
            </w:pPr>
            <w:r w:rsidRPr="00DF2A4D">
              <w:rPr>
                <w:sz w:val="28"/>
                <w:szCs w:val="28"/>
              </w:rPr>
              <w:t>Izglītības un zinātnes ministrija.</w:t>
            </w:r>
          </w:p>
        </w:tc>
      </w:tr>
      <w:tr w:rsidR="00413375" w:rsidRPr="00DF2A4D" w:rsidTr="00AB377D">
        <w:tc>
          <w:tcPr>
            <w:tcW w:w="534" w:type="dxa"/>
          </w:tcPr>
          <w:p w:rsidR="00413375" w:rsidRPr="00DF2A4D" w:rsidRDefault="00413375" w:rsidP="00AB377D">
            <w:pPr>
              <w:spacing w:before="100" w:beforeAutospacing="1" w:after="100" w:afterAutospacing="1"/>
              <w:rPr>
                <w:bCs/>
                <w:sz w:val="28"/>
                <w:szCs w:val="28"/>
              </w:rPr>
            </w:pPr>
            <w:r w:rsidRPr="00DF2A4D">
              <w:rPr>
                <w:bCs/>
                <w:sz w:val="28"/>
                <w:szCs w:val="28"/>
              </w:rPr>
              <w:t>3.</w:t>
            </w:r>
          </w:p>
        </w:tc>
        <w:tc>
          <w:tcPr>
            <w:tcW w:w="1865" w:type="dxa"/>
          </w:tcPr>
          <w:p w:rsidR="00413375" w:rsidRPr="00DF2A4D" w:rsidRDefault="00413375" w:rsidP="00AB377D">
            <w:pPr>
              <w:spacing w:before="100" w:beforeAutospacing="1" w:after="100" w:afterAutospacing="1"/>
              <w:rPr>
                <w:bCs/>
                <w:sz w:val="28"/>
                <w:szCs w:val="28"/>
              </w:rPr>
            </w:pPr>
            <w:r w:rsidRPr="00DF2A4D">
              <w:rPr>
                <w:sz w:val="28"/>
                <w:szCs w:val="28"/>
              </w:rPr>
              <w:t>Cita informācija</w:t>
            </w:r>
          </w:p>
        </w:tc>
        <w:tc>
          <w:tcPr>
            <w:tcW w:w="6888" w:type="dxa"/>
          </w:tcPr>
          <w:p w:rsidR="00413375" w:rsidRPr="00DF2A4D" w:rsidRDefault="00413375" w:rsidP="00AB377D">
            <w:pPr>
              <w:jc w:val="both"/>
              <w:rPr>
                <w:sz w:val="28"/>
                <w:szCs w:val="28"/>
              </w:rPr>
            </w:pPr>
            <w:r>
              <w:rPr>
                <w:sz w:val="28"/>
                <w:szCs w:val="28"/>
              </w:rPr>
              <w:t>2015.gada 1.augustā stājās spēkā Ministru kabineta 2015.gada 14.jūlija noteikumi Nr.397 “</w:t>
            </w:r>
            <w:r w:rsidRPr="00DF2A4D">
              <w:rPr>
                <w:sz w:val="28"/>
                <w:szCs w:val="28"/>
              </w:rPr>
              <w:t>Izglītības iestāžu un</w:t>
            </w:r>
            <w:r>
              <w:rPr>
                <w:sz w:val="28"/>
                <w:szCs w:val="28"/>
              </w:rPr>
              <w:t xml:space="preserve"> citu Izglītības likumā noteikto</w:t>
            </w:r>
            <w:r w:rsidRPr="00DF2A4D">
              <w:rPr>
                <w:sz w:val="28"/>
                <w:szCs w:val="28"/>
              </w:rPr>
              <w:t xml:space="preserve"> institūciju reģistrācijas kārtība</w:t>
            </w:r>
            <w:r>
              <w:rPr>
                <w:sz w:val="28"/>
                <w:szCs w:val="28"/>
              </w:rPr>
              <w:t>”</w:t>
            </w:r>
            <w:r w:rsidRPr="00DF2A4D">
              <w:rPr>
                <w:sz w:val="28"/>
                <w:szCs w:val="28"/>
              </w:rPr>
              <w:t xml:space="preserve">, kas nosaka institūciju reģistrācijas kārtību, vienlaikus paredzot, ka Institūciju reģistrs ir </w:t>
            </w:r>
            <w:r>
              <w:rPr>
                <w:sz w:val="28"/>
                <w:szCs w:val="28"/>
              </w:rPr>
              <w:t>VIIS</w:t>
            </w:r>
            <w:r w:rsidRPr="00DF2A4D">
              <w:rPr>
                <w:sz w:val="28"/>
                <w:szCs w:val="28"/>
              </w:rPr>
              <w:t xml:space="preserve"> sastāvdaļa (no 2016.gada 1.janvāra).</w:t>
            </w:r>
          </w:p>
          <w:p w:rsidR="00413375" w:rsidRPr="00DF2A4D" w:rsidRDefault="00413375" w:rsidP="00AB377D">
            <w:pPr>
              <w:jc w:val="both"/>
              <w:rPr>
                <w:sz w:val="28"/>
                <w:szCs w:val="28"/>
              </w:rPr>
            </w:pPr>
            <w:r w:rsidRPr="00DF2A4D">
              <w:rPr>
                <w:sz w:val="28"/>
                <w:szCs w:val="28"/>
              </w:rPr>
              <w:t>Vienlaikus kvalitātes dienests ir izstrādājis Ministru kabineta noteikumu projektu „Grozījumi Ministru kabineta 2010.gada 17.augusta noteikumos Nr.788 „Valsts izglītības informācijas sistēmas saturs, uzturēšanas un aktualizācijas kārtība””</w:t>
            </w:r>
            <w:r>
              <w:rPr>
                <w:sz w:val="28"/>
                <w:szCs w:val="28"/>
              </w:rPr>
              <w:t xml:space="preserve"> (VSS-454)</w:t>
            </w:r>
            <w:r w:rsidRPr="00DF2A4D">
              <w:rPr>
                <w:sz w:val="28"/>
                <w:szCs w:val="28"/>
              </w:rPr>
              <w:t xml:space="preserve">, papildinot ar regulējumu par institūcijām un bērnu uzraudzības pakalpojuma sniedzējiem, ievērojot, ka Institūciju reģistrs un BUPS reģistrs ir </w:t>
            </w:r>
            <w:r>
              <w:rPr>
                <w:sz w:val="28"/>
                <w:szCs w:val="28"/>
              </w:rPr>
              <w:t>VIIS</w:t>
            </w:r>
            <w:r w:rsidRPr="00DF2A4D">
              <w:rPr>
                <w:sz w:val="28"/>
                <w:szCs w:val="28"/>
              </w:rPr>
              <w:t xml:space="preserve"> sastāvdaļa.</w:t>
            </w:r>
          </w:p>
        </w:tc>
      </w:tr>
    </w:tbl>
    <w:p w:rsidR="00413375" w:rsidRPr="001B0D62" w:rsidRDefault="00413375" w:rsidP="00413375">
      <w:pPr>
        <w:spacing w:before="100" w:beforeAutospacing="1" w:after="100" w:afterAutospacing="1"/>
        <w:rPr>
          <w:bCs/>
          <w:sz w:val="16"/>
          <w:szCs w:val="16"/>
        </w:rPr>
      </w:pPr>
    </w:p>
    <w:tbl>
      <w:tblPr>
        <w:tblStyle w:val="TableGrid"/>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34"/>
        <w:gridCol w:w="1865"/>
        <w:gridCol w:w="6888"/>
      </w:tblGrid>
      <w:tr w:rsidR="00413375" w:rsidRPr="00DF2A4D" w:rsidTr="00AB377D">
        <w:tc>
          <w:tcPr>
            <w:tcW w:w="9287" w:type="dxa"/>
            <w:gridSpan w:val="3"/>
          </w:tcPr>
          <w:p w:rsidR="00413375" w:rsidRPr="00DF2A4D" w:rsidRDefault="00413375" w:rsidP="00AB377D">
            <w:pPr>
              <w:jc w:val="center"/>
              <w:rPr>
                <w:bCs/>
                <w:sz w:val="28"/>
                <w:szCs w:val="28"/>
              </w:rPr>
            </w:pPr>
            <w:r w:rsidRPr="00DF2A4D">
              <w:rPr>
                <w:b/>
                <w:bCs/>
                <w:sz w:val="28"/>
                <w:szCs w:val="28"/>
              </w:rPr>
              <w:t>VI. Sabiedrības līdzdalība un komunikācijas aktivitātes</w:t>
            </w:r>
          </w:p>
        </w:tc>
      </w:tr>
      <w:tr w:rsidR="00413375" w:rsidRPr="00DF2A4D" w:rsidTr="00AB377D">
        <w:tc>
          <w:tcPr>
            <w:tcW w:w="534" w:type="dxa"/>
          </w:tcPr>
          <w:p w:rsidR="00413375" w:rsidRPr="00DF2A4D" w:rsidRDefault="00413375" w:rsidP="00AB377D">
            <w:pPr>
              <w:spacing w:before="100" w:beforeAutospacing="1" w:after="100" w:afterAutospacing="1"/>
              <w:rPr>
                <w:bCs/>
                <w:sz w:val="28"/>
                <w:szCs w:val="28"/>
              </w:rPr>
            </w:pPr>
            <w:r w:rsidRPr="00DF2A4D">
              <w:rPr>
                <w:bCs/>
                <w:sz w:val="28"/>
                <w:szCs w:val="28"/>
              </w:rPr>
              <w:t>1.</w:t>
            </w:r>
          </w:p>
        </w:tc>
        <w:tc>
          <w:tcPr>
            <w:tcW w:w="1865" w:type="dxa"/>
          </w:tcPr>
          <w:p w:rsidR="00413375" w:rsidRPr="00DF2A4D" w:rsidRDefault="00413375" w:rsidP="00AB377D">
            <w:pPr>
              <w:spacing w:before="100" w:beforeAutospacing="1" w:after="100" w:afterAutospacing="1"/>
              <w:rPr>
                <w:bCs/>
                <w:sz w:val="28"/>
                <w:szCs w:val="28"/>
              </w:rPr>
            </w:pPr>
            <w:r w:rsidRPr="00DF2A4D">
              <w:rPr>
                <w:sz w:val="28"/>
                <w:szCs w:val="28"/>
              </w:rPr>
              <w:t>Plānotās sabiedrības līdzdalības un komunikācijas aktivitātes saistībā ar projektu</w:t>
            </w:r>
          </w:p>
        </w:tc>
        <w:tc>
          <w:tcPr>
            <w:tcW w:w="6888" w:type="dxa"/>
          </w:tcPr>
          <w:p w:rsidR="00413375" w:rsidRPr="00DF2A4D" w:rsidRDefault="00413375" w:rsidP="00AB377D">
            <w:pPr>
              <w:jc w:val="both"/>
              <w:rPr>
                <w:b/>
                <w:sz w:val="28"/>
                <w:szCs w:val="28"/>
              </w:rPr>
            </w:pPr>
            <w:r w:rsidRPr="00DF2A4D">
              <w:rPr>
                <w:sz w:val="28"/>
                <w:szCs w:val="28"/>
              </w:rPr>
              <w:t xml:space="preserve">Informācija par likumprojektu 2015.gada 12.martā ir ievietota tīmekļa vietnē </w:t>
            </w:r>
            <w:hyperlink r:id="rId8" w:history="1">
              <w:r w:rsidRPr="00DF2A4D">
                <w:rPr>
                  <w:rStyle w:val="Hyperlink"/>
                  <w:color w:val="auto"/>
                  <w:sz w:val="28"/>
                  <w:szCs w:val="28"/>
                </w:rPr>
                <w:t>www.ikvd.gov.lv</w:t>
              </w:r>
            </w:hyperlink>
            <w:r w:rsidRPr="00DF2A4D">
              <w:rPr>
                <w:sz w:val="28"/>
                <w:szCs w:val="28"/>
              </w:rPr>
              <w:t>.</w:t>
            </w:r>
          </w:p>
        </w:tc>
      </w:tr>
      <w:tr w:rsidR="00413375" w:rsidRPr="00DF2A4D" w:rsidTr="00AB377D">
        <w:tc>
          <w:tcPr>
            <w:tcW w:w="534" w:type="dxa"/>
          </w:tcPr>
          <w:p w:rsidR="00413375" w:rsidRPr="00DF2A4D" w:rsidRDefault="00413375" w:rsidP="00AB377D">
            <w:pPr>
              <w:spacing w:before="100" w:beforeAutospacing="1" w:after="100" w:afterAutospacing="1"/>
              <w:rPr>
                <w:bCs/>
                <w:sz w:val="28"/>
                <w:szCs w:val="28"/>
              </w:rPr>
            </w:pPr>
            <w:r w:rsidRPr="00DF2A4D">
              <w:rPr>
                <w:bCs/>
                <w:sz w:val="28"/>
                <w:szCs w:val="28"/>
              </w:rPr>
              <w:t>2.</w:t>
            </w:r>
          </w:p>
        </w:tc>
        <w:tc>
          <w:tcPr>
            <w:tcW w:w="1865" w:type="dxa"/>
          </w:tcPr>
          <w:p w:rsidR="00413375" w:rsidRPr="00DF2A4D" w:rsidRDefault="00413375" w:rsidP="00AB377D">
            <w:pPr>
              <w:spacing w:before="100" w:beforeAutospacing="1" w:after="100" w:afterAutospacing="1"/>
              <w:rPr>
                <w:bCs/>
                <w:sz w:val="28"/>
                <w:szCs w:val="28"/>
              </w:rPr>
            </w:pPr>
            <w:r w:rsidRPr="00DF2A4D">
              <w:rPr>
                <w:sz w:val="28"/>
                <w:szCs w:val="28"/>
              </w:rPr>
              <w:t>Sabiedrības līdzdalība projekta izstrādē</w:t>
            </w:r>
          </w:p>
        </w:tc>
        <w:tc>
          <w:tcPr>
            <w:tcW w:w="6888" w:type="dxa"/>
          </w:tcPr>
          <w:p w:rsidR="00413375" w:rsidRPr="00DF2A4D" w:rsidRDefault="00413375" w:rsidP="00AB377D">
            <w:pPr>
              <w:jc w:val="both"/>
              <w:rPr>
                <w:sz w:val="28"/>
                <w:szCs w:val="28"/>
              </w:rPr>
            </w:pPr>
            <w:r w:rsidRPr="00DF2A4D">
              <w:rPr>
                <w:bCs/>
                <w:sz w:val="28"/>
                <w:szCs w:val="28"/>
              </w:rPr>
              <w:t>Sabiedrības iesaiste tika nodrošināta Ministru kabineta noteikumu projekta „Izglītības iestāžu un</w:t>
            </w:r>
            <w:r>
              <w:rPr>
                <w:bCs/>
                <w:sz w:val="28"/>
                <w:szCs w:val="28"/>
              </w:rPr>
              <w:t xml:space="preserve"> citu Izglītības likumā noteikto</w:t>
            </w:r>
            <w:r w:rsidRPr="00DF2A4D">
              <w:rPr>
                <w:bCs/>
                <w:sz w:val="28"/>
                <w:szCs w:val="28"/>
              </w:rPr>
              <w:t xml:space="preserve"> institūciju reģistrācijas kārtība” (VSS-180) izstrādes ietvaros. Minētais noteikumu projekts kvalitātes dienesta tīmekļa vietnē </w:t>
            </w:r>
            <w:hyperlink r:id="rId9" w:history="1">
              <w:r w:rsidRPr="00DF2A4D">
                <w:rPr>
                  <w:rStyle w:val="Hyperlink"/>
                  <w:bCs/>
                  <w:color w:val="auto"/>
                  <w:sz w:val="28"/>
                  <w:szCs w:val="28"/>
                </w:rPr>
                <w:t>www.ikvd.gov.lv</w:t>
              </w:r>
            </w:hyperlink>
            <w:r w:rsidRPr="00DF2A4D">
              <w:rPr>
                <w:bCs/>
                <w:sz w:val="28"/>
                <w:szCs w:val="28"/>
              </w:rPr>
              <w:t xml:space="preserve"> tika publicēts </w:t>
            </w:r>
            <w:r w:rsidRPr="00DF2A4D">
              <w:rPr>
                <w:sz w:val="28"/>
                <w:szCs w:val="28"/>
              </w:rPr>
              <w:t>2014.gada 26.novembrī un 2015.gada 2.februārī.</w:t>
            </w:r>
          </w:p>
          <w:p w:rsidR="00413375" w:rsidRPr="00DF2A4D" w:rsidRDefault="00413375" w:rsidP="00AB377D">
            <w:pPr>
              <w:jc w:val="both"/>
              <w:rPr>
                <w:sz w:val="28"/>
                <w:szCs w:val="28"/>
              </w:rPr>
            </w:pPr>
            <w:r w:rsidRPr="00DF2A4D">
              <w:rPr>
                <w:sz w:val="28"/>
                <w:szCs w:val="28"/>
              </w:rPr>
              <w:t xml:space="preserve">Likumprojekta izstrādē ņemts vērā biedrības „Vecāki par izglītību” 2015.gada 15.janvārī saņemtais viedoklis, ka nav pieļaujams reģistrēt iestādes, kas no ēku ekspluatācijas viedokļa varētu nebūt bērnu veselībai un dzīvībai drošas. </w:t>
            </w:r>
          </w:p>
        </w:tc>
      </w:tr>
      <w:tr w:rsidR="00413375" w:rsidRPr="00DF2A4D" w:rsidTr="00AB377D">
        <w:tc>
          <w:tcPr>
            <w:tcW w:w="534" w:type="dxa"/>
          </w:tcPr>
          <w:p w:rsidR="00413375" w:rsidRPr="00DF2A4D" w:rsidRDefault="00413375" w:rsidP="00AB377D">
            <w:pPr>
              <w:spacing w:before="100" w:beforeAutospacing="1" w:after="100" w:afterAutospacing="1"/>
              <w:rPr>
                <w:bCs/>
                <w:sz w:val="28"/>
                <w:szCs w:val="28"/>
              </w:rPr>
            </w:pPr>
            <w:r w:rsidRPr="00DF2A4D">
              <w:rPr>
                <w:bCs/>
                <w:sz w:val="28"/>
                <w:szCs w:val="28"/>
              </w:rPr>
              <w:t>3.</w:t>
            </w:r>
          </w:p>
        </w:tc>
        <w:tc>
          <w:tcPr>
            <w:tcW w:w="1865" w:type="dxa"/>
          </w:tcPr>
          <w:p w:rsidR="00413375" w:rsidRPr="00DF2A4D" w:rsidRDefault="00413375" w:rsidP="00AB377D">
            <w:pPr>
              <w:spacing w:before="100" w:beforeAutospacing="1" w:after="100" w:afterAutospacing="1"/>
              <w:rPr>
                <w:bCs/>
                <w:sz w:val="28"/>
                <w:szCs w:val="28"/>
              </w:rPr>
            </w:pPr>
            <w:r w:rsidRPr="00DF2A4D">
              <w:rPr>
                <w:sz w:val="28"/>
                <w:szCs w:val="28"/>
              </w:rPr>
              <w:t>Sabiedrības līdzdalības rezultāti</w:t>
            </w:r>
          </w:p>
        </w:tc>
        <w:tc>
          <w:tcPr>
            <w:tcW w:w="6888" w:type="dxa"/>
          </w:tcPr>
          <w:p w:rsidR="00413375" w:rsidRPr="00DF2A4D" w:rsidRDefault="00413375" w:rsidP="00AB377D">
            <w:pPr>
              <w:jc w:val="both"/>
              <w:rPr>
                <w:sz w:val="28"/>
                <w:szCs w:val="28"/>
              </w:rPr>
            </w:pPr>
            <w:r w:rsidRPr="00DF2A4D">
              <w:rPr>
                <w:bCs/>
                <w:sz w:val="28"/>
                <w:szCs w:val="28"/>
              </w:rPr>
              <w:t>Izstrādājot likumprojektu, ir ņemta vērā biedrības „Vecāki par izglītību” 2015.gada 15.janvārī saņemtā informācija un viedoklis,</w:t>
            </w:r>
            <w:r w:rsidRPr="00DF2A4D">
              <w:rPr>
                <w:sz w:val="28"/>
                <w:szCs w:val="28"/>
              </w:rPr>
              <w:t xml:space="preserve"> </w:t>
            </w:r>
            <w:r w:rsidRPr="00DF2A4D">
              <w:rPr>
                <w:bCs/>
                <w:sz w:val="28"/>
                <w:szCs w:val="28"/>
              </w:rPr>
              <w:t xml:space="preserve">kas attiecināms arī uz šo likumprojektu, proti, </w:t>
            </w:r>
            <w:r w:rsidRPr="00DF2A4D">
              <w:rPr>
                <w:sz w:val="28"/>
                <w:szCs w:val="28"/>
              </w:rPr>
              <w:t xml:space="preserve">nav pieļaujams reģistrēt iestādes, kas no ēku ekspluatācijas viedokļa varētu nebūt bērnu veselībai un dzīvībai drošas. </w:t>
            </w:r>
          </w:p>
          <w:p w:rsidR="00413375" w:rsidRPr="00DF2A4D" w:rsidRDefault="00413375" w:rsidP="00AB377D">
            <w:pPr>
              <w:jc w:val="both"/>
              <w:rPr>
                <w:bCs/>
                <w:sz w:val="28"/>
                <w:szCs w:val="28"/>
              </w:rPr>
            </w:pPr>
            <w:r w:rsidRPr="00DF2A4D">
              <w:rPr>
                <w:bCs/>
                <w:sz w:val="28"/>
                <w:szCs w:val="28"/>
              </w:rPr>
              <w:t>Līdz ar to likumprojekts precizē Izglītības likuma 24.panta otrās daļas 4.punktā noteikto jēdzienu „telpu platība un tehniskais aprīkojums” tvērumu, proti, ka minētais ietver arī informāciju par telpu atbilstību higiēnas un drošības prasībām, t.sk. būvēm noteiktajām prasībām, tādejādi nodrošinot izglītojamo tiesības uz dzīvībai un veselībai drošiem apstākļiem izglītības iestādē un tās organizētajos pasākumos.</w:t>
            </w:r>
          </w:p>
          <w:p w:rsidR="00413375" w:rsidRPr="00DF2A4D" w:rsidRDefault="00413375" w:rsidP="00AB377D">
            <w:pPr>
              <w:jc w:val="both"/>
              <w:rPr>
                <w:bCs/>
                <w:sz w:val="28"/>
                <w:szCs w:val="28"/>
              </w:rPr>
            </w:pPr>
            <w:r w:rsidRPr="00DF2A4D">
              <w:rPr>
                <w:bCs/>
                <w:sz w:val="28"/>
                <w:szCs w:val="28"/>
              </w:rPr>
              <w:t>Citu personu vai institūciju viedoklis par likumprojektu līdz šim brīdim nav saņemts.</w:t>
            </w:r>
          </w:p>
        </w:tc>
      </w:tr>
      <w:tr w:rsidR="00413375" w:rsidRPr="00DF2A4D" w:rsidTr="00AB377D">
        <w:tc>
          <w:tcPr>
            <w:tcW w:w="534" w:type="dxa"/>
          </w:tcPr>
          <w:p w:rsidR="00413375" w:rsidRPr="00DF2A4D" w:rsidRDefault="00413375" w:rsidP="00AB377D">
            <w:pPr>
              <w:spacing w:before="100" w:beforeAutospacing="1" w:after="100" w:afterAutospacing="1"/>
              <w:rPr>
                <w:bCs/>
                <w:sz w:val="28"/>
                <w:szCs w:val="28"/>
              </w:rPr>
            </w:pPr>
            <w:r w:rsidRPr="00DF2A4D">
              <w:rPr>
                <w:bCs/>
                <w:sz w:val="28"/>
                <w:szCs w:val="28"/>
              </w:rPr>
              <w:t xml:space="preserve">4. </w:t>
            </w:r>
          </w:p>
        </w:tc>
        <w:tc>
          <w:tcPr>
            <w:tcW w:w="1865" w:type="dxa"/>
          </w:tcPr>
          <w:p w:rsidR="00413375" w:rsidRPr="00DF2A4D" w:rsidRDefault="00413375" w:rsidP="00AB377D">
            <w:pPr>
              <w:spacing w:before="100" w:beforeAutospacing="1" w:after="100" w:afterAutospacing="1"/>
              <w:rPr>
                <w:sz w:val="28"/>
                <w:szCs w:val="28"/>
              </w:rPr>
            </w:pPr>
            <w:r w:rsidRPr="00DF2A4D">
              <w:rPr>
                <w:sz w:val="28"/>
                <w:szCs w:val="28"/>
              </w:rPr>
              <w:t>Cita informācija</w:t>
            </w:r>
          </w:p>
        </w:tc>
        <w:tc>
          <w:tcPr>
            <w:tcW w:w="6888" w:type="dxa"/>
          </w:tcPr>
          <w:p w:rsidR="00413375" w:rsidRPr="00DF2A4D" w:rsidRDefault="00413375" w:rsidP="00AB377D">
            <w:pPr>
              <w:spacing w:before="100" w:beforeAutospacing="1" w:after="100" w:afterAutospacing="1"/>
              <w:jc w:val="both"/>
              <w:rPr>
                <w:sz w:val="28"/>
                <w:szCs w:val="28"/>
              </w:rPr>
            </w:pPr>
            <w:r w:rsidRPr="00DF2A4D">
              <w:rPr>
                <w:sz w:val="28"/>
                <w:szCs w:val="28"/>
              </w:rPr>
              <w:t>Nav.</w:t>
            </w:r>
          </w:p>
        </w:tc>
      </w:tr>
    </w:tbl>
    <w:p w:rsidR="00413375" w:rsidRPr="00DF2A4D" w:rsidRDefault="00413375" w:rsidP="00413375">
      <w:pPr>
        <w:spacing w:before="100" w:beforeAutospacing="1" w:after="100" w:afterAutospacing="1"/>
        <w:rPr>
          <w:sz w:val="28"/>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3286"/>
        <w:gridCol w:w="5590"/>
      </w:tblGrid>
      <w:tr w:rsidR="00413375" w:rsidRPr="00DF2A4D" w:rsidTr="00AB377D">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jc w:val="center"/>
              <w:rPr>
                <w:b/>
                <w:bCs/>
                <w:sz w:val="28"/>
                <w:szCs w:val="28"/>
              </w:rPr>
            </w:pPr>
            <w:r w:rsidRPr="00DF2A4D">
              <w:rPr>
                <w:b/>
                <w:bCs/>
                <w:sz w:val="28"/>
                <w:szCs w:val="28"/>
              </w:rPr>
              <w:t>VII. Tiesību akta projekta izpildes nodrošināšana un tās ietekme uz institūcijām</w:t>
            </w:r>
          </w:p>
        </w:tc>
      </w:tr>
      <w:tr w:rsidR="00413375" w:rsidRPr="00DF2A4D" w:rsidTr="00AB377D">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br/>
              <w:t>1.</w:t>
            </w:r>
          </w:p>
        </w:tc>
        <w:tc>
          <w:tcPr>
            <w:tcW w:w="0" w:type="auto"/>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jc w:val="both"/>
              <w:rPr>
                <w:sz w:val="28"/>
                <w:szCs w:val="28"/>
              </w:rPr>
            </w:pPr>
            <w:r w:rsidRPr="00DF2A4D">
              <w:rPr>
                <w:sz w:val="28"/>
                <w:szCs w:val="28"/>
              </w:rPr>
              <w:t>Izglītības kvalitātes valsts dienests.</w:t>
            </w:r>
          </w:p>
        </w:tc>
      </w:tr>
      <w:tr w:rsidR="00413375" w:rsidRPr="00DF2A4D" w:rsidTr="00AB377D">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t>Projekta izpildes ietekme uz pārvaldes funkcijām un institucionālo struktūru.</w:t>
            </w:r>
          </w:p>
          <w:p w:rsidR="00413375" w:rsidRPr="00DF2A4D" w:rsidRDefault="00413375" w:rsidP="00AB377D">
            <w:pPr>
              <w:spacing w:before="100" w:beforeAutospacing="1" w:after="100" w:afterAutospacing="1"/>
              <w:rPr>
                <w:sz w:val="28"/>
                <w:szCs w:val="28"/>
              </w:rPr>
            </w:pPr>
            <w:r w:rsidRPr="00DF2A4D">
              <w:rPr>
                <w:sz w:val="28"/>
                <w:szCs w:val="28"/>
              </w:rPr>
              <w:t xml:space="preserve">Jaunu institūciju izveide, esošu institūciju likvidācija vai reorganizācija, to ietekme uz institūcijas cilvēkresursiem </w:t>
            </w:r>
          </w:p>
        </w:tc>
        <w:tc>
          <w:tcPr>
            <w:tcW w:w="0" w:type="auto"/>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jc w:val="both"/>
              <w:rPr>
                <w:sz w:val="28"/>
                <w:szCs w:val="28"/>
              </w:rPr>
            </w:pPr>
            <w:r w:rsidRPr="00DF2A4D">
              <w:rPr>
                <w:sz w:val="28"/>
                <w:szCs w:val="28"/>
              </w:rPr>
              <w:t>Ar Ministru kabineta</w:t>
            </w:r>
            <w:r>
              <w:rPr>
                <w:sz w:val="28"/>
                <w:szCs w:val="28"/>
              </w:rPr>
              <w:t xml:space="preserve"> 2015.gada 14.jūlija</w:t>
            </w:r>
            <w:r w:rsidRPr="00DF2A4D">
              <w:rPr>
                <w:sz w:val="28"/>
                <w:szCs w:val="28"/>
              </w:rPr>
              <w:t xml:space="preserve"> noteikum</w:t>
            </w:r>
            <w:r>
              <w:rPr>
                <w:sz w:val="28"/>
                <w:szCs w:val="28"/>
              </w:rPr>
              <w:t>iem Nr.397</w:t>
            </w:r>
            <w:r w:rsidRPr="00DF2A4D">
              <w:rPr>
                <w:sz w:val="28"/>
                <w:szCs w:val="28"/>
              </w:rPr>
              <w:t xml:space="preserve"> „Izglītības iestāžu un citu Izglītības likumā noteikt</w:t>
            </w:r>
            <w:r>
              <w:rPr>
                <w:sz w:val="28"/>
                <w:szCs w:val="28"/>
              </w:rPr>
              <w:t>o</w:t>
            </w:r>
            <w:r w:rsidRPr="00DF2A4D">
              <w:rPr>
                <w:sz w:val="28"/>
                <w:szCs w:val="28"/>
              </w:rPr>
              <w:t xml:space="preserve"> institūciju reģistrācijas kārtība” kopsakarā ar Izglītības likuma 14.panta 8.punktā noteikto tiek paplašināts kvalitātes dienesta funkciju loks, kas ietver Institūciju reģistra izveidi un reģistrācijas lietu kārtošanu.</w:t>
            </w:r>
          </w:p>
          <w:p w:rsidR="00413375" w:rsidRPr="00DF2A4D" w:rsidRDefault="00413375" w:rsidP="00AB377D">
            <w:pPr>
              <w:jc w:val="both"/>
              <w:rPr>
                <w:sz w:val="28"/>
                <w:szCs w:val="28"/>
              </w:rPr>
            </w:pPr>
            <w:r w:rsidRPr="00DF2A4D">
              <w:rPr>
                <w:sz w:val="28"/>
                <w:szCs w:val="28"/>
              </w:rPr>
              <w:t xml:space="preserve">Ievērojot to, ka no 2016.gada 1.janvāra Institūciju reģistrs ir </w:t>
            </w:r>
            <w:r>
              <w:rPr>
                <w:sz w:val="28"/>
                <w:szCs w:val="28"/>
              </w:rPr>
              <w:t>VIIS</w:t>
            </w:r>
            <w:r w:rsidRPr="00DF2A4D">
              <w:rPr>
                <w:sz w:val="28"/>
                <w:szCs w:val="28"/>
              </w:rPr>
              <w:t xml:space="preserve"> sastāvdaļa, nepieciešamas papildu tehniskas izmaiņas </w:t>
            </w:r>
            <w:r>
              <w:rPr>
                <w:sz w:val="28"/>
                <w:szCs w:val="28"/>
              </w:rPr>
              <w:t>VIIS</w:t>
            </w:r>
            <w:r w:rsidRPr="00DF2A4D">
              <w:rPr>
                <w:sz w:val="28"/>
                <w:szCs w:val="28"/>
              </w:rPr>
              <w:t>.</w:t>
            </w:r>
          </w:p>
          <w:p w:rsidR="00413375" w:rsidRPr="00DF2A4D" w:rsidRDefault="00413375" w:rsidP="00AB377D">
            <w:pPr>
              <w:jc w:val="both"/>
              <w:rPr>
                <w:sz w:val="28"/>
                <w:szCs w:val="28"/>
              </w:rPr>
            </w:pPr>
            <w:r w:rsidRPr="00DF2A4D">
              <w:rPr>
                <w:sz w:val="28"/>
                <w:szCs w:val="28"/>
              </w:rPr>
              <w:t>Likumprojekta izpilde notiks esošo resursu ietvaros, nepalielinot nodarbināto skaitu.</w:t>
            </w:r>
          </w:p>
          <w:p w:rsidR="00413375" w:rsidRPr="00DF2A4D" w:rsidRDefault="00413375" w:rsidP="00AB377D">
            <w:pPr>
              <w:jc w:val="both"/>
              <w:rPr>
                <w:sz w:val="28"/>
                <w:szCs w:val="28"/>
              </w:rPr>
            </w:pPr>
            <w:r w:rsidRPr="00DF2A4D">
              <w:rPr>
                <w:sz w:val="28"/>
                <w:szCs w:val="28"/>
              </w:rPr>
              <w:t>Jaunu institūciju izveide, esošu institūciju likvidācija vai reorganizācija nav nepieciešama.</w:t>
            </w:r>
          </w:p>
        </w:tc>
      </w:tr>
      <w:tr w:rsidR="00413375" w:rsidRPr="00DF2A4D" w:rsidTr="00AB377D">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t>3.</w:t>
            </w:r>
          </w:p>
        </w:tc>
        <w:tc>
          <w:tcPr>
            <w:tcW w:w="0" w:type="auto"/>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rPr>
                <w:sz w:val="28"/>
                <w:szCs w:val="28"/>
              </w:rPr>
            </w:pPr>
            <w:r w:rsidRPr="00DF2A4D">
              <w:rPr>
                <w:sz w:val="28"/>
                <w:szCs w:val="28"/>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413375" w:rsidRPr="00DF2A4D" w:rsidRDefault="00413375" w:rsidP="00AB377D">
            <w:pPr>
              <w:spacing w:before="100" w:beforeAutospacing="1" w:after="100" w:afterAutospacing="1"/>
              <w:jc w:val="both"/>
              <w:rPr>
                <w:sz w:val="28"/>
                <w:szCs w:val="28"/>
              </w:rPr>
            </w:pPr>
            <w:r w:rsidRPr="00DF2A4D">
              <w:rPr>
                <w:sz w:val="28"/>
                <w:szCs w:val="28"/>
              </w:rPr>
              <w:t>Nav.</w:t>
            </w:r>
          </w:p>
        </w:tc>
      </w:tr>
    </w:tbl>
    <w:p w:rsidR="00413375" w:rsidRPr="00DF2A4D" w:rsidRDefault="00413375" w:rsidP="00413375">
      <w:pPr>
        <w:jc w:val="center"/>
        <w:rPr>
          <w:sz w:val="28"/>
          <w:szCs w:val="28"/>
        </w:rPr>
      </w:pPr>
    </w:p>
    <w:p w:rsidR="00413375" w:rsidRPr="00DF2A4D" w:rsidRDefault="00413375" w:rsidP="00413375">
      <w:pPr>
        <w:jc w:val="center"/>
        <w:rPr>
          <w:i/>
          <w:sz w:val="28"/>
          <w:szCs w:val="28"/>
        </w:rPr>
      </w:pPr>
      <w:r w:rsidRPr="00DF2A4D">
        <w:rPr>
          <w:i/>
          <w:sz w:val="28"/>
          <w:szCs w:val="28"/>
        </w:rPr>
        <w:t xml:space="preserve">Anotācijas III un V sadaļa – </w:t>
      </w:r>
      <w:r>
        <w:rPr>
          <w:i/>
          <w:sz w:val="28"/>
          <w:szCs w:val="28"/>
        </w:rPr>
        <w:t>likum</w:t>
      </w:r>
      <w:r w:rsidRPr="00DF2A4D">
        <w:rPr>
          <w:i/>
          <w:sz w:val="28"/>
          <w:szCs w:val="28"/>
        </w:rPr>
        <w:t>projekts šīs jomas neskar.</w:t>
      </w:r>
    </w:p>
    <w:p w:rsidR="00413375" w:rsidRPr="00DF2A4D" w:rsidRDefault="00413375" w:rsidP="00413375">
      <w:pPr>
        <w:tabs>
          <w:tab w:val="left" w:pos="7230"/>
        </w:tabs>
        <w:jc w:val="both"/>
        <w:rPr>
          <w:sz w:val="28"/>
          <w:szCs w:val="28"/>
        </w:rPr>
      </w:pPr>
    </w:p>
    <w:p w:rsidR="00413375" w:rsidRPr="00DF2A4D" w:rsidRDefault="00413375" w:rsidP="00413375">
      <w:pPr>
        <w:tabs>
          <w:tab w:val="left" w:pos="7230"/>
        </w:tabs>
        <w:jc w:val="both"/>
        <w:rPr>
          <w:sz w:val="28"/>
          <w:szCs w:val="28"/>
        </w:rPr>
      </w:pPr>
    </w:p>
    <w:p w:rsidR="00413375" w:rsidRPr="00DF2A4D" w:rsidRDefault="00413375" w:rsidP="00413375">
      <w:pPr>
        <w:tabs>
          <w:tab w:val="left" w:pos="7230"/>
        </w:tabs>
        <w:jc w:val="both"/>
        <w:rPr>
          <w:sz w:val="28"/>
          <w:szCs w:val="28"/>
        </w:rPr>
      </w:pPr>
      <w:r w:rsidRPr="00DF2A4D">
        <w:rPr>
          <w:sz w:val="28"/>
          <w:szCs w:val="28"/>
        </w:rPr>
        <w:t>Izglītības un zinātnes ministre</w:t>
      </w:r>
      <w:r w:rsidRPr="00DF2A4D">
        <w:rPr>
          <w:sz w:val="28"/>
          <w:szCs w:val="28"/>
        </w:rPr>
        <w:tab/>
        <w:t>M.Seile</w:t>
      </w:r>
    </w:p>
    <w:p w:rsidR="00413375" w:rsidRPr="00DF2A4D" w:rsidRDefault="00413375" w:rsidP="00413375">
      <w:pPr>
        <w:pStyle w:val="Title"/>
        <w:jc w:val="both"/>
        <w:rPr>
          <w:b w:val="0"/>
          <w:sz w:val="28"/>
          <w:szCs w:val="28"/>
          <w:lang w:val="lv-LV"/>
        </w:rPr>
      </w:pPr>
    </w:p>
    <w:p w:rsidR="00413375" w:rsidRPr="00DF2A4D" w:rsidRDefault="00413375" w:rsidP="00413375">
      <w:pPr>
        <w:pStyle w:val="Title"/>
        <w:jc w:val="both"/>
        <w:rPr>
          <w:b w:val="0"/>
          <w:sz w:val="28"/>
          <w:szCs w:val="28"/>
          <w:lang w:val="lv-LV"/>
        </w:rPr>
      </w:pPr>
    </w:p>
    <w:p w:rsidR="00413375" w:rsidRPr="00DF2A4D" w:rsidRDefault="00413375" w:rsidP="00413375">
      <w:pPr>
        <w:pStyle w:val="Title"/>
        <w:jc w:val="both"/>
        <w:rPr>
          <w:b w:val="0"/>
          <w:sz w:val="28"/>
          <w:szCs w:val="28"/>
          <w:lang w:val="lv-LV"/>
        </w:rPr>
      </w:pPr>
      <w:r w:rsidRPr="00DF2A4D">
        <w:rPr>
          <w:b w:val="0"/>
          <w:sz w:val="28"/>
          <w:szCs w:val="28"/>
          <w:lang w:val="lv-LV"/>
        </w:rPr>
        <w:t>Vīza:</w:t>
      </w:r>
    </w:p>
    <w:p w:rsidR="00413375" w:rsidRPr="00DF2A4D" w:rsidRDefault="00413375" w:rsidP="00413375">
      <w:pPr>
        <w:pStyle w:val="Title"/>
        <w:tabs>
          <w:tab w:val="left" w:pos="7230"/>
        </w:tabs>
        <w:jc w:val="both"/>
        <w:rPr>
          <w:b w:val="0"/>
          <w:sz w:val="28"/>
          <w:szCs w:val="28"/>
          <w:lang w:val="lv-LV"/>
        </w:rPr>
      </w:pPr>
      <w:r w:rsidRPr="00DF2A4D">
        <w:rPr>
          <w:b w:val="0"/>
          <w:sz w:val="28"/>
          <w:szCs w:val="28"/>
          <w:lang w:val="lv-LV"/>
        </w:rPr>
        <w:t>Valsts sekretār</w:t>
      </w:r>
      <w:r>
        <w:rPr>
          <w:b w:val="0"/>
          <w:sz w:val="28"/>
          <w:szCs w:val="28"/>
          <w:lang w:val="lv-LV"/>
        </w:rPr>
        <w:t>e</w:t>
      </w:r>
      <w:r w:rsidRPr="00DF2A4D">
        <w:rPr>
          <w:b w:val="0"/>
          <w:sz w:val="28"/>
          <w:szCs w:val="28"/>
          <w:lang w:val="lv-LV"/>
        </w:rPr>
        <w:tab/>
      </w:r>
      <w:r>
        <w:rPr>
          <w:b w:val="0"/>
          <w:sz w:val="28"/>
          <w:szCs w:val="28"/>
          <w:lang w:val="lv-LV"/>
        </w:rPr>
        <w:t>L.Lejiņa</w:t>
      </w:r>
    </w:p>
    <w:p w:rsidR="00413375" w:rsidRPr="00DF2A4D" w:rsidRDefault="00413375" w:rsidP="00413375">
      <w:pPr>
        <w:pStyle w:val="Title"/>
        <w:tabs>
          <w:tab w:val="left" w:pos="7230"/>
        </w:tabs>
        <w:jc w:val="both"/>
        <w:rPr>
          <w:b w:val="0"/>
          <w:sz w:val="28"/>
          <w:szCs w:val="28"/>
          <w:lang w:val="lv-LV"/>
        </w:rPr>
      </w:pPr>
    </w:p>
    <w:p w:rsidR="00413375" w:rsidRPr="00DF2A4D" w:rsidRDefault="00413375" w:rsidP="00413375">
      <w:pPr>
        <w:pStyle w:val="Title"/>
        <w:tabs>
          <w:tab w:val="left" w:pos="7230"/>
        </w:tabs>
        <w:jc w:val="both"/>
        <w:rPr>
          <w:b w:val="0"/>
          <w:sz w:val="28"/>
          <w:szCs w:val="28"/>
          <w:lang w:val="lv-LV"/>
        </w:rPr>
      </w:pPr>
    </w:p>
    <w:p w:rsidR="00413375" w:rsidRPr="00DF2A4D" w:rsidRDefault="00413375" w:rsidP="00413375">
      <w:pPr>
        <w:tabs>
          <w:tab w:val="left" w:pos="3585"/>
        </w:tabs>
        <w:jc w:val="both"/>
        <w:rPr>
          <w:sz w:val="20"/>
          <w:szCs w:val="20"/>
        </w:rPr>
      </w:pPr>
      <w:r w:rsidRPr="00DF2A4D">
        <w:rPr>
          <w:sz w:val="20"/>
          <w:szCs w:val="20"/>
        </w:rPr>
        <w:fldChar w:fldCharType="begin"/>
      </w:r>
      <w:r w:rsidRPr="00DF2A4D">
        <w:rPr>
          <w:sz w:val="20"/>
          <w:szCs w:val="20"/>
        </w:rPr>
        <w:instrText xml:space="preserve"> DATE  \@ "dd.MM.yyyy HH:mm"  \* MERGEFORMAT </w:instrText>
      </w:r>
      <w:r w:rsidRPr="00DF2A4D">
        <w:rPr>
          <w:sz w:val="20"/>
          <w:szCs w:val="20"/>
        </w:rPr>
        <w:fldChar w:fldCharType="separate"/>
      </w:r>
      <w:r w:rsidR="007A2FE6">
        <w:rPr>
          <w:noProof/>
          <w:sz w:val="20"/>
          <w:szCs w:val="20"/>
        </w:rPr>
        <w:t>03.11.2015 13:04</w:t>
      </w:r>
      <w:r w:rsidRPr="00DF2A4D">
        <w:rPr>
          <w:sz w:val="20"/>
          <w:szCs w:val="20"/>
        </w:rPr>
        <w:fldChar w:fldCharType="end"/>
      </w:r>
      <w:r w:rsidRPr="00DF2A4D">
        <w:rPr>
          <w:sz w:val="20"/>
          <w:szCs w:val="20"/>
        </w:rPr>
        <w:tab/>
      </w:r>
    </w:p>
    <w:p w:rsidR="00413375" w:rsidRPr="00DF2A4D" w:rsidRDefault="00413375" w:rsidP="00413375">
      <w:pPr>
        <w:pStyle w:val="Title"/>
        <w:jc w:val="both"/>
        <w:rPr>
          <w:b w:val="0"/>
          <w:sz w:val="20"/>
          <w:lang w:val="lv-LV"/>
        </w:rPr>
      </w:pPr>
      <w:r w:rsidRPr="00DF2A4D">
        <w:rPr>
          <w:b w:val="0"/>
          <w:sz w:val="20"/>
          <w:lang w:val="lv-LV"/>
        </w:rPr>
        <w:t>1</w:t>
      </w:r>
      <w:r w:rsidR="00D20259">
        <w:rPr>
          <w:b w:val="0"/>
          <w:sz w:val="20"/>
          <w:lang w:val="lv-LV"/>
        </w:rPr>
        <w:t>755</w:t>
      </w:r>
    </w:p>
    <w:p w:rsidR="00413375" w:rsidRPr="00DF2A4D" w:rsidRDefault="00413375" w:rsidP="00413375">
      <w:pPr>
        <w:spacing w:line="276" w:lineRule="auto"/>
        <w:ind w:right="-766"/>
        <w:jc w:val="both"/>
        <w:rPr>
          <w:sz w:val="20"/>
          <w:szCs w:val="20"/>
        </w:rPr>
      </w:pPr>
      <w:r w:rsidRPr="00DF2A4D">
        <w:rPr>
          <w:sz w:val="20"/>
          <w:szCs w:val="20"/>
        </w:rPr>
        <w:t xml:space="preserve">I.Juhņēviča </w:t>
      </w:r>
    </w:p>
    <w:p w:rsidR="00413375" w:rsidRPr="00DF2A4D" w:rsidRDefault="00413375" w:rsidP="00413375">
      <w:pPr>
        <w:spacing w:line="276" w:lineRule="auto"/>
        <w:ind w:right="-766"/>
        <w:jc w:val="both"/>
        <w:rPr>
          <w:sz w:val="20"/>
          <w:szCs w:val="20"/>
        </w:rPr>
      </w:pPr>
      <w:r w:rsidRPr="00DF2A4D">
        <w:rPr>
          <w:sz w:val="20"/>
          <w:szCs w:val="20"/>
        </w:rPr>
        <w:t xml:space="preserve">67358078; </w:t>
      </w:r>
      <w:hyperlink r:id="rId10" w:history="1">
        <w:r w:rsidRPr="00DF2A4D">
          <w:rPr>
            <w:sz w:val="20"/>
            <w:szCs w:val="20"/>
          </w:rPr>
          <w:t>Inita.Juhnevica@ikvd.gov.lv</w:t>
        </w:r>
      </w:hyperlink>
      <w:r w:rsidRPr="00DF2A4D">
        <w:rPr>
          <w:sz w:val="20"/>
          <w:szCs w:val="20"/>
        </w:rPr>
        <w:t xml:space="preserve"> </w:t>
      </w:r>
    </w:p>
    <w:p w:rsidR="00413375" w:rsidRPr="00DF2A4D" w:rsidRDefault="00413375" w:rsidP="00413375">
      <w:pPr>
        <w:tabs>
          <w:tab w:val="left" w:pos="6663"/>
        </w:tabs>
        <w:jc w:val="both"/>
        <w:rPr>
          <w:sz w:val="20"/>
          <w:szCs w:val="20"/>
        </w:rPr>
      </w:pPr>
      <w:r w:rsidRPr="00DF2A4D">
        <w:rPr>
          <w:sz w:val="20"/>
          <w:szCs w:val="20"/>
        </w:rPr>
        <w:t>I.J.Mihailovs</w:t>
      </w:r>
    </w:p>
    <w:p w:rsidR="00413375" w:rsidRPr="00DF2A4D" w:rsidRDefault="00413375" w:rsidP="00413375">
      <w:pPr>
        <w:tabs>
          <w:tab w:val="left" w:pos="6663"/>
        </w:tabs>
        <w:jc w:val="both"/>
        <w:rPr>
          <w:sz w:val="20"/>
          <w:szCs w:val="20"/>
        </w:rPr>
      </w:pPr>
      <w:r w:rsidRPr="00DF2A4D">
        <w:rPr>
          <w:sz w:val="20"/>
          <w:szCs w:val="20"/>
        </w:rPr>
        <w:t xml:space="preserve">67507833; </w:t>
      </w:r>
      <w:hyperlink r:id="rId11" w:history="1">
        <w:r w:rsidRPr="00DF2A4D">
          <w:rPr>
            <w:rStyle w:val="Hyperlink"/>
            <w:color w:val="auto"/>
            <w:sz w:val="20"/>
            <w:szCs w:val="20"/>
            <w:u w:val="none"/>
          </w:rPr>
          <w:t>Janis.Mihailovs@ikvd.gov.lv</w:t>
        </w:r>
      </w:hyperlink>
      <w:r w:rsidRPr="00DF2A4D">
        <w:rPr>
          <w:sz w:val="20"/>
          <w:szCs w:val="20"/>
        </w:rPr>
        <w:t xml:space="preserve"> </w:t>
      </w:r>
    </w:p>
    <w:p w:rsidR="00413375" w:rsidRPr="00DF2A4D" w:rsidRDefault="00413375" w:rsidP="00413375">
      <w:pPr>
        <w:spacing w:line="276" w:lineRule="auto"/>
        <w:ind w:right="-766"/>
        <w:jc w:val="both"/>
        <w:rPr>
          <w:sz w:val="20"/>
          <w:szCs w:val="20"/>
        </w:rPr>
      </w:pPr>
      <w:r w:rsidRPr="00DF2A4D">
        <w:rPr>
          <w:sz w:val="20"/>
          <w:szCs w:val="20"/>
        </w:rPr>
        <w:t>A.Lasmane</w:t>
      </w:r>
    </w:p>
    <w:p w:rsidR="00413375" w:rsidRPr="00DF2A4D" w:rsidRDefault="00413375" w:rsidP="00413375">
      <w:pPr>
        <w:spacing w:line="276" w:lineRule="auto"/>
        <w:ind w:right="-766"/>
        <w:jc w:val="both"/>
        <w:rPr>
          <w:sz w:val="20"/>
          <w:szCs w:val="20"/>
        </w:rPr>
      </w:pPr>
      <w:r w:rsidRPr="00DF2A4D">
        <w:rPr>
          <w:sz w:val="20"/>
          <w:szCs w:val="20"/>
        </w:rPr>
        <w:t xml:space="preserve">67367202; </w:t>
      </w:r>
      <w:hyperlink r:id="rId12" w:history="1">
        <w:r w:rsidRPr="00DF2A4D">
          <w:rPr>
            <w:sz w:val="20"/>
            <w:szCs w:val="20"/>
          </w:rPr>
          <w:t>Agnese.Lasmane@ikvd.gov.lv</w:t>
        </w:r>
      </w:hyperlink>
    </w:p>
    <w:p w:rsidR="00B41FE9" w:rsidRDefault="00B41FE9"/>
    <w:sectPr w:rsidR="00B41FE9" w:rsidSect="00E376CD">
      <w:headerReference w:type="even" r:id="rId13"/>
      <w:headerReference w:type="default" r:id="rId14"/>
      <w:footerReference w:type="default" r:id="rId15"/>
      <w:footerReference w:type="first" r:id="rId16"/>
      <w:pgSz w:w="11906" w:h="16838" w:code="9"/>
      <w:pgMar w:top="1418"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38A" w:rsidRDefault="00CF638A">
      <w:r>
        <w:separator/>
      </w:r>
    </w:p>
  </w:endnote>
  <w:endnote w:type="continuationSeparator" w:id="0">
    <w:p w:rsidR="00CF638A" w:rsidRDefault="00CF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63" w:rsidRPr="00AC0E5F" w:rsidRDefault="00CF7F59" w:rsidP="00AC0E5F">
    <w:pPr>
      <w:pStyle w:val="Footer"/>
    </w:pPr>
    <w:r w:rsidRPr="00B14729">
      <w:rPr>
        <w:sz w:val="20"/>
        <w:szCs w:val="20"/>
      </w:rPr>
      <w:t>I</w:t>
    </w:r>
    <w:r>
      <w:rPr>
        <w:sz w:val="20"/>
        <w:szCs w:val="20"/>
      </w:rPr>
      <w:t>ZMAnot_240915_ILgroz</w:t>
    </w:r>
    <w:r w:rsidRPr="00B14729">
      <w:rPr>
        <w:sz w:val="20"/>
        <w:szCs w:val="20"/>
      </w:rPr>
      <w:t>;</w:t>
    </w:r>
    <w:r w:rsidRPr="00BD29EA">
      <w:rPr>
        <w:sz w:val="20"/>
        <w:szCs w:val="20"/>
      </w:rPr>
      <w:t xml:space="preserve"> </w:t>
    </w:r>
    <w:r w:rsidRPr="00AC0E5F">
      <w:rPr>
        <w:sz w:val="20"/>
        <w:szCs w:val="20"/>
      </w:rPr>
      <w:t>Likumprojekta „Grozījumi Izglītības likumā”</w:t>
    </w:r>
    <w:r>
      <w:rPr>
        <w:sz w:val="20"/>
        <w:szCs w:val="20"/>
      </w:rPr>
      <w:t xml:space="preserve"> </w:t>
    </w:r>
    <w:r w:rsidRPr="00AC0E5F">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63" w:rsidRPr="00104D8D" w:rsidRDefault="00CF7F59" w:rsidP="00AC0E5F">
    <w:pPr>
      <w:pStyle w:val="Footer"/>
      <w:jc w:val="both"/>
      <w:rPr>
        <w:sz w:val="20"/>
        <w:szCs w:val="20"/>
      </w:rPr>
    </w:pPr>
    <w:r w:rsidRPr="00B14729">
      <w:rPr>
        <w:sz w:val="20"/>
        <w:szCs w:val="20"/>
      </w:rPr>
      <w:t>I</w:t>
    </w:r>
    <w:r>
      <w:rPr>
        <w:sz w:val="20"/>
        <w:szCs w:val="20"/>
      </w:rPr>
      <w:t>ZMAnot_240915_ILgroz</w:t>
    </w:r>
    <w:r w:rsidRPr="00B14729">
      <w:rPr>
        <w:sz w:val="20"/>
        <w:szCs w:val="20"/>
      </w:rPr>
      <w:t>;</w:t>
    </w:r>
    <w:r w:rsidRPr="00BD29EA">
      <w:rPr>
        <w:sz w:val="20"/>
        <w:szCs w:val="20"/>
      </w:rPr>
      <w:t xml:space="preserve"> </w:t>
    </w:r>
    <w:r w:rsidRPr="00AC0E5F">
      <w:rPr>
        <w:sz w:val="20"/>
        <w:szCs w:val="20"/>
      </w:rPr>
      <w:t>Likumprojekta „Grozījumi Izglītības likumā”</w:t>
    </w:r>
    <w:r>
      <w:rPr>
        <w:sz w:val="20"/>
        <w:szCs w:val="20"/>
      </w:rPr>
      <w:t xml:space="preserve"> </w:t>
    </w:r>
    <w:r w:rsidRPr="00AC0E5F">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38A" w:rsidRDefault="00CF638A">
      <w:r>
        <w:separator/>
      </w:r>
    </w:p>
  </w:footnote>
  <w:footnote w:type="continuationSeparator" w:id="0">
    <w:p w:rsidR="00CF638A" w:rsidRDefault="00CF6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63" w:rsidRDefault="00CF7F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6763" w:rsidRDefault="00CF638A">
    <w:pPr>
      <w:pStyle w:val="Header"/>
    </w:pPr>
  </w:p>
  <w:p w:rsidR="00906763" w:rsidRDefault="00CF638A"/>
  <w:p w:rsidR="00906763" w:rsidRDefault="00CF638A"/>
  <w:p w:rsidR="00906763" w:rsidRDefault="00CF63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63" w:rsidRDefault="00CF7F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2FE6">
      <w:rPr>
        <w:rStyle w:val="PageNumber"/>
        <w:noProof/>
      </w:rPr>
      <w:t>2</w:t>
    </w:r>
    <w:r>
      <w:rPr>
        <w:rStyle w:val="PageNumber"/>
      </w:rPr>
      <w:fldChar w:fldCharType="end"/>
    </w:r>
  </w:p>
  <w:p w:rsidR="00906763" w:rsidRDefault="00CF63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B94"/>
    <w:multiLevelType w:val="hybridMultilevel"/>
    <w:tmpl w:val="7074B1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D67264"/>
    <w:multiLevelType w:val="hybridMultilevel"/>
    <w:tmpl w:val="5E38E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3F1C96"/>
    <w:multiLevelType w:val="hybridMultilevel"/>
    <w:tmpl w:val="4F3ADC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A525570"/>
    <w:multiLevelType w:val="hybridMultilevel"/>
    <w:tmpl w:val="FB4C1A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05F6EE0"/>
    <w:multiLevelType w:val="singleLevel"/>
    <w:tmpl w:val="4B6018F6"/>
    <w:lvl w:ilvl="0">
      <w:start w:val="1"/>
      <w:numFmt w:val="decimal"/>
      <w:lvlRestart w:val="0"/>
      <w:pStyle w:val="Considrant"/>
      <w:lvlText w:val="(%1)"/>
      <w:lvlJc w:val="left"/>
      <w:pPr>
        <w:tabs>
          <w:tab w:val="num" w:pos="709"/>
        </w:tabs>
        <w:ind w:left="709" w:hanging="709"/>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75"/>
    <w:rsid w:val="00406142"/>
    <w:rsid w:val="00413375"/>
    <w:rsid w:val="005A50C0"/>
    <w:rsid w:val="005B0A37"/>
    <w:rsid w:val="007A2FE6"/>
    <w:rsid w:val="008156ED"/>
    <w:rsid w:val="0094318E"/>
    <w:rsid w:val="00977F27"/>
    <w:rsid w:val="00B41FE9"/>
    <w:rsid w:val="00C71AA4"/>
    <w:rsid w:val="00CB170B"/>
    <w:rsid w:val="00CF638A"/>
    <w:rsid w:val="00CF7F59"/>
    <w:rsid w:val="00D20259"/>
    <w:rsid w:val="00DC3CCA"/>
    <w:rsid w:val="00E04A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13375"/>
    <w:rPr>
      <w:color w:val="0000FF"/>
      <w:u w:val="single"/>
    </w:rPr>
  </w:style>
  <w:style w:type="paragraph" w:styleId="Header">
    <w:name w:val="header"/>
    <w:basedOn w:val="Normal"/>
    <w:link w:val="HeaderChar"/>
    <w:semiHidden/>
    <w:rsid w:val="00413375"/>
    <w:pPr>
      <w:tabs>
        <w:tab w:val="center" w:pos="4153"/>
        <w:tab w:val="right" w:pos="8306"/>
      </w:tabs>
    </w:pPr>
  </w:style>
  <w:style w:type="character" w:customStyle="1" w:styleId="HeaderChar">
    <w:name w:val="Header Char"/>
    <w:basedOn w:val="DefaultParagraphFont"/>
    <w:link w:val="Header"/>
    <w:semiHidden/>
    <w:rsid w:val="00413375"/>
    <w:rPr>
      <w:rFonts w:ascii="Times New Roman" w:eastAsia="Times New Roman" w:hAnsi="Times New Roman" w:cs="Times New Roman"/>
      <w:sz w:val="24"/>
      <w:szCs w:val="24"/>
      <w:lang w:eastAsia="lv-LV"/>
    </w:rPr>
  </w:style>
  <w:style w:type="paragraph" w:styleId="Footer">
    <w:name w:val="footer"/>
    <w:basedOn w:val="Normal"/>
    <w:link w:val="FooterChar"/>
    <w:rsid w:val="00413375"/>
    <w:pPr>
      <w:tabs>
        <w:tab w:val="center" w:pos="4153"/>
        <w:tab w:val="right" w:pos="8306"/>
      </w:tabs>
    </w:pPr>
  </w:style>
  <w:style w:type="character" w:customStyle="1" w:styleId="FooterChar">
    <w:name w:val="Footer Char"/>
    <w:basedOn w:val="DefaultParagraphFont"/>
    <w:link w:val="Footer"/>
    <w:rsid w:val="00413375"/>
    <w:rPr>
      <w:rFonts w:ascii="Times New Roman" w:eastAsia="Times New Roman" w:hAnsi="Times New Roman" w:cs="Times New Roman"/>
      <w:sz w:val="24"/>
      <w:szCs w:val="24"/>
      <w:lang w:eastAsia="lv-LV"/>
    </w:rPr>
  </w:style>
  <w:style w:type="character" w:styleId="PageNumber">
    <w:name w:val="page number"/>
    <w:basedOn w:val="DefaultParagraphFont"/>
    <w:semiHidden/>
    <w:rsid w:val="00413375"/>
  </w:style>
  <w:style w:type="paragraph" w:customStyle="1" w:styleId="Considrant">
    <w:name w:val="Considérant"/>
    <w:basedOn w:val="Normal"/>
    <w:rsid w:val="00413375"/>
    <w:pPr>
      <w:numPr>
        <w:numId w:val="1"/>
      </w:numPr>
      <w:spacing w:before="120" w:after="120"/>
      <w:jc w:val="both"/>
    </w:pPr>
    <w:rPr>
      <w:szCs w:val="20"/>
      <w:lang w:eastAsia="zh-CN"/>
    </w:rPr>
  </w:style>
  <w:style w:type="paragraph" w:styleId="Title">
    <w:name w:val="Title"/>
    <w:basedOn w:val="Normal"/>
    <w:link w:val="TitleChar"/>
    <w:uiPriority w:val="99"/>
    <w:qFormat/>
    <w:rsid w:val="00413375"/>
    <w:pPr>
      <w:jc w:val="center"/>
    </w:pPr>
    <w:rPr>
      <w:b/>
      <w:szCs w:val="20"/>
      <w:lang w:val="x-none" w:eastAsia="x-none"/>
    </w:rPr>
  </w:style>
  <w:style w:type="character" w:customStyle="1" w:styleId="TitleChar">
    <w:name w:val="Title Char"/>
    <w:basedOn w:val="DefaultParagraphFont"/>
    <w:link w:val="Title"/>
    <w:uiPriority w:val="99"/>
    <w:rsid w:val="00413375"/>
    <w:rPr>
      <w:rFonts w:ascii="Times New Roman" w:eastAsia="Times New Roman" w:hAnsi="Times New Roman" w:cs="Times New Roman"/>
      <w:b/>
      <w:sz w:val="24"/>
      <w:szCs w:val="20"/>
      <w:lang w:val="x-none" w:eastAsia="x-none"/>
    </w:rPr>
  </w:style>
  <w:style w:type="table" w:styleId="TableGrid">
    <w:name w:val="Table Grid"/>
    <w:basedOn w:val="TableNormal"/>
    <w:rsid w:val="0041337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375"/>
    <w:rPr>
      <w:rFonts w:ascii="Tahoma" w:hAnsi="Tahoma" w:cs="Tahoma"/>
      <w:sz w:val="16"/>
      <w:szCs w:val="16"/>
    </w:rPr>
  </w:style>
  <w:style w:type="character" w:customStyle="1" w:styleId="BalloonTextChar">
    <w:name w:val="Balloon Text Char"/>
    <w:basedOn w:val="DefaultParagraphFont"/>
    <w:link w:val="BalloonText"/>
    <w:uiPriority w:val="99"/>
    <w:semiHidden/>
    <w:rsid w:val="00413375"/>
    <w:rPr>
      <w:rFonts w:ascii="Tahoma" w:eastAsia="Times New Roman" w:hAnsi="Tahoma" w:cs="Tahoma"/>
      <w:sz w:val="16"/>
      <w:szCs w:val="16"/>
      <w:lang w:eastAsia="lv-LV"/>
    </w:rPr>
  </w:style>
  <w:style w:type="paragraph" w:styleId="ListParagraph">
    <w:name w:val="List Paragraph"/>
    <w:basedOn w:val="Normal"/>
    <w:uiPriority w:val="34"/>
    <w:qFormat/>
    <w:rsid w:val="00413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13375"/>
    <w:rPr>
      <w:color w:val="0000FF"/>
      <w:u w:val="single"/>
    </w:rPr>
  </w:style>
  <w:style w:type="paragraph" w:styleId="Header">
    <w:name w:val="header"/>
    <w:basedOn w:val="Normal"/>
    <w:link w:val="HeaderChar"/>
    <w:semiHidden/>
    <w:rsid w:val="00413375"/>
    <w:pPr>
      <w:tabs>
        <w:tab w:val="center" w:pos="4153"/>
        <w:tab w:val="right" w:pos="8306"/>
      </w:tabs>
    </w:pPr>
  </w:style>
  <w:style w:type="character" w:customStyle="1" w:styleId="HeaderChar">
    <w:name w:val="Header Char"/>
    <w:basedOn w:val="DefaultParagraphFont"/>
    <w:link w:val="Header"/>
    <w:semiHidden/>
    <w:rsid w:val="00413375"/>
    <w:rPr>
      <w:rFonts w:ascii="Times New Roman" w:eastAsia="Times New Roman" w:hAnsi="Times New Roman" w:cs="Times New Roman"/>
      <w:sz w:val="24"/>
      <w:szCs w:val="24"/>
      <w:lang w:eastAsia="lv-LV"/>
    </w:rPr>
  </w:style>
  <w:style w:type="paragraph" w:styleId="Footer">
    <w:name w:val="footer"/>
    <w:basedOn w:val="Normal"/>
    <w:link w:val="FooterChar"/>
    <w:rsid w:val="00413375"/>
    <w:pPr>
      <w:tabs>
        <w:tab w:val="center" w:pos="4153"/>
        <w:tab w:val="right" w:pos="8306"/>
      </w:tabs>
    </w:pPr>
  </w:style>
  <w:style w:type="character" w:customStyle="1" w:styleId="FooterChar">
    <w:name w:val="Footer Char"/>
    <w:basedOn w:val="DefaultParagraphFont"/>
    <w:link w:val="Footer"/>
    <w:rsid w:val="00413375"/>
    <w:rPr>
      <w:rFonts w:ascii="Times New Roman" w:eastAsia="Times New Roman" w:hAnsi="Times New Roman" w:cs="Times New Roman"/>
      <w:sz w:val="24"/>
      <w:szCs w:val="24"/>
      <w:lang w:eastAsia="lv-LV"/>
    </w:rPr>
  </w:style>
  <w:style w:type="character" w:styleId="PageNumber">
    <w:name w:val="page number"/>
    <w:basedOn w:val="DefaultParagraphFont"/>
    <w:semiHidden/>
    <w:rsid w:val="00413375"/>
  </w:style>
  <w:style w:type="paragraph" w:customStyle="1" w:styleId="Considrant">
    <w:name w:val="Considérant"/>
    <w:basedOn w:val="Normal"/>
    <w:rsid w:val="00413375"/>
    <w:pPr>
      <w:numPr>
        <w:numId w:val="1"/>
      </w:numPr>
      <w:spacing w:before="120" w:after="120"/>
      <w:jc w:val="both"/>
    </w:pPr>
    <w:rPr>
      <w:szCs w:val="20"/>
      <w:lang w:eastAsia="zh-CN"/>
    </w:rPr>
  </w:style>
  <w:style w:type="paragraph" w:styleId="Title">
    <w:name w:val="Title"/>
    <w:basedOn w:val="Normal"/>
    <w:link w:val="TitleChar"/>
    <w:uiPriority w:val="99"/>
    <w:qFormat/>
    <w:rsid w:val="00413375"/>
    <w:pPr>
      <w:jc w:val="center"/>
    </w:pPr>
    <w:rPr>
      <w:b/>
      <w:szCs w:val="20"/>
      <w:lang w:val="x-none" w:eastAsia="x-none"/>
    </w:rPr>
  </w:style>
  <w:style w:type="character" w:customStyle="1" w:styleId="TitleChar">
    <w:name w:val="Title Char"/>
    <w:basedOn w:val="DefaultParagraphFont"/>
    <w:link w:val="Title"/>
    <w:uiPriority w:val="99"/>
    <w:rsid w:val="00413375"/>
    <w:rPr>
      <w:rFonts w:ascii="Times New Roman" w:eastAsia="Times New Roman" w:hAnsi="Times New Roman" w:cs="Times New Roman"/>
      <w:b/>
      <w:sz w:val="24"/>
      <w:szCs w:val="20"/>
      <w:lang w:val="x-none" w:eastAsia="x-none"/>
    </w:rPr>
  </w:style>
  <w:style w:type="table" w:styleId="TableGrid">
    <w:name w:val="Table Grid"/>
    <w:basedOn w:val="TableNormal"/>
    <w:rsid w:val="0041337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375"/>
    <w:rPr>
      <w:rFonts w:ascii="Tahoma" w:hAnsi="Tahoma" w:cs="Tahoma"/>
      <w:sz w:val="16"/>
      <w:szCs w:val="16"/>
    </w:rPr>
  </w:style>
  <w:style w:type="character" w:customStyle="1" w:styleId="BalloonTextChar">
    <w:name w:val="Balloon Text Char"/>
    <w:basedOn w:val="DefaultParagraphFont"/>
    <w:link w:val="BalloonText"/>
    <w:uiPriority w:val="99"/>
    <w:semiHidden/>
    <w:rsid w:val="00413375"/>
    <w:rPr>
      <w:rFonts w:ascii="Tahoma" w:eastAsia="Times New Roman" w:hAnsi="Tahoma" w:cs="Tahoma"/>
      <w:sz w:val="16"/>
      <w:szCs w:val="16"/>
      <w:lang w:eastAsia="lv-LV"/>
    </w:rPr>
  </w:style>
  <w:style w:type="paragraph" w:styleId="ListParagraph">
    <w:name w:val="List Paragraph"/>
    <w:basedOn w:val="Normal"/>
    <w:uiPriority w:val="34"/>
    <w:qFormat/>
    <w:rsid w:val="00413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vd.gov.lv"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gnese.Lasmane@ikvd.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is.Mihailovs@ikv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ita.Juhnevica@ikvd.gov.lv" TargetMode="External"/><Relationship Id="rId4" Type="http://schemas.openxmlformats.org/officeDocument/2006/relationships/settings" Target="settings.xml"/><Relationship Id="rId9" Type="http://schemas.openxmlformats.org/officeDocument/2006/relationships/hyperlink" Target="http://www.ikvd.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9601</Words>
  <Characters>5474</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IKVD-PC</cp:lastModifiedBy>
  <cp:revision>1</cp:revision>
  <cp:lastPrinted>2015-10-30T10:32:00Z</cp:lastPrinted>
  <dcterms:created xsi:type="dcterms:W3CDTF">2015-10-30T09:49:00Z</dcterms:created>
  <dcterms:modified xsi:type="dcterms:W3CDTF">2015-10-30T14:15:00Z</dcterms:modified>
</cp:coreProperties>
</file>