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EE1BB2" w:rsidRDefault="00BD2307" w:rsidP="00BD2307">
      <w:pPr>
        <w:jc w:val="center"/>
        <w:rPr>
          <w:b/>
          <w:bCs/>
        </w:rPr>
      </w:pPr>
      <w:r w:rsidRPr="00EE1BB2">
        <w:t>Minis</w:t>
      </w:r>
      <w:r w:rsidR="00CD4F9C" w:rsidRPr="00EE1BB2">
        <w:t>tru kabineta noteikumu projekta</w:t>
      </w:r>
    </w:p>
    <w:p w:rsidR="008C1FFE" w:rsidRDefault="00167AE7" w:rsidP="008C1FFE">
      <w:pPr>
        <w:jc w:val="center"/>
        <w:rPr>
          <w:b/>
          <w:szCs w:val="28"/>
        </w:rPr>
      </w:pPr>
      <w:r w:rsidRPr="00CB5BAE">
        <w:rPr>
          <w:b/>
          <w:szCs w:val="28"/>
        </w:rPr>
        <w:t>„</w:t>
      </w:r>
      <w:r w:rsidR="008C1FFE" w:rsidRPr="00344237">
        <w:rPr>
          <w:b/>
          <w:szCs w:val="28"/>
        </w:rPr>
        <w:t>Noteikumi par minimāl</w:t>
      </w:r>
      <w:r w:rsidR="008C1FFE">
        <w:rPr>
          <w:b/>
          <w:szCs w:val="28"/>
        </w:rPr>
        <w:t>ās</w:t>
      </w:r>
      <w:r w:rsidR="008C1FFE" w:rsidRPr="00344237">
        <w:rPr>
          <w:b/>
          <w:szCs w:val="28"/>
        </w:rPr>
        <w:t xml:space="preserve"> mēneša </w:t>
      </w:r>
      <w:r w:rsidR="008C1FFE">
        <w:rPr>
          <w:b/>
          <w:szCs w:val="28"/>
        </w:rPr>
        <w:t>darba algas</w:t>
      </w:r>
    </w:p>
    <w:p w:rsidR="008C1FFE" w:rsidRDefault="008C1FFE" w:rsidP="008C1FFE">
      <w:pPr>
        <w:jc w:val="center"/>
        <w:rPr>
          <w:b/>
          <w:szCs w:val="28"/>
        </w:rPr>
      </w:pPr>
      <w:r>
        <w:rPr>
          <w:b/>
          <w:szCs w:val="28"/>
        </w:rPr>
        <w:t>apmēru normāla darba laika ietvaros</w:t>
      </w:r>
      <w:r w:rsidR="00BB39C1">
        <w:rPr>
          <w:b/>
          <w:szCs w:val="28"/>
        </w:rPr>
        <w:t xml:space="preserve"> un</w:t>
      </w:r>
    </w:p>
    <w:p w:rsidR="00D80882" w:rsidRPr="00EE1BB2" w:rsidRDefault="008C1FFE" w:rsidP="008C1FFE">
      <w:pPr>
        <w:jc w:val="center"/>
        <w:rPr>
          <w:b/>
          <w:szCs w:val="28"/>
        </w:rPr>
      </w:pPr>
      <w:r w:rsidRPr="00344237">
        <w:rPr>
          <w:b/>
          <w:szCs w:val="28"/>
        </w:rPr>
        <w:t>minimālās stundas tarifa likmes aprēķināšan</w:t>
      </w:r>
      <w:r>
        <w:rPr>
          <w:b/>
          <w:szCs w:val="28"/>
        </w:rPr>
        <w:t>u</w:t>
      </w:r>
      <w:r w:rsidR="00BC433A">
        <w:rPr>
          <w:b/>
          <w:szCs w:val="28"/>
        </w:rPr>
        <w:t>”</w:t>
      </w:r>
    </w:p>
    <w:p w:rsidR="00430DCC" w:rsidRPr="00EE1BB2" w:rsidRDefault="002F584F" w:rsidP="00167AE7">
      <w:pPr>
        <w:jc w:val="center"/>
        <w:rPr>
          <w:szCs w:val="28"/>
        </w:rPr>
      </w:pPr>
      <w:r w:rsidRPr="00EE1BB2">
        <w:t>sākotnējās ietekmes novērtējuma ziņojums (</w:t>
      </w:r>
      <w:r w:rsidR="00CD4F9C" w:rsidRPr="00EE1BB2">
        <w:rPr>
          <w:szCs w:val="28"/>
        </w:rPr>
        <w:t>anotācija</w:t>
      </w:r>
      <w:r w:rsidRPr="00EE1BB2">
        <w:rPr>
          <w:szCs w:val="28"/>
        </w:rPr>
        <w:t>)</w:t>
      </w:r>
    </w:p>
    <w:p w:rsidR="00CD4F9C" w:rsidRDefault="00CD4F9C" w:rsidP="00124129">
      <w:pPr>
        <w:rPr>
          <w:szCs w:val="28"/>
        </w:rPr>
      </w:pPr>
    </w:p>
    <w:p w:rsidR="00F24D71" w:rsidRDefault="00F24D71" w:rsidP="00124129">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F24D71" w:rsidRPr="00D42CC4" w:rsidTr="00822C04">
        <w:tc>
          <w:tcPr>
            <w:tcW w:w="0" w:type="auto"/>
            <w:gridSpan w:val="3"/>
            <w:tcBorders>
              <w:top w:val="outset" w:sz="6" w:space="0" w:color="auto"/>
              <w:bottom w:val="single" w:sz="4" w:space="0" w:color="auto"/>
            </w:tcBorders>
            <w:vAlign w:val="center"/>
          </w:tcPr>
          <w:p w:rsidR="00F24D71" w:rsidRPr="00D42CC4" w:rsidRDefault="00F24D71" w:rsidP="00822C04">
            <w:pPr>
              <w:pStyle w:val="naisnod"/>
              <w:ind w:left="360"/>
            </w:pPr>
            <w:r w:rsidRPr="00D42CC4">
              <w:t>I</w:t>
            </w:r>
            <w:r>
              <w:t>.</w:t>
            </w:r>
            <w:r w:rsidRPr="00D42CC4">
              <w:t xml:space="preserve"> Tiesību akta projekta izstrādes nepieciešamība</w:t>
            </w:r>
          </w:p>
        </w:tc>
      </w:tr>
      <w:tr w:rsidR="00F24D71"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0"/>
            </w:pPr>
            <w:r w:rsidRPr="00D42CC4">
              <w:t>Pamatojums</w:t>
            </w:r>
          </w:p>
        </w:tc>
        <w:tc>
          <w:tcPr>
            <w:tcW w:w="3340" w:type="pct"/>
            <w:tcBorders>
              <w:top w:val="single" w:sz="4" w:space="0" w:color="auto"/>
              <w:left w:val="single" w:sz="4" w:space="0" w:color="auto"/>
              <w:bottom w:val="single" w:sz="4" w:space="0" w:color="auto"/>
              <w:right w:val="single" w:sz="4" w:space="0" w:color="auto"/>
            </w:tcBorders>
          </w:tcPr>
          <w:p w:rsidR="00F24D71" w:rsidRPr="00327020" w:rsidRDefault="0089574E" w:rsidP="00C41A3B">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lang w:eastAsia="lv-LV"/>
              </w:rPr>
            </w:pPr>
            <w:r w:rsidRPr="00327020">
              <w:rPr>
                <w:sz w:val="24"/>
              </w:rPr>
              <w:t xml:space="preserve">Saskaņā ar </w:t>
            </w:r>
            <w:r w:rsidR="00C41A3B" w:rsidRPr="00327020">
              <w:rPr>
                <w:sz w:val="24"/>
              </w:rPr>
              <w:t>Darba likuma pārejas noteikumu 14.punktu (</w:t>
            </w:r>
            <w:r w:rsidR="007645C3" w:rsidRPr="00327020">
              <w:rPr>
                <w:sz w:val="24"/>
              </w:rPr>
              <w:t>2014.gada 23.oktobrī pieņemt</w:t>
            </w:r>
            <w:r w:rsidR="00C41A3B" w:rsidRPr="00327020">
              <w:rPr>
                <w:sz w:val="24"/>
              </w:rPr>
              <w:t>ais</w:t>
            </w:r>
            <w:r w:rsidR="007645C3" w:rsidRPr="00327020">
              <w:rPr>
                <w:sz w:val="24"/>
              </w:rPr>
              <w:t xml:space="preserve"> likum</w:t>
            </w:r>
            <w:r w:rsidR="00C41A3B" w:rsidRPr="00327020">
              <w:rPr>
                <w:sz w:val="24"/>
              </w:rPr>
              <w:t>s</w:t>
            </w:r>
            <w:r w:rsidR="007645C3" w:rsidRPr="00327020">
              <w:rPr>
                <w:sz w:val="24"/>
              </w:rPr>
              <w:t xml:space="preserve"> „Grozījumi Darba likumā”</w:t>
            </w:r>
            <w:r w:rsidR="00C41A3B" w:rsidRPr="00327020">
              <w:rPr>
                <w:sz w:val="24"/>
              </w:rPr>
              <w:t>) 2016.gada 1.janvārī stājas spēkā grozījumi likuma 61.pantā, kas nosaka deleģējumu</w:t>
            </w:r>
            <w:r w:rsidR="00C41A3B" w:rsidRPr="00327020">
              <w:rPr>
                <w:sz w:val="24"/>
                <w:lang w:eastAsia="lv-LV"/>
              </w:rPr>
              <w:t xml:space="preserve"> Ministru kabinetam</w:t>
            </w:r>
            <w:r w:rsidR="00C02583" w:rsidRPr="00327020">
              <w:rPr>
                <w:sz w:val="24"/>
                <w:lang w:eastAsia="lv-LV"/>
              </w:rPr>
              <w:t xml:space="preserve"> sagatavo</w:t>
            </w:r>
            <w:r w:rsidR="00C41A3B" w:rsidRPr="00327020">
              <w:rPr>
                <w:sz w:val="24"/>
                <w:lang w:eastAsia="lv-LV"/>
              </w:rPr>
              <w:t>t</w:t>
            </w:r>
            <w:r w:rsidR="00C02583" w:rsidRPr="00327020">
              <w:rPr>
                <w:sz w:val="24"/>
                <w:lang w:eastAsia="lv-LV"/>
              </w:rPr>
              <w:t xml:space="preserve"> Ministru kabineta noteikumu</w:t>
            </w:r>
            <w:r w:rsidR="00C41A3B" w:rsidRPr="00327020">
              <w:rPr>
                <w:sz w:val="24"/>
                <w:lang w:eastAsia="lv-LV"/>
              </w:rPr>
              <w:t>s</w:t>
            </w:r>
            <w:r w:rsidR="00C02583" w:rsidRPr="00327020">
              <w:rPr>
                <w:sz w:val="24"/>
                <w:lang w:eastAsia="lv-LV"/>
              </w:rPr>
              <w:t xml:space="preserve"> par minimālās mēneša darba alga</w:t>
            </w:r>
            <w:r w:rsidR="007645C3" w:rsidRPr="00327020">
              <w:rPr>
                <w:sz w:val="24"/>
                <w:lang w:eastAsia="lv-LV"/>
              </w:rPr>
              <w:t>s apmēru normāla darba laika ietvaros, kā arī minimālās stundas tarifa likmes aprēķināšanu.</w:t>
            </w:r>
          </w:p>
          <w:p w:rsidR="00E405A2" w:rsidRPr="00327020" w:rsidRDefault="00E405A2" w:rsidP="0032702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rPr>
            </w:pPr>
            <w:r w:rsidRPr="00327020">
              <w:rPr>
                <w:sz w:val="24"/>
                <w:lang w:eastAsia="lv-LV"/>
              </w:rPr>
              <w:t>Saskaņā ar Ministru kabineta 2015.gada 31.augusta sēd</w:t>
            </w:r>
            <w:r w:rsidR="00700189" w:rsidRPr="00327020">
              <w:rPr>
                <w:sz w:val="24"/>
                <w:lang w:eastAsia="lv-LV"/>
              </w:rPr>
              <w:t>ē</w:t>
            </w:r>
            <w:r w:rsidRPr="00327020">
              <w:rPr>
                <w:sz w:val="24"/>
                <w:lang w:eastAsia="lv-LV"/>
              </w:rPr>
              <w:t xml:space="preserve"> </w:t>
            </w:r>
            <w:r w:rsidR="00700189" w:rsidRPr="00327020">
              <w:rPr>
                <w:sz w:val="24"/>
              </w:rPr>
              <w:t>(Nr.</w:t>
            </w:r>
            <w:r w:rsidR="008F3802" w:rsidRPr="00327020">
              <w:rPr>
                <w:sz w:val="24"/>
              </w:rPr>
              <w:t>43</w:t>
            </w:r>
            <w:r w:rsidR="00700189" w:rsidRPr="00327020">
              <w:rPr>
                <w:sz w:val="24"/>
              </w:rPr>
              <w:t xml:space="preserve">, </w:t>
            </w:r>
            <w:r w:rsidR="00327020" w:rsidRPr="00327020">
              <w:rPr>
                <w:sz w:val="24"/>
              </w:rPr>
              <w:t>4</w:t>
            </w:r>
            <w:r w:rsidR="00700189" w:rsidRPr="00327020">
              <w:rPr>
                <w:sz w:val="24"/>
              </w:rPr>
              <w:t xml:space="preserve">.§ 8.punkts) nolemto </w:t>
            </w:r>
            <w:r w:rsidR="00700189" w:rsidRPr="00327020">
              <w:rPr>
                <w:sz w:val="24"/>
                <w:lang w:eastAsia="lv-LV"/>
              </w:rPr>
              <w:t xml:space="preserve">minimālā mēneša darba alga ir jāpaaugstina no 360 </w:t>
            </w:r>
            <w:proofErr w:type="spellStart"/>
            <w:r w:rsidR="00700189" w:rsidRPr="00327020">
              <w:rPr>
                <w:i/>
                <w:sz w:val="24"/>
                <w:lang w:eastAsia="lv-LV"/>
              </w:rPr>
              <w:t>euro</w:t>
            </w:r>
            <w:proofErr w:type="spellEnd"/>
            <w:r w:rsidR="00700189" w:rsidRPr="00327020">
              <w:rPr>
                <w:sz w:val="24"/>
                <w:lang w:eastAsia="lv-LV"/>
              </w:rPr>
              <w:t xml:space="preserve"> līdz 370 </w:t>
            </w:r>
            <w:proofErr w:type="spellStart"/>
            <w:r w:rsidR="00700189" w:rsidRPr="00327020">
              <w:rPr>
                <w:i/>
                <w:sz w:val="24"/>
                <w:lang w:eastAsia="lv-LV"/>
              </w:rPr>
              <w:t>euro</w:t>
            </w:r>
            <w:proofErr w:type="spellEnd"/>
            <w:r w:rsidR="00700189" w:rsidRPr="00327020">
              <w:rPr>
                <w:sz w:val="24"/>
                <w:lang w:eastAsia="lv-LV"/>
              </w:rPr>
              <w:t xml:space="preserve"> sākot ar 2016.gada 1.janvāri.</w:t>
            </w:r>
          </w:p>
        </w:tc>
      </w:tr>
      <w:tr w:rsidR="00F24D71"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0"/>
            </w:pPr>
            <w:r w:rsidRPr="00DD49B6">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C7CD3" w:rsidRDefault="00F24D71" w:rsidP="00F24D71">
            <w:pPr>
              <w:pStyle w:val="Footer"/>
              <w:tabs>
                <w:tab w:val="clear" w:pos="4153"/>
                <w:tab w:val="clear" w:pos="8306"/>
              </w:tabs>
              <w:jc w:val="both"/>
              <w:rPr>
                <w:sz w:val="24"/>
              </w:rPr>
            </w:pPr>
            <w:r w:rsidRPr="003317D9">
              <w:rPr>
                <w:sz w:val="24"/>
              </w:rPr>
              <w:t xml:space="preserve">Pašreiz Ministru kabineta 2013.gada 27.augusta noteikumi Nr.665 „Noteikumi par minimālo mēneša darba algu un minimālo stundas tarifa likmi” </w:t>
            </w:r>
            <w:r w:rsidR="00124063">
              <w:rPr>
                <w:sz w:val="24"/>
              </w:rPr>
              <w:t xml:space="preserve">(turpmāk – noteikumi Nr.665) </w:t>
            </w:r>
            <w:r w:rsidRPr="003317D9">
              <w:rPr>
                <w:sz w:val="24"/>
              </w:rPr>
              <w:t>nosaka, ka minimālā</w:t>
            </w:r>
            <w:r w:rsidR="0028411C">
              <w:rPr>
                <w:sz w:val="24"/>
              </w:rPr>
              <w:t>s</w:t>
            </w:r>
            <w:r w:rsidRPr="003317D9">
              <w:rPr>
                <w:sz w:val="24"/>
              </w:rPr>
              <w:t xml:space="preserve"> mēneša darba alga</w:t>
            </w:r>
            <w:r w:rsidR="007645C3">
              <w:rPr>
                <w:sz w:val="24"/>
              </w:rPr>
              <w:t>s apmērs normāla darba laika ietvaros</w:t>
            </w:r>
            <w:r w:rsidRPr="003317D9">
              <w:rPr>
                <w:sz w:val="24"/>
              </w:rPr>
              <w:t xml:space="preserve"> </w:t>
            </w:r>
            <w:r w:rsidR="007645C3">
              <w:rPr>
                <w:sz w:val="24"/>
              </w:rPr>
              <w:t xml:space="preserve">(8 stundas dienā un 40 stundas nedēļā) </w:t>
            </w:r>
            <w:r w:rsidRPr="003317D9">
              <w:rPr>
                <w:sz w:val="24"/>
              </w:rPr>
              <w:t>ir 3</w:t>
            </w:r>
            <w:r w:rsidR="007645C3">
              <w:rPr>
                <w:sz w:val="24"/>
              </w:rPr>
              <w:t>6</w:t>
            </w:r>
            <w:r w:rsidRPr="003317D9">
              <w:rPr>
                <w:sz w:val="24"/>
              </w:rPr>
              <w:t xml:space="preserve">0 </w:t>
            </w:r>
            <w:proofErr w:type="spellStart"/>
            <w:r w:rsidRPr="003317D9">
              <w:rPr>
                <w:i/>
                <w:sz w:val="24"/>
              </w:rPr>
              <w:t>euro</w:t>
            </w:r>
            <w:proofErr w:type="spellEnd"/>
            <w:r w:rsidRPr="003317D9">
              <w:rPr>
                <w:sz w:val="24"/>
              </w:rPr>
              <w:t xml:space="preserve"> un minimālā stundas tarifa likme ir </w:t>
            </w:r>
            <w:r w:rsidR="007645C3">
              <w:rPr>
                <w:sz w:val="24"/>
              </w:rPr>
              <w:t>2,166</w:t>
            </w:r>
            <w:r w:rsidRPr="003317D9">
              <w:rPr>
                <w:sz w:val="24"/>
              </w:rPr>
              <w:t xml:space="preserve"> </w:t>
            </w:r>
            <w:proofErr w:type="spellStart"/>
            <w:r w:rsidRPr="003317D9">
              <w:rPr>
                <w:i/>
                <w:sz w:val="24"/>
              </w:rPr>
              <w:t>euro</w:t>
            </w:r>
            <w:proofErr w:type="spellEnd"/>
            <w:r w:rsidR="007645C3">
              <w:rPr>
                <w:sz w:val="24"/>
              </w:rPr>
              <w:t xml:space="preserve">, </w:t>
            </w:r>
            <w:r w:rsidR="007645C3" w:rsidRPr="00C9201A">
              <w:rPr>
                <w:sz w:val="24"/>
              </w:rPr>
              <w:t xml:space="preserve">bet pusaudžiem un darbiniekiem, kuri pakļauti īpašam riskam un kuriem normālais darba laiks ir septiņas stundas dienā un 35 stundas nedēļā, minimālā stundas tarifa likme ir </w:t>
            </w:r>
            <w:r w:rsidR="007645C3">
              <w:rPr>
                <w:sz w:val="24"/>
              </w:rPr>
              <w:t xml:space="preserve">2,477 </w:t>
            </w:r>
            <w:proofErr w:type="spellStart"/>
            <w:r w:rsidR="007645C3" w:rsidRPr="007645C3">
              <w:rPr>
                <w:i/>
                <w:sz w:val="24"/>
              </w:rPr>
              <w:t>euro</w:t>
            </w:r>
            <w:proofErr w:type="spellEnd"/>
            <w:r w:rsidR="007645C3" w:rsidRPr="00C9201A">
              <w:rPr>
                <w:sz w:val="24"/>
              </w:rPr>
              <w:t>.</w:t>
            </w:r>
          </w:p>
          <w:p w:rsidR="00D607E0" w:rsidRDefault="00D607E0" w:rsidP="00F24D71">
            <w:pPr>
              <w:pStyle w:val="Footer"/>
              <w:tabs>
                <w:tab w:val="clear" w:pos="4153"/>
                <w:tab w:val="clear" w:pos="8306"/>
              </w:tabs>
              <w:jc w:val="both"/>
              <w:rPr>
                <w:sz w:val="24"/>
              </w:rPr>
            </w:pPr>
          </w:p>
          <w:p w:rsidR="00D607E0" w:rsidRPr="003317D9" w:rsidRDefault="00D607E0" w:rsidP="00D607E0">
            <w:pPr>
              <w:jc w:val="both"/>
              <w:rPr>
                <w:bCs/>
                <w:sz w:val="24"/>
              </w:rPr>
            </w:pPr>
            <w:r w:rsidRPr="003317D9">
              <w:rPr>
                <w:sz w:val="24"/>
              </w:rPr>
              <w:t xml:space="preserve">Saskaņā ar Ministru kabineta 2011.gada 17.maija noteikumu Nr.390 „Minimālās mēneša darba algas noteikšanas un pārskatīšanas kārtība” (turpmāk – noteikumi Nr.390) 2.punktu Labklājības ministrija kopīgi ar Finanšu ministriju un Ekonomikas ministriju izvērtēja ekonomisko situāciju valstī un izstrādāja priekšlikumus par minimālās mēneša darba algas apmēru (ar precizitāti līdz </w:t>
            </w:r>
            <w:r w:rsidR="00A24CAE">
              <w:rPr>
                <w:sz w:val="24"/>
              </w:rPr>
              <w:t xml:space="preserve">vienam </w:t>
            </w:r>
            <w:proofErr w:type="spellStart"/>
            <w:r w:rsidRPr="003317D9">
              <w:rPr>
                <w:i/>
                <w:sz w:val="24"/>
              </w:rPr>
              <w:t>euro</w:t>
            </w:r>
            <w:proofErr w:type="spellEnd"/>
            <w:r w:rsidRPr="003317D9">
              <w:rPr>
                <w:sz w:val="24"/>
              </w:rPr>
              <w:t>), ņemot vērā Ekonomikas ministrijas sagatavotās makroekonomiskās prognozes un ekonomiskās situācijas izmaiņas iepriekšējā gadā, plānotās izmaiņas nodokļu sistēmā (iedzīvotāju ienākuma nodokļa likmes, ar iedzīvotāju ienākuma nodokli neapliekamā minimuma, obligātās valsts sociālās apdrošināšanas iemaksu likmju izmaiņas),</w:t>
            </w:r>
            <w:r w:rsidRPr="003317D9">
              <w:rPr>
                <w:bCs/>
                <w:sz w:val="24"/>
              </w:rPr>
              <w:t xml:space="preserve"> kā arī minimālās mēneša darba algas izmaiņas citās Baltijas valstīs (Igaunijā un Lietuvā).</w:t>
            </w:r>
          </w:p>
          <w:p w:rsidR="00D607E0" w:rsidRDefault="00D607E0" w:rsidP="00D607E0">
            <w:pPr>
              <w:autoSpaceDE w:val="0"/>
              <w:autoSpaceDN w:val="0"/>
              <w:adjustRightInd w:val="0"/>
              <w:jc w:val="both"/>
              <w:rPr>
                <w:sz w:val="24"/>
              </w:rPr>
            </w:pPr>
            <w:r w:rsidRPr="003317D9">
              <w:rPr>
                <w:sz w:val="24"/>
              </w:rPr>
              <w:t xml:space="preserve">Saskaņā ar MK noteikumu Nr.390 3.punktu Labklājības ministrija piedāvāja sociālajiem partneriem Nacionālajā </w:t>
            </w:r>
            <w:r w:rsidRPr="003317D9">
              <w:rPr>
                <w:sz w:val="24"/>
              </w:rPr>
              <w:lastRenderedPageBreak/>
              <w:t xml:space="preserve">trīspusējās sadarbības padomē (turpmāk - NTSP) izvērtēšanai priekšlikumu par minimālās mēneša darba algas </w:t>
            </w:r>
            <w:r w:rsidRPr="00D40571">
              <w:rPr>
                <w:sz w:val="24"/>
              </w:rPr>
              <w:t>paaugstināšanu 2016.gadā šādos trīs variantos:</w:t>
            </w:r>
          </w:p>
          <w:p w:rsidR="00D72B60" w:rsidRPr="00D40571" w:rsidRDefault="00D72B60" w:rsidP="00D607E0">
            <w:pPr>
              <w:autoSpaceDE w:val="0"/>
              <w:autoSpaceDN w:val="0"/>
              <w:adjustRightInd w:val="0"/>
              <w:jc w:val="both"/>
              <w:rPr>
                <w:sz w:val="24"/>
              </w:rPr>
            </w:pPr>
          </w:p>
          <w:p w:rsidR="00D40571" w:rsidRPr="00D40571" w:rsidRDefault="00D607E0" w:rsidP="00D40571">
            <w:pPr>
              <w:autoSpaceDE w:val="0"/>
              <w:autoSpaceDN w:val="0"/>
              <w:adjustRightInd w:val="0"/>
              <w:rPr>
                <w:sz w:val="24"/>
              </w:rPr>
            </w:pPr>
            <w:r w:rsidRPr="00D40571">
              <w:rPr>
                <w:i/>
                <w:sz w:val="24"/>
              </w:rPr>
              <w:t>1.variants</w:t>
            </w:r>
            <w:r w:rsidRPr="00D40571">
              <w:rPr>
                <w:sz w:val="24"/>
              </w:rPr>
              <w:t xml:space="preserve"> – </w:t>
            </w:r>
            <w:r w:rsidR="00D40571" w:rsidRPr="00D40571">
              <w:rPr>
                <w:sz w:val="24"/>
              </w:rPr>
              <w:t xml:space="preserve">minimālā mēneša darba alga no 2016.gada 1.janvāra tiek saglabāta 360 </w:t>
            </w:r>
            <w:proofErr w:type="spellStart"/>
            <w:r w:rsidR="004C649A" w:rsidRPr="004C649A">
              <w:rPr>
                <w:i/>
                <w:sz w:val="24"/>
              </w:rPr>
              <w:t>euro</w:t>
            </w:r>
            <w:proofErr w:type="spellEnd"/>
            <w:r w:rsidR="00D40571" w:rsidRPr="00D40571">
              <w:rPr>
                <w:sz w:val="24"/>
              </w:rPr>
              <w:t xml:space="preserve"> apmērā (0,0%)</w:t>
            </w:r>
            <w:r w:rsidR="00D40571">
              <w:rPr>
                <w:sz w:val="24"/>
              </w:rPr>
              <w:t>;</w:t>
            </w:r>
          </w:p>
          <w:p w:rsidR="00D72B60" w:rsidRDefault="00D72B60" w:rsidP="00D40571">
            <w:pPr>
              <w:rPr>
                <w:i/>
                <w:sz w:val="24"/>
              </w:rPr>
            </w:pPr>
          </w:p>
          <w:p w:rsidR="00D40571" w:rsidRPr="00D40571" w:rsidRDefault="00D40571" w:rsidP="00D40571">
            <w:pPr>
              <w:rPr>
                <w:sz w:val="24"/>
              </w:rPr>
            </w:pPr>
            <w:r w:rsidRPr="00D40571">
              <w:rPr>
                <w:i/>
                <w:sz w:val="24"/>
              </w:rPr>
              <w:t>2.variants</w:t>
            </w:r>
            <w:r w:rsidRPr="00D40571">
              <w:rPr>
                <w:sz w:val="24"/>
              </w:rPr>
              <w:t xml:space="preserve"> – minimālā mēneša darba alga no 2016.gada 1.janvāra tiek paaugstināta no 360 </w:t>
            </w:r>
            <w:proofErr w:type="spellStart"/>
            <w:r w:rsidR="004C649A" w:rsidRPr="004C649A">
              <w:rPr>
                <w:i/>
                <w:sz w:val="24"/>
              </w:rPr>
              <w:t>euro</w:t>
            </w:r>
            <w:proofErr w:type="spellEnd"/>
            <w:r w:rsidRPr="00D40571">
              <w:rPr>
                <w:sz w:val="24"/>
              </w:rPr>
              <w:t xml:space="preserve"> līdz 367 </w:t>
            </w:r>
            <w:proofErr w:type="spellStart"/>
            <w:r w:rsidR="004C649A" w:rsidRPr="004C649A">
              <w:rPr>
                <w:i/>
                <w:sz w:val="24"/>
              </w:rPr>
              <w:t>euro</w:t>
            </w:r>
            <w:proofErr w:type="spellEnd"/>
            <w:r w:rsidRPr="00D40571">
              <w:rPr>
                <w:sz w:val="24"/>
              </w:rPr>
              <w:t xml:space="preserve"> jeb par </w:t>
            </w:r>
            <w:r>
              <w:rPr>
                <w:sz w:val="24"/>
              </w:rPr>
              <w:t>1,9%;</w:t>
            </w:r>
          </w:p>
          <w:p w:rsidR="00D72B60" w:rsidRDefault="00D72B60" w:rsidP="00D40571">
            <w:pPr>
              <w:rPr>
                <w:i/>
                <w:sz w:val="24"/>
              </w:rPr>
            </w:pPr>
          </w:p>
          <w:p w:rsidR="00D40571" w:rsidRPr="00D40571" w:rsidRDefault="00D40571" w:rsidP="00D40571">
            <w:pPr>
              <w:rPr>
                <w:sz w:val="24"/>
              </w:rPr>
            </w:pPr>
            <w:r w:rsidRPr="00D40571">
              <w:rPr>
                <w:i/>
                <w:sz w:val="24"/>
              </w:rPr>
              <w:t>3.variants</w:t>
            </w:r>
            <w:r w:rsidRPr="00D40571">
              <w:rPr>
                <w:sz w:val="24"/>
              </w:rPr>
              <w:t xml:space="preserve"> – minimālā mēneša darba alga no 2016.gada 1.janvāra tiek paaugstināta no 360 </w:t>
            </w:r>
            <w:proofErr w:type="spellStart"/>
            <w:r w:rsidR="004C649A" w:rsidRPr="004C649A">
              <w:rPr>
                <w:i/>
                <w:sz w:val="24"/>
              </w:rPr>
              <w:t>euro</w:t>
            </w:r>
            <w:proofErr w:type="spellEnd"/>
            <w:r w:rsidRPr="00D40571">
              <w:rPr>
                <w:sz w:val="24"/>
              </w:rPr>
              <w:t xml:space="preserve"> līdz 375 </w:t>
            </w:r>
            <w:proofErr w:type="spellStart"/>
            <w:r w:rsidR="004C649A" w:rsidRPr="004C649A">
              <w:rPr>
                <w:i/>
                <w:sz w:val="24"/>
              </w:rPr>
              <w:t>euro</w:t>
            </w:r>
            <w:proofErr w:type="spellEnd"/>
            <w:r w:rsidRPr="00D40571">
              <w:rPr>
                <w:sz w:val="24"/>
              </w:rPr>
              <w:t xml:space="preserve"> jeb par 4,2%.</w:t>
            </w:r>
          </w:p>
          <w:p w:rsidR="00D72B60" w:rsidRDefault="00D72B60" w:rsidP="00D607E0">
            <w:pPr>
              <w:autoSpaceDE w:val="0"/>
              <w:autoSpaceDN w:val="0"/>
              <w:adjustRightInd w:val="0"/>
              <w:jc w:val="both"/>
              <w:rPr>
                <w:sz w:val="24"/>
              </w:rPr>
            </w:pPr>
          </w:p>
          <w:p w:rsidR="004C649A" w:rsidRDefault="00D607E0" w:rsidP="00D607E0">
            <w:pPr>
              <w:autoSpaceDE w:val="0"/>
              <w:autoSpaceDN w:val="0"/>
              <w:adjustRightInd w:val="0"/>
              <w:jc w:val="both"/>
              <w:rPr>
                <w:color w:val="000000"/>
                <w:sz w:val="24"/>
              </w:rPr>
            </w:pPr>
            <w:r w:rsidRPr="00D40571">
              <w:rPr>
                <w:sz w:val="24"/>
              </w:rPr>
              <w:t>NTSP 201</w:t>
            </w:r>
            <w:r w:rsidR="00D40571">
              <w:rPr>
                <w:sz w:val="24"/>
              </w:rPr>
              <w:t>5</w:t>
            </w:r>
            <w:r w:rsidRPr="00D40571">
              <w:rPr>
                <w:sz w:val="24"/>
              </w:rPr>
              <w:t>.gada 1</w:t>
            </w:r>
            <w:r w:rsidR="00D40571">
              <w:rPr>
                <w:sz w:val="24"/>
              </w:rPr>
              <w:t>5</w:t>
            </w:r>
            <w:r w:rsidRPr="00D40571">
              <w:rPr>
                <w:sz w:val="24"/>
              </w:rPr>
              <w:t>.jūnija sēdē</w:t>
            </w:r>
            <w:r w:rsidRPr="003317D9">
              <w:rPr>
                <w:sz w:val="24"/>
              </w:rPr>
              <w:t xml:space="preserve"> NTSP locekļi nevienojās par </w:t>
            </w:r>
            <w:r w:rsidRPr="003317D9">
              <w:rPr>
                <w:color w:val="000000"/>
                <w:sz w:val="24"/>
              </w:rPr>
              <w:t>minimālā mēneša darba algas apmēru 201</w:t>
            </w:r>
            <w:r w:rsidR="00D40571">
              <w:rPr>
                <w:color w:val="000000"/>
                <w:sz w:val="24"/>
              </w:rPr>
              <w:t>6</w:t>
            </w:r>
            <w:r w:rsidRPr="003317D9">
              <w:rPr>
                <w:color w:val="000000"/>
                <w:sz w:val="24"/>
              </w:rPr>
              <w:t xml:space="preserve">.gadā un nolēma šo jautājumu izskatīt nākošajā </w:t>
            </w:r>
            <w:r>
              <w:rPr>
                <w:color w:val="000000"/>
                <w:sz w:val="24"/>
              </w:rPr>
              <w:t>NTSP</w:t>
            </w:r>
            <w:r w:rsidRPr="003317D9">
              <w:rPr>
                <w:color w:val="000000"/>
                <w:sz w:val="24"/>
              </w:rPr>
              <w:t xml:space="preserve"> sēdē kopā ar nodokļu sistēmas izmaiņām (neapliekamā minimuma, iedzīvotāju ienākuma nodokļa un sociālās apdrošināšanas iemaksu iespējamo apmēru 201</w:t>
            </w:r>
            <w:r w:rsidR="00D40571">
              <w:rPr>
                <w:color w:val="000000"/>
                <w:sz w:val="24"/>
              </w:rPr>
              <w:t>6</w:t>
            </w:r>
            <w:r w:rsidRPr="003317D9">
              <w:rPr>
                <w:color w:val="000000"/>
                <w:sz w:val="24"/>
              </w:rPr>
              <w:t>.gadā)</w:t>
            </w:r>
            <w:r w:rsidRPr="003317D9">
              <w:rPr>
                <w:sz w:val="24"/>
              </w:rPr>
              <w:t>.</w:t>
            </w:r>
            <w:r w:rsidR="004C649A">
              <w:rPr>
                <w:sz w:val="24"/>
              </w:rPr>
              <w:t xml:space="preserve"> Arī 2015.gada 26.augusta NTSP sēdē </w:t>
            </w:r>
            <w:r w:rsidR="004C649A" w:rsidRPr="003317D9">
              <w:rPr>
                <w:sz w:val="24"/>
              </w:rPr>
              <w:t xml:space="preserve">NTSP locekļi nevienojās par </w:t>
            </w:r>
            <w:r w:rsidR="004C649A" w:rsidRPr="003317D9">
              <w:rPr>
                <w:color w:val="000000"/>
                <w:sz w:val="24"/>
              </w:rPr>
              <w:t>minimālā</w:t>
            </w:r>
            <w:r w:rsidR="00A24CAE">
              <w:rPr>
                <w:color w:val="000000"/>
                <w:sz w:val="24"/>
              </w:rPr>
              <w:t>s</w:t>
            </w:r>
            <w:r w:rsidR="004C649A" w:rsidRPr="003317D9">
              <w:rPr>
                <w:color w:val="000000"/>
                <w:sz w:val="24"/>
              </w:rPr>
              <w:t xml:space="preserve"> mēneša darba algas apmēru 201</w:t>
            </w:r>
            <w:r w:rsidR="004C649A">
              <w:rPr>
                <w:color w:val="000000"/>
                <w:sz w:val="24"/>
              </w:rPr>
              <w:t>6</w:t>
            </w:r>
            <w:r w:rsidR="004C649A" w:rsidRPr="003317D9">
              <w:rPr>
                <w:color w:val="000000"/>
                <w:sz w:val="24"/>
              </w:rPr>
              <w:t>.gadā</w:t>
            </w:r>
            <w:r w:rsidR="004C649A">
              <w:rPr>
                <w:color w:val="000000"/>
                <w:sz w:val="24"/>
              </w:rPr>
              <w:t>, bet ārkārtas 2015.gada 31.augusta NTSP sēdē NTSP locekļi vienojās, ka minimālā</w:t>
            </w:r>
            <w:r w:rsidR="00A24CAE">
              <w:rPr>
                <w:color w:val="000000"/>
                <w:sz w:val="24"/>
              </w:rPr>
              <w:t>s</w:t>
            </w:r>
            <w:r w:rsidR="004C649A">
              <w:rPr>
                <w:color w:val="000000"/>
                <w:sz w:val="24"/>
              </w:rPr>
              <w:t xml:space="preserve"> mēneša darba algas apmērs </w:t>
            </w:r>
            <w:r w:rsidR="009564FB">
              <w:rPr>
                <w:color w:val="000000"/>
                <w:sz w:val="24"/>
              </w:rPr>
              <w:t>no 2016.gada 1.janvār</w:t>
            </w:r>
            <w:r w:rsidR="004E2A20">
              <w:rPr>
                <w:color w:val="000000"/>
                <w:sz w:val="24"/>
              </w:rPr>
              <w:t>a</w:t>
            </w:r>
            <w:r w:rsidR="009564FB">
              <w:rPr>
                <w:color w:val="000000"/>
                <w:sz w:val="24"/>
              </w:rPr>
              <w:t xml:space="preserve"> </w:t>
            </w:r>
            <w:r w:rsidR="004C649A">
              <w:rPr>
                <w:color w:val="000000"/>
                <w:sz w:val="24"/>
              </w:rPr>
              <w:t xml:space="preserve">būs amplitūdā no 360-370 </w:t>
            </w:r>
            <w:proofErr w:type="spellStart"/>
            <w:r w:rsidR="004C649A" w:rsidRPr="004C649A">
              <w:rPr>
                <w:i/>
                <w:color w:val="000000"/>
                <w:sz w:val="24"/>
              </w:rPr>
              <w:t>euro</w:t>
            </w:r>
            <w:proofErr w:type="spellEnd"/>
            <w:r w:rsidR="004C649A">
              <w:rPr>
                <w:color w:val="000000"/>
                <w:sz w:val="24"/>
              </w:rPr>
              <w:t>.</w:t>
            </w:r>
          </w:p>
          <w:p w:rsidR="004C649A" w:rsidRDefault="004C649A" w:rsidP="00F24D71">
            <w:pPr>
              <w:pStyle w:val="Footer"/>
              <w:tabs>
                <w:tab w:val="clear" w:pos="4153"/>
                <w:tab w:val="clear" w:pos="8306"/>
              </w:tabs>
              <w:jc w:val="both"/>
              <w:rPr>
                <w:sz w:val="24"/>
              </w:rPr>
            </w:pPr>
          </w:p>
          <w:p w:rsidR="004F4D8C" w:rsidRPr="00D72B60" w:rsidRDefault="0058492F" w:rsidP="00F24D71">
            <w:pPr>
              <w:pStyle w:val="Footer"/>
              <w:tabs>
                <w:tab w:val="clear" w:pos="4153"/>
                <w:tab w:val="clear" w:pos="8306"/>
              </w:tabs>
              <w:jc w:val="both"/>
              <w:rPr>
                <w:b/>
                <w:sz w:val="24"/>
                <w:u w:val="single"/>
              </w:rPr>
            </w:pPr>
            <w:r w:rsidRPr="00D72B60">
              <w:rPr>
                <w:b/>
                <w:sz w:val="24"/>
                <w:u w:val="single"/>
              </w:rPr>
              <w:t>Esošās sistēmas p</w:t>
            </w:r>
            <w:r w:rsidR="004F4D8C" w:rsidRPr="00D72B60">
              <w:rPr>
                <w:b/>
                <w:sz w:val="24"/>
                <w:u w:val="single"/>
              </w:rPr>
              <w:t>roblēmas:</w:t>
            </w:r>
          </w:p>
          <w:p w:rsidR="004F4D8C" w:rsidRPr="004F4D8C" w:rsidRDefault="005220B2" w:rsidP="004F4D8C">
            <w:pPr>
              <w:pStyle w:val="Footer"/>
              <w:tabs>
                <w:tab w:val="clear" w:pos="4153"/>
                <w:tab w:val="clear" w:pos="8306"/>
              </w:tabs>
              <w:jc w:val="both"/>
              <w:rPr>
                <w:b/>
                <w:sz w:val="24"/>
              </w:rPr>
            </w:pPr>
            <w:r>
              <w:rPr>
                <w:b/>
                <w:sz w:val="24"/>
              </w:rPr>
              <w:t>1. </w:t>
            </w:r>
            <w:r w:rsidR="00695B4F">
              <w:rPr>
                <w:b/>
                <w:sz w:val="24"/>
              </w:rPr>
              <w:t>Dažāda</w:t>
            </w:r>
            <w:r w:rsidR="004F4D8C" w:rsidRPr="004F4D8C">
              <w:rPr>
                <w:b/>
                <w:sz w:val="24"/>
              </w:rPr>
              <w:t xml:space="preserve"> aprēķinātā minimālā mēneša darba alga pa mēnešiem, ja darbiniekam nolīgta laika algas sistēma ar minimālās stundas tarifa likmes apmaksu.</w:t>
            </w:r>
          </w:p>
          <w:p w:rsidR="00F24D71" w:rsidRDefault="003857DC" w:rsidP="00F24D71">
            <w:pPr>
              <w:pStyle w:val="Footer"/>
              <w:tabs>
                <w:tab w:val="clear" w:pos="4153"/>
                <w:tab w:val="clear" w:pos="8306"/>
              </w:tabs>
              <w:jc w:val="both"/>
              <w:rPr>
                <w:sz w:val="24"/>
              </w:rPr>
            </w:pPr>
            <w:r w:rsidRPr="00D43E0D">
              <w:rPr>
                <w:sz w:val="24"/>
              </w:rPr>
              <w:t>Noteikum</w:t>
            </w:r>
            <w:r w:rsidR="00B25F2A" w:rsidRPr="00D43E0D">
              <w:rPr>
                <w:sz w:val="24"/>
              </w:rPr>
              <w:t>os</w:t>
            </w:r>
            <w:r w:rsidRPr="00D43E0D">
              <w:rPr>
                <w:sz w:val="24"/>
              </w:rPr>
              <w:t xml:space="preserve"> Nr.665 noteiktā m</w:t>
            </w:r>
            <w:r w:rsidR="0079176D" w:rsidRPr="00D43E0D">
              <w:rPr>
                <w:sz w:val="24"/>
              </w:rPr>
              <w:t>inimāl</w:t>
            </w:r>
            <w:r w:rsidR="00124063" w:rsidRPr="00D43E0D">
              <w:rPr>
                <w:sz w:val="24"/>
              </w:rPr>
              <w:t>ā</w:t>
            </w:r>
            <w:r w:rsidR="0079176D">
              <w:rPr>
                <w:sz w:val="24"/>
              </w:rPr>
              <w:t xml:space="preserve"> stundas tarifa likm</w:t>
            </w:r>
            <w:r w:rsidR="00124063">
              <w:rPr>
                <w:sz w:val="24"/>
              </w:rPr>
              <w:t xml:space="preserve">e </w:t>
            </w:r>
            <w:r w:rsidR="0079176D">
              <w:rPr>
                <w:sz w:val="24"/>
              </w:rPr>
              <w:t>i</w:t>
            </w:r>
            <w:r>
              <w:rPr>
                <w:sz w:val="24"/>
              </w:rPr>
              <w:t>r</w:t>
            </w:r>
            <w:r w:rsidR="0079176D">
              <w:rPr>
                <w:sz w:val="24"/>
              </w:rPr>
              <w:t xml:space="preserve"> aprēķin</w:t>
            </w:r>
            <w:r>
              <w:rPr>
                <w:sz w:val="24"/>
              </w:rPr>
              <w:t>āt</w:t>
            </w:r>
            <w:r w:rsidR="0079176D">
              <w:rPr>
                <w:sz w:val="24"/>
              </w:rPr>
              <w:t>a</w:t>
            </w:r>
            <w:r w:rsidR="00C41A3B">
              <w:rPr>
                <w:sz w:val="24"/>
              </w:rPr>
              <w:t>,</w:t>
            </w:r>
            <w:r w:rsidR="0079176D">
              <w:rPr>
                <w:sz w:val="24"/>
              </w:rPr>
              <w:t xml:space="preserve"> ņemot vērā vidējo gada darba laika kalendāra darba stundu skaitu mēnesī</w:t>
            </w:r>
            <w:r w:rsidR="005220B2">
              <w:rPr>
                <w:sz w:val="24"/>
              </w:rPr>
              <w:t xml:space="preserve"> (ņemot vērā Darba likuma un likuma „Par svētku, atceres un atzīmējamām dienām” normas)</w:t>
            </w:r>
            <w:r w:rsidR="0079176D">
              <w:rPr>
                <w:sz w:val="24"/>
              </w:rPr>
              <w:t>.</w:t>
            </w:r>
            <w:r w:rsidR="001C7CD3">
              <w:rPr>
                <w:sz w:val="24"/>
              </w:rPr>
              <w:t xml:space="preserve"> Tā kā minimālā stundas tarifa likme ir aprēķināta vidēji gad</w:t>
            </w:r>
            <w:r w:rsidR="00C41A3B">
              <w:rPr>
                <w:sz w:val="24"/>
              </w:rPr>
              <w:t>am</w:t>
            </w:r>
            <w:r>
              <w:rPr>
                <w:sz w:val="24"/>
              </w:rPr>
              <w:t xml:space="preserve"> un tā ir nemainīgs lielums</w:t>
            </w:r>
            <w:r w:rsidR="001C7CD3">
              <w:rPr>
                <w:sz w:val="24"/>
              </w:rPr>
              <w:t xml:space="preserve">, tad tā nav taisnīga, </w:t>
            </w:r>
            <w:r>
              <w:rPr>
                <w:sz w:val="24"/>
              </w:rPr>
              <w:t>aprēķinot mēneša darba algu par tiem mēnešiem, kuros</w:t>
            </w:r>
            <w:r w:rsidR="001C7CD3">
              <w:rPr>
                <w:sz w:val="24"/>
              </w:rPr>
              <w:t xml:space="preserve"> darba stundu skaits </w:t>
            </w:r>
            <w:r w:rsidR="00A24CAE">
              <w:rPr>
                <w:sz w:val="24"/>
              </w:rPr>
              <w:t xml:space="preserve">mēnesī </w:t>
            </w:r>
            <w:r w:rsidR="00B25F2A">
              <w:rPr>
                <w:sz w:val="24"/>
              </w:rPr>
              <w:t xml:space="preserve">ir </w:t>
            </w:r>
            <w:r w:rsidR="001C7CD3">
              <w:rPr>
                <w:sz w:val="24"/>
              </w:rPr>
              <w:t>mazāks par gada vidējo darba stundu skaitu mēnesī</w:t>
            </w:r>
            <w:r>
              <w:rPr>
                <w:sz w:val="24"/>
              </w:rPr>
              <w:t xml:space="preserve"> vai</w:t>
            </w:r>
            <w:r w:rsidR="001C7CD3">
              <w:rPr>
                <w:sz w:val="24"/>
              </w:rPr>
              <w:t xml:space="preserve"> ir lielāks par gada vidējo darba stundu skaitu mēnesī.</w:t>
            </w:r>
          </w:p>
          <w:p w:rsidR="008C0329" w:rsidRPr="007B03E1" w:rsidRDefault="007B03E1" w:rsidP="00F24D71">
            <w:pPr>
              <w:pStyle w:val="Footer"/>
              <w:tabs>
                <w:tab w:val="clear" w:pos="4153"/>
                <w:tab w:val="clear" w:pos="8306"/>
              </w:tabs>
              <w:jc w:val="both"/>
              <w:rPr>
                <w:sz w:val="24"/>
                <w:u w:val="single"/>
              </w:rPr>
            </w:pPr>
            <w:r w:rsidRPr="007B03E1">
              <w:rPr>
                <w:sz w:val="24"/>
                <w:u w:val="single"/>
              </w:rPr>
              <w:t>Piemēram:</w:t>
            </w:r>
          </w:p>
          <w:p w:rsidR="001C7CD3" w:rsidRDefault="003857DC" w:rsidP="00F24D71">
            <w:pPr>
              <w:pStyle w:val="Footer"/>
              <w:tabs>
                <w:tab w:val="clear" w:pos="4153"/>
                <w:tab w:val="clear" w:pos="8306"/>
              </w:tabs>
              <w:jc w:val="both"/>
              <w:rPr>
                <w:sz w:val="24"/>
              </w:rPr>
            </w:pPr>
            <w:r>
              <w:rPr>
                <w:sz w:val="24"/>
              </w:rPr>
              <w:t>2015.gadā vidējais darba stundu skaits mēnesī ir 166,17 stundas un minimālā stundas tarifa likme ir 2,166 </w:t>
            </w:r>
            <w:proofErr w:type="spellStart"/>
            <w:r w:rsidRPr="008C0329">
              <w:rPr>
                <w:i/>
                <w:sz w:val="24"/>
              </w:rPr>
              <w:t>euro</w:t>
            </w:r>
            <w:proofErr w:type="spellEnd"/>
            <w:r>
              <w:rPr>
                <w:i/>
                <w:sz w:val="24"/>
              </w:rPr>
              <w:t>.</w:t>
            </w:r>
            <w:r>
              <w:rPr>
                <w:sz w:val="24"/>
              </w:rPr>
              <w:t xml:space="preserve"> </w:t>
            </w:r>
            <w:r w:rsidR="001C7CD3">
              <w:rPr>
                <w:sz w:val="24"/>
              </w:rPr>
              <w:t xml:space="preserve">2015.gada </w:t>
            </w:r>
            <w:r w:rsidR="008C0329">
              <w:rPr>
                <w:sz w:val="24"/>
              </w:rPr>
              <w:t>martā</w:t>
            </w:r>
            <w:r w:rsidR="001C7CD3">
              <w:rPr>
                <w:sz w:val="24"/>
              </w:rPr>
              <w:t xml:space="preserve"> – darba stundu skaits ir 176</w:t>
            </w:r>
            <w:r w:rsidR="008C0329">
              <w:rPr>
                <w:sz w:val="24"/>
              </w:rPr>
              <w:t> </w:t>
            </w:r>
            <w:r w:rsidR="001C7CD3">
              <w:rPr>
                <w:sz w:val="24"/>
              </w:rPr>
              <w:t xml:space="preserve">stundas, </w:t>
            </w:r>
            <w:r>
              <w:rPr>
                <w:sz w:val="24"/>
              </w:rPr>
              <w:t xml:space="preserve">tāpēc </w:t>
            </w:r>
            <w:r w:rsidR="001C7CD3">
              <w:rPr>
                <w:sz w:val="24"/>
              </w:rPr>
              <w:t xml:space="preserve">darba devējs darbiniekam pārmaksā </w:t>
            </w:r>
            <w:r w:rsidR="008C0329">
              <w:rPr>
                <w:sz w:val="24"/>
              </w:rPr>
              <w:t>21,22 </w:t>
            </w:r>
            <w:proofErr w:type="spellStart"/>
            <w:r w:rsidR="008C0329" w:rsidRPr="007B03E1">
              <w:rPr>
                <w:i/>
                <w:sz w:val="24"/>
              </w:rPr>
              <w:t>euro</w:t>
            </w:r>
            <w:proofErr w:type="spellEnd"/>
            <w:r w:rsidR="008C0329">
              <w:rPr>
                <w:sz w:val="24"/>
              </w:rPr>
              <w:t xml:space="preserve"> (176 stundas x 2,166 </w:t>
            </w:r>
            <w:proofErr w:type="spellStart"/>
            <w:r w:rsidR="008C0329" w:rsidRPr="007B03E1">
              <w:rPr>
                <w:i/>
                <w:sz w:val="24"/>
              </w:rPr>
              <w:t>euro</w:t>
            </w:r>
            <w:proofErr w:type="spellEnd"/>
            <w:r w:rsidR="008C0329">
              <w:rPr>
                <w:sz w:val="24"/>
              </w:rPr>
              <w:t xml:space="preserve"> = 381,22 </w:t>
            </w:r>
            <w:proofErr w:type="spellStart"/>
            <w:r w:rsidR="008C0329" w:rsidRPr="007B03E1">
              <w:rPr>
                <w:i/>
                <w:sz w:val="24"/>
              </w:rPr>
              <w:t>euro</w:t>
            </w:r>
            <w:proofErr w:type="spellEnd"/>
            <w:r w:rsidR="008C0329">
              <w:rPr>
                <w:sz w:val="24"/>
              </w:rPr>
              <w:t>),</w:t>
            </w:r>
          </w:p>
          <w:p w:rsidR="008C0329" w:rsidRDefault="008C0329" w:rsidP="00F24D71">
            <w:pPr>
              <w:pStyle w:val="Footer"/>
              <w:tabs>
                <w:tab w:val="clear" w:pos="4153"/>
                <w:tab w:val="clear" w:pos="8306"/>
              </w:tabs>
              <w:jc w:val="both"/>
              <w:rPr>
                <w:sz w:val="24"/>
              </w:rPr>
            </w:pPr>
            <w:r>
              <w:rPr>
                <w:sz w:val="24"/>
              </w:rPr>
              <w:t xml:space="preserve">Minimālā mēneša darba alga ir 360 </w:t>
            </w:r>
            <w:proofErr w:type="spellStart"/>
            <w:r w:rsidRPr="007B03E1">
              <w:rPr>
                <w:i/>
                <w:sz w:val="24"/>
              </w:rPr>
              <w:t>euro</w:t>
            </w:r>
            <w:proofErr w:type="spellEnd"/>
            <w:r>
              <w:rPr>
                <w:sz w:val="24"/>
              </w:rPr>
              <w:t xml:space="preserve">, 381,22 – 360 </w:t>
            </w:r>
            <w:proofErr w:type="spellStart"/>
            <w:r w:rsidRPr="007B03E1">
              <w:rPr>
                <w:i/>
                <w:sz w:val="24"/>
              </w:rPr>
              <w:t>euro</w:t>
            </w:r>
            <w:proofErr w:type="spellEnd"/>
            <w:r>
              <w:rPr>
                <w:sz w:val="24"/>
              </w:rPr>
              <w:t xml:space="preserve"> = 21,22 </w:t>
            </w:r>
            <w:proofErr w:type="spellStart"/>
            <w:r w:rsidRPr="007B03E1">
              <w:rPr>
                <w:i/>
                <w:sz w:val="24"/>
              </w:rPr>
              <w:t>euro</w:t>
            </w:r>
            <w:proofErr w:type="spellEnd"/>
            <w:r>
              <w:rPr>
                <w:sz w:val="24"/>
              </w:rPr>
              <w:t>.</w:t>
            </w:r>
          </w:p>
          <w:p w:rsidR="008C0329" w:rsidRDefault="003857DC" w:rsidP="008C0329">
            <w:pPr>
              <w:pStyle w:val="Footer"/>
              <w:tabs>
                <w:tab w:val="clear" w:pos="4153"/>
                <w:tab w:val="clear" w:pos="8306"/>
              </w:tabs>
              <w:jc w:val="both"/>
              <w:rPr>
                <w:sz w:val="24"/>
              </w:rPr>
            </w:pPr>
            <w:r>
              <w:rPr>
                <w:sz w:val="24"/>
              </w:rPr>
              <w:lastRenderedPageBreak/>
              <w:t xml:space="preserve">Savukārt, </w:t>
            </w:r>
            <w:r w:rsidR="008C0329">
              <w:rPr>
                <w:sz w:val="24"/>
              </w:rPr>
              <w:t xml:space="preserve">2015.gada februārī – darba stundu skaits ir 160 stundas, </w:t>
            </w:r>
            <w:r>
              <w:rPr>
                <w:sz w:val="24"/>
              </w:rPr>
              <w:t>tāpēc</w:t>
            </w:r>
            <w:r w:rsidR="008C0329">
              <w:rPr>
                <w:sz w:val="24"/>
              </w:rPr>
              <w:t xml:space="preserve"> darba devēj</w:t>
            </w:r>
            <w:r>
              <w:rPr>
                <w:sz w:val="24"/>
              </w:rPr>
              <w:t>am ir jāpiemaksā</w:t>
            </w:r>
            <w:r w:rsidR="008C0329">
              <w:rPr>
                <w:sz w:val="24"/>
              </w:rPr>
              <w:t xml:space="preserve"> darbiniekam </w:t>
            </w:r>
            <w:r w:rsidR="007B03E1">
              <w:rPr>
                <w:sz w:val="24"/>
              </w:rPr>
              <w:t>13,44</w:t>
            </w:r>
            <w:r w:rsidR="008C0329">
              <w:rPr>
                <w:sz w:val="24"/>
              </w:rPr>
              <w:t> </w:t>
            </w:r>
            <w:proofErr w:type="spellStart"/>
            <w:r w:rsidR="008C0329" w:rsidRPr="007B03E1">
              <w:rPr>
                <w:i/>
                <w:sz w:val="24"/>
              </w:rPr>
              <w:t>euro</w:t>
            </w:r>
            <w:proofErr w:type="spellEnd"/>
            <w:r w:rsidR="008C0329">
              <w:rPr>
                <w:sz w:val="24"/>
              </w:rPr>
              <w:t xml:space="preserve"> (1</w:t>
            </w:r>
            <w:r w:rsidR="007B03E1">
              <w:rPr>
                <w:sz w:val="24"/>
              </w:rPr>
              <w:t>60</w:t>
            </w:r>
            <w:r w:rsidR="008C0329">
              <w:rPr>
                <w:sz w:val="24"/>
              </w:rPr>
              <w:t xml:space="preserve"> stundas x 2,166 </w:t>
            </w:r>
            <w:proofErr w:type="spellStart"/>
            <w:r w:rsidR="008C0329" w:rsidRPr="007B03E1">
              <w:rPr>
                <w:i/>
                <w:sz w:val="24"/>
              </w:rPr>
              <w:t>euro</w:t>
            </w:r>
            <w:proofErr w:type="spellEnd"/>
            <w:r w:rsidR="008C0329">
              <w:rPr>
                <w:sz w:val="24"/>
              </w:rPr>
              <w:t xml:space="preserve"> = </w:t>
            </w:r>
            <w:r w:rsidR="007B03E1">
              <w:rPr>
                <w:sz w:val="24"/>
              </w:rPr>
              <w:t>346,56</w:t>
            </w:r>
            <w:r w:rsidR="008C0329">
              <w:rPr>
                <w:sz w:val="24"/>
              </w:rPr>
              <w:t xml:space="preserve"> </w:t>
            </w:r>
            <w:proofErr w:type="spellStart"/>
            <w:r w:rsidR="008C0329" w:rsidRPr="007B03E1">
              <w:rPr>
                <w:i/>
                <w:sz w:val="24"/>
              </w:rPr>
              <w:t>euro</w:t>
            </w:r>
            <w:proofErr w:type="spellEnd"/>
            <w:r w:rsidR="008C0329">
              <w:rPr>
                <w:sz w:val="24"/>
              </w:rPr>
              <w:t>),</w:t>
            </w:r>
            <w:r>
              <w:rPr>
                <w:sz w:val="24"/>
              </w:rPr>
              <w:t xml:space="preserve"> lai darba alga sasniegtu likumā noteikto minimālo algu</w:t>
            </w:r>
          </w:p>
          <w:p w:rsidR="008C0329" w:rsidRDefault="008C0329" w:rsidP="008C0329">
            <w:pPr>
              <w:pStyle w:val="Footer"/>
              <w:tabs>
                <w:tab w:val="clear" w:pos="4153"/>
                <w:tab w:val="clear" w:pos="8306"/>
              </w:tabs>
              <w:jc w:val="both"/>
              <w:rPr>
                <w:sz w:val="24"/>
              </w:rPr>
            </w:pPr>
            <w:r>
              <w:rPr>
                <w:sz w:val="24"/>
              </w:rPr>
              <w:t xml:space="preserve">Minimālā mēneša darba alga ir 360 </w:t>
            </w:r>
            <w:proofErr w:type="spellStart"/>
            <w:r w:rsidRPr="007B03E1">
              <w:rPr>
                <w:i/>
                <w:sz w:val="24"/>
              </w:rPr>
              <w:t>euro</w:t>
            </w:r>
            <w:proofErr w:type="spellEnd"/>
            <w:r>
              <w:rPr>
                <w:sz w:val="24"/>
              </w:rPr>
              <w:t xml:space="preserve">, </w:t>
            </w:r>
            <w:r w:rsidR="007B03E1">
              <w:rPr>
                <w:sz w:val="24"/>
              </w:rPr>
              <w:t>360</w:t>
            </w:r>
            <w:r>
              <w:rPr>
                <w:sz w:val="24"/>
              </w:rPr>
              <w:t xml:space="preserve"> – 3</w:t>
            </w:r>
            <w:r w:rsidR="007B03E1">
              <w:rPr>
                <w:sz w:val="24"/>
              </w:rPr>
              <w:t>46,56</w:t>
            </w:r>
            <w:r>
              <w:rPr>
                <w:sz w:val="24"/>
              </w:rPr>
              <w:t xml:space="preserve"> </w:t>
            </w:r>
            <w:proofErr w:type="spellStart"/>
            <w:r w:rsidRPr="007B03E1">
              <w:rPr>
                <w:i/>
                <w:sz w:val="24"/>
              </w:rPr>
              <w:t>euro</w:t>
            </w:r>
            <w:proofErr w:type="spellEnd"/>
            <w:r>
              <w:rPr>
                <w:sz w:val="24"/>
              </w:rPr>
              <w:t xml:space="preserve"> = </w:t>
            </w:r>
            <w:r w:rsidR="007B03E1">
              <w:rPr>
                <w:sz w:val="24"/>
              </w:rPr>
              <w:t>13,44</w:t>
            </w:r>
            <w:r>
              <w:rPr>
                <w:sz w:val="24"/>
              </w:rPr>
              <w:t xml:space="preserve"> </w:t>
            </w:r>
            <w:proofErr w:type="spellStart"/>
            <w:r w:rsidRPr="007B03E1">
              <w:rPr>
                <w:i/>
                <w:sz w:val="24"/>
              </w:rPr>
              <w:t>euro</w:t>
            </w:r>
            <w:proofErr w:type="spellEnd"/>
            <w:r>
              <w:rPr>
                <w:sz w:val="24"/>
              </w:rPr>
              <w:t>.</w:t>
            </w:r>
          </w:p>
          <w:p w:rsidR="004F4D8C" w:rsidRDefault="004F4D8C" w:rsidP="00F24D71">
            <w:pPr>
              <w:pStyle w:val="Footer"/>
              <w:tabs>
                <w:tab w:val="clear" w:pos="4153"/>
                <w:tab w:val="clear" w:pos="8306"/>
              </w:tabs>
              <w:jc w:val="both"/>
              <w:rPr>
                <w:sz w:val="24"/>
              </w:rPr>
            </w:pPr>
          </w:p>
          <w:p w:rsidR="004F4D8C" w:rsidRPr="004F4D8C" w:rsidRDefault="005220B2" w:rsidP="00F24D71">
            <w:pPr>
              <w:pStyle w:val="Footer"/>
              <w:tabs>
                <w:tab w:val="clear" w:pos="4153"/>
                <w:tab w:val="clear" w:pos="8306"/>
              </w:tabs>
              <w:jc w:val="both"/>
              <w:rPr>
                <w:b/>
                <w:sz w:val="24"/>
              </w:rPr>
            </w:pPr>
            <w:r>
              <w:rPr>
                <w:b/>
                <w:sz w:val="24"/>
              </w:rPr>
              <w:t>2. Dažāds</w:t>
            </w:r>
            <w:r w:rsidR="004F4D8C" w:rsidRPr="004F4D8C">
              <w:rPr>
                <w:b/>
                <w:sz w:val="24"/>
              </w:rPr>
              <w:t xml:space="preserve"> aprēķinātais minimālās mēneša darba algas apmērs.</w:t>
            </w:r>
          </w:p>
          <w:p w:rsidR="007645C3" w:rsidRDefault="007B03E1" w:rsidP="00F24D71">
            <w:pPr>
              <w:pStyle w:val="Footer"/>
              <w:tabs>
                <w:tab w:val="clear" w:pos="4153"/>
                <w:tab w:val="clear" w:pos="8306"/>
              </w:tabs>
              <w:jc w:val="both"/>
              <w:rPr>
                <w:sz w:val="24"/>
              </w:rPr>
            </w:pPr>
            <w:r>
              <w:rPr>
                <w:sz w:val="24"/>
              </w:rPr>
              <w:t>Esošā sistēma normāla darba laika ietvaros ir atšķirīga darbiniekiem, kuriem darba alga ir noteikta minimālās mēneša darba algas apmērā salīdzinājumā ar darbinieku aprēķināto minimālo mēneša darba algu, kuriem nolīgta laika algas sistēma ar minimālās stundas tarifa likmes apmaksu.</w:t>
            </w:r>
          </w:p>
          <w:p w:rsidR="007B03E1" w:rsidRPr="007B03E1" w:rsidRDefault="007B03E1" w:rsidP="00F24D71">
            <w:pPr>
              <w:pStyle w:val="Footer"/>
              <w:tabs>
                <w:tab w:val="clear" w:pos="4153"/>
                <w:tab w:val="clear" w:pos="8306"/>
              </w:tabs>
              <w:jc w:val="both"/>
              <w:rPr>
                <w:sz w:val="24"/>
                <w:u w:val="single"/>
              </w:rPr>
            </w:pPr>
            <w:r w:rsidRPr="007B03E1">
              <w:rPr>
                <w:sz w:val="24"/>
                <w:u w:val="single"/>
              </w:rPr>
              <w:t>Piemēram:</w:t>
            </w:r>
          </w:p>
          <w:p w:rsidR="00D50E6A" w:rsidRDefault="007B03E1" w:rsidP="00F24D71">
            <w:pPr>
              <w:pStyle w:val="Footer"/>
              <w:tabs>
                <w:tab w:val="clear" w:pos="4153"/>
                <w:tab w:val="clear" w:pos="8306"/>
              </w:tabs>
              <w:jc w:val="both"/>
              <w:rPr>
                <w:sz w:val="24"/>
              </w:rPr>
            </w:pPr>
            <w:r>
              <w:rPr>
                <w:sz w:val="24"/>
              </w:rPr>
              <w:t xml:space="preserve">2015.gada martā – normāla darba laika ietvaros </w:t>
            </w:r>
            <w:r w:rsidR="00D50E6A">
              <w:rPr>
                <w:sz w:val="24"/>
              </w:rPr>
              <w:t xml:space="preserve">darbiniekiem, kuriem darba alga ir noteikta </w:t>
            </w:r>
            <w:r>
              <w:rPr>
                <w:sz w:val="24"/>
              </w:rPr>
              <w:t>minimālā</w:t>
            </w:r>
            <w:r w:rsidR="009F2D50">
              <w:rPr>
                <w:sz w:val="24"/>
              </w:rPr>
              <w:t>s</w:t>
            </w:r>
            <w:r>
              <w:rPr>
                <w:sz w:val="24"/>
              </w:rPr>
              <w:t xml:space="preserve"> mēneša darba alga</w:t>
            </w:r>
            <w:r w:rsidR="00D50E6A">
              <w:rPr>
                <w:sz w:val="24"/>
              </w:rPr>
              <w:t xml:space="preserve">s apmērā ir – </w:t>
            </w:r>
            <w:r>
              <w:rPr>
                <w:sz w:val="24"/>
              </w:rPr>
              <w:t xml:space="preserve">360 </w:t>
            </w:r>
            <w:proofErr w:type="spellStart"/>
            <w:r w:rsidRPr="00D50E6A">
              <w:rPr>
                <w:i/>
                <w:sz w:val="24"/>
              </w:rPr>
              <w:t>euro</w:t>
            </w:r>
            <w:proofErr w:type="spellEnd"/>
            <w:r>
              <w:rPr>
                <w:sz w:val="24"/>
              </w:rPr>
              <w:t xml:space="preserve">, bet </w:t>
            </w:r>
            <w:r w:rsidR="00D50E6A">
              <w:rPr>
                <w:sz w:val="24"/>
              </w:rPr>
              <w:t>darbiniekiem, kuriem nolīgta laika algas sistēma ar minimāl</w:t>
            </w:r>
            <w:r w:rsidR="009F2D50">
              <w:rPr>
                <w:sz w:val="24"/>
              </w:rPr>
              <w:t>o</w:t>
            </w:r>
            <w:r w:rsidR="00D50E6A">
              <w:rPr>
                <w:sz w:val="24"/>
              </w:rPr>
              <w:t xml:space="preserve"> stundas tarifa likmes apmaksu – ir 381,22 </w:t>
            </w:r>
            <w:proofErr w:type="spellStart"/>
            <w:r w:rsidR="00D50E6A" w:rsidRPr="00D50E6A">
              <w:rPr>
                <w:i/>
                <w:sz w:val="24"/>
              </w:rPr>
              <w:t>euro</w:t>
            </w:r>
            <w:proofErr w:type="spellEnd"/>
            <w:r w:rsidR="00D50E6A">
              <w:rPr>
                <w:sz w:val="24"/>
              </w:rPr>
              <w:t>.</w:t>
            </w:r>
          </w:p>
          <w:p w:rsidR="004F4D8C" w:rsidRDefault="004F4D8C" w:rsidP="00F24D71">
            <w:pPr>
              <w:pStyle w:val="Footer"/>
              <w:tabs>
                <w:tab w:val="clear" w:pos="4153"/>
                <w:tab w:val="clear" w:pos="8306"/>
              </w:tabs>
              <w:jc w:val="both"/>
              <w:rPr>
                <w:sz w:val="24"/>
              </w:rPr>
            </w:pPr>
          </w:p>
          <w:p w:rsidR="00822C04" w:rsidRPr="00822C04" w:rsidRDefault="005220B2" w:rsidP="00F24D71">
            <w:pPr>
              <w:pStyle w:val="Footer"/>
              <w:tabs>
                <w:tab w:val="clear" w:pos="4153"/>
                <w:tab w:val="clear" w:pos="8306"/>
              </w:tabs>
              <w:jc w:val="both"/>
              <w:rPr>
                <w:b/>
                <w:sz w:val="24"/>
              </w:rPr>
            </w:pPr>
            <w:proofErr w:type="gramStart"/>
            <w:r>
              <w:rPr>
                <w:b/>
                <w:sz w:val="24"/>
              </w:rPr>
              <w:t>3. </w:t>
            </w:r>
            <w:r w:rsidR="00822C04" w:rsidRPr="00822C04">
              <w:rPr>
                <w:b/>
                <w:sz w:val="24"/>
              </w:rPr>
              <w:t>Pretrunīgas Ministru kabineta noteikumu normas</w:t>
            </w:r>
            <w:proofErr w:type="gramEnd"/>
            <w:r w:rsidR="004F4D8C">
              <w:rPr>
                <w:b/>
                <w:sz w:val="24"/>
              </w:rPr>
              <w:t>.</w:t>
            </w:r>
          </w:p>
          <w:p w:rsidR="008C0329" w:rsidRDefault="00B25F2A" w:rsidP="00F24D71">
            <w:pPr>
              <w:pStyle w:val="Footer"/>
              <w:tabs>
                <w:tab w:val="clear" w:pos="4153"/>
                <w:tab w:val="clear" w:pos="8306"/>
              </w:tabs>
              <w:jc w:val="both"/>
              <w:rPr>
                <w:sz w:val="24"/>
              </w:rPr>
            </w:pPr>
            <w:r>
              <w:rPr>
                <w:sz w:val="24"/>
              </w:rPr>
              <w:t>J</w:t>
            </w:r>
            <w:r w:rsidR="00822C04">
              <w:rPr>
                <w:sz w:val="24"/>
              </w:rPr>
              <w:t xml:space="preserve">a Ministru kabinets pieņem lēmumu par minimālās mēneša darba algas saglabāšanu nākamajam periodam (gadam) iepriekšējā apmērā, </w:t>
            </w:r>
            <w:r>
              <w:rPr>
                <w:sz w:val="24"/>
              </w:rPr>
              <w:t>saskaņā ar noteikumiem Nr.390</w:t>
            </w:r>
            <w:r w:rsidR="00822C04">
              <w:rPr>
                <w:sz w:val="24"/>
              </w:rPr>
              <w:t xml:space="preserve"> Labklājības ministrijai n</w:t>
            </w:r>
            <w:r>
              <w:rPr>
                <w:sz w:val="24"/>
              </w:rPr>
              <w:t>ebūtu</w:t>
            </w:r>
            <w:r w:rsidR="00822C04">
              <w:rPr>
                <w:sz w:val="24"/>
              </w:rPr>
              <w:t xml:space="preserve"> jā</w:t>
            </w:r>
            <w:r>
              <w:rPr>
                <w:sz w:val="24"/>
              </w:rPr>
              <w:t>gatavo</w:t>
            </w:r>
            <w:r w:rsidR="00822C04">
              <w:rPr>
                <w:sz w:val="24"/>
              </w:rPr>
              <w:t xml:space="preserve"> </w:t>
            </w:r>
            <w:r>
              <w:rPr>
                <w:sz w:val="24"/>
              </w:rPr>
              <w:t>grozījumi</w:t>
            </w:r>
            <w:r w:rsidR="00822C04">
              <w:rPr>
                <w:sz w:val="24"/>
              </w:rPr>
              <w:t xml:space="preserve"> </w:t>
            </w:r>
            <w:r w:rsidR="00822C04" w:rsidRPr="003317D9">
              <w:rPr>
                <w:sz w:val="24"/>
              </w:rPr>
              <w:t>noteikum</w:t>
            </w:r>
            <w:r w:rsidR="00822C04">
              <w:rPr>
                <w:sz w:val="24"/>
              </w:rPr>
              <w:t>os</w:t>
            </w:r>
            <w:r w:rsidR="00D43E0D">
              <w:rPr>
                <w:sz w:val="24"/>
              </w:rPr>
              <w:t xml:space="preserve"> Nr.665</w:t>
            </w:r>
            <w:r w:rsidR="00822C04">
              <w:rPr>
                <w:sz w:val="24"/>
              </w:rPr>
              <w:t>, bet</w:t>
            </w:r>
            <w:r w:rsidR="00FE76E3">
              <w:rPr>
                <w:sz w:val="24"/>
              </w:rPr>
              <w:t>,</w:t>
            </w:r>
            <w:r w:rsidR="00822C04">
              <w:rPr>
                <w:sz w:val="24"/>
              </w:rPr>
              <w:t xml:space="preserve"> tā kā darba stundu skaits </w:t>
            </w:r>
            <w:r w:rsidR="009F2D50">
              <w:rPr>
                <w:sz w:val="24"/>
              </w:rPr>
              <w:t xml:space="preserve">dažādos </w:t>
            </w:r>
            <w:r w:rsidR="00822C04">
              <w:rPr>
                <w:sz w:val="24"/>
              </w:rPr>
              <w:t>gad</w:t>
            </w:r>
            <w:r w:rsidR="009F2D50">
              <w:rPr>
                <w:sz w:val="24"/>
              </w:rPr>
              <w:t>os</w:t>
            </w:r>
            <w:r w:rsidR="00822C04">
              <w:rPr>
                <w:sz w:val="24"/>
              </w:rPr>
              <w:t xml:space="preserve"> atšķiras, </w:t>
            </w:r>
            <w:r>
              <w:rPr>
                <w:sz w:val="24"/>
              </w:rPr>
              <w:t xml:space="preserve">tad tomēr </w:t>
            </w:r>
            <w:r w:rsidR="00822C04">
              <w:rPr>
                <w:sz w:val="24"/>
              </w:rPr>
              <w:t>ir jā</w:t>
            </w:r>
            <w:r>
              <w:rPr>
                <w:sz w:val="24"/>
              </w:rPr>
              <w:t>gatavo</w:t>
            </w:r>
            <w:r w:rsidR="00822C04">
              <w:rPr>
                <w:sz w:val="24"/>
              </w:rPr>
              <w:t xml:space="preserve"> grozījumi noteikumos Nr.665</w:t>
            </w:r>
            <w:r w:rsidR="004F4D8C">
              <w:rPr>
                <w:sz w:val="24"/>
              </w:rPr>
              <w:t>, lai noteiktu jaunu minimālās stundas tarifa likmi konkrētajam gadam</w:t>
            </w:r>
            <w:r w:rsidR="00822C04">
              <w:rPr>
                <w:sz w:val="24"/>
              </w:rPr>
              <w:t xml:space="preserve">, kas </w:t>
            </w:r>
            <w:r>
              <w:rPr>
                <w:sz w:val="24"/>
              </w:rPr>
              <w:t>neatbilst</w:t>
            </w:r>
            <w:r w:rsidR="00822C04">
              <w:rPr>
                <w:sz w:val="24"/>
              </w:rPr>
              <w:t xml:space="preserve"> noteikum</w:t>
            </w:r>
            <w:r>
              <w:rPr>
                <w:sz w:val="24"/>
              </w:rPr>
              <w:t>u</w:t>
            </w:r>
            <w:r w:rsidR="00822C04">
              <w:rPr>
                <w:sz w:val="24"/>
              </w:rPr>
              <w:t xml:space="preserve"> Nr.390</w:t>
            </w:r>
            <w:r>
              <w:rPr>
                <w:sz w:val="24"/>
              </w:rPr>
              <w:t xml:space="preserve"> normām</w:t>
            </w:r>
            <w:r w:rsidR="00822C04">
              <w:rPr>
                <w:sz w:val="24"/>
              </w:rPr>
              <w:t>.</w:t>
            </w:r>
          </w:p>
          <w:p w:rsidR="00822C04" w:rsidRDefault="00822C04" w:rsidP="00F24D71">
            <w:pPr>
              <w:pStyle w:val="Footer"/>
              <w:tabs>
                <w:tab w:val="clear" w:pos="4153"/>
                <w:tab w:val="clear" w:pos="8306"/>
              </w:tabs>
              <w:jc w:val="both"/>
              <w:rPr>
                <w:sz w:val="24"/>
              </w:rPr>
            </w:pPr>
          </w:p>
          <w:p w:rsidR="0058492F" w:rsidRDefault="0058492F" w:rsidP="00F24D71">
            <w:pPr>
              <w:pStyle w:val="Footer"/>
              <w:tabs>
                <w:tab w:val="clear" w:pos="4153"/>
                <w:tab w:val="clear" w:pos="8306"/>
              </w:tabs>
              <w:jc w:val="both"/>
              <w:rPr>
                <w:sz w:val="24"/>
              </w:rPr>
            </w:pPr>
            <w:r>
              <w:rPr>
                <w:sz w:val="24"/>
              </w:rPr>
              <w:t xml:space="preserve">Lai esošo sistēmu padarītu taisnīgāku un minimālo mēneša darba algu aprēķinātu atbilstoši mēnesī noteiktām darba stundām, nevis vidēji uz gadu, nepieciešams noteikt minimālās stundas tarifa likmes aprēķināšanas formulu mēnesim atbilstoši normālam darba laikam. Līdz ar to tiks samazināts </w:t>
            </w:r>
            <w:r w:rsidR="009F2D50">
              <w:rPr>
                <w:sz w:val="24"/>
              </w:rPr>
              <w:t xml:space="preserve">arī </w:t>
            </w:r>
            <w:r>
              <w:rPr>
                <w:sz w:val="24"/>
              </w:rPr>
              <w:t>Ministru kabinetā izskatāmo Ministru kabineta noteikumu skaits, lai īstenotu mērķi – ierobežot tiesiskā regulējuma pārmērīgu jaunradi, kā arī novērst pārāk detalizētu un sīkumainu tiesisko regulējumu.</w:t>
            </w:r>
          </w:p>
          <w:p w:rsidR="00736D07" w:rsidRDefault="00245432" w:rsidP="00F24D71">
            <w:pPr>
              <w:pStyle w:val="Footer"/>
              <w:tabs>
                <w:tab w:val="clear" w:pos="4153"/>
                <w:tab w:val="clear" w:pos="8306"/>
              </w:tabs>
              <w:jc w:val="both"/>
              <w:rPr>
                <w:sz w:val="24"/>
              </w:rPr>
            </w:pPr>
            <w:r>
              <w:rPr>
                <w:sz w:val="24"/>
              </w:rPr>
              <w:t>Attiecīgi n</w:t>
            </w:r>
            <w:r w:rsidR="00736D07">
              <w:rPr>
                <w:sz w:val="24"/>
              </w:rPr>
              <w:t xml:space="preserve">epieciešams izstrādāt Ministru kabineta noteikumu projektu </w:t>
            </w:r>
            <w:r w:rsidR="00736D07" w:rsidRPr="00736D07">
              <w:rPr>
                <w:sz w:val="24"/>
              </w:rPr>
              <w:t>„Noteikumi par minimālās mēneša darba algas apmēru normāla darba laika ietvaros</w:t>
            </w:r>
            <w:r w:rsidR="00D72B60">
              <w:rPr>
                <w:sz w:val="24"/>
              </w:rPr>
              <w:t xml:space="preserve"> un</w:t>
            </w:r>
            <w:r w:rsidR="00736D07" w:rsidRPr="00736D07">
              <w:rPr>
                <w:sz w:val="24"/>
              </w:rPr>
              <w:t xml:space="preserve"> minimālās stundas tarifa likmes aprēķināšanu</w:t>
            </w:r>
            <w:r w:rsidR="00736D07">
              <w:rPr>
                <w:sz w:val="24"/>
              </w:rPr>
              <w:t>”</w:t>
            </w:r>
            <w:r w:rsidR="00413F97">
              <w:rPr>
                <w:sz w:val="24"/>
              </w:rPr>
              <w:t xml:space="preserve"> (turpmāk – noteikumi)</w:t>
            </w:r>
            <w:r w:rsidR="00736D07">
              <w:rPr>
                <w:sz w:val="24"/>
              </w:rPr>
              <w:t xml:space="preserve">, kura mērķis ir </w:t>
            </w:r>
            <w:r w:rsidR="00F103CF">
              <w:rPr>
                <w:sz w:val="24"/>
              </w:rPr>
              <w:t xml:space="preserve">nodrošināt tiesisku pamatu </w:t>
            </w:r>
            <w:r w:rsidR="00F103CF" w:rsidRPr="003317D9">
              <w:rPr>
                <w:sz w:val="24"/>
              </w:rPr>
              <w:t xml:space="preserve">minimālās mēneša darba algas </w:t>
            </w:r>
            <w:r w:rsidR="00F103CF">
              <w:rPr>
                <w:sz w:val="24"/>
              </w:rPr>
              <w:t xml:space="preserve">apmēram (370 </w:t>
            </w:r>
            <w:proofErr w:type="spellStart"/>
            <w:r w:rsidR="00F103CF" w:rsidRPr="00F103CF">
              <w:rPr>
                <w:i/>
                <w:sz w:val="24"/>
              </w:rPr>
              <w:t>euro</w:t>
            </w:r>
            <w:proofErr w:type="spellEnd"/>
            <w:r w:rsidR="00F103CF">
              <w:rPr>
                <w:sz w:val="24"/>
              </w:rPr>
              <w:t xml:space="preserve">) un </w:t>
            </w:r>
            <w:r w:rsidR="00736D07">
              <w:rPr>
                <w:sz w:val="24"/>
              </w:rPr>
              <w:t>izmainīt minimālās stundas tarifa likmes aprēķināšanu, iekļaujot attiecīg</w:t>
            </w:r>
            <w:r w:rsidR="0095702A">
              <w:rPr>
                <w:sz w:val="24"/>
              </w:rPr>
              <w:t>o</w:t>
            </w:r>
            <w:r w:rsidR="00736D07">
              <w:rPr>
                <w:sz w:val="24"/>
              </w:rPr>
              <w:t xml:space="preserve"> formul</w:t>
            </w:r>
            <w:r w:rsidR="0095702A">
              <w:rPr>
                <w:sz w:val="24"/>
              </w:rPr>
              <w:t>u</w:t>
            </w:r>
            <w:r w:rsidR="00736D07">
              <w:rPr>
                <w:sz w:val="24"/>
              </w:rPr>
              <w:t xml:space="preserve"> un nodrošinot tiesisku pamatu š</w:t>
            </w:r>
            <w:r w:rsidR="0095702A">
              <w:rPr>
                <w:sz w:val="24"/>
              </w:rPr>
              <w:t>īs</w:t>
            </w:r>
            <w:r w:rsidR="00736D07">
              <w:rPr>
                <w:sz w:val="24"/>
              </w:rPr>
              <w:t xml:space="preserve"> formul</w:t>
            </w:r>
            <w:r w:rsidR="0095702A">
              <w:rPr>
                <w:sz w:val="24"/>
              </w:rPr>
              <w:t>as</w:t>
            </w:r>
            <w:r w:rsidR="00736D07">
              <w:rPr>
                <w:sz w:val="24"/>
              </w:rPr>
              <w:t xml:space="preserve"> </w:t>
            </w:r>
            <w:r>
              <w:rPr>
                <w:sz w:val="24"/>
              </w:rPr>
              <w:t>piemērošanai</w:t>
            </w:r>
            <w:r w:rsidR="00736D07">
              <w:rPr>
                <w:sz w:val="24"/>
              </w:rPr>
              <w:t>.</w:t>
            </w:r>
          </w:p>
          <w:p w:rsidR="00D72B60" w:rsidRPr="003528E0" w:rsidRDefault="00D72B60" w:rsidP="00F24D71">
            <w:pPr>
              <w:pStyle w:val="Footer"/>
              <w:tabs>
                <w:tab w:val="clear" w:pos="4153"/>
                <w:tab w:val="clear" w:pos="8306"/>
              </w:tabs>
              <w:jc w:val="both"/>
              <w:rPr>
                <w:sz w:val="24"/>
              </w:rPr>
            </w:pPr>
          </w:p>
          <w:p w:rsidR="00413F97" w:rsidRPr="003528E0" w:rsidRDefault="00413F97" w:rsidP="00413F97">
            <w:pPr>
              <w:pStyle w:val="BodyText"/>
              <w:jc w:val="both"/>
              <w:rPr>
                <w:sz w:val="24"/>
                <w:u w:val="single"/>
              </w:rPr>
            </w:pPr>
            <w:r w:rsidRPr="003528E0">
              <w:rPr>
                <w:sz w:val="24"/>
                <w:u w:val="single"/>
              </w:rPr>
              <w:lastRenderedPageBreak/>
              <w:t>Noteikumos paredzēt</w:t>
            </w:r>
            <w:r w:rsidR="0028411C" w:rsidRPr="003528E0">
              <w:rPr>
                <w:sz w:val="24"/>
                <w:u w:val="single"/>
              </w:rPr>
              <w:t>s</w:t>
            </w:r>
            <w:r w:rsidRPr="003528E0">
              <w:rPr>
                <w:sz w:val="24"/>
                <w:u w:val="single"/>
              </w:rPr>
              <w:t>:</w:t>
            </w:r>
          </w:p>
          <w:p w:rsidR="003528E0" w:rsidRPr="003528E0" w:rsidRDefault="005220B2" w:rsidP="00CC3B45">
            <w:pPr>
              <w:pStyle w:val="BodyText"/>
              <w:jc w:val="both"/>
              <w:rPr>
                <w:sz w:val="24"/>
              </w:rPr>
            </w:pPr>
            <w:r w:rsidRPr="003528E0">
              <w:rPr>
                <w:sz w:val="24"/>
              </w:rPr>
              <w:t>1.</w:t>
            </w:r>
            <w:r w:rsidR="00E36612" w:rsidRPr="003528E0">
              <w:rPr>
                <w:sz w:val="24"/>
              </w:rPr>
              <w:t> </w:t>
            </w:r>
            <w:r w:rsidR="003528E0" w:rsidRPr="003528E0">
              <w:rPr>
                <w:sz w:val="24"/>
              </w:rPr>
              <w:t>Minimāl</w:t>
            </w:r>
            <w:r w:rsidR="0000157E">
              <w:rPr>
                <w:sz w:val="24"/>
              </w:rPr>
              <w:t>ās</w:t>
            </w:r>
            <w:r w:rsidR="003528E0" w:rsidRPr="003528E0">
              <w:rPr>
                <w:sz w:val="24"/>
              </w:rPr>
              <w:t xml:space="preserve"> stundas tarifa likm</w:t>
            </w:r>
            <w:r w:rsidR="0000157E">
              <w:rPr>
                <w:sz w:val="24"/>
              </w:rPr>
              <w:t>es</w:t>
            </w:r>
            <w:r w:rsidR="003528E0" w:rsidRPr="003528E0">
              <w:rPr>
                <w:sz w:val="24"/>
              </w:rPr>
              <w:t xml:space="preserve"> aprēķin</w:t>
            </w:r>
            <w:r w:rsidR="0000157E">
              <w:rPr>
                <w:sz w:val="24"/>
              </w:rPr>
              <w:t>āšana</w:t>
            </w:r>
            <w:r w:rsidR="003528E0" w:rsidRPr="003528E0">
              <w:rPr>
                <w:sz w:val="24"/>
              </w:rPr>
              <w:t xml:space="preserve"> pēc formulas:</w:t>
            </w:r>
          </w:p>
          <w:p w:rsidR="003528E0" w:rsidRPr="003528E0" w:rsidRDefault="003528E0" w:rsidP="003528E0">
            <w:pPr>
              <w:pStyle w:val="BodyText"/>
              <w:rPr>
                <w:sz w:val="24"/>
              </w:rPr>
            </w:pPr>
          </w:p>
          <w:p w:rsidR="003528E0" w:rsidRPr="003528E0" w:rsidRDefault="003528E0" w:rsidP="003528E0">
            <w:pPr>
              <w:jc w:val="center"/>
              <w:rPr>
                <w:sz w:val="24"/>
                <w:lang w:eastAsia="lv-LV"/>
              </w:rPr>
            </w:pPr>
            <w:proofErr w:type="spellStart"/>
            <w:r w:rsidRPr="003528E0">
              <w:rPr>
                <w:sz w:val="24"/>
                <w:lang w:eastAsia="lv-LV"/>
              </w:rPr>
              <w:t>TL</w:t>
            </w:r>
            <w:r w:rsidRPr="003528E0">
              <w:rPr>
                <w:sz w:val="24"/>
                <w:vertAlign w:val="subscript"/>
                <w:lang w:eastAsia="lv-LV"/>
              </w:rPr>
              <w:t>min</w:t>
            </w:r>
            <w:proofErr w:type="spellEnd"/>
            <w:r w:rsidRPr="003528E0">
              <w:rPr>
                <w:sz w:val="24"/>
                <w:lang w:eastAsia="lv-LV"/>
              </w:rPr>
              <w:t xml:space="preserve"> =MDA / </w:t>
            </w:r>
            <w:r w:rsidR="00B718A9">
              <w:rPr>
                <w:sz w:val="24"/>
                <w:lang w:eastAsia="lv-LV"/>
              </w:rPr>
              <w:t>h</w:t>
            </w:r>
            <w:r w:rsidRPr="003528E0">
              <w:rPr>
                <w:sz w:val="24"/>
                <w:lang w:eastAsia="lv-LV"/>
              </w:rPr>
              <w:t>, kur</w:t>
            </w:r>
          </w:p>
          <w:p w:rsidR="003528E0" w:rsidRPr="003528E0" w:rsidRDefault="003528E0" w:rsidP="003528E0">
            <w:pPr>
              <w:pStyle w:val="BodyText"/>
              <w:rPr>
                <w:sz w:val="24"/>
              </w:rPr>
            </w:pPr>
          </w:p>
          <w:p w:rsidR="003528E0" w:rsidRPr="003528E0" w:rsidRDefault="003528E0" w:rsidP="00CC3B45">
            <w:pPr>
              <w:pStyle w:val="BodyText"/>
              <w:jc w:val="both"/>
              <w:rPr>
                <w:sz w:val="24"/>
              </w:rPr>
            </w:pPr>
            <w:proofErr w:type="spellStart"/>
            <w:r w:rsidRPr="003528E0">
              <w:rPr>
                <w:sz w:val="24"/>
              </w:rPr>
              <w:t>TL</w:t>
            </w:r>
            <w:r w:rsidRPr="003528E0">
              <w:rPr>
                <w:sz w:val="24"/>
                <w:vertAlign w:val="subscript"/>
              </w:rPr>
              <w:t>min</w:t>
            </w:r>
            <w:proofErr w:type="spellEnd"/>
            <w:r w:rsidRPr="003528E0">
              <w:rPr>
                <w:sz w:val="24"/>
              </w:rPr>
              <w:t xml:space="preserve"> – minimālā stundas tarifa likme </w:t>
            </w:r>
            <w:proofErr w:type="spellStart"/>
            <w:r w:rsidRPr="003528E0">
              <w:rPr>
                <w:i/>
                <w:sz w:val="24"/>
              </w:rPr>
              <w:t>euro</w:t>
            </w:r>
            <w:proofErr w:type="spellEnd"/>
            <w:r w:rsidRPr="003528E0">
              <w:rPr>
                <w:sz w:val="24"/>
              </w:rPr>
              <w:t>;</w:t>
            </w:r>
          </w:p>
          <w:p w:rsidR="003528E0" w:rsidRPr="003528E0" w:rsidRDefault="003528E0" w:rsidP="00CC3B45">
            <w:pPr>
              <w:pStyle w:val="BodyText"/>
              <w:jc w:val="both"/>
              <w:rPr>
                <w:sz w:val="24"/>
              </w:rPr>
            </w:pPr>
            <w:r w:rsidRPr="003528E0">
              <w:rPr>
                <w:sz w:val="24"/>
              </w:rPr>
              <w:t>MDA – valstī noteiktā minimālā mēneša darba alga;</w:t>
            </w:r>
          </w:p>
          <w:p w:rsidR="003528E0" w:rsidRDefault="00B718A9" w:rsidP="00CC3B45">
            <w:pPr>
              <w:pStyle w:val="BodyText"/>
              <w:jc w:val="both"/>
              <w:rPr>
                <w:sz w:val="24"/>
              </w:rPr>
            </w:pPr>
            <w:r>
              <w:rPr>
                <w:sz w:val="24"/>
              </w:rPr>
              <w:t>h</w:t>
            </w:r>
            <w:r w:rsidR="003528E0" w:rsidRPr="00302CBE">
              <w:rPr>
                <w:sz w:val="24"/>
              </w:rPr>
              <w:t xml:space="preserve"> – </w:t>
            </w:r>
            <w:r w:rsidR="001476F6" w:rsidRPr="006D5352">
              <w:rPr>
                <w:sz w:val="24"/>
              </w:rPr>
              <w:t xml:space="preserve">normālā darba laika stundu </w:t>
            </w:r>
            <w:r w:rsidR="001476F6" w:rsidRPr="005133B0">
              <w:rPr>
                <w:sz w:val="24"/>
              </w:rPr>
              <w:t>skaits mēnesī</w:t>
            </w:r>
            <w:r w:rsidR="001476F6" w:rsidRPr="006D5352">
              <w:rPr>
                <w:sz w:val="24"/>
              </w:rPr>
              <w:t xml:space="preserve"> (5 darba dienu nedēļa un 40 stundas nedēļā</w:t>
            </w:r>
            <w:r w:rsidR="001476F6">
              <w:rPr>
                <w:sz w:val="24"/>
              </w:rPr>
              <w:t xml:space="preserve"> vai</w:t>
            </w:r>
            <w:r w:rsidR="001476F6" w:rsidRPr="006D5352">
              <w:rPr>
                <w:sz w:val="24"/>
              </w:rPr>
              <w:t xml:space="preserve"> 5 darba dienu nedēļa un 35 stundas nedēļā, </w:t>
            </w:r>
            <w:r w:rsidR="001476F6">
              <w:rPr>
                <w:sz w:val="24"/>
              </w:rPr>
              <w:t xml:space="preserve">vai </w:t>
            </w:r>
            <w:r w:rsidR="001476F6" w:rsidRPr="006D5352">
              <w:rPr>
                <w:sz w:val="24"/>
              </w:rPr>
              <w:t>6</w:t>
            </w:r>
            <w:r w:rsidR="001476F6">
              <w:rPr>
                <w:sz w:val="24"/>
              </w:rPr>
              <w:t> </w:t>
            </w:r>
            <w:r w:rsidR="001476F6" w:rsidRPr="006D5352">
              <w:rPr>
                <w:sz w:val="24"/>
              </w:rPr>
              <w:t xml:space="preserve">darba dienu nedēļa un 40 stundas nedēļā, </w:t>
            </w:r>
            <w:r w:rsidR="001476F6">
              <w:rPr>
                <w:sz w:val="24"/>
              </w:rPr>
              <w:t xml:space="preserve">vai </w:t>
            </w:r>
            <w:r w:rsidR="001476F6" w:rsidRPr="006D5352">
              <w:rPr>
                <w:sz w:val="24"/>
              </w:rPr>
              <w:t xml:space="preserve">6 darba dienu nedēļa un 35 stundas nedēļā), tai skaitā svētku dienu stundu </w:t>
            </w:r>
            <w:r w:rsidR="001476F6" w:rsidRPr="005133B0">
              <w:rPr>
                <w:sz w:val="24"/>
              </w:rPr>
              <w:t>skaits, ja darbinieks neveic darbu svētku dienā, kas iekrīt darbiniekam noteiktajā darba dienā</w:t>
            </w:r>
            <w:r w:rsidR="003528E0" w:rsidRPr="00302CBE">
              <w:rPr>
                <w:sz w:val="24"/>
              </w:rPr>
              <w:t>.</w:t>
            </w:r>
          </w:p>
          <w:p w:rsidR="008D026A" w:rsidRDefault="008D026A" w:rsidP="003528E0">
            <w:pPr>
              <w:pStyle w:val="BodyText"/>
              <w:rPr>
                <w:sz w:val="24"/>
              </w:rPr>
            </w:pPr>
          </w:p>
          <w:p w:rsidR="008D026A" w:rsidRDefault="008D026A" w:rsidP="00CC3B45">
            <w:pPr>
              <w:pStyle w:val="BodyText"/>
              <w:jc w:val="both"/>
              <w:rPr>
                <w:sz w:val="24"/>
              </w:rPr>
            </w:pPr>
            <w:r>
              <w:rPr>
                <w:sz w:val="24"/>
              </w:rPr>
              <w:t xml:space="preserve">Minimālās stundas tarifa likmes aprēķināšanas formula attiecas uz visiem normālā darba laika uzskaites veidiem saskaņā ar Darba likuma 131.pantu „Normālais darba laiks” un 133.pantu „Darba nedēļas ilgums”. </w:t>
            </w:r>
            <w:proofErr w:type="gramStart"/>
            <w:r>
              <w:rPr>
                <w:sz w:val="24"/>
              </w:rPr>
              <w:t>Bez tam</w:t>
            </w:r>
            <w:proofErr w:type="gramEnd"/>
            <w:r w:rsidRPr="00523842">
              <w:rPr>
                <w:sz w:val="24"/>
              </w:rPr>
              <w:t xml:space="preserve"> minimālās stundas tarifa likmes aprēķināšanas formulā ir iekļaut</w:t>
            </w:r>
            <w:r>
              <w:rPr>
                <w:sz w:val="24"/>
              </w:rPr>
              <w:t>s</w:t>
            </w:r>
            <w:r w:rsidRPr="00523842">
              <w:rPr>
                <w:sz w:val="24"/>
              </w:rPr>
              <w:t xml:space="preserve"> arī svētku </w:t>
            </w:r>
            <w:r>
              <w:rPr>
                <w:sz w:val="24"/>
              </w:rPr>
              <w:t xml:space="preserve">dienu </w:t>
            </w:r>
            <w:r w:rsidRPr="00523842">
              <w:rPr>
                <w:sz w:val="24"/>
              </w:rPr>
              <w:t>skaits, kad darbiniek</w:t>
            </w:r>
            <w:r>
              <w:rPr>
                <w:sz w:val="24"/>
              </w:rPr>
              <w:t>s</w:t>
            </w:r>
            <w:r w:rsidRPr="00523842">
              <w:rPr>
                <w:sz w:val="24"/>
              </w:rPr>
              <w:t xml:space="preserve"> neveic darbu svētku dienā, kas iekrīt da</w:t>
            </w:r>
            <w:r>
              <w:rPr>
                <w:sz w:val="24"/>
              </w:rPr>
              <w:t>rbiniekam noteiktajā darba dienā saskaņā ar Darba likuma 74.panta pirmās daļas 8.punktu</w:t>
            </w:r>
            <w:r w:rsidR="00353A9A">
              <w:rPr>
                <w:sz w:val="24"/>
              </w:rPr>
              <w:t xml:space="preserve"> un pirms svētku dienu stundu skaits saskaņā ar Darba likuma 135.pantu „Darba dienas ilgums pirms svētku dienām”.</w:t>
            </w:r>
          </w:p>
          <w:p w:rsidR="003235AA" w:rsidRDefault="003235AA" w:rsidP="003528E0">
            <w:pPr>
              <w:pStyle w:val="BodyText"/>
              <w:rPr>
                <w:sz w:val="24"/>
              </w:rPr>
            </w:pPr>
          </w:p>
          <w:p w:rsidR="003235AA" w:rsidRPr="00374E9E" w:rsidRDefault="00CE44C0" w:rsidP="00CC3B45">
            <w:pPr>
              <w:pStyle w:val="BodyText"/>
              <w:jc w:val="both"/>
              <w:rPr>
                <w:sz w:val="24"/>
                <w:u w:val="single"/>
              </w:rPr>
            </w:pPr>
            <w:r w:rsidRPr="00374E9E">
              <w:rPr>
                <w:sz w:val="24"/>
                <w:u w:val="single"/>
              </w:rPr>
              <w:t>Jaunajā sistēmā, l</w:t>
            </w:r>
            <w:r w:rsidR="003235AA" w:rsidRPr="00374E9E">
              <w:rPr>
                <w:sz w:val="24"/>
                <w:u w:val="single"/>
              </w:rPr>
              <w:t xml:space="preserve">ai būtu precīzāks </w:t>
            </w:r>
            <w:r w:rsidR="001C4966" w:rsidRPr="00374E9E">
              <w:rPr>
                <w:sz w:val="24"/>
                <w:u w:val="single"/>
              </w:rPr>
              <w:t xml:space="preserve">ik mēneša </w:t>
            </w:r>
            <w:r w:rsidR="003235AA" w:rsidRPr="00374E9E">
              <w:rPr>
                <w:sz w:val="24"/>
                <w:u w:val="single"/>
              </w:rPr>
              <w:t>darba algas aprēķins</w:t>
            </w:r>
            <w:r w:rsidRPr="00374E9E">
              <w:rPr>
                <w:sz w:val="24"/>
                <w:u w:val="single"/>
              </w:rPr>
              <w:t>,</w:t>
            </w:r>
            <w:r w:rsidR="003235AA" w:rsidRPr="00374E9E">
              <w:rPr>
                <w:sz w:val="24"/>
                <w:u w:val="single"/>
              </w:rPr>
              <w:t xml:space="preserve"> minimālās stundas tarifa likmes apmērs tiek noteikts ar četrām zīmēm aiz komata, esošo trīs zīmju vietā.</w:t>
            </w:r>
          </w:p>
          <w:p w:rsidR="003528E0" w:rsidRDefault="003528E0" w:rsidP="00680F3E">
            <w:pPr>
              <w:pStyle w:val="BodyText"/>
              <w:rPr>
                <w:sz w:val="24"/>
              </w:rPr>
            </w:pPr>
          </w:p>
          <w:p w:rsidR="00FF5A7B" w:rsidRDefault="003528E0" w:rsidP="00FF5A7B">
            <w:pPr>
              <w:pStyle w:val="tv213"/>
              <w:spacing w:before="0" w:beforeAutospacing="0" w:after="0" w:afterAutospacing="0"/>
              <w:jc w:val="both"/>
            </w:pPr>
            <w:r>
              <w:t>2</w:t>
            </w:r>
            <w:r w:rsidR="00FF5A7B" w:rsidRPr="00FF5A7B">
              <w:t>. </w:t>
            </w:r>
            <w:r w:rsidR="00FF5A7B">
              <w:t>Minimālās stundas tarifa likmes aprēķināšanu darbiniekiem, kuriem noteikta summētā darba laika uzskaites sistēma</w:t>
            </w:r>
            <w:r>
              <w:t xml:space="preserve"> un kuri nostrādājuši pārskata periodā, kas ir lielāks par vienu mēnesi:</w:t>
            </w:r>
          </w:p>
          <w:p w:rsidR="003528E0" w:rsidRPr="003528E0" w:rsidRDefault="003528E0" w:rsidP="003528E0">
            <w:pPr>
              <w:pStyle w:val="tv213"/>
              <w:spacing w:before="0" w:beforeAutospacing="0" w:after="0" w:afterAutospacing="0"/>
              <w:ind w:firstLine="38"/>
              <w:jc w:val="both"/>
            </w:pPr>
            <w:r w:rsidRPr="003528E0">
              <w:t xml:space="preserve">- </w:t>
            </w:r>
            <w:r>
              <w:t xml:space="preserve">visu </w:t>
            </w:r>
            <w:r w:rsidRPr="003528E0">
              <w:t>normālā darba laika ietvaros noteikto darba laiku (stundas)</w:t>
            </w:r>
            <w:r>
              <w:t xml:space="preserve">, tad </w:t>
            </w:r>
            <w:r w:rsidRPr="003528E0">
              <w:t>darba devējs nodrošina, ka aprēķinātā darba algas summa pārskata perioda beigās nav mazāka par šo noteikumu 2.punktā minēt</w:t>
            </w:r>
            <w:r w:rsidR="008F7FCA">
              <w:t>o</w:t>
            </w:r>
            <w:r w:rsidRPr="003528E0">
              <w:t xml:space="preserve"> mēneša darb</w:t>
            </w:r>
            <w:r>
              <w:t>a alg</w:t>
            </w:r>
            <w:r w:rsidR="008F7FCA">
              <w:t>u reizinot ar mēneš</w:t>
            </w:r>
            <w:r w:rsidR="00C977A0">
              <w:t>u</w:t>
            </w:r>
            <w:r w:rsidR="008F7FCA">
              <w:t xml:space="preserve"> skaitu </w:t>
            </w:r>
            <w:r>
              <w:t>pārskata periodā;</w:t>
            </w:r>
          </w:p>
          <w:p w:rsidR="00CD6F33" w:rsidRPr="00CD6F33" w:rsidRDefault="003528E0" w:rsidP="00CD6F33">
            <w:pPr>
              <w:autoSpaceDE w:val="0"/>
              <w:autoSpaceDN w:val="0"/>
              <w:adjustRightInd w:val="0"/>
              <w:rPr>
                <w:rFonts w:eastAsiaTheme="minorHAnsi"/>
                <w:color w:val="000000"/>
                <w:sz w:val="24"/>
              </w:rPr>
            </w:pPr>
            <w:r w:rsidRPr="00CD6F33">
              <w:rPr>
                <w:sz w:val="24"/>
              </w:rPr>
              <w:t xml:space="preserve">- </w:t>
            </w:r>
            <w:r w:rsidR="00CD6F33" w:rsidRPr="00CD6F33">
              <w:rPr>
                <w:rFonts w:eastAsiaTheme="minorHAnsi"/>
                <w:color w:val="000000"/>
                <w:sz w:val="24"/>
              </w:rPr>
              <w:t>vairāk nekā normālā darba laika ietvaros noteikto darba laiku (stundas), pārskata perioda beigās aprēķinot virsstundu piemaksu izmanto pārskata perioda vidējo minimālo stundas tarifa likmi, kuru aprēķina pēc formulas:</w:t>
            </w:r>
          </w:p>
          <w:p w:rsidR="00CD6F33" w:rsidRPr="00CD6F33" w:rsidRDefault="00CD6F33" w:rsidP="00CD6F33">
            <w:pPr>
              <w:autoSpaceDE w:val="0"/>
              <w:autoSpaceDN w:val="0"/>
              <w:adjustRightInd w:val="0"/>
              <w:jc w:val="both"/>
              <w:rPr>
                <w:rFonts w:eastAsiaTheme="minorHAnsi"/>
                <w:color w:val="000000"/>
                <w:sz w:val="24"/>
              </w:rPr>
            </w:pPr>
          </w:p>
          <w:p w:rsidR="00CD6F33" w:rsidRPr="00CD6F33" w:rsidRDefault="00CD6F33" w:rsidP="00CD6F33">
            <w:pPr>
              <w:pStyle w:val="tv213"/>
              <w:spacing w:before="0" w:beforeAutospacing="0" w:after="0" w:afterAutospacing="0"/>
              <w:jc w:val="center"/>
              <w:rPr>
                <w:rFonts w:eastAsiaTheme="minorHAnsi"/>
                <w:color w:val="000000"/>
              </w:rPr>
            </w:pPr>
            <w:proofErr w:type="spellStart"/>
            <w:r w:rsidRPr="00CD6F33">
              <w:rPr>
                <w:rFonts w:eastAsiaTheme="minorHAnsi"/>
                <w:color w:val="000000"/>
              </w:rPr>
              <w:t>TL</w:t>
            </w:r>
            <w:r w:rsidRPr="00CD6F33">
              <w:rPr>
                <w:rFonts w:eastAsiaTheme="minorHAnsi"/>
                <w:color w:val="000000"/>
                <w:vertAlign w:val="subscript"/>
              </w:rPr>
              <w:t>minv</w:t>
            </w:r>
            <w:proofErr w:type="spellEnd"/>
            <w:r w:rsidRPr="00CD6F33">
              <w:rPr>
                <w:rFonts w:eastAsiaTheme="minorHAnsi"/>
                <w:color w:val="000000"/>
              </w:rPr>
              <w:t xml:space="preserve"> = MDA * n / </w:t>
            </w:r>
            <w:proofErr w:type="spellStart"/>
            <w:r w:rsidRPr="00CD6F33">
              <w:rPr>
                <w:rFonts w:eastAsiaTheme="minorHAnsi"/>
                <w:color w:val="000000"/>
              </w:rPr>
              <w:t>h</w:t>
            </w:r>
            <w:r w:rsidRPr="00CD6F33">
              <w:rPr>
                <w:rFonts w:eastAsiaTheme="minorHAnsi"/>
                <w:color w:val="000000"/>
                <w:vertAlign w:val="subscript"/>
              </w:rPr>
              <w:t>p</w:t>
            </w:r>
            <w:proofErr w:type="spellEnd"/>
            <w:r w:rsidRPr="00CD6F33">
              <w:rPr>
                <w:rFonts w:eastAsiaTheme="minorHAnsi"/>
                <w:color w:val="000000"/>
              </w:rPr>
              <w:t>, kur</w:t>
            </w:r>
          </w:p>
          <w:p w:rsidR="00CD6F33" w:rsidRPr="00CD6F33" w:rsidRDefault="00CD6F33" w:rsidP="00CD6F33">
            <w:pPr>
              <w:pStyle w:val="tv213"/>
              <w:spacing w:before="0" w:beforeAutospacing="0" w:after="0" w:afterAutospacing="0"/>
              <w:jc w:val="both"/>
              <w:rPr>
                <w:rFonts w:eastAsiaTheme="minorHAnsi"/>
                <w:color w:val="000000"/>
              </w:rPr>
            </w:pPr>
          </w:p>
          <w:p w:rsidR="00CD6F33" w:rsidRPr="00CD6F33" w:rsidRDefault="00CD6F33" w:rsidP="00CD6F33">
            <w:pPr>
              <w:pStyle w:val="tv213"/>
              <w:spacing w:before="0" w:beforeAutospacing="0" w:after="0" w:afterAutospacing="0"/>
              <w:jc w:val="both"/>
              <w:rPr>
                <w:rFonts w:eastAsiaTheme="minorHAnsi"/>
                <w:color w:val="000000"/>
              </w:rPr>
            </w:pPr>
            <w:proofErr w:type="spellStart"/>
            <w:r w:rsidRPr="00CD6F33">
              <w:rPr>
                <w:rFonts w:eastAsiaTheme="minorHAnsi"/>
                <w:color w:val="000000"/>
              </w:rPr>
              <w:t>TL</w:t>
            </w:r>
            <w:r w:rsidRPr="00CD6F33">
              <w:rPr>
                <w:rFonts w:eastAsiaTheme="minorHAnsi"/>
                <w:color w:val="000000"/>
                <w:vertAlign w:val="subscript"/>
              </w:rPr>
              <w:t>minv</w:t>
            </w:r>
            <w:proofErr w:type="spellEnd"/>
            <w:r w:rsidRPr="00CD6F33">
              <w:rPr>
                <w:rFonts w:eastAsiaTheme="minorHAnsi"/>
                <w:color w:val="000000"/>
              </w:rPr>
              <w:t xml:space="preserve"> – pārskata perioda vidējā minimālā stundas tarifa likme virsstundu piemaksas aprēķināšanai </w:t>
            </w:r>
            <w:proofErr w:type="spellStart"/>
            <w:r w:rsidRPr="00CD6F33">
              <w:rPr>
                <w:rFonts w:eastAsiaTheme="minorHAnsi"/>
                <w:i/>
                <w:color w:val="000000"/>
              </w:rPr>
              <w:t>euro</w:t>
            </w:r>
            <w:proofErr w:type="spellEnd"/>
            <w:r w:rsidRPr="00CD6F33">
              <w:rPr>
                <w:rFonts w:eastAsiaTheme="minorHAnsi"/>
                <w:color w:val="000000"/>
              </w:rPr>
              <w:t>;</w:t>
            </w:r>
          </w:p>
          <w:p w:rsidR="00CD6F33" w:rsidRPr="00CD6F33" w:rsidRDefault="00CD6F33" w:rsidP="00CD6F33">
            <w:pPr>
              <w:pStyle w:val="tv213"/>
              <w:spacing w:before="0" w:beforeAutospacing="0" w:after="0" w:afterAutospacing="0"/>
              <w:jc w:val="both"/>
              <w:rPr>
                <w:rFonts w:eastAsiaTheme="minorHAnsi"/>
                <w:color w:val="000000"/>
              </w:rPr>
            </w:pPr>
            <w:r w:rsidRPr="00CD6F33">
              <w:rPr>
                <w:rFonts w:eastAsiaTheme="minorHAnsi"/>
                <w:color w:val="000000"/>
              </w:rPr>
              <w:t xml:space="preserve">MDA – valstī noteiktā minimālā mēneša darba alga (šo </w:t>
            </w:r>
            <w:r w:rsidRPr="00CD6F33">
              <w:rPr>
                <w:rFonts w:eastAsiaTheme="minorHAnsi"/>
                <w:color w:val="000000"/>
              </w:rPr>
              <w:lastRenderedPageBreak/>
              <w:t>noteikumu 2.punkts);</w:t>
            </w:r>
          </w:p>
          <w:p w:rsidR="00CD6F33" w:rsidRPr="00CD6F33" w:rsidRDefault="00CD6F33" w:rsidP="00CD6F33">
            <w:pPr>
              <w:pStyle w:val="tv213"/>
              <w:spacing w:before="0" w:beforeAutospacing="0" w:after="0" w:afterAutospacing="0"/>
              <w:jc w:val="both"/>
              <w:rPr>
                <w:rFonts w:eastAsiaTheme="minorHAnsi"/>
                <w:color w:val="000000"/>
              </w:rPr>
            </w:pPr>
            <w:r w:rsidRPr="00CD6F33">
              <w:rPr>
                <w:rFonts w:eastAsiaTheme="minorHAnsi"/>
                <w:color w:val="000000"/>
              </w:rPr>
              <w:t>n – kalendāra mēnešu skaits pārskata periodā;</w:t>
            </w:r>
          </w:p>
          <w:p w:rsidR="00CD6F33" w:rsidRPr="00CD6F33" w:rsidRDefault="00CD6F33" w:rsidP="00CD6F33">
            <w:pPr>
              <w:pStyle w:val="tv213"/>
              <w:spacing w:before="0" w:beforeAutospacing="0" w:after="0" w:afterAutospacing="0"/>
              <w:jc w:val="both"/>
            </w:pPr>
            <w:proofErr w:type="spellStart"/>
            <w:r w:rsidRPr="00CD6F33">
              <w:rPr>
                <w:rFonts w:eastAsiaTheme="minorHAnsi"/>
                <w:color w:val="000000"/>
              </w:rPr>
              <w:t>h</w:t>
            </w:r>
            <w:r w:rsidRPr="00CD6F33">
              <w:rPr>
                <w:rFonts w:eastAsiaTheme="minorHAnsi"/>
                <w:color w:val="000000"/>
                <w:vertAlign w:val="subscript"/>
              </w:rPr>
              <w:t>p</w:t>
            </w:r>
            <w:proofErr w:type="spellEnd"/>
            <w:r w:rsidRPr="00CD6F33">
              <w:rPr>
                <w:rFonts w:eastAsiaTheme="minorHAnsi"/>
                <w:color w:val="000000"/>
              </w:rPr>
              <w:t xml:space="preserve"> – normālā darba laika stundu skaits pārskata periodā, tai skaitā svētku dienu stundu skaits, ja darbinieks neveic darbu svētku dienā, kas iekrīt darbiniekam noteiktajā darba dienā.</w:t>
            </w:r>
          </w:p>
          <w:p w:rsidR="003528E0" w:rsidRPr="00CD6F33" w:rsidRDefault="003528E0" w:rsidP="00413F97">
            <w:pPr>
              <w:pStyle w:val="Footer"/>
              <w:tabs>
                <w:tab w:val="clear" w:pos="4153"/>
                <w:tab w:val="clear" w:pos="8306"/>
              </w:tabs>
              <w:jc w:val="both"/>
              <w:rPr>
                <w:sz w:val="24"/>
              </w:rPr>
            </w:pPr>
          </w:p>
          <w:p w:rsidR="00CD6F33" w:rsidRPr="00CD6F33" w:rsidRDefault="00CD6F33" w:rsidP="00413F97">
            <w:pPr>
              <w:pStyle w:val="Footer"/>
              <w:tabs>
                <w:tab w:val="clear" w:pos="4153"/>
                <w:tab w:val="clear" w:pos="8306"/>
              </w:tabs>
              <w:jc w:val="both"/>
              <w:rPr>
                <w:sz w:val="24"/>
              </w:rPr>
            </w:pPr>
            <w:r w:rsidRPr="00CD6F33">
              <w:rPr>
                <w:color w:val="000000"/>
                <w:sz w:val="24"/>
                <w:lang w:eastAsia="lv-LV"/>
              </w:rPr>
              <w:t>Darbiniekam, kuram noteikts summētais darba laiks ar pārskata periodu, kas</w:t>
            </w:r>
            <w:r>
              <w:rPr>
                <w:color w:val="000000"/>
                <w:sz w:val="24"/>
                <w:lang w:eastAsia="lv-LV"/>
              </w:rPr>
              <w:t xml:space="preserve"> </w:t>
            </w:r>
            <w:r w:rsidRPr="00CD6F33">
              <w:rPr>
                <w:color w:val="000000"/>
                <w:sz w:val="24"/>
                <w:lang w:eastAsia="lv-LV"/>
              </w:rPr>
              <w:t>ir lielāks par vienu mēnesi, un pārskata periodā nostrādāto stundu skaits ir</w:t>
            </w:r>
            <w:r>
              <w:rPr>
                <w:color w:val="000000"/>
                <w:sz w:val="24"/>
                <w:lang w:eastAsia="lv-LV"/>
              </w:rPr>
              <w:t xml:space="preserve"> </w:t>
            </w:r>
            <w:r w:rsidRPr="00CD6F33">
              <w:rPr>
                <w:color w:val="000000"/>
                <w:sz w:val="24"/>
                <w:lang w:eastAsia="lv-LV"/>
              </w:rPr>
              <w:t>lielāks par attiecīgā pārskata perioda normālo darba laiku, nav iespējams</w:t>
            </w:r>
            <w:r>
              <w:rPr>
                <w:color w:val="000000"/>
                <w:sz w:val="24"/>
                <w:lang w:eastAsia="lv-LV"/>
              </w:rPr>
              <w:t xml:space="preserve"> </w:t>
            </w:r>
            <w:r w:rsidRPr="00CD6F33">
              <w:rPr>
                <w:color w:val="000000"/>
                <w:sz w:val="24"/>
                <w:lang w:eastAsia="lv-LV"/>
              </w:rPr>
              <w:t>noteikt, kurā mēnesī virsstundas ir nostrādātas, jo summētā darba laika</w:t>
            </w:r>
            <w:r>
              <w:rPr>
                <w:color w:val="000000"/>
                <w:sz w:val="24"/>
                <w:lang w:eastAsia="lv-LV"/>
              </w:rPr>
              <w:t xml:space="preserve"> </w:t>
            </w:r>
            <w:r w:rsidRPr="00CD6F33">
              <w:rPr>
                <w:color w:val="000000"/>
                <w:sz w:val="24"/>
                <w:lang w:eastAsia="lv-LV"/>
              </w:rPr>
              <w:t>gadījumā noteikt, vai virsstundas būs, var tikai pārskata perioda beigās,</w:t>
            </w:r>
            <w:r>
              <w:rPr>
                <w:color w:val="000000"/>
                <w:sz w:val="24"/>
                <w:lang w:eastAsia="lv-LV"/>
              </w:rPr>
              <w:t xml:space="preserve"> </w:t>
            </w:r>
            <w:r w:rsidRPr="00CD6F33">
              <w:rPr>
                <w:color w:val="000000"/>
                <w:sz w:val="24"/>
                <w:lang w:eastAsia="lv-LV"/>
              </w:rPr>
              <w:t>salīdzinot darbinieka nostrādāto stundu skaitu ar normālā darba laika stundu</w:t>
            </w:r>
            <w:r>
              <w:rPr>
                <w:color w:val="000000"/>
                <w:sz w:val="24"/>
                <w:lang w:eastAsia="lv-LV"/>
              </w:rPr>
              <w:t xml:space="preserve"> </w:t>
            </w:r>
            <w:r w:rsidRPr="00CD6F33">
              <w:rPr>
                <w:color w:val="000000"/>
                <w:sz w:val="24"/>
                <w:lang w:eastAsia="lv-LV"/>
              </w:rPr>
              <w:t>skaitu pārskata periodā.</w:t>
            </w:r>
          </w:p>
          <w:p w:rsidR="00CD6F33" w:rsidRDefault="00CD6F33" w:rsidP="00413F97">
            <w:pPr>
              <w:pStyle w:val="Footer"/>
              <w:tabs>
                <w:tab w:val="clear" w:pos="4153"/>
                <w:tab w:val="clear" w:pos="8306"/>
              </w:tabs>
              <w:jc w:val="both"/>
              <w:rPr>
                <w:sz w:val="24"/>
              </w:rPr>
            </w:pPr>
          </w:p>
          <w:p w:rsidR="00CF62B2" w:rsidRDefault="00CF62B2" w:rsidP="00413F97">
            <w:pPr>
              <w:pStyle w:val="Footer"/>
              <w:tabs>
                <w:tab w:val="clear" w:pos="4153"/>
                <w:tab w:val="clear" w:pos="8306"/>
              </w:tabs>
              <w:jc w:val="both"/>
              <w:rPr>
                <w:sz w:val="24"/>
              </w:rPr>
            </w:pPr>
            <w:r>
              <w:rPr>
                <w:sz w:val="24"/>
              </w:rPr>
              <w:t>3. Nepilna darba laika gadījumā darbiniekiem minimālo mēneša darba algu aprēķina proporcionāli nostrādātam laikam attiecībā pret valstī noteikto minimālo mēneša darba algu.</w:t>
            </w:r>
          </w:p>
          <w:p w:rsidR="00CF62B2" w:rsidRDefault="00CF62B2" w:rsidP="00413F97">
            <w:pPr>
              <w:pStyle w:val="Footer"/>
              <w:tabs>
                <w:tab w:val="clear" w:pos="4153"/>
                <w:tab w:val="clear" w:pos="8306"/>
              </w:tabs>
              <w:jc w:val="both"/>
              <w:rPr>
                <w:sz w:val="24"/>
              </w:rPr>
            </w:pPr>
          </w:p>
          <w:p w:rsidR="00FC035D" w:rsidRPr="00EE1BB2" w:rsidRDefault="00CF62B2" w:rsidP="00FC035D">
            <w:pPr>
              <w:jc w:val="both"/>
              <w:rPr>
                <w:sz w:val="24"/>
              </w:rPr>
            </w:pPr>
            <w:proofErr w:type="gramStart"/>
            <w:r>
              <w:rPr>
                <w:sz w:val="24"/>
              </w:rPr>
              <w:t>4</w:t>
            </w:r>
            <w:r w:rsidR="00E36612">
              <w:rPr>
                <w:sz w:val="24"/>
              </w:rPr>
              <w:t>. </w:t>
            </w:r>
            <w:r w:rsidR="00FC035D">
              <w:rPr>
                <w:sz w:val="24"/>
              </w:rPr>
              <w:t>Noteikumos</w:t>
            </w:r>
            <w:proofErr w:type="gramEnd"/>
            <w:r w:rsidR="00FC035D" w:rsidRPr="00EE1BB2">
              <w:rPr>
                <w:sz w:val="24"/>
              </w:rPr>
              <w:t xml:space="preserve"> ir iekļauta arī atsevišķa norma darbiniekiem, kuriem nolīgta akorda algas sistēma normāla darba laika ietvaros un kuri nostrādājuši visas mēnesī noteiktās darba stundas. Šiem darbiniekiem aprēķinātā darba alga nevar būt mazāka par minimālo mēneša darba algu.</w:t>
            </w:r>
          </w:p>
          <w:p w:rsidR="0000157E" w:rsidRDefault="0000157E" w:rsidP="00FC035D">
            <w:pPr>
              <w:jc w:val="both"/>
              <w:rPr>
                <w:sz w:val="24"/>
              </w:rPr>
            </w:pPr>
          </w:p>
          <w:p w:rsidR="00FC035D" w:rsidRDefault="00CF62B2" w:rsidP="00FC035D">
            <w:pPr>
              <w:jc w:val="both"/>
              <w:rPr>
                <w:color w:val="000000"/>
                <w:sz w:val="24"/>
              </w:rPr>
            </w:pPr>
            <w:r>
              <w:rPr>
                <w:sz w:val="24"/>
              </w:rPr>
              <w:t>5</w:t>
            </w:r>
            <w:r w:rsidR="0000157E">
              <w:rPr>
                <w:sz w:val="24"/>
              </w:rPr>
              <w:t>. </w:t>
            </w:r>
            <w:r w:rsidR="00FC035D" w:rsidRPr="00EE1BB2">
              <w:rPr>
                <w:sz w:val="24"/>
              </w:rPr>
              <w:t xml:space="preserve">Tāpat </w:t>
            </w:r>
            <w:r w:rsidR="00FC035D">
              <w:rPr>
                <w:sz w:val="24"/>
              </w:rPr>
              <w:t>noteikumi</w:t>
            </w:r>
            <w:r w:rsidR="00FC035D" w:rsidRPr="00EE1BB2">
              <w:rPr>
                <w:sz w:val="24"/>
              </w:rPr>
              <w:t xml:space="preserve"> paredz normu, ka, j</w:t>
            </w:r>
            <w:r w:rsidR="00FC035D" w:rsidRPr="00EE1BB2">
              <w:rPr>
                <w:color w:val="000000"/>
                <w:sz w:val="24"/>
              </w:rPr>
              <w:t>a darbiniek</w:t>
            </w:r>
            <w:r w:rsidR="0000157E">
              <w:rPr>
                <w:color w:val="000000"/>
                <w:sz w:val="24"/>
              </w:rPr>
              <w:t>iem</w:t>
            </w:r>
            <w:r w:rsidR="00FC035D" w:rsidRPr="00EE1BB2">
              <w:rPr>
                <w:color w:val="000000"/>
                <w:sz w:val="24"/>
              </w:rPr>
              <w:t xml:space="preserve"> </w:t>
            </w:r>
            <w:r w:rsidR="00C674DA">
              <w:rPr>
                <w:color w:val="000000"/>
                <w:sz w:val="24"/>
              </w:rPr>
              <w:t>aprēķinātā</w:t>
            </w:r>
            <w:r w:rsidR="00FC035D" w:rsidRPr="00EE1BB2">
              <w:rPr>
                <w:color w:val="000000"/>
                <w:sz w:val="24"/>
              </w:rPr>
              <w:t xml:space="preserve"> vidējā izpeļņa par darbu normāla darba laika ietvaros </w:t>
            </w:r>
            <w:r w:rsidR="00C674DA">
              <w:rPr>
                <w:color w:val="000000"/>
                <w:sz w:val="24"/>
              </w:rPr>
              <w:t xml:space="preserve">ir </w:t>
            </w:r>
            <w:r w:rsidR="00FC035D" w:rsidRPr="00EE1BB2">
              <w:rPr>
                <w:color w:val="000000"/>
                <w:sz w:val="24"/>
              </w:rPr>
              <w:t>mazāka par noteikto minimālo mēneša darba algu, to palielina par starpību starp aprēķināto vidējo izpeļņu un noteikto minimālo mēneša darba algu.</w:t>
            </w:r>
          </w:p>
          <w:p w:rsidR="00E01983" w:rsidRDefault="00E01983" w:rsidP="0089677D">
            <w:pPr>
              <w:jc w:val="both"/>
              <w:rPr>
                <w:sz w:val="24"/>
              </w:rPr>
            </w:pPr>
          </w:p>
          <w:p w:rsidR="009F2D50" w:rsidRDefault="00CF62B2" w:rsidP="0089677D">
            <w:pPr>
              <w:jc w:val="both"/>
              <w:rPr>
                <w:sz w:val="24"/>
              </w:rPr>
            </w:pPr>
            <w:proofErr w:type="gramStart"/>
            <w:r>
              <w:rPr>
                <w:sz w:val="24"/>
              </w:rPr>
              <w:t>6</w:t>
            </w:r>
            <w:r w:rsidR="00E36612">
              <w:rPr>
                <w:sz w:val="24"/>
              </w:rPr>
              <w:t>. </w:t>
            </w:r>
            <w:r w:rsidR="009F2D50">
              <w:rPr>
                <w:sz w:val="24"/>
              </w:rPr>
              <w:t>Noteikumos</w:t>
            </w:r>
            <w:proofErr w:type="gramEnd"/>
            <w:r w:rsidR="009F2D50">
              <w:rPr>
                <w:sz w:val="24"/>
              </w:rPr>
              <w:t xml:space="preserve"> paredzēts, ka tie stājas spēkā 2016.gada 1.janvārī un vienlaikus par spēku zaudējušiem tiek atzīti </w:t>
            </w:r>
            <w:r w:rsidR="009F2D50" w:rsidRPr="009F2D50">
              <w:rPr>
                <w:sz w:val="24"/>
              </w:rPr>
              <w:t>Ministru kabineta 2013.gada 27.augusta noteikumi Nr.665 „Noteikumi par minimālo mēneša darba algu un minimālo stundas tarifa likmi”</w:t>
            </w:r>
            <w:r w:rsidR="009F2D50">
              <w:rPr>
                <w:sz w:val="24"/>
              </w:rPr>
              <w:t>.</w:t>
            </w:r>
          </w:p>
          <w:p w:rsidR="0051439B" w:rsidRDefault="0051439B" w:rsidP="0089677D">
            <w:pPr>
              <w:jc w:val="both"/>
              <w:rPr>
                <w:sz w:val="24"/>
              </w:rPr>
            </w:pPr>
          </w:p>
          <w:p w:rsidR="009C2F30" w:rsidRPr="0051439B" w:rsidRDefault="009C2F30" w:rsidP="00C20E12">
            <w:pPr>
              <w:jc w:val="both"/>
              <w:rPr>
                <w:sz w:val="24"/>
              </w:rPr>
            </w:pPr>
            <w:r w:rsidRPr="0051439B">
              <w:rPr>
                <w:sz w:val="24"/>
              </w:rPr>
              <w:t xml:space="preserve">2016.gada </w:t>
            </w:r>
            <w:r w:rsidR="00166D53">
              <w:rPr>
                <w:sz w:val="24"/>
              </w:rPr>
              <w:t xml:space="preserve">četru veidu normālā darba laika stundu skaits mēnesī (5 darba dienu nedēļa un 40 stundas nedēļā, 6 darba dienu nedēļa un 40 stundas nedēļā, 5 darba dienu nedēļa un 35 stundas nedēļā, 6 darba dienu un 35 stundas nedēļā) un </w:t>
            </w:r>
            <w:r w:rsidRPr="0051439B">
              <w:rPr>
                <w:sz w:val="24"/>
              </w:rPr>
              <w:t>minimāl</w:t>
            </w:r>
            <w:r w:rsidR="00166D53">
              <w:rPr>
                <w:sz w:val="24"/>
              </w:rPr>
              <w:t>ās</w:t>
            </w:r>
            <w:r w:rsidRPr="0051439B">
              <w:rPr>
                <w:sz w:val="24"/>
              </w:rPr>
              <w:t xml:space="preserve"> stundas tarifa likm</w:t>
            </w:r>
            <w:r w:rsidR="00166D53">
              <w:rPr>
                <w:sz w:val="24"/>
              </w:rPr>
              <w:t>es</w:t>
            </w:r>
            <w:r w:rsidRPr="0051439B">
              <w:rPr>
                <w:sz w:val="24"/>
              </w:rPr>
              <w:t xml:space="preserve"> apmēr</w:t>
            </w:r>
            <w:r w:rsidR="00166D53">
              <w:rPr>
                <w:sz w:val="24"/>
              </w:rPr>
              <w:t>s</w:t>
            </w:r>
            <w:r w:rsidRPr="0051439B">
              <w:rPr>
                <w:sz w:val="24"/>
              </w:rPr>
              <w:t xml:space="preserve"> pa mēnešiem un to aprēķināšana</w:t>
            </w:r>
            <w:r w:rsidR="00E2170A" w:rsidRPr="0051439B">
              <w:rPr>
                <w:sz w:val="24"/>
              </w:rPr>
              <w:t>s piemērs</w:t>
            </w:r>
            <w:r w:rsidR="00C20E12">
              <w:rPr>
                <w:sz w:val="24"/>
              </w:rPr>
              <w:t xml:space="preserve"> par 2016.gada janvāri, </w:t>
            </w:r>
            <w:r w:rsidR="00C20E12" w:rsidRPr="00C20E12">
              <w:rPr>
                <w:sz w:val="24"/>
              </w:rPr>
              <w:t>p</w:t>
            </w:r>
            <w:r w:rsidR="00C20E12" w:rsidRPr="00C20E12">
              <w:rPr>
                <w:rFonts w:eastAsiaTheme="minorHAnsi"/>
                <w:color w:val="000000"/>
                <w:sz w:val="24"/>
              </w:rPr>
              <w:t xml:space="preserve">ārskata perioda vidējās minimālās stundas tarifa likmes virsstundu piemaksas aprēķināšanai aprēķināšanas piemērs par </w:t>
            </w:r>
            <w:r w:rsidR="00C20E12">
              <w:rPr>
                <w:rFonts w:eastAsiaTheme="minorHAnsi"/>
                <w:color w:val="000000"/>
                <w:sz w:val="24"/>
              </w:rPr>
              <w:t xml:space="preserve">pārskata periodu </w:t>
            </w:r>
            <w:r w:rsidR="00C20E12" w:rsidRPr="00C20E12">
              <w:rPr>
                <w:rFonts w:eastAsiaTheme="minorHAnsi"/>
                <w:color w:val="000000"/>
                <w:sz w:val="24"/>
              </w:rPr>
              <w:t>2016.gada janvāris - marts</w:t>
            </w:r>
            <w:r w:rsidR="0051439B" w:rsidRPr="00C20E12">
              <w:rPr>
                <w:sz w:val="24"/>
              </w:rPr>
              <w:t>, kā arī darbinieku darba algas aprēķināšana, kuriem</w:t>
            </w:r>
            <w:r w:rsidR="0051439B" w:rsidRPr="0051439B">
              <w:rPr>
                <w:sz w:val="24"/>
              </w:rPr>
              <w:t xml:space="preserve"> nolīgta laika algas sistēma ar minimālās stundas tarifa likmes apmaksu salīdzinājumā ar darbinieku darba algu, kuriem noteikta darba alga minimālās </w:t>
            </w:r>
            <w:r w:rsidR="0051439B" w:rsidRPr="0051439B">
              <w:rPr>
                <w:sz w:val="24"/>
              </w:rPr>
              <w:lastRenderedPageBreak/>
              <w:t>mēneša darba algas apmērā (pēc esošās sistēmas un projekta)</w:t>
            </w:r>
            <w:r w:rsidRPr="0051439B">
              <w:rPr>
                <w:sz w:val="24"/>
              </w:rPr>
              <w:t xml:space="preserve"> </w:t>
            </w:r>
            <w:r w:rsidRPr="00B95D81">
              <w:rPr>
                <w:sz w:val="24"/>
                <w:u w:val="single"/>
              </w:rPr>
              <w:t>ir sniegt</w:t>
            </w:r>
            <w:r w:rsidR="0051439B" w:rsidRPr="00B95D81">
              <w:rPr>
                <w:sz w:val="24"/>
                <w:u w:val="single"/>
              </w:rPr>
              <w:t>a</w:t>
            </w:r>
            <w:r w:rsidRPr="00B95D81">
              <w:rPr>
                <w:sz w:val="24"/>
                <w:u w:val="single"/>
              </w:rPr>
              <w:t xml:space="preserve"> anotācijas pielikumā tabulas veidā.</w:t>
            </w:r>
          </w:p>
        </w:tc>
      </w:tr>
      <w:tr w:rsidR="00F24D71"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6047B8" w:rsidRDefault="00F24D71" w:rsidP="00822C04">
            <w:pPr>
              <w:pStyle w:val="naiskr"/>
              <w:ind w:left="180" w:hanging="10"/>
            </w:pPr>
            <w:r w:rsidRPr="006047B8">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9A542D" w:rsidRDefault="00C339ED" w:rsidP="00C339ED">
            <w:pPr>
              <w:jc w:val="both"/>
              <w:rPr>
                <w:sz w:val="24"/>
              </w:rPr>
            </w:pPr>
            <w:r w:rsidRPr="00C339ED">
              <w:rPr>
                <w:iCs/>
                <w:sz w:val="24"/>
              </w:rPr>
              <w:t>Noteikumu</w:t>
            </w:r>
            <w:r w:rsidR="00F24D71" w:rsidRPr="00C339ED">
              <w:rPr>
                <w:iCs/>
                <w:sz w:val="24"/>
              </w:rPr>
              <w:t xml:space="preserve"> izstrādē </w:t>
            </w:r>
            <w:r w:rsidRPr="00C339ED">
              <w:rPr>
                <w:iCs/>
                <w:sz w:val="24"/>
              </w:rPr>
              <w:t xml:space="preserve">kā eksperti </w:t>
            </w:r>
            <w:r w:rsidR="00F24D71" w:rsidRPr="00C339ED">
              <w:rPr>
                <w:iCs/>
                <w:sz w:val="24"/>
              </w:rPr>
              <w:t xml:space="preserve">piedalījās </w:t>
            </w:r>
            <w:r w:rsidRPr="00C339ED">
              <w:rPr>
                <w:iCs/>
                <w:sz w:val="24"/>
              </w:rPr>
              <w:t xml:space="preserve">Valsts darba inspekcijas, Latvijas Darba devēju konfederācijas pārstāvji un Maija </w:t>
            </w:r>
            <w:proofErr w:type="spellStart"/>
            <w:r w:rsidRPr="00C339ED">
              <w:rPr>
                <w:iCs/>
                <w:sz w:val="24"/>
              </w:rPr>
              <w:t>Grebenko</w:t>
            </w:r>
            <w:proofErr w:type="spellEnd"/>
            <w:r w:rsidR="0028411C">
              <w:rPr>
                <w:iCs/>
                <w:sz w:val="24"/>
              </w:rPr>
              <w:t>,</w:t>
            </w:r>
            <w:r w:rsidRPr="00C339ED">
              <w:rPr>
                <w:iCs/>
                <w:sz w:val="24"/>
              </w:rPr>
              <w:t xml:space="preserve"> </w:t>
            </w:r>
            <w:r w:rsidRPr="00C339ED">
              <w:rPr>
                <w:sz w:val="24"/>
              </w:rPr>
              <w:t>praktiskās grāmatvedības speciāliste un konsultante, ISO sertificēto grāmatvežu asociācijas valdes locekle</w:t>
            </w:r>
            <w:r w:rsidR="00CF62B2">
              <w:rPr>
                <w:sz w:val="24"/>
              </w:rPr>
              <w:t xml:space="preserve">, </w:t>
            </w:r>
            <w:r w:rsidR="00847041">
              <w:rPr>
                <w:sz w:val="24"/>
              </w:rPr>
              <w:t>ž</w:t>
            </w:r>
            <w:r w:rsidR="00CF62B2">
              <w:rPr>
                <w:sz w:val="24"/>
              </w:rPr>
              <w:t>urnāla „Bilance” galvenā redaktore</w:t>
            </w:r>
            <w:r w:rsidRPr="00C339ED">
              <w:rPr>
                <w:sz w:val="24"/>
              </w:rPr>
              <w:t>.</w:t>
            </w:r>
          </w:p>
          <w:p w:rsidR="00344D4B" w:rsidRPr="00D42CC4" w:rsidRDefault="00BA5CB8" w:rsidP="00344D4B">
            <w:pPr>
              <w:jc w:val="both"/>
              <w:rPr>
                <w:sz w:val="24"/>
              </w:rPr>
            </w:pPr>
            <w:r>
              <w:rPr>
                <w:iCs/>
                <w:sz w:val="24"/>
              </w:rPr>
              <w:t xml:space="preserve">Noteikumu </w:t>
            </w:r>
            <w:r w:rsidR="00344D4B" w:rsidRPr="00212896">
              <w:rPr>
                <w:iCs/>
                <w:sz w:val="24"/>
              </w:rPr>
              <w:t xml:space="preserve">izstrādē piedalījās </w:t>
            </w:r>
            <w:r>
              <w:rPr>
                <w:iCs/>
                <w:sz w:val="24"/>
              </w:rPr>
              <w:t xml:space="preserve">arī </w:t>
            </w:r>
            <w:r w:rsidR="00344D4B" w:rsidRPr="00212896">
              <w:rPr>
                <w:iCs/>
                <w:sz w:val="24"/>
              </w:rPr>
              <w:t xml:space="preserve">Finanšu ministrija, kas </w:t>
            </w:r>
            <w:r w:rsidR="00344D4B">
              <w:rPr>
                <w:iCs/>
                <w:sz w:val="24"/>
              </w:rPr>
              <w:t xml:space="preserve">sakarā ar minimālās mēneša darba algas paaugstināšanu no 360 </w:t>
            </w:r>
            <w:proofErr w:type="spellStart"/>
            <w:r w:rsidR="00344D4B" w:rsidRPr="00E84D9B">
              <w:rPr>
                <w:i/>
                <w:iCs/>
                <w:sz w:val="24"/>
              </w:rPr>
              <w:t>euro</w:t>
            </w:r>
            <w:proofErr w:type="spellEnd"/>
            <w:r w:rsidR="00344D4B">
              <w:rPr>
                <w:iCs/>
                <w:sz w:val="24"/>
              </w:rPr>
              <w:t xml:space="preserve"> līdz 370 </w:t>
            </w:r>
            <w:proofErr w:type="spellStart"/>
            <w:r w:rsidR="00344D4B" w:rsidRPr="00E84D9B">
              <w:rPr>
                <w:i/>
                <w:iCs/>
                <w:sz w:val="24"/>
              </w:rPr>
              <w:t>euro</w:t>
            </w:r>
            <w:proofErr w:type="spellEnd"/>
            <w:r w:rsidR="00344D4B">
              <w:rPr>
                <w:iCs/>
                <w:sz w:val="24"/>
              </w:rPr>
              <w:t xml:space="preserve"> sākot ar 2016.gada 1.janvāri </w:t>
            </w:r>
            <w:r w:rsidR="00344D4B" w:rsidRPr="00212896">
              <w:rPr>
                <w:sz w:val="24"/>
              </w:rPr>
              <w:t>veica finanšu aprēķinus par ietekmi uz valsts budžetu un pašvaldību budžetiem.</w:t>
            </w:r>
          </w:p>
        </w:tc>
      </w:tr>
      <w:tr w:rsidR="00F24D71" w:rsidRPr="00D42CC4" w:rsidTr="004232C0">
        <w:trPr>
          <w:trHeight w:val="1807"/>
        </w:trPr>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822C04">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24D71" w:rsidRPr="00D42CC4" w:rsidRDefault="0028411C" w:rsidP="00E53522">
            <w:pPr>
              <w:pStyle w:val="Footer"/>
              <w:tabs>
                <w:tab w:val="clear" w:pos="4153"/>
                <w:tab w:val="clear" w:pos="8306"/>
              </w:tabs>
              <w:jc w:val="both"/>
              <w:rPr>
                <w:iCs/>
                <w:sz w:val="24"/>
              </w:rPr>
            </w:pPr>
            <w:r>
              <w:rPr>
                <w:sz w:val="24"/>
              </w:rPr>
              <w:t>Atbilstoši noteikumos noteiktaj</w:t>
            </w:r>
            <w:r w:rsidR="00E53522">
              <w:rPr>
                <w:sz w:val="24"/>
              </w:rPr>
              <w:t>ai</w:t>
            </w:r>
            <w:r>
              <w:rPr>
                <w:sz w:val="24"/>
              </w:rPr>
              <w:t xml:space="preserve"> formul</w:t>
            </w:r>
            <w:r w:rsidR="00E53522">
              <w:rPr>
                <w:sz w:val="24"/>
              </w:rPr>
              <w:t>ai</w:t>
            </w:r>
            <w:r>
              <w:rPr>
                <w:sz w:val="24"/>
              </w:rPr>
              <w:t xml:space="preserve"> </w:t>
            </w:r>
            <w:r w:rsidR="009534ED">
              <w:rPr>
                <w:sz w:val="24"/>
              </w:rPr>
              <w:t>Labklājības ministrija katru gadu aprēķinās</w:t>
            </w:r>
            <w:r w:rsidR="00B54E2A">
              <w:rPr>
                <w:sz w:val="24"/>
              </w:rPr>
              <w:t xml:space="preserve"> četru veidu normālā darba laika stundu skait</w:t>
            </w:r>
            <w:r w:rsidR="00E53522">
              <w:rPr>
                <w:sz w:val="24"/>
              </w:rPr>
              <w:t>u</w:t>
            </w:r>
            <w:r w:rsidR="00B54E2A">
              <w:rPr>
                <w:sz w:val="24"/>
              </w:rPr>
              <w:t xml:space="preserve"> mēnesī un atbilstošās</w:t>
            </w:r>
            <w:r w:rsidR="009534ED">
              <w:rPr>
                <w:sz w:val="24"/>
              </w:rPr>
              <w:t xml:space="preserve"> minimālās stundas tarifa likmes pa mēnešiem par nākamo periodu, un publicēs to apmērus Labklājības ministrijas mājas lapā, adrese:</w:t>
            </w:r>
            <w:r w:rsidR="009534ED">
              <w:t xml:space="preserve"> </w:t>
            </w:r>
            <w:r w:rsidR="009534ED" w:rsidRPr="00736D07">
              <w:rPr>
                <w:sz w:val="24"/>
              </w:rPr>
              <w:t>http://www.lm.gov.lv/text/2525</w:t>
            </w:r>
            <w:r w:rsidR="009534ED">
              <w:rPr>
                <w:sz w:val="24"/>
              </w:rPr>
              <w:t>.</w:t>
            </w:r>
          </w:p>
        </w:tc>
      </w:tr>
    </w:tbl>
    <w:p w:rsidR="00516BEA" w:rsidRDefault="00516BEA" w:rsidP="00124F71">
      <w:pPr>
        <w:rPr>
          <w:szCs w:val="28"/>
        </w:rPr>
      </w:pPr>
    </w:p>
    <w:p w:rsidR="004232C0" w:rsidRPr="00D42CC4" w:rsidRDefault="004232C0" w:rsidP="00124F7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124F71" w:rsidRPr="00D42CC4" w:rsidTr="00822C04">
        <w:tc>
          <w:tcPr>
            <w:tcW w:w="5000" w:type="pct"/>
            <w:gridSpan w:val="3"/>
            <w:tcBorders>
              <w:top w:val="single" w:sz="4" w:space="0" w:color="auto"/>
              <w:left w:val="single" w:sz="4" w:space="0" w:color="auto"/>
              <w:bottom w:val="single" w:sz="4" w:space="0" w:color="auto"/>
              <w:right w:val="single" w:sz="4" w:space="0" w:color="auto"/>
            </w:tcBorders>
            <w:vAlign w:val="center"/>
          </w:tcPr>
          <w:p w:rsidR="00124F71" w:rsidRPr="0058204F" w:rsidRDefault="00124F71" w:rsidP="00822C04">
            <w:pPr>
              <w:pStyle w:val="naisnod"/>
              <w:spacing w:before="0" w:after="0"/>
              <w:ind w:left="57" w:right="57"/>
            </w:pPr>
            <w:r w:rsidRPr="0058204F">
              <w:t>II</w:t>
            </w:r>
            <w:r>
              <w:t>.</w:t>
            </w:r>
            <w:r w:rsidRPr="0058204F">
              <w:t xml:space="preserve"> Tiesību akta projekta ietekme uz sabiedrību, tautsaimniecības attīstību</w:t>
            </w:r>
          </w:p>
          <w:p w:rsidR="00124F71" w:rsidRPr="00D42CC4" w:rsidRDefault="00124F71" w:rsidP="00822C04">
            <w:pPr>
              <w:jc w:val="center"/>
              <w:rPr>
                <w:b/>
                <w:iCs/>
                <w:sz w:val="24"/>
              </w:rPr>
            </w:pPr>
            <w:r w:rsidRPr="0058204F">
              <w:rPr>
                <w:b/>
                <w:sz w:val="24"/>
              </w:rPr>
              <w:t>un administratīvo slogu</w:t>
            </w:r>
          </w:p>
        </w:tc>
      </w:tr>
      <w:tr w:rsidR="00124F71"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124129" w:rsidRDefault="00124F71" w:rsidP="00822C04">
            <w:pPr>
              <w:jc w:val="both"/>
              <w:rPr>
                <w:sz w:val="24"/>
                <w:u w:val="single"/>
              </w:rPr>
            </w:pPr>
            <w:r w:rsidRPr="00124129">
              <w:rPr>
                <w:sz w:val="24"/>
                <w:u w:val="single"/>
              </w:rPr>
              <w:t>Darba ņēmēji:</w:t>
            </w:r>
          </w:p>
          <w:p w:rsidR="00124F71" w:rsidRPr="004A45D7" w:rsidRDefault="007E22DC" w:rsidP="00822C04">
            <w:pPr>
              <w:jc w:val="both"/>
              <w:rPr>
                <w:sz w:val="24"/>
              </w:rPr>
            </w:pPr>
            <w:r>
              <w:rPr>
                <w:sz w:val="24"/>
              </w:rPr>
              <w:t xml:space="preserve">Noteikumi attiecas uz darba ņēmējiem. </w:t>
            </w:r>
            <w:r w:rsidR="00124F71" w:rsidRPr="00423EBD">
              <w:rPr>
                <w:sz w:val="24"/>
              </w:rPr>
              <w:t xml:space="preserve">Līdz 2009.gadam </w:t>
            </w:r>
            <w:r w:rsidR="00124F71">
              <w:rPr>
                <w:sz w:val="24"/>
              </w:rPr>
              <w:t xml:space="preserve">Centrālā statistikas pārvalde (turpmāk – </w:t>
            </w:r>
            <w:r w:rsidR="00124F71" w:rsidRPr="00423EBD">
              <w:rPr>
                <w:sz w:val="24"/>
              </w:rPr>
              <w:t>CSP</w:t>
            </w:r>
            <w:r w:rsidR="00124F71">
              <w:rPr>
                <w:sz w:val="24"/>
              </w:rPr>
              <w:t>)</w:t>
            </w:r>
            <w:r w:rsidR="00124F71" w:rsidRPr="00423EBD">
              <w:rPr>
                <w:sz w:val="24"/>
              </w:rPr>
              <w:t xml:space="preserve"> sniedza Labklājības ministrijai datus par darbinieku skaita sadalījumu pēc </w:t>
            </w:r>
            <w:r w:rsidR="00124F71" w:rsidRPr="00423EBD">
              <w:rPr>
                <w:i/>
                <w:sz w:val="24"/>
              </w:rPr>
              <w:t>mēneša bruto darba samaksas apmēra</w:t>
            </w:r>
            <w:r w:rsidR="00124F71" w:rsidRPr="00423EBD">
              <w:rPr>
                <w:sz w:val="24"/>
              </w:rPr>
              <w:t xml:space="preserve">, to salīdzinot ar minimālo mēneša darba algu. </w:t>
            </w:r>
            <w:r w:rsidR="00124F71" w:rsidRPr="00423EBD">
              <w:rPr>
                <w:bCs/>
                <w:sz w:val="24"/>
              </w:rPr>
              <w:t xml:space="preserve">Saskaņā ar </w:t>
            </w:r>
            <w:r w:rsidR="00124F71" w:rsidRPr="00423EBD">
              <w:rPr>
                <w:sz w:val="24"/>
              </w:rPr>
              <w:t>Ministru kabineta 2009.gada 15.decembra noteikumiem Nr.1428 „</w:t>
            </w:r>
            <w:r w:rsidR="00124F71" w:rsidRPr="00423EBD">
              <w:rPr>
                <w:bCs/>
                <w:sz w:val="24"/>
              </w:rPr>
              <w:t xml:space="preserve">Noteikumi par Valsts statistiskās informācijas programmu 2010.gadam” </w:t>
            </w:r>
            <w:r w:rsidR="00124F71" w:rsidRPr="00423EBD">
              <w:rPr>
                <w:bCs/>
                <w:sz w:val="24"/>
                <w:u w:val="single"/>
              </w:rPr>
              <w:t>CSP vairs minētos datus nevāc un neapkopo.</w:t>
            </w:r>
            <w:r w:rsidR="00124F71" w:rsidRPr="00423EBD">
              <w:rPr>
                <w:bCs/>
                <w:sz w:val="24"/>
              </w:rPr>
              <w:t xml:space="preserve"> Tā vietā CSP var sniegt līdzvērtīgus datus par darba ņēmēju skaita sadalījumu pēc </w:t>
            </w:r>
            <w:r w:rsidR="00124F71" w:rsidRPr="00423EBD">
              <w:rPr>
                <w:bCs/>
                <w:i/>
                <w:sz w:val="24"/>
              </w:rPr>
              <w:t>mēneša bruto darba ienākumiem</w:t>
            </w:r>
            <w:r w:rsidR="00124F71" w:rsidRPr="00423EBD">
              <w:rPr>
                <w:bCs/>
                <w:sz w:val="24"/>
              </w:rPr>
              <w:t>,</w:t>
            </w:r>
            <w:r w:rsidR="00124F71" w:rsidRPr="00423EBD">
              <w:rPr>
                <w:sz w:val="24"/>
              </w:rPr>
              <w:t xml:space="preserve"> to salīdzinot ar minimālo mēneša darba algu. </w:t>
            </w:r>
            <w:r w:rsidR="00124F71" w:rsidRPr="004A45D7">
              <w:rPr>
                <w:sz w:val="24"/>
              </w:rPr>
              <w:t>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w:t>
            </w:r>
            <w:r w:rsidR="00124F71">
              <w:rPr>
                <w:sz w:val="24"/>
              </w:rPr>
              <w:t xml:space="preserve"> </w:t>
            </w:r>
            <w:r w:rsidR="00124F71" w:rsidRPr="004A45D7">
              <w:rPr>
                <w:sz w:val="24"/>
              </w:rPr>
              <w:t xml:space="preserve">Tā kā pēc darba devēju ikmēneša ziņojumiem par katru darba ņēmēju nevar noteikt, vai viņš strādā normālo vai nepilnu darba laiku, darba ņēmēju skaitā </w:t>
            </w:r>
            <w:r w:rsidR="00124F71" w:rsidRPr="004A45D7">
              <w:rPr>
                <w:sz w:val="24"/>
              </w:rPr>
              <w:lastRenderedPageBreak/>
              <w:t xml:space="preserve">iekļauti visi darba ņēmēji, kuriem pārskata periodā aprēķināti darba ienākumi, neskatoties uz nostrādāto stundu skaitu. </w:t>
            </w:r>
            <w:r w:rsidR="005220B2" w:rsidRPr="004A45D7">
              <w:rPr>
                <w:sz w:val="24"/>
              </w:rPr>
              <w:t>Turklāt</w:t>
            </w:r>
            <w:r w:rsidR="00124F71" w:rsidRPr="004A45D7">
              <w:rPr>
                <w:sz w:val="24"/>
              </w:rPr>
              <w:t>, viena persona iekļauta tikai vienu reizi, summējot ienākumus pie visiem darba devējiem.</w:t>
            </w:r>
          </w:p>
          <w:p w:rsidR="0067229D" w:rsidRDefault="0067229D" w:rsidP="005C32ED">
            <w:pPr>
              <w:jc w:val="both"/>
              <w:rPr>
                <w:sz w:val="24"/>
              </w:rPr>
            </w:pPr>
            <w:r>
              <w:rPr>
                <w:sz w:val="24"/>
              </w:rPr>
              <w:t xml:space="preserve">Saskaņā ar CSP sniegto informāciju </w:t>
            </w:r>
            <w:r w:rsidR="005C32ED" w:rsidRPr="005326E0">
              <w:rPr>
                <w:sz w:val="24"/>
              </w:rPr>
              <w:t>201</w:t>
            </w:r>
            <w:r w:rsidR="00D97F62">
              <w:rPr>
                <w:sz w:val="24"/>
              </w:rPr>
              <w:t>5</w:t>
            </w:r>
            <w:r w:rsidR="005C32ED" w:rsidRPr="005326E0">
              <w:rPr>
                <w:sz w:val="24"/>
              </w:rPr>
              <w:t xml:space="preserve">.gada </w:t>
            </w:r>
            <w:r w:rsidR="00D97F62">
              <w:rPr>
                <w:sz w:val="24"/>
              </w:rPr>
              <w:t>maij</w:t>
            </w:r>
            <w:r>
              <w:rPr>
                <w:sz w:val="24"/>
              </w:rPr>
              <w:t>ā</w:t>
            </w:r>
            <w:r w:rsidR="005C32ED" w:rsidRPr="005326E0">
              <w:rPr>
                <w:sz w:val="24"/>
              </w:rPr>
              <w:t xml:space="preserve"> darba ņēmēju skaits, kuriem </w:t>
            </w:r>
            <w:r>
              <w:rPr>
                <w:sz w:val="24"/>
              </w:rPr>
              <w:t>darba alga ir līdz 36</w:t>
            </w:r>
            <w:r w:rsidR="0020673F">
              <w:rPr>
                <w:sz w:val="24"/>
              </w:rPr>
              <w:t>9</w:t>
            </w:r>
            <w:r>
              <w:rPr>
                <w:sz w:val="24"/>
              </w:rPr>
              <w:t xml:space="preserve">,99 </w:t>
            </w:r>
            <w:proofErr w:type="spellStart"/>
            <w:r w:rsidRPr="00297104">
              <w:rPr>
                <w:i/>
                <w:sz w:val="24"/>
              </w:rPr>
              <w:t>euro</w:t>
            </w:r>
            <w:proofErr w:type="spellEnd"/>
            <w:r>
              <w:rPr>
                <w:sz w:val="24"/>
              </w:rPr>
              <w:t xml:space="preserve"> bija</w:t>
            </w:r>
            <w:r w:rsidR="005C32ED" w:rsidRPr="005326E0">
              <w:rPr>
                <w:sz w:val="24"/>
              </w:rPr>
              <w:t xml:space="preserve"> </w:t>
            </w:r>
            <w:r>
              <w:rPr>
                <w:b/>
                <w:sz w:val="24"/>
              </w:rPr>
              <w:t>249</w:t>
            </w:r>
            <w:r w:rsidR="005C32ED" w:rsidRPr="005326E0">
              <w:rPr>
                <w:b/>
                <w:sz w:val="24"/>
              </w:rPr>
              <w:t>,</w:t>
            </w:r>
            <w:r>
              <w:rPr>
                <w:b/>
                <w:sz w:val="24"/>
              </w:rPr>
              <w:t>074</w:t>
            </w:r>
            <w:r w:rsidR="006124FE">
              <w:rPr>
                <w:b/>
                <w:sz w:val="24"/>
              </w:rPr>
              <w:t> </w:t>
            </w:r>
            <w:r w:rsidR="005C32ED" w:rsidRPr="005326E0">
              <w:rPr>
                <w:b/>
                <w:sz w:val="24"/>
              </w:rPr>
              <w:t>tūkst. cilvēku</w:t>
            </w:r>
            <w:r w:rsidR="005C32ED" w:rsidRPr="005326E0">
              <w:rPr>
                <w:bCs/>
                <w:sz w:val="24"/>
              </w:rPr>
              <w:t>,</w:t>
            </w:r>
            <w:r w:rsidR="005C32ED" w:rsidRPr="005326E0">
              <w:rPr>
                <w:sz w:val="24"/>
              </w:rPr>
              <w:t xml:space="preserve"> tai skaitā privātajā sektorā – </w:t>
            </w:r>
            <w:r>
              <w:rPr>
                <w:b/>
                <w:sz w:val="24"/>
              </w:rPr>
              <w:t>223</w:t>
            </w:r>
            <w:r w:rsidR="005C32ED" w:rsidRPr="005326E0">
              <w:rPr>
                <w:b/>
                <w:sz w:val="24"/>
              </w:rPr>
              <w:t>,</w:t>
            </w:r>
            <w:r>
              <w:rPr>
                <w:b/>
                <w:sz w:val="24"/>
              </w:rPr>
              <w:t>231</w:t>
            </w:r>
            <w:r w:rsidR="006124FE">
              <w:rPr>
                <w:b/>
                <w:sz w:val="24"/>
              </w:rPr>
              <w:t> </w:t>
            </w:r>
            <w:r w:rsidR="005C32ED" w:rsidRPr="005326E0">
              <w:rPr>
                <w:b/>
                <w:sz w:val="24"/>
              </w:rPr>
              <w:t>tūkst.</w:t>
            </w:r>
            <w:r w:rsidR="0088339D" w:rsidRPr="0088339D">
              <w:rPr>
                <w:sz w:val="24"/>
              </w:rPr>
              <w:t>,</w:t>
            </w:r>
            <w:r w:rsidR="005C32ED" w:rsidRPr="005326E0">
              <w:rPr>
                <w:sz w:val="24"/>
              </w:rPr>
              <w:t xml:space="preserve"> </w:t>
            </w:r>
            <w:r w:rsidR="0088339D" w:rsidRPr="0088339D">
              <w:rPr>
                <w:sz w:val="24"/>
              </w:rPr>
              <w:t xml:space="preserve">bet pašvaldību un to padotības iestādēs </w:t>
            </w:r>
            <w:r w:rsidR="005C32ED" w:rsidRPr="0088339D">
              <w:rPr>
                <w:sz w:val="24"/>
              </w:rPr>
              <w:t xml:space="preserve">– </w:t>
            </w:r>
            <w:r w:rsidRPr="0088339D">
              <w:rPr>
                <w:b/>
                <w:sz w:val="24"/>
              </w:rPr>
              <w:t>25</w:t>
            </w:r>
            <w:r w:rsidR="005C32ED" w:rsidRPr="0088339D">
              <w:rPr>
                <w:b/>
                <w:sz w:val="24"/>
              </w:rPr>
              <w:t>,</w:t>
            </w:r>
            <w:r w:rsidRPr="0088339D">
              <w:rPr>
                <w:b/>
                <w:sz w:val="24"/>
              </w:rPr>
              <w:t>843</w:t>
            </w:r>
            <w:r w:rsidR="006124FE" w:rsidRPr="0088339D">
              <w:rPr>
                <w:b/>
                <w:sz w:val="24"/>
              </w:rPr>
              <w:t> </w:t>
            </w:r>
            <w:r w:rsidR="005C32ED" w:rsidRPr="0088339D">
              <w:rPr>
                <w:b/>
                <w:sz w:val="24"/>
              </w:rPr>
              <w:t>tūkst.</w:t>
            </w:r>
            <w:r w:rsidR="005C32ED" w:rsidRPr="0088339D">
              <w:rPr>
                <w:sz w:val="24"/>
              </w:rPr>
              <w:t xml:space="preserve"> </w:t>
            </w:r>
            <w:r w:rsidRPr="0088339D">
              <w:rPr>
                <w:sz w:val="24"/>
              </w:rPr>
              <w:t>CSP datos darba ņēmēju skaitā iekļauti visi darba ņēmēji, kuriem</w:t>
            </w:r>
            <w:r>
              <w:rPr>
                <w:sz w:val="24"/>
              </w:rPr>
              <w:t xml:space="preserve"> pārskata periodā aprēķināti darba ienākumi, neskatoties uz nostrādāto stundu skaita. Turklāt, ja darba ņēmēju nodarbina vairāki darba devēji, tad darba ņēmēju skaitā viņu iekļauj tikai vienu reizi, summējot darba ienākumus, kas gūti no visiem darba devējiem.</w:t>
            </w:r>
          </w:p>
          <w:p w:rsidR="005220B2" w:rsidRPr="005326E0" w:rsidRDefault="005220B2" w:rsidP="005C32ED">
            <w:pPr>
              <w:jc w:val="both"/>
              <w:rPr>
                <w:sz w:val="24"/>
              </w:rPr>
            </w:pPr>
            <w:r>
              <w:rPr>
                <w:sz w:val="24"/>
              </w:rPr>
              <w:t xml:space="preserve">Valstī nav statistikas par darba ņēmēju skaitu, kuriem darba līgumā ir noteikta </w:t>
            </w:r>
            <w:r w:rsidR="00AD2100">
              <w:rPr>
                <w:sz w:val="24"/>
              </w:rPr>
              <w:t xml:space="preserve">stundas </w:t>
            </w:r>
            <w:r>
              <w:rPr>
                <w:sz w:val="24"/>
              </w:rPr>
              <w:t xml:space="preserve">laika darba apmaksa </w:t>
            </w:r>
            <w:r w:rsidR="00AD2100">
              <w:rPr>
                <w:sz w:val="24"/>
              </w:rPr>
              <w:t>minimālās stundas tarifa likmes apmērā.</w:t>
            </w:r>
          </w:p>
          <w:p w:rsidR="00124F71" w:rsidRDefault="00124F71" w:rsidP="00822C04">
            <w:pPr>
              <w:jc w:val="both"/>
              <w:rPr>
                <w:sz w:val="24"/>
              </w:rPr>
            </w:pPr>
          </w:p>
          <w:p w:rsidR="00124F71" w:rsidRPr="00124129" w:rsidRDefault="00124F71" w:rsidP="00822C04">
            <w:pPr>
              <w:jc w:val="both"/>
              <w:rPr>
                <w:sz w:val="24"/>
                <w:u w:val="single"/>
              </w:rPr>
            </w:pPr>
            <w:r w:rsidRPr="00124129">
              <w:rPr>
                <w:sz w:val="24"/>
                <w:u w:val="single"/>
              </w:rPr>
              <w:t>Darba devēji:</w:t>
            </w:r>
          </w:p>
          <w:p w:rsidR="00124F71" w:rsidRPr="00423EBD" w:rsidRDefault="00124F71" w:rsidP="005E5A38">
            <w:pPr>
              <w:jc w:val="both"/>
              <w:rPr>
                <w:iCs/>
                <w:sz w:val="24"/>
              </w:rPr>
            </w:pPr>
            <w:r>
              <w:rPr>
                <w:iCs/>
                <w:sz w:val="24"/>
              </w:rPr>
              <w:t xml:space="preserve">Noteikumi attiecas arī uz darba devējiem. Saskaņā ar CSP pielietoto metodoloģiju nav aprēķināms darba devēju skaits, kas nodarbina darbiniekus un nosaka tiem </w:t>
            </w:r>
            <w:r w:rsidR="00AD2100">
              <w:rPr>
                <w:iCs/>
                <w:sz w:val="24"/>
              </w:rPr>
              <w:t xml:space="preserve">stundas darba laika apmaksu </w:t>
            </w:r>
            <w:r w:rsidR="005220B2">
              <w:rPr>
                <w:iCs/>
                <w:sz w:val="24"/>
              </w:rPr>
              <w:t>minimālās stundas tarifa likmes</w:t>
            </w:r>
            <w:r w:rsidR="00AD2100">
              <w:rPr>
                <w:iCs/>
                <w:sz w:val="24"/>
              </w:rPr>
              <w:t xml:space="preserve"> apmērā</w:t>
            </w:r>
            <w:r>
              <w:rPr>
                <w:iCs/>
                <w:sz w:val="24"/>
              </w:rPr>
              <w:t>.</w:t>
            </w:r>
          </w:p>
        </w:tc>
      </w:tr>
      <w:tr w:rsidR="00124F71"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spacing w:before="0" w:after="0"/>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7D20BA" w:rsidRDefault="007D20BA" w:rsidP="007D20BA">
            <w:pPr>
              <w:jc w:val="both"/>
              <w:rPr>
                <w:iCs/>
                <w:sz w:val="24"/>
              </w:rPr>
            </w:pPr>
            <w:r w:rsidRPr="00976ACB">
              <w:rPr>
                <w:sz w:val="24"/>
              </w:rPr>
              <w:t xml:space="preserve">Paaugstinot minimālo mēneša darba algu, pieaugs darba devēju izdevumi darbinieku darba algas paaugstināšanai (no darbinieku darba algas </w:t>
            </w:r>
            <w:r>
              <w:rPr>
                <w:sz w:val="24"/>
              </w:rPr>
              <w:t xml:space="preserve">370 </w:t>
            </w:r>
            <w:proofErr w:type="spellStart"/>
            <w:r w:rsidRPr="00E91D46">
              <w:rPr>
                <w:i/>
                <w:sz w:val="24"/>
              </w:rPr>
              <w:t>euro</w:t>
            </w:r>
            <w:proofErr w:type="spellEnd"/>
            <w:r>
              <w:rPr>
                <w:sz w:val="24"/>
              </w:rPr>
              <w:t xml:space="preserve"> </w:t>
            </w:r>
            <w:r w:rsidRPr="00976ACB">
              <w:rPr>
                <w:sz w:val="24"/>
              </w:rPr>
              <w:t>apmērā darba devējam paaugstināsies nodokļu maksājumi – sociālās apdrošināšanas iemaksas (2</w:t>
            </w:r>
            <w:r>
              <w:rPr>
                <w:sz w:val="24"/>
              </w:rPr>
              <w:t>3</w:t>
            </w:r>
            <w:r w:rsidRPr="00976ACB">
              <w:rPr>
                <w:sz w:val="24"/>
              </w:rPr>
              <w:t>,</w:t>
            </w:r>
            <w:r>
              <w:rPr>
                <w:sz w:val="24"/>
              </w:rPr>
              <w:t>5</w:t>
            </w:r>
            <w:r w:rsidRPr="00976ACB">
              <w:rPr>
                <w:sz w:val="24"/>
              </w:rPr>
              <w:t xml:space="preserve">9 %) </w:t>
            </w:r>
            <w:r w:rsidRPr="00B60F7D">
              <w:rPr>
                <w:sz w:val="24"/>
              </w:rPr>
              <w:t xml:space="preserve">par </w:t>
            </w:r>
            <w:r w:rsidR="009C38F7">
              <w:rPr>
                <w:sz w:val="24"/>
              </w:rPr>
              <w:t>2</w:t>
            </w:r>
            <w:r>
              <w:rPr>
                <w:sz w:val="24"/>
              </w:rPr>
              <w:t>,</w:t>
            </w:r>
            <w:r w:rsidR="009C38F7">
              <w:rPr>
                <w:sz w:val="24"/>
              </w:rPr>
              <w:t>3</w:t>
            </w:r>
            <w:r>
              <w:rPr>
                <w:sz w:val="24"/>
              </w:rPr>
              <w:t xml:space="preserve">6 </w:t>
            </w:r>
            <w:proofErr w:type="spellStart"/>
            <w:r w:rsidRPr="00E91D46">
              <w:rPr>
                <w:i/>
                <w:sz w:val="24"/>
              </w:rPr>
              <w:t>euro</w:t>
            </w:r>
            <w:proofErr w:type="spellEnd"/>
            <w:r>
              <w:rPr>
                <w:sz w:val="24"/>
              </w:rPr>
              <w:t xml:space="preserve"> </w:t>
            </w:r>
            <w:r w:rsidRPr="00B60F7D">
              <w:rPr>
                <w:sz w:val="24"/>
              </w:rPr>
              <w:t xml:space="preserve">un papildus darba algas izmaksas darbiniekam – par </w:t>
            </w:r>
            <w:r>
              <w:rPr>
                <w:sz w:val="24"/>
              </w:rPr>
              <w:t xml:space="preserve">10,00 </w:t>
            </w:r>
            <w:proofErr w:type="spellStart"/>
            <w:r w:rsidRPr="00E91D46">
              <w:rPr>
                <w:i/>
                <w:sz w:val="24"/>
              </w:rPr>
              <w:t>euro</w:t>
            </w:r>
            <w:proofErr w:type="spellEnd"/>
            <w:r>
              <w:rPr>
                <w:sz w:val="24"/>
              </w:rPr>
              <w:t>)</w:t>
            </w:r>
            <w:r w:rsidRPr="00B60F7D">
              <w:rPr>
                <w:sz w:val="24"/>
              </w:rPr>
              <w:t>.</w:t>
            </w:r>
          </w:p>
          <w:p w:rsidR="007D20BA" w:rsidRDefault="007D20BA" w:rsidP="007D20BA">
            <w:pPr>
              <w:jc w:val="both"/>
              <w:rPr>
                <w:sz w:val="24"/>
              </w:rPr>
            </w:pPr>
            <w:r w:rsidRPr="00976ACB">
              <w:rPr>
                <w:sz w:val="24"/>
              </w:rPr>
              <w:t xml:space="preserve">Minimālās mēneša darba algas paaugstināšana uzlabos konkurētspēju tiem komersantiem, kapitālsabiedrībām, kuri maksā nodokļus </w:t>
            </w:r>
            <w:r>
              <w:rPr>
                <w:sz w:val="24"/>
              </w:rPr>
              <w:t xml:space="preserve">no darba algas, kas augstāka par minimālo mēneša darba algu un </w:t>
            </w:r>
            <w:r w:rsidRPr="00976ACB">
              <w:rPr>
                <w:sz w:val="24"/>
              </w:rPr>
              <w:t>no visas darba algas</w:t>
            </w:r>
            <w:r>
              <w:rPr>
                <w:sz w:val="24"/>
              </w:rPr>
              <w:t xml:space="preserve"> (bez „aplokšņu algām”)</w:t>
            </w:r>
            <w:r w:rsidRPr="00976ACB">
              <w:rPr>
                <w:sz w:val="24"/>
              </w:rPr>
              <w:t>, salīdzinot ar tiem, kuri maksā nodokļus no minimālās mēneša darba algas, bet pārējo atalgojumu izsniedz „aploksnēs”.</w:t>
            </w:r>
          </w:p>
          <w:p w:rsidR="00306123" w:rsidRDefault="00306123" w:rsidP="007D20BA">
            <w:pPr>
              <w:jc w:val="both"/>
              <w:rPr>
                <w:sz w:val="24"/>
              </w:rPr>
            </w:pPr>
          </w:p>
          <w:p w:rsidR="00306123" w:rsidRDefault="00306123" w:rsidP="00306123">
            <w:pPr>
              <w:jc w:val="both"/>
              <w:rPr>
                <w:iCs/>
                <w:sz w:val="24"/>
              </w:rPr>
            </w:pPr>
            <w:r w:rsidRPr="004471AA">
              <w:rPr>
                <w:sz w:val="24"/>
              </w:rPr>
              <w:t xml:space="preserve">Ministru kabineta </w:t>
            </w:r>
            <w:r w:rsidRPr="002F7733">
              <w:rPr>
                <w:sz w:val="24"/>
              </w:rPr>
              <w:t>2010.gada 7.septembra noteikumu Nr.827 „Noteikumi par valsts sociālās apdrošināšanas obligāto iemaksu veicēju reģistrāciju un ziņojumiem par valsts sociālās apdrošināšanas obligātajām iemaksām un iedzīvotāju ienākuma nodokli” 8.</w:t>
            </w:r>
            <w:r w:rsidRPr="002F7733">
              <w:rPr>
                <w:sz w:val="24"/>
                <w:vertAlign w:val="superscript"/>
              </w:rPr>
              <w:t>4</w:t>
            </w:r>
            <w:r w:rsidRPr="002F7733">
              <w:rPr>
                <w:sz w:val="24"/>
              </w:rPr>
              <w:t xml:space="preserve"> punkts</w:t>
            </w:r>
            <w:r w:rsidR="00C43300">
              <w:rPr>
                <w:sz w:val="24"/>
              </w:rPr>
              <w:t xml:space="preserve"> un 21.punkts </w:t>
            </w:r>
            <w:r w:rsidRPr="002F7733">
              <w:rPr>
                <w:sz w:val="24"/>
              </w:rPr>
              <w:t>nosaka, ka darba devējs, reģistrējot katru darba ņēmēju Valsts ieņēmumu dienestā</w:t>
            </w:r>
            <w:r w:rsidR="00C43300">
              <w:rPr>
                <w:sz w:val="24"/>
              </w:rPr>
              <w:t xml:space="preserve"> un nākamajā mēnesī līdz datumam, kas noteikts kā ikmēneša obligāto iemaksu veikšanas termiņš, iesniedz Valsts ieņēmumu dienestā ziņas par darba ņēmēju ienākumiem un aprēķinātiem nodokļiem. </w:t>
            </w:r>
            <w:r w:rsidRPr="002F7733">
              <w:rPr>
                <w:sz w:val="24"/>
              </w:rPr>
              <w:t xml:space="preserve">Tātad jau tagad darba devējiem ir jāsniedz informācija par darba ņēmēja </w:t>
            </w:r>
            <w:r>
              <w:rPr>
                <w:sz w:val="24"/>
              </w:rPr>
              <w:t xml:space="preserve">darba </w:t>
            </w:r>
            <w:r w:rsidR="00C43300">
              <w:rPr>
                <w:sz w:val="24"/>
              </w:rPr>
              <w:t>ienākumiem</w:t>
            </w:r>
            <w:r w:rsidRPr="002F7733">
              <w:rPr>
                <w:sz w:val="24"/>
              </w:rPr>
              <w:t xml:space="preserve">. To, ka, </w:t>
            </w:r>
            <w:r>
              <w:rPr>
                <w:sz w:val="24"/>
              </w:rPr>
              <w:t>mainās minimālās mēneša darba algas apmērs</w:t>
            </w:r>
            <w:r w:rsidRPr="002F7733">
              <w:rPr>
                <w:sz w:val="24"/>
              </w:rPr>
              <w:t xml:space="preserve">, nevar </w:t>
            </w:r>
            <w:r w:rsidRPr="002F7733">
              <w:rPr>
                <w:sz w:val="24"/>
              </w:rPr>
              <w:lastRenderedPageBreak/>
              <w:t xml:space="preserve">uzskatīt par darba devēja administratīvā sloga palielinājumu, jo, </w:t>
            </w:r>
            <w:r>
              <w:rPr>
                <w:sz w:val="24"/>
              </w:rPr>
              <w:t xml:space="preserve">informācija par darba ņēmēju </w:t>
            </w:r>
            <w:r w:rsidRPr="002F7733">
              <w:rPr>
                <w:sz w:val="24"/>
              </w:rPr>
              <w:t>Valsts ieņēmumu dienest</w:t>
            </w:r>
            <w:r>
              <w:rPr>
                <w:sz w:val="24"/>
              </w:rPr>
              <w:t>am ir jāsniedz katru mēnesi</w:t>
            </w:r>
            <w:r w:rsidRPr="002F7733">
              <w:rPr>
                <w:sz w:val="24"/>
              </w:rPr>
              <w:t>. Savukārt</w:t>
            </w:r>
            <w:r>
              <w:rPr>
                <w:sz w:val="24"/>
              </w:rPr>
              <w:t>,</w:t>
            </w:r>
            <w:r w:rsidRPr="002F7733">
              <w:rPr>
                <w:sz w:val="24"/>
              </w:rPr>
              <w:t xml:space="preserve"> pēc </w:t>
            </w:r>
            <w:r>
              <w:rPr>
                <w:sz w:val="24"/>
              </w:rPr>
              <w:t>jaunās minimālās mēneša darba algas apmēra</w:t>
            </w:r>
            <w:r w:rsidRPr="002F7733">
              <w:rPr>
                <w:sz w:val="24"/>
              </w:rPr>
              <w:t xml:space="preserve"> spēkā stāšanās, slēdzot darba līgumu </w:t>
            </w:r>
            <w:r>
              <w:rPr>
                <w:sz w:val="24"/>
              </w:rPr>
              <w:t xml:space="preserve">ar </w:t>
            </w:r>
            <w:r w:rsidRPr="002F7733">
              <w:rPr>
                <w:sz w:val="24"/>
              </w:rPr>
              <w:t xml:space="preserve">jauno </w:t>
            </w:r>
            <w:r>
              <w:rPr>
                <w:sz w:val="24"/>
              </w:rPr>
              <w:t>darba ņēmēju</w:t>
            </w:r>
            <w:r w:rsidRPr="002F7733">
              <w:rPr>
                <w:sz w:val="24"/>
              </w:rPr>
              <w:t xml:space="preserve">, darba devējam, kā par jebkuru citu darba ņēmēja </w:t>
            </w:r>
            <w:r>
              <w:rPr>
                <w:sz w:val="24"/>
              </w:rPr>
              <w:t xml:space="preserve">darba </w:t>
            </w:r>
            <w:r w:rsidR="00D7221C">
              <w:rPr>
                <w:sz w:val="24"/>
              </w:rPr>
              <w:t>ienākumiem</w:t>
            </w:r>
            <w:r>
              <w:rPr>
                <w:sz w:val="24"/>
              </w:rPr>
              <w:t xml:space="preserve"> </w:t>
            </w:r>
            <w:r w:rsidRPr="002F7733">
              <w:rPr>
                <w:sz w:val="24"/>
              </w:rPr>
              <w:t>būs jāpaziņo Valsts ieņēmumu dienestam.</w:t>
            </w:r>
          </w:p>
          <w:p w:rsidR="007D20BA" w:rsidRDefault="007D20BA" w:rsidP="000C507D">
            <w:pPr>
              <w:pStyle w:val="Footer"/>
              <w:tabs>
                <w:tab w:val="clear" w:pos="4153"/>
                <w:tab w:val="clear" w:pos="8306"/>
              </w:tabs>
              <w:jc w:val="both"/>
              <w:rPr>
                <w:rFonts w:eastAsia="Calibri"/>
                <w:sz w:val="24"/>
              </w:rPr>
            </w:pPr>
          </w:p>
          <w:p w:rsidR="000C507D" w:rsidRDefault="00413304" w:rsidP="000C507D">
            <w:pPr>
              <w:pStyle w:val="Footer"/>
              <w:tabs>
                <w:tab w:val="clear" w:pos="4153"/>
                <w:tab w:val="clear" w:pos="8306"/>
              </w:tabs>
              <w:jc w:val="both"/>
              <w:rPr>
                <w:sz w:val="24"/>
              </w:rPr>
            </w:pPr>
            <w:r>
              <w:rPr>
                <w:rFonts w:eastAsia="Calibri"/>
                <w:sz w:val="24"/>
              </w:rPr>
              <w:t>J</w:t>
            </w:r>
            <w:r w:rsidRPr="004638CE">
              <w:rPr>
                <w:rFonts w:eastAsia="Calibri"/>
                <w:sz w:val="24"/>
              </w:rPr>
              <w:t xml:space="preserve">aunā sistēma būs taisnīga attiecībā pret darba devējiem un darba ņēmējiem, jo nevajadzēs darbiniekiem (kuriem </w:t>
            </w:r>
            <w:r>
              <w:rPr>
                <w:rFonts w:eastAsia="Calibri"/>
                <w:sz w:val="24"/>
              </w:rPr>
              <w:t>noteikta stundas laika darba</w:t>
            </w:r>
            <w:r w:rsidRPr="004638CE">
              <w:rPr>
                <w:rFonts w:eastAsia="Calibri"/>
                <w:sz w:val="24"/>
              </w:rPr>
              <w:t xml:space="preserve"> </w:t>
            </w:r>
            <w:r>
              <w:rPr>
                <w:rFonts w:eastAsia="Calibri"/>
                <w:sz w:val="24"/>
              </w:rPr>
              <w:t xml:space="preserve">apmaksa </w:t>
            </w:r>
            <w:r w:rsidRPr="004638CE">
              <w:rPr>
                <w:rFonts w:eastAsia="Calibri"/>
                <w:sz w:val="24"/>
              </w:rPr>
              <w:t>minimālās mēneša darba algas apmērā) piemaksāt iztrūkstošo darba algas daļu mēnesī, kad darba stundu skaits mēnesī ir mazāks par gada vidējo darba stundu skaitu mēnesī un – pārmaksāt, kad darba stundu skaits mēnesī ir lielāks par gada vidējo darba stundu skaitu mēnesī.</w:t>
            </w:r>
            <w:r w:rsidR="000E0A7D">
              <w:rPr>
                <w:rFonts w:eastAsia="Calibri"/>
                <w:sz w:val="24"/>
              </w:rPr>
              <w:t xml:space="preserve"> Tāpat </w:t>
            </w:r>
            <w:r w:rsidR="000C507D">
              <w:rPr>
                <w:sz w:val="24"/>
              </w:rPr>
              <w:t>jaunā sistēma normāla darba laika ietvaros būs vienlīdzīga (taisnīga) darbiniekiem, kuriem darba alga ir noteikta minimālās mēneša darba algas apmērā salīdzinājumā ar darbinieku aprēķināto minimālo mēneša darba algu, kuriem nolīgta laika algas sistēma ar minimālās stundas tarifa likmes apmaksu.</w:t>
            </w:r>
            <w:r w:rsidR="00523842">
              <w:rPr>
                <w:sz w:val="24"/>
              </w:rPr>
              <w:t xml:space="preserve"> </w:t>
            </w:r>
          </w:p>
          <w:p w:rsidR="00F300EE" w:rsidRDefault="00F300EE" w:rsidP="00F300EE">
            <w:pPr>
              <w:pStyle w:val="Footer"/>
              <w:tabs>
                <w:tab w:val="clear" w:pos="4153"/>
                <w:tab w:val="clear" w:pos="8306"/>
              </w:tabs>
              <w:jc w:val="both"/>
              <w:rPr>
                <w:sz w:val="24"/>
              </w:rPr>
            </w:pPr>
            <w:r>
              <w:rPr>
                <w:sz w:val="24"/>
              </w:rPr>
              <w:t xml:space="preserve">Piemēram, 2016.gada </w:t>
            </w:r>
            <w:r w:rsidR="005565E6">
              <w:rPr>
                <w:sz w:val="24"/>
              </w:rPr>
              <w:t>augustā</w:t>
            </w:r>
            <w:r>
              <w:rPr>
                <w:sz w:val="24"/>
              </w:rPr>
              <w:t xml:space="preserve"> darbiniekam, kuram </w:t>
            </w:r>
            <w:r>
              <w:rPr>
                <w:rFonts w:eastAsia="Calibri"/>
                <w:sz w:val="24"/>
              </w:rPr>
              <w:t>noteikta stundas laika darba</w:t>
            </w:r>
            <w:r w:rsidRPr="004638CE">
              <w:rPr>
                <w:rFonts w:eastAsia="Calibri"/>
                <w:sz w:val="24"/>
              </w:rPr>
              <w:t xml:space="preserve"> </w:t>
            </w:r>
            <w:r>
              <w:rPr>
                <w:rFonts w:eastAsia="Calibri"/>
                <w:sz w:val="24"/>
              </w:rPr>
              <w:t xml:space="preserve">apmaksa </w:t>
            </w:r>
            <w:r w:rsidRPr="004638CE">
              <w:rPr>
                <w:rFonts w:eastAsia="Calibri"/>
                <w:sz w:val="24"/>
              </w:rPr>
              <w:t>minimālās mēneša darba algas apmērā</w:t>
            </w:r>
            <w:r>
              <w:rPr>
                <w:rFonts w:eastAsia="Calibri"/>
                <w:sz w:val="24"/>
              </w:rPr>
              <w:t xml:space="preserve">, aprēķinātā darba alga ir </w:t>
            </w:r>
            <w:r w:rsidR="005565E6">
              <w:rPr>
                <w:rFonts w:eastAsia="Calibri"/>
                <w:sz w:val="24"/>
              </w:rPr>
              <w:t>405</w:t>
            </w:r>
            <w:r>
              <w:rPr>
                <w:rFonts w:eastAsia="Calibri"/>
                <w:sz w:val="24"/>
              </w:rPr>
              <w:t xml:space="preserve"> </w:t>
            </w:r>
            <w:proofErr w:type="spellStart"/>
            <w:r w:rsidRPr="007F7FF6">
              <w:rPr>
                <w:rFonts w:eastAsia="Calibri"/>
                <w:i/>
                <w:sz w:val="24"/>
              </w:rPr>
              <w:t>euro</w:t>
            </w:r>
            <w:proofErr w:type="spellEnd"/>
            <w:r>
              <w:rPr>
                <w:rFonts w:eastAsia="Calibri"/>
                <w:sz w:val="24"/>
              </w:rPr>
              <w:t>, tātad darba devēj</w:t>
            </w:r>
            <w:r w:rsidR="005565E6">
              <w:rPr>
                <w:rFonts w:eastAsia="Calibri"/>
                <w:sz w:val="24"/>
              </w:rPr>
              <w:t xml:space="preserve">s </w:t>
            </w:r>
            <w:r>
              <w:rPr>
                <w:rFonts w:eastAsia="Calibri"/>
                <w:sz w:val="24"/>
              </w:rPr>
              <w:t xml:space="preserve">ir </w:t>
            </w:r>
            <w:r w:rsidR="005565E6">
              <w:rPr>
                <w:rFonts w:eastAsia="Calibri"/>
                <w:sz w:val="24"/>
              </w:rPr>
              <w:t>pārmaksājis</w:t>
            </w:r>
            <w:r>
              <w:rPr>
                <w:rFonts w:eastAsia="Calibri"/>
                <w:sz w:val="24"/>
              </w:rPr>
              <w:t xml:space="preserve"> </w:t>
            </w:r>
            <w:r w:rsidR="005565E6">
              <w:rPr>
                <w:rFonts w:eastAsia="Calibri"/>
                <w:sz w:val="24"/>
              </w:rPr>
              <w:t>35</w:t>
            </w:r>
            <w:r>
              <w:rPr>
                <w:rFonts w:eastAsia="Calibri"/>
                <w:sz w:val="24"/>
              </w:rPr>
              <w:t xml:space="preserve"> </w:t>
            </w:r>
            <w:proofErr w:type="spellStart"/>
            <w:r w:rsidRPr="007F7FF6">
              <w:rPr>
                <w:rFonts w:eastAsia="Calibri"/>
                <w:i/>
                <w:sz w:val="24"/>
              </w:rPr>
              <w:t>euro</w:t>
            </w:r>
            <w:proofErr w:type="spellEnd"/>
            <w:r>
              <w:rPr>
                <w:rFonts w:eastAsia="Calibri"/>
                <w:sz w:val="24"/>
              </w:rPr>
              <w:t xml:space="preserve"> </w:t>
            </w:r>
            <w:r w:rsidR="005565E6">
              <w:rPr>
                <w:rFonts w:eastAsia="Calibri"/>
                <w:sz w:val="24"/>
              </w:rPr>
              <w:t>salīdzinājumā ar darbinieku, kam darba alga ir noteikta minimālās mēneša darba algas (370 </w:t>
            </w:r>
            <w:proofErr w:type="spellStart"/>
            <w:r w:rsidR="005565E6" w:rsidRPr="005565E6">
              <w:rPr>
                <w:rFonts w:eastAsia="Calibri"/>
                <w:i/>
                <w:sz w:val="24"/>
              </w:rPr>
              <w:t>euro</w:t>
            </w:r>
            <w:proofErr w:type="spellEnd"/>
            <w:r w:rsidR="005565E6">
              <w:rPr>
                <w:rFonts w:eastAsia="Calibri"/>
                <w:sz w:val="24"/>
              </w:rPr>
              <w:t xml:space="preserve">) </w:t>
            </w:r>
            <w:r>
              <w:rPr>
                <w:rFonts w:eastAsia="Calibri"/>
                <w:sz w:val="24"/>
              </w:rPr>
              <w:t>apmērā.</w:t>
            </w:r>
          </w:p>
          <w:p w:rsidR="005565E6" w:rsidRDefault="005565E6" w:rsidP="000C507D">
            <w:pPr>
              <w:pStyle w:val="Footer"/>
              <w:tabs>
                <w:tab w:val="clear" w:pos="4153"/>
                <w:tab w:val="clear" w:pos="8306"/>
              </w:tabs>
              <w:jc w:val="both"/>
              <w:rPr>
                <w:sz w:val="24"/>
              </w:rPr>
            </w:pPr>
          </w:p>
          <w:p w:rsidR="00523842" w:rsidRDefault="00523842" w:rsidP="000C507D">
            <w:pPr>
              <w:pStyle w:val="Footer"/>
              <w:tabs>
                <w:tab w:val="clear" w:pos="4153"/>
                <w:tab w:val="clear" w:pos="8306"/>
              </w:tabs>
              <w:jc w:val="both"/>
              <w:rPr>
                <w:sz w:val="24"/>
              </w:rPr>
            </w:pPr>
            <w:r w:rsidRPr="00523842">
              <w:rPr>
                <w:sz w:val="24"/>
              </w:rPr>
              <w:t>Jaunajā sistēmā minimālās stundas tarifa likmes aprēķināšanas formulā ir iekļaut</w:t>
            </w:r>
            <w:r>
              <w:rPr>
                <w:sz w:val="24"/>
              </w:rPr>
              <w:t>s</w:t>
            </w:r>
            <w:r w:rsidRPr="00523842">
              <w:rPr>
                <w:sz w:val="24"/>
              </w:rPr>
              <w:t xml:space="preserve"> arī svētku </w:t>
            </w:r>
            <w:r w:rsidR="0041123E">
              <w:rPr>
                <w:sz w:val="24"/>
              </w:rPr>
              <w:t xml:space="preserve">dienu </w:t>
            </w:r>
            <w:r w:rsidRPr="00523842">
              <w:rPr>
                <w:sz w:val="24"/>
              </w:rPr>
              <w:t>skaits, kad darbiniek</w:t>
            </w:r>
            <w:r>
              <w:rPr>
                <w:sz w:val="24"/>
              </w:rPr>
              <w:t>s</w:t>
            </w:r>
            <w:r w:rsidRPr="00523842">
              <w:rPr>
                <w:sz w:val="24"/>
              </w:rPr>
              <w:t xml:space="preserve"> neveic darbu svētku dienā, kas iekrīt da</w:t>
            </w:r>
            <w:r>
              <w:rPr>
                <w:sz w:val="24"/>
              </w:rPr>
              <w:t xml:space="preserve">rbiniekam noteiktajā darba dienā saskaņā ar Darba likuma 74.panta pirmās daļas 8.punktu. Turpretī esošā sistēma to neparedz un tāpēc darba devējam ir jāpiemaksā darbiniekam darba alga par svētku dienu </w:t>
            </w:r>
            <w:r w:rsidR="0041123E">
              <w:rPr>
                <w:sz w:val="24"/>
              </w:rPr>
              <w:t xml:space="preserve">noteiktām </w:t>
            </w:r>
            <w:r>
              <w:rPr>
                <w:sz w:val="24"/>
              </w:rPr>
              <w:t xml:space="preserve">stundām, ja </w:t>
            </w:r>
            <w:r w:rsidRPr="00523842">
              <w:rPr>
                <w:sz w:val="24"/>
              </w:rPr>
              <w:t>darbiniek</w:t>
            </w:r>
            <w:r>
              <w:rPr>
                <w:sz w:val="24"/>
              </w:rPr>
              <w:t>s</w:t>
            </w:r>
            <w:r w:rsidRPr="00523842">
              <w:rPr>
                <w:sz w:val="24"/>
              </w:rPr>
              <w:t xml:space="preserve"> </w:t>
            </w:r>
            <w:r w:rsidRPr="004638CE">
              <w:rPr>
                <w:rFonts w:eastAsia="Calibri"/>
                <w:sz w:val="24"/>
              </w:rPr>
              <w:t>(kur</w:t>
            </w:r>
            <w:r>
              <w:rPr>
                <w:rFonts w:eastAsia="Calibri"/>
                <w:sz w:val="24"/>
              </w:rPr>
              <w:t>a</w:t>
            </w:r>
            <w:r w:rsidRPr="004638CE">
              <w:rPr>
                <w:rFonts w:eastAsia="Calibri"/>
                <w:sz w:val="24"/>
              </w:rPr>
              <w:t xml:space="preserve">m </w:t>
            </w:r>
            <w:r>
              <w:rPr>
                <w:rFonts w:eastAsia="Calibri"/>
                <w:sz w:val="24"/>
              </w:rPr>
              <w:t>noteikta stundas laika darba</w:t>
            </w:r>
            <w:r w:rsidRPr="004638CE">
              <w:rPr>
                <w:rFonts w:eastAsia="Calibri"/>
                <w:sz w:val="24"/>
              </w:rPr>
              <w:t xml:space="preserve"> </w:t>
            </w:r>
            <w:r>
              <w:rPr>
                <w:rFonts w:eastAsia="Calibri"/>
                <w:sz w:val="24"/>
              </w:rPr>
              <w:t xml:space="preserve">apmaksa </w:t>
            </w:r>
            <w:r w:rsidRPr="004638CE">
              <w:rPr>
                <w:rFonts w:eastAsia="Calibri"/>
                <w:sz w:val="24"/>
              </w:rPr>
              <w:t xml:space="preserve">minimālās mēneša darba algas apmērā) </w:t>
            </w:r>
            <w:r w:rsidRPr="00523842">
              <w:rPr>
                <w:sz w:val="24"/>
              </w:rPr>
              <w:t>neveic darbu svētku dienā</w:t>
            </w:r>
            <w:r>
              <w:rPr>
                <w:sz w:val="24"/>
              </w:rPr>
              <w:t>s</w:t>
            </w:r>
            <w:r w:rsidRPr="00523842">
              <w:rPr>
                <w:sz w:val="24"/>
              </w:rPr>
              <w:t>, kas iekrīt da</w:t>
            </w:r>
            <w:r>
              <w:rPr>
                <w:sz w:val="24"/>
              </w:rPr>
              <w:t>rbiniekam noteiktajā darba dienā.</w:t>
            </w:r>
          </w:p>
          <w:p w:rsidR="007F7FF6" w:rsidRDefault="007F7FF6" w:rsidP="007F7FF6">
            <w:pPr>
              <w:pStyle w:val="Footer"/>
              <w:tabs>
                <w:tab w:val="clear" w:pos="4153"/>
                <w:tab w:val="clear" w:pos="8306"/>
              </w:tabs>
              <w:jc w:val="both"/>
              <w:rPr>
                <w:sz w:val="24"/>
              </w:rPr>
            </w:pPr>
            <w:r>
              <w:rPr>
                <w:sz w:val="24"/>
              </w:rPr>
              <w:t xml:space="preserve">Piemēram, 2016.gada martā darbiniekam, kuram </w:t>
            </w:r>
            <w:r>
              <w:rPr>
                <w:rFonts w:eastAsia="Calibri"/>
                <w:sz w:val="24"/>
              </w:rPr>
              <w:t>noteikta stundas laika darba</w:t>
            </w:r>
            <w:r w:rsidRPr="004638CE">
              <w:rPr>
                <w:rFonts w:eastAsia="Calibri"/>
                <w:sz w:val="24"/>
              </w:rPr>
              <w:t xml:space="preserve"> </w:t>
            </w:r>
            <w:r>
              <w:rPr>
                <w:rFonts w:eastAsia="Calibri"/>
                <w:sz w:val="24"/>
              </w:rPr>
              <w:t xml:space="preserve">apmaksa </w:t>
            </w:r>
            <w:r w:rsidRPr="004638CE">
              <w:rPr>
                <w:rFonts w:eastAsia="Calibri"/>
                <w:sz w:val="24"/>
              </w:rPr>
              <w:t>minimālās mēneša darba algas apmērā</w:t>
            </w:r>
            <w:r>
              <w:rPr>
                <w:rFonts w:eastAsia="Calibri"/>
                <w:sz w:val="24"/>
              </w:rPr>
              <w:t xml:space="preserve">, aprēķinātā darba alga ir 367 </w:t>
            </w:r>
            <w:proofErr w:type="spellStart"/>
            <w:r w:rsidRPr="007F7FF6">
              <w:rPr>
                <w:rFonts w:eastAsia="Calibri"/>
                <w:i/>
                <w:sz w:val="24"/>
              </w:rPr>
              <w:t>euro</w:t>
            </w:r>
            <w:proofErr w:type="spellEnd"/>
            <w:r>
              <w:rPr>
                <w:rFonts w:eastAsia="Calibri"/>
                <w:sz w:val="24"/>
              </w:rPr>
              <w:t xml:space="preserve">, tātad darba devējam ir jāpiemaksā 3 </w:t>
            </w:r>
            <w:proofErr w:type="spellStart"/>
            <w:r w:rsidRPr="007F7FF6">
              <w:rPr>
                <w:rFonts w:eastAsia="Calibri"/>
                <w:i/>
                <w:sz w:val="24"/>
              </w:rPr>
              <w:t>euro</w:t>
            </w:r>
            <w:proofErr w:type="spellEnd"/>
            <w:r>
              <w:rPr>
                <w:rFonts w:eastAsia="Calibri"/>
                <w:sz w:val="24"/>
              </w:rPr>
              <w:t>, lai darbiniekam garantētu darba algu minimālās mēneša darba algas apmērā un jāpiemaksā darba alga par divām svētku dien</w:t>
            </w:r>
            <w:r w:rsidR="00BA34FD">
              <w:rPr>
                <w:rFonts w:eastAsia="Calibri"/>
                <w:sz w:val="24"/>
              </w:rPr>
              <w:t>ām</w:t>
            </w:r>
            <w:r>
              <w:rPr>
                <w:rFonts w:eastAsia="Calibri"/>
                <w:sz w:val="24"/>
              </w:rPr>
              <w:t xml:space="preserve">, ja darbinieks neveic darbu šajās svētku dienās – 35,2 </w:t>
            </w:r>
            <w:proofErr w:type="spellStart"/>
            <w:r w:rsidRPr="00C72B88">
              <w:rPr>
                <w:rFonts w:eastAsia="Calibri"/>
                <w:i/>
                <w:sz w:val="24"/>
              </w:rPr>
              <w:t>euro</w:t>
            </w:r>
            <w:proofErr w:type="spellEnd"/>
            <w:r>
              <w:rPr>
                <w:rFonts w:eastAsia="Calibri"/>
                <w:sz w:val="24"/>
              </w:rPr>
              <w:t xml:space="preserve">, (kopā darba devējam jāpiemaksā </w:t>
            </w:r>
            <w:r w:rsidR="00BA34FD">
              <w:rPr>
                <w:rFonts w:eastAsia="Calibri"/>
                <w:sz w:val="24"/>
              </w:rPr>
              <w:t xml:space="preserve">darbiniekam darba alga </w:t>
            </w:r>
            <w:r>
              <w:rPr>
                <w:rFonts w:eastAsia="Calibri"/>
                <w:sz w:val="24"/>
              </w:rPr>
              <w:t>38</w:t>
            </w:r>
            <w:r w:rsidR="00BA34FD">
              <w:rPr>
                <w:rFonts w:eastAsia="Calibri"/>
                <w:sz w:val="24"/>
              </w:rPr>
              <w:t>,</w:t>
            </w:r>
            <w:r>
              <w:rPr>
                <w:rFonts w:eastAsia="Calibri"/>
                <w:sz w:val="24"/>
              </w:rPr>
              <w:t>2</w:t>
            </w:r>
            <w:r w:rsidR="00BA34FD">
              <w:rPr>
                <w:rFonts w:eastAsia="Calibri"/>
                <w:sz w:val="24"/>
              </w:rPr>
              <w:t> </w:t>
            </w:r>
            <w:proofErr w:type="spellStart"/>
            <w:r w:rsidRPr="00C72B88">
              <w:rPr>
                <w:rFonts w:eastAsia="Calibri"/>
                <w:i/>
                <w:sz w:val="24"/>
              </w:rPr>
              <w:t>euro</w:t>
            </w:r>
            <w:proofErr w:type="spellEnd"/>
            <w:r w:rsidR="00BA34FD">
              <w:rPr>
                <w:rFonts w:eastAsia="Calibri"/>
                <w:sz w:val="24"/>
              </w:rPr>
              <w:t xml:space="preserve"> apmērā</w:t>
            </w:r>
            <w:r>
              <w:rPr>
                <w:rFonts w:eastAsia="Calibri"/>
                <w:sz w:val="24"/>
              </w:rPr>
              <w:t>).</w:t>
            </w:r>
          </w:p>
          <w:p w:rsidR="000B0CF5" w:rsidRPr="00523842" w:rsidRDefault="000B0CF5" w:rsidP="000C507D">
            <w:pPr>
              <w:pStyle w:val="Footer"/>
              <w:tabs>
                <w:tab w:val="clear" w:pos="4153"/>
                <w:tab w:val="clear" w:pos="8306"/>
              </w:tabs>
              <w:jc w:val="both"/>
              <w:rPr>
                <w:sz w:val="24"/>
              </w:rPr>
            </w:pPr>
          </w:p>
          <w:p w:rsidR="007E206A" w:rsidRDefault="007E206A" w:rsidP="007E206A">
            <w:pPr>
              <w:jc w:val="both"/>
              <w:rPr>
                <w:rFonts w:eastAsia="Calibri"/>
                <w:sz w:val="24"/>
              </w:rPr>
            </w:pPr>
            <w:r w:rsidRPr="004638CE">
              <w:rPr>
                <w:rFonts w:eastAsia="Calibri"/>
                <w:sz w:val="24"/>
              </w:rPr>
              <w:t xml:space="preserve">Lai ieviestu jauno sistēmu, darba devējiem būs jāgroza darba </w:t>
            </w:r>
            <w:r w:rsidRPr="004638CE">
              <w:rPr>
                <w:rFonts w:eastAsia="Calibri"/>
                <w:sz w:val="24"/>
              </w:rPr>
              <w:lastRenderedPageBreak/>
              <w:t xml:space="preserve">līgumi tiem darbiniekiem, kuriem </w:t>
            </w:r>
            <w:r w:rsidR="00DE15FD">
              <w:rPr>
                <w:rFonts w:eastAsia="Calibri"/>
                <w:sz w:val="24"/>
              </w:rPr>
              <w:t>noteikts laika darba sistēmas atalgojums</w:t>
            </w:r>
            <w:r w:rsidRPr="004638CE">
              <w:rPr>
                <w:rFonts w:eastAsia="Calibri"/>
                <w:sz w:val="24"/>
              </w:rPr>
              <w:t xml:space="preserve"> minimālās stundas tarifa likmes apmērā. Tas nozīmē, ka darbiniekam darba laika sistēma un minimālā stundas tarifa likme katru mēnesi būs noteikta saskaņā ar Ministru kabineta noteikumiem</w:t>
            </w:r>
            <w:r>
              <w:rPr>
                <w:rFonts w:eastAsia="Calibri"/>
                <w:sz w:val="24"/>
              </w:rPr>
              <w:t>, neminot konkrētus apmērus</w:t>
            </w:r>
            <w:r w:rsidR="00643B61">
              <w:rPr>
                <w:rFonts w:eastAsia="Calibri"/>
                <w:sz w:val="24"/>
              </w:rPr>
              <w:t>,</w:t>
            </w:r>
            <w:r>
              <w:rPr>
                <w:rFonts w:eastAsia="Calibri"/>
                <w:sz w:val="24"/>
              </w:rPr>
              <w:t xml:space="preserve"> un turpmāk </w:t>
            </w:r>
            <w:r w:rsidR="00DE15FD">
              <w:rPr>
                <w:rFonts w:eastAsia="Calibri"/>
                <w:sz w:val="24"/>
              </w:rPr>
              <w:t xml:space="preserve">šiem </w:t>
            </w:r>
            <w:r w:rsidR="00643B61">
              <w:rPr>
                <w:rFonts w:eastAsia="Calibri"/>
                <w:sz w:val="24"/>
              </w:rPr>
              <w:t xml:space="preserve">darba devējiem darba </w:t>
            </w:r>
            <w:r>
              <w:rPr>
                <w:rFonts w:eastAsia="Calibri"/>
                <w:sz w:val="24"/>
              </w:rPr>
              <w:t>līgumi nebūs jāgroza, ja valstī mainās minimālā mēneša darba alga</w:t>
            </w:r>
            <w:r w:rsidRPr="004638CE">
              <w:rPr>
                <w:rFonts w:eastAsia="Calibri"/>
                <w:sz w:val="24"/>
              </w:rPr>
              <w:t>.</w:t>
            </w:r>
          </w:p>
          <w:p w:rsidR="001864C1" w:rsidRPr="00297104" w:rsidRDefault="001864C1" w:rsidP="007E206A">
            <w:pPr>
              <w:jc w:val="both"/>
              <w:rPr>
                <w:rFonts w:eastAsia="Calibri"/>
                <w:sz w:val="24"/>
              </w:rPr>
            </w:pPr>
            <w:r>
              <w:rPr>
                <w:rFonts w:eastAsia="Calibri"/>
                <w:sz w:val="24"/>
              </w:rPr>
              <w:t>Darba devējiem, kuri izmanto grāmatvedības programmas un kuri algo darbiniekus pēc stundas laika darba apmaksas</w:t>
            </w:r>
            <w:r w:rsidR="00413304">
              <w:rPr>
                <w:rFonts w:eastAsia="Calibri"/>
                <w:sz w:val="24"/>
              </w:rPr>
              <w:t xml:space="preserve"> sistēmas</w:t>
            </w:r>
            <w:r>
              <w:rPr>
                <w:rFonts w:eastAsia="Calibri"/>
                <w:sz w:val="24"/>
              </w:rPr>
              <w:t xml:space="preserve"> minimālās stundas tarifa likmes apmērā, būs jāpielāgo (jāveic izmaiņas) grāmatvedības programm</w:t>
            </w:r>
            <w:r w:rsidR="008B522F">
              <w:rPr>
                <w:rFonts w:eastAsia="Calibri"/>
                <w:sz w:val="24"/>
              </w:rPr>
              <w:t>as</w:t>
            </w:r>
            <w:r>
              <w:rPr>
                <w:rFonts w:eastAsia="Calibri"/>
                <w:sz w:val="24"/>
              </w:rPr>
              <w:t xml:space="preserve">, jo aprēķinātais </w:t>
            </w:r>
            <w:r>
              <w:rPr>
                <w:sz w:val="24"/>
              </w:rPr>
              <w:t xml:space="preserve">minimālās stundas tarifa likmes apmērs </w:t>
            </w:r>
            <w:r w:rsidRPr="001864C1">
              <w:rPr>
                <w:sz w:val="24"/>
              </w:rPr>
              <w:t>main</w:t>
            </w:r>
            <w:r w:rsidR="008B522F">
              <w:rPr>
                <w:sz w:val="24"/>
              </w:rPr>
              <w:t>īsies</w:t>
            </w:r>
            <w:r w:rsidRPr="001864C1">
              <w:rPr>
                <w:sz w:val="24"/>
              </w:rPr>
              <w:t xml:space="preserve"> </w:t>
            </w:r>
            <w:r w:rsidRPr="00297104">
              <w:rPr>
                <w:sz w:val="24"/>
              </w:rPr>
              <w:t>katru mēnesi (pēc esošās sistēmas – vienreiz gadā).</w:t>
            </w:r>
          </w:p>
          <w:p w:rsidR="00997D8E" w:rsidRPr="002F7733" w:rsidRDefault="007E206A" w:rsidP="00DF6DAD">
            <w:pPr>
              <w:jc w:val="both"/>
              <w:rPr>
                <w:sz w:val="24"/>
              </w:rPr>
            </w:pPr>
            <w:r w:rsidRPr="00297104">
              <w:rPr>
                <w:rFonts w:eastAsia="Calibri"/>
                <w:sz w:val="24"/>
              </w:rPr>
              <w:t>Savukārt, lai atvieglotu darba devējiem jaunās normas pielietošanu, Labklājības ministrija</w:t>
            </w:r>
            <w:r w:rsidR="008B522F" w:rsidRPr="00297104">
              <w:rPr>
                <w:rFonts w:eastAsia="Calibri"/>
                <w:sz w:val="24"/>
              </w:rPr>
              <w:t>s</w:t>
            </w:r>
            <w:r w:rsidRPr="00297104">
              <w:rPr>
                <w:rFonts w:eastAsia="Calibri"/>
                <w:sz w:val="24"/>
              </w:rPr>
              <w:t xml:space="preserve"> aprēķinā</w:t>
            </w:r>
            <w:r w:rsidR="008B522F" w:rsidRPr="00297104">
              <w:rPr>
                <w:rFonts w:eastAsia="Calibri"/>
                <w:sz w:val="24"/>
              </w:rPr>
              <w:t>tie</w:t>
            </w:r>
            <w:r w:rsidRPr="00297104">
              <w:rPr>
                <w:rFonts w:eastAsia="Calibri"/>
                <w:sz w:val="24"/>
              </w:rPr>
              <w:t xml:space="preserve"> minimālās stundas tarifa likmes apmēr</w:t>
            </w:r>
            <w:r w:rsidR="008B522F" w:rsidRPr="00297104">
              <w:rPr>
                <w:rFonts w:eastAsia="Calibri"/>
                <w:sz w:val="24"/>
              </w:rPr>
              <w:t>i</w:t>
            </w:r>
            <w:r w:rsidRPr="00297104">
              <w:rPr>
                <w:rFonts w:eastAsia="Calibri"/>
                <w:sz w:val="24"/>
              </w:rPr>
              <w:t xml:space="preserve"> nākam</w:t>
            </w:r>
            <w:r w:rsidR="008B522F" w:rsidRPr="00297104">
              <w:rPr>
                <w:rFonts w:eastAsia="Calibri"/>
                <w:sz w:val="24"/>
              </w:rPr>
              <w:t>ajam</w:t>
            </w:r>
            <w:r w:rsidRPr="00297104">
              <w:rPr>
                <w:rFonts w:eastAsia="Calibri"/>
                <w:sz w:val="24"/>
              </w:rPr>
              <w:t xml:space="preserve"> gada</w:t>
            </w:r>
            <w:r w:rsidR="008B522F" w:rsidRPr="00297104">
              <w:rPr>
                <w:rFonts w:eastAsia="Calibri"/>
                <w:sz w:val="24"/>
              </w:rPr>
              <w:t>m pa</w:t>
            </w:r>
            <w:r w:rsidRPr="00297104">
              <w:rPr>
                <w:rFonts w:eastAsia="Calibri"/>
                <w:sz w:val="24"/>
              </w:rPr>
              <w:t xml:space="preserve"> mēnešiem </w:t>
            </w:r>
            <w:r w:rsidR="008B522F" w:rsidRPr="00297104">
              <w:rPr>
                <w:rFonts w:eastAsia="Calibri"/>
                <w:sz w:val="24"/>
              </w:rPr>
              <w:t>būs pieejami</w:t>
            </w:r>
            <w:r w:rsidRPr="00297104">
              <w:rPr>
                <w:rFonts w:eastAsia="Calibri"/>
                <w:sz w:val="24"/>
              </w:rPr>
              <w:t xml:space="preserve"> Labklājības ministrijas interneta vietnē</w:t>
            </w:r>
            <w:r w:rsidR="00DF6DAD">
              <w:rPr>
                <w:rFonts w:eastAsia="Calibri"/>
                <w:sz w:val="24"/>
              </w:rPr>
              <w:t xml:space="preserve"> </w:t>
            </w:r>
            <w:r w:rsidR="00997D8E">
              <w:rPr>
                <w:rFonts w:eastAsia="Calibri"/>
                <w:sz w:val="24"/>
              </w:rPr>
              <w:t>(</w:t>
            </w:r>
            <w:hyperlink r:id="rId9" w:history="1">
              <w:r w:rsidR="00997D8E" w:rsidRPr="0017525C">
                <w:rPr>
                  <w:rStyle w:val="Hyperlink"/>
                  <w:rFonts w:eastAsia="Calibri"/>
                  <w:sz w:val="24"/>
                </w:rPr>
                <w:t>http://www.lm.gov.lv/text/2525</w:t>
              </w:r>
            </w:hyperlink>
            <w:r w:rsidR="00997D8E">
              <w:rPr>
                <w:rFonts w:eastAsia="Calibri"/>
                <w:sz w:val="24"/>
              </w:rPr>
              <w:t>)</w:t>
            </w:r>
            <w:r w:rsidR="00DF6DAD">
              <w:rPr>
                <w:rFonts w:eastAsia="Calibri"/>
                <w:sz w:val="24"/>
              </w:rPr>
              <w:t>.</w:t>
            </w:r>
          </w:p>
        </w:tc>
      </w:tr>
      <w:tr w:rsidR="00124F71"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7B2822" w:rsidRDefault="00124F71" w:rsidP="00822C04">
            <w:pPr>
              <w:pStyle w:val="naiskr"/>
              <w:ind w:left="180" w:hanging="10"/>
            </w:pPr>
            <w:r w:rsidRPr="007B2822">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jc w:val="both"/>
              <w:rPr>
                <w:iCs/>
                <w:sz w:val="24"/>
              </w:rPr>
            </w:pPr>
            <w:r w:rsidRPr="00D42CC4">
              <w:rPr>
                <w:iCs/>
                <w:sz w:val="24"/>
              </w:rPr>
              <w:t>Projekts šo jomu neskar.</w:t>
            </w:r>
          </w:p>
        </w:tc>
      </w:tr>
      <w:tr w:rsidR="00124F71" w:rsidRPr="00D42CC4" w:rsidTr="004232C0">
        <w:trPr>
          <w:trHeight w:val="576"/>
        </w:trPr>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spacing w:before="0" w:after="0"/>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pStyle w:val="naiskr"/>
              <w:spacing w:before="0" w:after="0"/>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822C04">
            <w:pPr>
              <w:rPr>
                <w:sz w:val="24"/>
              </w:rPr>
            </w:pPr>
            <w:r w:rsidRPr="00D42CC4">
              <w:rPr>
                <w:iCs/>
                <w:sz w:val="24"/>
              </w:rPr>
              <w:t>Nav.</w:t>
            </w:r>
          </w:p>
        </w:tc>
      </w:tr>
    </w:tbl>
    <w:p w:rsidR="004232C0" w:rsidRDefault="004232C0" w:rsidP="006F3080"/>
    <w:p w:rsidR="006F3080" w:rsidRPr="00EE1BB2" w:rsidRDefault="006F3080" w:rsidP="006F3080"/>
    <w:tbl>
      <w:tblPr>
        <w:tblW w:w="5003" w:type="pct"/>
        <w:tblInd w:w="-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12"/>
        <w:gridCol w:w="364"/>
        <w:gridCol w:w="1135"/>
        <w:gridCol w:w="1205"/>
        <w:gridCol w:w="1523"/>
        <w:gridCol w:w="1523"/>
        <w:gridCol w:w="1525"/>
      </w:tblGrid>
      <w:tr w:rsidR="006F3080" w:rsidRPr="00696DE8" w:rsidTr="007D5612">
        <w:tc>
          <w:tcPr>
            <w:tcW w:w="5000" w:type="pct"/>
            <w:gridSpan w:val="7"/>
            <w:tcBorders>
              <w:top w:val="single" w:sz="4" w:space="0" w:color="auto"/>
              <w:left w:val="single" w:sz="4" w:space="0" w:color="auto"/>
              <w:bottom w:val="single" w:sz="4" w:space="0" w:color="auto"/>
              <w:right w:val="single" w:sz="4" w:space="0" w:color="auto"/>
            </w:tcBorders>
            <w:vAlign w:val="center"/>
          </w:tcPr>
          <w:p w:rsidR="006F3080" w:rsidRPr="00696DE8" w:rsidRDefault="006F3080" w:rsidP="00FC701D">
            <w:pPr>
              <w:jc w:val="center"/>
              <w:rPr>
                <w:b/>
                <w:sz w:val="24"/>
              </w:rPr>
            </w:pPr>
            <w:r w:rsidRPr="00696DE8">
              <w:rPr>
                <w:b/>
                <w:sz w:val="24"/>
              </w:rPr>
              <w:br w:type="page"/>
              <w:t xml:space="preserve">III Tiesību </w:t>
            </w:r>
            <w:smartTag w:uri="schemas-tilde-lv/tildestengine" w:element="veidnes">
              <w:smartTagPr>
                <w:attr w:name="baseform" w:val="akt|s"/>
                <w:attr w:name="id" w:val="-1"/>
                <w:attr w:name="text" w:val="akta"/>
              </w:smartTagPr>
              <w:r w:rsidRPr="00696DE8">
                <w:rPr>
                  <w:b/>
                  <w:sz w:val="24"/>
                </w:rPr>
                <w:t>akta</w:t>
              </w:r>
            </w:smartTag>
            <w:r w:rsidRPr="00696DE8">
              <w:rPr>
                <w:b/>
                <w:sz w:val="24"/>
              </w:rPr>
              <w:t xml:space="preserve"> projekta ietekme uz valsts budžetu un pašvaldību budžetiem</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39" w:type="pct"/>
            <w:gridSpan w:val="4"/>
            <w:shd w:val="clear" w:color="auto" w:fill="auto"/>
          </w:tcPr>
          <w:p w:rsidR="006F3080" w:rsidRPr="00EE1BB2" w:rsidRDefault="006F3080" w:rsidP="00FC701D">
            <w:pPr>
              <w:jc w:val="center"/>
            </w:pPr>
          </w:p>
        </w:tc>
        <w:tc>
          <w:tcPr>
            <w:tcW w:w="2461" w:type="pct"/>
            <w:gridSpan w:val="3"/>
            <w:shd w:val="clear" w:color="auto" w:fill="auto"/>
            <w:vAlign w:val="center"/>
          </w:tcPr>
          <w:p w:rsidR="006F3080" w:rsidRPr="00EE1BB2" w:rsidRDefault="006F3080" w:rsidP="00FC701D">
            <w:pPr>
              <w:jc w:val="center"/>
            </w:pPr>
            <w:proofErr w:type="spellStart"/>
            <w:r>
              <w:rPr>
                <w:sz w:val="22"/>
                <w:szCs w:val="22"/>
              </w:rPr>
              <w:t>euro</w:t>
            </w:r>
            <w:proofErr w:type="spellEnd"/>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vMerge w:val="restart"/>
            <w:shd w:val="clear" w:color="auto" w:fill="auto"/>
            <w:vAlign w:val="center"/>
          </w:tcPr>
          <w:p w:rsidR="006F3080" w:rsidRPr="00EE1BB2" w:rsidRDefault="006F3080" w:rsidP="00FC701D">
            <w:pPr>
              <w:jc w:val="center"/>
            </w:pPr>
            <w:r w:rsidRPr="00695C94">
              <w:rPr>
                <w:b/>
                <w:sz w:val="22"/>
                <w:szCs w:val="22"/>
              </w:rPr>
              <w:t>Rādītāji</w:t>
            </w:r>
          </w:p>
        </w:tc>
        <w:tc>
          <w:tcPr>
            <w:tcW w:w="1260" w:type="pct"/>
            <w:gridSpan w:val="2"/>
            <w:vMerge w:val="restart"/>
            <w:shd w:val="clear" w:color="auto" w:fill="auto"/>
            <w:vAlign w:val="center"/>
          </w:tcPr>
          <w:p w:rsidR="006F3080" w:rsidRPr="00EE1BB2" w:rsidRDefault="006F3080" w:rsidP="006F3080">
            <w:pPr>
              <w:jc w:val="center"/>
            </w:pPr>
            <w:r w:rsidRPr="00695C94">
              <w:rPr>
                <w:b/>
                <w:sz w:val="22"/>
                <w:szCs w:val="22"/>
              </w:rPr>
              <w:t>201</w:t>
            </w:r>
            <w:r>
              <w:rPr>
                <w:b/>
                <w:sz w:val="22"/>
                <w:szCs w:val="22"/>
              </w:rPr>
              <w:t>5</w:t>
            </w:r>
          </w:p>
        </w:tc>
        <w:tc>
          <w:tcPr>
            <w:tcW w:w="2461" w:type="pct"/>
            <w:gridSpan w:val="3"/>
            <w:shd w:val="clear" w:color="auto" w:fill="auto"/>
            <w:vAlign w:val="center"/>
          </w:tcPr>
          <w:p w:rsidR="006F3080" w:rsidRPr="00EE1BB2" w:rsidRDefault="006F3080" w:rsidP="00FC701D">
            <w:pPr>
              <w:jc w:val="center"/>
            </w:pPr>
            <w:r w:rsidRPr="00695C94">
              <w:rPr>
                <w:sz w:val="22"/>
                <w:szCs w:val="22"/>
              </w:rPr>
              <w:t>Turpmākie trīs gadi</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vMerge/>
            <w:shd w:val="clear" w:color="auto" w:fill="auto"/>
          </w:tcPr>
          <w:p w:rsidR="006F3080" w:rsidRPr="00EE1BB2" w:rsidRDefault="006F3080" w:rsidP="00FC701D">
            <w:pPr>
              <w:jc w:val="center"/>
            </w:pPr>
          </w:p>
        </w:tc>
        <w:tc>
          <w:tcPr>
            <w:tcW w:w="1260" w:type="pct"/>
            <w:gridSpan w:val="2"/>
            <w:vMerge/>
            <w:shd w:val="clear" w:color="auto" w:fill="auto"/>
          </w:tcPr>
          <w:p w:rsidR="006F3080" w:rsidRPr="00695C94" w:rsidRDefault="006F3080" w:rsidP="00FC701D">
            <w:pPr>
              <w:jc w:val="center"/>
              <w:rPr>
                <w:b/>
                <w:sz w:val="22"/>
                <w:szCs w:val="22"/>
              </w:rPr>
            </w:pPr>
          </w:p>
        </w:tc>
        <w:tc>
          <w:tcPr>
            <w:tcW w:w="820" w:type="pct"/>
            <w:shd w:val="clear" w:color="auto" w:fill="auto"/>
            <w:vAlign w:val="bottom"/>
          </w:tcPr>
          <w:p w:rsidR="006F3080" w:rsidRPr="00695C94" w:rsidRDefault="006F3080" w:rsidP="006F3080">
            <w:pPr>
              <w:pStyle w:val="naisf"/>
              <w:spacing w:before="0" w:after="0"/>
              <w:jc w:val="center"/>
              <w:rPr>
                <w:b/>
                <w:i/>
                <w:sz w:val="22"/>
                <w:szCs w:val="22"/>
                <w:lang w:val="lv-LV"/>
              </w:rPr>
            </w:pPr>
            <w:r w:rsidRPr="00695C94">
              <w:rPr>
                <w:b/>
                <w:bCs/>
                <w:sz w:val="22"/>
                <w:szCs w:val="22"/>
                <w:lang w:val="lv-LV"/>
              </w:rPr>
              <w:t>201</w:t>
            </w:r>
            <w:r>
              <w:rPr>
                <w:b/>
                <w:bCs/>
                <w:sz w:val="22"/>
                <w:szCs w:val="22"/>
                <w:lang w:val="lv-LV"/>
              </w:rPr>
              <w:t>6</w:t>
            </w:r>
          </w:p>
        </w:tc>
        <w:tc>
          <w:tcPr>
            <w:tcW w:w="820" w:type="pct"/>
            <w:shd w:val="clear" w:color="auto" w:fill="auto"/>
            <w:vAlign w:val="bottom"/>
          </w:tcPr>
          <w:p w:rsidR="006F3080" w:rsidRPr="00695C94" w:rsidRDefault="006F3080" w:rsidP="006F3080">
            <w:pPr>
              <w:pStyle w:val="naisf"/>
              <w:spacing w:before="0" w:after="0"/>
              <w:jc w:val="center"/>
              <w:rPr>
                <w:b/>
                <w:i/>
                <w:sz w:val="22"/>
                <w:szCs w:val="22"/>
                <w:lang w:val="lv-LV"/>
              </w:rPr>
            </w:pPr>
            <w:r w:rsidRPr="00695C94">
              <w:rPr>
                <w:b/>
                <w:bCs/>
                <w:sz w:val="22"/>
                <w:szCs w:val="22"/>
                <w:lang w:val="lv-LV"/>
              </w:rPr>
              <w:t>201</w:t>
            </w:r>
            <w:r>
              <w:rPr>
                <w:b/>
                <w:bCs/>
                <w:sz w:val="22"/>
                <w:szCs w:val="22"/>
                <w:lang w:val="lv-LV"/>
              </w:rPr>
              <w:t>7</w:t>
            </w:r>
          </w:p>
        </w:tc>
        <w:tc>
          <w:tcPr>
            <w:tcW w:w="821" w:type="pct"/>
            <w:shd w:val="clear" w:color="auto" w:fill="auto"/>
            <w:vAlign w:val="bottom"/>
          </w:tcPr>
          <w:p w:rsidR="006F3080" w:rsidRPr="00695C94" w:rsidRDefault="006F3080" w:rsidP="006F3080">
            <w:pPr>
              <w:pStyle w:val="naisf"/>
              <w:spacing w:before="0" w:after="0"/>
              <w:jc w:val="center"/>
              <w:rPr>
                <w:b/>
                <w:i/>
                <w:sz w:val="22"/>
                <w:szCs w:val="22"/>
                <w:lang w:val="lv-LV"/>
              </w:rPr>
            </w:pPr>
            <w:r w:rsidRPr="00695C94">
              <w:rPr>
                <w:b/>
                <w:bCs/>
                <w:sz w:val="22"/>
                <w:szCs w:val="22"/>
                <w:lang w:val="lv-LV"/>
              </w:rPr>
              <w:t>201</w:t>
            </w:r>
            <w:r>
              <w:rPr>
                <w:b/>
                <w:bCs/>
                <w:sz w:val="22"/>
                <w:szCs w:val="22"/>
                <w:lang w:val="lv-LV"/>
              </w:rPr>
              <w:t>8</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vMerge/>
            <w:shd w:val="clear" w:color="auto" w:fill="auto"/>
            <w:vAlign w:val="bottom"/>
          </w:tcPr>
          <w:p w:rsidR="006F3080" w:rsidRPr="00695C94" w:rsidRDefault="006F3080" w:rsidP="00FC701D">
            <w:pPr>
              <w:jc w:val="center"/>
              <w:rPr>
                <w:sz w:val="22"/>
                <w:szCs w:val="22"/>
              </w:rPr>
            </w:pPr>
          </w:p>
        </w:tc>
        <w:tc>
          <w:tcPr>
            <w:tcW w:w="611" w:type="pct"/>
            <w:shd w:val="clear" w:color="auto" w:fill="auto"/>
            <w:vAlign w:val="bottom"/>
          </w:tcPr>
          <w:p w:rsidR="006F3080" w:rsidRPr="00695C94" w:rsidRDefault="006F3080" w:rsidP="00FC701D">
            <w:pPr>
              <w:jc w:val="center"/>
              <w:rPr>
                <w:sz w:val="22"/>
                <w:szCs w:val="22"/>
              </w:rPr>
            </w:pPr>
            <w:r w:rsidRPr="00695C94">
              <w:rPr>
                <w:sz w:val="22"/>
                <w:szCs w:val="22"/>
              </w:rPr>
              <w:t>Saskaņā ar valsts budžetu kārtējam gadam</w:t>
            </w:r>
          </w:p>
        </w:tc>
        <w:tc>
          <w:tcPr>
            <w:tcW w:w="649" w:type="pct"/>
            <w:shd w:val="clear" w:color="auto" w:fill="auto"/>
            <w:vAlign w:val="bottom"/>
          </w:tcPr>
          <w:p w:rsidR="006F3080" w:rsidRPr="00695C94" w:rsidRDefault="006F3080" w:rsidP="00FC701D">
            <w:pPr>
              <w:jc w:val="center"/>
              <w:rPr>
                <w:sz w:val="22"/>
                <w:szCs w:val="22"/>
              </w:rPr>
            </w:pPr>
            <w:r w:rsidRPr="00695C94">
              <w:rPr>
                <w:sz w:val="22"/>
                <w:szCs w:val="22"/>
              </w:rPr>
              <w:t>Izmaiņas kārtējā gadā salīdzinot ar budžetu kārtējam gadam</w:t>
            </w:r>
          </w:p>
        </w:tc>
        <w:tc>
          <w:tcPr>
            <w:tcW w:w="820" w:type="pct"/>
            <w:shd w:val="clear" w:color="auto" w:fill="auto"/>
            <w:vAlign w:val="bottom"/>
          </w:tcPr>
          <w:p w:rsidR="006F3080" w:rsidRPr="00695C94" w:rsidRDefault="006F3080" w:rsidP="00FC701D">
            <w:pPr>
              <w:jc w:val="center"/>
              <w:rPr>
                <w:sz w:val="22"/>
                <w:szCs w:val="22"/>
              </w:rPr>
            </w:pPr>
            <w:r w:rsidRPr="00695C94">
              <w:rPr>
                <w:sz w:val="22"/>
                <w:szCs w:val="22"/>
              </w:rPr>
              <w:t>Izmaiņas salīdzinot ar kārtējo (n) gadu</w:t>
            </w:r>
          </w:p>
        </w:tc>
        <w:tc>
          <w:tcPr>
            <w:tcW w:w="820" w:type="pct"/>
            <w:shd w:val="clear" w:color="auto" w:fill="auto"/>
            <w:vAlign w:val="bottom"/>
          </w:tcPr>
          <w:p w:rsidR="006F3080" w:rsidRPr="00695C94" w:rsidRDefault="006F3080" w:rsidP="00FC701D">
            <w:pPr>
              <w:jc w:val="center"/>
              <w:rPr>
                <w:sz w:val="22"/>
                <w:szCs w:val="22"/>
              </w:rPr>
            </w:pPr>
            <w:r w:rsidRPr="00695C94">
              <w:rPr>
                <w:sz w:val="22"/>
                <w:szCs w:val="22"/>
              </w:rPr>
              <w:t>Izmaiņas salīdzinot ar kārtējo (n) gadu</w:t>
            </w:r>
          </w:p>
        </w:tc>
        <w:tc>
          <w:tcPr>
            <w:tcW w:w="821" w:type="pct"/>
            <w:shd w:val="clear" w:color="auto" w:fill="auto"/>
            <w:vAlign w:val="bottom"/>
          </w:tcPr>
          <w:p w:rsidR="006F3080" w:rsidRPr="00695C94" w:rsidRDefault="006F3080" w:rsidP="00FC701D">
            <w:pPr>
              <w:jc w:val="center"/>
              <w:rPr>
                <w:sz w:val="22"/>
                <w:szCs w:val="22"/>
              </w:rPr>
            </w:pPr>
            <w:r w:rsidRPr="00695C94">
              <w:rPr>
                <w:sz w:val="22"/>
                <w:szCs w:val="22"/>
              </w:rPr>
              <w:t>Izmaiņas salīdzinot ar kārtējo (n) gadu</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pStyle w:val="naisf"/>
              <w:spacing w:before="0" w:after="0"/>
              <w:jc w:val="center"/>
              <w:rPr>
                <w:b/>
                <w:sz w:val="22"/>
                <w:szCs w:val="22"/>
                <w:lang w:val="lv-LV"/>
              </w:rPr>
            </w:pPr>
            <w:r w:rsidRPr="00695C94">
              <w:rPr>
                <w:b/>
                <w:sz w:val="22"/>
                <w:szCs w:val="22"/>
                <w:lang w:val="lv-LV"/>
              </w:rPr>
              <w:t>1</w:t>
            </w:r>
          </w:p>
        </w:tc>
        <w:tc>
          <w:tcPr>
            <w:tcW w:w="611" w:type="pct"/>
            <w:shd w:val="clear" w:color="auto" w:fill="auto"/>
          </w:tcPr>
          <w:p w:rsidR="006F3080" w:rsidRPr="00695C94" w:rsidRDefault="006F3080" w:rsidP="00FC701D">
            <w:pPr>
              <w:pStyle w:val="naisf"/>
              <w:spacing w:before="0" w:after="0"/>
              <w:jc w:val="center"/>
              <w:rPr>
                <w:b/>
                <w:sz w:val="22"/>
                <w:szCs w:val="22"/>
                <w:lang w:val="lv-LV"/>
              </w:rPr>
            </w:pPr>
            <w:r w:rsidRPr="00695C94">
              <w:rPr>
                <w:b/>
                <w:sz w:val="22"/>
                <w:szCs w:val="22"/>
                <w:lang w:val="lv-LV"/>
              </w:rPr>
              <w:t>2</w:t>
            </w:r>
          </w:p>
        </w:tc>
        <w:tc>
          <w:tcPr>
            <w:tcW w:w="649" w:type="pct"/>
            <w:shd w:val="clear" w:color="auto" w:fill="auto"/>
          </w:tcPr>
          <w:p w:rsidR="006F3080" w:rsidRPr="00695C94" w:rsidRDefault="006F3080" w:rsidP="00FC701D">
            <w:pPr>
              <w:pStyle w:val="naisf"/>
              <w:spacing w:before="0" w:after="0"/>
              <w:jc w:val="center"/>
              <w:rPr>
                <w:b/>
                <w:sz w:val="22"/>
                <w:szCs w:val="22"/>
                <w:lang w:val="lv-LV"/>
              </w:rPr>
            </w:pPr>
            <w:r w:rsidRPr="00695C94">
              <w:rPr>
                <w:b/>
                <w:sz w:val="22"/>
                <w:szCs w:val="22"/>
                <w:lang w:val="lv-LV"/>
              </w:rPr>
              <w:t>3</w:t>
            </w:r>
          </w:p>
        </w:tc>
        <w:tc>
          <w:tcPr>
            <w:tcW w:w="820" w:type="pct"/>
            <w:shd w:val="clear" w:color="auto" w:fill="auto"/>
          </w:tcPr>
          <w:p w:rsidR="006F3080" w:rsidRPr="00695C94" w:rsidRDefault="006F3080" w:rsidP="00FC701D">
            <w:pPr>
              <w:pStyle w:val="naisf"/>
              <w:spacing w:before="0" w:after="0"/>
              <w:jc w:val="center"/>
              <w:rPr>
                <w:b/>
                <w:sz w:val="22"/>
                <w:szCs w:val="22"/>
                <w:lang w:val="lv-LV"/>
              </w:rPr>
            </w:pPr>
            <w:r w:rsidRPr="00695C94">
              <w:rPr>
                <w:b/>
                <w:sz w:val="22"/>
                <w:szCs w:val="22"/>
                <w:lang w:val="lv-LV"/>
              </w:rPr>
              <w:t>4</w:t>
            </w:r>
          </w:p>
        </w:tc>
        <w:tc>
          <w:tcPr>
            <w:tcW w:w="820" w:type="pct"/>
            <w:shd w:val="clear" w:color="auto" w:fill="auto"/>
          </w:tcPr>
          <w:p w:rsidR="006F3080" w:rsidRPr="00695C94" w:rsidRDefault="006F3080" w:rsidP="00FC701D">
            <w:pPr>
              <w:pStyle w:val="naisf"/>
              <w:spacing w:before="0" w:after="0"/>
              <w:jc w:val="center"/>
              <w:rPr>
                <w:b/>
                <w:sz w:val="22"/>
                <w:szCs w:val="22"/>
                <w:lang w:val="lv-LV"/>
              </w:rPr>
            </w:pPr>
            <w:r w:rsidRPr="00695C94">
              <w:rPr>
                <w:b/>
                <w:sz w:val="22"/>
                <w:szCs w:val="22"/>
                <w:lang w:val="lv-LV"/>
              </w:rPr>
              <w:t>5</w:t>
            </w:r>
          </w:p>
        </w:tc>
        <w:tc>
          <w:tcPr>
            <w:tcW w:w="821" w:type="pct"/>
            <w:shd w:val="clear" w:color="auto" w:fill="auto"/>
          </w:tcPr>
          <w:p w:rsidR="006F3080" w:rsidRPr="00695C94" w:rsidRDefault="006F3080" w:rsidP="00FC701D">
            <w:pPr>
              <w:pStyle w:val="naisf"/>
              <w:spacing w:before="0" w:after="0"/>
              <w:jc w:val="center"/>
              <w:rPr>
                <w:b/>
                <w:sz w:val="22"/>
                <w:szCs w:val="22"/>
                <w:lang w:val="lv-LV"/>
              </w:rPr>
            </w:pPr>
            <w:r w:rsidRPr="00695C94">
              <w:rPr>
                <w:b/>
                <w:sz w:val="22"/>
                <w:szCs w:val="22"/>
                <w:lang w:val="lv-LV"/>
              </w:rPr>
              <w:t>6</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4A54BF" w:rsidRDefault="006F3080" w:rsidP="00FC701D">
            <w:pPr>
              <w:rPr>
                <w:b/>
                <w:sz w:val="24"/>
              </w:rPr>
            </w:pPr>
            <w:r w:rsidRPr="004A54BF">
              <w:rPr>
                <w:b/>
                <w:sz w:val="24"/>
              </w:rPr>
              <w:t>1. Budžeta ieņēmumi</w:t>
            </w:r>
          </w:p>
        </w:tc>
        <w:tc>
          <w:tcPr>
            <w:tcW w:w="611" w:type="pct"/>
            <w:shd w:val="clear" w:color="auto" w:fill="auto"/>
            <w:vAlign w:val="center"/>
          </w:tcPr>
          <w:p w:rsidR="006F3080" w:rsidRPr="004A54BF" w:rsidRDefault="006F3080" w:rsidP="00FC701D">
            <w:pPr>
              <w:jc w:val="center"/>
              <w:rPr>
                <w:b/>
                <w:sz w:val="24"/>
              </w:rPr>
            </w:pPr>
            <w:r w:rsidRPr="004A54BF">
              <w:rPr>
                <w:b/>
                <w:sz w:val="24"/>
              </w:rPr>
              <w:t>0</w:t>
            </w:r>
          </w:p>
        </w:tc>
        <w:tc>
          <w:tcPr>
            <w:tcW w:w="649" w:type="pct"/>
            <w:shd w:val="clear" w:color="auto" w:fill="auto"/>
            <w:vAlign w:val="center"/>
          </w:tcPr>
          <w:p w:rsidR="006F3080" w:rsidRPr="004A54BF" w:rsidRDefault="006F3080" w:rsidP="00FC701D">
            <w:pPr>
              <w:jc w:val="center"/>
              <w:rPr>
                <w:b/>
                <w:sz w:val="24"/>
              </w:rPr>
            </w:pPr>
            <w:r w:rsidRPr="004A54BF">
              <w:rPr>
                <w:b/>
                <w:sz w:val="24"/>
              </w:rPr>
              <w:t>0</w:t>
            </w:r>
          </w:p>
        </w:tc>
        <w:tc>
          <w:tcPr>
            <w:tcW w:w="820" w:type="pct"/>
            <w:shd w:val="clear" w:color="auto" w:fill="auto"/>
            <w:vAlign w:val="center"/>
          </w:tcPr>
          <w:p w:rsidR="006F3080" w:rsidRPr="00A00632" w:rsidRDefault="00A00632" w:rsidP="00FC701D">
            <w:pPr>
              <w:jc w:val="center"/>
              <w:rPr>
                <w:b/>
                <w:sz w:val="24"/>
                <w:lang w:val="ru-RU"/>
              </w:rPr>
            </w:pPr>
            <w:r>
              <w:rPr>
                <w:b/>
                <w:sz w:val="24"/>
                <w:lang w:val="ru-RU"/>
              </w:rPr>
              <w:t>7 200 000</w:t>
            </w:r>
          </w:p>
        </w:tc>
        <w:tc>
          <w:tcPr>
            <w:tcW w:w="820" w:type="pct"/>
            <w:shd w:val="clear" w:color="auto" w:fill="auto"/>
            <w:vAlign w:val="center"/>
          </w:tcPr>
          <w:p w:rsidR="006F3080" w:rsidRPr="004A54BF" w:rsidRDefault="00A00632" w:rsidP="00FC701D">
            <w:pPr>
              <w:jc w:val="center"/>
              <w:rPr>
                <w:b/>
                <w:sz w:val="24"/>
              </w:rPr>
            </w:pPr>
            <w:r>
              <w:rPr>
                <w:b/>
                <w:sz w:val="24"/>
                <w:lang w:val="ru-RU"/>
              </w:rPr>
              <w:t>7 200 000</w:t>
            </w:r>
          </w:p>
        </w:tc>
        <w:tc>
          <w:tcPr>
            <w:tcW w:w="821" w:type="pct"/>
            <w:shd w:val="clear" w:color="auto" w:fill="auto"/>
            <w:vAlign w:val="center"/>
          </w:tcPr>
          <w:p w:rsidR="006F3080" w:rsidRPr="004A54BF" w:rsidRDefault="00A00632" w:rsidP="00FC701D">
            <w:pPr>
              <w:jc w:val="center"/>
              <w:rPr>
                <w:b/>
                <w:sz w:val="24"/>
              </w:rPr>
            </w:pPr>
            <w:r>
              <w:rPr>
                <w:b/>
                <w:sz w:val="24"/>
                <w:lang w:val="ru-RU"/>
              </w:rPr>
              <w:t>7 200 000</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rPr>
                <w:sz w:val="22"/>
                <w:szCs w:val="22"/>
              </w:rPr>
            </w:pPr>
            <w:r w:rsidRPr="00695C94">
              <w:rPr>
                <w:sz w:val="22"/>
                <w:szCs w:val="22"/>
              </w:rPr>
              <w:t>1.1. valsts pamatbudžets, tai skaitā ieņēmumi no maksas pakalpojumiem un citi pašu ieņēmumi</w:t>
            </w:r>
          </w:p>
        </w:tc>
        <w:tc>
          <w:tcPr>
            <w:tcW w:w="611" w:type="pct"/>
            <w:shd w:val="clear" w:color="auto" w:fill="auto"/>
            <w:vAlign w:val="center"/>
          </w:tcPr>
          <w:p w:rsidR="006F3080" w:rsidRPr="007D27AF" w:rsidRDefault="006F3080" w:rsidP="00FC701D">
            <w:pPr>
              <w:jc w:val="center"/>
              <w:rPr>
                <w:sz w:val="22"/>
                <w:szCs w:val="22"/>
              </w:rPr>
            </w:pPr>
            <w:r>
              <w:rPr>
                <w:sz w:val="22"/>
                <w:szCs w:val="22"/>
              </w:rPr>
              <w:t>0</w:t>
            </w:r>
          </w:p>
        </w:tc>
        <w:tc>
          <w:tcPr>
            <w:tcW w:w="649" w:type="pct"/>
            <w:shd w:val="clear" w:color="auto" w:fill="auto"/>
            <w:vAlign w:val="center"/>
          </w:tcPr>
          <w:p w:rsidR="006F3080" w:rsidRPr="007D27AF" w:rsidRDefault="006F3080" w:rsidP="00FC701D">
            <w:pPr>
              <w:jc w:val="center"/>
              <w:rPr>
                <w:sz w:val="22"/>
                <w:szCs w:val="22"/>
              </w:rPr>
            </w:pPr>
            <w:r>
              <w:rPr>
                <w:sz w:val="22"/>
                <w:szCs w:val="22"/>
              </w:rPr>
              <w:t>0</w:t>
            </w:r>
          </w:p>
        </w:tc>
        <w:tc>
          <w:tcPr>
            <w:tcW w:w="820" w:type="pct"/>
            <w:shd w:val="clear" w:color="auto" w:fill="auto"/>
            <w:vAlign w:val="center"/>
          </w:tcPr>
          <w:p w:rsidR="006F3080" w:rsidRPr="00A00632" w:rsidRDefault="00A00632" w:rsidP="00FC701D">
            <w:pPr>
              <w:pStyle w:val="BodyText2"/>
              <w:jc w:val="center"/>
              <w:rPr>
                <w:sz w:val="22"/>
                <w:szCs w:val="22"/>
                <w:lang w:val="ru-RU"/>
              </w:rPr>
            </w:pPr>
            <w:r>
              <w:rPr>
                <w:sz w:val="22"/>
                <w:szCs w:val="22"/>
                <w:lang w:val="ru-RU"/>
              </w:rPr>
              <w:t>1 200 000</w:t>
            </w:r>
          </w:p>
        </w:tc>
        <w:tc>
          <w:tcPr>
            <w:tcW w:w="820" w:type="pct"/>
            <w:shd w:val="clear" w:color="auto" w:fill="auto"/>
            <w:vAlign w:val="center"/>
          </w:tcPr>
          <w:p w:rsidR="006F3080" w:rsidRPr="007C608E" w:rsidRDefault="00A00632" w:rsidP="00FC701D">
            <w:pPr>
              <w:pStyle w:val="BodyText2"/>
              <w:jc w:val="center"/>
              <w:rPr>
                <w:sz w:val="22"/>
                <w:szCs w:val="22"/>
              </w:rPr>
            </w:pPr>
            <w:r>
              <w:rPr>
                <w:sz w:val="22"/>
                <w:szCs w:val="22"/>
                <w:lang w:val="ru-RU"/>
              </w:rPr>
              <w:t>1 200 000</w:t>
            </w:r>
          </w:p>
        </w:tc>
        <w:tc>
          <w:tcPr>
            <w:tcW w:w="821" w:type="pct"/>
            <w:shd w:val="clear" w:color="auto" w:fill="auto"/>
            <w:vAlign w:val="center"/>
          </w:tcPr>
          <w:p w:rsidR="006F3080" w:rsidRPr="007C608E" w:rsidRDefault="00A00632" w:rsidP="00FC701D">
            <w:pPr>
              <w:pStyle w:val="BodyText2"/>
              <w:jc w:val="center"/>
              <w:rPr>
                <w:sz w:val="22"/>
                <w:szCs w:val="22"/>
              </w:rPr>
            </w:pPr>
            <w:r>
              <w:rPr>
                <w:sz w:val="22"/>
                <w:szCs w:val="22"/>
                <w:lang w:val="ru-RU"/>
              </w:rPr>
              <w:t>1 200 000</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pStyle w:val="naisf"/>
              <w:spacing w:before="0" w:after="0"/>
              <w:jc w:val="left"/>
              <w:rPr>
                <w:i/>
                <w:sz w:val="22"/>
                <w:szCs w:val="22"/>
                <w:lang w:val="lv-LV"/>
              </w:rPr>
            </w:pPr>
            <w:r w:rsidRPr="00695C94">
              <w:rPr>
                <w:sz w:val="22"/>
                <w:szCs w:val="22"/>
                <w:lang w:val="lv-LV"/>
              </w:rPr>
              <w:t>1.2. valsts speciālais budžets</w:t>
            </w:r>
          </w:p>
        </w:tc>
        <w:tc>
          <w:tcPr>
            <w:tcW w:w="611" w:type="pct"/>
            <w:shd w:val="clear" w:color="auto" w:fill="auto"/>
            <w:vAlign w:val="center"/>
          </w:tcPr>
          <w:p w:rsidR="006F3080" w:rsidRPr="007D27AF" w:rsidRDefault="006F3080" w:rsidP="00FC701D">
            <w:pPr>
              <w:jc w:val="center"/>
              <w:rPr>
                <w:sz w:val="22"/>
                <w:szCs w:val="22"/>
              </w:rPr>
            </w:pPr>
            <w:r>
              <w:rPr>
                <w:sz w:val="22"/>
                <w:szCs w:val="22"/>
              </w:rPr>
              <w:t>0</w:t>
            </w:r>
          </w:p>
        </w:tc>
        <w:tc>
          <w:tcPr>
            <w:tcW w:w="649" w:type="pct"/>
            <w:shd w:val="clear" w:color="auto" w:fill="auto"/>
            <w:vAlign w:val="center"/>
          </w:tcPr>
          <w:p w:rsidR="006F3080" w:rsidRPr="007D27AF" w:rsidRDefault="006F3080" w:rsidP="00FC701D">
            <w:pPr>
              <w:jc w:val="center"/>
              <w:rPr>
                <w:sz w:val="22"/>
                <w:szCs w:val="22"/>
              </w:rPr>
            </w:pPr>
            <w:r>
              <w:rPr>
                <w:sz w:val="22"/>
                <w:szCs w:val="22"/>
              </w:rPr>
              <w:t>0</w:t>
            </w:r>
          </w:p>
        </w:tc>
        <w:tc>
          <w:tcPr>
            <w:tcW w:w="820" w:type="pct"/>
            <w:shd w:val="clear" w:color="auto" w:fill="auto"/>
            <w:vAlign w:val="center"/>
          </w:tcPr>
          <w:p w:rsidR="006F3080" w:rsidRPr="00A00632" w:rsidRDefault="00A00632" w:rsidP="00FC701D">
            <w:pPr>
              <w:pStyle w:val="BodyText2"/>
              <w:jc w:val="center"/>
              <w:rPr>
                <w:sz w:val="22"/>
                <w:szCs w:val="22"/>
                <w:lang w:val="ru-RU"/>
              </w:rPr>
            </w:pPr>
            <w:r>
              <w:rPr>
                <w:sz w:val="22"/>
                <w:szCs w:val="22"/>
                <w:lang w:val="ru-RU"/>
              </w:rPr>
              <w:t>3 800 000</w:t>
            </w:r>
          </w:p>
        </w:tc>
        <w:tc>
          <w:tcPr>
            <w:tcW w:w="820" w:type="pct"/>
            <w:shd w:val="clear" w:color="auto" w:fill="auto"/>
            <w:vAlign w:val="center"/>
          </w:tcPr>
          <w:p w:rsidR="006F3080" w:rsidRPr="007D27AF" w:rsidRDefault="00A00632" w:rsidP="00FC701D">
            <w:pPr>
              <w:pStyle w:val="BodyText2"/>
              <w:jc w:val="center"/>
              <w:rPr>
                <w:sz w:val="22"/>
                <w:szCs w:val="22"/>
              </w:rPr>
            </w:pPr>
            <w:r>
              <w:rPr>
                <w:sz w:val="22"/>
                <w:szCs w:val="22"/>
                <w:lang w:val="ru-RU"/>
              </w:rPr>
              <w:t>3 800 000</w:t>
            </w:r>
          </w:p>
        </w:tc>
        <w:tc>
          <w:tcPr>
            <w:tcW w:w="821" w:type="pct"/>
            <w:shd w:val="clear" w:color="auto" w:fill="auto"/>
            <w:vAlign w:val="center"/>
          </w:tcPr>
          <w:p w:rsidR="006F3080" w:rsidRPr="007D27AF" w:rsidRDefault="00A00632" w:rsidP="00FC701D">
            <w:pPr>
              <w:pStyle w:val="BodyText2"/>
              <w:jc w:val="center"/>
              <w:rPr>
                <w:sz w:val="22"/>
                <w:szCs w:val="22"/>
              </w:rPr>
            </w:pPr>
            <w:r>
              <w:rPr>
                <w:sz w:val="22"/>
                <w:szCs w:val="22"/>
                <w:lang w:val="ru-RU"/>
              </w:rPr>
              <w:t>3 800 000</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EE1BB2" w:rsidRDefault="006F3080" w:rsidP="00FC701D">
            <w:r w:rsidRPr="00695C94">
              <w:rPr>
                <w:sz w:val="22"/>
                <w:szCs w:val="22"/>
              </w:rPr>
              <w:t>1.3. pašvaldību budžets</w:t>
            </w:r>
          </w:p>
        </w:tc>
        <w:tc>
          <w:tcPr>
            <w:tcW w:w="611" w:type="pct"/>
            <w:shd w:val="clear" w:color="auto" w:fill="auto"/>
            <w:vAlign w:val="center"/>
          </w:tcPr>
          <w:p w:rsidR="006F3080" w:rsidRPr="007D27AF" w:rsidRDefault="006F3080" w:rsidP="00FC701D">
            <w:pPr>
              <w:jc w:val="center"/>
              <w:rPr>
                <w:sz w:val="22"/>
                <w:szCs w:val="22"/>
              </w:rPr>
            </w:pPr>
            <w:r>
              <w:rPr>
                <w:sz w:val="22"/>
                <w:szCs w:val="22"/>
              </w:rPr>
              <w:t>0</w:t>
            </w:r>
          </w:p>
        </w:tc>
        <w:tc>
          <w:tcPr>
            <w:tcW w:w="649" w:type="pct"/>
            <w:shd w:val="clear" w:color="auto" w:fill="auto"/>
            <w:vAlign w:val="center"/>
          </w:tcPr>
          <w:p w:rsidR="006F3080" w:rsidRPr="007D27AF" w:rsidRDefault="006F3080" w:rsidP="00FC701D">
            <w:pPr>
              <w:jc w:val="center"/>
              <w:rPr>
                <w:sz w:val="22"/>
                <w:szCs w:val="22"/>
              </w:rPr>
            </w:pPr>
            <w:r>
              <w:rPr>
                <w:sz w:val="22"/>
                <w:szCs w:val="22"/>
              </w:rPr>
              <w:t>0</w:t>
            </w:r>
          </w:p>
        </w:tc>
        <w:tc>
          <w:tcPr>
            <w:tcW w:w="820" w:type="pct"/>
            <w:shd w:val="clear" w:color="auto" w:fill="auto"/>
            <w:vAlign w:val="center"/>
          </w:tcPr>
          <w:p w:rsidR="006F3080" w:rsidRPr="00A00632" w:rsidRDefault="00A00632" w:rsidP="00FC701D">
            <w:pPr>
              <w:pStyle w:val="BodyText2"/>
              <w:jc w:val="center"/>
              <w:rPr>
                <w:sz w:val="22"/>
                <w:szCs w:val="22"/>
                <w:lang w:val="ru-RU"/>
              </w:rPr>
            </w:pPr>
            <w:r>
              <w:rPr>
                <w:sz w:val="22"/>
                <w:szCs w:val="22"/>
                <w:lang w:val="ru-RU"/>
              </w:rPr>
              <w:t>2 200 000</w:t>
            </w:r>
          </w:p>
        </w:tc>
        <w:tc>
          <w:tcPr>
            <w:tcW w:w="820" w:type="pct"/>
            <w:shd w:val="clear" w:color="auto" w:fill="auto"/>
            <w:vAlign w:val="center"/>
          </w:tcPr>
          <w:p w:rsidR="006F3080" w:rsidRPr="007D27AF" w:rsidRDefault="00A00632" w:rsidP="00FC701D">
            <w:pPr>
              <w:pStyle w:val="BodyText2"/>
              <w:jc w:val="center"/>
              <w:rPr>
                <w:sz w:val="22"/>
                <w:szCs w:val="22"/>
              </w:rPr>
            </w:pPr>
            <w:r>
              <w:rPr>
                <w:sz w:val="22"/>
                <w:szCs w:val="22"/>
                <w:lang w:val="ru-RU"/>
              </w:rPr>
              <w:t>2 200 000</w:t>
            </w:r>
          </w:p>
        </w:tc>
        <w:tc>
          <w:tcPr>
            <w:tcW w:w="821" w:type="pct"/>
            <w:shd w:val="clear" w:color="auto" w:fill="auto"/>
            <w:vAlign w:val="center"/>
          </w:tcPr>
          <w:p w:rsidR="006F3080" w:rsidRPr="007D27AF" w:rsidRDefault="00A00632" w:rsidP="00FC701D">
            <w:pPr>
              <w:pStyle w:val="BodyText2"/>
              <w:jc w:val="center"/>
              <w:rPr>
                <w:sz w:val="22"/>
                <w:szCs w:val="22"/>
              </w:rPr>
            </w:pPr>
            <w:r>
              <w:rPr>
                <w:sz w:val="22"/>
                <w:szCs w:val="22"/>
                <w:lang w:val="ru-RU"/>
              </w:rPr>
              <w:t>2 200 000</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4A54BF" w:rsidRDefault="006F3080" w:rsidP="00FC701D">
            <w:pPr>
              <w:rPr>
                <w:b/>
                <w:sz w:val="24"/>
              </w:rPr>
            </w:pPr>
            <w:r w:rsidRPr="004A54BF">
              <w:rPr>
                <w:b/>
                <w:sz w:val="24"/>
              </w:rPr>
              <w:t>2. Budžeta izdevumi:</w:t>
            </w:r>
          </w:p>
        </w:tc>
        <w:tc>
          <w:tcPr>
            <w:tcW w:w="611" w:type="pct"/>
            <w:shd w:val="clear" w:color="auto" w:fill="auto"/>
            <w:vAlign w:val="center"/>
          </w:tcPr>
          <w:p w:rsidR="006F3080" w:rsidRPr="006626E4" w:rsidRDefault="006F3080" w:rsidP="00FC701D">
            <w:pPr>
              <w:jc w:val="center"/>
              <w:rPr>
                <w:b/>
                <w:sz w:val="24"/>
              </w:rPr>
            </w:pPr>
            <w:r w:rsidRPr="006626E4">
              <w:rPr>
                <w:b/>
                <w:sz w:val="24"/>
              </w:rPr>
              <w:t>0</w:t>
            </w:r>
          </w:p>
        </w:tc>
        <w:tc>
          <w:tcPr>
            <w:tcW w:w="649" w:type="pct"/>
            <w:shd w:val="clear" w:color="auto" w:fill="auto"/>
            <w:vAlign w:val="center"/>
          </w:tcPr>
          <w:p w:rsidR="006F3080" w:rsidRPr="006626E4" w:rsidRDefault="006F3080" w:rsidP="00FC701D">
            <w:pPr>
              <w:jc w:val="center"/>
              <w:rPr>
                <w:b/>
                <w:sz w:val="24"/>
              </w:rPr>
            </w:pPr>
            <w:r w:rsidRPr="006626E4">
              <w:rPr>
                <w:b/>
                <w:sz w:val="24"/>
              </w:rPr>
              <w:t>0</w:t>
            </w:r>
          </w:p>
        </w:tc>
        <w:tc>
          <w:tcPr>
            <w:tcW w:w="820" w:type="pct"/>
            <w:shd w:val="clear" w:color="auto" w:fill="auto"/>
            <w:vAlign w:val="center"/>
          </w:tcPr>
          <w:p w:rsidR="006F3080" w:rsidRPr="008841BD" w:rsidRDefault="008841BD" w:rsidP="00FC701D">
            <w:pPr>
              <w:jc w:val="center"/>
              <w:rPr>
                <w:b/>
                <w:color w:val="000000" w:themeColor="text1"/>
                <w:sz w:val="24"/>
                <w:lang w:val="ru-RU"/>
              </w:rPr>
            </w:pPr>
            <w:r>
              <w:rPr>
                <w:b/>
                <w:color w:val="000000" w:themeColor="text1"/>
                <w:sz w:val="24"/>
                <w:lang w:val="ru-RU"/>
              </w:rPr>
              <w:t>5 405 231</w:t>
            </w:r>
          </w:p>
        </w:tc>
        <w:tc>
          <w:tcPr>
            <w:tcW w:w="820" w:type="pct"/>
            <w:shd w:val="clear" w:color="auto" w:fill="auto"/>
            <w:vAlign w:val="center"/>
          </w:tcPr>
          <w:p w:rsidR="006F3080" w:rsidRPr="006626E4" w:rsidRDefault="008841BD" w:rsidP="00FC701D">
            <w:pPr>
              <w:jc w:val="center"/>
              <w:rPr>
                <w:b/>
                <w:color w:val="000000" w:themeColor="text1"/>
                <w:sz w:val="24"/>
              </w:rPr>
            </w:pPr>
            <w:r>
              <w:rPr>
                <w:b/>
                <w:color w:val="000000" w:themeColor="text1"/>
                <w:sz w:val="24"/>
                <w:lang w:val="ru-RU"/>
              </w:rPr>
              <w:t>5 405 231</w:t>
            </w:r>
          </w:p>
        </w:tc>
        <w:tc>
          <w:tcPr>
            <w:tcW w:w="821" w:type="pct"/>
            <w:shd w:val="clear" w:color="auto" w:fill="auto"/>
            <w:vAlign w:val="center"/>
          </w:tcPr>
          <w:p w:rsidR="006F3080" w:rsidRPr="006626E4" w:rsidRDefault="008841BD" w:rsidP="00FC701D">
            <w:pPr>
              <w:jc w:val="center"/>
              <w:rPr>
                <w:b/>
                <w:color w:val="000000" w:themeColor="text1"/>
                <w:sz w:val="24"/>
              </w:rPr>
            </w:pPr>
            <w:r>
              <w:rPr>
                <w:b/>
                <w:color w:val="000000" w:themeColor="text1"/>
                <w:sz w:val="24"/>
                <w:lang w:val="ru-RU"/>
              </w:rPr>
              <w:t>5 405 231</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rPr>
                <w:sz w:val="22"/>
                <w:szCs w:val="22"/>
              </w:rPr>
            </w:pPr>
            <w:r w:rsidRPr="00695C94">
              <w:rPr>
                <w:sz w:val="22"/>
                <w:szCs w:val="22"/>
              </w:rPr>
              <w:lastRenderedPageBreak/>
              <w:t>2.1. valsts pamatbudžets</w:t>
            </w:r>
          </w:p>
        </w:tc>
        <w:tc>
          <w:tcPr>
            <w:tcW w:w="611"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649"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820" w:type="pct"/>
            <w:shd w:val="clear" w:color="auto" w:fill="auto"/>
            <w:vAlign w:val="center"/>
          </w:tcPr>
          <w:p w:rsidR="006F3080" w:rsidRPr="008841BD" w:rsidRDefault="008841BD" w:rsidP="00FC701D">
            <w:pPr>
              <w:pStyle w:val="BodyText2"/>
              <w:jc w:val="center"/>
              <w:rPr>
                <w:color w:val="000000" w:themeColor="text1"/>
                <w:sz w:val="22"/>
                <w:szCs w:val="22"/>
                <w:lang w:val="ru-RU"/>
              </w:rPr>
            </w:pPr>
            <w:r>
              <w:rPr>
                <w:color w:val="000000" w:themeColor="text1"/>
                <w:sz w:val="22"/>
                <w:szCs w:val="22"/>
                <w:lang w:val="ru-RU"/>
              </w:rPr>
              <w:t>3 011 095</w:t>
            </w:r>
          </w:p>
        </w:tc>
        <w:tc>
          <w:tcPr>
            <w:tcW w:w="820" w:type="pct"/>
            <w:shd w:val="clear" w:color="auto" w:fill="auto"/>
            <w:vAlign w:val="center"/>
          </w:tcPr>
          <w:p w:rsidR="006F3080" w:rsidRPr="0038450A" w:rsidRDefault="008841BD" w:rsidP="00FC701D">
            <w:pPr>
              <w:pStyle w:val="BodyText2"/>
              <w:jc w:val="center"/>
              <w:rPr>
                <w:color w:val="000000" w:themeColor="text1"/>
                <w:sz w:val="22"/>
                <w:szCs w:val="22"/>
              </w:rPr>
            </w:pPr>
            <w:r>
              <w:rPr>
                <w:color w:val="000000" w:themeColor="text1"/>
                <w:sz w:val="22"/>
                <w:szCs w:val="22"/>
                <w:lang w:val="ru-RU"/>
              </w:rPr>
              <w:t>3 011 095</w:t>
            </w:r>
          </w:p>
        </w:tc>
        <w:tc>
          <w:tcPr>
            <w:tcW w:w="821" w:type="pct"/>
            <w:shd w:val="clear" w:color="auto" w:fill="auto"/>
            <w:vAlign w:val="center"/>
          </w:tcPr>
          <w:p w:rsidR="006F3080" w:rsidRPr="0038450A" w:rsidRDefault="008841BD" w:rsidP="00FC701D">
            <w:pPr>
              <w:pStyle w:val="BodyText2"/>
              <w:jc w:val="center"/>
              <w:rPr>
                <w:color w:val="000000" w:themeColor="text1"/>
                <w:sz w:val="22"/>
                <w:szCs w:val="22"/>
              </w:rPr>
            </w:pPr>
            <w:r>
              <w:rPr>
                <w:color w:val="000000" w:themeColor="text1"/>
                <w:sz w:val="22"/>
                <w:szCs w:val="22"/>
                <w:lang w:val="ru-RU"/>
              </w:rPr>
              <w:t>3 011 095</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rPr>
                <w:sz w:val="22"/>
                <w:szCs w:val="22"/>
              </w:rPr>
            </w:pPr>
            <w:r w:rsidRPr="00695C94">
              <w:rPr>
                <w:sz w:val="22"/>
                <w:szCs w:val="22"/>
              </w:rPr>
              <w:t>2.2. valsts speciālais budžets</w:t>
            </w:r>
          </w:p>
        </w:tc>
        <w:tc>
          <w:tcPr>
            <w:tcW w:w="611"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649"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820" w:type="pct"/>
            <w:shd w:val="clear" w:color="auto" w:fill="auto"/>
          </w:tcPr>
          <w:p w:rsidR="006F3080" w:rsidRPr="006626E4" w:rsidRDefault="006F3080" w:rsidP="00FC701D">
            <w:pPr>
              <w:pStyle w:val="BodyText2"/>
              <w:jc w:val="center"/>
              <w:rPr>
                <w:sz w:val="24"/>
              </w:rPr>
            </w:pPr>
            <w:r w:rsidRPr="006626E4">
              <w:rPr>
                <w:sz w:val="24"/>
              </w:rPr>
              <w:t>-</w:t>
            </w:r>
          </w:p>
        </w:tc>
        <w:tc>
          <w:tcPr>
            <w:tcW w:w="820" w:type="pct"/>
            <w:shd w:val="clear" w:color="auto" w:fill="auto"/>
          </w:tcPr>
          <w:p w:rsidR="006F3080" w:rsidRPr="006626E4" w:rsidRDefault="006F3080" w:rsidP="00FC701D">
            <w:pPr>
              <w:pStyle w:val="BodyText2"/>
              <w:jc w:val="center"/>
              <w:rPr>
                <w:sz w:val="24"/>
              </w:rPr>
            </w:pPr>
            <w:r w:rsidRPr="006626E4">
              <w:rPr>
                <w:sz w:val="24"/>
              </w:rPr>
              <w:t>-</w:t>
            </w:r>
          </w:p>
        </w:tc>
        <w:tc>
          <w:tcPr>
            <w:tcW w:w="821" w:type="pct"/>
            <w:shd w:val="clear" w:color="auto" w:fill="auto"/>
          </w:tcPr>
          <w:p w:rsidR="006F3080" w:rsidRPr="006626E4" w:rsidRDefault="006F3080" w:rsidP="00FC701D">
            <w:pPr>
              <w:pStyle w:val="BodyText2"/>
              <w:jc w:val="center"/>
              <w:rPr>
                <w:sz w:val="24"/>
              </w:rPr>
            </w:pPr>
            <w:r w:rsidRPr="006626E4">
              <w:rPr>
                <w:sz w:val="24"/>
              </w:rPr>
              <w:t>-</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rPr>
                <w:sz w:val="22"/>
                <w:szCs w:val="22"/>
              </w:rPr>
            </w:pPr>
            <w:r w:rsidRPr="00695C94">
              <w:rPr>
                <w:sz w:val="22"/>
                <w:szCs w:val="22"/>
              </w:rPr>
              <w:t xml:space="preserve">2.3. pašvaldību budžets </w:t>
            </w:r>
          </w:p>
        </w:tc>
        <w:tc>
          <w:tcPr>
            <w:tcW w:w="611"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649"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820" w:type="pct"/>
            <w:shd w:val="clear" w:color="auto" w:fill="auto"/>
          </w:tcPr>
          <w:p w:rsidR="006F3080" w:rsidRPr="008841BD" w:rsidRDefault="008841BD" w:rsidP="00FC701D">
            <w:pPr>
              <w:pStyle w:val="BodyText2"/>
              <w:jc w:val="center"/>
              <w:rPr>
                <w:sz w:val="24"/>
                <w:lang w:val="ru-RU"/>
              </w:rPr>
            </w:pPr>
            <w:r>
              <w:rPr>
                <w:sz w:val="24"/>
                <w:lang w:val="ru-RU"/>
              </w:rPr>
              <w:t>2 394 136</w:t>
            </w:r>
          </w:p>
        </w:tc>
        <w:tc>
          <w:tcPr>
            <w:tcW w:w="820" w:type="pct"/>
            <w:shd w:val="clear" w:color="auto" w:fill="auto"/>
          </w:tcPr>
          <w:p w:rsidR="006F3080" w:rsidRPr="001675C5" w:rsidRDefault="008841BD" w:rsidP="00FC701D">
            <w:pPr>
              <w:pStyle w:val="BodyText2"/>
              <w:jc w:val="center"/>
              <w:rPr>
                <w:sz w:val="24"/>
              </w:rPr>
            </w:pPr>
            <w:r>
              <w:rPr>
                <w:sz w:val="24"/>
                <w:lang w:val="ru-RU"/>
              </w:rPr>
              <w:t>2 394 136</w:t>
            </w:r>
          </w:p>
        </w:tc>
        <w:tc>
          <w:tcPr>
            <w:tcW w:w="821" w:type="pct"/>
            <w:shd w:val="clear" w:color="auto" w:fill="auto"/>
          </w:tcPr>
          <w:p w:rsidR="006F3080" w:rsidRPr="001675C5" w:rsidRDefault="008841BD" w:rsidP="00FC701D">
            <w:pPr>
              <w:pStyle w:val="BodyText2"/>
              <w:jc w:val="center"/>
              <w:rPr>
                <w:sz w:val="24"/>
              </w:rPr>
            </w:pPr>
            <w:r>
              <w:rPr>
                <w:sz w:val="24"/>
                <w:lang w:val="ru-RU"/>
              </w:rPr>
              <w:t>2 394 136</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4A54BF" w:rsidRDefault="006F3080" w:rsidP="00FC701D">
            <w:pPr>
              <w:rPr>
                <w:b/>
                <w:sz w:val="24"/>
              </w:rPr>
            </w:pPr>
            <w:r w:rsidRPr="004A54BF">
              <w:rPr>
                <w:b/>
                <w:sz w:val="24"/>
              </w:rPr>
              <w:t>3. Finansiālā ietekme:</w:t>
            </w:r>
          </w:p>
        </w:tc>
        <w:tc>
          <w:tcPr>
            <w:tcW w:w="611" w:type="pct"/>
            <w:shd w:val="clear" w:color="auto" w:fill="auto"/>
            <w:vAlign w:val="center"/>
          </w:tcPr>
          <w:p w:rsidR="006F3080" w:rsidRPr="004A54BF" w:rsidRDefault="006F3080" w:rsidP="00FC701D">
            <w:pPr>
              <w:jc w:val="center"/>
              <w:rPr>
                <w:b/>
                <w:sz w:val="24"/>
              </w:rPr>
            </w:pPr>
            <w:r w:rsidRPr="004A54BF">
              <w:rPr>
                <w:b/>
                <w:sz w:val="24"/>
              </w:rPr>
              <w:t>0</w:t>
            </w:r>
          </w:p>
        </w:tc>
        <w:tc>
          <w:tcPr>
            <w:tcW w:w="649" w:type="pct"/>
            <w:shd w:val="clear" w:color="auto" w:fill="auto"/>
            <w:vAlign w:val="center"/>
          </w:tcPr>
          <w:p w:rsidR="006F3080" w:rsidRPr="004A54BF" w:rsidRDefault="006F3080" w:rsidP="00FC701D">
            <w:pPr>
              <w:jc w:val="center"/>
              <w:rPr>
                <w:b/>
                <w:sz w:val="24"/>
              </w:rPr>
            </w:pPr>
            <w:r w:rsidRPr="004A54BF">
              <w:rPr>
                <w:b/>
                <w:sz w:val="24"/>
              </w:rPr>
              <w:t>0</w:t>
            </w:r>
          </w:p>
        </w:tc>
        <w:tc>
          <w:tcPr>
            <w:tcW w:w="820" w:type="pct"/>
            <w:shd w:val="clear" w:color="auto" w:fill="auto"/>
            <w:vAlign w:val="center"/>
          </w:tcPr>
          <w:p w:rsidR="006F3080" w:rsidRPr="008841BD" w:rsidRDefault="008841BD" w:rsidP="00FC701D">
            <w:pPr>
              <w:jc w:val="center"/>
              <w:rPr>
                <w:b/>
                <w:sz w:val="24"/>
                <w:lang w:val="ru-RU"/>
              </w:rPr>
            </w:pPr>
            <w:r>
              <w:rPr>
                <w:b/>
                <w:sz w:val="24"/>
                <w:lang w:val="ru-RU"/>
              </w:rPr>
              <w:t>1 794 769</w:t>
            </w:r>
          </w:p>
        </w:tc>
        <w:tc>
          <w:tcPr>
            <w:tcW w:w="820" w:type="pct"/>
            <w:shd w:val="clear" w:color="auto" w:fill="auto"/>
            <w:vAlign w:val="center"/>
          </w:tcPr>
          <w:p w:rsidR="006F3080" w:rsidRPr="004A54BF" w:rsidRDefault="008841BD" w:rsidP="00FC701D">
            <w:pPr>
              <w:jc w:val="center"/>
              <w:rPr>
                <w:b/>
                <w:sz w:val="24"/>
              </w:rPr>
            </w:pPr>
            <w:r>
              <w:rPr>
                <w:b/>
                <w:sz w:val="24"/>
                <w:lang w:val="ru-RU"/>
              </w:rPr>
              <w:t>1 794 769</w:t>
            </w:r>
          </w:p>
        </w:tc>
        <w:tc>
          <w:tcPr>
            <w:tcW w:w="821" w:type="pct"/>
            <w:shd w:val="clear" w:color="auto" w:fill="auto"/>
            <w:vAlign w:val="center"/>
          </w:tcPr>
          <w:p w:rsidR="006F3080" w:rsidRPr="004A54BF" w:rsidRDefault="008841BD" w:rsidP="00FC701D">
            <w:pPr>
              <w:jc w:val="center"/>
              <w:rPr>
                <w:b/>
                <w:sz w:val="24"/>
              </w:rPr>
            </w:pPr>
            <w:r>
              <w:rPr>
                <w:b/>
                <w:sz w:val="24"/>
                <w:lang w:val="ru-RU"/>
              </w:rPr>
              <w:t>1 794 769</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jc w:val="both"/>
              <w:rPr>
                <w:sz w:val="22"/>
                <w:szCs w:val="22"/>
              </w:rPr>
            </w:pPr>
            <w:r w:rsidRPr="00695C94">
              <w:rPr>
                <w:sz w:val="22"/>
                <w:szCs w:val="22"/>
              </w:rPr>
              <w:t>3.1. valsts pamatbudžets</w:t>
            </w:r>
          </w:p>
        </w:tc>
        <w:tc>
          <w:tcPr>
            <w:tcW w:w="611"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649"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820" w:type="pct"/>
            <w:shd w:val="clear" w:color="auto" w:fill="auto"/>
            <w:vAlign w:val="center"/>
          </w:tcPr>
          <w:p w:rsidR="006F3080" w:rsidRPr="008841BD" w:rsidRDefault="008841BD" w:rsidP="0070729C">
            <w:pPr>
              <w:pStyle w:val="BodyText2"/>
              <w:jc w:val="center"/>
              <w:rPr>
                <w:sz w:val="22"/>
                <w:szCs w:val="22"/>
                <w:lang w:val="ru-RU"/>
              </w:rPr>
            </w:pPr>
            <w:r>
              <w:rPr>
                <w:sz w:val="22"/>
                <w:szCs w:val="22"/>
                <w:lang w:val="ru-RU"/>
              </w:rPr>
              <w:t>1 988 905</w:t>
            </w:r>
          </w:p>
        </w:tc>
        <w:tc>
          <w:tcPr>
            <w:tcW w:w="820" w:type="pct"/>
            <w:shd w:val="clear" w:color="auto" w:fill="auto"/>
            <w:vAlign w:val="center"/>
          </w:tcPr>
          <w:p w:rsidR="006F3080" w:rsidRPr="007D27AF" w:rsidRDefault="008841BD" w:rsidP="0070729C">
            <w:pPr>
              <w:pStyle w:val="BodyText2"/>
              <w:jc w:val="center"/>
              <w:rPr>
                <w:sz w:val="22"/>
                <w:szCs w:val="22"/>
              </w:rPr>
            </w:pPr>
            <w:r>
              <w:rPr>
                <w:sz w:val="22"/>
                <w:szCs w:val="22"/>
                <w:lang w:val="ru-RU"/>
              </w:rPr>
              <w:t>1 988 905</w:t>
            </w:r>
          </w:p>
        </w:tc>
        <w:tc>
          <w:tcPr>
            <w:tcW w:w="821" w:type="pct"/>
            <w:shd w:val="clear" w:color="auto" w:fill="auto"/>
            <w:vAlign w:val="center"/>
          </w:tcPr>
          <w:p w:rsidR="006F3080" w:rsidRPr="007D27AF" w:rsidRDefault="008841BD" w:rsidP="0070729C">
            <w:pPr>
              <w:pStyle w:val="BodyText2"/>
              <w:jc w:val="center"/>
              <w:rPr>
                <w:sz w:val="22"/>
                <w:szCs w:val="22"/>
              </w:rPr>
            </w:pPr>
            <w:r>
              <w:rPr>
                <w:sz w:val="22"/>
                <w:szCs w:val="22"/>
                <w:lang w:val="ru-RU"/>
              </w:rPr>
              <w:t>1 988 905</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jc w:val="both"/>
              <w:rPr>
                <w:sz w:val="22"/>
                <w:szCs w:val="22"/>
              </w:rPr>
            </w:pPr>
            <w:r w:rsidRPr="00695C94">
              <w:rPr>
                <w:sz w:val="22"/>
                <w:szCs w:val="22"/>
              </w:rPr>
              <w:t>3.2. speciālais budžets</w:t>
            </w:r>
          </w:p>
        </w:tc>
        <w:tc>
          <w:tcPr>
            <w:tcW w:w="611"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649"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820" w:type="pct"/>
            <w:shd w:val="clear" w:color="auto" w:fill="auto"/>
            <w:vAlign w:val="center"/>
          </w:tcPr>
          <w:p w:rsidR="006F3080" w:rsidRPr="008841BD" w:rsidRDefault="008841BD" w:rsidP="00FC701D">
            <w:pPr>
              <w:pStyle w:val="BodyText2"/>
              <w:jc w:val="center"/>
              <w:rPr>
                <w:sz w:val="22"/>
                <w:szCs w:val="22"/>
                <w:lang w:val="ru-RU"/>
              </w:rPr>
            </w:pPr>
            <w:r>
              <w:rPr>
                <w:sz w:val="22"/>
                <w:szCs w:val="22"/>
                <w:lang w:val="ru-RU"/>
              </w:rPr>
              <w:t>-</w:t>
            </w:r>
          </w:p>
        </w:tc>
        <w:tc>
          <w:tcPr>
            <w:tcW w:w="820" w:type="pct"/>
            <w:shd w:val="clear" w:color="auto" w:fill="auto"/>
            <w:vAlign w:val="center"/>
          </w:tcPr>
          <w:p w:rsidR="006F3080" w:rsidRPr="008841BD" w:rsidRDefault="008841BD" w:rsidP="00FC701D">
            <w:pPr>
              <w:pStyle w:val="BodyText2"/>
              <w:jc w:val="center"/>
              <w:rPr>
                <w:sz w:val="22"/>
                <w:szCs w:val="22"/>
                <w:lang w:val="ru-RU"/>
              </w:rPr>
            </w:pPr>
            <w:r>
              <w:rPr>
                <w:sz w:val="22"/>
                <w:szCs w:val="22"/>
                <w:lang w:val="ru-RU"/>
              </w:rPr>
              <w:t>-</w:t>
            </w:r>
          </w:p>
        </w:tc>
        <w:tc>
          <w:tcPr>
            <w:tcW w:w="821" w:type="pct"/>
            <w:shd w:val="clear" w:color="auto" w:fill="auto"/>
            <w:vAlign w:val="center"/>
          </w:tcPr>
          <w:p w:rsidR="006F3080" w:rsidRPr="008841BD" w:rsidRDefault="008841BD" w:rsidP="00FC701D">
            <w:pPr>
              <w:pStyle w:val="BodyText2"/>
              <w:jc w:val="center"/>
              <w:rPr>
                <w:sz w:val="22"/>
                <w:szCs w:val="22"/>
                <w:lang w:val="ru-RU"/>
              </w:rPr>
            </w:pPr>
            <w:r>
              <w:rPr>
                <w:sz w:val="22"/>
                <w:szCs w:val="22"/>
                <w:lang w:val="ru-RU"/>
              </w:rPr>
              <w:t>-</w:t>
            </w:r>
          </w:p>
        </w:tc>
      </w:tr>
      <w:tr w:rsidR="006F3080"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jc w:val="both"/>
              <w:rPr>
                <w:sz w:val="22"/>
                <w:szCs w:val="22"/>
              </w:rPr>
            </w:pPr>
            <w:r w:rsidRPr="00695C94">
              <w:rPr>
                <w:sz w:val="22"/>
                <w:szCs w:val="22"/>
              </w:rPr>
              <w:t xml:space="preserve">3.3. pašvaldību budžets </w:t>
            </w:r>
          </w:p>
        </w:tc>
        <w:tc>
          <w:tcPr>
            <w:tcW w:w="611"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649" w:type="pct"/>
            <w:shd w:val="clear" w:color="auto" w:fill="auto"/>
            <w:vAlign w:val="center"/>
          </w:tcPr>
          <w:p w:rsidR="006F3080" w:rsidRPr="00695C94" w:rsidRDefault="006F3080" w:rsidP="00FC701D">
            <w:pPr>
              <w:jc w:val="center"/>
              <w:rPr>
                <w:sz w:val="22"/>
                <w:szCs w:val="22"/>
              </w:rPr>
            </w:pPr>
            <w:r w:rsidRPr="00695C94">
              <w:rPr>
                <w:sz w:val="22"/>
                <w:szCs w:val="22"/>
              </w:rPr>
              <w:t>0</w:t>
            </w:r>
          </w:p>
        </w:tc>
        <w:tc>
          <w:tcPr>
            <w:tcW w:w="820" w:type="pct"/>
            <w:shd w:val="clear" w:color="auto" w:fill="auto"/>
            <w:vAlign w:val="center"/>
          </w:tcPr>
          <w:p w:rsidR="006F3080" w:rsidRPr="008841BD" w:rsidRDefault="008841BD" w:rsidP="00FC701D">
            <w:pPr>
              <w:pStyle w:val="BodyText2"/>
              <w:jc w:val="center"/>
              <w:rPr>
                <w:sz w:val="22"/>
                <w:szCs w:val="22"/>
                <w:lang w:val="ru-RU"/>
              </w:rPr>
            </w:pPr>
            <w:r>
              <w:rPr>
                <w:sz w:val="22"/>
                <w:szCs w:val="22"/>
                <w:lang w:val="ru-RU"/>
              </w:rPr>
              <w:t>-194 136</w:t>
            </w:r>
          </w:p>
        </w:tc>
        <w:tc>
          <w:tcPr>
            <w:tcW w:w="820" w:type="pct"/>
            <w:shd w:val="clear" w:color="auto" w:fill="auto"/>
            <w:vAlign w:val="center"/>
          </w:tcPr>
          <w:p w:rsidR="006F3080" w:rsidRPr="007D27AF" w:rsidRDefault="008841BD" w:rsidP="00FC701D">
            <w:pPr>
              <w:pStyle w:val="BodyText2"/>
              <w:jc w:val="center"/>
              <w:rPr>
                <w:sz w:val="22"/>
                <w:szCs w:val="22"/>
              </w:rPr>
            </w:pPr>
            <w:r>
              <w:rPr>
                <w:sz w:val="22"/>
                <w:szCs w:val="22"/>
                <w:lang w:val="ru-RU"/>
              </w:rPr>
              <w:t>-194 136</w:t>
            </w:r>
          </w:p>
        </w:tc>
        <w:tc>
          <w:tcPr>
            <w:tcW w:w="821" w:type="pct"/>
            <w:shd w:val="clear" w:color="auto" w:fill="auto"/>
            <w:vAlign w:val="center"/>
          </w:tcPr>
          <w:p w:rsidR="006F3080" w:rsidRPr="007D27AF" w:rsidRDefault="008841BD" w:rsidP="00FC701D">
            <w:pPr>
              <w:pStyle w:val="BodyText2"/>
              <w:jc w:val="center"/>
              <w:rPr>
                <w:sz w:val="22"/>
                <w:szCs w:val="22"/>
              </w:rPr>
            </w:pPr>
            <w:r>
              <w:rPr>
                <w:sz w:val="22"/>
                <w:szCs w:val="22"/>
                <w:lang w:val="ru-RU"/>
              </w:rPr>
              <w:t>-194 136</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EE1BB2" w:rsidRDefault="006F3080" w:rsidP="00FC701D">
            <w:r w:rsidRPr="00695C94">
              <w:rPr>
                <w:sz w:val="22"/>
                <w:szCs w:val="22"/>
              </w:rPr>
              <w:t>4. Finanšu līdzekļi papildu izdevumu finansēšanai (kompensējošu izdevumu samazinājumu norāda ar "+" zīmi)</w:t>
            </w:r>
          </w:p>
        </w:tc>
        <w:tc>
          <w:tcPr>
            <w:tcW w:w="611" w:type="pct"/>
            <w:shd w:val="clear" w:color="auto" w:fill="auto"/>
            <w:vAlign w:val="center"/>
          </w:tcPr>
          <w:p w:rsidR="006F3080" w:rsidRPr="00695C94" w:rsidRDefault="006F3080" w:rsidP="00FC701D">
            <w:pPr>
              <w:jc w:val="center"/>
              <w:rPr>
                <w:b/>
                <w:sz w:val="24"/>
              </w:rPr>
            </w:pPr>
            <w:r w:rsidRPr="00695C94">
              <w:rPr>
                <w:b/>
                <w:sz w:val="24"/>
              </w:rPr>
              <w:t>x</w:t>
            </w:r>
          </w:p>
        </w:tc>
        <w:tc>
          <w:tcPr>
            <w:tcW w:w="649" w:type="pct"/>
            <w:shd w:val="clear" w:color="auto" w:fill="auto"/>
            <w:vAlign w:val="center"/>
          </w:tcPr>
          <w:p w:rsidR="006F3080" w:rsidRPr="00695C94" w:rsidRDefault="006F3080" w:rsidP="00FC701D">
            <w:pPr>
              <w:jc w:val="center"/>
              <w:rPr>
                <w:sz w:val="22"/>
                <w:szCs w:val="22"/>
              </w:rP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1" w:type="pct"/>
            <w:shd w:val="clear" w:color="auto" w:fill="auto"/>
            <w:vAlign w:val="center"/>
          </w:tcPr>
          <w:p w:rsidR="006F3080" w:rsidRPr="00EE1BB2" w:rsidRDefault="006F3080" w:rsidP="00FC701D">
            <w:pPr>
              <w:jc w:val="center"/>
            </w:pPr>
            <w:r w:rsidRPr="00AB5262">
              <w:rPr>
                <w:iCs/>
                <w:sz w:val="24"/>
              </w:rPr>
              <w:t>Projekts šo jomu neskar.</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EE1BB2" w:rsidRDefault="006F3080" w:rsidP="00FC701D">
            <w:r w:rsidRPr="00695C94">
              <w:rPr>
                <w:sz w:val="22"/>
                <w:szCs w:val="22"/>
              </w:rPr>
              <w:t>5. Precizēta finansiālā ietekme:</w:t>
            </w:r>
          </w:p>
        </w:tc>
        <w:tc>
          <w:tcPr>
            <w:tcW w:w="611" w:type="pct"/>
            <w:vMerge w:val="restart"/>
            <w:shd w:val="clear" w:color="auto" w:fill="auto"/>
            <w:vAlign w:val="center"/>
          </w:tcPr>
          <w:p w:rsidR="006F3080" w:rsidRPr="00695C94" w:rsidRDefault="006F3080" w:rsidP="00FC701D">
            <w:pPr>
              <w:jc w:val="center"/>
              <w:rPr>
                <w:sz w:val="24"/>
              </w:rPr>
            </w:pPr>
            <w:r w:rsidRPr="00695C94">
              <w:rPr>
                <w:b/>
                <w:sz w:val="24"/>
              </w:rPr>
              <w:t>x</w:t>
            </w:r>
          </w:p>
        </w:tc>
        <w:tc>
          <w:tcPr>
            <w:tcW w:w="3110" w:type="pct"/>
            <w:gridSpan w:val="4"/>
            <w:shd w:val="clear" w:color="auto" w:fill="auto"/>
            <w:vAlign w:val="center"/>
          </w:tcPr>
          <w:p w:rsidR="006F3080" w:rsidRPr="00EE1BB2" w:rsidRDefault="006F3080" w:rsidP="00FC701D">
            <w:pPr>
              <w:jc w:val="center"/>
            </w:pPr>
            <w:r w:rsidRPr="00AB5262">
              <w:rPr>
                <w:iCs/>
                <w:sz w:val="24"/>
              </w:rPr>
              <w:t>Projekts šo jomu neskar.</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jc w:val="both"/>
              <w:rPr>
                <w:sz w:val="22"/>
                <w:szCs w:val="22"/>
              </w:rPr>
            </w:pPr>
            <w:r w:rsidRPr="00695C94">
              <w:rPr>
                <w:sz w:val="22"/>
                <w:szCs w:val="22"/>
              </w:rPr>
              <w:t>5.1. valsts pamatbudžets</w:t>
            </w:r>
          </w:p>
        </w:tc>
        <w:tc>
          <w:tcPr>
            <w:tcW w:w="611" w:type="pct"/>
            <w:vMerge/>
            <w:shd w:val="clear" w:color="auto" w:fill="auto"/>
          </w:tcPr>
          <w:p w:rsidR="006F3080" w:rsidRPr="00EE1BB2" w:rsidRDefault="006F3080" w:rsidP="00FC701D">
            <w:pPr>
              <w:jc w:val="center"/>
            </w:pPr>
          </w:p>
        </w:tc>
        <w:tc>
          <w:tcPr>
            <w:tcW w:w="649"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1" w:type="pct"/>
            <w:shd w:val="clear" w:color="auto" w:fill="auto"/>
            <w:vAlign w:val="center"/>
          </w:tcPr>
          <w:p w:rsidR="006F3080" w:rsidRPr="00EE1BB2" w:rsidRDefault="006F3080" w:rsidP="00FC701D">
            <w:pPr>
              <w:jc w:val="center"/>
            </w:pPr>
            <w:r w:rsidRPr="00AB5262">
              <w:rPr>
                <w:iCs/>
                <w:sz w:val="24"/>
              </w:rPr>
              <w:t>Projekts šo jomu neskar.</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jc w:val="both"/>
              <w:rPr>
                <w:sz w:val="22"/>
                <w:szCs w:val="22"/>
              </w:rPr>
            </w:pPr>
            <w:r w:rsidRPr="00695C94">
              <w:rPr>
                <w:sz w:val="22"/>
                <w:szCs w:val="22"/>
              </w:rPr>
              <w:t>5.2. speciālais budžets</w:t>
            </w:r>
          </w:p>
        </w:tc>
        <w:tc>
          <w:tcPr>
            <w:tcW w:w="611" w:type="pct"/>
            <w:vMerge/>
            <w:shd w:val="clear" w:color="auto" w:fill="auto"/>
          </w:tcPr>
          <w:p w:rsidR="006F3080" w:rsidRPr="00EE1BB2" w:rsidRDefault="006F3080" w:rsidP="00FC701D">
            <w:pPr>
              <w:jc w:val="center"/>
            </w:pPr>
          </w:p>
        </w:tc>
        <w:tc>
          <w:tcPr>
            <w:tcW w:w="649"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1" w:type="pct"/>
            <w:shd w:val="clear" w:color="auto" w:fill="auto"/>
            <w:vAlign w:val="center"/>
          </w:tcPr>
          <w:p w:rsidR="006F3080" w:rsidRPr="00EE1BB2" w:rsidRDefault="006F3080" w:rsidP="00FC701D">
            <w:pPr>
              <w:jc w:val="center"/>
            </w:pPr>
            <w:r w:rsidRPr="00AB5262">
              <w:rPr>
                <w:iCs/>
                <w:sz w:val="24"/>
              </w:rPr>
              <w:t>Projekts šo jomu neskar.</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6F3080" w:rsidRPr="00695C94" w:rsidRDefault="006F3080" w:rsidP="00FC701D">
            <w:pPr>
              <w:jc w:val="both"/>
              <w:rPr>
                <w:sz w:val="22"/>
                <w:szCs w:val="22"/>
              </w:rPr>
            </w:pPr>
            <w:r w:rsidRPr="00695C94">
              <w:rPr>
                <w:sz w:val="22"/>
                <w:szCs w:val="22"/>
              </w:rPr>
              <w:t xml:space="preserve">5.3. pašvaldību budžets </w:t>
            </w:r>
          </w:p>
        </w:tc>
        <w:tc>
          <w:tcPr>
            <w:tcW w:w="611" w:type="pct"/>
            <w:vMerge/>
            <w:shd w:val="clear" w:color="auto" w:fill="auto"/>
          </w:tcPr>
          <w:p w:rsidR="006F3080" w:rsidRPr="00EE1BB2" w:rsidRDefault="006F3080" w:rsidP="00FC701D">
            <w:pPr>
              <w:jc w:val="center"/>
            </w:pPr>
          </w:p>
        </w:tc>
        <w:tc>
          <w:tcPr>
            <w:tcW w:w="649"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0" w:type="pct"/>
            <w:shd w:val="clear" w:color="auto" w:fill="auto"/>
            <w:vAlign w:val="center"/>
          </w:tcPr>
          <w:p w:rsidR="006F3080" w:rsidRPr="00EE1BB2" w:rsidRDefault="006F3080" w:rsidP="00FC701D">
            <w:pPr>
              <w:jc w:val="center"/>
            </w:pPr>
            <w:r w:rsidRPr="00AB5262">
              <w:rPr>
                <w:iCs/>
                <w:sz w:val="24"/>
              </w:rPr>
              <w:t>Projekts šo jomu neskar.</w:t>
            </w:r>
          </w:p>
        </w:tc>
        <w:tc>
          <w:tcPr>
            <w:tcW w:w="821" w:type="pct"/>
            <w:shd w:val="clear" w:color="auto" w:fill="auto"/>
            <w:vAlign w:val="center"/>
          </w:tcPr>
          <w:p w:rsidR="006F3080" w:rsidRPr="00EE1BB2" w:rsidRDefault="006F3080" w:rsidP="00FC701D">
            <w:pPr>
              <w:jc w:val="center"/>
            </w:pPr>
            <w:r w:rsidRPr="00AB5262">
              <w:rPr>
                <w:iCs/>
                <w:sz w:val="24"/>
              </w:rPr>
              <w:t>Projekts šo jomu neskar.</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7"/>
            <w:shd w:val="clear" w:color="auto" w:fill="auto"/>
          </w:tcPr>
          <w:p w:rsidR="006F3080" w:rsidRPr="00EE1BB2" w:rsidRDefault="006F3080" w:rsidP="00FC701D">
            <w:r w:rsidRPr="00695C94">
              <w:rPr>
                <w:sz w:val="22"/>
                <w:szCs w:val="22"/>
              </w:rPr>
              <w:t>6. Detalizēts ieņēmumu un izdevumu aprēķins (ja nepieciešams, detalizētu ieņēmumu un izdevumu aprēķinu var pievienot anotācijas pielikumā):</w:t>
            </w:r>
          </w:p>
        </w:tc>
      </w:tr>
      <w:tr w:rsidR="006F3080"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890" w:type="pct"/>
            <w:gridSpan w:val="3"/>
            <w:shd w:val="clear" w:color="auto" w:fill="auto"/>
          </w:tcPr>
          <w:p w:rsidR="006F3080" w:rsidRPr="003D4287" w:rsidRDefault="006F3080" w:rsidP="00FC701D">
            <w:pPr>
              <w:ind w:left="426"/>
              <w:rPr>
                <w:sz w:val="22"/>
                <w:szCs w:val="22"/>
              </w:rPr>
            </w:pPr>
            <w:r w:rsidRPr="00695C94">
              <w:rPr>
                <w:sz w:val="22"/>
                <w:szCs w:val="22"/>
              </w:rPr>
              <w:t>6.1. Detalizēts izdevumu un ieņēmumu aprēķins</w:t>
            </w:r>
            <w:r>
              <w:rPr>
                <w:sz w:val="22"/>
                <w:szCs w:val="22"/>
              </w:rPr>
              <w:t>:</w:t>
            </w:r>
          </w:p>
        </w:tc>
        <w:tc>
          <w:tcPr>
            <w:tcW w:w="3110" w:type="pct"/>
            <w:gridSpan w:val="4"/>
            <w:shd w:val="clear" w:color="auto" w:fill="auto"/>
          </w:tcPr>
          <w:p w:rsidR="006F3080" w:rsidRPr="003D4287" w:rsidRDefault="006F3080" w:rsidP="00A00632">
            <w:pPr>
              <w:pStyle w:val="BodyText2"/>
              <w:jc w:val="left"/>
              <w:rPr>
                <w:sz w:val="22"/>
                <w:szCs w:val="22"/>
              </w:rPr>
            </w:pPr>
          </w:p>
        </w:tc>
      </w:tr>
      <w:tr w:rsidR="007D5612" w:rsidRPr="00EE1BB2"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890" w:type="pct"/>
            <w:gridSpan w:val="3"/>
            <w:shd w:val="clear" w:color="auto" w:fill="auto"/>
          </w:tcPr>
          <w:p w:rsidR="007D5612" w:rsidRPr="007D5612" w:rsidRDefault="007D5612" w:rsidP="007D5612">
            <w:pPr>
              <w:pStyle w:val="NormalWeb"/>
              <w:ind w:left="426"/>
              <w:rPr>
                <w:sz w:val="22"/>
                <w:szCs w:val="22"/>
              </w:rPr>
            </w:pPr>
            <w:r w:rsidRPr="007D5612">
              <w:rPr>
                <w:sz w:val="22"/>
                <w:szCs w:val="22"/>
              </w:rPr>
              <w:t>6.2. detalizēts izdevumu aprēķins</w:t>
            </w:r>
          </w:p>
        </w:tc>
        <w:tc>
          <w:tcPr>
            <w:tcW w:w="3110" w:type="pct"/>
            <w:gridSpan w:val="4"/>
            <w:shd w:val="clear" w:color="auto" w:fill="auto"/>
          </w:tcPr>
          <w:p w:rsidR="007D5612" w:rsidRPr="00A00632" w:rsidRDefault="007D5612" w:rsidP="00336EB8">
            <w:pPr>
              <w:rPr>
                <w:sz w:val="22"/>
                <w:szCs w:val="22"/>
              </w:rPr>
            </w:pPr>
          </w:p>
        </w:tc>
      </w:tr>
      <w:tr w:rsidR="007D5612" w:rsidRPr="00695C94" w:rsidTr="007D5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83" w:type="pct"/>
            <w:shd w:val="clear" w:color="auto" w:fill="auto"/>
          </w:tcPr>
          <w:p w:rsidR="007D5612" w:rsidRPr="00EE1BB2" w:rsidRDefault="007D5612" w:rsidP="00FC701D">
            <w:pPr>
              <w:jc w:val="both"/>
              <w:rPr>
                <w:sz w:val="22"/>
                <w:szCs w:val="22"/>
              </w:rPr>
            </w:pPr>
            <w:r w:rsidRPr="00EE1BB2">
              <w:rPr>
                <w:sz w:val="22"/>
                <w:szCs w:val="22"/>
              </w:rPr>
              <w:t>7. Cita informācija</w:t>
            </w:r>
          </w:p>
        </w:tc>
        <w:tc>
          <w:tcPr>
            <w:tcW w:w="3917" w:type="pct"/>
            <w:gridSpan w:val="6"/>
            <w:shd w:val="clear" w:color="auto" w:fill="auto"/>
          </w:tcPr>
          <w:p w:rsidR="003809EF" w:rsidRPr="00464D47" w:rsidRDefault="00464D47" w:rsidP="007D5612">
            <w:pPr>
              <w:jc w:val="both"/>
              <w:rPr>
                <w:bCs/>
                <w:sz w:val="24"/>
              </w:rPr>
            </w:pPr>
            <w:r w:rsidRPr="00695C94">
              <w:rPr>
                <w:b/>
                <w:bCs/>
                <w:sz w:val="24"/>
              </w:rPr>
              <w:t xml:space="preserve">Finanšu ministrijas </w:t>
            </w:r>
            <w:r>
              <w:rPr>
                <w:b/>
                <w:bCs/>
                <w:sz w:val="24"/>
              </w:rPr>
              <w:t xml:space="preserve">veiktais </w:t>
            </w:r>
            <w:r w:rsidRPr="00695C94">
              <w:rPr>
                <w:b/>
                <w:bCs/>
                <w:sz w:val="24"/>
              </w:rPr>
              <w:t xml:space="preserve">aprēķins par </w:t>
            </w:r>
            <w:r>
              <w:rPr>
                <w:b/>
                <w:bCs/>
                <w:sz w:val="24"/>
              </w:rPr>
              <w:t xml:space="preserve">budžeta ieņēmumiem un izdevumiem saistībā ar </w:t>
            </w:r>
            <w:r w:rsidRPr="00695C94">
              <w:rPr>
                <w:b/>
                <w:bCs/>
                <w:sz w:val="24"/>
              </w:rPr>
              <w:t>minimālās mēneša darba algas paaugstināšan</w:t>
            </w:r>
            <w:r>
              <w:rPr>
                <w:b/>
                <w:bCs/>
                <w:sz w:val="24"/>
              </w:rPr>
              <w:t>u n</w:t>
            </w:r>
            <w:r w:rsidRPr="00695C94">
              <w:rPr>
                <w:b/>
                <w:bCs/>
                <w:sz w:val="24"/>
              </w:rPr>
              <w:t xml:space="preserve">o </w:t>
            </w:r>
            <w:r>
              <w:rPr>
                <w:b/>
                <w:bCs/>
                <w:sz w:val="24"/>
              </w:rPr>
              <w:t>3</w:t>
            </w:r>
            <w:r w:rsidRPr="00464D47">
              <w:rPr>
                <w:b/>
                <w:bCs/>
                <w:sz w:val="24"/>
              </w:rPr>
              <w:t>6</w:t>
            </w:r>
            <w:r>
              <w:rPr>
                <w:b/>
                <w:bCs/>
                <w:sz w:val="24"/>
              </w:rPr>
              <w:t>0</w:t>
            </w:r>
            <w:r w:rsidRPr="00695C94">
              <w:rPr>
                <w:b/>
                <w:bCs/>
                <w:sz w:val="24"/>
              </w:rPr>
              <w:t xml:space="preserve"> </w:t>
            </w:r>
            <w:proofErr w:type="spellStart"/>
            <w:r>
              <w:rPr>
                <w:b/>
                <w:bCs/>
                <w:sz w:val="24"/>
              </w:rPr>
              <w:t>euro</w:t>
            </w:r>
            <w:proofErr w:type="spellEnd"/>
            <w:r w:rsidRPr="00695C94">
              <w:rPr>
                <w:b/>
                <w:bCs/>
                <w:sz w:val="24"/>
              </w:rPr>
              <w:t xml:space="preserve"> līdz </w:t>
            </w:r>
            <w:r>
              <w:rPr>
                <w:b/>
                <w:bCs/>
                <w:sz w:val="24"/>
              </w:rPr>
              <w:t>3</w:t>
            </w:r>
            <w:r w:rsidRPr="00464D47">
              <w:rPr>
                <w:b/>
                <w:bCs/>
                <w:sz w:val="24"/>
              </w:rPr>
              <w:t>7</w:t>
            </w:r>
            <w:r>
              <w:rPr>
                <w:b/>
                <w:bCs/>
                <w:sz w:val="24"/>
              </w:rPr>
              <w:t xml:space="preserve">0 </w:t>
            </w:r>
            <w:proofErr w:type="spellStart"/>
            <w:r w:rsidRPr="00D2236A">
              <w:rPr>
                <w:b/>
                <w:bCs/>
                <w:i/>
                <w:sz w:val="24"/>
              </w:rPr>
              <w:t>euro</w:t>
            </w:r>
            <w:proofErr w:type="spellEnd"/>
            <w:r>
              <w:rPr>
                <w:bCs/>
                <w:sz w:val="24"/>
              </w:rPr>
              <w:t>.</w:t>
            </w:r>
          </w:p>
          <w:p w:rsidR="007D5612" w:rsidRPr="00695C94" w:rsidRDefault="007D5612" w:rsidP="00F30980">
            <w:pPr>
              <w:jc w:val="both"/>
              <w:rPr>
                <w:sz w:val="24"/>
              </w:rPr>
            </w:pPr>
            <w:r w:rsidRPr="007D5612">
              <w:rPr>
                <w:b/>
                <w:bCs/>
                <w:sz w:val="24"/>
              </w:rPr>
              <w:t xml:space="preserve">Papildu nepieciešamais finansējums minimālās mēneša darba algas paaugstināšanai no 360 līdz 370 </w:t>
            </w:r>
            <w:proofErr w:type="spellStart"/>
            <w:r w:rsidRPr="007D5612">
              <w:rPr>
                <w:b/>
                <w:bCs/>
                <w:i/>
                <w:sz w:val="24"/>
              </w:rPr>
              <w:t>euro</w:t>
            </w:r>
            <w:proofErr w:type="spellEnd"/>
            <w:r w:rsidRPr="007D5612">
              <w:rPr>
                <w:b/>
                <w:bCs/>
                <w:sz w:val="24"/>
              </w:rPr>
              <w:t xml:space="preserve"> ar 2016.gada 1.janvāri, 3,0 </w:t>
            </w:r>
            <w:proofErr w:type="spellStart"/>
            <w:r w:rsidRPr="007D5612">
              <w:rPr>
                <w:b/>
                <w:bCs/>
                <w:sz w:val="24"/>
              </w:rPr>
              <w:t>milj</w:t>
            </w:r>
            <w:proofErr w:type="spellEnd"/>
            <w:r w:rsidRPr="007D5612">
              <w:rPr>
                <w:b/>
                <w:bCs/>
                <w:sz w:val="24"/>
              </w:rPr>
              <w:t xml:space="preserve"> </w:t>
            </w:r>
            <w:proofErr w:type="spellStart"/>
            <w:r w:rsidRPr="007D5612">
              <w:rPr>
                <w:b/>
                <w:bCs/>
                <w:i/>
                <w:sz w:val="24"/>
              </w:rPr>
              <w:t>euro</w:t>
            </w:r>
            <w:proofErr w:type="spellEnd"/>
            <w:r w:rsidRPr="007D5612">
              <w:rPr>
                <w:b/>
                <w:bCs/>
                <w:sz w:val="24"/>
              </w:rPr>
              <w:t xml:space="preserve"> atbalstīts un iekļauts likumprojektā „Par valsts budžetu 2016.gadam” </w:t>
            </w:r>
            <w:r w:rsidRPr="007D5612">
              <w:rPr>
                <w:b/>
                <w:sz w:val="24"/>
              </w:rPr>
              <w:t>Ministru kabineta 2015.gada 31.augusta sēdē (protokols Nr</w:t>
            </w:r>
            <w:r w:rsidR="00327020">
              <w:rPr>
                <w:b/>
                <w:sz w:val="24"/>
              </w:rPr>
              <w:t>.</w:t>
            </w:r>
            <w:r w:rsidRPr="007D5612">
              <w:rPr>
                <w:b/>
                <w:sz w:val="24"/>
              </w:rPr>
              <w:t xml:space="preserve">43 </w:t>
            </w:r>
            <w:r w:rsidR="00327020" w:rsidRPr="00327020">
              <w:rPr>
                <w:b/>
                <w:sz w:val="24"/>
              </w:rPr>
              <w:t>4.</w:t>
            </w:r>
            <w:r w:rsidRPr="00327020">
              <w:rPr>
                <w:b/>
                <w:sz w:val="24"/>
              </w:rPr>
              <w:t>§</w:t>
            </w:r>
            <w:r w:rsidR="00327020">
              <w:rPr>
                <w:b/>
                <w:sz w:val="24"/>
              </w:rPr>
              <w:t xml:space="preserve"> 8</w:t>
            </w:r>
            <w:r w:rsidRPr="007D5612">
              <w:rPr>
                <w:b/>
                <w:sz w:val="24"/>
              </w:rPr>
              <w:t>.punkts).</w:t>
            </w:r>
          </w:p>
        </w:tc>
      </w:tr>
    </w:tbl>
    <w:p w:rsidR="004232C0" w:rsidRDefault="004232C0" w:rsidP="006F3080"/>
    <w:p w:rsidR="00F30980" w:rsidRDefault="00F30980" w:rsidP="006F308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6F3080" w:rsidRPr="00695C94" w:rsidTr="00FC701D">
        <w:tc>
          <w:tcPr>
            <w:tcW w:w="9321" w:type="dxa"/>
            <w:gridSpan w:val="3"/>
            <w:shd w:val="clear" w:color="auto" w:fill="auto"/>
          </w:tcPr>
          <w:p w:rsidR="006F3080" w:rsidRDefault="006F3080" w:rsidP="00FC701D">
            <w:pPr>
              <w:jc w:val="center"/>
              <w:rPr>
                <w:b/>
                <w:sz w:val="24"/>
              </w:rPr>
            </w:pPr>
            <w:r w:rsidRPr="00695C94">
              <w:rPr>
                <w:b/>
                <w:sz w:val="24"/>
              </w:rPr>
              <w:t>IV</w:t>
            </w:r>
            <w:r>
              <w:rPr>
                <w:b/>
                <w:sz w:val="24"/>
              </w:rPr>
              <w:t>.</w:t>
            </w:r>
            <w:r w:rsidRPr="00695C94">
              <w:rPr>
                <w:b/>
                <w:sz w:val="24"/>
              </w:rPr>
              <w:t xml:space="preserve"> Tiesību akta projekta ietekme uz spēkā esošo tiesību normu sistēmu</w:t>
            </w:r>
          </w:p>
          <w:p w:rsidR="006F3080" w:rsidRPr="00695C94" w:rsidRDefault="006F3080" w:rsidP="00FC701D">
            <w:pPr>
              <w:jc w:val="center"/>
              <w:rPr>
                <w:b/>
                <w:sz w:val="24"/>
              </w:rPr>
            </w:pPr>
          </w:p>
        </w:tc>
      </w:tr>
      <w:tr w:rsidR="006F3080" w:rsidRPr="00695C94" w:rsidTr="00FC701D">
        <w:tc>
          <w:tcPr>
            <w:tcW w:w="851" w:type="dxa"/>
            <w:shd w:val="clear" w:color="auto" w:fill="auto"/>
          </w:tcPr>
          <w:p w:rsidR="006F3080" w:rsidRPr="00695C94" w:rsidRDefault="006F3080" w:rsidP="00D541D2">
            <w:pPr>
              <w:jc w:val="center"/>
              <w:rPr>
                <w:sz w:val="24"/>
              </w:rPr>
            </w:pPr>
            <w:r w:rsidRPr="00695C94">
              <w:rPr>
                <w:sz w:val="24"/>
              </w:rPr>
              <w:t>1.</w:t>
            </w:r>
          </w:p>
        </w:tc>
        <w:tc>
          <w:tcPr>
            <w:tcW w:w="2268" w:type="dxa"/>
            <w:shd w:val="clear" w:color="auto" w:fill="auto"/>
          </w:tcPr>
          <w:p w:rsidR="006F3080" w:rsidRPr="00695C94" w:rsidRDefault="006F3080" w:rsidP="00FC701D">
            <w:pPr>
              <w:rPr>
                <w:sz w:val="24"/>
              </w:rPr>
            </w:pPr>
            <w:r w:rsidRPr="00695C94">
              <w:rPr>
                <w:sz w:val="24"/>
              </w:rPr>
              <w:t>Nepieciešamie saistītie tiesību akta projekti</w:t>
            </w:r>
          </w:p>
        </w:tc>
        <w:tc>
          <w:tcPr>
            <w:tcW w:w="6202" w:type="dxa"/>
            <w:shd w:val="clear" w:color="auto" w:fill="auto"/>
          </w:tcPr>
          <w:p w:rsidR="006F3080" w:rsidRPr="00695C94" w:rsidRDefault="004E5B26" w:rsidP="00FC701D">
            <w:pPr>
              <w:pStyle w:val="Footer"/>
              <w:tabs>
                <w:tab w:val="clear" w:pos="4153"/>
                <w:tab w:val="clear" w:pos="8306"/>
              </w:tabs>
              <w:jc w:val="both"/>
              <w:rPr>
                <w:sz w:val="24"/>
              </w:rPr>
            </w:pPr>
            <w:r>
              <w:rPr>
                <w:sz w:val="24"/>
              </w:rPr>
              <w:t>Vienlaikus ar šiem</w:t>
            </w:r>
            <w:r w:rsidR="006F3080" w:rsidRPr="00695C94">
              <w:rPr>
                <w:sz w:val="24"/>
              </w:rPr>
              <w:t xml:space="preserve"> noteikum</w:t>
            </w:r>
            <w:r>
              <w:rPr>
                <w:sz w:val="24"/>
              </w:rPr>
              <w:t>iem</w:t>
            </w:r>
            <w:r w:rsidR="006F3080" w:rsidRPr="00695C94">
              <w:rPr>
                <w:sz w:val="24"/>
              </w:rPr>
              <w:t xml:space="preserve"> </w:t>
            </w:r>
            <w:r w:rsidR="006F3080" w:rsidRPr="00695C94">
              <w:rPr>
                <w:b/>
                <w:sz w:val="24"/>
              </w:rPr>
              <w:t xml:space="preserve">ir jāizstrādā </w:t>
            </w:r>
            <w:r w:rsidR="006F3080">
              <w:rPr>
                <w:b/>
                <w:sz w:val="24"/>
              </w:rPr>
              <w:t>divi</w:t>
            </w:r>
            <w:r w:rsidR="006F3080" w:rsidRPr="00695C94">
              <w:rPr>
                <w:b/>
                <w:sz w:val="24"/>
              </w:rPr>
              <w:t xml:space="preserve"> tiesību aktu projekti</w:t>
            </w:r>
            <w:r w:rsidR="006F3080" w:rsidRPr="00695C94">
              <w:rPr>
                <w:sz w:val="24"/>
              </w:rPr>
              <w:t xml:space="preserve"> par nepieciešamajiem grozījumiem Ministru kabineta noteikumos, kas saistīti ar darba samaksas jautājumiem:</w:t>
            </w:r>
          </w:p>
          <w:p w:rsidR="006F3080" w:rsidRPr="00695C94" w:rsidRDefault="006F3080" w:rsidP="00FC701D">
            <w:pPr>
              <w:pStyle w:val="naiskr"/>
              <w:tabs>
                <w:tab w:val="left" w:pos="2628"/>
              </w:tabs>
              <w:spacing w:before="0" w:after="0"/>
              <w:jc w:val="both"/>
              <w:rPr>
                <w:iCs/>
              </w:rPr>
            </w:pPr>
            <w:r w:rsidRPr="00695C94">
              <w:rPr>
                <w:iCs/>
              </w:rPr>
              <w:t>1) Grozījumi Ministru kabineta 20</w:t>
            </w:r>
            <w:r>
              <w:rPr>
                <w:iCs/>
              </w:rPr>
              <w:t>13</w:t>
            </w:r>
            <w:r w:rsidRPr="00695C94">
              <w:rPr>
                <w:iCs/>
              </w:rPr>
              <w:t xml:space="preserve">.gada </w:t>
            </w:r>
            <w:r>
              <w:rPr>
                <w:iCs/>
              </w:rPr>
              <w:t>29.janvāra</w:t>
            </w:r>
            <w:r w:rsidRPr="00695C94">
              <w:rPr>
                <w:iCs/>
              </w:rPr>
              <w:t xml:space="preserve"> noteikumos Nr.</w:t>
            </w:r>
            <w:r>
              <w:rPr>
                <w:iCs/>
              </w:rPr>
              <w:t>66</w:t>
            </w:r>
            <w:r w:rsidRPr="00695C94">
              <w:rPr>
                <w:iCs/>
              </w:rPr>
              <w:t xml:space="preserve"> „</w:t>
            </w:r>
            <w:r>
              <w:t xml:space="preserve">Noteikumi par valsts un pašvaldību </w:t>
            </w:r>
            <w:r>
              <w:lastRenderedPageBreak/>
              <w:t>institūciju amatpersonu un darbinieku darba samaksu un tās noteikšanas kārtību</w:t>
            </w:r>
            <w:r w:rsidRPr="00695C94">
              <w:rPr>
                <w:bCs/>
              </w:rPr>
              <w:t>”;</w:t>
            </w:r>
          </w:p>
          <w:p w:rsidR="006F3080" w:rsidRPr="00695C94" w:rsidRDefault="006F3080" w:rsidP="00FC701D">
            <w:pPr>
              <w:pStyle w:val="naiskr"/>
              <w:tabs>
                <w:tab w:val="left" w:pos="2628"/>
              </w:tabs>
              <w:spacing w:before="0" w:after="0"/>
              <w:jc w:val="both"/>
              <w:rPr>
                <w:iCs/>
              </w:rPr>
            </w:pPr>
            <w:r>
              <w:rPr>
                <w:bCs/>
              </w:rPr>
              <w:t>2</w:t>
            </w:r>
            <w:r w:rsidRPr="00695C94">
              <w:rPr>
                <w:bCs/>
              </w:rPr>
              <w:t>) Grozījumi Ministru kabineta 2010.gada 29.jūnija noteikumos Nr.595 „Noteikumi par zemāko mēnešalgu un speciālo piemaksu ārstniecības personām”,</w:t>
            </w:r>
          </w:p>
          <w:p w:rsidR="006F3080" w:rsidRPr="00C76DE9" w:rsidRDefault="006F3080" w:rsidP="00D26FB6">
            <w:pPr>
              <w:pStyle w:val="Footer"/>
              <w:tabs>
                <w:tab w:val="clear" w:pos="4153"/>
                <w:tab w:val="clear" w:pos="8306"/>
              </w:tabs>
              <w:jc w:val="both"/>
              <w:rPr>
                <w:iCs/>
                <w:sz w:val="24"/>
              </w:rPr>
            </w:pPr>
            <w:r w:rsidRPr="00C76DE9">
              <w:rPr>
                <w:sz w:val="24"/>
              </w:rPr>
              <w:t>kuros jāparedz zemākās mēneša darba algas (mēnešalgas) apmēra paaugstināšana no 3</w:t>
            </w:r>
            <w:r w:rsidR="00EA1BEC">
              <w:rPr>
                <w:sz w:val="24"/>
              </w:rPr>
              <w:t>6</w:t>
            </w:r>
            <w:r w:rsidRPr="00C76DE9">
              <w:rPr>
                <w:sz w:val="24"/>
              </w:rPr>
              <w:t xml:space="preserve">0 </w:t>
            </w:r>
            <w:proofErr w:type="spellStart"/>
            <w:r w:rsidRPr="00C76DE9">
              <w:rPr>
                <w:sz w:val="24"/>
              </w:rPr>
              <w:t>euro</w:t>
            </w:r>
            <w:proofErr w:type="spellEnd"/>
            <w:r w:rsidRPr="00C76DE9">
              <w:rPr>
                <w:sz w:val="24"/>
              </w:rPr>
              <w:t xml:space="preserve"> līdz 3</w:t>
            </w:r>
            <w:r w:rsidR="00EA1BEC">
              <w:rPr>
                <w:sz w:val="24"/>
              </w:rPr>
              <w:t>7</w:t>
            </w:r>
            <w:r w:rsidRPr="00C76DE9">
              <w:rPr>
                <w:sz w:val="24"/>
              </w:rPr>
              <w:t xml:space="preserve">0 </w:t>
            </w:r>
            <w:proofErr w:type="spellStart"/>
            <w:r w:rsidRPr="00C76DE9">
              <w:rPr>
                <w:i/>
                <w:sz w:val="24"/>
              </w:rPr>
              <w:t>euro</w:t>
            </w:r>
            <w:proofErr w:type="spellEnd"/>
            <w:r w:rsidRPr="00C76DE9">
              <w:rPr>
                <w:sz w:val="24"/>
              </w:rPr>
              <w:t xml:space="preserve">, </w:t>
            </w:r>
            <w:r w:rsidRPr="00C76DE9">
              <w:rPr>
                <w:b/>
                <w:sz w:val="24"/>
              </w:rPr>
              <w:t>lai tie stātos spēkā ar 201</w:t>
            </w:r>
            <w:r w:rsidR="00EA1BEC">
              <w:rPr>
                <w:b/>
                <w:sz w:val="24"/>
              </w:rPr>
              <w:t>6</w:t>
            </w:r>
            <w:r w:rsidRPr="00C76DE9">
              <w:rPr>
                <w:b/>
                <w:sz w:val="24"/>
              </w:rPr>
              <w:t>.gada 1.janvāri.</w:t>
            </w:r>
          </w:p>
        </w:tc>
      </w:tr>
      <w:tr w:rsidR="006F3080" w:rsidRPr="00695C94" w:rsidTr="00FC701D">
        <w:tc>
          <w:tcPr>
            <w:tcW w:w="851" w:type="dxa"/>
            <w:shd w:val="clear" w:color="auto" w:fill="auto"/>
          </w:tcPr>
          <w:p w:rsidR="006F3080" w:rsidRPr="00695C94" w:rsidRDefault="006F3080" w:rsidP="00D541D2">
            <w:pPr>
              <w:jc w:val="center"/>
              <w:rPr>
                <w:sz w:val="24"/>
              </w:rPr>
            </w:pPr>
            <w:r w:rsidRPr="00695C94">
              <w:rPr>
                <w:sz w:val="24"/>
              </w:rPr>
              <w:lastRenderedPageBreak/>
              <w:t>2.</w:t>
            </w:r>
          </w:p>
        </w:tc>
        <w:tc>
          <w:tcPr>
            <w:tcW w:w="2268" w:type="dxa"/>
            <w:shd w:val="clear" w:color="auto" w:fill="auto"/>
          </w:tcPr>
          <w:p w:rsidR="006F3080" w:rsidRPr="00E17337" w:rsidRDefault="006F3080" w:rsidP="00FC701D">
            <w:pPr>
              <w:rPr>
                <w:sz w:val="24"/>
              </w:rPr>
            </w:pPr>
            <w:r w:rsidRPr="00E17337">
              <w:rPr>
                <w:sz w:val="24"/>
              </w:rPr>
              <w:t>Atbildīgā institūcija</w:t>
            </w:r>
          </w:p>
        </w:tc>
        <w:tc>
          <w:tcPr>
            <w:tcW w:w="6202" w:type="dxa"/>
            <w:shd w:val="clear" w:color="auto" w:fill="auto"/>
          </w:tcPr>
          <w:p w:rsidR="006F3080" w:rsidRPr="00695C94" w:rsidRDefault="006F3080" w:rsidP="00FC701D">
            <w:pPr>
              <w:jc w:val="both"/>
              <w:rPr>
                <w:sz w:val="24"/>
              </w:rPr>
            </w:pPr>
            <w:r>
              <w:rPr>
                <w:sz w:val="24"/>
              </w:rPr>
              <w:t>Finanšu ministrija atbildīga par pirmo grozījumu Ministru kabineta noteikumos un Veselības ministrija atbildīga par otro grozījumu Ministru kabineta noteikumos.</w:t>
            </w:r>
          </w:p>
        </w:tc>
      </w:tr>
      <w:tr w:rsidR="006F3080" w:rsidRPr="00695C94" w:rsidTr="004232C0">
        <w:trPr>
          <w:trHeight w:val="489"/>
        </w:trPr>
        <w:tc>
          <w:tcPr>
            <w:tcW w:w="851" w:type="dxa"/>
            <w:shd w:val="clear" w:color="auto" w:fill="auto"/>
          </w:tcPr>
          <w:p w:rsidR="006F3080" w:rsidRPr="00695C94" w:rsidRDefault="006F3080" w:rsidP="00D541D2">
            <w:pPr>
              <w:jc w:val="center"/>
              <w:rPr>
                <w:sz w:val="24"/>
              </w:rPr>
            </w:pPr>
            <w:r>
              <w:rPr>
                <w:sz w:val="24"/>
              </w:rPr>
              <w:t>3.</w:t>
            </w:r>
          </w:p>
        </w:tc>
        <w:tc>
          <w:tcPr>
            <w:tcW w:w="2268" w:type="dxa"/>
            <w:shd w:val="clear" w:color="auto" w:fill="auto"/>
          </w:tcPr>
          <w:p w:rsidR="006F3080" w:rsidRPr="00695C94" w:rsidRDefault="006F3080" w:rsidP="00FC701D">
            <w:pPr>
              <w:rPr>
                <w:sz w:val="24"/>
              </w:rPr>
            </w:pPr>
            <w:r w:rsidRPr="00695C94">
              <w:rPr>
                <w:sz w:val="24"/>
              </w:rPr>
              <w:t>Cita informācija</w:t>
            </w:r>
          </w:p>
        </w:tc>
        <w:tc>
          <w:tcPr>
            <w:tcW w:w="6202" w:type="dxa"/>
            <w:shd w:val="clear" w:color="auto" w:fill="auto"/>
            <w:vAlign w:val="center"/>
          </w:tcPr>
          <w:p w:rsidR="006F3080" w:rsidRPr="00695C94" w:rsidRDefault="006F3080" w:rsidP="004232C0">
            <w:pPr>
              <w:rPr>
                <w:sz w:val="24"/>
              </w:rPr>
            </w:pPr>
            <w:r w:rsidRPr="00695C94">
              <w:rPr>
                <w:sz w:val="24"/>
              </w:rPr>
              <w:t>Nav.</w:t>
            </w:r>
          </w:p>
        </w:tc>
      </w:tr>
    </w:tbl>
    <w:p w:rsidR="001C7AF7" w:rsidRDefault="001C7AF7" w:rsidP="006F3080"/>
    <w:p w:rsidR="004232C0" w:rsidRPr="00EE1BB2" w:rsidRDefault="004232C0" w:rsidP="006F3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202"/>
      </w:tblGrid>
      <w:tr w:rsidR="00032E7D" w:rsidRPr="00EE1BB2" w:rsidTr="00695C94">
        <w:tc>
          <w:tcPr>
            <w:tcW w:w="9287" w:type="dxa"/>
            <w:gridSpan w:val="3"/>
            <w:shd w:val="clear" w:color="auto" w:fill="auto"/>
          </w:tcPr>
          <w:p w:rsidR="00032E7D" w:rsidRPr="00695C94" w:rsidRDefault="00032E7D" w:rsidP="00695C94">
            <w:pPr>
              <w:jc w:val="center"/>
              <w:rPr>
                <w:b/>
                <w:sz w:val="24"/>
              </w:rPr>
            </w:pPr>
            <w:r w:rsidRPr="00695C94">
              <w:rPr>
                <w:b/>
                <w:sz w:val="24"/>
              </w:rPr>
              <w:t>V Tiesību akta projekta atbilstība Latvijas Republikas starptautiskajām saistībām</w:t>
            </w:r>
          </w:p>
        </w:tc>
      </w:tr>
      <w:tr w:rsidR="00032E7D" w:rsidRPr="00EE1BB2" w:rsidTr="004232C0">
        <w:tc>
          <w:tcPr>
            <w:tcW w:w="817" w:type="dxa"/>
            <w:shd w:val="clear" w:color="auto" w:fill="auto"/>
          </w:tcPr>
          <w:p w:rsidR="00032E7D" w:rsidRPr="004232C0" w:rsidRDefault="00032E7D" w:rsidP="00695C94">
            <w:pPr>
              <w:jc w:val="center"/>
              <w:rPr>
                <w:sz w:val="24"/>
              </w:rPr>
            </w:pPr>
            <w:r w:rsidRPr="004232C0">
              <w:rPr>
                <w:sz w:val="24"/>
              </w:rPr>
              <w:t>1.</w:t>
            </w:r>
          </w:p>
        </w:tc>
        <w:tc>
          <w:tcPr>
            <w:tcW w:w="2268" w:type="dxa"/>
            <w:shd w:val="clear" w:color="auto" w:fill="auto"/>
          </w:tcPr>
          <w:p w:rsidR="00032E7D" w:rsidRPr="004232C0" w:rsidRDefault="00032E7D" w:rsidP="00695C94">
            <w:pPr>
              <w:tabs>
                <w:tab w:val="left" w:pos="2628"/>
              </w:tabs>
              <w:rPr>
                <w:iCs/>
                <w:sz w:val="24"/>
              </w:rPr>
            </w:pPr>
            <w:r w:rsidRPr="004232C0">
              <w:rPr>
                <w:sz w:val="24"/>
              </w:rPr>
              <w:t>Saistības pret Eiropas Savienību</w:t>
            </w:r>
          </w:p>
        </w:tc>
        <w:tc>
          <w:tcPr>
            <w:tcW w:w="6202" w:type="dxa"/>
            <w:shd w:val="clear" w:color="auto" w:fill="auto"/>
            <w:vAlign w:val="center"/>
          </w:tcPr>
          <w:p w:rsidR="00FC198B" w:rsidRPr="004232C0" w:rsidRDefault="00FC198B" w:rsidP="004232C0">
            <w:pPr>
              <w:pStyle w:val="naiskr"/>
              <w:tabs>
                <w:tab w:val="left" w:pos="2628"/>
              </w:tabs>
              <w:spacing w:before="0" w:after="0"/>
              <w:rPr>
                <w:iCs/>
              </w:rPr>
            </w:pPr>
            <w:r w:rsidRPr="004232C0">
              <w:t>Nav.</w:t>
            </w:r>
          </w:p>
        </w:tc>
      </w:tr>
      <w:tr w:rsidR="00032E7D" w:rsidRPr="00EE1BB2" w:rsidTr="00BC420F">
        <w:tc>
          <w:tcPr>
            <w:tcW w:w="817" w:type="dxa"/>
            <w:shd w:val="clear" w:color="auto" w:fill="auto"/>
          </w:tcPr>
          <w:p w:rsidR="00032E7D" w:rsidRPr="004232C0" w:rsidRDefault="00032E7D" w:rsidP="00695C94">
            <w:pPr>
              <w:jc w:val="center"/>
              <w:rPr>
                <w:sz w:val="24"/>
              </w:rPr>
            </w:pPr>
            <w:r w:rsidRPr="004232C0">
              <w:rPr>
                <w:sz w:val="24"/>
              </w:rPr>
              <w:t>2.</w:t>
            </w:r>
          </w:p>
        </w:tc>
        <w:tc>
          <w:tcPr>
            <w:tcW w:w="2268" w:type="dxa"/>
            <w:shd w:val="clear" w:color="auto" w:fill="auto"/>
          </w:tcPr>
          <w:p w:rsidR="00032E7D" w:rsidRPr="004232C0" w:rsidRDefault="00032E7D" w:rsidP="00695C94">
            <w:pPr>
              <w:tabs>
                <w:tab w:val="left" w:pos="2628"/>
              </w:tabs>
              <w:rPr>
                <w:iCs/>
                <w:sz w:val="24"/>
              </w:rPr>
            </w:pPr>
            <w:r w:rsidRPr="004232C0">
              <w:rPr>
                <w:sz w:val="24"/>
              </w:rPr>
              <w:t>Citas starptautiskās saistības</w:t>
            </w:r>
          </w:p>
        </w:tc>
        <w:tc>
          <w:tcPr>
            <w:tcW w:w="6202" w:type="dxa"/>
            <w:shd w:val="clear" w:color="auto" w:fill="auto"/>
          </w:tcPr>
          <w:p w:rsidR="00032E7D" w:rsidRPr="00695C94" w:rsidRDefault="00FC198B" w:rsidP="00695C94">
            <w:pPr>
              <w:pStyle w:val="naiskr"/>
              <w:tabs>
                <w:tab w:val="left" w:pos="2628"/>
              </w:tabs>
              <w:spacing w:before="0" w:after="0"/>
              <w:jc w:val="both"/>
              <w:rPr>
                <w:szCs w:val="28"/>
              </w:rPr>
            </w:pPr>
            <w:r w:rsidRPr="00695C94">
              <w:rPr>
                <w:szCs w:val="28"/>
              </w:rPr>
              <w:t>Latvija izpildīs saistības pret Starptautisko darba organizāciju.</w:t>
            </w:r>
          </w:p>
          <w:p w:rsidR="00FC198B" w:rsidRPr="00695C94" w:rsidRDefault="00FC198B" w:rsidP="00695C94">
            <w:pPr>
              <w:pStyle w:val="naiskr"/>
              <w:tabs>
                <w:tab w:val="left" w:pos="2628"/>
              </w:tabs>
              <w:spacing w:before="0" w:after="0"/>
              <w:jc w:val="both"/>
              <w:rPr>
                <w:i/>
                <w:iCs/>
              </w:rPr>
            </w:pPr>
            <w:r w:rsidRPr="00695C94">
              <w:rPr>
                <w:szCs w:val="28"/>
              </w:rPr>
              <w:t>Starptautiskās darba organizācij</w:t>
            </w:r>
            <w:r w:rsidR="00454145">
              <w:rPr>
                <w:szCs w:val="28"/>
              </w:rPr>
              <w:t>as 1970.gada konvencija Nr.131 „</w:t>
            </w:r>
            <w:r w:rsidRPr="00695C94">
              <w:rPr>
                <w:szCs w:val="28"/>
              </w:rPr>
              <w:t>Par minimālās darba algas noteikšanu”, ratificēta ar Augstākās Padomes 1993.gada 12.janvāra lēmumu “Par Starptautiskās darba organizācijas konvenciju ratifikāciju”.</w:t>
            </w:r>
          </w:p>
        </w:tc>
      </w:tr>
      <w:tr w:rsidR="00032E7D" w:rsidRPr="00EE1BB2" w:rsidTr="004232C0">
        <w:trPr>
          <w:trHeight w:val="424"/>
        </w:trPr>
        <w:tc>
          <w:tcPr>
            <w:tcW w:w="817" w:type="dxa"/>
            <w:shd w:val="clear" w:color="auto" w:fill="auto"/>
          </w:tcPr>
          <w:p w:rsidR="00032E7D" w:rsidRPr="004232C0" w:rsidRDefault="00032E7D" w:rsidP="00695C94">
            <w:pPr>
              <w:jc w:val="center"/>
              <w:rPr>
                <w:sz w:val="24"/>
              </w:rPr>
            </w:pPr>
            <w:r w:rsidRPr="004232C0">
              <w:rPr>
                <w:sz w:val="24"/>
              </w:rPr>
              <w:t>3.</w:t>
            </w:r>
          </w:p>
        </w:tc>
        <w:tc>
          <w:tcPr>
            <w:tcW w:w="2268" w:type="dxa"/>
            <w:shd w:val="clear" w:color="auto" w:fill="auto"/>
          </w:tcPr>
          <w:p w:rsidR="00032E7D" w:rsidRPr="004232C0" w:rsidRDefault="00032E7D" w:rsidP="00695C94">
            <w:pPr>
              <w:tabs>
                <w:tab w:val="left" w:pos="2628"/>
              </w:tabs>
              <w:rPr>
                <w:sz w:val="24"/>
              </w:rPr>
            </w:pPr>
            <w:r w:rsidRPr="004232C0">
              <w:rPr>
                <w:sz w:val="24"/>
              </w:rPr>
              <w:t>Cita informācija</w:t>
            </w:r>
          </w:p>
        </w:tc>
        <w:tc>
          <w:tcPr>
            <w:tcW w:w="6202" w:type="dxa"/>
            <w:shd w:val="clear" w:color="auto" w:fill="auto"/>
            <w:vAlign w:val="center"/>
          </w:tcPr>
          <w:p w:rsidR="00FC198B" w:rsidRPr="00695C94" w:rsidRDefault="00FC198B" w:rsidP="004232C0">
            <w:pPr>
              <w:pStyle w:val="naiskr"/>
              <w:tabs>
                <w:tab w:val="left" w:pos="2628"/>
              </w:tabs>
              <w:spacing w:before="0" w:after="0"/>
              <w:rPr>
                <w:i/>
                <w:iCs/>
                <w:sz w:val="22"/>
                <w:szCs w:val="22"/>
              </w:rPr>
            </w:pPr>
            <w:r>
              <w:t>Nav.</w:t>
            </w:r>
          </w:p>
        </w:tc>
      </w:tr>
    </w:tbl>
    <w:p w:rsidR="00032E7D" w:rsidRDefault="00032E7D" w:rsidP="00124129"/>
    <w:p w:rsidR="00D72B60" w:rsidRDefault="00D72B60"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D0CCF" w:rsidTr="00695C94">
        <w:tc>
          <w:tcPr>
            <w:tcW w:w="9287" w:type="dxa"/>
            <w:shd w:val="clear" w:color="auto" w:fill="auto"/>
          </w:tcPr>
          <w:p w:rsidR="00ED0CCF" w:rsidRPr="00607C11" w:rsidRDefault="00ED0CCF" w:rsidP="00695C94">
            <w:pPr>
              <w:pStyle w:val="naisnod"/>
              <w:spacing w:before="0" w:after="0"/>
            </w:pPr>
            <w:r w:rsidRPr="00607C11">
              <w:t>1.tabula</w:t>
            </w:r>
          </w:p>
          <w:p w:rsidR="00ED0CCF" w:rsidRDefault="00ED0CCF" w:rsidP="00695C94">
            <w:pPr>
              <w:jc w:val="center"/>
            </w:pPr>
            <w:r w:rsidRPr="00695C94">
              <w:rPr>
                <w:b/>
                <w:sz w:val="24"/>
              </w:rPr>
              <w:t>Tiesību akta projekta atbilstība ES tiesību aktiem</w:t>
            </w:r>
          </w:p>
        </w:tc>
      </w:tr>
      <w:tr w:rsidR="00ED0CCF" w:rsidRPr="00695C94" w:rsidTr="00D72B60">
        <w:trPr>
          <w:trHeight w:val="701"/>
        </w:trPr>
        <w:tc>
          <w:tcPr>
            <w:tcW w:w="9287" w:type="dxa"/>
            <w:shd w:val="clear" w:color="auto" w:fill="auto"/>
            <w:vAlign w:val="center"/>
          </w:tcPr>
          <w:p w:rsidR="00ED0CCF" w:rsidRPr="00607C11" w:rsidRDefault="00ED0CCF" w:rsidP="00D72B60">
            <w:pPr>
              <w:jc w:val="center"/>
            </w:pPr>
            <w:r w:rsidRPr="00695C94">
              <w:rPr>
                <w:sz w:val="24"/>
              </w:rPr>
              <w:t>Nav attiecināms.</w:t>
            </w:r>
          </w:p>
        </w:tc>
      </w:tr>
    </w:tbl>
    <w:p w:rsidR="00BD6C2C" w:rsidRPr="00EE1BB2" w:rsidRDefault="00BD6C2C"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032E7D" w:rsidRPr="00EE1BB2" w:rsidTr="00695C94">
        <w:tc>
          <w:tcPr>
            <w:tcW w:w="9287" w:type="dxa"/>
            <w:gridSpan w:val="3"/>
            <w:shd w:val="clear" w:color="auto" w:fill="auto"/>
          </w:tcPr>
          <w:p w:rsidR="00032E7D" w:rsidRPr="00EE1BB2" w:rsidRDefault="00FC198B" w:rsidP="00695C94">
            <w:pPr>
              <w:pStyle w:val="naisnod"/>
              <w:spacing w:before="0" w:after="0"/>
            </w:pPr>
            <w:r>
              <w:t>2.tabula</w:t>
            </w:r>
          </w:p>
          <w:p w:rsidR="00032E7D" w:rsidRPr="00EE1BB2" w:rsidRDefault="00032E7D" w:rsidP="00695C94">
            <w:pPr>
              <w:pStyle w:val="naisnod"/>
              <w:spacing w:before="0" w:after="0"/>
            </w:pPr>
            <w:r w:rsidRPr="00EE1BB2">
              <w:t>Ar tiesību akta projektu uzņemtās saistības, kas izriet no starptautiskajiem tiesību aktiem vai starptautiskas institūcijas vai organizācijas dokumentiem</w:t>
            </w:r>
          </w:p>
          <w:p w:rsidR="00032E7D" w:rsidRPr="00695C94" w:rsidRDefault="00032E7D" w:rsidP="00695C94">
            <w:pPr>
              <w:jc w:val="center"/>
              <w:rPr>
                <w:b/>
                <w:sz w:val="24"/>
              </w:rPr>
            </w:pPr>
            <w:r w:rsidRPr="00695C94">
              <w:rPr>
                <w:b/>
                <w:sz w:val="24"/>
              </w:rPr>
              <w:t>Pasākumi šo saistību izpildei</w:t>
            </w:r>
          </w:p>
        </w:tc>
      </w:tr>
      <w:tr w:rsidR="00032E7D" w:rsidRPr="00EE1BB2" w:rsidTr="00695C94">
        <w:tc>
          <w:tcPr>
            <w:tcW w:w="3095" w:type="dxa"/>
            <w:shd w:val="clear" w:color="auto" w:fill="auto"/>
          </w:tcPr>
          <w:p w:rsidR="00032E7D" w:rsidRPr="00EE1BB2" w:rsidRDefault="00032E7D" w:rsidP="00D6423D">
            <w:r w:rsidRPr="00695C94">
              <w:rPr>
                <w:sz w:val="22"/>
                <w:szCs w:val="22"/>
              </w:rPr>
              <w:t>Attiecīgā starptautiskā tiesību akta vai starptautiskas institūcijas vai organizācijas dokumenta (turpmāk – starptautiskais dokuments) datums, numurs un nosaukums</w:t>
            </w:r>
          </w:p>
        </w:tc>
        <w:tc>
          <w:tcPr>
            <w:tcW w:w="6192" w:type="dxa"/>
            <w:gridSpan w:val="2"/>
            <w:shd w:val="clear" w:color="auto" w:fill="auto"/>
          </w:tcPr>
          <w:p w:rsidR="00FC198B" w:rsidRPr="00FC198B" w:rsidRDefault="00FC198B" w:rsidP="00695C94">
            <w:pPr>
              <w:pStyle w:val="naiskr"/>
              <w:tabs>
                <w:tab w:val="left" w:pos="2628"/>
              </w:tabs>
              <w:spacing w:before="0" w:after="0"/>
              <w:jc w:val="both"/>
            </w:pPr>
            <w:r w:rsidRPr="00FC198B">
              <w:t>Latvija izpildīs saistības pret Starptautisko darba organizāciju.</w:t>
            </w:r>
          </w:p>
          <w:p w:rsidR="00032E7D" w:rsidRPr="00695C94" w:rsidRDefault="00FC198B" w:rsidP="00695C94">
            <w:pPr>
              <w:tabs>
                <w:tab w:val="left" w:pos="325"/>
              </w:tabs>
              <w:jc w:val="both"/>
              <w:rPr>
                <w:i/>
                <w:sz w:val="24"/>
              </w:rPr>
            </w:pPr>
            <w:r w:rsidRPr="00695C94">
              <w:rPr>
                <w:sz w:val="24"/>
              </w:rPr>
              <w:t>Starptautiskās darba organizācijas 1970.gada konvencija Nr.131 “Par minimālās darba algas noteikšanu”, ratificēta ar Augstākās Padomes 1993.gada 12.janvāra lēmumu “Par Starptautiskās darba organizācijas konvenciju ratifikāciju”.</w:t>
            </w:r>
          </w:p>
        </w:tc>
      </w:tr>
      <w:tr w:rsidR="00032E7D" w:rsidRPr="00EE1BB2" w:rsidTr="00695C94">
        <w:tc>
          <w:tcPr>
            <w:tcW w:w="3095" w:type="dxa"/>
            <w:shd w:val="clear" w:color="auto" w:fill="auto"/>
          </w:tcPr>
          <w:p w:rsidR="00032E7D" w:rsidRPr="00EE1BB2" w:rsidRDefault="00032E7D" w:rsidP="00695C94">
            <w:pPr>
              <w:jc w:val="center"/>
            </w:pPr>
            <w:r w:rsidRPr="00EE1BB2">
              <w:t>A</w:t>
            </w:r>
          </w:p>
        </w:tc>
        <w:tc>
          <w:tcPr>
            <w:tcW w:w="3096" w:type="dxa"/>
            <w:shd w:val="clear" w:color="auto" w:fill="auto"/>
          </w:tcPr>
          <w:p w:rsidR="00032E7D" w:rsidRPr="00EE1BB2" w:rsidRDefault="00032E7D" w:rsidP="00695C94">
            <w:pPr>
              <w:jc w:val="center"/>
            </w:pPr>
            <w:r w:rsidRPr="00EE1BB2">
              <w:t>B</w:t>
            </w:r>
          </w:p>
        </w:tc>
        <w:tc>
          <w:tcPr>
            <w:tcW w:w="3096" w:type="dxa"/>
            <w:shd w:val="clear" w:color="auto" w:fill="auto"/>
          </w:tcPr>
          <w:p w:rsidR="00032E7D" w:rsidRPr="00EE1BB2" w:rsidRDefault="00032E7D" w:rsidP="00695C94">
            <w:pPr>
              <w:jc w:val="center"/>
            </w:pPr>
            <w:r w:rsidRPr="00EE1BB2">
              <w:t>C</w:t>
            </w:r>
          </w:p>
        </w:tc>
      </w:tr>
      <w:tr w:rsidR="00032E7D" w:rsidRPr="00EE1BB2" w:rsidTr="00695C94">
        <w:tc>
          <w:tcPr>
            <w:tcW w:w="3095" w:type="dxa"/>
            <w:shd w:val="clear" w:color="auto" w:fill="auto"/>
          </w:tcPr>
          <w:p w:rsidR="00032E7D" w:rsidRPr="00695C94" w:rsidRDefault="00032E7D" w:rsidP="00695C94">
            <w:pPr>
              <w:pStyle w:val="naiskr"/>
              <w:spacing w:before="0" w:after="0"/>
              <w:rPr>
                <w:sz w:val="22"/>
                <w:szCs w:val="22"/>
              </w:rPr>
            </w:pPr>
            <w:r w:rsidRPr="00695C94">
              <w:rPr>
                <w:sz w:val="22"/>
                <w:szCs w:val="22"/>
              </w:rPr>
              <w:t>Starptautiskās saistības (pēc būtības), kas izriet no norādītā starptautiskā dokumenta.</w:t>
            </w:r>
          </w:p>
          <w:p w:rsidR="00032E7D" w:rsidRPr="00EE1BB2" w:rsidRDefault="00032E7D" w:rsidP="00D6423D">
            <w:r w:rsidRPr="00695C94">
              <w:rPr>
                <w:sz w:val="22"/>
                <w:szCs w:val="22"/>
              </w:rPr>
              <w:t>Konkrēti veicamie pasākumi vai uzdevumi, kas nepieciešami šo starptautisko saistību izpildei</w:t>
            </w:r>
          </w:p>
        </w:tc>
        <w:tc>
          <w:tcPr>
            <w:tcW w:w="3096" w:type="dxa"/>
            <w:shd w:val="clear" w:color="auto" w:fill="auto"/>
          </w:tcPr>
          <w:p w:rsidR="00032E7D" w:rsidRPr="00695C94" w:rsidRDefault="00032E7D" w:rsidP="00695C94">
            <w:pPr>
              <w:pStyle w:val="naiskr"/>
              <w:spacing w:before="0" w:after="0"/>
              <w:rPr>
                <w:sz w:val="22"/>
                <w:szCs w:val="22"/>
              </w:rPr>
            </w:pPr>
            <w:r w:rsidRPr="00695C94">
              <w:rPr>
                <w:sz w:val="22"/>
                <w:szCs w:val="22"/>
              </w:rPr>
              <w:t>Ja pasākumi vai uzdevumi, ar ko tiks izpildītas starptautiskās saistības, tiek noteikti projektā, norāda attiecīgo projekta vienību.</w:t>
            </w:r>
          </w:p>
          <w:p w:rsidR="00032E7D" w:rsidRPr="00EE1BB2" w:rsidRDefault="00032E7D" w:rsidP="00D6423D">
            <w:r w:rsidRPr="00695C94">
              <w:rPr>
                <w:sz w:val="22"/>
                <w:szCs w:val="22"/>
              </w:rPr>
              <w:t xml:space="preserve">Vai arī norāda dokumentu, kurā </w:t>
            </w:r>
            <w:r w:rsidRPr="00695C94">
              <w:rPr>
                <w:sz w:val="22"/>
                <w:szCs w:val="22"/>
              </w:rPr>
              <w:lastRenderedPageBreak/>
              <w:t>sniegts izvērsts skaidrojums, kādā veidā tiks nodrošināta starptautisko saistību izpilde</w:t>
            </w:r>
          </w:p>
        </w:tc>
        <w:tc>
          <w:tcPr>
            <w:tcW w:w="3096" w:type="dxa"/>
            <w:shd w:val="clear" w:color="auto" w:fill="auto"/>
          </w:tcPr>
          <w:p w:rsidR="00032E7D" w:rsidRPr="00695C94" w:rsidRDefault="00032E7D" w:rsidP="00695C94">
            <w:pPr>
              <w:pStyle w:val="naiskr"/>
              <w:spacing w:before="0" w:after="0"/>
              <w:rPr>
                <w:sz w:val="22"/>
                <w:szCs w:val="22"/>
              </w:rPr>
            </w:pPr>
            <w:r w:rsidRPr="00695C94">
              <w:rPr>
                <w:sz w:val="22"/>
                <w:szCs w:val="22"/>
              </w:rPr>
              <w:lastRenderedPageBreak/>
              <w:t>Informācija par to, vai starptautiskās saistības, kas minētas šīs tabulas A ailē, tiek izpildītas pilnībā vai daļēji.</w:t>
            </w:r>
          </w:p>
          <w:p w:rsidR="00032E7D" w:rsidRPr="00695C94" w:rsidRDefault="00032E7D" w:rsidP="00695C94">
            <w:pPr>
              <w:pStyle w:val="naiskr"/>
              <w:spacing w:before="0" w:after="0"/>
              <w:rPr>
                <w:sz w:val="22"/>
                <w:szCs w:val="22"/>
              </w:rPr>
            </w:pPr>
            <w:r w:rsidRPr="00695C94">
              <w:rPr>
                <w:sz w:val="22"/>
                <w:szCs w:val="22"/>
              </w:rPr>
              <w:t xml:space="preserve">Ja attiecīgās starptautiskās saistības tiek izpildītas daļēji, </w:t>
            </w:r>
            <w:r w:rsidRPr="00695C94">
              <w:rPr>
                <w:sz w:val="22"/>
                <w:szCs w:val="22"/>
              </w:rPr>
              <w:lastRenderedPageBreak/>
              <w:t>sniedz attiecīgu skaidrojumu, kā arī precīzi norāda, kad un kādā veidā starptautiskās saistības tiks izpildītas pilnībā.</w:t>
            </w:r>
          </w:p>
          <w:p w:rsidR="00032E7D" w:rsidRPr="00EE1BB2" w:rsidRDefault="00032E7D" w:rsidP="00D6423D">
            <w:r w:rsidRPr="00695C94">
              <w:rPr>
                <w:sz w:val="22"/>
                <w:szCs w:val="22"/>
              </w:rPr>
              <w:t>Norāda institūciju, kas ir atbildīga par šo saistību izpildi pilnībā</w:t>
            </w:r>
          </w:p>
        </w:tc>
      </w:tr>
      <w:tr w:rsidR="006367CB" w:rsidRPr="00EE1BB2" w:rsidTr="00695C94">
        <w:tc>
          <w:tcPr>
            <w:tcW w:w="3095" w:type="dxa"/>
            <w:shd w:val="clear" w:color="auto" w:fill="auto"/>
          </w:tcPr>
          <w:p w:rsidR="006367CB" w:rsidRPr="00695C94" w:rsidRDefault="00146A94" w:rsidP="00D6423D">
            <w:pPr>
              <w:rPr>
                <w:sz w:val="24"/>
              </w:rPr>
            </w:pPr>
            <w:r w:rsidRPr="00695C94">
              <w:rPr>
                <w:sz w:val="24"/>
              </w:rPr>
              <w:lastRenderedPageBreak/>
              <w:t>Latvijas valsts ir ratificējusi Starptautiskās darba organizācijas, par kuras biedri kļuva 1921.gadā (darbību tajā atjaunojot 1991.gadā), 1970.gada konvenciju Nr.</w:t>
            </w:r>
            <w:r w:rsidRPr="00695C94" w:rsidDel="00526E30">
              <w:rPr>
                <w:sz w:val="24"/>
              </w:rPr>
              <w:t xml:space="preserve"> </w:t>
            </w:r>
            <w:r w:rsidRPr="00695C94">
              <w:rPr>
                <w:sz w:val="24"/>
              </w:rPr>
              <w:t>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citu sociālo grupu dzīves līmeni, kā arī ekonomiskos faktorus, tajā skaitā – ekonomikas attīstības rādītājus, darba ražīguma līmeni, kā arī vēlmi nodrošināt augstu nodarbinātības līmeni.</w:t>
            </w:r>
          </w:p>
        </w:tc>
        <w:tc>
          <w:tcPr>
            <w:tcW w:w="3096" w:type="dxa"/>
            <w:shd w:val="clear" w:color="auto" w:fill="auto"/>
          </w:tcPr>
          <w:p w:rsidR="006367CB" w:rsidRPr="00695C94" w:rsidRDefault="007C5780" w:rsidP="00D6423D">
            <w:pPr>
              <w:rPr>
                <w:sz w:val="24"/>
              </w:rPr>
            </w:pPr>
            <w:r w:rsidRPr="00695C94">
              <w:rPr>
                <w:sz w:val="24"/>
              </w:rPr>
              <w:t>Noteikumu 2.punkts.</w:t>
            </w:r>
          </w:p>
          <w:p w:rsidR="00D94347" w:rsidRPr="005627C6" w:rsidRDefault="00146A94" w:rsidP="00FC49CD">
            <w:pPr>
              <w:jc w:val="both"/>
              <w:rPr>
                <w:sz w:val="24"/>
              </w:rPr>
            </w:pPr>
            <w:r w:rsidRPr="00695C94">
              <w:rPr>
                <w:sz w:val="24"/>
              </w:rPr>
              <w:t>20</w:t>
            </w:r>
            <w:r w:rsidR="005627C6">
              <w:rPr>
                <w:sz w:val="24"/>
              </w:rPr>
              <w:t>11</w:t>
            </w:r>
            <w:r w:rsidRPr="00695C94">
              <w:rPr>
                <w:sz w:val="24"/>
              </w:rPr>
              <w:t xml:space="preserve">.gada </w:t>
            </w:r>
            <w:r w:rsidR="005627C6">
              <w:rPr>
                <w:sz w:val="24"/>
              </w:rPr>
              <w:t>16.martā</w:t>
            </w:r>
            <w:r w:rsidRPr="00695C94">
              <w:rPr>
                <w:sz w:val="24"/>
              </w:rPr>
              <w:t xml:space="preserve"> Ministru </w:t>
            </w:r>
            <w:r w:rsidRPr="005627C6">
              <w:rPr>
                <w:sz w:val="24"/>
              </w:rPr>
              <w:t>kabinetā akceptētā koncepcija „</w:t>
            </w:r>
            <w:r w:rsidR="005627C6" w:rsidRPr="005627C6">
              <w:rPr>
                <w:sz w:val="24"/>
              </w:rPr>
              <w:t>Koncepcija par minimālās mēneša darba algas noteikšanu turpmākajiem gadiem</w:t>
            </w:r>
            <w:r w:rsidRPr="005627C6">
              <w:rPr>
                <w:sz w:val="24"/>
              </w:rPr>
              <w:t>”.</w:t>
            </w:r>
          </w:p>
          <w:p w:rsidR="00146A94" w:rsidRPr="00695C94" w:rsidRDefault="00146A94" w:rsidP="00FC49CD">
            <w:pPr>
              <w:jc w:val="both"/>
              <w:rPr>
                <w:sz w:val="24"/>
              </w:rPr>
            </w:pPr>
            <w:r w:rsidRPr="005627C6">
              <w:rPr>
                <w:sz w:val="24"/>
              </w:rPr>
              <w:t>Ministru kabineta 20</w:t>
            </w:r>
            <w:r w:rsidR="00C0142A" w:rsidRPr="005627C6">
              <w:rPr>
                <w:sz w:val="24"/>
              </w:rPr>
              <w:t>11</w:t>
            </w:r>
            <w:r w:rsidRPr="005627C6">
              <w:rPr>
                <w:sz w:val="24"/>
              </w:rPr>
              <w:t xml:space="preserve">.gada </w:t>
            </w:r>
            <w:r w:rsidR="00C0142A" w:rsidRPr="005627C6">
              <w:rPr>
                <w:sz w:val="24"/>
              </w:rPr>
              <w:t>17.maija</w:t>
            </w:r>
            <w:r w:rsidRPr="005627C6">
              <w:rPr>
                <w:sz w:val="24"/>
              </w:rPr>
              <w:t xml:space="preserve"> noteikumi Nr.</w:t>
            </w:r>
            <w:r w:rsidR="00C0142A" w:rsidRPr="005627C6">
              <w:rPr>
                <w:sz w:val="24"/>
              </w:rPr>
              <w:t>390</w:t>
            </w:r>
            <w:r w:rsidRPr="00695C94">
              <w:rPr>
                <w:sz w:val="24"/>
              </w:rPr>
              <w:t xml:space="preserve"> „</w:t>
            </w:r>
            <w:r w:rsidR="00FD463F">
              <w:rPr>
                <w:sz w:val="24"/>
              </w:rPr>
              <w:t>Minimālās mēneša darba algas noteikšanas un pārskatīšanas kārtība</w:t>
            </w:r>
            <w:r w:rsidRPr="00695C94">
              <w:rPr>
                <w:sz w:val="24"/>
              </w:rPr>
              <w:t>”.</w:t>
            </w:r>
          </w:p>
        </w:tc>
        <w:tc>
          <w:tcPr>
            <w:tcW w:w="3096" w:type="dxa"/>
            <w:shd w:val="clear" w:color="auto" w:fill="auto"/>
          </w:tcPr>
          <w:p w:rsidR="006367CB" w:rsidRPr="00803D33" w:rsidRDefault="00D94347" w:rsidP="00FC49CD">
            <w:pPr>
              <w:jc w:val="both"/>
            </w:pPr>
            <w:r w:rsidRPr="00695C94">
              <w:rPr>
                <w:sz w:val="24"/>
              </w:rPr>
              <w:t>P</w:t>
            </w:r>
            <w:r w:rsidR="007C5780" w:rsidRPr="00695C94">
              <w:rPr>
                <w:sz w:val="24"/>
              </w:rPr>
              <w:t>ilnībā ir pārņemta</w:t>
            </w:r>
            <w:r w:rsidRPr="00695C94">
              <w:rPr>
                <w:sz w:val="24"/>
              </w:rPr>
              <w:t>s starptautiskās saistības</w:t>
            </w:r>
            <w:r>
              <w:t>.</w:t>
            </w:r>
          </w:p>
        </w:tc>
      </w:tr>
      <w:tr w:rsidR="006367CB" w:rsidRPr="00EE1BB2" w:rsidTr="00695C94">
        <w:tc>
          <w:tcPr>
            <w:tcW w:w="3095" w:type="dxa"/>
            <w:shd w:val="clear" w:color="auto" w:fill="auto"/>
          </w:tcPr>
          <w:p w:rsidR="006367CB" w:rsidRPr="00EE1BB2" w:rsidRDefault="006367CB" w:rsidP="00D6423D">
            <w:r w:rsidRPr="00695C94">
              <w:rPr>
                <w:sz w:val="22"/>
                <w:szCs w:val="22"/>
              </w:rPr>
              <w:t>Vai starptautiskajā dokumentā paredzētās saistības nav pretrunā ar jau esošajām Latvijas Republikas starptautiskajām saistībām</w:t>
            </w:r>
          </w:p>
        </w:tc>
        <w:tc>
          <w:tcPr>
            <w:tcW w:w="6192" w:type="dxa"/>
            <w:gridSpan w:val="2"/>
            <w:shd w:val="clear" w:color="auto" w:fill="auto"/>
          </w:tcPr>
          <w:p w:rsidR="006367CB" w:rsidRPr="00695C94" w:rsidRDefault="00803D33" w:rsidP="00FC49CD">
            <w:pPr>
              <w:jc w:val="both"/>
              <w:rPr>
                <w:i/>
              </w:rPr>
            </w:pPr>
            <w:r w:rsidRPr="00695C94">
              <w:rPr>
                <w:sz w:val="24"/>
              </w:rPr>
              <w:t>No</w:t>
            </w:r>
            <w:r w:rsidR="004D3DFF" w:rsidRPr="00695C94">
              <w:rPr>
                <w:sz w:val="24"/>
              </w:rPr>
              <w:t xml:space="preserve">teikumi nav pretrunā ar Starptautiskās darba organizācijas 1970.gada konvenciju Nr.131 </w:t>
            </w:r>
            <w:r w:rsidR="00454145">
              <w:rPr>
                <w:sz w:val="24"/>
              </w:rPr>
              <w:t>„</w:t>
            </w:r>
            <w:r w:rsidR="004D3DFF" w:rsidRPr="00695C94">
              <w:rPr>
                <w:sz w:val="24"/>
              </w:rPr>
              <w:t>Par minimālās darba algas noteikšanu”.</w:t>
            </w:r>
          </w:p>
        </w:tc>
      </w:tr>
      <w:tr w:rsidR="006367CB" w:rsidRPr="00EE1BB2" w:rsidTr="005D3E58">
        <w:trPr>
          <w:trHeight w:val="472"/>
        </w:trPr>
        <w:tc>
          <w:tcPr>
            <w:tcW w:w="3095" w:type="dxa"/>
            <w:shd w:val="clear" w:color="auto" w:fill="auto"/>
            <w:vAlign w:val="center"/>
          </w:tcPr>
          <w:p w:rsidR="006367CB" w:rsidRPr="00EE1BB2" w:rsidRDefault="006367CB" w:rsidP="005D3E58">
            <w:r w:rsidRPr="00695C94">
              <w:rPr>
                <w:sz w:val="22"/>
                <w:szCs w:val="22"/>
              </w:rPr>
              <w:t>Cita informācija</w:t>
            </w:r>
          </w:p>
        </w:tc>
        <w:tc>
          <w:tcPr>
            <w:tcW w:w="6192" w:type="dxa"/>
            <w:gridSpan w:val="2"/>
            <w:shd w:val="clear" w:color="auto" w:fill="auto"/>
            <w:vAlign w:val="center"/>
          </w:tcPr>
          <w:p w:rsidR="006367CB" w:rsidRPr="00695C94" w:rsidRDefault="006367CB" w:rsidP="005D3E58">
            <w:pPr>
              <w:rPr>
                <w:sz w:val="24"/>
              </w:rPr>
            </w:pPr>
            <w:r w:rsidRPr="00695C94">
              <w:rPr>
                <w:sz w:val="24"/>
              </w:rPr>
              <w:t>Nav.</w:t>
            </w:r>
          </w:p>
        </w:tc>
      </w:tr>
    </w:tbl>
    <w:p w:rsidR="004232C0" w:rsidRDefault="004232C0" w:rsidP="00516BEA">
      <w:pPr>
        <w:jc w:val="both"/>
        <w:rPr>
          <w:szCs w:val="28"/>
        </w:rPr>
      </w:pPr>
    </w:p>
    <w:p w:rsidR="00F30980" w:rsidRPr="00524322" w:rsidRDefault="00F30980" w:rsidP="00516BEA">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16BEA" w:rsidRPr="00524322" w:rsidTr="00FC701D">
        <w:tc>
          <w:tcPr>
            <w:tcW w:w="5000" w:type="pct"/>
            <w:gridSpan w:val="3"/>
            <w:tcBorders>
              <w:top w:val="single" w:sz="4" w:space="0" w:color="auto"/>
              <w:left w:val="single" w:sz="4" w:space="0" w:color="auto"/>
              <w:bottom w:val="single" w:sz="4" w:space="0" w:color="auto"/>
              <w:right w:val="single" w:sz="4" w:space="0" w:color="auto"/>
            </w:tcBorders>
            <w:vAlign w:val="center"/>
          </w:tcPr>
          <w:p w:rsidR="00516BEA" w:rsidRPr="00524322" w:rsidRDefault="00516BEA" w:rsidP="00FC701D">
            <w:pPr>
              <w:jc w:val="center"/>
              <w:rPr>
                <w:b/>
                <w:sz w:val="24"/>
                <w:lang w:eastAsia="lv-LV"/>
              </w:rPr>
            </w:pPr>
            <w:r w:rsidRPr="00524322">
              <w:rPr>
                <w:b/>
                <w:sz w:val="24"/>
              </w:rPr>
              <w:t>VI. Sabiedrības līdzdalība un komunikācijas aktivitātes</w:t>
            </w:r>
          </w:p>
        </w:tc>
      </w:tr>
      <w:tr w:rsidR="00516BEA" w:rsidRPr="00524322" w:rsidTr="00FC701D">
        <w:tc>
          <w:tcPr>
            <w:tcW w:w="444" w:type="pct"/>
            <w:tcBorders>
              <w:top w:val="single" w:sz="4" w:space="0" w:color="auto"/>
              <w:left w:val="single" w:sz="4" w:space="0" w:color="auto"/>
              <w:bottom w:val="single" w:sz="4" w:space="0" w:color="auto"/>
              <w:right w:val="single" w:sz="4" w:space="0" w:color="auto"/>
            </w:tcBorders>
            <w:vAlign w:val="center"/>
          </w:tcPr>
          <w:p w:rsidR="00516BEA" w:rsidRPr="00524322" w:rsidRDefault="00516BEA" w:rsidP="00FC701D">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516BEA" w:rsidRPr="00524322" w:rsidRDefault="00516BEA" w:rsidP="00FC701D">
            <w:pPr>
              <w:pStyle w:val="naiskr"/>
              <w:ind w:left="180" w:hanging="10"/>
            </w:pPr>
            <w:r w:rsidRPr="00524322">
              <w:t xml:space="preserve">Plānotās sabiedrības </w:t>
            </w:r>
            <w:r w:rsidRPr="00524322">
              <w:lastRenderedPageBreak/>
              <w:t>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516BEA" w:rsidRPr="00E72514" w:rsidRDefault="00E72514" w:rsidP="00CB0505">
            <w:pPr>
              <w:jc w:val="both"/>
              <w:rPr>
                <w:sz w:val="24"/>
                <w:lang w:eastAsia="lv-LV"/>
              </w:rPr>
            </w:pPr>
            <w:r>
              <w:rPr>
                <w:sz w:val="24"/>
              </w:rPr>
              <w:lastRenderedPageBreak/>
              <w:t xml:space="preserve">Jaunā sistēma par minimālās stundas tarifa likmes aprēķināšanu viedokļu izteikšanai tika publicēta 2014.gada </w:t>
            </w:r>
            <w:r>
              <w:rPr>
                <w:sz w:val="24"/>
              </w:rPr>
              <w:lastRenderedPageBreak/>
              <w:t>25.martā (Labklājības ministrijas informācija plašsaziņas līdzekļiem „LM aicina izteikt viedokli par minimālās stundas tarifa likmes aprēķināšanu 2015. gadā”).</w:t>
            </w:r>
          </w:p>
        </w:tc>
      </w:tr>
      <w:tr w:rsidR="00BD0E65" w:rsidRPr="00524322" w:rsidTr="00FC701D">
        <w:tc>
          <w:tcPr>
            <w:tcW w:w="444" w:type="pct"/>
            <w:tcBorders>
              <w:top w:val="single" w:sz="4" w:space="0" w:color="auto"/>
              <w:left w:val="single" w:sz="4" w:space="0" w:color="auto"/>
              <w:bottom w:val="single" w:sz="4" w:space="0" w:color="auto"/>
              <w:right w:val="single" w:sz="4" w:space="0" w:color="auto"/>
            </w:tcBorders>
            <w:vAlign w:val="center"/>
          </w:tcPr>
          <w:p w:rsidR="00BD0E65" w:rsidRPr="00524322" w:rsidRDefault="00BD0E65" w:rsidP="00FC701D">
            <w:pPr>
              <w:pStyle w:val="naiskr"/>
              <w:ind w:left="180" w:hanging="180"/>
              <w:jc w:val="center"/>
            </w:pPr>
            <w:r>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BD0E65" w:rsidRPr="00524322" w:rsidRDefault="00BD0E65" w:rsidP="00FC701D">
            <w:pPr>
              <w:pStyle w:val="naiskr"/>
              <w:ind w:left="180" w:hanging="10"/>
            </w:pPr>
            <w:r w:rsidRPr="00524322">
              <w:t>Sabiedrības līdzdalība projekta izstrādē</w:t>
            </w:r>
          </w:p>
        </w:tc>
        <w:tc>
          <w:tcPr>
            <w:tcW w:w="3340" w:type="pct"/>
            <w:tcBorders>
              <w:top w:val="single" w:sz="4" w:space="0" w:color="auto"/>
              <w:left w:val="single" w:sz="4" w:space="0" w:color="auto"/>
              <w:bottom w:val="single" w:sz="4" w:space="0" w:color="auto"/>
              <w:right w:val="single" w:sz="4" w:space="0" w:color="auto"/>
            </w:tcBorders>
            <w:vAlign w:val="center"/>
          </w:tcPr>
          <w:p w:rsidR="00BD0E65" w:rsidRDefault="00EC5A9A" w:rsidP="00EC5A9A">
            <w:pPr>
              <w:suppressAutoHyphens/>
              <w:ind w:right="57"/>
              <w:jc w:val="both"/>
              <w:rPr>
                <w:sz w:val="24"/>
              </w:rPr>
            </w:pPr>
            <w:r>
              <w:rPr>
                <w:iCs/>
                <w:sz w:val="24"/>
                <w:lang w:eastAsia="ar-SA"/>
              </w:rPr>
              <w:t>Labklājības ministrija no sabiedrības</w:t>
            </w:r>
            <w:r w:rsidR="00BD0E65">
              <w:rPr>
                <w:iCs/>
                <w:sz w:val="24"/>
                <w:lang w:eastAsia="ar-SA"/>
              </w:rPr>
              <w:t xml:space="preserve"> </w:t>
            </w:r>
            <w:r>
              <w:rPr>
                <w:iCs/>
                <w:sz w:val="24"/>
                <w:lang w:eastAsia="ar-SA"/>
              </w:rPr>
              <w:t xml:space="preserve">nesaņēma iebildumus un priekšlikumus par </w:t>
            </w:r>
            <w:r>
              <w:rPr>
                <w:sz w:val="24"/>
              </w:rPr>
              <w:t>minimālās stundas tarifa likmes aprēķināšanas jauno sistēmu.</w:t>
            </w:r>
          </w:p>
        </w:tc>
      </w:tr>
      <w:tr w:rsidR="00BD0E65" w:rsidRPr="00524322" w:rsidTr="00FC701D">
        <w:tc>
          <w:tcPr>
            <w:tcW w:w="444" w:type="pct"/>
            <w:tcBorders>
              <w:top w:val="single" w:sz="4" w:space="0" w:color="auto"/>
              <w:left w:val="single" w:sz="4" w:space="0" w:color="auto"/>
              <w:bottom w:val="single" w:sz="4" w:space="0" w:color="auto"/>
              <w:right w:val="single" w:sz="4" w:space="0" w:color="auto"/>
            </w:tcBorders>
            <w:vAlign w:val="center"/>
          </w:tcPr>
          <w:p w:rsidR="00BD0E65" w:rsidRPr="00524322" w:rsidRDefault="00BD0E65" w:rsidP="00A62875">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BD0E65" w:rsidRPr="00524322" w:rsidRDefault="00BD0E65" w:rsidP="00A62875">
            <w:pPr>
              <w:pStyle w:val="naiskr"/>
              <w:ind w:left="180" w:hanging="10"/>
            </w:pPr>
            <w:r w:rsidRPr="00524322">
              <w:t>Sabiedrības līdzdalības rezultāti</w:t>
            </w:r>
          </w:p>
        </w:tc>
        <w:tc>
          <w:tcPr>
            <w:tcW w:w="3340" w:type="pct"/>
            <w:tcBorders>
              <w:top w:val="single" w:sz="4" w:space="0" w:color="auto"/>
              <w:left w:val="single" w:sz="4" w:space="0" w:color="auto"/>
              <w:bottom w:val="single" w:sz="4" w:space="0" w:color="auto"/>
              <w:right w:val="single" w:sz="4" w:space="0" w:color="auto"/>
            </w:tcBorders>
            <w:vAlign w:val="center"/>
          </w:tcPr>
          <w:p w:rsidR="00BD0E65" w:rsidRDefault="00BD0E65" w:rsidP="00385CEA">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lang w:eastAsia="lv-LV"/>
              </w:rPr>
            </w:pPr>
            <w:r>
              <w:rPr>
                <w:iCs/>
                <w:sz w:val="24"/>
                <w:lang w:eastAsia="ar-SA"/>
              </w:rPr>
              <w:t xml:space="preserve">Latvijas Darba devēju konfederācija un Latvijas Brīvo arodbiedrību savienība atbalstīja Nacionālās trīspusējās sadarbības padomes Darba lietu trīspusējās sadarbības </w:t>
            </w:r>
            <w:proofErr w:type="spellStart"/>
            <w:r>
              <w:rPr>
                <w:iCs/>
                <w:sz w:val="24"/>
                <w:lang w:eastAsia="ar-SA"/>
              </w:rPr>
              <w:t>apakšpadomes</w:t>
            </w:r>
            <w:proofErr w:type="spellEnd"/>
            <w:r>
              <w:rPr>
                <w:iCs/>
                <w:sz w:val="24"/>
                <w:lang w:eastAsia="ar-SA"/>
              </w:rPr>
              <w:t xml:space="preserve"> 2014.gada 19.jūnijā sēdē Labklājības ministrijas priekšlikumu iekļaut noteikumos minimālās stundas tarifa likmes aprēķināšanas formul</w:t>
            </w:r>
            <w:r w:rsidR="00385CEA">
              <w:rPr>
                <w:iCs/>
                <w:sz w:val="24"/>
                <w:lang w:eastAsia="ar-SA"/>
              </w:rPr>
              <w:t>u</w:t>
            </w:r>
            <w:r>
              <w:rPr>
                <w:iCs/>
                <w:sz w:val="24"/>
                <w:lang w:eastAsia="ar-SA"/>
              </w:rPr>
              <w:t>, nevis apmērus,</w:t>
            </w:r>
            <w:r w:rsidR="00EC5A9A">
              <w:rPr>
                <w:iCs/>
                <w:sz w:val="24"/>
                <w:lang w:eastAsia="ar-SA"/>
              </w:rPr>
              <w:t xml:space="preserve"> veicot atbilstošus grozījumus Darba likumā</w:t>
            </w:r>
            <w:r>
              <w:rPr>
                <w:iCs/>
                <w:sz w:val="24"/>
                <w:lang w:eastAsia="ar-SA"/>
              </w:rPr>
              <w:t xml:space="preserve"> un tāpēc </w:t>
            </w:r>
            <w:r w:rsidRPr="00327020">
              <w:rPr>
                <w:sz w:val="24"/>
              </w:rPr>
              <w:t>2014.gada 23.oktobrī pieņemt</w:t>
            </w:r>
            <w:r>
              <w:rPr>
                <w:sz w:val="24"/>
              </w:rPr>
              <w:t>ajā</w:t>
            </w:r>
            <w:r w:rsidRPr="00327020">
              <w:rPr>
                <w:sz w:val="24"/>
              </w:rPr>
              <w:t xml:space="preserve"> likum</w:t>
            </w:r>
            <w:r>
              <w:rPr>
                <w:sz w:val="24"/>
              </w:rPr>
              <w:t>ā</w:t>
            </w:r>
            <w:r w:rsidRPr="00327020">
              <w:rPr>
                <w:sz w:val="24"/>
              </w:rPr>
              <w:t xml:space="preserve"> „Grozījumi Darba likumā” </w:t>
            </w:r>
            <w:r>
              <w:rPr>
                <w:sz w:val="24"/>
              </w:rPr>
              <w:t>ir noteikts jauns deleģējums</w:t>
            </w:r>
            <w:r w:rsidRPr="00327020">
              <w:rPr>
                <w:sz w:val="24"/>
                <w:lang w:eastAsia="lv-LV"/>
              </w:rPr>
              <w:t xml:space="preserve"> Ministru kabinetam sagatavot Ministru kabineta noteikumus par minimālās mēneša darba algas apmēru normāla darba laika ietvaros, kā arī minimālās stundas tarifa likmes aprēķināšanu.</w:t>
            </w:r>
          </w:p>
          <w:p w:rsidR="00AD6B6A" w:rsidRDefault="0019717A" w:rsidP="006455F7">
            <w:pPr>
              <w:jc w:val="both"/>
              <w:rPr>
                <w:sz w:val="24"/>
              </w:rPr>
            </w:pPr>
            <w:r w:rsidRPr="0019717A">
              <w:rPr>
                <w:sz w:val="24"/>
              </w:rPr>
              <w:t xml:space="preserve">Jaunās sistēmas par minimālās stundas tarifa likmes aprēķināšanu izveidošanai tika ņemti vērā vadošās grāmatvedes un konsultantes Maijas </w:t>
            </w:r>
            <w:proofErr w:type="spellStart"/>
            <w:r w:rsidRPr="0019717A">
              <w:rPr>
                <w:sz w:val="24"/>
              </w:rPr>
              <w:t>Grebenko</w:t>
            </w:r>
            <w:proofErr w:type="spellEnd"/>
            <w:r w:rsidRPr="0019717A">
              <w:rPr>
                <w:sz w:val="24"/>
              </w:rPr>
              <w:t xml:space="preserve"> un Latvijas Darba devēju konfederācijas biedra AS „Latvijas Finieris” priekšlikumi.</w:t>
            </w:r>
          </w:p>
          <w:p w:rsidR="00731667" w:rsidRPr="00E72514" w:rsidRDefault="00731667" w:rsidP="00D0466A">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rPr>
            </w:pPr>
            <w:r>
              <w:rPr>
                <w:iCs/>
                <w:sz w:val="24"/>
                <w:lang w:eastAsia="ar-SA"/>
              </w:rPr>
              <w:t>Latvijas Darba devēju konfederācija atbalsta jauno minimālās stundas tarifa likmes aprēķināšanas formulu.</w:t>
            </w:r>
          </w:p>
        </w:tc>
      </w:tr>
      <w:tr w:rsidR="00516BEA" w:rsidRPr="00524322" w:rsidTr="004232C0">
        <w:tc>
          <w:tcPr>
            <w:tcW w:w="444" w:type="pct"/>
            <w:tcBorders>
              <w:top w:val="single" w:sz="4" w:space="0" w:color="auto"/>
              <w:left w:val="single" w:sz="4" w:space="0" w:color="auto"/>
              <w:bottom w:val="single" w:sz="4" w:space="0" w:color="auto"/>
              <w:right w:val="single" w:sz="4" w:space="0" w:color="auto"/>
            </w:tcBorders>
            <w:vAlign w:val="center"/>
          </w:tcPr>
          <w:p w:rsidR="00516BEA" w:rsidRPr="00524322" w:rsidRDefault="00516BEA" w:rsidP="00FC701D">
            <w:pPr>
              <w:pStyle w:val="naiskr"/>
              <w:ind w:left="180" w:hanging="180"/>
              <w:jc w:val="center"/>
            </w:pPr>
            <w:r w:rsidRPr="00524322">
              <w:t>4.</w:t>
            </w:r>
          </w:p>
        </w:tc>
        <w:tc>
          <w:tcPr>
            <w:tcW w:w="1216" w:type="pct"/>
            <w:tcBorders>
              <w:top w:val="single" w:sz="4" w:space="0" w:color="auto"/>
              <w:left w:val="single" w:sz="4" w:space="0" w:color="auto"/>
              <w:bottom w:val="single" w:sz="4" w:space="0" w:color="auto"/>
              <w:right w:val="single" w:sz="4" w:space="0" w:color="auto"/>
            </w:tcBorders>
            <w:vAlign w:val="center"/>
          </w:tcPr>
          <w:p w:rsidR="00516BEA" w:rsidRPr="00524322" w:rsidRDefault="00516BEA" w:rsidP="004232C0">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516BEA" w:rsidRPr="00524322" w:rsidRDefault="00BA01AD" w:rsidP="007733E6">
            <w:pPr>
              <w:rPr>
                <w:sz w:val="24"/>
              </w:rPr>
            </w:pPr>
            <w:r>
              <w:rPr>
                <w:sz w:val="24"/>
              </w:rPr>
              <w:t xml:space="preserve">Maijas </w:t>
            </w:r>
            <w:proofErr w:type="spellStart"/>
            <w:r>
              <w:rPr>
                <w:sz w:val="24"/>
              </w:rPr>
              <w:t>Grebenko</w:t>
            </w:r>
            <w:proofErr w:type="spellEnd"/>
            <w:r>
              <w:rPr>
                <w:sz w:val="24"/>
              </w:rPr>
              <w:t xml:space="preserve"> r</w:t>
            </w:r>
            <w:r w:rsidR="00D0466A">
              <w:rPr>
                <w:sz w:val="24"/>
              </w:rPr>
              <w:t xml:space="preserve">aksts par jauno sistēmu minimālās stundas tarifa likmes aprēķināšanai </w:t>
            </w:r>
            <w:r w:rsidR="007733E6">
              <w:rPr>
                <w:sz w:val="24"/>
              </w:rPr>
              <w:t>tiks</w:t>
            </w:r>
            <w:r w:rsidR="00D0466A">
              <w:rPr>
                <w:sz w:val="24"/>
              </w:rPr>
              <w:t xml:space="preserve"> publicēts žurnāla „Bilance” oktobra numurā.</w:t>
            </w:r>
          </w:p>
        </w:tc>
      </w:tr>
    </w:tbl>
    <w:p w:rsidR="00516BEA" w:rsidRDefault="00516BEA" w:rsidP="00BC420F">
      <w:pPr>
        <w:rPr>
          <w:szCs w:val="28"/>
        </w:rPr>
      </w:pPr>
    </w:p>
    <w:p w:rsidR="004232C0" w:rsidRPr="00D42CC4" w:rsidRDefault="004232C0" w:rsidP="00BC420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BC420F" w:rsidRPr="00D42CC4" w:rsidTr="00822C04">
        <w:tc>
          <w:tcPr>
            <w:tcW w:w="5000" w:type="pct"/>
            <w:gridSpan w:val="3"/>
            <w:tcBorders>
              <w:top w:val="single" w:sz="4" w:space="0" w:color="auto"/>
              <w:left w:val="single" w:sz="4" w:space="0" w:color="auto"/>
              <w:bottom w:val="single" w:sz="4" w:space="0" w:color="auto"/>
              <w:right w:val="single" w:sz="4" w:space="0" w:color="auto"/>
            </w:tcBorders>
            <w:vAlign w:val="center"/>
          </w:tcPr>
          <w:p w:rsidR="00BC420F" w:rsidRPr="0058204F" w:rsidRDefault="00BC420F" w:rsidP="00822C04">
            <w:pPr>
              <w:jc w:val="center"/>
              <w:rPr>
                <w:b/>
                <w:sz w:val="24"/>
              </w:rPr>
            </w:pPr>
            <w:r w:rsidRPr="0058204F">
              <w:rPr>
                <w:b/>
                <w:sz w:val="24"/>
              </w:rPr>
              <w:t>VII. Tiesību akta projekta izpildes nodrošināšana un tās ietekme uz institūcijām</w:t>
            </w:r>
          </w:p>
        </w:tc>
      </w:tr>
      <w:tr w:rsidR="00BC420F"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D541D2">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822C04">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252466">
            <w:pPr>
              <w:jc w:val="both"/>
              <w:rPr>
                <w:sz w:val="24"/>
              </w:rPr>
            </w:pPr>
            <w:r w:rsidRPr="00D42CC4">
              <w:rPr>
                <w:sz w:val="24"/>
              </w:rPr>
              <w:t xml:space="preserve">Noteikumu normu ievērošanu </w:t>
            </w:r>
            <w:r w:rsidRPr="0067501B">
              <w:rPr>
                <w:sz w:val="24"/>
              </w:rPr>
              <w:t xml:space="preserve">darba tiesisko attiecību jomā </w:t>
            </w:r>
            <w:r w:rsidRPr="00D42CC4">
              <w:rPr>
                <w:sz w:val="24"/>
              </w:rPr>
              <w:t>uzraudzīs Labklājības ministrijas padotības iestāde Valsts darba inspekcija</w:t>
            </w:r>
            <w:r>
              <w:rPr>
                <w:sz w:val="24"/>
              </w:rPr>
              <w:t>, bet darba ņēmēju darba algu norādīšanu ziņās par darba ņēmējiem – Valsts ieņēmumu dienests</w:t>
            </w:r>
            <w:r w:rsidRPr="00D42CC4">
              <w:rPr>
                <w:sz w:val="24"/>
              </w:rPr>
              <w:t>.</w:t>
            </w:r>
          </w:p>
        </w:tc>
      </w:tr>
      <w:tr w:rsidR="00BC420F"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D541D2">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142DD9" w:rsidRDefault="00BC420F" w:rsidP="00822C04">
            <w:pPr>
              <w:rPr>
                <w:sz w:val="24"/>
              </w:rPr>
            </w:pPr>
            <w:r w:rsidRPr="00142DD9">
              <w:rPr>
                <w:sz w:val="24"/>
              </w:rPr>
              <w:t>Projekta izpildes ietekme uz pārvaldes funkcijām un institucionālo struktūru.</w:t>
            </w:r>
          </w:p>
          <w:p w:rsidR="00BC420F" w:rsidRPr="00142DD9" w:rsidRDefault="00BC420F" w:rsidP="00822C04">
            <w:pPr>
              <w:pStyle w:val="naiskr"/>
              <w:spacing w:before="0" w:after="0"/>
              <w:ind w:hanging="10"/>
            </w:pPr>
            <w:r w:rsidRPr="00142DD9">
              <w:t xml:space="preserve">Jaunu institūciju izveide, esošu </w:t>
            </w:r>
            <w:r w:rsidRPr="00142DD9">
              <w:lastRenderedPageBreak/>
              <w:t>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Default="00BC420F" w:rsidP="00822C04">
            <w:pPr>
              <w:jc w:val="both"/>
              <w:rPr>
                <w:sz w:val="24"/>
              </w:rPr>
            </w:pPr>
            <w:r w:rsidRPr="00D42CC4">
              <w:rPr>
                <w:sz w:val="24"/>
              </w:rPr>
              <w:lastRenderedPageBreak/>
              <w:t>Noteikum</w:t>
            </w:r>
            <w:r w:rsidR="00252466">
              <w:rPr>
                <w:sz w:val="24"/>
              </w:rPr>
              <w:t>i</w:t>
            </w:r>
            <w:r w:rsidRPr="00D42CC4">
              <w:rPr>
                <w:sz w:val="24"/>
              </w:rPr>
              <w:t xml:space="preserve"> Valsts darba inspekcijas </w:t>
            </w:r>
            <w:r>
              <w:rPr>
                <w:sz w:val="24"/>
              </w:rPr>
              <w:t xml:space="preserve">un Valsts ieņēmumu dienesta </w:t>
            </w:r>
            <w:r w:rsidRPr="00D42CC4">
              <w:rPr>
                <w:sz w:val="24"/>
              </w:rPr>
              <w:t xml:space="preserve">funkcijas neietekmēs, jo </w:t>
            </w:r>
            <w:r>
              <w:rPr>
                <w:sz w:val="24"/>
              </w:rPr>
              <w:t>minētās iestādes šīs funkcijas veic jau pašreiz atbilstoši citiem normatīvajiem aktiem</w:t>
            </w:r>
            <w:r w:rsidRPr="00D42CC4">
              <w:rPr>
                <w:sz w:val="24"/>
              </w:rPr>
              <w:t>.</w:t>
            </w:r>
          </w:p>
          <w:p w:rsidR="00252466" w:rsidRPr="00D42CC4" w:rsidRDefault="00252466" w:rsidP="00822C04">
            <w:pPr>
              <w:jc w:val="both"/>
              <w:rPr>
                <w:sz w:val="24"/>
              </w:rPr>
            </w:pPr>
            <w:r>
              <w:rPr>
                <w:sz w:val="24"/>
              </w:rPr>
              <w:t>Noteikumi neietekmēs iesaistīto institūciju cilvēkresursus.</w:t>
            </w:r>
          </w:p>
        </w:tc>
      </w:tr>
      <w:tr w:rsidR="00BC420F" w:rsidRPr="00D42CC4" w:rsidTr="00822C04">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D541D2">
            <w:pPr>
              <w:pStyle w:val="naiskr"/>
              <w:ind w:left="180" w:hanging="180"/>
              <w:jc w:val="center"/>
            </w:pPr>
            <w:r>
              <w:lastRenderedPageBreak/>
              <w:t>3</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822C04">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822C04">
            <w:pPr>
              <w:rPr>
                <w:sz w:val="24"/>
              </w:rPr>
            </w:pPr>
            <w:r w:rsidRPr="00D42CC4">
              <w:rPr>
                <w:sz w:val="24"/>
              </w:rPr>
              <w:t>Nav.</w:t>
            </w:r>
          </w:p>
        </w:tc>
      </w:tr>
    </w:tbl>
    <w:p w:rsidR="00BC420F" w:rsidRPr="00D42CC4" w:rsidRDefault="00BC420F" w:rsidP="00BC420F">
      <w:pPr>
        <w:jc w:val="both"/>
      </w:pPr>
    </w:p>
    <w:p w:rsidR="00124129" w:rsidRDefault="00124129" w:rsidP="00CF46BE">
      <w:pPr>
        <w:jc w:val="both"/>
      </w:pPr>
    </w:p>
    <w:p w:rsidR="00690475" w:rsidRPr="00EE1BB2" w:rsidRDefault="00690475" w:rsidP="00CF46BE">
      <w:pPr>
        <w:jc w:val="both"/>
      </w:pPr>
    </w:p>
    <w:p w:rsidR="003B2A64" w:rsidRPr="001A1DF2" w:rsidRDefault="00E660F6" w:rsidP="000825F3">
      <w:pPr>
        <w:pStyle w:val="Header"/>
        <w:tabs>
          <w:tab w:val="left" w:pos="1080"/>
          <w:tab w:val="left" w:pos="6840"/>
        </w:tabs>
        <w:jc w:val="both"/>
        <w:rPr>
          <w:szCs w:val="28"/>
        </w:rPr>
      </w:pPr>
      <w:r>
        <w:rPr>
          <w:szCs w:val="28"/>
        </w:rPr>
        <w:t>Labklājības ministrs</w:t>
      </w:r>
      <w:r w:rsidR="003B2A64" w:rsidRPr="001A1DF2">
        <w:rPr>
          <w:szCs w:val="28"/>
        </w:rPr>
        <w:tab/>
      </w:r>
      <w:r w:rsidR="000825F3">
        <w:rPr>
          <w:szCs w:val="28"/>
        </w:rPr>
        <w:tab/>
      </w:r>
      <w:proofErr w:type="gramStart"/>
      <w:r>
        <w:rPr>
          <w:szCs w:val="28"/>
        </w:rPr>
        <w:t xml:space="preserve">         </w:t>
      </w:r>
      <w:proofErr w:type="gramEnd"/>
      <w:r>
        <w:rPr>
          <w:szCs w:val="28"/>
        </w:rPr>
        <w:t>U.Augulis</w:t>
      </w:r>
    </w:p>
    <w:p w:rsidR="00603139" w:rsidRPr="00EE1BB2" w:rsidRDefault="00603139" w:rsidP="00BD2307">
      <w:pPr>
        <w:pStyle w:val="BodyText"/>
        <w:jc w:val="both"/>
      </w:pPr>
    </w:p>
    <w:p w:rsidR="00690475" w:rsidRDefault="00690475" w:rsidP="00BD2307">
      <w:pPr>
        <w:pStyle w:val="BodyText"/>
        <w:jc w:val="both"/>
      </w:pPr>
    </w:p>
    <w:p w:rsidR="00690475" w:rsidRDefault="00690475" w:rsidP="00BD2307">
      <w:pPr>
        <w:pStyle w:val="BodyText"/>
        <w:jc w:val="both"/>
      </w:pPr>
    </w:p>
    <w:p w:rsidR="00690475" w:rsidRDefault="00690475" w:rsidP="00BD2307">
      <w:pPr>
        <w:pStyle w:val="BodyText"/>
        <w:jc w:val="both"/>
      </w:pPr>
    </w:p>
    <w:p w:rsidR="00690475" w:rsidRDefault="00690475" w:rsidP="00BD2307">
      <w:pPr>
        <w:pStyle w:val="BodyText"/>
        <w:jc w:val="both"/>
      </w:pPr>
    </w:p>
    <w:p w:rsidR="00690475" w:rsidRDefault="00690475" w:rsidP="00BD2307">
      <w:pPr>
        <w:pStyle w:val="BodyText"/>
        <w:jc w:val="both"/>
      </w:pPr>
    </w:p>
    <w:p w:rsidR="00CB0505" w:rsidRDefault="00CB0505" w:rsidP="00BD2307">
      <w:pPr>
        <w:pStyle w:val="BodyText"/>
        <w:jc w:val="both"/>
      </w:pPr>
    </w:p>
    <w:p w:rsidR="00DF6DAD" w:rsidRDefault="00DF6DAD" w:rsidP="00BD2307">
      <w:pPr>
        <w:pStyle w:val="BodyText"/>
        <w:jc w:val="both"/>
      </w:pPr>
    </w:p>
    <w:p w:rsidR="00DF6DAD" w:rsidRDefault="00DF6DAD" w:rsidP="00BD2307">
      <w:pPr>
        <w:pStyle w:val="BodyText"/>
        <w:jc w:val="both"/>
      </w:pPr>
    </w:p>
    <w:p w:rsidR="00DF6DAD" w:rsidRDefault="00DF6DAD" w:rsidP="00BD2307">
      <w:pPr>
        <w:pStyle w:val="BodyText"/>
        <w:jc w:val="both"/>
      </w:pPr>
    </w:p>
    <w:p w:rsidR="00DF6DAD" w:rsidRDefault="00DF6DAD" w:rsidP="00BD2307">
      <w:pPr>
        <w:pStyle w:val="BodyText"/>
        <w:jc w:val="both"/>
      </w:pPr>
    </w:p>
    <w:p w:rsidR="00F30980" w:rsidRPr="00EE1BB2" w:rsidRDefault="00F30980" w:rsidP="00BD2307">
      <w:pPr>
        <w:pStyle w:val="BodyText"/>
        <w:jc w:val="both"/>
      </w:pPr>
    </w:p>
    <w:p w:rsidR="004C0095" w:rsidRPr="00EE1BB2" w:rsidRDefault="004C0095" w:rsidP="00BD2307">
      <w:pPr>
        <w:pStyle w:val="BodyText"/>
        <w:jc w:val="both"/>
      </w:pPr>
    </w:p>
    <w:p w:rsidR="00576F61" w:rsidRPr="00EE1BB2" w:rsidRDefault="00012247" w:rsidP="00576F61">
      <w:pPr>
        <w:jc w:val="both"/>
        <w:rPr>
          <w:sz w:val="24"/>
        </w:rPr>
      </w:pPr>
      <w:r>
        <w:rPr>
          <w:sz w:val="24"/>
        </w:rPr>
        <w:t>2</w:t>
      </w:r>
      <w:r w:rsidR="00D67F5B">
        <w:rPr>
          <w:sz w:val="24"/>
        </w:rPr>
        <w:t>6</w:t>
      </w:r>
      <w:r w:rsidR="00D651BF" w:rsidRPr="00EE1BB2">
        <w:rPr>
          <w:sz w:val="24"/>
        </w:rPr>
        <w:t>.</w:t>
      </w:r>
      <w:r w:rsidR="00D3766D">
        <w:rPr>
          <w:sz w:val="24"/>
        </w:rPr>
        <w:t>10</w:t>
      </w:r>
      <w:r w:rsidR="00576F61" w:rsidRPr="00EE1BB2">
        <w:rPr>
          <w:sz w:val="24"/>
        </w:rPr>
        <w:t>.20</w:t>
      </w:r>
      <w:r w:rsidR="00C8418C" w:rsidRPr="00EE1BB2">
        <w:rPr>
          <w:sz w:val="24"/>
        </w:rPr>
        <w:t>1</w:t>
      </w:r>
      <w:r w:rsidR="00CD4E13">
        <w:rPr>
          <w:sz w:val="24"/>
        </w:rPr>
        <w:t>5</w:t>
      </w:r>
      <w:r w:rsidR="00576F61" w:rsidRPr="00EE1BB2">
        <w:rPr>
          <w:sz w:val="24"/>
        </w:rPr>
        <w:t>.</w:t>
      </w:r>
      <w:proofErr w:type="gramStart"/>
      <w:r w:rsidR="008E52A6" w:rsidRPr="00EE1BB2">
        <w:rPr>
          <w:sz w:val="24"/>
        </w:rPr>
        <w:t xml:space="preserve">  </w:t>
      </w:r>
      <w:proofErr w:type="gramEnd"/>
      <w:r w:rsidR="0043388A">
        <w:rPr>
          <w:sz w:val="24"/>
        </w:rPr>
        <w:t>10</w:t>
      </w:r>
      <w:r w:rsidR="00D17BC0" w:rsidRPr="00EE1BB2">
        <w:rPr>
          <w:sz w:val="24"/>
        </w:rPr>
        <w:t>:</w:t>
      </w:r>
      <w:r w:rsidR="0043388A">
        <w:rPr>
          <w:sz w:val="24"/>
        </w:rPr>
        <w:t>59</w:t>
      </w:r>
      <w:bookmarkStart w:id="0" w:name="_GoBack"/>
      <w:bookmarkEnd w:id="0"/>
    </w:p>
    <w:p w:rsidR="00576F61" w:rsidRPr="00EE1BB2" w:rsidRDefault="00DF6DAD" w:rsidP="00576F61">
      <w:pPr>
        <w:jc w:val="both"/>
        <w:rPr>
          <w:sz w:val="24"/>
        </w:rPr>
      </w:pPr>
      <w:r>
        <w:rPr>
          <w:sz w:val="24"/>
        </w:rPr>
        <w:t>3969</w:t>
      </w:r>
    </w:p>
    <w:p w:rsidR="0043022A" w:rsidRPr="00EE1BB2" w:rsidRDefault="00576F61" w:rsidP="00182635">
      <w:pPr>
        <w:rPr>
          <w:bCs/>
          <w:sz w:val="24"/>
        </w:rPr>
      </w:pPr>
      <w:r w:rsidRPr="00EE1BB2">
        <w:rPr>
          <w:bCs/>
          <w:sz w:val="24"/>
        </w:rPr>
        <w:t>A</w:t>
      </w:r>
      <w:r w:rsidR="00070CCC" w:rsidRPr="00EE1BB2">
        <w:rPr>
          <w:bCs/>
          <w:sz w:val="24"/>
        </w:rPr>
        <w:t>.</w:t>
      </w:r>
      <w:r w:rsidR="009D3B54">
        <w:rPr>
          <w:bCs/>
          <w:sz w:val="24"/>
        </w:rPr>
        <w:t>Liepiņa</w:t>
      </w:r>
      <w:r w:rsidR="0043022A" w:rsidRPr="00EE1BB2">
        <w:rPr>
          <w:bCs/>
          <w:sz w:val="24"/>
        </w:rPr>
        <w:t>,</w:t>
      </w:r>
    </w:p>
    <w:p w:rsidR="00BD2307" w:rsidRPr="00EE1BB2" w:rsidRDefault="00780169" w:rsidP="00182635">
      <w:pPr>
        <w:rPr>
          <w:sz w:val="24"/>
        </w:rPr>
      </w:pPr>
      <w:r w:rsidRPr="00EE1BB2">
        <w:rPr>
          <w:sz w:val="24"/>
        </w:rPr>
        <w:t>6</w:t>
      </w:r>
      <w:r w:rsidR="00576F61" w:rsidRPr="00EE1BB2">
        <w:rPr>
          <w:sz w:val="24"/>
        </w:rPr>
        <w:t>7021519, Aina.</w:t>
      </w:r>
      <w:r w:rsidR="009D3B54">
        <w:rPr>
          <w:sz w:val="24"/>
        </w:rPr>
        <w:t>Liepina</w:t>
      </w:r>
      <w:r w:rsidR="00576F61" w:rsidRPr="00EE1BB2">
        <w:rPr>
          <w:sz w:val="24"/>
        </w:rPr>
        <w:t>@lm.gov.lv</w:t>
      </w:r>
    </w:p>
    <w:sectPr w:rsidR="00BD2307" w:rsidRPr="00EE1BB2" w:rsidSect="00690475">
      <w:headerReference w:type="even" r:id="rId10"/>
      <w:headerReference w:type="default" r:id="rId11"/>
      <w:footerReference w:type="default" r:id="rId12"/>
      <w:footerReference w:type="first" r:id="rId13"/>
      <w:pgSz w:w="11906" w:h="16838" w:code="9"/>
      <w:pgMar w:top="1418" w:right="1134"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67" w:rsidRDefault="00731667">
      <w:r>
        <w:separator/>
      </w:r>
    </w:p>
  </w:endnote>
  <w:endnote w:type="continuationSeparator" w:id="0">
    <w:p w:rsidR="00731667" w:rsidRDefault="0073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7" w:rsidRPr="008C1FFE" w:rsidRDefault="00731667" w:rsidP="008C1FFE">
    <w:r w:rsidRPr="00DB187D">
      <w:rPr>
        <w:sz w:val="18"/>
        <w:szCs w:val="18"/>
      </w:rPr>
      <w:t>LM</w:t>
    </w:r>
    <w:r>
      <w:rPr>
        <w:sz w:val="18"/>
        <w:szCs w:val="18"/>
      </w:rPr>
      <w:t>An</w:t>
    </w:r>
    <w:r w:rsidRPr="00DB187D">
      <w:rPr>
        <w:sz w:val="18"/>
        <w:szCs w:val="18"/>
      </w:rPr>
      <w:t>ot_</w:t>
    </w:r>
    <w:r w:rsidR="00B143EB">
      <w:rPr>
        <w:sz w:val="18"/>
        <w:szCs w:val="18"/>
      </w:rPr>
      <w:t>2</w:t>
    </w:r>
    <w:r w:rsidR="00D67F5B">
      <w:rPr>
        <w:sz w:val="18"/>
        <w:szCs w:val="18"/>
      </w:rPr>
      <w:t>6</w:t>
    </w:r>
    <w:r>
      <w:rPr>
        <w:sz w:val="18"/>
        <w:szCs w:val="18"/>
      </w:rPr>
      <w:t>10</w:t>
    </w:r>
    <w:r w:rsidRPr="00DB187D">
      <w:rPr>
        <w:sz w:val="18"/>
        <w:szCs w:val="18"/>
      </w:rPr>
      <w:t>15; Ministru kabineta noteikumu projekts „Noteikumi par minimālās mēneša darba algas apmēru normāla darba laika ietvaros</w:t>
    </w:r>
    <w:r>
      <w:rPr>
        <w:sz w:val="18"/>
        <w:szCs w:val="18"/>
      </w:rPr>
      <w:t xml:space="preserve"> un</w:t>
    </w:r>
    <w:r w:rsidRPr="00DB187D">
      <w:rPr>
        <w:sz w:val="18"/>
        <w:szCs w:val="18"/>
      </w:rPr>
      <w:t xml:space="preserve"> minimālās stundas tarifa likmes aprēķināšanu”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7" w:rsidRPr="00343382" w:rsidRDefault="00731667" w:rsidP="008C1FFE">
    <w:pPr>
      <w:rPr>
        <w:b/>
        <w:sz w:val="20"/>
      </w:rPr>
    </w:pPr>
    <w:r w:rsidRPr="00DB187D">
      <w:rPr>
        <w:sz w:val="18"/>
        <w:szCs w:val="18"/>
      </w:rPr>
      <w:t>LM</w:t>
    </w:r>
    <w:r>
      <w:rPr>
        <w:sz w:val="18"/>
        <w:szCs w:val="18"/>
      </w:rPr>
      <w:t>An</w:t>
    </w:r>
    <w:r w:rsidRPr="00DB187D">
      <w:rPr>
        <w:sz w:val="18"/>
        <w:szCs w:val="18"/>
      </w:rPr>
      <w:t>ot_</w:t>
    </w:r>
    <w:r w:rsidR="00B143EB">
      <w:rPr>
        <w:sz w:val="18"/>
        <w:szCs w:val="18"/>
      </w:rPr>
      <w:t>2</w:t>
    </w:r>
    <w:r w:rsidR="00D67F5B">
      <w:rPr>
        <w:sz w:val="18"/>
        <w:szCs w:val="18"/>
      </w:rPr>
      <w:t>6</w:t>
    </w:r>
    <w:r>
      <w:rPr>
        <w:sz w:val="18"/>
        <w:szCs w:val="18"/>
      </w:rPr>
      <w:t>10</w:t>
    </w:r>
    <w:r w:rsidRPr="00DB187D">
      <w:rPr>
        <w:sz w:val="18"/>
        <w:szCs w:val="18"/>
      </w:rPr>
      <w:t>15; Ministru kabineta noteikumu projekts „Noteikumi par minimālās mēneša darba algas apmēru normāla darba laika ietvaros</w:t>
    </w:r>
    <w:r>
      <w:rPr>
        <w:sz w:val="18"/>
        <w:szCs w:val="18"/>
      </w:rPr>
      <w:t xml:space="preserve"> un</w:t>
    </w:r>
    <w:r w:rsidRPr="00DB187D">
      <w:rPr>
        <w:sz w:val="18"/>
        <w:szCs w:val="18"/>
      </w:rPr>
      <w:t xml:space="preserve"> minimālās stundas tarifa likmes aprēķināšanu”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67" w:rsidRDefault="00731667">
      <w:r>
        <w:separator/>
      </w:r>
    </w:p>
  </w:footnote>
  <w:footnote w:type="continuationSeparator" w:id="0">
    <w:p w:rsidR="00731667" w:rsidRDefault="0073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7" w:rsidRDefault="00731667"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667" w:rsidRDefault="00731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7" w:rsidRDefault="00731667"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88A">
      <w:rPr>
        <w:rStyle w:val="PageNumber"/>
        <w:noProof/>
      </w:rPr>
      <w:t>14</w:t>
    </w:r>
    <w:r>
      <w:rPr>
        <w:rStyle w:val="PageNumber"/>
      </w:rPr>
      <w:fldChar w:fldCharType="end"/>
    </w:r>
  </w:p>
  <w:p w:rsidR="00731667" w:rsidRDefault="00731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571"/>
    <w:multiLevelType w:val="hybridMultilevel"/>
    <w:tmpl w:val="C532C104"/>
    <w:lvl w:ilvl="0" w:tplc="6F9660B6">
      <w:numFmt w:val="bullet"/>
      <w:lvlText w:val="-"/>
      <w:lvlJc w:val="left"/>
      <w:pPr>
        <w:ind w:left="1240" w:hanging="360"/>
      </w:pPr>
      <w:rPr>
        <w:rFonts w:ascii="Times New Roman" w:eastAsia="Times New Roman" w:hAnsi="Times New Roman" w:cs="Times New Roman" w:hint="default"/>
      </w:rPr>
    </w:lvl>
    <w:lvl w:ilvl="1" w:tplc="04260003" w:tentative="1">
      <w:start w:val="1"/>
      <w:numFmt w:val="bullet"/>
      <w:lvlText w:val="o"/>
      <w:lvlJc w:val="left"/>
      <w:pPr>
        <w:ind w:left="1960" w:hanging="360"/>
      </w:pPr>
      <w:rPr>
        <w:rFonts w:ascii="Courier New" w:hAnsi="Courier New" w:cs="Courier New" w:hint="default"/>
      </w:rPr>
    </w:lvl>
    <w:lvl w:ilvl="2" w:tplc="04260005" w:tentative="1">
      <w:start w:val="1"/>
      <w:numFmt w:val="bullet"/>
      <w:lvlText w:val=""/>
      <w:lvlJc w:val="left"/>
      <w:pPr>
        <w:ind w:left="2680" w:hanging="360"/>
      </w:pPr>
      <w:rPr>
        <w:rFonts w:ascii="Wingdings" w:hAnsi="Wingdings" w:hint="default"/>
      </w:rPr>
    </w:lvl>
    <w:lvl w:ilvl="3" w:tplc="04260001" w:tentative="1">
      <w:start w:val="1"/>
      <w:numFmt w:val="bullet"/>
      <w:lvlText w:val=""/>
      <w:lvlJc w:val="left"/>
      <w:pPr>
        <w:ind w:left="3400" w:hanging="360"/>
      </w:pPr>
      <w:rPr>
        <w:rFonts w:ascii="Symbol" w:hAnsi="Symbol" w:hint="default"/>
      </w:rPr>
    </w:lvl>
    <w:lvl w:ilvl="4" w:tplc="04260003" w:tentative="1">
      <w:start w:val="1"/>
      <w:numFmt w:val="bullet"/>
      <w:lvlText w:val="o"/>
      <w:lvlJc w:val="left"/>
      <w:pPr>
        <w:ind w:left="4120" w:hanging="360"/>
      </w:pPr>
      <w:rPr>
        <w:rFonts w:ascii="Courier New" w:hAnsi="Courier New" w:cs="Courier New" w:hint="default"/>
      </w:rPr>
    </w:lvl>
    <w:lvl w:ilvl="5" w:tplc="04260005" w:tentative="1">
      <w:start w:val="1"/>
      <w:numFmt w:val="bullet"/>
      <w:lvlText w:val=""/>
      <w:lvlJc w:val="left"/>
      <w:pPr>
        <w:ind w:left="4840" w:hanging="360"/>
      </w:pPr>
      <w:rPr>
        <w:rFonts w:ascii="Wingdings" w:hAnsi="Wingdings" w:hint="default"/>
      </w:rPr>
    </w:lvl>
    <w:lvl w:ilvl="6" w:tplc="04260001" w:tentative="1">
      <w:start w:val="1"/>
      <w:numFmt w:val="bullet"/>
      <w:lvlText w:val=""/>
      <w:lvlJc w:val="left"/>
      <w:pPr>
        <w:ind w:left="5560" w:hanging="360"/>
      </w:pPr>
      <w:rPr>
        <w:rFonts w:ascii="Symbol" w:hAnsi="Symbol" w:hint="default"/>
      </w:rPr>
    </w:lvl>
    <w:lvl w:ilvl="7" w:tplc="04260003" w:tentative="1">
      <w:start w:val="1"/>
      <w:numFmt w:val="bullet"/>
      <w:lvlText w:val="o"/>
      <w:lvlJc w:val="left"/>
      <w:pPr>
        <w:ind w:left="6280" w:hanging="360"/>
      </w:pPr>
      <w:rPr>
        <w:rFonts w:ascii="Courier New" w:hAnsi="Courier New" w:cs="Courier New" w:hint="default"/>
      </w:rPr>
    </w:lvl>
    <w:lvl w:ilvl="8" w:tplc="04260005" w:tentative="1">
      <w:start w:val="1"/>
      <w:numFmt w:val="bullet"/>
      <w:lvlText w:val=""/>
      <w:lvlJc w:val="left"/>
      <w:pPr>
        <w:ind w:left="7000" w:hanging="360"/>
      </w:pPr>
      <w:rPr>
        <w:rFonts w:ascii="Wingdings" w:hAnsi="Wingdings" w:hint="default"/>
      </w:rPr>
    </w:lvl>
  </w:abstractNum>
  <w:abstractNum w:abstractNumId="1">
    <w:nsid w:val="37394295"/>
    <w:multiLevelType w:val="multilevel"/>
    <w:tmpl w:val="D308942A"/>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4"/>
        <w:szCs w:val="24"/>
      </w:rPr>
    </w:lvl>
    <w:lvl w:ilvl="2">
      <w:start w:val="1"/>
      <w:numFmt w:val="decimal"/>
      <w:lvlText w:val="%1.%2.%3."/>
      <w:lvlJc w:val="left"/>
      <w:pPr>
        <w:ind w:left="1288" w:hanging="720"/>
      </w:pPr>
      <w:rPr>
        <w:rFonts w:hint="default"/>
        <w:i w:val="0"/>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2">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3">
    <w:nsid w:val="7E8D36E2"/>
    <w:multiLevelType w:val="hybridMultilevel"/>
    <w:tmpl w:val="E1422848"/>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A9C"/>
    <w:rsid w:val="0000125E"/>
    <w:rsid w:val="0000157E"/>
    <w:rsid w:val="00004205"/>
    <w:rsid w:val="00004D14"/>
    <w:rsid w:val="00007A9D"/>
    <w:rsid w:val="00010EF3"/>
    <w:rsid w:val="0001150F"/>
    <w:rsid w:val="00012046"/>
    <w:rsid w:val="00012247"/>
    <w:rsid w:val="000131D4"/>
    <w:rsid w:val="00013542"/>
    <w:rsid w:val="000155D7"/>
    <w:rsid w:val="0002351D"/>
    <w:rsid w:val="000235DC"/>
    <w:rsid w:val="00024D2B"/>
    <w:rsid w:val="00025CED"/>
    <w:rsid w:val="00027BFF"/>
    <w:rsid w:val="00030013"/>
    <w:rsid w:val="00031426"/>
    <w:rsid w:val="000329E7"/>
    <w:rsid w:val="00032E7D"/>
    <w:rsid w:val="00033476"/>
    <w:rsid w:val="00036F86"/>
    <w:rsid w:val="0004039E"/>
    <w:rsid w:val="0004150E"/>
    <w:rsid w:val="00041B4A"/>
    <w:rsid w:val="00045034"/>
    <w:rsid w:val="00045B2C"/>
    <w:rsid w:val="0006033B"/>
    <w:rsid w:val="00064E71"/>
    <w:rsid w:val="00065397"/>
    <w:rsid w:val="00066392"/>
    <w:rsid w:val="000702BD"/>
    <w:rsid w:val="00070CCC"/>
    <w:rsid w:val="00071E26"/>
    <w:rsid w:val="00076F58"/>
    <w:rsid w:val="0008046F"/>
    <w:rsid w:val="000819C3"/>
    <w:rsid w:val="000825F3"/>
    <w:rsid w:val="0008302E"/>
    <w:rsid w:val="00085D1A"/>
    <w:rsid w:val="00086251"/>
    <w:rsid w:val="00086ADC"/>
    <w:rsid w:val="000872B3"/>
    <w:rsid w:val="00087D51"/>
    <w:rsid w:val="000917B9"/>
    <w:rsid w:val="00092F63"/>
    <w:rsid w:val="00093296"/>
    <w:rsid w:val="00093558"/>
    <w:rsid w:val="00094D3D"/>
    <w:rsid w:val="00096697"/>
    <w:rsid w:val="00096D2C"/>
    <w:rsid w:val="000A0445"/>
    <w:rsid w:val="000A0A96"/>
    <w:rsid w:val="000A100A"/>
    <w:rsid w:val="000A42FA"/>
    <w:rsid w:val="000A7082"/>
    <w:rsid w:val="000A73C1"/>
    <w:rsid w:val="000B0CF5"/>
    <w:rsid w:val="000B19E1"/>
    <w:rsid w:val="000B69A2"/>
    <w:rsid w:val="000C2648"/>
    <w:rsid w:val="000C3D1A"/>
    <w:rsid w:val="000C4CB8"/>
    <w:rsid w:val="000C507D"/>
    <w:rsid w:val="000D0A5D"/>
    <w:rsid w:val="000D1FFE"/>
    <w:rsid w:val="000D4A1E"/>
    <w:rsid w:val="000D7DE8"/>
    <w:rsid w:val="000E01AA"/>
    <w:rsid w:val="000E0A7D"/>
    <w:rsid w:val="000E17FF"/>
    <w:rsid w:val="000E2E4E"/>
    <w:rsid w:val="000E60C0"/>
    <w:rsid w:val="000E6AB2"/>
    <w:rsid w:val="000F033F"/>
    <w:rsid w:val="000F16B2"/>
    <w:rsid w:val="000F322A"/>
    <w:rsid w:val="000F4B9A"/>
    <w:rsid w:val="000F5DB0"/>
    <w:rsid w:val="000F7EFB"/>
    <w:rsid w:val="00103030"/>
    <w:rsid w:val="00106F9B"/>
    <w:rsid w:val="001071E2"/>
    <w:rsid w:val="00112F66"/>
    <w:rsid w:val="0011565C"/>
    <w:rsid w:val="001158F2"/>
    <w:rsid w:val="0011759A"/>
    <w:rsid w:val="00120BFC"/>
    <w:rsid w:val="00121FDE"/>
    <w:rsid w:val="0012311D"/>
    <w:rsid w:val="00123CE3"/>
    <w:rsid w:val="00124063"/>
    <w:rsid w:val="00124129"/>
    <w:rsid w:val="00124F71"/>
    <w:rsid w:val="00125BDF"/>
    <w:rsid w:val="001301CE"/>
    <w:rsid w:val="00130445"/>
    <w:rsid w:val="00130509"/>
    <w:rsid w:val="00134C64"/>
    <w:rsid w:val="00135478"/>
    <w:rsid w:val="00135BCA"/>
    <w:rsid w:val="00137F4A"/>
    <w:rsid w:val="0014120F"/>
    <w:rsid w:val="00141606"/>
    <w:rsid w:val="00141FF9"/>
    <w:rsid w:val="001437A6"/>
    <w:rsid w:val="00145737"/>
    <w:rsid w:val="00146A94"/>
    <w:rsid w:val="0014723C"/>
    <w:rsid w:val="001476F6"/>
    <w:rsid w:val="00147E05"/>
    <w:rsid w:val="00152613"/>
    <w:rsid w:val="00152786"/>
    <w:rsid w:val="00152A8A"/>
    <w:rsid w:val="001532EC"/>
    <w:rsid w:val="00153CD1"/>
    <w:rsid w:val="00155D75"/>
    <w:rsid w:val="001561B7"/>
    <w:rsid w:val="00156BAB"/>
    <w:rsid w:val="0015732F"/>
    <w:rsid w:val="00157E52"/>
    <w:rsid w:val="001606C6"/>
    <w:rsid w:val="0016117B"/>
    <w:rsid w:val="00164ADD"/>
    <w:rsid w:val="00164DAB"/>
    <w:rsid w:val="00166D53"/>
    <w:rsid w:val="0016742E"/>
    <w:rsid w:val="001675C5"/>
    <w:rsid w:val="00167ADB"/>
    <w:rsid w:val="00167AE7"/>
    <w:rsid w:val="00170B28"/>
    <w:rsid w:val="00171098"/>
    <w:rsid w:val="00172E2B"/>
    <w:rsid w:val="00175522"/>
    <w:rsid w:val="001756E3"/>
    <w:rsid w:val="00176AEA"/>
    <w:rsid w:val="001802CB"/>
    <w:rsid w:val="00182635"/>
    <w:rsid w:val="00182D5F"/>
    <w:rsid w:val="00183295"/>
    <w:rsid w:val="00183485"/>
    <w:rsid w:val="001864C1"/>
    <w:rsid w:val="00187A95"/>
    <w:rsid w:val="00191372"/>
    <w:rsid w:val="00191701"/>
    <w:rsid w:val="001924E6"/>
    <w:rsid w:val="00194A10"/>
    <w:rsid w:val="00194B68"/>
    <w:rsid w:val="0019717A"/>
    <w:rsid w:val="001A41B8"/>
    <w:rsid w:val="001A6C52"/>
    <w:rsid w:val="001B0A1D"/>
    <w:rsid w:val="001B3263"/>
    <w:rsid w:val="001C063B"/>
    <w:rsid w:val="001C4966"/>
    <w:rsid w:val="001C53B0"/>
    <w:rsid w:val="001C7AF7"/>
    <w:rsid w:val="001C7CD3"/>
    <w:rsid w:val="001D06F5"/>
    <w:rsid w:val="001D1F85"/>
    <w:rsid w:val="001D219F"/>
    <w:rsid w:val="001D5745"/>
    <w:rsid w:val="001E1301"/>
    <w:rsid w:val="001E30DF"/>
    <w:rsid w:val="001E565A"/>
    <w:rsid w:val="001E6027"/>
    <w:rsid w:val="001E62D8"/>
    <w:rsid w:val="001E6CE3"/>
    <w:rsid w:val="001E7522"/>
    <w:rsid w:val="001F0022"/>
    <w:rsid w:val="001F0F2A"/>
    <w:rsid w:val="001F201E"/>
    <w:rsid w:val="001F437A"/>
    <w:rsid w:val="001F4473"/>
    <w:rsid w:val="001F7D0C"/>
    <w:rsid w:val="0020276F"/>
    <w:rsid w:val="00203DB7"/>
    <w:rsid w:val="00203F69"/>
    <w:rsid w:val="002046E9"/>
    <w:rsid w:val="002053B6"/>
    <w:rsid w:val="00205EA2"/>
    <w:rsid w:val="0020673F"/>
    <w:rsid w:val="002067DA"/>
    <w:rsid w:val="00206DAB"/>
    <w:rsid w:val="00212896"/>
    <w:rsid w:val="00213CC8"/>
    <w:rsid w:val="0021406A"/>
    <w:rsid w:val="00214CA8"/>
    <w:rsid w:val="00215414"/>
    <w:rsid w:val="00216516"/>
    <w:rsid w:val="00217DF9"/>
    <w:rsid w:val="00221D26"/>
    <w:rsid w:val="00223483"/>
    <w:rsid w:val="00224F95"/>
    <w:rsid w:val="00227AC9"/>
    <w:rsid w:val="00230E52"/>
    <w:rsid w:val="00232FCC"/>
    <w:rsid w:val="00235116"/>
    <w:rsid w:val="0023678F"/>
    <w:rsid w:val="00242563"/>
    <w:rsid w:val="00242D34"/>
    <w:rsid w:val="0024383A"/>
    <w:rsid w:val="00245432"/>
    <w:rsid w:val="00246E61"/>
    <w:rsid w:val="00247E55"/>
    <w:rsid w:val="00252466"/>
    <w:rsid w:val="00253E98"/>
    <w:rsid w:val="00255B43"/>
    <w:rsid w:val="0026274E"/>
    <w:rsid w:val="00262EE4"/>
    <w:rsid w:val="00263512"/>
    <w:rsid w:val="00265536"/>
    <w:rsid w:val="00265E05"/>
    <w:rsid w:val="00266ACC"/>
    <w:rsid w:val="00266C9D"/>
    <w:rsid w:val="00266EC9"/>
    <w:rsid w:val="0026790A"/>
    <w:rsid w:val="002708D3"/>
    <w:rsid w:val="00270A94"/>
    <w:rsid w:val="0027173E"/>
    <w:rsid w:val="00274603"/>
    <w:rsid w:val="002749B5"/>
    <w:rsid w:val="00274C68"/>
    <w:rsid w:val="00275B14"/>
    <w:rsid w:val="00276441"/>
    <w:rsid w:val="002764DA"/>
    <w:rsid w:val="00277168"/>
    <w:rsid w:val="00277794"/>
    <w:rsid w:val="00281973"/>
    <w:rsid w:val="00282644"/>
    <w:rsid w:val="0028411C"/>
    <w:rsid w:val="00285674"/>
    <w:rsid w:val="00296EB9"/>
    <w:rsid w:val="00297104"/>
    <w:rsid w:val="002A0815"/>
    <w:rsid w:val="002A0D84"/>
    <w:rsid w:val="002A13C0"/>
    <w:rsid w:val="002A39E3"/>
    <w:rsid w:val="002A48B2"/>
    <w:rsid w:val="002A4BE1"/>
    <w:rsid w:val="002B17CC"/>
    <w:rsid w:val="002B1999"/>
    <w:rsid w:val="002B2CFE"/>
    <w:rsid w:val="002B3F7A"/>
    <w:rsid w:val="002C1610"/>
    <w:rsid w:val="002C20D2"/>
    <w:rsid w:val="002C43CA"/>
    <w:rsid w:val="002C6694"/>
    <w:rsid w:val="002C7E44"/>
    <w:rsid w:val="002D506F"/>
    <w:rsid w:val="002D6E56"/>
    <w:rsid w:val="002D7658"/>
    <w:rsid w:val="002E1B15"/>
    <w:rsid w:val="002E5A2B"/>
    <w:rsid w:val="002F018A"/>
    <w:rsid w:val="002F166F"/>
    <w:rsid w:val="002F3690"/>
    <w:rsid w:val="002F5214"/>
    <w:rsid w:val="002F584F"/>
    <w:rsid w:val="002F5EF9"/>
    <w:rsid w:val="00302CBE"/>
    <w:rsid w:val="00306123"/>
    <w:rsid w:val="00310E77"/>
    <w:rsid w:val="00311D84"/>
    <w:rsid w:val="00312CF1"/>
    <w:rsid w:val="00315358"/>
    <w:rsid w:val="00315C5A"/>
    <w:rsid w:val="00315D69"/>
    <w:rsid w:val="00317C34"/>
    <w:rsid w:val="00321BE9"/>
    <w:rsid w:val="0032225B"/>
    <w:rsid w:val="00322B84"/>
    <w:rsid w:val="0032304B"/>
    <w:rsid w:val="003235AA"/>
    <w:rsid w:val="00324469"/>
    <w:rsid w:val="00327020"/>
    <w:rsid w:val="003317D9"/>
    <w:rsid w:val="00331EC9"/>
    <w:rsid w:val="00333772"/>
    <w:rsid w:val="00333B12"/>
    <w:rsid w:val="00334379"/>
    <w:rsid w:val="003345D1"/>
    <w:rsid w:val="00336EB8"/>
    <w:rsid w:val="00341C0F"/>
    <w:rsid w:val="00343382"/>
    <w:rsid w:val="003435CF"/>
    <w:rsid w:val="00344621"/>
    <w:rsid w:val="00344816"/>
    <w:rsid w:val="00344D4B"/>
    <w:rsid w:val="00347B0A"/>
    <w:rsid w:val="00350340"/>
    <w:rsid w:val="003528E0"/>
    <w:rsid w:val="00353A9A"/>
    <w:rsid w:val="00356B99"/>
    <w:rsid w:val="00357D0A"/>
    <w:rsid w:val="00362650"/>
    <w:rsid w:val="003630BE"/>
    <w:rsid w:val="00364F93"/>
    <w:rsid w:val="00364FB0"/>
    <w:rsid w:val="00374C9C"/>
    <w:rsid w:val="00374DAF"/>
    <w:rsid w:val="00374E9E"/>
    <w:rsid w:val="00375548"/>
    <w:rsid w:val="003763FF"/>
    <w:rsid w:val="0037779D"/>
    <w:rsid w:val="00377942"/>
    <w:rsid w:val="003809EF"/>
    <w:rsid w:val="0038454B"/>
    <w:rsid w:val="003857DC"/>
    <w:rsid w:val="00385CEA"/>
    <w:rsid w:val="00387C93"/>
    <w:rsid w:val="00387CA7"/>
    <w:rsid w:val="00387E0B"/>
    <w:rsid w:val="00391965"/>
    <w:rsid w:val="00391F90"/>
    <w:rsid w:val="00392EF8"/>
    <w:rsid w:val="00393D7E"/>
    <w:rsid w:val="00394D37"/>
    <w:rsid w:val="00395772"/>
    <w:rsid w:val="00396891"/>
    <w:rsid w:val="00397AC0"/>
    <w:rsid w:val="003A34B4"/>
    <w:rsid w:val="003A7BBD"/>
    <w:rsid w:val="003B2A64"/>
    <w:rsid w:val="003B318A"/>
    <w:rsid w:val="003C052A"/>
    <w:rsid w:val="003C0E09"/>
    <w:rsid w:val="003C2D58"/>
    <w:rsid w:val="003C32B2"/>
    <w:rsid w:val="003C4606"/>
    <w:rsid w:val="003C4C0E"/>
    <w:rsid w:val="003C5196"/>
    <w:rsid w:val="003D09B6"/>
    <w:rsid w:val="003D0F4B"/>
    <w:rsid w:val="003D2A6C"/>
    <w:rsid w:val="003D2E0F"/>
    <w:rsid w:val="003D50B8"/>
    <w:rsid w:val="003D7BB6"/>
    <w:rsid w:val="003E0C21"/>
    <w:rsid w:val="003E420D"/>
    <w:rsid w:val="003E4ADB"/>
    <w:rsid w:val="003E67A8"/>
    <w:rsid w:val="003F01CB"/>
    <w:rsid w:val="003F1710"/>
    <w:rsid w:val="003F2313"/>
    <w:rsid w:val="003F51F3"/>
    <w:rsid w:val="003F6263"/>
    <w:rsid w:val="004047AB"/>
    <w:rsid w:val="00404CE8"/>
    <w:rsid w:val="00410A25"/>
    <w:rsid w:val="00410F1E"/>
    <w:rsid w:val="0041123E"/>
    <w:rsid w:val="00411427"/>
    <w:rsid w:val="0041198E"/>
    <w:rsid w:val="00412954"/>
    <w:rsid w:val="00412B55"/>
    <w:rsid w:val="0041317F"/>
    <w:rsid w:val="00413304"/>
    <w:rsid w:val="00413F97"/>
    <w:rsid w:val="0041554D"/>
    <w:rsid w:val="004171AE"/>
    <w:rsid w:val="00417BA6"/>
    <w:rsid w:val="00421C4C"/>
    <w:rsid w:val="00421CFC"/>
    <w:rsid w:val="004232C0"/>
    <w:rsid w:val="00423EBD"/>
    <w:rsid w:val="004249DA"/>
    <w:rsid w:val="00427908"/>
    <w:rsid w:val="00427A5B"/>
    <w:rsid w:val="0043022A"/>
    <w:rsid w:val="00430303"/>
    <w:rsid w:val="00430DCC"/>
    <w:rsid w:val="00430EB1"/>
    <w:rsid w:val="0043139E"/>
    <w:rsid w:val="004319BD"/>
    <w:rsid w:val="00431E41"/>
    <w:rsid w:val="00431F55"/>
    <w:rsid w:val="00432607"/>
    <w:rsid w:val="0043388A"/>
    <w:rsid w:val="00434F35"/>
    <w:rsid w:val="00435494"/>
    <w:rsid w:val="00435F2B"/>
    <w:rsid w:val="00437CAD"/>
    <w:rsid w:val="004412DC"/>
    <w:rsid w:val="00441430"/>
    <w:rsid w:val="00441E81"/>
    <w:rsid w:val="004445EE"/>
    <w:rsid w:val="00445279"/>
    <w:rsid w:val="00445A06"/>
    <w:rsid w:val="00445B0F"/>
    <w:rsid w:val="00445D5F"/>
    <w:rsid w:val="004471AA"/>
    <w:rsid w:val="004473C6"/>
    <w:rsid w:val="00452375"/>
    <w:rsid w:val="00452DF5"/>
    <w:rsid w:val="004538C6"/>
    <w:rsid w:val="00453DCE"/>
    <w:rsid w:val="00454145"/>
    <w:rsid w:val="004569F5"/>
    <w:rsid w:val="00457DDD"/>
    <w:rsid w:val="00461501"/>
    <w:rsid w:val="0046284B"/>
    <w:rsid w:val="00464D47"/>
    <w:rsid w:val="00471008"/>
    <w:rsid w:val="00471936"/>
    <w:rsid w:val="00474283"/>
    <w:rsid w:val="00476DE2"/>
    <w:rsid w:val="00477249"/>
    <w:rsid w:val="00490609"/>
    <w:rsid w:val="004948A2"/>
    <w:rsid w:val="00496C98"/>
    <w:rsid w:val="004A342B"/>
    <w:rsid w:val="004A3EB2"/>
    <w:rsid w:val="004A45D7"/>
    <w:rsid w:val="004A5605"/>
    <w:rsid w:val="004A68C3"/>
    <w:rsid w:val="004A7DAA"/>
    <w:rsid w:val="004B009D"/>
    <w:rsid w:val="004B0AEA"/>
    <w:rsid w:val="004B1E26"/>
    <w:rsid w:val="004B2E92"/>
    <w:rsid w:val="004B3FB7"/>
    <w:rsid w:val="004B4C45"/>
    <w:rsid w:val="004B503C"/>
    <w:rsid w:val="004B73BB"/>
    <w:rsid w:val="004C0095"/>
    <w:rsid w:val="004C1BE6"/>
    <w:rsid w:val="004C1C6C"/>
    <w:rsid w:val="004C308F"/>
    <w:rsid w:val="004C3394"/>
    <w:rsid w:val="004C3E89"/>
    <w:rsid w:val="004C4C0A"/>
    <w:rsid w:val="004C5556"/>
    <w:rsid w:val="004C5FAD"/>
    <w:rsid w:val="004C649A"/>
    <w:rsid w:val="004C71CA"/>
    <w:rsid w:val="004D0808"/>
    <w:rsid w:val="004D1510"/>
    <w:rsid w:val="004D3CBD"/>
    <w:rsid w:val="004D3DFF"/>
    <w:rsid w:val="004D3F44"/>
    <w:rsid w:val="004D6C6B"/>
    <w:rsid w:val="004D7002"/>
    <w:rsid w:val="004D70CD"/>
    <w:rsid w:val="004D7B8C"/>
    <w:rsid w:val="004E15E4"/>
    <w:rsid w:val="004E2A20"/>
    <w:rsid w:val="004E35AC"/>
    <w:rsid w:val="004E36CF"/>
    <w:rsid w:val="004E3DFA"/>
    <w:rsid w:val="004E4D98"/>
    <w:rsid w:val="004E5B26"/>
    <w:rsid w:val="004E5CD0"/>
    <w:rsid w:val="004E6380"/>
    <w:rsid w:val="004F16F5"/>
    <w:rsid w:val="004F2B50"/>
    <w:rsid w:val="004F312D"/>
    <w:rsid w:val="004F4D8C"/>
    <w:rsid w:val="004F50FA"/>
    <w:rsid w:val="004F776E"/>
    <w:rsid w:val="0050293B"/>
    <w:rsid w:val="00504AC1"/>
    <w:rsid w:val="00505C92"/>
    <w:rsid w:val="00505E52"/>
    <w:rsid w:val="00507DF8"/>
    <w:rsid w:val="00510173"/>
    <w:rsid w:val="00510C5F"/>
    <w:rsid w:val="005131B0"/>
    <w:rsid w:val="0051439B"/>
    <w:rsid w:val="00514D2D"/>
    <w:rsid w:val="00516BEA"/>
    <w:rsid w:val="00516DA0"/>
    <w:rsid w:val="005220B2"/>
    <w:rsid w:val="00523842"/>
    <w:rsid w:val="00523D4E"/>
    <w:rsid w:val="00525970"/>
    <w:rsid w:val="00526CA6"/>
    <w:rsid w:val="005326E0"/>
    <w:rsid w:val="00532C66"/>
    <w:rsid w:val="0053311C"/>
    <w:rsid w:val="00534F8D"/>
    <w:rsid w:val="005355DC"/>
    <w:rsid w:val="00537322"/>
    <w:rsid w:val="00537709"/>
    <w:rsid w:val="00540DCB"/>
    <w:rsid w:val="005418C1"/>
    <w:rsid w:val="00545BAC"/>
    <w:rsid w:val="00545D92"/>
    <w:rsid w:val="005462AA"/>
    <w:rsid w:val="00552267"/>
    <w:rsid w:val="0055271A"/>
    <w:rsid w:val="0055418A"/>
    <w:rsid w:val="00554882"/>
    <w:rsid w:val="00555FB9"/>
    <w:rsid w:val="005565E6"/>
    <w:rsid w:val="0056273C"/>
    <w:rsid w:val="005627C6"/>
    <w:rsid w:val="00563727"/>
    <w:rsid w:val="005650F7"/>
    <w:rsid w:val="00567006"/>
    <w:rsid w:val="0057026B"/>
    <w:rsid w:val="00572727"/>
    <w:rsid w:val="00572876"/>
    <w:rsid w:val="00576F61"/>
    <w:rsid w:val="00577C3A"/>
    <w:rsid w:val="005831DF"/>
    <w:rsid w:val="005846B7"/>
    <w:rsid w:val="0058492F"/>
    <w:rsid w:val="00585F33"/>
    <w:rsid w:val="0058643B"/>
    <w:rsid w:val="00586618"/>
    <w:rsid w:val="00587804"/>
    <w:rsid w:val="00587DFC"/>
    <w:rsid w:val="0059334D"/>
    <w:rsid w:val="00593432"/>
    <w:rsid w:val="005942F8"/>
    <w:rsid w:val="0059589A"/>
    <w:rsid w:val="00595984"/>
    <w:rsid w:val="00597D9E"/>
    <w:rsid w:val="00597F15"/>
    <w:rsid w:val="00597F7E"/>
    <w:rsid w:val="005A0623"/>
    <w:rsid w:val="005A0BB4"/>
    <w:rsid w:val="005A1DA1"/>
    <w:rsid w:val="005A1DA3"/>
    <w:rsid w:val="005A302B"/>
    <w:rsid w:val="005A3479"/>
    <w:rsid w:val="005A448A"/>
    <w:rsid w:val="005A4EC8"/>
    <w:rsid w:val="005A5CFC"/>
    <w:rsid w:val="005A618A"/>
    <w:rsid w:val="005A6D01"/>
    <w:rsid w:val="005A726A"/>
    <w:rsid w:val="005B0D50"/>
    <w:rsid w:val="005B2B0D"/>
    <w:rsid w:val="005B35FE"/>
    <w:rsid w:val="005B51E9"/>
    <w:rsid w:val="005C08A0"/>
    <w:rsid w:val="005C303F"/>
    <w:rsid w:val="005C32ED"/>
    <w:rsid w:val="005C6891"/>
    <w:rsid w:val="005C7112"/>
    <w:rsid w:val="005D3AF3"/>
    <w:rsid w:val="005D3BF6"/>
    <w:rsid w:val="005D3E58"/>
    <w:rsid w:val="005D70A1"/>
    <w:rsid w:val="005D756E"/>
    <w:rsid w:val="005D7681"/>
    <w:rsid w:val="005D7B7D"/>
    <w:rsid w:val="005E05AB"/>
    <w:rsid w:val="005E2436"/>
    <w:rsid w:val="005E2BB0"/>
    <w:rsid w:val="005E4D89"/>
    <w:rsid w:val="005E5A38"/>
    <w:rsid w:val="005E629D"/>
    <w:rsid w:val="005E6470"/>
    <w:rsid w:val="005E6FD6"/>
    <w:rsid w:val="005E7D93"/>
    <w:rsid w:val="005F25F9"/>
    <w:rsid w:val="005F2C55"/>
    <w:rsid w:val="005F3EDB"/>
    <w:rsid w:val="005F631A"/>
    <w:rsid w:val="005F7441"/>
    <w:rsid w:val="00603139"/>
    <w:rsid w:val="00607C11"/>
    <w:rsid w:val="00612498"/>
    <w:rsid w:val="006124FE"/>
    <w:rsid w:val="00612950"/>
    <w:rsid w:val="00612EE8"/>
    <w:rsid w:val="00613449"/>
    <w:rsid w:val="0061789D"/>
    <w:rsid w:val="00617C35"/>
    <w:rsid w:val="00620E5E"/>
    <w:rsid w:val="006230A3"/>
    <w:rsid w:val="00624B73"/>
    <w:rsid w:val="006335EF"/>
    <w:rsid w:val="006367CB"/>
    <w:rsid w:val="006368B6"/>
    <w:rsid w:val="006428BE"/>
    <w:rsid w:val="00643B61"/>
    <w:rsid w:val="006455F7"/>
    <w:rsid w:val="00647A46"/>
    <w:rsid w:val="00647D07"/>
    <w:rsid w:val="0065016F"/>
    <w:rsid w:val="0065119E"/>
    <w:rsid w:val="006540C2"/>
    <w:rsid w:val="0065546E"/>
    <w:rsid w:val="006567BB"/>
    <w:rsid w:val="006573CA"/>
    <w:rsid w:val="006626E4"/>
    <w:rsid w:val="006665D0"/>
    <w:rsid w:val="0067229D"/>
    <w:rsid w:val="006723EA"/>
    <w:rsid w:val="006762E5"/>
    <w:rsid w:val="0067712F"/>
    <w:rsid w:val="00677520"/>
    <w:rsid w:val="00680F3E"/>
    <w:rsid w:val="00687F89"/>
    <w:rsid w:val="006902A8"/>
    <w:rsid w:val="00690475"/>
    <w:rsid w:val="00691570"/>
    <w:rsid w:val="00695B4F"/>
    <w:rsid w:val="00695C94"/>
    <w:rsid w:val="00696DE8"/>
    <w:rsid w:val="006A681E"/>
    <w:rsid w:val="006A6E6D"/>
    <w:rsid w:val="006B4D2B"/>
    <w:rsid w:val="006B5940"/>
    <w:rsid w:val="006B79F7"/>
    <w:rsid w:val="006C061F"/>
    <w:rsid w:val="006C39E8"/>
    <w:rsid w:val="006C3F97"/>
    <w:rsid w:val="006C523C"/>
    <w:rsid w:val="006C5478"/>
    <w:rsid w:val="006C5676"/>
    <w:rsid w:val="006C5CD7"/>
    <w:rsid w:val="006C71E6"/>
    <w:rsid w:val="006C755C"/>
    <w:rsid w:val="006D002F"/>
    <w:rsid w:val="006D1F12"/>
    <w:rsid w:val="006D242B"/>
    <w:rsid w:val="006D2C49"/>
    <w:rsid w:val="006D459F"/>
    <w:rsid w:val="006D5199"/>
    <w:rsid w:val="006D60F7"/>
    <w:rsid w:val="006D7E20"/>
    <w:rsid w:val="006E0DE9"/>
    <w:rsid w:val="006E2C11"/>
    <w:rsid w:val="006E3677"/>
    <w:rsid w:val="006E3E1F"/>
    <w:rsid w:val="006F0E56"/>
    <w:rsid w:val="006F3080"/>
    <w:rsid w:val="006F550E"/>
    <w:rsid w:val="006F55AA"/>
    <w:rsid w:val="006F686C"/>
    <w:rsid w:val="00700189"/>
    <w:rsid w:val="00700613"/>
    <w:rsid w:val="00700B55"/>
    <w:rsid w:val="007010A5"/>
    <w:rsid w:val="007037F8"/>
    <w:rsid w:val="00704167"/>
    <w:rsid w:val="00705E2D"/>
    <w:rsid w:val="007062FC"/>
    <w:rsid w:val="0070729C"/>
    <w:rsid w:val="00711FAA"/>
    <w:rsid w:val="00713275"/>
    <w:rsid w:val="00713BE5"/>
    <w:rsid w:val="00714D9D"/>
    <w:rsid w:val="00717EDB"/>
    <w:rsid w:val="00720E0B"/>
    <w:rsid w:val="00722580"/>
    <w:rsid w:val="00722A4A"/>
    <w:rsid w:val="007248FC"/>
    <w:rsid w:val="0072791A"/>
    <w:rsid w:val="00730D8C"/>
    <w:rsid w:val="00730F6A"/>
    <w:rsid w:val="007313FC"/>
    <w:rsid w:val="00731667"/>
    <w:rsid w:val="00731A28"/>
    <w:rsid w:val="00734921"/>
    <w:rsid w:val="00735181"/>
    <w:rsid w:val="00735D0C"/>
    <w:rsid w:val="00735F1B"/>
    <w:rsid w:val="007364C7"/>
    <w:rsid w:val="00736C54"/>
    <w:rsid w:val="00736D07"/>
    <w:rsid w:val="00737D6C"/>
    <w:rsid w:val="00740E81"/>
    <w:rsid w:val="007428D2"/>
    <w:rsid w:val="007452A2"/>
    <w:rsid w:val="00746B1F"/>
    <w:rsid w:val="00753561"/>
    <w:rsid w:val="00760C12"/>
    <w:rsid w:val="00762C94"/>
    <w:rsid w:val="0076379D"/>
    <w:rsid w:val="00763E85"/>
    <w:rsid w:val="007645C3"/>
    <w:rsid w:val="0076771B"/>
    <w:rsid w:val="00767D53"/>
    <w:rsid w:val="0077060B"/>
    <w:rsid w:val="00772471"/>
    <w:rsid w:val="007733E6"/>
    <w:rsid w:val="0077467F"/>
    <w:rsid w:val="007772F1"/>
    <w:rsid w:val="007777DD"/>
    <w:rsid w:val="00777C3F"/>
    <w:rsid w:val="00780169"/>
    <w:rsid w:val="00780381"/>
    <w:rsid w:val="007808D9"/>
    <w:rsid w:val="00781DF0"/>
    <w:rsid w:val="007852AE"/>
    <w:rsid w:val="00785F78"/>
    <w:rsid w:val="00786685"/>
    <w:rsid w:val="007877F5"/>
    <w:rsid w:val="00790689"/>
    <w:rsid w:val="0079176D"/>
    <w:rsid w:val="00792535"/>
    <w:rsid w:val="00792ADA"/>
    <w:rsid w:val="00793573"/>
    <w:rsid w:val="00795204"/>
    <w:rsid w:val="00796EA0"/>
    <w:rsid w:val="007A0932"/>
    <w:rsid w:val="007A1A4B"/>
    <w:rsid w:val="007A1B34"/>
    <w:rsid w:val="007A3AF2"/>
    <w:rsid w:val="007A4D8B"/>
    <w:rsid w:val="007A6556"/>
    <w:rsid w:val="007A6B3D"/>
    <w:rsid w:val="007A7296"/>
    <w:rsid w:val="007B03E1"/>
    <w:rsid w:val="007B2822"/>
    <w:rsid w:val="007B3ED7"/>
    <w:rsid w:val="007B495E"/>
    <w:rsid w:val="007B5DFC"/>
    <w:rsid w:val="007B6BF5"/>
    <w:rsid w:val="007C035F"/>
    <w:rsid w:val="007C1A48"/>
    <w:rsid w:val="007C35A5"/>
    <w:rsid w:val="007C47BE"/>
    <w:rsid w:val="007C4C57"/>
    <w:rsid w:val="007C54E7"/>
    <w:rsid w:val="007C5780"/>
    <w:rsid w:val="007C5D57"/>
    <w:rsid w:val="007C7377"/>
    <w:rsid w:val="007C7CF0"/>
    <w:rsid w:val="007D0C7C"/>
    <w:rsid w:val="007D10D6"/>
    <w:rsid w:val="007D137E"/>
    <w:rsid w:val="007D20BA"/>
    <w:rsid w:val="007D277F"/>
    <w:rsid w:val="007D461F"/>
    <w:rsid w:val="007D5612"/>
    <w:rsid w:val="007D5E7C"/>
    <w:rsid w:val="007D62CE"/>
    <w:rsid w:val="007D6658"/>
    <w:rsid w:val="007D6724"/>
    <w:rsid w:val="007E095B"/>
    <w:rsid w:val="007E206A"/>
    <w:rsid w:val="007E214B"/>
    <w:rsid w:val="007E22DC"/>
    <w:rsid w:val="007E507A"/>
    <w:rsid w:val="007E50BD"/>
    <w:rsid w:val="007E5467"/>
    <w:rsid w:val="007E7045"/>
    <w:rsid w:val="007E7A07"/>
    <w:rsid w:val="007E7DA6"/>
    <w:rsid w:val="007F42E0"/>
    <w:rsid w:val="007F5D62"/>
    <w:rsid w:val="007F61D0"/>
    <w:rsid w:val="007F7760"/>
    <w:rsid w:val="007F7FF6"/>
    <w:rsid w:val="00800102"/>
    <w:rsid w:val="00803D33"/>
    <w:rsid w:val="00805A6E"/>
    <w:rsid w:val="00820D56"/>
    <w:rsid w:val="0082279C"/>
    <w:rsid w:val="00822C04"/>
    <w:rsid w:val="00822DE4"/>
    <w:rsid w:val="00823A49"/>
    <w:rsid w:val="00824DEB"/>
    <w:rsid w:val="00825112"/>
    <w:rsid w:val="008269F8"/>
    <w:rsid w:val="00827DB4"/>
    <w:rsid w:val="00831F81"/>
    <w:rsid w:val="0083248E"/>
    <w:rsid w:val="008342D7"/>
    <w:rsid w:val="00840487"/>
    <w:rsid w:val="00841B1E"/>
    <w:rsid w:val="00841B3F"/>
    <w:rsid w:val="00847041"/>
    <w:rsid w:val="00847499"/>
    <w:rsid w:val="008476E7"/>
    <w:rsid w:val="008557C5"/>
    <w:rsid w:val="00856FB3"/>
    <w:rsid w:val="008602A4"/>
    <w:rsid w:val="00860930"/>
    <w:rsid w:val="00861024"/>
    <w:rsid w:val="00864920"/>
    <w:rsid w:val="0086511D"/>
    <w:rsid w:val="00865340"/>
    <w:rsid w:val="00866E50"/>
    <w:rsid w:val="008752B2"/>
    <w:rsid w:val="0088339D"/>
    <w:rsid w:val="008841BD"/>
    <w:rsid w:val="0088719B"/>
    <w:rsid w:val="00891A44"/>
    <w:rsid w:val="0089574E"/>
    <w:rsid w:val="0089677D"/>
    <w:rsid w:val="00897928"/>
    <w:rsid w:val="00897D0D"/>
    <w:rsid w:val="008A2020"/>
    <w:rsid w:val="008A228E"/>
    <w:rsid w:val="008A37F3"/>
    <w:rsid w:val="008A599D"/>
    <w:rsid w:val="008A628E"/>
    <w:rsid w:val="008A6AFB"/>
    <w:rsid w:val="008A7AD4"/>
    <w:rsid w:val="008B133A"/>
    <w:rsid w:val="008B1FC6"/>
    <w:rsid w:val="008B514B"/>
    <w:rsid w:val="008B522F"/>
    <w:rsid w:val="008B57C6"/>
    <w:rsid w:val="008B7044"/>
    <w:rsid w:val="008C0329"/>
    <w:rsid w:val="008C07E3"/>
    <w:rsid w:val="008C1FFE"/>
    <w:rsid w:val="008C46CA"/>
    <w:rsid w:val="008C4C30"/>
    <w:rsid w:val="008C6101"/>
    <w:rsid w:val="008D026A"/>
    <w:rsid w:val="008D27E7"/>
    <w:rsid w:val="008D30AD"/>
    <w:rsid w:val="008D3327"/>
    <w:rsid w:val="008D411F"/>
    <w:rsid w:val="008D4648"/>
    <w:rsid w:val="008D490D"/>
    <w:rsid w:val="008D53D2"/>
    <w:rsid w:val="008E23D6"/>
    <w:rsid w:val="008E2BC1"/>
    <w:rsid w:val="008E4334"/>
    <w:rsid w:val="008E52A6"/>
    <w:rsid w:val="008F2EFB"/>
    <w:rsid w:val="008F3690"/>
    <w:rsid w:val="008F3802"/>
    <w:rsid w:val="008F3924"/>
    <w:rsid w:val="008F6209"/>
    <w:rsid w:val="008F7FCA"/>
    <w:rsid w:val="0090143D"/>
    <w:rsid w:val="009047EF"/>
    <w:rsid w:val="00904BE6"/>
    <w:rsid w:val="00906330"/>
    <w:rsid w:val="00907385"/>
    <w:rsid w:val="009136C7"/>
    <w:rsid w:val="00914575"/>
    <w:rsid w:val="00916A78"/>
    <w:rsid w:val="00924897"/>
    <w:rsid w:val="00924B82"/>
    <w:rsid w:val="00931107"/>
    <w:rsid w:val="00931DB5"/>
    <w:rsid w:val="00935816"/>
    <w:rsid w:val="00937321"/>
    <w:rsid w:val="00937601"/>
    <w:rsid w:val="00940ED6"/>
    <w:rsid w:val="009419DF"/>
    <w:rsid w:val="00947FD0"/>
    <w:rsid w:val="009502BE"/>
    <w:rsid w:val="009534ED"/>
    <w:rsid w:val="0095461A"/>
    <w:rsid w:val="009555E1"/>
    <w:rsid w:val="009564FB"/>
    <w:rsid w:val="0095702A"/>
    <w:rsid w:val="00957959"/>
    <w:rsid w:val="00957C18"/>
    <w:rsid w:val="009614D9"/>
    <w:rsid w:val="00965D88"/>
    <w:rsid w:val="00967E0C"/>
    <w:rsid w:val="009765F2"/>
    <w:rsid w:val="00976ACB"/>
    <w:rsid w:val="00981590"/>
    <w:rsid w:val="00984FB2"/>
    <w:rsid w:val="0098669A"/>
    <w:rsid w:val="009866FE"/>
    <w:rsid w:val="00986D24"/>
    <w:rsid w:val="009941F1"/>
    <w:rsid w:val="009946DE"/>
    <w:rsid w:val="009973B2"/>
    <w:rsid w:val="00997D8E"/>
    <w:rsid w:val="00997FA6"/>
    <w:rsid w:val="009A2F1C"/>
    <w:rsid w:val="009A542D"/>
    <w:rsid w:val="009B2033"/>
    <w:rsid w:val="009B253D"/>
    <w:rsid w:val="009B339B"/>
    <w:rsid w:val="009B4F96"/>
    <w:rsid w:val="009B4FC0"/>
    <w:rsid w:val="009B5161"/>
    <w:rsid w:val="009C044F"/>
    <w:rsid w:val="009C2401"/>
    <w:rsid w:val="009C2F30"/>
    <w:rsid w:val="009C318B"/>
    <w:rsid w:val="009C376D"/>
    <w:rsid w:val="009C38F7"/>
    <w:rsid w:val="009C53E6"/>
    <w:rsid w:val="009C5C9D"/>
    <w:rsid w:val="009C6665"/>
    <w:rsid w:val="009C670A"/>
    <w:rsid w:val="009D0DC5"/>
    <w:rsid w:val="009D1C12"/>
    <w:rsid w:val="009D334C"/>
    <w:rsid w:val="009D3B54"/>
    <w:rsid w:val="009D43A8"/>
    <w:rsid w:val="009D55B1"/>
    <w:rsid w:val="009D5F49"/>
    <w:rsid w:val="009D61CB"/>
    <w:rsid w:val="009E0380"/>
    <w:rsid w:val="009E2384"/>
    <w:rsid w:val="009E3C7A"/>
    <w:rsid w:val="009F2D50"/>
    <w:rsid w:val="009F7938"/>
    <w:rsid w:val="00A00632"/>
    <w:rsid w:val="00A01CEF"/>
    <w:rsid w:val="00A07DB2"/>
    <w:rsid w:val="00A1074A"/>
    <w:rsid w:val="00A111DE"/>
    <w:rsid w:val="00A13B3B"/>
    <w:rsid w:val="00A16212"/>
    <w:rsid w:val="00A17155"/>
    <w:rsid w:val="00A21BE1"/>
    <w:rsid w:val="00A23158"/>
    <w:rsid w:val="00A24A3E"/>
    <w:rsid w:val="00A24CAE"/>
    <w:rsid w:val="00A25D97"/>
    <w:rsid w:val="00A26246"/>
    <w:rsid w:val="00A273DD"/>
    <w:rsid w:val="00A31FB3"/>
    <w:rsid w:val="00A32208"/>
    <w:rsid w:val="00A326E9"/>
    <w:rsid w:val="00A35486"/>
    <w:rsid w:val="00A371BB"/>
    <w:rsid w:val="00A4104B"/>
    <w:rsid w:val="00A42333"/>
    <w:rsid w:val="00A4253D"/>
    <w:rsid w:val="00A42986"/>
    <w:rsid w:val="00A4469D"/>
    <w:rsid w:val="00A45329"/>
    <w:rsid w:val="00A47556"/>
    <w:rsid w:val="00A47C0B"/>
    <w:rsid w:val="00A501F4"/>
    <w:rsid w:val="00A50961"/>
    <w:rsid w:val="00A557B1"/>
    <w:rsid w:val="00A57C3C"/>
    <w:rsid w:val="00A57ECC"/>
    <w:rsid w:val="00A601B6"/>
    <w:rsid w:val="00A62875"/>
    <w:rsid w:val="00A6495F"/>
    <w:rsid w:val="00A65644"/>
    <w:rsid w:val="00A663DB"/>
    <w:rsid w:val="00A713D0"/>
    <w:rsid w:val="00A747D8"/>
    <w:rsid w:val="00A755C9"/>
    <w:rsid w:val="00A80253"/>
    <w:rsid w:val="00A82A0B"/>
    <w:rsid w:val="00A83650"/>
    <w:rsid w:val="00A913EC"/>
    <w:rsid w:val="00A941B8"/>
    <w:rsid w:val="00A96644"/>
    <w:rsid w:val="00A96C81"/>
    <w:rsid w:val="00AA0B7E"/>
    <w:rsid w:val="00AB0FC9"/>
    <w:rsid w:val="00AB2790"/>
    <w:rsid w:val="00AB41B5"/>
    <w:rsid w:val="00AB5CFA"/>
    <w:rsid w:val="00AB64A9"/>
    <w:rsid w:val="00AC02B5"/>
    <w:rsid w:val="00AC5F90"/>
    <w:rsid w:val="00AC62FD"/>
    <w:rsid w:val="00AC6C26"/>
    <w:rsid w:val="00AC6EE6"/>
    <w:rsid w:val="00AC7B55"/>
    <w:rsid w:val="00AC7DBA"/>
    <w:rsid w:val="00AD0028"/>
    <w:rsid w:val="00AD2100"/>
    <w:rsid w:val="00AD4C2C"/>
    <w:rsid w:val="00AD5F18"/>
    <w:rsid w:val="00AD6A9B"/>
    <w:rsid w:val="00AD6B6A"/>
    <w:rsid w:val="00AD6EEA"/>
    <w:rsid w:val="00AD7AAE"/>
    <w:rsid w:val="00AE0146"/>
    <w:rsid w:val="00AE0ECD"/>
    <w:rsid w:val="00AE376B"/>
    <w:rsid w:val="00AE4A9F"/>
    <w:rsid w:val="00AE5558"/>
    <w:rsid w:val="00AE6799"/>
    <w:rsid w:val="00AE67F7"/>
    <w:rsid w:val="00AF2190"/>
    <w:rsid w:val="00AF26CD"/>
    <w:rsid w:val="00AF34A4"/>
    <w:rsid w:val="00AF42C7"/>
    <w:rsid w:val="00AF7C00"/>
    <w:rsid w:val="00B037BE"/>
    <w:rsid w:val="00B056FC"/>
    <w:rsid w:val="00B058A0"/>
    <w:rsid w:val="00B0633A"/>
    <w:rsid w:val="00B06842"/>
    <w:rsid w:val="00B07024"/>
    <w:rsid w:val="00B07F6B"/>
    <w:rsid w:val="00B11539"/>
    <w:rsid w:val="00B143EB"/>
    <w:rsid w:val="00B167B1"/>
    <w:rsid w:val="00B16C42"/>
    <w:rsid w:val="00B20EF7"/>
    <w:rsid w:val="00B215AC"/>
    <w:rsid w:val="00B22183"/>
    <w:rsid w:val="00B24627"/>
    <w:rsid w:val="00B2531B"/>
    <w:rsid w:val="00B25F2A"/>
    <w:rsid w:val="00B27B78"/>
    <w:rsid w:val="00B3048F"/>
    <w:rsid w:val="00B33C26"/>
    <w:rsid w:val="00B3788B"/>
    <w:rsid w:val="00B422DB"/>
    <w:rsid w:val="00B42733"/>
    <w:rsid w:val="00B45BF4"/>
    <w:rsid w:val="00B460A7"/>
    <w:rsid w:val="00B47476"/>
    <w:rsid w:val="00B47EE5"/>
    <w:rsid w:val="00B50082"/>
    <w:rsid w:val="00B500A0"/>
    <w:rsid w:val="00B507EE"/>
    <w:rsid w:val="00B50D85"/>
    <w:rsid w:val="00B52ABA"/>
    <w:rsid w:val="00B53423"/>
    <w:rsid w:val="00B54E2A"/>
    <w:rsid w:val="00B60F7D"/>
    <w:rsid w:val="00B62CA5"/>
    <w:rsid w:val="00B633EF"/>
    <w:rsid w:val="00B63F17"/>
    <w:rsid w:val="00B66F12"/>
    <w:rsid w:val="00B67019"/>
    <w:rsid w:val="00B67ED5"/>
    <w:rsid w:val="00B70219"/>
    <w:rsid w:val="00B70B4F"/>
    <w:rsid w:val="00B718A9"/>
    <w:rsid w:val="00B73AE7"/>
    <w:rsid w:val="00B74915"/>
    <w:rsid w:val="00B75342"/>
    <w:rsid w:val="00B7699B"/>
    <w:rsid w:val="00B76F8D"/>
    <w:rsid w:val="00B77EA7"/>
    <w:rsid w:val="00B81568"/>
    <w:rsid w:val="00B82592"/>
    <w:rsid w:val="00B862D7"/>
    <w:rsid w:val="00B86F24"/>
    <w:rsid w:val="00B91D86"/>
    <w:rsid w:val="00B924D6"/>
    <w:rsid w:val="00B948A7"/>
    <w:rsid w:val="00B9552E"/>
    <w:rsid w:val="00B95D81"/>
    <w:rsid w:val="00B97814"/>
    <w:rsid w:val="00BA01AD"/>
    <w:rsid w:val="00BA0B52"/>
    <w:rsid w:val="00BA0DEE"/>
    <w:rsid w:val="00BA1001"/>
    <w:rsid w:val="00BA2DC0"/>
    <w:rsid w:val="00BA34FD"/>
    <w:rsid w:val="00BA374B"/>
    <w:rsid w:val="00BA3958"/>
    <w:rsid w:val="00BA5CB8"/>
    <w:rsid w:val="00BA5FBC"/>
    <w:rsid w:val="00BB39C1"/>
    <w:rsid w:val="00BB4140"/>
    <w:rsid w:val="00BB4874"/>
    <w:rsid w:val="00BB51FE"/>
    <w:rsid w:val="00BB5C32"/>
    <w:rsid w:val="00BB6E08"/>
    <w:rsid w:val="00BB7C45"/>
    <w:rsid w:val="00BC01CC"/>
    <w:rsid w:val="00BC01DD"/>
    <w:rsid w:val="00BC17A8"/>
    <w:rsid w:val="00BC238E"/>
    <w:rsid w:val="00BC32FB"/>
    <w:rsid w:val="00BC3AFB"/>
    <w:rsid w:val="00BC420F"/>
    <w:rsid w:val="00BC433A"/>
    <w:rsid w:val="00BC5AEB"/>
    <w:rsid w:val="00BD0E65"/>
    <w:rsid w:val="00BD2046"/>
    <w:rsid w:val="00BD2307"/>
    <w:rsid w:val="00BD35D3"/>
    <w:rsid w:val="00BD4813"/>
    <w:rsid w:val="00BD618C"/>
    <w:rsid w:val="00BD6C2C"/>
    <w:rsid w:val="00BE32EE"/>
    <w:rsid w:val="00BE455A"/>
    <w:rsid w:val="00BE4A9E"/>
    <w:rsid w:val="00BE5296"/>
    <w:rsid w:val="00BE6DD5"/>
    <w:rsid w:val="00BF664A"/>
    <w:rsid w:val="00BF7B5F"/>
    <w:rsid w:val="00C0142A"/>
    <w:rsid w:val="00C01754"/>
    <w:rsid w:val="00C02583"/>
    <w:rsid w:val="00C04AAD"/>
    <w:rsid w:val="00C12252"/>
    <w:rsid w:val="00C1233C"/>
    <w:rsid w:val="00C1358F"/>
    <w:rsid w:val="00C14200"/>
    <w:rsid w:val="00C20D75"/>
    <w:rsid w:val="00C20E12"/>
    <w:rsid w:val="00C24067"/>
    <w:rsid w:val="00C2709A"/>
    <w:rsid w:val="00C27D07"/>
    <w:rsid w:val="00C339ED"/>
    <w:rsid w:val="00C34239"/>
    <w:rsid w:val="00C3464A"/>
    <w:rsid w:val="00C41A3B"/>
    <w:rsid w:val="00C43300"/>
    <w:rsid w:val="00C43A0A"/>
    <w:rsid w:val="00C4536E"/>
    <w:rsid w:val="00C459E9"/>
    <w:rsid w:val="00C45BBE"/>
    <w:rsid w:val="00C467D0"/>
    <w:rsid w:val="00C51797"/>
    <w:rsid w:val="00C54EC7"/>
    <w:rsid w:val="00C566FE"/>
    <w:rsid w:val="00C56A0B"/>
    <w:rsid w:val="00C6058D"/>
    <w:rsid w:val="00C62A49"/>
    <w:rsid w:val="00C64060"/>
    <w:rsid w:val="00C6462C"/>
    <w:rsid w:val="00C674DA"/>
    <w:rsid w:val="00C676F6"/>
    <w:rsid w:val="00C67A2C"/>
    <w:rsid w:val="00C70165"/>
    <w:rsid w:val="00C72153"/>
    <w:rsid w:val="00C72439"/>
    <w:rsid w:val="00C72B88"/>
    <w:rsid w:val="00C73E4D"/>
    <w:rsid w:val="00C75AE4"/>
    <w:rsid w:val="00C7693B"/>
    <w:rsid w:val="00C76DE9"/>
    <w:rsid w:val="00C82F8C"/>
    <w:rsid w:val="00C8418C"/>
    <w:rsid w:val="00C918AD"/>
    <w:rsid w:val="00C92608"/>
    <w:rsid w:val="00C977A0"/>
    <w:rsid w:val="00CA446D"/>
    <w:rsid w:val="00CA77B5"/>
    <w:rsid w:val="00CB0505"/>
    <w:rsid w:val="00CB3A49"/>
    <w:rsid w:val="00CB3CAB"/>
    <w:rsid w:val="00CB5BAE"/>
    <w:rsid w:val="00CC072A"/>
    <w:rsid w:val="00CC1B05"/>
    <w:rsid w:val="00CC1BA2"/>
    <w:rsid w:val="00CC201E"/>
    <w:rsid w:val="00CC3B45"/>
    <w:rsid w:val="00CD00E7"/>
    <w:rsid w:val="00CD14DD"/>
    <w:rsid w:val="00CD4E13"/>
    <w:rsid w:val="00CD4F9C"/>
    <w:rsid w:val="00CD6C43"/>
    <w:rsid w:val="00CD6F33"/>
    <w:rsid w:val="00CE1058"/>
    <w:rsid w:val="00CE1285"/>
    <w:rsid w:val="00CE250E"/>
    <w:rsid w:val="00CE44C0"/>
    <w:rsid w:val="00CE5DF3"/>
    <w:rsid w:val="00CE655C"/>
    <w:rsid w:val="00CF2A99"/>
    <w:rsid w:val="00CF3C8D"/>
    <w:rsid w:val="00CF46BE"/>
    <w:rsid w:val="00CF5D7A"/>
    <w:rsid w:val="00CF62B2"/>
    <w:rsid w:val="00CF7EB7"/>
    <w:rsid w:val="00D01EEC"/>
    <w:rsid w:val="00D036E6"/>
    <w:rsid w:val="00D0466A"/>
    <w:rsid w:val="00D05BA8"/>
    <w:rsid w:val="00D10259"/>
    <w:rsid w:val="00D103AE"/>
    <w:rsid w:val="00D114AF"/>
    <w:rsid w:val="00D127AB"/>
    <w:rsid w:val="00D1678D"/>
    <w:rsid w:val="00D17BC0"/>
    <w:rsid w:val="00D2203A"/>
    <w:rsid w:val="00D2211A"/>
    <w:rsid w:val="00D2236A"/>
    <w:rsid w:val="00D253F1"/>
    <w:rsid w:val="00D26FB6"/>
    <w:rsid w:val="00D27C00"/>
    <w:rsid w:val="00D3066A"/>
    <w:rsid w:val="00D32DA8"/>
    <w:rsid w:val="00D32FAD"/>
    <w:rsid w:val="00D34CCF"/>
    <w:rsid w:val="00D3766D"/>
    <w:rsid w:val="00D40571"/>
    <w:rsid w:val="00D43E0D"/>
    <w:rsid w:val="00D459BC"/>
    <w:rsid w:val="00D4747A"/>
    <w:rsid w:val="00D50E6A"/>
    <w:rsid w:val="00D514FB"/>
    <w:rsid w:val="00D52079"/>
    <w:rsid w:val="00D52101"/>
    <w:rsid w:val="00D52C6B"/>
    <w:rsid w:val="00D5364C"/>
    <w:rsid w:val="00D541D2"/>
    <w:rsid w:val="00D569AE"/>
    <w:rsid w:val="00D56BD2"/>
    <w:rsid w:val="00D607E0"/>
    <w:rsid w:val="00D60F55"/>
    <w:rsid w:val="00D6344B"/>
    <w:rsid w:val="00D63922"/>
    <w:rsid w:val="00D6423D"/>
    <w:rsid w:val="00D64446"/>
    <w:rsid w:val="00D64BC0"/>
    <w:rsid w:val="00D651BF"/>
    <w:rsid w:val="00D6536F"/>
    <w:rsid w:val="00D67F5B"/>
    <w:rsid w:val="00D71D9C"/>
    <w:rsid w:val="00D7221C"/>
    <w:rsid w:val="00D7222D"/>
    <w:rsid w:val="00D7228D"/>
    <w:rsid w:val="00D72552"/>
    <w:rsid w:val="00D72B60"/>
    <w:rsid w:val="00D73AC0"/>
    <w:rsid w:val="00D741F3"/>
    <w:rsid w:val="00D74CE6"/>
    <w:rsid w:val="00D76B1F"/>
    <w:rsid w:val="00D779C9"/>
    <w:rsid w:val="00D80882"/>
    <w:rsid w:val="00D8090F"/>
    <w:rsid w:val="00D811EC"/>
    <w:rsid w:val="00D828EE"/>
    <w:rsid w:val="00D91AF7"/>
    <w:rsid w:val="00D9216D"/>
    <w:rsid w:val="00D9356A"/>
    <w:rsid w:val="00D94347"/>
    <w:rsid w:val="00D97C3A"/>
    <w:rsid w:val="00D97F62"/>
    <w:rsid w:val="00DA06FE"/>
    <w:rsid w:val="00DA13EF"/>
    <w:rsid w:val="00DA23E1"/>
    <w:rsid w:val="00DA245E"/>
    <w:rsid w:val="00DA2A6F"/>
    <w:rsid w:val="00DA7F5A"/>
    <w:rsid w:val="00DB0CE9"/>
    <w:rsid w:val="00DB5AF0"/>
    <w:rsid w:val="00DC0379"/>
    <w:rsid w:val="00DC27A4"/>
    <w:rsid w:val="00DD2973"/>
    <w:rsid w:val="00DD739F"/>
    <w:rsid w:val="00DE15FD"/>
    <w:rsid w:val="00DE1B2D"/>
    <w:rsid w:val="00DE2539"/>
    <w:rsid w:val="00DE5ED6"/>
    <w:rsid w:val="00DE624E"/>
    <w:rsid w:val="00DF0975"/>
    <w:rsid w:val="00DF11A1"/>
    <w:rsid w:val="00DF1A39"/>
    <w:rsid w:val="00DF2C4C"/>
    <w:rsid w:val="00DF3CE1"/>
    <w:rsid w:val="00DF6DAD"/>
    <w:rsid w:val="00E01983"/>
    <w:rsid w:val="00E03E32"/>
    <w:rsid w:val="00E053F4"/>
    <w:rsid w:val="00E05A16"/>
    <w:rsid w:val="00E07342"/>
    <w:rsid w:val="00E0767C"/>
    <w:rsid w:val="00E1022F"/>
    <w:rsid w:val="00E1234D"/>
    <w:rsid w:val="00E12850"/>
    <w:rsid w:val="00E12B5E"/>
    <w:rsid w:val="00E133E7"/>
    <w:rsid w:val="00E134FF"/>
    <w:rsid w:val="00E13768"/>
    <w:rsid w:val="00E164E5"/>
    <w:rsid w:val="00E17728"/>
    <w:rsid w:val="00E204C4"/>
    <w:rsid w:val="00E2170A"/>
    <w:rsid w:val="00E262B7"/>
    <w:rsid w:val="00E35961"/>
    <w:rsid w:val="00E36612"/>
    <w:rsid w:val="00E4018E"/>
    <w:rsid w:val="00E405A2"/>
    <w:rsid w:val="00E4212E"/>
    <w:rsid w:val="00E42D5F"/>
    <w:rsid w:val="00E430D5"/>
    <w:rsid w:val="00E4526D"/>
    <w:rsid w:val="00E454F8"/>
    <w:rsid w:val="00E52E02"/>
    <w:rsid w:val="00E53522"/>
    <w:rsid w:val="00E56CE6"/>
    <w:rsid w:val="00E56D6B"/>
    <w:rsid w:val="00E60B8F"/>
    <w:rsid w:val="00E61158"/>
    <w:rsid w:val="00E61350"/>
    <w:rsid w:val="00E61977"/>
    <w:rsid w:val="00E6213A"/>
    <w:rsid w:val="00E660F6"/>
    <w:rsid w:val="00E67A91"/>
    <w:rsid w:val="00E70486"/>
    <w:rsid w:val="00E711A9"/>
    <w:rsid w:val="00E72514"/>
    <w:rsid w:val="00E73893"/>
    <w:rsid w:val="00E74468"/>
    <w:rsid w:val="00E81E52"/>
    <w:rsid w:val="00E826B8"/>
    <w:rsid w:val="00E82D07"/>
    <w:rsid w:val="00E84128"/>
    <w:rsid w:val="00E8430A"/>
    <w:rsid w:val="00E84D9B"/>
    <w:rsid w:val="00E86C11"/>
    <w:rsid w:val="00E87B85"/>
    <w:rsid w:val="00E91D46"/>
    <w:rsid w:val="00E91D6A"/>
    <w:rsid w:val="00E9316B"/>
    <w:rsid w:val="00E94257"/>
    <w:rsid w:val="00E94480"/>
    <w:rsid w:val="00E94C71"/>
    <w:rsid w:val="00E96156"/>
    <w:rsid w:val="00EA1BEC"/>
    <w:rsid w:val="00EA355A"/>
    <w:rsid w:val="00EA6F8D"/>
    <w:rsid w:val="00EA7AB3"/>
    <w:rsid w:val="00EB06D1"/>
    <w:rsid w:val="00EB1B93"/>
    <w:rsid w:val="00EB69A1"/>
    <w:rsid w:val="00EC4387"/>
    <w:rsid w:val="00EC5A9A"/>
    <w:rsid w:val="00ED0CCF"/>
    <w:rsid w:val="00ED33A9"/>
    <w:rsid w:val="00ED47F1"/>
    <w:rsid w:val="00ED7B73"/>
    <w:rsid w:val="00EE1BB2"/>
    <w:rsid w:val="00EE1C86"/>
    <w:rsid w:val="00EE22D5"/>
    <w:rsid w:val="00EE2752"/>
    <w:rsid w:val="00EE7BA1"/>
    <w:rsid w:val="00EF1345"/>
    <w:rsid w:val="00EF1ADD"/>
    <w:rsid w:val="00EF26A1"/>
    <w:rsid w:val="00EF2AF1"/>
    <w:rsid w:val="00EF3E88"/>
    <w:rsid w:val="00EF53DC"/>
    <w:rsid w:val="00EF7095"/>
    <w:rsid w:val="00EF7AE0"/>
    <w:rsid w:val="00F0345E"/>
    <w:rsid w:val="00F03DD9"/>
    <w:rsid w:val="00F06EBD"/>
    <w:rsid w:val="00F06F5F"/>
    <w:rsid w:val="00F100B7"/>
    <w:rsid w:val="00F103CF"/>
    <w:rsid w:val="00F1082B"/>
    <w:rsid w:val="00F12763"/>
    <w:rsid w:val="00F14190"/>
    <w:rsid w:val="00F160DC"/>
    <w:rsid w:val="00F22257"/>
    <w:rsid w:val="00F2369D"/>
    <w:rsid w:val="00F23720"/>
    <w:rsid w:val="00F24D71"/>
    <w:rsid w:val="00F26884"/>
    <w:rsid w:val="00F300EE"/>
    <w:rsid w:val="00F30980"/>
    <w:rsid w:val="00F326FF"/>
    <w:rsid w:val="00F327D9"/>
    <w:rsid w:val="00F329ED"/>
    <w:rsid w:val="00F335D1"/>
    <w:rsid w:val="00F336AA"/>
    <w:rsid w:val="00F3565D"/>
    <w:rsid w:val="00F36424"/>
    <w:rsid w:val="00F36FDF"/>
    <w:rsid w:val="00F41029"/>
    <w:rsid w:val="00F43BFF"/>
    <w:rsid w:val="00F44932"/>
    <w:rsid w:val="00F470C1"/>
    <w:rsid w:val="00F472C7"/>
    <w:rsid w:val="00F47AD6"/>
    <w:rsid w:val="00F47E33"/>
    <w:rsid w:val="00F50B22"/>
    <w:rsid w:val="00F5285C"/>
    <w:rsid w:val="00F52ED3"/>
    <w:rsid w:val="00F52F76"/>
    <w:rsid w:val="00F53643"/>
    <w:rsid w:val="00F5629F"/>
    <w:rsid w:val="00F5634B"/>
    <w:rsid w:val="00F5650E"/>
    <w:rsid w:val="00F61081"/>
    <w:rsid w:val="00F61CD2"/>
    <w:rsid w:val="00F63E2F"/>
    <w:rsid w:val="00F664EE"/>
    <w:rsid w:val="00F715CC"/>
    <w:rsid w:val="00F72645"/>
    <w:rsid w:val="00F741BE"/>
    <w:rsid w:val="00F77029"/>
    <w:rsid w:val="00F80540"/>
    <w:rsid w:val="00F812AE"/>
    <w:rsid w:val="00F8335D"/>
    <w:rsid w:val="00F85D04"/>
    <w:rsid w:val="00F85D08"/>
    <w:rsid w:val="00F862BE"/>
    <w:rsid w:val="00F86B6F"/>
    <w:rsid w:val="00F87947"/>
    <w:rsid w:val="00F91184"/>
    <w:rsid w:val="00F916F5"/>
    <w:rsid w:val="00F918D2"/>
    <w:rsid w:val="00F92880"/>
    <w:rsid w:val="00F93FDB"/>
    <w:rsid w:val="00F96E47"/>
    <w:rsid w:val="00F97B3A"/>
    <w:rsid w:val="00FA142B"/>
    <w:rsid w:val="00FA27CF"/>
    <w:rsid w:val="00FA2B1B"/>
    <w:rsid w:val="00FA2C89"/>
    <w:rsid w:val="00FA33B2"/>
    <w:rsid w:val="00FA5EEC"/>
    <w:rsid w:val="00FA747F"/>
    <w:rsid w:val="00FB557C"/>
    <w:rsid w:val="00FB5911"/>
    <w:rsid w:val="00FB7AE7"/>
    <w:rsid w:val="00FC035D"/>
    <w:rsid w:val="00FC0917"/>
    <w:rsid w:val="00FC198B"/>
    <w:rsid w:val="00FC36D9"/>
    <w:rsid w:val="00FC37CD"/>
    <w:rsid w:val="00FC44CD"/>
    <w:rsid w:val="00FC49CD"/>
    <w:rsid w:val="00FC4D4E"/>
    <w:rsid w:val="00FC701D"/>
    <w:rsid w:val="00FC7B6D"/>
    <w:rsid w:val="00FD0BD7"/>
    <w:rsid w:val="00FD15AB"/>
    <w:rsid w:val="00FD3244"/>
    <w:rsid w:val="00FD3F81"/>
    <w:rsid w:val="00FD463F"/>
    <w:rsid w:val="00FD6544"/>
    <w:rsid w:val="00FD7524"/>
    <w:rsid w:val="00FE2D93"/>
    <w:rsid w:val="00FE76E3"/>
    <w:rsid w:val="00FE7D40"/>
    <w:rsid w:val="00FF2EA2"/>
    <w:rsid w:val="00FF51CB"/>
    <w:rsid w:val="00FF5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uiPriority w:val="99"/>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 w:type="paragraph" w:customStyle="1" w:styleId="tv213">
    <w:name w:val="tv213"/>
    <w:basedOn w:val="Normal"/>
    <w:rsid w:val="00413F97"/>
    <w:pPr>
      <w:spacing w:before="100" w:beforeAutospacing="1" w:after="100" w:afterAutospacing="1"/>
    </w:pPr>
    <w:rPr>
      <w:sz w:val="24"/>
      <w:lang w:eastAsia="lv-LV"/>
    </w:rPr>
  </w:style>
  <w:style w:type="paragraph" w:styleId="BodyTextIndent">
    <w:name w:val="Body Text Indent"/>
    <w:basedOn w:val="Normal"/>
    <w:link w:val="BodyTextIndentChar"/>
    <w:rsid w:val="00413F97"/>
    <w:pPr>
      <w:spacing w:after="120"/>
      <w:ind w:left="283"/>
    </w:pPr>
  </w:style>
  <w:style w:type="character" w:customStyle="1" w:styleId="BodyTextIndentChar">
    <w:name w:val="Body Text Indent Char"/>
    <w:basedOn w:val="DefaultParagraphFont"/>
    <w:link w:val="BodyTextIndent"/>
    <w:rsid w:val="00413F97"/>
    <w:rPr>
      <w:sz w:val="28"/>
      <w:szCs w:val="24"/>
      <w:lang w:eastAsia="en-US"/>
    </w:rPr>
  </w:style>
  <w:style w:type="character" w:styleId="Strong">
    <w:name w:val="Strong"/>
    <w:basedOn w:val="DefaultParagraphFont"/>
    <w:uiPriority w:val="22"/>
    <w:qFormat/>
    <w:rsid w:val="004C649A"/>
    <w:rPr>
      <w:b/>
      <w:bCs/>
    </w:rPr>
  </w:style>
  <w:style w:type="paragraph" w:styleId="NoSpacing">
    <w:name w:val="No Spacing"/>
    <w:qFormat/>
    <w:rsid w:val="00B5008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uiPriority w:val="99"/>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 w:type="paragraph" w:customStyle="1" w:styleId="tv213">
    <w:name w:val="tv213"/>
    <w:basedOn w:val="Normal"/>
    <w:rsid w:val="00413F97"/>
    <w:pPr>
      <w:spacing w:before="100" w:beforeAutospacing="1" w:after="100" w:afterAutospacing="1"/>
    </w:pPr>
    <w:rPr>
      <w:sz w:val="24"/>
      <w:lang w:eastAsia="lv-LV"/>
    </w:rPr>
  </w:style>
  <w:style w:type="paragraph" w:styleId="BodyTextIndent">
    <w:name w:val="Body Text Indent"/>
    <w:basedOn w:val="Normal"/>
    <w:link w:val="BodyTextIndentChar"/>
    <w:rsid w:val="00413F97"/>
    <w:pPr>
      <w:spacing w:after="120"/>
      <w:ind w:left="283"/>
    </w:pPr>
  </w:style>
  <w:style w:type="character" w:customStyle="1" w:styleId="BodyTextIndentChar">
    <w:name w:val="Body Text Indent Char"/>
    <w:basedOn w:val="DefaultParagraphFont"/>
    <w:link w:val="BodyTextIndent"/>
    <w:rsid w:val="00413F97"/>
    <w:rPr>
      <w:sz w:val="28"/>
      <w:szCs w:val="24"/>
      <w:lang w:eastAsia="en-US"/>
    </w:rPr>
  </w:style>
  <w:style w:type="character" w:styleId="Strong">
    <w:name w:val="Strong"/>
    <w:basedOn w:val="DefaultParagraphFont"/>
    <w:uiPriority w:val="22"/>
    <w:qFormat/>
    <w:rsid w:val="004C649A"/>
    <w:rPr>
      <w:b/>
      <w:bCs/>
    </w:rPr>
  </w:style>
  <w:style w:type="paragraph" w:styleId="NoSpacing">
    <w:name w:val="No Spacing"/>
    <w:qFormat/>
    <w:rsid w:val="00B500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82">
      <w:bodyDiv w:val="1"/>
      <w:marLeft w:val="0"/>
      <w:marRight w:val="0"/>
      <w:marTop w:val="0"/>
      <w:marBottom w:val="0"/>
      <w:divBdr>
        <w:top w:val="none" w:sz="0" w:space="0" w:color="auto"/>
        <w:left w:val="none" w:sz="0" w:space="0" w:color="auto"/>
        <w:bottom w:val="none" w:sz="0" w:space="0" w:color="auto"/>
        <w:right w:val="none" w:sz="0" w:space="0" w:color="auto"/>
      </w:divBdr>
    </w:div>
    <w:div w:id="579683413">
      <w:bodyDiv w:val="1"/>
      <w:marLeft w:val="0"/>
      <w:marRight w:val="0"/>
      <w:marTop w:val="0"/>
      <w:marBottom w:val="0"/>
      <w:divBdr>
        <w:top w:val="none" w:sz="0" w:space="0" w:color="auto"/>
        <w:left w:val="none" w:sz="0" w:space="0" w:color="auto"/>
        <w:bottom w:val="none" w:sz="0" w:space="0" w:color="auto"/>
        <w:right w:val="none" w:sz="0" w:space="0" w:color="auto"/>
      </w:divBdr>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m.gov.lv/text/25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2F66-777C-4A0A-8F4C-0CF7CD06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3969</Words>
  <Characters>25671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Noteikumi par minimālo mēneša darba algu un minimālo stundas tarifa likmi</vt:lpstr>
    </vt:vector>
  </TitlesOfParts>
  <Company>Labklājības ministrija</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mēneša darba algu un minimālo stundas tarifa likmi</dc:title>
  <dc:subject>Anotācija</dc:subject>
  <dc:creator>Aina Liepiņa</dc:creator>
  <dc:description>Aina.Liepina@lm.gov.lv
Tālr.67021519; fakss. 67021505</dc:description>
  <cp:lastModifiedBy>Aina Liepina</cp:lastModifiedBy>
  <cp:revision>9</cp:revision>
  <cp:lastPrinted>2014-11-26T08:54:00Z</cp:lastPrinted>
  <dcterms:created xsi:type="dcterms:W3CDTF">2015-10-20T05:36:00Z</dcterms:created>
  <dcterms:modified xsi:type="dcterms:W3CDTF">2015-10-26T08:59:00Z</dcterms:modified>
</cp:coreProperties>
</file>