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E7" w:rsidRDefault="005E07E7" w:rsidP="009745E7">
      <w:pPr>
        <w:spacing w:line="240" w:lineRule="auto"/>
        <w:jc w:val="center"/>
        <w:rPr>
          <w:b/>
          <w:sz w:val="24"/>
          <w:szCs w:val="24"/>
        </w:rPr>
      </w:pPr>
      <w:r w:rsidRPr="005E07E7">
        <w:rPr>
          <w:b/>
          <w:sz w:val="24"/>
          <w:szCs w:val="24"/>
        </w:rPr>
        <w:t xml:space="preserve">Ministru kabineta noteikumu projekta </w:t>
      </w:r>
      <w:r w:rsidR="00693586">
        <w:rPr>
          <w:b/>
          <w:sz w:val="24"/>
          <w:szCs w:val="24"/>
        </w:rPr>
        <w:t>„</w:t>
      </w:r>
      <w:r w:rsidR="00112B76" w:rsidRPr="00112B76">
        <w:rPr>
          <w:b/>
          <w:sz w:val="24"/>
          <w:szCs w:val="24"/>
        </w:rPr>
        <w:t xml:space="preserve">Grozījumi Ministru kabineta 2013.gada 24.septembra noteikumos Nr.1000 </w:t>
      </w:r>
      <w:r w:rsidR="00693586">
        <w:rPr>
          <w:b/>
          <w:sz w:val="24"/>
          <w:szCs w:val="24"/>
        </w:rPr>
        <w:t>„</w:t>
      </w:r>
      <w:r w:rsidR="00112B76" w:rsidRPr="00112B76">
        <w:rPr>
          <w:b/>
          <w:sz w:val="24"/>
          <w:szCs w:val="24"/>
        </w:rPr>
        <w:t xml:space="preserve">Valsts akciju sabiedrības </w:t>
      </w:r>
      <w:r w:rsidR="00693586">
        <w:rPr>
          <w:b/>
          <w:sz w:val="24"/>
          <w:szCs w:val="24"/>
        </w:rPr>
        <w:t>„</w:t>
      </w:r>
      <w:r w:rsidR="00112B76" w:rsidRPr="00112B76">
        <w:rPr>
          <w:b/>
          <w:sz w:val="24"/>
          <w:szCs w:val="24"/>
        </w:rPr>
        <w:t>Ceļu satiksmes drošības direkcija</w:t>
      </w:r>
      <w:r w:rsidR="00F3505C">
        <w:rPr>
          <w:b/>
          <w:sz w:val="24"/>
          <w:szCs w:val="24"/>
        </w:rPr>
        <w:t>”</w:t>
      </w:r>
      <w:r w:rsidR="00112B76" w:rsidRPr="00112B76">
        <w:rPr>
          <w:b/>
          <w:sz w:val="24"/>
          <w:szCs w:val="24"/>
        </w:rPr>
        <w:t xml:space="preserve"> publisko maksas pakalpojumu cenrādis</w:t>
      </w:r>
      <w:r w:rsidR="00693586">
        <w:rPr>
          <w:b/>
          <w:sz w:val="24"/>
          <w:szCs w:val="24"/>
        </w:rPr>
        <w:t>”</w:t>
      </w:r>
      <w:r w:rsidR="00112B76">
        <w:rPr>
          <w:b/>
          <w:sz w:val="24"/>
          <w:szCs w:val="24"/>
        </w:rPr>
        <w:t xml:space="preserve"> </w:t>
      </w:r>
      <w:r w:rsidRPr="005E07E7">
        <w:rPr>
          <w:b/>
          <w:sz w:val="24"/>
          <w:szCs w:val="24"/>
        </w:rPr>
        <w:t>sākotnējās ietekmes novērtējuma ziņojums (anotācija)</w:t>
      </w:r>
    </w:p>
    <w:p w:rsidR="00D57AEC" w:rsidRDefault="002C009C" w:rsidP="001B46BB">
      <w:pPr>
        <w:jc w:val="center"/>
        <w:rPr>
          <w:rFonts w:eastAsia="Times New Roman"/>
          <w:b/>
          <w:sz w:val="24"/>
          <w:szCs w:val="24"/>
          <w:lang w:eastAsia="lv-LV"/>
        </w:rPr>
      </w:pPr>
      <w:r>
        <w:rPr>
          <w:rFonts w:eastAsia="Times New Roman"/>
          <w:b/>
          <w:sz w:val="24"/>
          <w:szCs w:val="24"/>
          <w:lang w:eastAsia="lv-LV"/>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984"/>
        <w:gridCol w:w="46"/>
        <w:gridCol w:w="36"/>
        <w:gridCol w:w="338"/>
        <w:gridCol w:w="4765"/>
      </w:tblGrid>
      <w:tr w:rsidR="00532F34" w:rsidRPr="0027189F" w:rsidTr="00780909">
        <w:trPr>
          <w:trHeight w:val="331"/>
        </w:trPr>
        <w:tc>
          <w:tcPr>
            <w:tcW w:w="8647" w:type="dxa"/>
            <w:gridSpan w:val="6"/>
            <w:shd w:val="clear" w:color="auto" w:fill="auto"/>
          </w:tcPr>
          <w:p w:rsidR="00532F34" w:rsidRPr="00AD4676" w:rsidRDefault="00532F34" w:rsidP="00C43201">
            <w:pPr>
              <w:spacing w:before="100" w:beforeAutospacing="1" w:after="100" w:afterAutospacing="1" w:line="240" w:lineRule="auto"/>
              <w:ind w:firstLine="0"/>
              <w:jc w:val="center"/>
              <w:rPr>
                <w:rFonts w:eastAsia="Times New Roman"/>
                <w:sz w:val="24"/>
                <w:szCs w:val="24"/>
                <w:lang w:eastAsia="lv-LV"/>
              </w:rPr>
            </w:pPr>
            <w:r w:rsidRPr="00AD4676">
              <w:rPr>
                <w:rFonts w:eastAsia="Times New Roman"/>
                <w:b/>
                <w:bCs/>
                <w:sz w:val="24"/>
                <w:szCs w:val="24"/>
                <w:lang w:eastAsia="lv-LV"/>
              </w:rPr>
              <w:t>I. Tiesību akta projekta izstrādes nepieciešamība</w:t>
            </w:r>
          </w:p>
        </w:tc>
      </w:tr>
      <w:tr w:rsidR="00532F34" w:rsidRPr="0027189F" w:rsidTr="00780909">
        <w:trPr>
          <w:trHeight w:val="581"/>
        </w:trPr>
        <w:tc>
          <w:tcPr>
            <w:tcW w:w="478" w:type="dxa"/>
            <w:shd w:val="clear" w:color="auto" w:fill="auto"/>
          </w:tcPr>
          <w:p w:rsidR="00532F34" w:rsidRPr="00AD4676" w:rsidRDefault="00532F34" w:rsidP="00C43201">
            <w:pPr>
              <w:spacing w:before="100" w:beforeAutospacing="1" w:after="100" w:afterAutospacing="1" w:line="240" w:lineRule="auto"/>
              <w:ind w:firstLine="0"/>
              <w:jc w:val="left"/>
              <w:rPr>
                <w:rFonts w:eastAsia="Times New Roman"/>
                <w:sz w:val="24"/>
                <w:szCs w:val="24"/>
                <w:lang w:eastAsia="lv-LV"/>
              </w:rPr>
            </w:pPr>
            <w:r w:rsidRPr="00AD4676">
              <w:rPr>
                <w:rFonts w:eastAsia="Times New Roman"/>
                <w:sz w:val="24"/>
                <w:szCs w:val="24"/>
                <w:lang w:eastAsia="lv-LV"/>
              </w:rPr>
              <w:t> 1.</w:t>
            </w:r>
          </w:p>
        </w:tc>
        <w:tc>
          <w:tcPr>
            <w:tcW w:w="2984" w:type="dxa"/>
            <w:shd w:val="clear" w:color="auto" w:fill="auto"/>
          </w:tcPr>
          <w:p w:rsidR="00532F34" w:rsidRPr="00AD4676" w:rsidRDefault="00532F34" w:rsidP="00C43201">
            <w:pPr>
              <w:spacing w:before="100" w:beforeAutospacing="1" w:after="100" w:afterAutospacing="1" w:line="240" w:lineRule="auto"/>
              <w:ind w:firstLine="0"/>
              <w:jc w:val="left"/>
              <w:rPr>
                <w:rFonts w:eastAsia="Times New Roman"/>
                <w:sz w:val="24"/>
                <w:szCs w:val="24"/>
                <w:lang w:eastAsia="lv-LV"/>
              </w:rPr>
            </w:pPr>
            <w:r w:rsidRPr="00AD4676">
              <w:rPr>
                <w:rFonts w:eastAsia="Times New Roman"/>
                <w:sz w:val="24"/>
                <w:szCs w:val="24"/>
                <w:lang w:eastAsia="lv-LV"/>
              </w:rPr>
              <w:t> Pamatojums</w:t>
            </w:r>
            <w:r w:rsidR="006859BB">
              <w:rPr>
                <w:rFonts w:eastAsia="Times New Roman"/>
                <w:sz w:val="24"/>
                <w:szCs w:val="24"/>
                <w:lang w:eastAsia="lv-LV"/>
              </w:rPr>
              <w:t>.</w:t>
            </w:r>
          </w:p>
        </w:tc>
        <w:tc>
          <w:tcPr>
            <w:tcW w:w="5185" w:type="dxa"/>
            <w:gridSpan w:val="4"/>
            <w:shd w:val="clear" w:color="auto" w:fill="auto"/>
          </w:tcPr>
          <w:p w:rsidR="00532F34" w:rsidRPr="00AD4676" w:rsidRDefault="009442D2" w:rsidP="009442D2">
            <w:pPr>
              <w:spacing w:line="240" w:lineRule="auto"/>
              <w:ind w:firstLine="0"/>
              <w:rPr>
                <w:rFonts w:eastAsia="Times New Roman"/>
                <w:sz w:val="24"/>
                <w:szCs w:val="24"/>
                <w:lang w:eastAsia="lv-LV"/>
              </w:rPr>
            </w:pPr>
            <w:r w:rsidRPr="009442D2">
              <w:rPr>
                <w:rFonts w:eastAsia="Times New Roman"/>
                <w:sz w:val="24"/>
                <w:szCs w:val="24"/>
                <w:lang w:eastAsia="lv-LV"/>
              </w:rPr>
              <w:t>Ceļu satiksmes likuma 4.panta piekt</w:t>
            </w:r>
            <w:r>
              <w:rPr>
                <w:rFonts w:eastAsia="Times New Roman"/>
                <w:sz w:val="24"/>
                <w:szCs w:val="24"/>
                <w:lang w:eastAsia="lv-LV"/>
              </w:rPr>
              <w:t>ā</w:t>
            </w:r>
            <w:r w:rsidRPr="009442D2">
              <w:rPr>
                <w:rFonts w:eastAsia="Times New Roman"/>
                <w:sz w:val="24"/>
                <w:szCs w:val="24"/>
                <w:lang w:eastAsia="lv-LV"/>
              </w:rPr>
              <w:t xml:space="preserve"> daļ</w:t>
            </w:r>
            <w:r>
              <w:rPr>
                <w:rFonts w:eastAsia="Times New Roman"/>
                <w:sz w:val="24"/>
                <w:szCs w:val="24"/>
                <w:lang w:eastAsia="lv-LV"/>
              </w:rPr>
              <w:t>a.</w:t>
            </w:r>
          </w:p>
        </w:tc>
      </w:tr>
      <w:tr w:rsidR="00532F34" w:rsidRPr="0027189F" w:rsidTr="00780909">
        <w:trPr>
          <w:trHeight w:val="1961"/>
        </w:trPr>
        <w:tc>
          <w:tcPr>
            <w:tcW w:w="478" w:type="dxa"/>
            <w:shd w:val="clear" w:color="auto" w:fill="auto"/>
          </w:tcPr>
          <w:p w:rsidR="00532F34" w:rsidRPr="00AD4676" w:rsidRDefault="00532F34" w:rsidP="00C43201">
            <w:pPr>
              <w:spacing w:before="100" w:beforeAutospacing="1" w:after="100" w:afterAutospacing="1" w:line="240" w:lineRule="auto"/>
              <w:ind w:firstLine="0"/>
              <w:jc w:val="left"/>
              <w:rPr>
                <w:rFonts w:eastAsia="Times New Roman"/>
                <w:sz w:val="24"/>
                <w:szCs w:val="24"/>
                <w:lang w:eastAsia="lv-LV"/>
              </w:rPr>
            </w:pPr>
            <w:r w:rsidRPr="00AD4676">
              <w:rPr>
                <w:rFonts w:eastAsia="Times New Roman"/>
                <w:sz w:val="24"/>
                <w:szCs w:val="24"/>
                <w:lang w:eastAsia="lv-LV"/>
              </w:rPr>
              <w:t> 2.</w:t>
            </w:r>
          </w:p>
        </w:tc>
        <w:tc>
          <w:tcPr>
            <w:tcW w:w="2984" w:type="dxa"/>
            <w:shd w:val="clear" w:color="auto" w:fill="auto"/>
          </w:tcPr>
          <w:p w:rsidR="002B5B9E" w:rsidRDefault="00532F34" w:rsidP="00681EFB">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t> </w:t>
            </w:r>
            <w:r w:rsidRPr="00AD4676">
              <w:rPr>
                <w:sz w:val="24"/>
                <w:szCs w:val="24"/>
              </w:rPr>
              <w:t>Pašreizējā situācija un problēmas, kuru risināšanai tiesību akta projekts izstrādāts, tiesiskā regulējuma mērķis un būtība</w:t>
            </w:r>
          </w:p>
          <w:p w:rsidR="002B5B9E" w:rsidRPr="002B5B9E" w:rsidRDefault="002B5B9E" w:rsidP="002B5B9E">
            <w:pPr>
              <w:rPr>
                <w:rFonts w:eastAsia="Times New Roman"/>
                <w:sz w:val="24"/>
                <w:szCs w:val="24"/>
                <w:lang w:eastAsia="lv-LV"/>
              </w:rPr>
            </w:pPr>
          </w:p>
          <w:p w:rsidR="002B5B9E" w:rsidRPr="002B5B9E" w:rsidRDefault="002B5B9E" w:rsidP="002B5B9E">
            <w:pPr>
              <w:rPr>
                <w:rFonts w:eastAsia="Times New Roman"/>
                <w:sz w:val="24"/>
                <w:szCs w:val="24"/>
                <w:lang w:eastAsia="lv-LV"/>
              </w:rPr>
            </w:pPr>
          </w:p>
          <w:p w:rsidR="002B5B9E" w:rsidRPr="002B5B9E" w:rsidRDefault="002B5B9E" w:rsidP="002B5B9E">
            <w:pPr>
              <w:rPr>
                <w:rFonts w:eastAsia="Times New Roman"/>
                <w:sz w:val="24"/>
                <w:szCs w:val="24"/>
                <w:lang w:eastAsia="lv-LV"/>
              </w:rPr>
            </w:pPr>
          </w:p>
          <w:p w:rsidR="002B5B9E" w:rsidRPr="002B5B9E" w:rsidRDefault="002B5B9E" w:rsidP="002B5B9E">
            <w:pPr>
              <w:rPr>
                <w:rFonts w:eastAsia="Times New Roman"/>
                <w:sz w:val="24"/>
                <w:szCs w:val="24"/>
                <w:lang w:eastAsia="lv-LV"/>
              </w:rPr>
            </w:pPr>
          </w:p>
          <w:p w:rsidR="002B5B9E" w:rsidRPr="002B5B9E" w:rsidRDefault="002B5B9E" w:rsidP="002B5B9E">
            <w:pPr>
              <w:rPr>
                <w:rFonts w:eastAsia="Times New Roman"/>
                <w:sz w:val="24"/>
                <w:szCs w:val="24"/>
                <w:lang w:eastAsia="lv-LV"/>
              </w:rPr>
            </w:pPr>
          </w:p>
          <w:p w:rsidR="002B5B9E" w:rsidRPr="002B5B9E" w:rsidRDefault="002B5B9E" w:rsidP="002B5B9E">
            <w:pPr>
              <w:rPr>
                <w:rFonts w:eastAsia="Times New Roman"/>
                <w:sz w:val="24"/>
                <w:szCs w:val="24"/>
                <w:lang w:eastAsia="lv-LV"/>
              </w:rPr>
            </w:pPr>
          </w:p>
          <w:p w:rsidR="002B5B9E" w:rsidRPr="002B5B9E" w:rsidRDefault="002B5B9E" w:rsidP="002B5B9E">
            <w:pPr>
              <w:rPr>
                <w:rFonts w:eastAsia="Times New Roman"/>
                <w:sz w:val="24"/>
                <w:szCs w:val="24"/>
                <w:lang w:eastAsia="lv-LV"/>
              </w:rPr>
            </w:pPr>
          </w:p>
          <w:p w:rsidR="002B5B9E" w:rsidRPr="002B5B9E" w:rsidRDefault="002B5B9E" w:rsidP="002B5B9E">
            <w:pPr>
              <w:rPr>
                <w:rFonts w:eastAsia="Times New Roman"/>
                <w:sz w:val="24"/>
                <w:szCs w:val="24"/>
                <w:lang w:eastAsia="lv-LV"/>
              </w:rPr>
            </w:pPr>
          </w:p>
          <w:p w:rsidR="002B5B9E" w:rsidRPr="002B5B9E" w:rsidRDefault="002B5B9E" w:rsidP="002B5B9E">
            <w:pPr>
              <w:rPr>
                <w:rFonts w:eastAsia="Times New Roman"/>
                <w:sz w:val="24"/>
                <w:szCs w:val="24"/>
                <w:lang w:eastAsia="lv-LV"/>
              </w:rPr>
            </w:pPr>
          </w:p>
          <w:p w:rsidR="00532F34" w:rsidRPr="002B5B9E" w:rsidRDefault="00532F34" w:rsidP="002B5B9E">
            <w:pPr>
              <w:rPr>
                <w:rFonts w:eastAsia="Times New Roman"/>
                <w:sz w:val="24"/>
                <w:szCs w:val="24"/>
                <w:lang w:eastAsia="lv-LV"/>
              </w:rPr>
            </w:pPr>
          </w:p>
        </w:tc>
        <w:tc>
          <w:tcPr>
            <w:tcW w:w="5185" w:type="dxa"/>
            <w:gridSpan w:val="4"/>
            <w:shd w:val="clear" w:color="auto" w:fill="auto"/>
          </w:tcPr>
          <w:p w:rsidR="00F3505C" w:rsidRDefault="00891204" w:rsidP="00693586">
            <w:pPr>
              <w:pStyle w:val="NoSpacing"/>
              <w:ind w:firstLine="0"/>
              <w:rPr>
                <w:rFonts w:eastAsia="Times New Roman"/>
                <w:sz w:val="24"/>
                <w:szCs w:val="24"/>
                <w:lang w:eastAsia="lv-LV"/>
              </w:rPr>
            </w:pPr>
            <w:r>
              <w:rPr>
                <w:sz w:val="24"/>
                <w:szCs w:val="24"/>
              </w:rPr>
              <w:t xml:space="preserve">       </w:t>
            </w:r>
            <w:r w:rsidR="009442D2">
              <w:rPr>
                <w:sz w:val="24"/>
                <w:szCs w:val="24"/>
              </w:rPr>
              <w:t>Saskaņā ar Ceļu satiksmes likuma 4</w:t>
            </w:r>
            <w:r w:rsidR="009442D2" w:rsidRPr="00AD4676">
              <w:rPr>
                <w:rFonts w:eastAsia="Times New Roman"/>
                <w:sz w:val="24"/>
                <w:szCs w:val="24"/>
                <w:lang w:eastAsia="lv-LV"/>
              </w:rPr>
              <w:t xml:space="preserve">.panta </w:t>
            </w:r>
            <w:r w:rsidR="009442D2">
              <w:rPr>
                <w:rFonts w:eastAsia="Times New Roman"/>
                <w:sz w:val="24"/>
                <w:szCs w:val="24"/>
                <w:lang w:eastAsia="lv-LV"/>
              </w:rPr>
              <w:t xml:space="preserve">piekto daļu </w:t>
            </w:r>
            <w:r w:rsidR="009442D2" w:rsidRPr="00991B21">
              <w:rPr>
                <w:rFonts w:eastAsia="Times New Roman"/>
                <w:sz w:val="24"/>
                <w:szCs w:val="24"/>
                <w:lang w:eastAsia="lv-LV"/>
              </w:rPr>
              <w:t>Ministru kabinets izdod noteikumus par normatīvajos aktos noteikto</w:t>
            </w:r>
            <w:r w:rsidR="006F21A9">
              <w:rPr>
                <w:rFonts w:eastAsia="Times New Roman"/>
                <w:sz w:val="24"/>
                <w:szCs w:val="24"/>
                <w:lang w:eastAsia="lv-LV"/>
              </w:rPr>
              <w:t xml:space="preserve"> VAS </w:t>
            </w:r>
            <w:r w:rsidR="006F21A9" w:rsidRPr="006F21A9">
              <w:rPr>
                <w:sz w:val="24"/>
                <w:szCs w:val="24"/>
              </w:rPr>
              <w:t>„</w:t>
            </w:r>
            <w:r w:rsidR="009442D2" w:rsidRPr="00991B21">
              <w:rPr>
                <w:rFonts w:eastAsia="Times New Roman"/>
                <w:sz w:val="24"/>
                <w:szCs w:val="24"/>
                <w:lang w:eastAsia="lv-LV"/>
              </w:rPr>
              <w:t>Ce</w:t>
            </w:r>
            <w:r w:rsidR="006F21A9">
              <w:rPr>
                <w:rFonts w:eastAsia="Times New Roman"/>
                <w:sz w:val="24"/>
                <w:szCs w:val="24"/>
                <w:lang w:eastAsia="lv-LV"/>
              </w:rPr>
              <w:t>ļu satiksmes drošības direkcija”</w:t>
            </w:r>
            <w:r w:rsidR="009442D2" w:rsidRPr="00991B21">
              <w:rPr>
                <w:rFonts w:eastAsia="Times New Roman"/>
                <w:sz w:val="24"/>
                <w:szCs w:val="24"/>
                <w:lang w:eastAsia="lv-LV"/>
              </w:rPr>
              <w:t xml:space="preserve"> </w:t>
            </w:r>
            <w:r w:rsidR="009442D2">
              <w:rPr>
                <w:rFonts w:eastAsia="Times New Roman"/>
                <w:sz w:val="24"/>
                <w:szCs w:val="24"/>
                <w:lang w:eastAsia="lv-LV"/>
              </w:rPr>
              <w:t xml:space="preserve">(turpmāk – CSDD) </w:t>
            </w:r>
            <w:r w:rsidR="009442D2" w:rsidRPr="00991B21">
              <w:rPr>
                <w:rFonts w:eastAsia="Times New Roman"/>
                <w:sz w:val="24"/>
                <w:szCs w:val="24"/>
                <w:lang w:eastAsia="lv-LV"/>
              </w:rPr>
              <w:t>pakalpojumu cenrāža apstiprināšanu, kā arī nosaka to personu loku, kuras ir atbrīvojamas no samaksas par minētajiem pakalpojumiem.</w:t>
            </w:r>
            <w:r w:rsidR="009442D2">
              <w:rPr>
                <w:rFonts w:eastAsia="Times New Roman"/>
                <w:sz w:val="24"/>
                <w:szCs w:val="24"/>
                <w:lang w:eastAsia="lv-LV"/>
              </w:rPr>
              <w:t xml:space="preserve"> </w:t>
            </w:r>
          </w:p>
          <w:p w:rsidR="004F5900" w:rsidRDefault="00891204" w:rsidP="00693586">
            <w:pPr>
              <w:pStyle w:val="NoSpacing"/>
              <w:ind w:firstLine="0"/>
              <w:rPr>
                <w:sz w:val="24"/>
                <w:szCs w:val="24"/>
              </w:rPr>
            </w:pPr>
            <w:r>
              <w:rPr>
                <w:sz w:val="24"/>
                <w:szCs w:val="24"/>
              </w:rPr>
              <w:t xml:space="preserve">       </w:t>
            </w:r>
            <w:r w:rsidR="00934564" w:rsidRPr="00934564">
              <w:rPr>
                <w:sz w:val="24"/>
                <w:szCs w:val="24"/>
              </w:rPr>
              <w:t xml:space="preserve">Lai Latvijā īstenotu </w:t>
            </w:r>
            <w:proofErr w:type="spellStart"/>
            <w:r w:rsidR="00E2406E">
              <w:rPr>
                <w:sz w:val="24"/>
                <w:szCs w:val="24"/>
              </w:rPr>
              <w:t>e</w:t>
            </w:r>
            <w:r w:rsidR="00E2406E" w:rsidRPr="00934564">
              <w:rPr>
                <w:sz w:val="24"/>
                <w:szCs w:val="24"/>
              </w:rPr>
              <w:t>lektromobilitātes</w:t>
            </w:r>
            <w:proofErr w:type="spellEnd"/>
            <w:r w:rsidR="00934564" w:rsidRPr="00934564">
              <w:rPr>
                <w:sz w:val="24"/>
                <w:szCs w:val="24"/>
              </w:rPr>
              <w:t xml:space="preserve"> attīstību atbilstoši </w:t>
            </w:r>
            <w:r w:rsidR="00CB46AF">
              <w:rPr>
                <w:sz w:val="24"/>
                <w:szCs w:val="24"/>
              </w:rPr>
              <w:t xml:space="preserve">ar </w:t>
            </w:r>
            <w:r w:rsidR="0020575A">
              <w:rPr>
                <w:sz w:val="24"/>
                <w:szCs w:val="24"/>
              </w:rPr>
              <w:t>Ministru k</w:t>
            </w:r>
            <w:r w:rsidR="00E2406E">
              <w:rPr>
                <w:sz w:val="24"/>
                <w:szCs w:val="24"/>
              </w:rPr>
              <w:t>abineta</w:t>
            </w:r>
            <w:r w:rsidR="00CB46AF">
              <w:rPr>
                <w:sz w:val="24"/>
                <w:szCs w:val="24"/>
              </w:rPr>
              <w:t xml:space="preserve"> </w:t>
            </w:r>
            <w:r w:rsidR="00DA2996">
              <w:rPr>
                <w:sz w:val="24"/>
                <w:szCs w:val="24"/>
              </w:rPr>
              <w:t xml:space="preserve">2014. gada </w:t>
            </w:r>
            <w:r w:rsidR="00CB46AF" w:rsidRPr="00CB46AF">
              <w:rPr>
                <w:sz w:val="24"/>
                <w:szCs w:val="24"/>
              </w:rPr>
              <w:t xml:space="preserve">26. </w:t>
            </w:r>
            <w:r w:rsidR="00CB46AF">
              <w:rPr>
                <w:sz w:val="24"/>
                <w:szCs w:val="24"/>
              </w:rPr>
              <w:t>m</w:t>
            </w:r>
            <w:r w:rsidR="00CB46AF" w:rsidRPr="00CB46AF">
              <w:rPr>
                <w:sz w:val="24"/>
                <w:szCs w:val="24"/>
              </w:rPr>
              <w:t>arta</w:t>
            </w:r>
            <w:r w:rsidR="00CB46AF">
              <w:rPr>
                <w:sz w:val="24"/>
                <w:szCs w:val="24"/>
              </w:rPr>
              <w:t xml:space="preserve"> </w:t>
            </w:r>
            <w:r w:rsidR="00CB46AF" w:rsidRPr="00CB46AF">
              <w:rPr>
                <w:sz w:val="24"/>
                <w:szCs w:val="24"/>
              </w:rPr>
              <w:t>rīkojum</w:t>
            </w:r>
            <w:r w:rsidR="00CB46AF">
              <w:rPr>
                <w:sz w:val="24"/>
                <w:szCs w:val="24"/>
              </w:rPr>
              <w:t>u</w:t>
            </w:r>
            <w:r w:rsidR="00CB46AF" w:rsidRPr="00CB46AF">
              <w:rPr>
                <w:sz w:val="24"/>
                <w:szCs w:val="24"/>
              </w:rPr>
              <w:t xml:space="preserve"> Nr.129</w:t>
            </w:r>
            <w:r w:rsidR="009442D2">
              <w:t xml:space="preserve"> </w:t>
            </w:r>
            <w:r w:rsidR="009442D2" w:rsidRPr="006F21A9">
              <w:rPr>
                <w:sz w:val="24"/>
                <w:szCs w:val="24"/>
              </w:rPr>
              <w:t>„</w:t>
            </w:r>
            <w:r w:rsidR="009442D2" w:rsidRPr="009442D2">
              <w:rPr>
                <w:sz w:val="24"/>
                <w:szCs w:val="24"/>
              </w:rPr>
              <w:t>Par Elektromobilitātes attīstības plānu 2014.-2016.gadam</w:t>
            </w:r>
            <w:r w:rsidR="009442D2">
              <w:rPr>
                <w:sz w:val="24"/>
                <w:szCs w:val="24"/>
              </w:rPr>
              <w:t>”</w:t>
            </w:r>
            <w:r w:rsidR="00E2406E">
              <w:rPr>
                <w:sz w:val="24"/>
                <w:szCs w:val="24"/>
              </w:rPr>
              <w:t xml:space="preserve"> apstiprinātajā </w:t>
            </w:r>
            <w:r w:rsidR="00934564" w:rsidRPr="00934564">
              <w:rPr>
                <w:sz w:val="24"/>
                <w:szCs w:val="24"/>
              </w:rPr>
              <w:t>Elektromobilitātes attīstības plān</w:t>
            </w:r>
            <w:r w:rsidR="00934564">
              <w:rPr>
                <w:sz w:val="24"/>
                <w:szCs w:val="24"/>
              </w:rPr>
              <w:t>ā</w:t>
            </w:r>
            <w:r w:rsidR="00934564" w:rsidRPr="00934564">
              <w:rPr>
                <w:sz w:val="24"/>
                <w:szCs w:val="24"/>
              </w:rPr>
              <w:t xml:space="preserve"> 2014</w:t>
            </w:r>
            <w:r w:rsidR="00E2406E">
              <w:rPr>
                <w:sz w:val="24"/>
                <w:szCs w:val="24"/>
              </w:rPr>
              <w:t>.</w:t>
            </w:r>
            <w:r w:rsidR="00934564" w:rsidRPr="00934564">
              <w:rPr>
                <w:sz w:val="24"/>
                <w:szCs w:val="24"/>
              </w:rPr>
              <w:t xml:space="preserve">-2016.gadam noteiktajiem mērķiem, nepieciešams ieviest </w:t>
            </w:r>
            <w:r w:rsidR="00BD058E">
              <w:rPr>
                <w:sz w:val="24"/>
                <w:szCs w:val="24"/>
              </w:rPr>
              <w:t>speciālas</w:t>
            </w:r>
            <w:r w:rsidR="00934564">
              <w:rPr>
                <w:sz w:val="24"/>
                <w:szCs w:val="24"/>
              </w:rPr>
              <w:t>,</w:t>
            </w:r>
            <w:r w:rsidR="00934564" w:rsidRPr="00934564">
              <w:rPr>
                <w:sz w:val="24"/>
                <w:szCs w:val="24"/>
              </w:rPr>
              <w:t xml:space="preserve"> </w:t>
            </w:r>
            <w:r w:rsidR="00BD058E">
              <w:rPr>
                <w:sz w:val="24"/>
                <w:szCs w:val="24"/>
              </w:rPr>
              <w:t xml:space="preserve">viegli </w:t>
            </w:r>
            <w:r w:rsidR="00934564" w:rsidRPr="00934564">
              <w:rPr>
                <w:sz w:val="24"/>
                <w:szCs w:val="24"/>
              </w:rPr>
              <w:t xml:space="preserve">atpazīstamas numura zīmes </w:t>
            </w:r>
            <w:r w:rsidR="00513367" w:rsidRPr="00693586">
              <w:rPr>
                <w:sz w:val="24"/>
                <w:szCs w:val="24"/>
              </w:rPr>
              <w:t>elektro</w:t>
            </w:r>
            <w:r w:rsidR="00F1581E" w:rsidRPr="00693586">
              <w:rPr>
                <w:sz w:val="24"/>
                <w:szCs w:val="24"/>
              </w:rPr>
              <w:t>transportlīdzekļiem</w:t>
            </w:r>
            <w:r w:rsidR="00693586" w:rsidRPr="00693586">
              <w:rPr>
                <w:sz w:val="24"/>
                <w:szCs w:val="24"/>
              </w:rPr>
              <w:t xml:space="preserve">. Šādu nosacījumu ieviešana nepieciešama, lai </w:t>
            </w:r>
            <w:r w:rsidR="00934564" w:rsidRPr="00693586">
              <w:rPr>
                <w:sz w:val="24"/>
                <w:szCs w:val="24"/>
              </w:rPr>
              <w:t xml:space="preserve">varētu </w:t>
            </w:r>
            <w:r w:rsidR="0013479B" w:rsidRPr="00693586">
              <w:rPr>
                <w:sz w:val="24"/>
                <w:szCs w:val="24"/>
              </w:rPr>
              <w:t>ieviest</w:t>
            </w:r>
            <w:r w:rsidR="00CB46AF">
              <w:rPr>
                <w:sz w:val="24"/>
                <w:szCs w:val="24"/>
              </w:rPr>
              <w:t xml:space="preserve"> Ministru kabineta 2015.gada 2.jūnija noteikumos Nr.279</w:t>
            </w:r>
            <w:r w:rsidR="0013479B">
              <w:rPr>
                <w:sz w:val="24"/>
                <w:szCs w:val="24"/>
              </w:rPr>
              <w:t xml:space="preserve"> </w:t>
            </w:r>
            <w:r w:rsidR="00CB46AF">
              <w:rPr>
                <w:sz w:val="24"/>
                <w:szCs w:val="24"/>
              </w:rPr>
              <w:t>„</w:t>
            </w:r>
            <w:r w:rsidR="00934564" w:rsidRPr="00934564">
              <w:rPr>
                <w:sz w:val="24"/>
                <w:szCs w:val="24"/>
              </w:rPr>
              <w:t>C</w:t>
            </w:r>
            <w:r w:rsidR="0013479B">
              <w:rPr>
                <w:sz w:val="24"/>
                <w:szCs w:val="24"/>
              </w:rPr>
              <w:t>eļu satiksmes noteikum</w:t>
            </w:r>
            <w:r w:rsidR="00CB46AF">
              <w:rPr>
                <w:sz w:val="24"/>
                <w:szCs w:val="24"/>
              </w:rPr>
              <w:t>i”</w:t>
            </w:r>
            <w:r w:rsidR="0013479B">
              <w:rPr>
                <w:sz w:val="24"/>
                <w:szCs w:val="24"/>
              </w:rPr>
              <w:t xml:space="preserve"> (stāsies spēkā 2016.gada 1.janvārī) </w:t>
            </w:r>
            <w:r w:rsidR="00934564" w:rsidRPr="00934564">
              <w:rPr>
                <w:sz w:val="24"/>
                <w:szCs w:val="24"/>
              </w:rPr>
              <w:t>paredz</w:t>
            </w:r>
            <w:r w:rsidR="0013479B">
              <w:rPr>
                <w:sz w:val="24"/>
                <w:szCs w:val="24"/>
              </w:rPr>
              <w:t>ēto</w:t>
            </w:r>
            <w:r w:rsidR="00513367">
              <w:rPr>
                <w:sz w:val="24"/>
                <w:szCs w:val="24"/>
              </w:rPr>
              <w:t xml:space="preserve"> iespēju ar šiem elektro</w:t>
            </w:r>
            <w:r w:rsidR="00F1581E">
              <w:rPr>
                <w:sz w:val="24"/>
                <w:szCs w:val="24"/>
              </w:rPr>
              <w:t>transportlīdzekļiem</w:t>
            </w:r>
            <w:r w:rsidR="00934564" w:rsidRPr="00934564">
              <w:rPr>
                <w:sz w:val="24"/>
                <w:szCs w:val="24"/>
              </w:rPr>
              <w:t xml:space="preserve"> braukt </w:t>
            </w:r>
            <w:r w:rsidR="00693586">
              <w:rPr>
                <w:sz w:val="24"/>
                <w:szCs w:val="24"/>
              </w:rPr>
              <w:t>pa sabiedriskā transporta joslu, kā arī</w:t>
            </w:r>
            <w:r w:rsidR="00934564" w:rsidRPr="00934564">
              <w:rPr>
                <w:sz w:val="24"/>
                <w:szCs w:val="24"/>
              </w:rPr>
              <w:t xml:space="preserve"> pašvaldībām dotu iespēju piemērot stāv</w:t>
            </w:r>
            <w:r w:rsidR="00934564">
              <w:rPr>
                <w:sz w:val="24"/>
                <w:szCs w:val="24"/>
              </w:rPr>
              <w:t>vietu izmantošanas</w:t>
            </w:r>
            <w:r w:rsidR="00934564" w:rsidRPr="00934564">
              <w:rPr>
                <w:sz w:val="24"/>
                <w:szCs w:val="24"/>
              </w:rPr>
              <w:t xml:space="preserve"> atvieglojumus </w:t>
            </w:r>
            <w:r w:rsidR="00F05597">
              <w:rPr>
                <w:sz w:val="24"/>
                <w:szCs w:val="24"/>
              </w:rPr>
              <w:t>to administratīvajā</w:t>
            </w:r>
            <w:r w:rsidR="00934564" w:rsidRPr="00934564">
              <w:rPr>
                <w:sz w:val="24"/>
                <w:szCs w:val="24"/>
              </w:rPr>
              <w:t xml:space="preserve"> teritorijā u.c. aktivitātes plāna ietvaros.</w:t>
            </w:r>
            <w:r w:rsidR="00513367">
              <w:rPr>
                <w:sz w:val="24"/>
                <w:szCs w:val="24"/>
              </w:rPr>
              <w:t xml:space="preserve"> Lai veicinātu </w:t>
            </w:r>
            <w:proofErr w:type="spellStart"/>
            <w:r w:rsidR="00F1581E">
              <w:rPr>
                <w:sz w:val="24"/>
                <w:szCs w:val="24"/>
              </w:rPr>
              <w:t>e</w:t>
            </w:r>
            <w:r w:rsidR="008D0901">
              <w:rPr>
                <w:sz w:val="24"/>
                <w:szCs w:val="24"/>
              </w:rPr>
              <w:t>lektromobilitātes</w:t>
            </w:r>
            <w:proofErr w:type="spellEnd"/>
            <w:r w:rsidR="008D0901">
              <w:rPr>
                <w:sz w:val="24"/>
                <w:szCs w:val="24"/>
              </w:rPr>
              <w:t xml:space="preserve"> attīstību</w:t>
            </w:r>
            <w:r w:rsidR="00513367">
              <w:rPr>
                <w:sz w:val="24"/>
                <w:szCs w:val="24"/>
              </w:rPr>
              <w:t xml:space="preserve">, </w:t>
            </w:r>
            <w:proofErr w:type="spellStart"/>
            <w:r w:rsidR="00513367">
              <w:rPr>
                <w:sz w:val="24"/>
                <w:szCs w:val="24"/>
              </w:rPr>
              <w:t>elektro</w:t>
            </w:r>
            <w:r w:rsidR="00F1581E">
              <w:rPr>
                <w:sz w:val="24"/>
                <w:szCs w:val="24"/>
              </w:rPr>
              <w:t>transportlīdzekļu</w:t>
            </w:r>
            <w:proofErr w:type="spellEnd"/>
            <w:r w:rsidR="00E2406E">
              <w:rPr>
                <w:sz w:val="24"/>
                <w:szCs w:val="24"/>
              </w:rPr>
              <w:t xml:space="preserve"> lietotāji būtu atbrīvojami no maksas par reģistrācijas pakalpojumiem pirmreizējā reģistrācijā.</w:t>
            </w:r>
            <w:r w:rsidR="003F2842">
              <w:rPr>
                <w:sz w:val="24"/>
                <w:szCs w:val="24"/>
              </w:rPr>
              <w:t xml:space="preserve"> </w:t>
            </w:r>
          </w:p>
          <w:p w:rsidR="00296CB4" w:rsidRDefault="00F24D66" w:rsidP="00F05597">
            <w:pPr>
              <w:pStyle w:val="NoSpacing"/>
              <w:ind w:firstLine="0"/>
              <w:rPr>
                <w:sz w:val="24"/>
                <w:szCs w:val="24"/>
              </w:rPr>
            </w:pPr>
            <w:r>
              <w:rPr>
                <w:sz w:val="24"/>
                <w:szCs w:val="24"/>
              </w:rPr>
              <w:t xml:space="preserve">      </w:t>
            </w:r>
            <w:r w:rsidR="00296CB4">
              <w:rPr>
                <w:sz w:val="24"/>
                <w:szCs w:val="24"/>
              </w:rPr>
              <w:t>Saskaņā ar Ceļu satiksmes likuma 16.panta septīto daļu CSDD veic komercpārvadājumus veicošo transportlīdzekļu tehnisko kontroli uz ceļiem, par kuras veikšanu netiek iekasēta maksa par pakalpojumu, tomēr šāds atbrīvojums nebija paredzēts CSDD sniegto pakalpojumu izcenojumos. Noteikumu projektā noteikt</w:t>
            </w:r>
            <w:r w:rsidR="00693586">
              <w:rPr>
                <w:sz w:val="24"/>
                <w:szCs w:val="24"/>
              </w:rPr>
              <w:t>s</w:t>
            </w:r>
            <w:r w:rsidR="00296CB4">
              <w:rPr>
                <w:sz w:val="24"/>
                <w:szCs w:val="24"/>
              </w:rPr>
              <w:t xml:space="preserve">, ka tehnisko kontroli uz ceļa </w:t>
            </w:r>
            <w:r w:rsidR="00170634">
              <w:rPr>
                <w:sz w:val="24"/>
                <w:szCs w:val="24"/>
              </w:rPr>
              <w:t xml:space="preserve">CSDD </w:t>
            </w:r>
            <w:r w:rsidR="00296CB4">
              <w:rPr>
                <w:sz w:val="24"/>
                <w:szCs w:val="24"/>
              </w:rPr>
              <w:t>veic bez maksas.</w:t>
            </w:r>
          </w:p>
          <w:p w:rsidR="00A23D92" w:rsidRDefault="00296CB4" w:rsidP="00A23D92">
            <w:pPr>
              <w:pStyle w:val="NoSpacing"/>
              <w:ind w:firstLine="0"/>
              <w:rPr>
                <w:sz w:val="24"/>
                <w:szCs w:val="24"/>
              </w:rPr>
            </w:pPr>
            <w:r>
              <w:rPr>
                <w:sz w:val="24"/>
                <w:szCs w:val="24"/>
              </w:rPr>
              <w:t xml:space="preserve">        </w:t>
            </w:r>
            <w:r w:rsidR="00A23D92">
              <w:rPr>
                <w:sz w:val="24"/>
                <w:szCs w:val="24"/>
              </w:rPr>
              <w:t xml:space="preserve">Noteikumi paredz palielināt izcenojumu kuģošanas līdzekļu reģistrācijai. Tas saistīts ar </w:t>
            </w:r>
            <w:r w:rsidR="00A23D92" w:rsidRPr="009D1E9B">
              <w:rPr>
                <w:sz w:val="24"/>
                <w:szCs w:val="24"/>
              </w:rPr>
              <w:t>ieviest</w:t>
            </w:r>
            <w:r w:rsidR="00A23D92">
              <w:rPr>
                <w:sz w:val="24"/>
                <w:szCs w:val="24"/>
              </w:rPr>
              <w:t>ām stingrākām</w:t>
            </w:r>
            <w:r w:rsidR="00A23D92" w:rsidRPr="009D1E9B">
              <w:rPr>
                <w:sz w:val="24"/>
                <w:szCs w:val="24"/>
              </w:rPr>
              <w:t xml:space="preserve"> prasīb</w:t>
            </w:r>
            <w:r w:rsidR="009E77D9">
              <w:rPr>
                <w:sz w:val="24"/>
                <w:szCs w:val="24"/>
              </w:rPr>
              <w:t>ām</w:t>
            </w:r>
            <w:r w:rsidR="00A23D92" w:rsidRPr="009D1E9B">
              <w:rPr>
                <w:sz w:val="24"/>
                <w:szCs w:val="24"/>
              </w:rPr>
              <w:t xml:space="preserve"> attiecībā uz pašizgatavotu motorlaivu un kuteru reģistrācijas kārtību</w:t>
            </w:r>
            <w:r w:rsidR="00A23D92">
              <w:rPr>
                <w:sz w:val="24"/>
                <w:szCs w:val="24"/>
              </w:rPr>
              <w:t xml:space="preserve"> un nepieciešamību pārbaudīt</w:t>
            </w:r>
            <w:r w:rsidR="00A23D92" w:rsidRPr="00F24D66">
              <w:rPr>
                <w:sz w:val="24"/>
                <w:szCs w:val="24"/>
              </w:rPr>
              <w:t xml:space="preserve"> CE marķējumu, kas </w:t>
            </w:r>
            <w:r w:rsidR="00A23D92">
              <w:rPr>
                <w:sz w:val="24"/>
                <w:szCs w:val="24"/>
              </w:rPr>
              <w:t xml:space="preserve">noteikts ar grozījumiem kuģošanas līdzekļu reģistrācijas nosacījumos (Ministru kabineta 2015.gada 14.aprīļa noteikumi nr.185). Līdz ar to, procedūras un laiks, kas nepieciešams kuģošanas līdzekļu reģistrācijai, ir identisks tam, </w:t>
            </w:r>
            <w:r w:rsidR="00A23D92">
              <w:rPr>
                <w:sz w:val="24"/>
                <w:szCs w:val="24"/>
              </w:rPr>
              <w:lastRenderedPageBreak/>
              <w:t>kāds nepieciešams citu transportlīdzekļu reģistrēšanai. No tā izriet, ka maksai par reģistrēšanas pakalpojumu ir jābūt identiskai – EUR 4,60.</w:t>
            </w:r>
          </w:p>
          <w:p w:rsidR="009C3C34" w:rsidRDefault="002D4754" w:rsidP="00F05597">
            <w:pPr>
              <w:pStyle w:val="NoSpacing"/>
              <w:ind w:firstLine="0"/>
              <w:rPr>
                <w:sz w:val="24"/>
                <w:szCs w:val="24"/>
              </w:rPr>
            </w:pPr>
            <w:r>
              <w:rPr>
                <w:sz w:val="24"/>
                <w:szCs w:val="24"/>
              </w:rPr>
              <w:t xml:space="preserve">    </w:t>
            </w:r>
            <w:r w:rsidR="00ED7E23" w:rsidRPr="00ED7E23">
              <w:rPr>
                <w:sz w:val="24"/>
                <w:szCs w:val="24"/>
              </w:rPr>
              <w:t>Lai mazinātu administratīvo slogu komersantiem, kas nodarbojas ar transportlīdzekļu mazumtirdzniecību, ir paredzēts atteikties no tirdzniecības numura zīmju kartes kā dokumenta izsniegšanas, to aizstājot ar tās noformēšanu transportlīdzekļu</w:t>
            </w:r>
            <w:r w:rsidR="009C3C34">
              <w:rPr>
                <w:sz w:val="24"/>
                <w:szCs w:val="24"/>
              </w:rPr>
              <w:t xml:space="preserve"> un to vadītāju valsts reģistrā. Komersantiem vairs nevajadzēs saņemt tirdzniecības numura karti kā dokum</w:t>
            </w:r>
            <w:r w:rsidR="0068697D">
              <w:rPr>
                <w:sz w:val="24"/>
                <w:szCs w:val="24"/>
              </w:rPr>
              <w:t>e</w:t>
            </w:r>
            <w:r w:rsidR="009C3C34">
              <w:rPr>
                <w:sz w:val="24"/>
                <w:szCs w:val="24"/>
              </w:rPr>
              <w:t>ntu, jo to aizstās atzīmes izdarīšana reģistrā. Lī</w:t>
            </w:r>
            <w:r w:rsidR="002B5B9E">
              <w:rPr>
                <w:sz w:val="24"/>
                <w:szCs w:val="24"/>
              </w:rPr>
              <w:t>dz ar to, redakcionāli precizēts</w:t>
            </w:r>
            <w:r w:rsidR="009C3C34">
              <w:rPr>
                <w:sz w:val="24"/>
                <w:szCs w:val="24"/>
              </w:rPr>
              <w:t xml:space="preserve"> CSDD pakalpojuma izcenojuma </w:t>
            </w:r>
            <w:r w:rsidR="0068697D">
              <w:rPr>
                <w:sz w:val="24"/>
                <w:szCs w:val="24"/>
              </w:rPr>
              <w:t>nosaukums</w:t>
            </w:r>
            <w:r w:rsidR="009C3C34">
              <w:rPr>
                <w:sz w:val="24"/>
                <w:szCs w:val="24"/>
              </w:rPr>
              <w:t>.</w:t>
            </w:r>
          </w:p>
          <w:p w:rsidR="002D4754" w:rsidRDefault="00ED7E23" w:rsidP="00F05597">
            <w:pPr>
              <w:pStyle w:val="NoSpacing"/>
              <w:ind w:firstLine="0"/>
              <w:rPr>
                <w:sz w:val="24"/>
                <w:szCs w:val="24"/>
              </w:rPr>
            </w:pPr>
            <w:r w:rsidRPr="00ED7E23">
              <w:rPr>
                <w:sz w:val="24"/>
                <w:szCs w:val="24"/>
              </w:rPr>
              <w:t xml:space="preserve"> </w:t>
            </w:r>
            <w:r w:rsidR="0068697D">
              <w:rPr>
                <w:sz w:val="24"/>
                <w:szCs w:val="24"/>
              </w:rPr>
              <w:t xml:space="preserve">       </w:t>
            </w:r>
            <w:r w:rsidR="009C3C34" w:rsidRPr="00ED7E23">
              <w:rPr>
                <w:sz w:val="24"/>
                <w:szCs w:val="24"/>
              </w:rPr>
              <w:t xml:space="preserve">Lai mazinātu administratīvo slogu </w:t>
            </w:r>
            <w:r w:rsidR="009C3C34">
              <w:rPr>
                <w:sz w:val="24"/>
                <w:szCs w:val="24"/>
              </w:rPr>
              <w:t xml:space="preserve">gan </w:t>
            </w:r>
            <w:r w:rsidR="009C3C34" w:rsidRPr="00ED7E23">
              <w:rPr>
                <w:sz w:val="24"/>
                <w:szCs w:val="24"/>
              </w:rPr>
              <w:t xml:space="preserve">komersantiem, kas nodarbojas ar transportlīdzekļu mazumtirdzniecību, </w:t>
            </w:r>
            <w:r w:rsidR="009C3C34">
              <w:rPr>
                <w:sz w:val="24"/>
                <w:szCs w:val="24"/>
              </w:rPr>
              <w:t>gan transportlīdzekļu ieguvējiem (īpašniekiem)</w:t>
            </w:r>
            <w:r w:rsidR="002B5B9E">
              <w:rPr>
                <w:sz w:val="24"/>
                <w:szCs w:val="24"/>
              </w:rPr>
              <w:t>,</w:t>
            </w:r>
            <w:r w:rsidR="009C3C34">
              <w:rPr>
                <w:sz w:val="24"/>
                <w:szCs w:val="24"/>
              </w:rPr>
              <w:t xml:space="preserve"> </w:t>
            </w:r>
            <w:r w:rsidRPr="00ED7E23">
              <w:rPr>
                <w:sz w:val="24"/>
                <w:szCs w:val="24"/>
              </w:rPr>
              <w:t>nav paredzēta stingrās uzskaites rēķinu - uzziņu veidlapu</w:t>
            </w:r>
            <w:r w:rsidR="002B5B9E">
              <w:rPr>
                <w:sz w:val="24"/>
                <w:szCs w:val="24"/>
              </w:rPr>
              <w:t xml:space="preserve"> izsniegšana un noformēšana, to</w:t>
            </w:r>
            <w:r w:rsidRPr="00ED7E23">
              <w:rPr>
                <w:sz w:val="24"/>
                <w:szCs w:val="24"/>
              </w:rPr>
              <w:t xml:space="preserve"> aizstājot ar atzīmes izdarīšan</w:t>
            </w:r>
            <w:r>
              <w:rPr>
                <w:sz w:val="24"/>
                <w:szCs w:val="24"/>
              </w:rPr>
              <w:t>u</w:t>
            </w:r>
            <w:r w:rsidRPr="00ED7E23">
              <w:rPr>
                <w:sz w:val="24"/>
                <w:szCs w:val="24"/>
              </w:rPr>
              <w:t xml:space="preserve"> transportlīdzekļu un to vadītāju valsts reģistrā. Administratīvais slogs samazin</w:t>
            </w:r>
            <w:r>
              <w:rPr>
                <w:sz w:val="24"/>
                <w:szCs w:val="24"/>
              </w:rPr>
              <w:t>ā</w:t>
            </w:r>
            <w:r w:rsidRPr="00ED7E23">
              <w:rPr>
                <w:sz w:val="24"/>
                <w:szCs w:val="24"/>
              </w:rPr>
              <w:t>s</w:t>
            </w:r>
            <w:r>
              <w:rPr>
                <w:sz w:val="24"/>
                <w:szCs w:val="24"/>
              </w:rPr>
              <w:t>, jo</w:t>
            </w:r>
            <w:r w:rsidRPr="00ED7E23">
              <w:rPr>
                <w:sz w:val="24"/>
                <w:szCs w:val="24"/>
              </w:rPr>
              <w:t xml:space="preserve"> nebūs nepieciešams iegādāties, uzskaitīt un uzglabāt stingrās </w:t>
            </w:r>
            <w:r>
              <w:rPr>
                <w:sz w:val="24"/>
                <w:szCs w:val="24"/>
              </w:rPr>
              <w:t>uzskaities, numurētās veidlapas</w:t>
            </w:r>
            <w:r w:rsidRPr="00ED7E23">
              <w:rPr>
                <w:sz w:val="24"/>
                <w:szCs w:val="24"/>
              </w:rPr>
              <w:t>. Tāpat transportlīdzekļa ieguvējam (īpašniekam) nevajadzēs uzglabāt izdrukāto īpašumtiesību apliecību, jo transportlīdzekļu un to vadītāju valsts reģistrā būs izdarīta atzīme par transportlīdzekļa īpašuma tiesību nodošanu ieguvējam.</w:t>
            </w:r>
            <w:r w:rsidR="00EA1944">
              <w:rPr>
                <w:sz w:val="24"/>
                <w:szCs w:val="24"/>
              </w:rPr>
              <w:t xml:space="preserve"> </w:t>
            </w:r>
          </w:p>
          <w:p w:rsidR="005A5D16" w:rsidRPr="00765AF2" w:rsidRDefault="005A3223" w:rsidP="005A5D16">
            <w:pPr>
              <w:pStyle w:val="NoSpacing"/>
              <w:ind w:firstLine="0"/>
              <w:rPr>
                <w:color w:val="00B050"/>
                <w:sz w:val="24"/>
                <w:szCs w:val="24"/>
              </w:rPr>
            </w:pPr>
            <w:r>
              <w:rPr>
                <w:sz w:val="24"/>
                <w:szCs w:val="24"/>
              </w:rPr>
              <w:t xml:space="preserve">      </w:t>
            </w:r>
            <w:r w:rsidR="004A77C4">
              <w:rPr>
                <w:sz w:val="24"/>
                <w:szCs w:val="24"/>
              </w:rPr>
              <w:t>Noteikumu projekts</w:t>
            </w:r>
            <w:r w:rsidR="005A5D16">
              <w:rPr>
                <w:sz w:val="24"/>
                <w:szCs w:val="24"/>
              </w:rPr>
              <w:t xml:space="preserve"> paredz palielināt </w:t>
            </w:r>
            <w:r w:rsidR="005A5D16" w:rsidRPr="002B5B9E">
              <w:rPr>
                <w:sz w:val="24"/>
                <w:szCs w:val="24"/>
              </w:rPr>
              <w:t xml:space="preserve">izcenojumu valsts reģistrācijas numura izvēlei. Šī CSDD pakalpojuma izmantošana ir katra klienta brīvprātīga, individuāla izvēle, lai iegūtu atšķirīgu vai personai nozīmīgu ciparu salikuma numura zīmi. </w:t>
            </w:r>
            <w:r w:rsidR="00765AF2" w:rsidRPr="00A951CD">
              <w:rPr>
                <w:sz w:val="24"/>
                <w:szCs w:val="24"/>
              </w:rPr>
              <w:t>Šādi papildus</w:t>
            </w:r>
            <w:r w:rsidR="00D32D98" w:rsidRPr="00A951CD">
              <w:rPr>
                <w:sz w:val="24"/>
                <w:szCs w:val="24"/>
              </w:rPr>
              <w:t xml:space="preserve"> iegūtie līdzekļi ti</w:t>
            </w:r>
            <w:r w:rsidR="00765AF2" w:rsidRPr="00A951CD">
              <w:rPr>
                <w:sz w:val="24"/>
                <w:szCs w:val="24"/>
              </w:rPr>
              <w:t>e</w:t>
            </w:r>
            <w:r w:rsidR="00D32D98" w:rsidRPr="00A951CD">
              <w:rPr>
                <w:sz w:val="24"/>
                <w:szCs w:val="24"/>
              </w:rPr>
              <w:t xml:space="preserve">k izmantoti </w:t>
            </w:r>
            <w:r w:rsidR="00765AF2" w:rsidRPr="00A951CD">
              <w:rPr>
                <w:sz w:val="24"/>
                <w:szCs w:val="24"/>
              </w:rPr>
              <w:t>CSDD veiktajām funkcijām, kas saistītas ar bērnus izglītojošiem pasākumiem (sacensības, konkursi, viktorīnas, mācību līdzeklī u.tml.),</w:t>
            </w:r>
            <w:r w:rsidR="00A951CD" w:rsidRPr="00A951CD">
              <w:rPr>
                <w:sz w:val="24"/>
                <w:szCs w:val="24"/>
              </w:rPr>
              <w:t xml:space="preserve"> velosipēdu vadītāju apliecību izsniegšan</w:t>
            </w:r>
            <w:r w:rsidR="00A951CD">
              <w:rPr>
                <w:sz w:val="24"/>
                <w:szCs w:val="24"/>
              </w:rPr>
              <w:t>ai</w:t>
            </w:r>
            <w:r w:rsidR="00A951CD" w:rsidRPr="00A951CD">
              <w:rPr>
                <w:sz w:val="24"/>
                <w:szCs w:val="24"/>
              </w:rPr>
              <w:t xml:space="preserve"> bez maksas,</w:t>
            </w:r>
            <w:r w:rsidR="00765AF2" w:rsidRPr="00A951CD">
              <w:rPr>
                <w:sz w:val="24"/>
                <w:szCs w:val="24"/>
              </w:rPr>
              <w:t xml:space="preserve"> ceļu satiksmes negadījumu profilakses pasākumiem, kā arī </w:t>
            </w:r>
            <w:r w:rsidR="00D32D98" w:rsidRPr="00A951CD">
              <w:rPr>
                <w:sz w:val="24"/>
                <w:szCs w:val="24"/>
              </w:rPr>
              <w:t xml:space="preserve">izdevumu segšanai, kas saistīti ar </w:t>
            </w:r>
            <w:r w:rsidR="00765AF2" w:rsidRPr="00A951CD">
              <w:rPr>
                <w:sz w:val="24"/>
                <w:szCs w:val="24"/>
              </w:rPr>
              <w:t>CSDD</w:t>
            </w:r>
            <w:r w:rsidR="00D32D98" w:rsidRPr="00A951CD">
              <w:rPr>
                <w:sz w:val="24"/>
                <w:szCs w:val="24"/>
              </w:rPr>
              <w:t xml:space="preserve"> bezmaksas pakalpojumu sniegšanu.</w:t>
            </w:r>
          </w:p>
          <w:p w:rsidR="002B420E" w:rsidRPr="001229AC" w:rsidRDefault="001229AC" w:rsidP="002B420E">
            <w:pPr>
              <w:pStyle w:val="NoSpacing"/>
              <w:ind w:firstLine="0"/>
              <w:rPr>
                <w:sz w:val="24"/>
                <w:szCs w:val="24"/>
              </w:rPr>
            </w:pPr>
            <w:r>
              <w:rPr>
                <w:sz w:val="24"/>
                <w:szCs w:val="24"/>
              </w:rPr>
              <w:t xml:space="preserve">   </w:t>
            </w:r>
            <w:r w:rsidR="002B420E">
              <w:rPr>
                <w:sz w:val="24"/>
                <w:szCs w:val="24"/>
              </w:rPr>
              <w:t>Agregātu numuru salīdzināšanas pakalpojuma izcenojuma paaugstināšana</w:t>
            </w:r>
            <w:r w:rsidR="002B420E" w:rsidRPr="001229AC">
              <w:rPr>
                <w:sz w:val="24"/>
                <w:szCs w:val="24"/>
              </w:rPr>
              <w:t xml:space="preserve"> nepieciešama, jo </w:t>
            </w:r>
            <w:r w:rsidR="002B420E">
              <w:rPr>
                <w:sz w:val="24"/>
                <w:szCs w:val="24"/>
              </w:rPr>
              <w:t>būtiski pieaugusi</w:t>
            </w:r>
            <w:r w:rsidR="002B420E" w:rsidRPr="001229AC">
              <w:rPr>
                <w:sz w:val="24"/>
                <w:szCs w:val="24"/>
              </w:rPr>
              <w:t xml:space="preserve"> </w:t>
            </w:r>
            <w:r w:rsidR="002B420E">
              <w:rPr>
                <w:sz w:val="24"/>
                <w:szCs w:val="24"/>
              </w:rPr>
              <w:t xml:space="preserve">šī </w:t>
            </w:r>
            <w:r w:rsidR="002B420E" w:rsidRPr="001229AC">
              <w:rPr>
                <w:sz w:val="24"/>
                <w:szCs w:val="24"/>
              </w:rPr>
              <w:t>pakalpojum</w:t>
            </w:r>
            <w:r w:rsidR="002B420E">
              <w:rPr>
                <w:sz w:val="24"/>
                <w:szCs w:val="24"/>
              </w:rPr>
              <w:t>a</w:t>
            </w:r>
            <w:r w:rsidR="002B420E" w:rsidRPr="001229AC">
              <w:rPr>
                <w:sz w:val="24"/>
                <w:szCs w:val="24"/>
              </w:rPr>
              <w:t xml:space="preserve"> </w:t>
            </w:r>
            <w:r w:rsidR="002B420E">
              <w:rPr>
                <w:sz w:val="24"/>
                <w:szCs w:val="24"/>
              </w:rPr>
              <w:t>paš</w:t>
            </w:r>
            <w:r w:rsidR="002B420E" w:rsidRPr="001229AC">
              <w:rPr>
                <w:sz w:val="24"/>
                <w:szCs w:val="24"/>
              </w:rPr>
              <w:t>izmaksa</w:t>
            </w:r>
            <w:r w:rsidR="002B420E">
              <w:rPr>
                <w:sz w:val="24"/>
                <w:szCs w:val="24"/>
              </w:rPr>
              <w:t>.</w:t>
            </w:r>
            <w:r w:rsidR="001A5814">
              <w:rPr>
                <w:sz w:val="24"/>
                <w:szCs w:val="24"/>
              </w:rPr>
              <w:t xml:space="preserve"> </w:t>
            </w:r>
            <w:r w:rsidR="002B420E">
              <w:rPr>
                <w:sz w:val="24"/>
                <w:szCs w:val="24"/>
              </w:rPr>
              <w:t>T</w:t>
            </w:r>
            <w:r w:rsidR="002B420E" w:rsidRPr="001229AC">
              <w:rPr>
                <w:sz w:val="24"/>
                <w:szCs w:val="24"/>
              </w:rPr>
              <w:t>as saistīt</w:t>
            </w:r>
            <w:r w:rsidR="002B420E">
              <w:rPr>
                <w:sz w:val="24"/>
                <w:szCs w:val="24"/>
              </w:rPr>
              <w:t>s</w:t>
            </w:r>
            <w:r w:rsidR="002B420E" w:rsidRPr="001229AC">
              <w:rPr>
                <w:sz w:val="24"/>
                <w:szCs w:val="24"/>
              </w:rPr>
              <w:t xml:space="preserve"> ar:</w:t>
            </w:r>
          </w:p>
          <w:p w:rsidR="002B420E" w:rsidRPr="001229AC" w:rsidRDefault="002B420E" w:rsidP="002B420E">
            <w:pPr>
              <w:pStyle w:val="NoSpacing"/>
              <w:ind w:firstLine="0"/>
              <w:rPr>
                <w:sz w:val="24"/>
                <w:szCs w:val="24"/>
              </w:rPr>
            </w:pPr>
            <w:r>
              <w:rPr>
                <w:sz w:val="24"/>
                <w:szCs w:val="24"/>
              </w:rPr>
              <w:t xml:space="preserve">      </w:t>
            </w:r>
            <w:r w:rsidRPr="001229AC">
              <w:rPr>
                <w:sz w:val="24"/>
                <w:szCs w:val="24"/>
              </w:rPr>
              <w:t>-</w:t>
            </w:r>
            <w:r w:rsidRPr="001229AC">
              <w:rPr>
                <w:sz w:val="24"/>
                <w:szCs w:val="24"/>
              </w:rPr>
              <w:tab/>
              <w:t xml:space="preserve">jaunu magnētoptisko iekārtu izmantošanu visās CSDD nodaļās, kas </w:t>
            </w:r>
            <w:r>
              <w:rPr>
                <w:sz w:val="24"/>
                <w:szCs w:val="24"/>
              </w:rPr>
              <w:t>paplašina</w:t>
            </w:r>
            <w:r w:rsidRPr="001229AC">
              <w:rPr>
                <w:sz w:val="24"/>
                <w:szCs w:val="24"/>
              </w:rPr>
              <w:t xml:space="preserve"> iespējas noteikt viltojumus </w:t>
            </w:r>
            <w:r>
              <w:rPr>
                <w:sz w:val="24"/>
                <w:szCs w:val="24"/>
              </w:rPr>
              <w:t xml:space="preserve">transportlīdzekļu identifikācijas </w:t>
            </w:r>
            <w:r>
              <w:rPr>
                <w:sz w:val="24"/>
                <w:szCs w:val="24"/>
              </w:rPr>
              <w:lastRenderedPageBreak/>
              <w:t>numuros</w:t>
            </w:r>
            <w:r w:rsidRPr="001229AC">
              <w:rPr>
                <w:sz w:val="24"/>
                <w:szCs w:val="24"/>
              </w:rPr>
              <w:t xml:space="preserve">; </w:t>
            </w:r>
          </w:p>
          <w:p w:rsidR="001229AC" w:rsidRPr="001229AC" w:rsidRDefault="002B420E" w:rsidP="001229AC">
            <w:pPr>
              <w:pStyle w:val="NoSpacing"/>
              <w:ind w:firstLine="0"/>
              <w:rPr>
                <w:sz w:val="24"/>
                <w:szCs w:val="24"/>
              </w:rPr>
            </w:pPr>
            <w:r>
              <w:rPr>
                <w:sz w:val="24"/>
                <w:szCs w:val="24"/>
              </w:rPr>
              <w:t xml:space="preserve">       </w:t>
            </w:r>
            <w:r w:rsidRPr="00797177">
              <w:rPr>
                <w:sz w:val="24"/>
                <w:szCs w:val="24"/>
              </w:rPr>
              <w:t>-</w:t>
            </w:r>
            <w:r w:rsidRPr="00797177">
              <w:rPr>
                <w:sz w:val="24"/>
                <w:szCs w:val="24"/>
              </w:rPr>
              <w:tab/>
            </w:r>
            <w:r w:rsidRPr="002B5B9E">
              <w:rPr>
                <w:sz w:val="24"/>
                <w:szCs w:val="24"/>
              </w:rPr>
              <w:t>palielinā</w:t>
            </w:r>
            <w:r w:rsidR="00400EC4" w:rsidRPr="002B5B9E">
              <w:rPr>
                <w:sz w:val="24"/>
                <w:szCs w:val="24"/>
              </w:rPr>
              <w:t>to</w:t>
            </w:r>
            <w:r w:rsidRPr="002B5B9E">
              <w:rPr>
                <w:sz w:val="24"/>
                <w:szCs w:val="24"/>
              </w:rPr>
              <w:t xml:space="preserve"> pakalpojuma sniegšanas laik</w:t>
            </w:r>
            <w:r w:rsidR="00400EC4" w:rsidRPr="002B5B9E">
              <w:rPr>
                <w:sz w:val="24"/>
                <w:szCs w:val="24"/>
              </w:rPr>
              <w:t>u, kas nepieciešams</w:t>
            </w:r>
            <w:r w:rsidRPr="002B5B9E">
              <w:rPr>
                <w:sz w:val="24"/>
                <w:szCs w:val="24"/>
              </w:rPr>
              <w:t>, lai</w:t>
            </w:r>
            <w:r w:rsidR="001A5814" w:rsidRPr="002B5B9E">
              <w:rPr>
                <w:sz w:val="24"/>
                <w:szCs w:val="24"/>
              </w:rPr>
              <w:t xml:space="preserve"> </w:t>
            </w:r>
            <w:r w:rsidRPr="002B5B9E">
              <w:rPr>
                <w:sz w:val="24"/>
                <w:szCs w:val="24"/>
              </w:rPr>
              <w:t>precīzāk fiksētu transportlīdzekļa faktisko stāvokli (defektus</w:t>
            </w:r>
            <w:r>
              <w:rPr>
                <w:sz w:val="24"/>
                <w:szCs w:val="24"/>
              </w:rPr>
              <w:t>, odometra rādījumu,</w:t>
            </w:r>
            <w:r w:rsidRPr="00797177">
              <w:rPr>
                <w:sz w:val="24"/>
                <w:szCs w:val="24"/>
              </w:rPr>
              <w:t xml:space="preserve"> </w:t>
            </w:r>
            <w:r w:rsidRPr="001229AC">
              <w:rPr>
                <w:sz w:val="24"/>
                <w:szCs w:val="24"/>
              </w:rPr>
              <w:t>CO2 (izmeši), CE marķējums kuģošanas līdzekļiem</w:t>
            </w:r>
            <w:r w:rsidRPr="00797177">
              <w:rPr>
                <w:sz w:val="24"/>
                <w:szCs w:val="24"/>
              </w:rPr>
              <w:t xml:space="preserve"> un cit</w:t>
            </w:r>
            <w:r>
              <w:rPr>
                <w:sz w:val="24"/>
                <w:szCs w:val="24"/>
              </w:rPr>
              <w:t>us parametrus)</w:t>
            </w:r>
            <w:r w:rsidR="001A5814">
              <w:rPr>
                <w:sz w:val="24"/>
                <w:szCs w:val="24"/>
              </w:rPr>
              <w:t xml:space="preserve"> un lai </w:t>
            </w:r>
            <w:r>
              <w:rPr>
                <w:sz w:val="24"/>
                <w:szCs w:val="24"/>
              </w:rPr>
              <w:t xml:space="preserve">veiktu </w:t>
            </w:r>
            <w:r w:rsidRPr="001229AC">
              <w:rPr>
                <w:sz w:val="24"/>
                <w:szCs w:val="24"/>
              </w:rPr>
              <w:t>papildus</w:t>
            </w:r>
            <w:r w:rsidR="000B0687">
              <w:rPr>
                <w:sz w:val="24"/>
                <w:szCs w:val="24"/>
              </w:rPr>
              <w:t xml:space="preserve"> pārbaudes par transportlīdzekļa</w:t>
            </w:r>
            <w:r w:rsidRPr="001229AC">
              <w:rPr>
                <w:sz w:val="24"/>
                <w:szCs w:val="24"/>
              </w:rPr>
              <w:t xml:space="preserve"> datiem CSDD pieejamajos starptautiskajos reģistros (EUCARIS, SIS)</w:t>
            </w:r>
            <w:r w:rsidR="0084311A">
              <w:rPr>
                <w:sz w:val="24"/>
                <w:szCs w:val="24"/>
              </w:rPr>
              <w:t>.</w:t>
            </w:r>
          </w:p>
          <w:p w:rsidR="00FE1B12" w:rsidRDefault="000F0627" w:rsidP="00F66F7A">
            <w:pPr>
              <w:pStyle w:val="NoSpacing"/>
              <w:ind w:firstLine="0"/>
              <w:rPr>
                <w:sz w:val="24"/>
                <w:szCs w:val="24"/>
              </w:rPr>
            </w:pPr>
            <w:r>
              <w:rPr>
                <w:sz w:val="24"/>
                <w:szCs w:val="24"/>
              </w:rPr>
              <w:t xml:space="preserve">        </w:t>
            </w:r>
            <w:r w:rsidR="00F66F7A" w:rsidRPr="000F0627">
              <w:rPr>
                <w:sz w:val="24"/>
                <w:szCs w:val="24"/>
              </w:rPr>
              <w:t>Tehniskās apskates izcenojuma paaugstināšana vieglajiem automobiļiem un kravas automobiļiem ar pilnu masu līdz 3,5t nepieciešama, jo palielinājies laiks tehniskās apskates veikšanai</w:t>
            </w:r>
            <w:r w:rsidR="00F66F7A">
              <w:rPr>
                <w:sz w:val="24"/>
                <w:szCs w:val="24"/>
              </w:rPr>
              <w:t xml:space="preserve"> un nepieciešamas papildu iekārtas</w:t>
            </w:r>
            <w:r w:rsidR="00F66F7A" w:rsidRPr="000F0627">
              <w:rPr>
                <w:sz w:val="24"/>
                <w:szCs w:val="24"/>
              </w:rPr>
              <w:t>, ņemot vērā normatīvajā aktā par transportlīdzekļu valsts tehnisko apskati noteikto nepieciešamību kontrolēt automobiļu elektroniskās vadības un drošības sistēmas, kā arī veikt papildus pasākumus ceļu satiksmes drošības paaugstināšanai.</w:t>
            </w:r>
          </w:p>
          <w:p w:rsidR="00F66F7A" w:rsidRPr="009D208B" w:rsidRDefault="00FE1B12" w:rsidP="00F66F7A">
            <w:pPr>
              <w:pStyle w:val="NoSpacing"/>
              <w:ind w:firstLine="0"/>
              <w:rPr>
                <w:sz w:val="24"/>
                <w:szCs w:val="24"/>
              </w:rPr>
            </w:pPr>
            <w:r>
              <w:rPr>
                <w:sz w:val="24"/>
                <w:szCs w:val="24"/>
              </w:rPr>
              <w:t xml:space="preserve">    </w:t>
            </w:r>
            <w:r w:rsidR="00F66F7A">
              <w:rPr>
                <w:sz w:val="24"/>
                <w:szCs w:val="24"/>
              </w:rPr>
              <w:t xml:space="preserve">Papildus izmaksas </w:t>
            </w:r>
            <w:r w:rsidR="00F66F7A" w:rsidRPr="009D208B">
              <w:rPr>
                <w:sz w:val="24"/>
                <w:szCs w:val="24"/>
              </w:rPr>
              <w:t>saistītas ar:</w:t>
            </w:r>
          </w:p>
          <w:p w:rsidR="00F66F7A" w:rsidRPr="009D208B" w:rsidRDefault="00F66F7A" w:rsidP="00F66F7A">
            <w:pPr>
              <w:pStyle w:val="NoSpacing"/>
              <w:ind w:firstLine="0"/>
              <w:rPr>
                <w:sz w:val="24"/>
                <w:szCs w:val="24"/>
              </w:rPr>
            </w:pPr>
            <w:r>
              <w:rPr>
                <w:sz w:val="24"/>
                <w:szCs w:val="24"/>
              </w:rPr>
              <w:t xml:space="preserve">      - </w:t>
            </w:r>
            <w:r w:rsidRPr="009D208B">
              <w:rPr>
                <w:sz w:val="24"/>
                <w:szCs w:val="24"/>
              </w:rPr>
              <w:t>pieslēgšanos transportlīdzekļu pašdiagnostikas sistēmām tehnisko parametru noteikšanai atgāzu kontroles laikā un kļūdu kodu nolasīšanai ar nolūku kontrolēt transportlīdzekļu aktīvās drošības sistēmas (drošības spilveni, aizkari, drošības jostu spriegotāji un tml.) un elektroniskās sistēmas (ABS, EBS, ESC un tml.), atklāto trūkumu vai bojājumu izvērtēšan</w:t>
            </w:r>
            <w:r>
              <w:rPr>
                <w:sz w:val="24"/>
                <w:szCs w:val="24"/>
              </w:rPr>
              <w:t>u</w:t>
            </w:r>
            <w:r w:rsidRPr="009D208B">
              <w:rPr>
                <w:sz w:val="24"/>
                <w:szCs w:val="24"/>
              </w:rPr>
              <w:t xml:space="preserve"> un </w:t>
            </w:r>
            <w:r>
              <w:rPr>
                <w:sz w:val="24"/>
                <w:szCs w:val="24"/>
              </w:rPr>
              <w:t xml:space="preserve">datu </w:t>
            </w:r>
            <w:r w:rsidRPr="009D208B">
              <w:rPr>
                <w:sz w:val="24"/>
                <w:szCs w:val="24"/>
              </w:rPr>
              <w:t>ievad</w:t>
            </w:r>
            <w:r>
              <w:rPr>
                <w:sz w:val="24"/>
                <w:szCs w:val="24"/>
              </w:rPr>
              <w:t>i t</w:t>
            </w:r>
            <w:r w:rsidRPr="009D208B">
              <w:rPr>
                <w:sz w:val="24"/>
                <w:szCs w:val="24"/>
              </w:rPr>
              <w:t>ransportlīdzekļu un to vadītāju valsts reģistrā;</w:t>
            </w:r>
          </w:p>
          <w:p w:rsidR="00F66F7A" w:rsidRDefault="00F66F7A" w:rsidP="00F66F7A">
            <w:pPr>
              <w:pStyle w:val="NoSpacing"/>
              <w:ind w:firstLine="0"/>
              <w:rPr>
                <w:sz w:val="24"/>
                <w:szCs w:val="24"/>
              </w:rPr>
            </w:pPr>
            <w:r>
              <w:rPr>
                <w:sz w:val="24"/>
                <w:szCs w:val="24"/>
              </w:rPr>
              <w:t xml:space="preserve">       - </w:t>
            </w:r>
            <w:r w:rsidRPr="009D208B">
              <w:rPr>
                <w:sz w:val="24"/>
                <w:szCs w:val="24"/>
              </w:rPr>
              <w:t xml:space="preserve">transportlīdzekļu riepu </w:t>
            </w:r>
            <w:r>
              <w:rPr>
                <w:sz w:val="24"/>
                <w:szCs w:val="24"/>
              </w:rPr>
              <w:t>vecuma (</w:t>
            </w:r>
            <w:r w:rsidRPr="009D208B">
              <w:rPr>
                <w:sz w:val="24"/>
                <w:szCs w:val="24"/>
              </w:rPr>
              <w:t>izgatavošanas datuma</w:t>
            </w:r>
            <w:r>
              <w:rPr>
                <w:sz w:val="24"/>
                <w:szCs w:val="24"/>
              </w:rPr>
              <w:t>)</w:t>
            </w:r>
            <w:r w:rsidRPr="009D208B">
              <w:rPr>
                <w:sz w:val="24"/>
                <w:szCs w:val="24"/>
              </w:rPr>
              <w:t xml:space="preserve"> kontroli, atklāto trūkumu vai bojājumu izvērtēšan</w:t>
            </w:r>
            <w:r>
              <w:rPr>
                <w:sz w:val="24"/>
                <w:szCs w:val="24"/>
              </w:rPr>
              <w:t>u</w:t>
            </w:r>
            <w:r w:rsidRPr="009D208B">
              <w:rPr>
                <w:sz w:val="24"/>
                <w:szCs w:val="24"/>
              </w:rPr>
              <w:t xml:space="preserve"> un ievad</w:t>
            </w:r>
            <w:r>
              <w:rPr>
                <w:sz w:val="24"/>
                <w:szCs w:val="24"/>
              </w:rPr>
              <w:t>i</w:t>
            </w:r>
            <w:r w:rsidRPr="009D208B">
              <w:rPr>
                <w:sz w:val="24"/>
                <w:szCs w:val="24"/>
              </w:rPr>
              <w:t xml:space="preserve"> Transportlīdzekļu un to vadītāju valsts reģistrā.</w:t>
            </w:r>
          </w:p>
          <w:p w:rsidR="004176A6" w:rsidRPr="00DD2318" w:rsidRDefault="004176A6" w:rsidP="004176A6">
            <w:pPr>
              <w:pStyle w:val="NoSpacing"/>
              <w:ind w:firstLine="0"/>
              <w:rPr>
                <w:sz w:val="24"/>
                <w:szCs w:val="24"/>
              </w:rPr>
            </w:pPr>
            <w:r>
              <w:rPr>
                <w:sz w:val="24"/>
                <w:szCs w:val="24"/>
              </w:rPr>
              <w:t xml:space="preserve">    </w:t>
            </w:r>
            <w:r w:rsidRPr="004176A6">
              <w:rPr>
                <w:sz w:val="24"/>
                <w:szCs w:val="24"/>
              </w:rPr>
              <w:t xml:space="preserve">        Lai nodrošinātu kvalitātes standartam atbilstošu pakalpojumu sniegšanu</w:t>
            </w:r>
            <w:r>
              <w:rPr>
                <w:sz w:val="24"/>
                <w:szCs w:val="24"/>
              </w:rPr>
              <w:t xml:space="preserve"> </w:t>
            </w:r>
            <w:r w:rsidRPr="004176A6">
              <w:rPr>
                <w:sz w:val="24"/>
                <w:szCs w:val="24"/>
              </w:rPr>
              <w:t xml:space="preserve">visās tehniskās apskates pakalpojumu sniegšanas vietās (transportlīdzekļiem ar pilnu masu līdz 3,5t), būtiski mainot </w:t>
            </w:r>
            <w:r>
              <w:rPr>
                <w:sz w:val="24"/>
                <w:szCs w:val="24"/>
              </w:rPr>
              <w:t xml:space="preserve">staciju </w:t>
            </w:r>
            <w:r w:rsidRPr="004176A6">
              <w:rPr>
                <w:sz w:val="24"/>
                <w:szCs w:val="24"/>
              </w:rPr>
              <w:t xml:space="preserve">infrastruktūru, tuvāko 2 gadu laikā ir paredzēts ieviest kārtas </w:t>
            </w:r>
            <w:r w:rsidRPr="00DD2318">
              <w:rPr>
                <w:sz w:val="24"/>
                <w:szCs w:val="24"/>
              </w:rPr>
              <w:t xml:space="preserve">numuriņu sistēmu, kā arī paredzēts </w:t>
            </w:r>
            <w:r w:rsidR="00765AF2" w:rsidRPr="00DD2318">
              <w:rPr>
                <w:sz w:val="24"/>
                <w:szCs w:val="24"/>
              </w:rPr>
              <w:t xml:space="preserve">palielināt </w:t>
            </w:r>
            <w:r w:rsidRPr="00DD2318">
              <w:rPr>
                <w:sz w:val="24"/>
                <w:szCs w:val="24"/>
              </w:rPr>
              <w:t>tehniskās apskates stacij</w:t>
            </w:r>
            <w:r w:rsidR="00765AF2" w:rsidRPr="00DD2318">
              <w:rPr>
                <w:sz w:val="24"/>
                <w:szCs w:val="24"/>
              </w:rPr>
              <w:t>u kapacitāti un paaugstināt to pieejamību</w:t>
            </w:r>
            <w:r w:rsidRPr="00DD2318">
              <w:rPr>
                <w:sz w:val="24"/>
                <w:szCs w:val="24"/>
              </w:rPr>
              <w:t>.</w:t>
            </w:r>
          </w:p>
          <w:p w:rsidR="00994742" w:rsidRPr="00994742" w:rsidRDefault="00F745BF" w:rsidP="00994742">
            <w:pPr>
              <w:pStyle w:val="NoSpacing"/>
              <w:ind w:firstLine="0"/>
              <w:rPr>
                <w:sz w:val="24"/>
                <w:szCs w:val="24"/>
              </w:rPr>
            </w:pPr>
            <w:r w:rsidRPr="00DD2318">
              <w:rPr>
                <w:sz w:val="24"/>
                <w:szCs w:val="24"/>
              </w:rPr>
              <w:t xml:space="preserve">      </w:t>
            </w:r>
            <w:r w:rsidR="00994742" w:rsidRPr="00DD2318">
              <w:rPr>
                <w:sz w:val="24"/>
                <w:szCs w:val="24"/>
              </w:rPr>
              <w:t xml:space="preserve">Jautājums par jauno autovadītāju apmācības </w:t>
            </w:r>
            <w:r w:rsidR="00994742" w:rsidRPr="00994742">
              <w:rPr>
                <w:sz w:val="24"/>
                <w:szCs w:val="24"/>
              </w:rPr>
              <w:t>un eksaminācijas sistēmas pilnv</w:t>
            </w:r>
            <w:r w:rsidR="00EA664E">
              <w:rPr>
                <w:sz w:val="24"/>
                <w:szCs w:val="24"/>
              </w:rPr>
              <w:t>eidošanu</w:t>
            </w:r>
            <w:r w:rsidR="008D6F19">
              <w:rPr>
                <w:sz w:val="24"/>
                <w:szCs w:val="24"/>
              </w:rPr>
              <w:t>,</w:t>
            </w:r>
            <w:r w:rsidR="00EA664E">
              <w:rPr>
                <w:sz w:val="24"/>
                <w:szCs w:val="24"/>
              </w:rPr>
              <w:t xml:space="preserve"> kā viens no pasākumiem </w:t>
            </w:r>
            <w:r w:rsidR="00994742" w:rsidRPr="00994742">
              <w:rPr>
                <w:sz w:val="24"/>
                <w:szCs w:val="24"/>
              </w:rPr>
              <w:t>satiksmes drošības stāvokļa uzlabošanai</w:t>
            </w:r>
            <w:r w:rsidR="008D6F19">
              <w:rPr>
                <w:sz w:val="24"/>
                <w:szCs w:val="24"/>
              </w:rPr>
              <w:t>,</w:t>
            </w:r>
            <w:r w:rsidR="00994742" w:rsidRPr="00994742">
              <w:rPr>
                <w:sz w:val="24"/>
                <w:szCs w:val="24"/>
              </w:rPr>
              <w:t xml:space="preserve"> ir skatīts praktiski visās pēdējā laika</w:t>
            </w:r>
            <w:r w:rsidR="00EA664E">
              <w:t xml:space="preserve"> </w:t>
            </w:r>
            <w:r w:rsidR="00EA664E" w:rsidRPr="00EA664E">
              <w:rPr>
                <w:sz w:val="24"/>
                <w:szCs w:val="24"/>
              </w:rPr>
              <w:t>Ceļu</w:t>
            </w:r>
            <w:r w:rsidR="00994742" w:rsidRPr="00994742">
              <w:rPr>
                <w:sz w:val="24"/>
                <w:szCs w:val="24"/>
              </w:rPr>
              <w:t xml:space="preserve"> satiksmes drošības padomes sēdēs un cita starpā tika pieņemts lēmums par nepieciešamību pagarināt vadīšanas e</w:t>
            </w:r>
            <w:r w:rsidR="00994742">
              <w:rPr>
                <w:sz w:val="24"/>
                <w:szCs w:val="24"/>
              </w:rPr>
              <w:t xml:space="preserve">ksāmena ilgumu </w:t>
            </w:r>
            <w:r w:rsidR="00965A7B">
              <w:rPr>
                <w:sz w:val="24"/>
                <w:szCs w:val="24"/>
              </w:rPr>
              <w:t xml:space="preserve">no pašreizējām 25 </w:t>
            </w:r>
            <w:r w:rsidR="00994742">
              <w:rPr>
                <w:sz w:val="24"/>
                <w:szCs w:val="24"/>
              </w:rPr>
              <w:t xml:space="preserve">līdz 40 minūtēm. </w:t>
            </w:r>
            <w:r w:rsidR="00994742" w:rsidRPr="00994742">
              <w:rPr>
                <w:sz w:val="24"/>
                <w:szCs w:val="24"/>
              </w:rPr>
              <w:t xml:space="preserve">Arī lielākajā daļā </w:t>
            </w:r>
            <w:r w:rsidR="00994742" w:rsidRPr="00994742">
              <w:rPr>
                <w:sz w:val="24"/>
                <w:szCs w:val="24"/>
              </w:rPr>
              <w:lastRenderedPageBreak/>
              <w:t>ES valstu vadīšanas eksāmena ilgums ir lielāk</w:t>
            </w:r>
            <w:r w:rsidR="00994742">
              <w:rPr>
                <w:sz w:val="24"/>
                <w:szCs w:val="24"/>
              </w:rPr>
              <w:t xml:space="preserve">s par </w:t>
            </w:r>
            <w:r w:rsidR="00505A3E">
              <w:rPr>
                <w:sz w:val="24"/>
                <w:szCs w:val="24"/>
              </w:rPr>
              <w:t>Latvijā</w:t>
            </w:r>
            <w:r w:rsidR="00994742">
              <w:rPr>
                <w:sz w:val="24"/>
                <w:szCs w:val="24"/>
              </w:rPr>
              <w:t xml:space="preserve"> noteikto – piemēram,</w:t>
            </w:r>
            <w:r w:rsidR="00994742" w:rsidRPr="00994742">
              <w:rPr>
                <w:sz w:val="24"/>
                <w:szCs w:val="24"/>
              </w:rPr>
              <w:t xml:space="preserve"> Igaunijā</w:t>
            </w:r>
            <w:r w:rsidR="00101317">
              <w:rPr>
                <w:sz w:val="24"/>
                <w:szCs w:val="24"/>
              </w:rPr>
              <w:t xml:space="preserve"> – 45 min, </w:t>
            </w:r>
            <w:r w:rsidR="00994742" w:rsidRPr="00994742">
              <w:rPr>
                <w:sz w:val="24"/>
                <w:szCs w:val="24"/>
              </w:rPr>
              <w:t>Somijā – 30 min, Lielbritānijā – 30 min, Zviedrijā – 35 min Norvēģija – 60 min.</w:t>
            </w:r>
          </w:p>
          <w:p w:rsidR="00891204" w:rsidRPr="00891204" w:rsidRDefault="00994742" w:rsidP="00891204">
            <w:pPr>
              <w:pStyle w:val="NoSpacing"/>
              <w:ind w:firstLine="0"/>
              <w:rPr>
                <w:sz w:val="24"/>
                <w:szCs w:val="24"/>
              </w:rPr>
            </w:pPr>
            <w:r>
              <w:rPr>
                <w:sz w:val="24"/>
                <w:szCs w:val="24"/>
              </w:rPr>
              <w:t xml:space="preserve">        </w:t>
            </w:r>
            <w:r w:rsidR="00755A65" w:rsidRPr="00755A65">
              <w:rPr>
                <w:sz w:val="24"/>
                <w:szCs w:val="24"/>
              </w:rPr>
              <w:t>Eksāmena laika pagarināšana dos iespēju vispusīgāk pārbaudīt jaunos autovadītājus, - g</w:t>
            </w:r>
            <w:r w:rsidR="00755A65">
              <w:rPr>
                <w:sz w:val="24"/>
                <w:szCs w:val="24"/>
              </w:rPr>
              <w:t>an drošai transportlīdzekļa vadī</w:t>
            </w:r>
            <w:r w:rsidR="00755A65" w:rsidRPr="00755A65">
              <w:rPr>
                <w:sz w:val="24"/>
                <w:szCs w:val="24"/>
              </w:rPr>
              <w:t xml:space="preserve">šanai nepieciešamās tehniskās iemaņas, jo īpaši transportlīdzekļu vadīšanā ārpus apdzīvotām vietām, </w:t>
            </w:r>
            <w:r w:rsidR="00755A65">
              <w:rPr>
                <w:sz w:val="24"/>
                <w:szCs w:val="24"/>
              </w:rPr>
              <w:t xml:space="preserve">kā arī ieviest </w:t>
            </w:r>
            <w:r w:rsidR="00755A65" w:rsidRPr="00755A65">
              <w:rPr>
                <w:sz w:val="24"/>
                <w:szCs w:val="24"/>
              </w:rPr>
              <w:t>papildus braukšanas elementus, kas nepieciešami jauno autovadītāju iemaņu un drošības uzlabošanai (piemēram, strauja bremzēšana, figūru izpilde ceļu satiksmē u.c.), gan satiksmes drošībai ārkārtīgi nozīmīgās sociālās prasmes - satiksmes situāciju novērtēšanu (bīstamības paredzēšanu) un tolerantu izturēšanos un ceļa dalīšanu a</w:t>
            </w:r>
            <w:r w:rsidR="00755A65">
              <w:rPr>
                <w:sz w:val="24"/>
                <w:szCs w:val="24"/>
              </w:rPr>
              <w:t xml:space="preserve">r citiem satiksmes </w:t>
            </w:r>
            <w:r w:rsidR="00891204">
              <w:rPr>
                <w:sz w:val="24"/>
                <w:szCs w:val="24"/>
              </w:rPr>
              <w:t>dalībniekiem. V</w:t>
            </w:r>
            <w:r w:rsidR="00891204" w:rsidRPr="00891204">
              <w:rPr>
                <w:sz w:val="24"/>
                <w:szCs w:val="24"/>
              </w:rPr>
              <w:t>adīšanas eksāmena laika pagarināšanas rezultātā neizbēgami pieaug pakalp</w:t>
            </w:r>
            <w:r w:rsidR="00891204">
              <w:rPr>
                <w:sz w:val="24"/>
                <w:szCs w:val="24"/>
              </w:rPr>
              <w:t>ojuma pašizmaksa, galvenokārt,</w:t>
            </w:r>
            <w:r w:rsidR="00865C46">
              <w:rPr>
                <w:sz w:val="24"/>
                <w:szCs w:val="24"/>
              </w:rPr>
              <w:t xml:space="preserve"> </w:t>
            </w:r>
            <w:r w:rsidR="00891204" w:rsidRPr="00891204">
              <w:rPr>
                <w:sz w:val="24"/>
                <w:szCs w:val="24"/>
              </w:rPr>
              <w:t>saistībā ar nepieciešamību palielināt pakalpojumu sniegšanā iesaistīto darbinieku skaitu (p</w:t>
            </w:r>
            <w:r w:rsidR="002B5B9E">
              <w:rPr>
                <w:sz w:val="24"/>
                <w:szCs w:val="24"/>
              </w:rPr>
              <w:t>apildus</w:t>
            </w:r>
            <w:r w:rsidR="00891204" w:rsidRPr="00891204">
              <w:rPr>
                <w:sz w:val="24"/>
                <w:szCs w:val="24"/>
              </w:rPr>
              <w:t xml:space="preserve"> 15 cilvēki)</w:t>
            </w:r>
            <w:r w:rsidR="00891204">
              <w:rPr>
                <w:sz w:val="24"/>
                <w:szCs w:val="24"/>
              </w:rPr>
              <w:t>.</w:t>
            </w:r>
          </w:p>
          <w:p w:rsidR="00681EFB" w:rsidRPr="00681EFB" w:rsidRDefault="00891204" w:rsidP="00891204">
            <w:pPr>
              <w:pStyle w:val="NoSpacing"/>
              <w:ind w:firstLine="0"/>
              <w:rPr>
                <w:sz w:val="24"/>
                <w:szCs w:val="24"/>
              </w:rPr>
            </w:pPr>
            <w:r w:rsidRPr="00891204">
              <w:rPr>
                <w:sz w:val="24"/>
                <w:szCs w:val="24"/>
              </w:rPr>
              <w:t xml:space="preserve">      </w:t>
            </w:r>
            <w:r w:rsidR="00681EFB" w:rsidRPr="00681EFB">
              <w:rPr>
                <w:sz w:val="24"/>
                <w:szCs w:val="24"/>
              </w:rPr>
              <w:t xml:space="preserve">Nodokļa, nodevas un naudas soda iekasēšanas pakalpojuma </w:t>
            </w:r>
            <w:r w:rsidR="00681EFB">
              <w:rPr>
                <w:sz w:val="24"/>
                <w:szCs w:val="24"/>
              </w:rPr>
              <w:t>izcenojuma</w:t>
            </w:r>
            <w:r w:rsidR="00681EFB" w:rsidRPr="00681EFB">
              <w:rPr>
                <w:sz w:val="24"/>
                <w:szCs w:val="24"/>
              </w:rPr>
              <w:t xml:space="preserve"> paaugstināšana nepieciešama, jo </w:t>
            </w:r>
            <w:r w:rsidR="00AC0F47">
              <w:rPr>
                <w:sz w:val="24"/>
                <w:szCs w:val="24"/>
              </w:rPr>
              <w:t>būtiski pie</w:t>
            </w:r>
            <w:r w:rsidR="00681EFB" w:rsidRPr="00681EFB">
              <w:rPr>
                <w:sz w:val="24"/>
                <w:szCs w:val="24"/>
              </w:rPr>
              <w:t>augušas ar pakalpojuma sniegšanu saistītās izmaksas:</w:t>
            </w:r>
          </w:p>
          <w:p w:rsidR="00681EFB" w:rsidRDefault="00681EFB" w:rsidP="00681EFB">
            <w:pPr>
              <w:pStyle w:val="NoSpacing"/>
              <w:ind w:firstLine="0"/>
              <w:rPr>
                <w:sz w:val="24"/>
                <w:szCs w:val="24"/>
              </w:rPr>
            </w:pPr>
            <w:r>
              <w:rPr>
                <w:sz w:val="24"/>
                <w:szCs w:val="24"/>
              </w:rPr>
              <w:t xml:space="preserve">      </w:t>
            </w:r>
            <w:r w:rsidRPr="00681EFB">
              <w:rPr>
                <w:sz w:val="24"/>
                <w:szCs w:val="24"/>
              </w:rPr>
              <w:t>-</w:t>
            </w:r>
            <w:r w:rsidRPr="00681EFB">
              <w:rPr>
                <w:sz w:val="24"/>
                <w:szCs w:val="24"/>
              </w:rPr>
              <w:tab/>
            </w:r>
            <w:r>
              <w:rPr>
                <w:sz w:val="24"/>
                <w:szCs w:val="24"/>
              </w:rPr>
              <w:t xml:space="preserve">trīskārši </w:t>
            </w:r>
            <w:r w:rsidRPr="00681EFB">
              <w:rPr>
                <w:sz w:val="24"/>
                <w:szCs w:val="24"/>
              </w:rPr>
              <w:t>palielināju</w:t>
            </w:r>
            <w:r w:rsidR="0047727A">
              <w:rPr>
                <w:sz w:val="24"/>
                <w:szCs w:val="24"/>
              </w:rPr>
              <w:t>sies</w:t>
            </w:r>
            <w:r w:rsidRPr="00681EFB">
              <w:rPr>
                <w:sz w:val="24"/>
                <w:szCs w:val="24"/>
              </w:rPr>
              <w:t xml:space="preserve"> komisijas maksa </w:t>
            </w:r>
            <w:r>
              <w:rPr>
                <w:sz w:val="24"/>
                <w:szCs w:val="24"/>
              </w:rPr>
              <w:t>par maksājumu karšu apkalpošanu</w:t>
            </w:r>
            <w:r w:rsidRPr="00681EFB">
              <w:rPr>
                <w:sz w:val="24"/>
                <w:szCs w:val="24"/>
              </w:rPr>
              <w:t>;</w:t>
            </w:r>
          </w:p>
          <w:p w:rsidR="00AC0F47" w:rsidRPr="00681EFB" w:rsidRDefault="00AC0F47" w:rsidP="00681EFB">
            <w:pPr>
              <w:pStyle w:val="NoSpacing"/>
              <w:ind w:firstLine="0"/>
              <w:rPr>
                <w:sz w:val="24"/>
                <w:szCs w:val="24"/>
              </w:rPr>
            </w:pPr>
            <w:r>
              <w:rPr>
                <w:sz w:val="24"/>
                <w:szCs w:val="24"/>
              </w:rPr>
              <w:t xml:space="preserve">     - palielinājusies maksa par skaidras naudas inkasāciju;</w:t>
            </w:r>
          </w:p>
          <w:p w:rsidR="00E477AD" w:rsidRPr="00934564" w:rsidRDefault="00681EFB" w:rsidP="00FE1B12">
            <w:pPr>
              <w:pStyle w:val="NoSpacing"/>
              <w:ind w:firstLine="0"/>
              <w:rPr>
                <w:sz w:val="24"/>
                <w:szCs w:val="24"/>
              </w:rPr>
            </w:pPr>
            <w:r>
              <w:rPr>
                <w:sz w:val="24"/>
                <w:szCs w:val="24"/>
              </w:rPr>
              <w:t xml:space="preserve">      </w:t>
            </w:r>
            <w:r w:rsidRPr="00681EFB">
              <w:rPr>
                <w:sz w:val="24"/>
                <w:szCs w:val="24"/>
              </w:rPr>
              <w:t>-</w:t>
            </w:r>
            <w:r w:rsidRPr="00681EFB">
              <w:rPr>
                <w:sz w:val="24"/>
                <w:szCs w:val="24"/>
              </w:rPr>
              <w:tab/>
              <w:t>palielināj</w:t>
            </w:r>
            <w:r>
              <w:rPr>
                <w:sz w:val="24"/>
                <w:szCs w:val="24"/>
              </w:rPr>
              <w:t>ušās izmaksas saistībā ar darba</w:t>
            </w:r>
            <w:r w:rsidRPr="00681EFB">
              <w:rPr>
                <w:sz w:val="24"/>
                <w:szCs w:val="24"/>
              </w:rPr>
              <w:t xml:space="preserve">vietu aprīkošanu ar jauniem iekasēšanas termināliem, iekļaujot papildu čeku printerus, </w:t>
            </w:r>
            <w:r w:rsidR="00A20999">
              <w:rPr>
                <w:sz w:val="24"/>
                <w:szCs w:val="24"/>
              </w:rPr>
              <w:t xml:space="preserve">papildus </w:t>
            </w:r>
            <w:r w:rsidRPr="00681EFB">
              <w:rPr>
                <w:sz w:val="24"/>
                <w:szCs w:val="24"/>
              </w:rPr>
              <w:t>programmatūr</w:t>
            </w:r>
            <w:r w:rsidR="00A20999">
              <w:rPr>
                <w:sz w:val="24"/>
                <w:szCs w:val="24"/>
              </w:rPr>
              <w:t>u</w:t>
            </w:r>
            <w:r w:rsidRPr="00681EFB">
              <w:rPr>
                <w:sz w:val="24"/>
                <w:szCs w:val="24"/>
              </w:rPr>
              <w:t>, iekārtu instalāciju un papildus izmaks</w:t>
            </w:r>
            <w:r w:rsidR="00A20999">
              <w:rPr>
                <w:sz w:val="24"/>
                <w:szCs w:val="24"/>
              </w:rPr>
              <w:t>ām</w:t>
            </w:r>
            <w:r w:rsidRPr="00681EFB">
              <w:rPr>
                <w:sz w:val="24"/>
                <w:szCs w:val="24"/>
              </w:rPr>
              <w:t xml:space="preserve"> par infrastruktūras uzturēšanu.</w:t>
            </w:r>
          </w:p>
        </w:tc>
      </w:tr>
      <w:tr w:rsidR="00532F34" w:rsidRPr="0027189F" w:rsidTr="00780909">
        <w:trPr>
          <w:trHeight w:val="507"/>
        </w:trPr>
        <w:tc>
          <w:tcPr>
            <w:tcW w:w="478" w:type="dxa"/>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lastRenderedPageBreak/>
              <w:t> 3.</w:t>
            </w:r>
          </w:p>
        </w:tc>
        <w:tc>
          <w:tcPr>
            <w:tcW w:w="2984" w:type="dxa"/>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t> Projekta izstrādē iesaistītās institūcijas</w:t>
            </w:r>
          </w:p>
        </w:tc>
        <w:tc>
          <w:tcPr>
            <w:tcW w:w="5185" w:type="dxa"/>
            <w:gridSpan w:val="4"/>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t>Valsts akciju sabiedrība „Ceļu satiksmes drošības direkcija”</w:t>
            </w:r>
            <w:r>
              <w:rPr>
                <w:rFonts w:eastAsia="Times New Roman"/>
                <w:sz w:val="24"/>
                <w:szCs w:val="24"/>
                <w:lang w:eastAsia="lv-LV"/>
              </w:rPr>
              <w:t>.</w:t>
            </w:r>
          </w:p>
        </w:tc>
      </w:tr>
      <w:tr w:rsidR="00532F34" w:rsidRPr="0027189F" w:rsidTr="00780909">
        <w:tc>
          <w:tcPr>
            <w:tcW w:w="478" w:type="dxa"/>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t> 4.</w:t>
            </w:r>
          </w:p>
        </w:tc>
        <w:tc>
          <w:tcPr>
            <w:tcW w:w="2984" w:type="dxa"/>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t> Cita informācija</w:t>
            </w:r>
          </w:p>
        </w:tc>
        <w:tc>
          <w:tcPr>
            <w:tcW w:w="5185" w:type="dxa"/>
            <w:gridSpan w:val="4"/>
            <w:shd w:val="clear" w:color="auto" w:fill="auto"/>
          </w:tcPr>
          <w:p w:rsidR="00532F34" w:rsidRPr="00AD4676" w:rsidRDefault="002A7E09" w:rsidP="00C43201">
            <w:pPr>
              <w:spacing w:line="240" w:lineRule="auto"/>
              <w:ind w:firstLine="0"/>
              <w:rPr>
                <w:rFonts w:eastAsia="Times New Roman"/>
                <w:sz w:val="24"/>
                <w:szCs w:val="24"/>
                <w:lang w:eastAsia="lv-LV"/>
              </w:rPr>
            </w:pPr>
            <w:r>
              <w:rPr>
                <w:rFonts w:eastAsia="Times New Roman"/>
                <w:sz w:val="24"/>
                <w:szCs w:val="24"/>
                <w:lang w:eastAsia="lv-LV"/>
              </w:rPr>
              <w:t>Nav.</w:t>
            </w:r>
          </w:p>
        </w:tc>
      </w:tr>
      <w:tr w:rsidR="00532F34" w:rsidRPr="00094458" w:rsidTr="00780909">
        <w:tc>
          <w:tcPr>
            <w:tcW w:w="8647" w:type="dxa"/>
            <w:gridSpan w:val="6"/>
            <w:shd w:val="clear" w:color="auto" w:fill="auto"/>
          </w:tcPr>
          <w:p w:rsidR="00532F34" w:rsidRPr="00AD4676" w:rsidRDefault="00532F34" w:rsidP="00C43201">
            <w:pPr>
              <w:spacing w:before="100" w:beforeAutospacing="1" w:after="100" w:afterAutospacing="1" w:line="240" w:lineRule="auto"/>
              <w:ind w:firstLine="0"/>
              <w:rPr>
                <w:rFonts w:eastAsia="Times New Roman"/>
                <w:b/>
                <w:sz w:val="24"/>
                <w:szCs w:val="24"/>
                <w:lang w:eastAsia="lv-LV"/>
              </w:rPr>
            </w:pPr>
            <w:r w:rsidRPr="00AD4676">
              <w:rPr>
                <w:rFonts w:eastAsia="Times New Roman"/>
                <w:sz w:val="24"/>
                <w:szCs w:val="24"/>
                <w:lang w:eastAsia="lv-LV"/>
              </w:rPr>
              <w:t> </w:t>
            </w:r>
            <w:r w:rsidRPr="00AD4676">
              <w:rPr>
                <w:rFonts w:eastAsia="Times New Roman"/>
                <w:b/>
                <w:sz w:val="24"/>
                <w:szCs w:val="24"/>
                <w:lang w:eastAsia="lv-LV"/>
              </w:rPr>
              <w:t xml:space="preserve">II. Tiesību akta projekta ietekme uz </w:t>
            </w:r>
            <w:r w:rsidRPr="00AD4676">
              <w:rPr>
                <w:rFonts w:eastAsia="Times New Roman"/>
                <w:b/>
                <w:bCs/>
                <w:sz w:val="24"/>
                <w:szCs w:val="24"/>
                <w:lang w:eastAsia="lv-LV"/>
              </w:rPr>
              <w:t>sabiedrību</w:t>
            </w:r>
            <w:r w:rsidRPr="00AD4676">
              <w:rPr>
                <w:b/>
                <w:bCs/>
                <w:sz w:val="24"/>
                <w:szCs w:val="24"/>
                <w:shd w:val="clear" w:color="auto" w:fill="FFFFFF"/>
              </w:rPr>
              <w:t>, tautsaimniecības attīstību un administratīvo slogu</w:t>
            </w:r>
          </w:p>
        </w:tc>
      </w:tr>
      <w:tr w:rsidR="00532F34" w:rsidRPr="0027189F" w:rsidTr="00780909">
        <w:trPr>
          <w:trHeight w:val="467"/>
        </w:trPr>
        <w:tc>
          <w:tcPr>
            <w:tcW w:w="478" w:type="dxa"/>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t> 1.</w:t>
            </w:r>
          </w:p>
        </w:tc>
        <w:tc>
          <w:tcPr>
            <w:tcW w:w="3404" w:type="dxa"/>
            <w:gridSpan w:val="4"/>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t> </w:t>
            </w:r>
            <w:r w:rsidRPr="00AD4676">
              <w:rPr>
                <w:sz w:val="24"/>
                <w:szCs w:val="24"/>
                <w:shd w:val="clear" w:color="auto" w:fill="FFFFFF"/>
              </w:rPr>
              <w:t>Sabiedrības mērķgrupas, kuras tiesiskais regulējums ietekmē vai varētu ietekmēt</w:t>
            </w:r>
          </w:p>
        </w:tc>
        <w:tc>
          <w:tcPr>
            <w:tcW w:w="4765" w:type="dxa"/>
            <w:shd w:val="clear" w:color="auto" w:fill="auto"/>
          </w:tcPr>
          <w:p w:rsidR="00532F34" w:rsidRPr="00AD4676" w:rsidRDefault="003E7EBA" w:rsidP="00982751">
            <w:pPr>
              <w:spacing w:before="100" w:beforeAutospacing="1" w:after="100" w:afterAutospacing="1" w:line="240" w:lineRule="auto"/>
              <w:ind w:firstLine="0"/>
              <w:rPr>
                <w:rFonts w:eastAsia="Times New Roman"/>
                <w:sz w:val="24"/>
                <w:szCs w:val="24"/>
                <w:lang w:eastAsia="lv-LV"/>
              </w:rPr>
            </w:pPr>
            <w:r w:rsidRPr="003E7EBA">
              <w:rPr>
                <w:rFonts w:eastAsia="Times New Roman"/>
                <w:sz w:val="24"/>
                <w:szCs w:val="24"/>
                <w:lang w:eastAsia="lv-LV"/>
              </w:rPr>
              <w:t>Visi transportlīdzekļu un CSDD reģistrējamo kuģošanas līdzekļu īpašnieki un personas, kas vēlas iegūt transportlīdzekļa vadītāja kvalifikāciju.</w:t>
            </w:r>
            <w:r w:rsidR="00D25663">
              <w:rPr>
                <w:rFonts w:eastAsia="Times New Roman"/>
                <w:sz w:val="24"/>
                <w:szCs w:val="24"/>
                <w:lang w:eastAsia="lv-LV"/>
              </w:rPr>
              <w:t xml:space="preserve"> Transportlīdzekļu īpašnieki (turētāji), kas izmanto ceļu satiksmē tikai ar elektromotoru darbināmus transportlīdzekļus</w:t>
            </w:r>
            <w:r w:rsidR="00D25663" w:rsidRPr="003E7EBA">
              <w:rPr>
                <w:rFonts w:eastAsia="Times New Roman"/>
                <w:sz w:val="24"/>
                <w:szCs w:val="24"/>
                <w:lang w:eastAsia="lv-LV"/>
              </w:rPr>
              <w:t>.</w:t>
            </w:r>
          </w:p>
        </w:tc>
      </w:tr>
      <w:tr w:rsidR="00532F34" w:rsidRPr="0027189F" w:rsidTr="00780909">
        <w:trPr>
          <w:trHeight w:val="523"/>
        </w:trPr>
        <w:tc>
          <w:tcPr>
            <w:tcW w:w="478" w:type="dxa"/>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t> 2.</w:t>
            </w:r>
          </w:p>
        </w:tc>
        <w:tc>
          <w:tcPr>
            <w:tcW w:w="3404" w:type="dxa"/>
            <w:gridSpan w:val="4"/>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sz w:val="24"/>
                <w:szCs w:val="24"/>
                <w:shd w:val="clear" w:color="auto" w:fill="FFFFFF"/>
              </w:rPr>
              <w:t>Tiesiskā regulējuma ietekme uz tautsaimniecību un administratīvo slogu</w:t>
            </w:r>
          </w:p>
        </w:tc>
        <w:tc>
          <w:tcPr>
            <w:tcW w:w="4765" w:type="dxa"/>
            <w:shd w:val="clear" w:color="auto" w:fill="auto"/>
          </w:tcPr>
          <w:p w:rsidR="00532F34" w:rsidRDefault="00982751" w:rsidP="00F53109">
            <w:pPr>
              <w:spacing w:line="240" w:lineRule="auto"/>
              <w:ind w:firstLine="0"/>
            </w:pPr>
            <w:r>
              <w:rPr>
                <w:rFonts w:eastAsia="Times New Roman"/>
                <w:sz w:val="24"/>
                <w:szCs w:val="24"/>
                <w:lang w:eastAsia="lv-LV"/>
              </w:rPr>
              <w:t xml:space="preserve">Tiesību akts paredz veicināt tikai ar elektromotoru darbināmu transportlīdzekļu izmantošanu. Tiesību akts samazina </w:t>
            </w:r>
            <w:r w:rsidRPr="00982751">
              <w:rPr>
                <w:rFonts w:eastAsia="Times New Roman"/>
                <w:sz w:val="24"/>
                <w:szCs w:val="24"/>
                <w:lang w:eastAsia="lv-LV"/>
              </w:rPr>
              <w:t xml:space="preserve">administratīvo slogu komersantiem, kuri veic transportlīdzekļu tirdzniecību, kā arī </w:t>
            </w:r>
            <w:r w:rsidRPr="00982751">
              <w:rPr>
                <w:rFonts w:eastAsia="Times New Roman"/>
                <w:sz w:val="24"/>
                <w:szCs w:val="24"/>
                <w:lang w:eastAsia="lv-LV"/>
              </w:rPr>
              <w:lastRenderedPageBreak/>
              <w:t>transportlīdzekļu ieguvējiem (īpašniekiem), kas iegādājušies transportlīdzekli ar komersanta starpniecību.</w:t>
            </w:r>
          </w:p>
        </w:tc>
      </w:tr>
      <w:tr w:rsidR="00532F34" w:rsidRPr="0027189F" w:rsidTr="00780909">
        <w:trPr>
          <w:trHeight w:val="517"/>
        </w:trPr>
        <w:tc>
          <w:tcPr>
            <w:tcW w:w="478" w:type="dxa"/>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lastRenderedPageBreak/>
              <w:t> 3.</w:t>
            </w:r>
          </w:p>
        </w:tc>
        <w:tc>
          <w:tcPr>
            <w:tcW w:w="3404" w:type="dxa"/>
            <w:gridSpan w:val="4"/>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t> </w:t>
            </w:r>
            <w:r w:rsidRPr="00AD4676">
              <w:rPr>
                <w:sz w:val="24"/>
                <w:szCs w:val="24"/>
                <w:shd w:val="clear" w:color="auto" w:fill="FFFFFF"/>
              </w:rPr>
              <w:t>Administratīvo izmaksu monetārs novērtējums</w:t>
            </w:r>
          </w:p>
        </w:tc>
        <w:tc>
          <w:tcPr>
            <w:tcW w:w="4765" w:type="dxa"/>
            <w:shd w:val="clear" w:color="auto" w:fill="auto"/>
          </w:tcPr>
          <w:p w:rsidR="00532F34" w:rsidRPr="006F4C64" w:rsidRDefault="00705D85" w:rsidP="00705D85">
            <w:pPr>
              <w:ind w:firstLine="0"/>
              <w:rPr>
                <w:color w:val="00B050"/>
              </w:rPr>
            </w:pPr>
            <w:r w:rsidRPr="002B5B9E">
              <w:rPr>
                <w:rFonts w:eastAsia="Times New Roman"/>
                <w:sz w:val="24"/>
                <w:szCs w:val="24"/>
                <w:lang w:eastAsia="lv-LV"/>
              </w:rPr>
              <w:t>Administratīvā sloga samazinājums komersantiem, kuri nodarbojas ar transportlīdzekļu mazumtirdzniecību novērtējams 80 000 EUR apmērā</w:t>
            </w:r>
            <w:r w:rsidR="00DC6566">
              <w:rPr>
                <w:rFonts w:eastAsia="Times New Roman"/>
                <w:sz w:val="24"/>
                <w:szCs w:val="24"/>
                <w:lang w:eastAsia="lv-LV"/>
              </w:rPr>
              <w:t xml:space="preserve">, </w:t>
            </w:r>
            <w:r w:rsidR="00DC6566" w:rsidRPr="00DC6566">
              <w:rPr>
                <w:rFonts w:eastAsia="Times New Roman"/>
                <w:sz w:val="24"/>
                <w:szCs w:val="24"/>
                <w:lang w:eastAsia="lv-LV"/>
              </w:rPr>
              <w:t>ņemot vērā  CSDD ieņēmumus no rēķinu-uzziņu veidlapu realizācijas 2014.gadā un to, ka rēķina-uzziņas izsniegšanu aizstās atzīmes izdarīšana reģistrā.</w:t>
            </w:r>
          </w:p>
        </w:tc>
      </w:tr>
      <w:tr w:rsidR="00532F34" w:rsidRPr="0027189F" w:rsidTr="00780909">
        <w:tc>
          <w:tcPr>
            <w:tcW w:w="478" w:type="dxa"/>
            <w:shd w:val="clear" w:color="auto" w:fill="auto"/>
          </w:tcPr>
          <w:p w:rsidR="00532F34" w:rsidRPr="00AD4676" w:rsidRDefault="00532F34" w:rsidP="00C43201">
            <w:pPr>
              <w:spacing w:before="100" w:beforeAutospacing="1" w:after="100" w:afterAutospacing="1" w:line="240" w:lineRule="auto"/>
              <w:ind w:firstLine="0"/>
              <w:jc w:val="left"/>
              <w:rPr>
                <w:rFonts w:eastAsia="Times New Roman"/>
                <w:sz w:val="24"/>
                <w:szCs w:val="24"/>
                <w:lang w:eastAsia="lv-LV"/>
              </w:rPr>
            </w:pPr>
            <w:r w:rsidRPr="00AD4676">
              <w:rPr>
                <w:rFonts w:eastAsia="Times New Roman"/>
                <w:sz w:val="24"/>
                <w:szCs w:val="24"/>
                <w:lang w:eastAsia="lv-LV"/>
              </w:rPr>
              <w:t> 4.</w:t>
            </w:r>
          </w:p>
        </w:tc>
        <w:tc>
          <w:tcPr>
            <w:tcW w:w="3404" w:type="dxa"/>
            <w:gridSpan w:val="4"/>
            <w:shd w:val="clear" w:color="auto" w:fill="auto"/>
          </w:tcPr>
          <w:p w:rsidR="00532F34" w:rsidRPr="00AD4676" w:rsidRDefault="00532F34" w:rsidP="00C43201">
            <w:pPr>
              <w:spacing w:before="100" w:beforeAutospacing="1" w:after="100" w:afterAutospacing="1" w:line="240" w:lineRule="auto"/>
              <w:ind w:firstLine="0"/>
              <w:jc w:val="left"/>
              <w:rPr>
                <w:rFonts w:eastAsia="Times New Roman"/>
                <w:sz w:val="24"/>
                <w:szCs w:val="24"/>
                <w:lang w:eastAsia="lv-LV"/>
              </w:rPr>
            </w:pPr>
            <w:r w:rsidRPr="00AD4676">
              <w:rPr>
                <w:rFonts w:eastAsia="Times New Roman"/>
                <w:sz w:val="24"/>
                <w:szCs w:val="24"/>
                <w:lang w:eastAsia="lv-LV"/>
              </w:rPr>
              <w:t> Cita informācija</w:t>
            </w:r>
          </w:p>
        </w:tc>
        <w:tc>
          <w:tcPr>
            <w:tcW w:w="4765" w:type="dxa"/>
            <w:shd w:val="clear" w:color="auto" w:fill="auto"/>
          </w:tcPr>
          <w:p w:rsidR="00532F34" w:rsidRPr="00AD4676" w:rsidRDefault="00532F34" w:rsidP="00C43201">
            <w:pPr>
              <w:spacing w:before="100" w:beforeAutospacing="1" w:after="100" w:afterAutospacing="1" w:line="240" w:lineRule="auto"/>
              <w:ind w:firstLine="0"/>
              <w:jc w:val="left"/>
              <w:rPr>
                <w:rFonts w:eastAsia="Times New Roman"/>
                <w:sz w:val="24"/>
                <w:szCs w:val="24"/>
                <w:lang w:eastAsia="lv-LV"/>
              </w:rPr>
            </w:pPr>
            <w:r w:rsidRPr="00AD4676">
              <w:rPr>
                <w:rFonts w:eastAsia="Times New Roman"/>
                <w:sz w:val="24"/>
                <w:szCs w:val="24"/>
                <w:lang w:eastAsia="lv-LV"/>
              </w:rPr>
              <w:t> Nav.</w:t>
            </w:r>
          </w:p>
        </w:tc>
      </w:tr>
      <w:tr w:rsidR="00532F34" w:rsidRPr="00DD49B6" w:rsidTr="00780909">
        <w:tblPrEx>
          <w:tblCellMar>
            <w:left w:w="0" w:type="dxa"/>
            <w:right w:w="0" w:type="dxa"/>
          </w:tblCellMar>
          <w:tblLook w:val="0000" w:firstRow="0" w:lastRow="0" w:firstColumn="0" w:lastColumn="0" w:noHBand="0" w:noVBand="0"/>
        </w:tblPrEx>
        <w:trPr>
          <w:trHeight w:val="421"/>
        </w:trPr>
        <w:tc>
          <w:tcPr>
            <w:tcW w:w="8647" w:type="dxa"/>
            <w:gridSpan w:val="6"/>
            <w:vAlign w:val="center"/>
          </w:tcPr>
          <w:p w:rsidR="00532F34" w:rsidRPr="00DD49B6" w:rsidRDefault="00532F34" w:rsidP="006A3498">
            <w:pPr>
              <w:pStyle w:val="naisnod"/>
              <w:spacing w:before="0" w:beforeAutospacing="0" w:after="0" w:afterAutospacing="0"/>
              <w:ind w:left="57" w:right="57"/>
              <w:jc w:val="center"/>
            </w:pPr>
            <w:r w:rsidRPr="00DD49B6">
              <w:rPr>
                <w:b/>
              </w:rPr>
              <w:t>VI. Sabiedrības līdzdalība un komunikācijas aktivitātes</w:t>
            </w:r>
          </w:p>
        </w:tc>
      </w:tr>
      <w:tr w:rsidR="00532F34" w:rsidRPr="00DD49B6" w:rsidTr="00780909">
        <w:tblPrEx>
          <w:tblCellMar>
            <w:left w:w="0" w:type="dxa"/>
            <w:right w:w="0" w:type="dxa"/>
          </w:tblCellMar>
          <w:tblLook w:val="0000" w:firstRow="0" w:lastRow="0" w:firstColumn="0" w:lastColumn="0" w:noHBand="0" w:noVBand="0"/>
        </w:tblPrEx>
        <w:trPr>
          <w:trHeight w:val="553"/>
        </w:trPr>
        <w:tc>
          <w:tcPr>
            <w:tcW w:w="3544" w:type="dxa"/>
            <w:gridSpan w:val="4"/>
          </w:tcPr>
          <w:p w:rsidR="00532F34" w:rsidRPr="00DD49B6" w:rsidRDefault="00532F34" w:rsidP="00C43201">
            <w:pPr>
              <w:tabs>
                <w:tab w:val="left" w:pos="170"/>
              </w:tabs>
              <w:spacing w:line="240" w:lineRule="auto"/>
              <w:ind w:left="57" w:right="57" w:firstLine="46"/>
              <w:rPr>
                <w:sz w:val="24"/>
                <w:szCs w:val="24"/>
                <w:lang w:eastAsia="lv-LV"/>
              </w:rPr>
            </w:pPr>
            <w:r w:rsidRPr="00DD49B6">
              <w:rPr>
                <w:sz w:val="24"/>
                <w:szCs w:val="24"/>
                <w:lang w:eastAsia="lv-LV"/>
              </w:rPr>
              <w:t>Plānotās sabiedrības līdzdalības un komunikācijas aktivitātes saistībā ar projektu</w:t>
            </w:r>
          </w:p>
        </w:tc>
        <w:tc>
          <w:tcPr>
            <w:tcW w:w="5103" w:type="dxa"/>
            <w:gridSpan w:val="2"/>
          </w:tcPr>
          <w:p w:rsidR="00E2413C" w:rsidRPr="002B5B9E" w:rsidRDefault="004B5224" w:rsidP="000E5172">
            <w:pPr>
              <w:shd w:val="clear" w:color="auto" w:fill="FFFFFF"/>
              <w:spacing w:line="240" w:lineRule="auto"/>
              <w:ind w:left="47" w:firstLine="0"/>
              <w:rPr>
                <w:sz w:val="24"/>
                <w:szCs w:val="24"/>
                <w:lang w:eastAsia="lv-LV"/>
              </w:rPr>
            </w:pPr>
            <w:r w:rsidRPr="002B5B9E">
              <w:rPr>
                <w:sz w:val="24"/>
                <w:szCs w:val="24"/>
                <w:lang w:eastAsia="lv-LV"/>
              </w:rPr>
              <w:t>Par tiesību akta projektu tik</w:t>
            </w:r>
            <w:r w:rsidR="000E5172" w:rsidRPr="002B5B9E">
              <w:rPr>
                <w:sz w:val="24"/>
                <w:szCs w:val="24"/>
                <w:lang w:eastAsia="lv-LV"/>
              </w:rPr>
              <w:t>s</w:t>
            </w:r>
            <w:r w:rsidRPr="002B5B9E">
              <w:rPr>
                <w:sz w:val="24"/>
                <w:szCs w:val="24"/>
                <w:lang w:eastAsia="lv-LV"/>
              </w:rPr>
              <w:t xml:space="preserve"> sagatavota un izplatīta preses relīze, kurā skaidrota izmaiņu būtība, kā arī sniegts vispārējs pamatojums </w:t>
            </w:r>
            <w:r w:rsidR="00E76F28" w:rsidRPr="002B5B9E">
              <w:rPr>
                <w:sz w:val="24"/>
                <w:szCs w:val="24"/>
                <w:lang w:eastAsia="lv-LV"/>
              </w:rPr>
              <w:t xml:space="preserve">atsevišķu </w:t>
            </w:r>
            <w:r w:rsidRPr="002B5B9E">
              <w:rPr>
                <w:sz w:val="24"/>
                <w:szCs w:val="24"/>
                <w:lang w:eastAsia="lv-LV"/>
              </w:rPr>
              <w:t>pakalpojumu izcenojumu paaugstināšanai</w:t>
            </w:r>
            <w:r w:rsidR="00965AE0" w:rsidRPr="002B5B9E">
              <w:rPr>
                <w:sz w:val="24"/>
                <w:szCs w:val="24"/>
                <w:lang w:eastAsia="lv-LV"/>
              </w:rPr>
              <w:t>.</w:t>
            </w:r>
            <w:r w:rsidRPr="002B5B9E">
              <w:rPr>
                <w:sz w:val="24"/>
                <w:szCs w:val="24"/>
                <w:lang w:eastAsia="lv-LV"/>
              </w:rPr>
              <w:t xml:space="preserve"> </w:t>
            </w:r>
          </w:p>
        </w:tc>
      </w:tr>
      <w:tr w:rsidR="00532F34" w:rsidRPr="00E46FBE" w:rsidTr="00780909">
        <w:tblPrEx>
          <w:tblCellMar>
            <w:left w:w="0" w:type="dxa"/>
            <w:right w:w="0" w:type="dxa"/>
          </w:tblCellMar>
          <w:tblLook w:val="0000" w:firstRow="0" w:lastRow="0" w:firstColumn="0" w:lastColumn="0" w:noHBand="0" w:noVBand="0"/>
        </w:tblPrEx>
        <w:trPr>
          <w:trHeight w:val="339"/>
        </w:trPr>
        <w:tc>
          <w:tcPr>
            <w:tcW w:w="3544" w:type="dxa"/>
            <w:gridSpan w:val="4"/>
          </w:tcPr>
          <w:p w:rsidR="00532F34" w:rsidRPr="00DD49B6" w:rsidRDefault="00532F34" w:rsidP="00C43201">
            <w:pPr>
              <w:spacing w:line="240" w:lineRule="auto"/>
              <w:ind w:left="57" w:right="57" w:firstLine="46"/>
              <w:rPr>
                <w:sz w:val="24"/>
                <w:szCs w:val="24"/>
                <w:lang w:eastAsia="lv-LV"/>
              </w:rPr>
            </w:pPr>
            <w:r w:rsidRPr="00DD49B6">
              <w:rPr>
                <w:sz w:val="24"/>
                <w:szCs w:val="24"/>
                <w:lang w:eastAsia="lv-LV"/>
              </w:rPr>
              <w:t>Sabiedrības līdzdalība projekta izstrādē</w:t>
            </w:r>
          </w:p>
        </w:tc>
        <w:tc>
          <w:tcPr>
            <w:tcW w:w="5103" w:type="dxa"/>
            <w:gridSpan w:val="2"/>
          </w:tcPr>
          <w:p w:rsidR="00E2413C" w:rsidRPr="002B5B9E" w:rsidRDefault="00F95633" w:rsidP="00333C49">
            <w:pPr>
              <w:shd w:val="clear" w:color="auto" w:fill="FFFFFF"/>
              <w:spacing w:line="240" w:lineRule="auto"/>
              <w:ind w:left="47" w:firstLine="0"/>
              <w:rPr>
                <w:sz w:val="24"/>
                <w:szCs w:val="24"/>
                <w:lang w:eastAsia="lv-LV"/>
              </w:rPr>
            </w:pPr>
            <w:r w:rsidRPr="002B5B9E">
              <w:rPr>
                <w:sz w:val="24"/>
                <w:szCs w:val="24"/>
                <w:lang w:eastAsia="lv-LV"/>
              </w:rPr>
              <w:t>Tiesību akta projekts pirms izsludināšanas Valsts sekretāru sanāksmē tika publicēts Satiksmes ministrijas interneta mājaslapas sadaļā “Sabiedrības līdzdalība”.</w:t>
            </w:r>
          </w:p>
        </w:tc>
      </w:tr>
      <w:tr w:rsidR="00532F34" w:rsidRPr="00DD49B6" w:rsidTr="00780909">
        <w:tblPrEx>
          <w:tblCellMar>
            <w:left w:w="0" w:type="dxa"/>
            <w:right w:w="0" w:type="dxa"/>
          </w:tblCellMar>
          <w:tblLook w:val="0000" w:firstRow="0" w:lastRow="0" w:firstColumn="0" w:lastColumn="0" w:noHBand="0" w:noVBand="0"/>
        </w:tblPrEx>
        <w:trPr>
          <w:trHeight w:val="476"/>
        </w:trPr>
        <w:tc>
          <w:tcPr>
            <w:tcW w:w="3544" w:type="dxa"/>
            <w:gridSpan w:val="4"/>
          </w:tcPr>
          <w:p w:rsidR="00532F34" w:rsidRPr="00DD49B6" w:rsidRDefault="00532F34" w:rsidP="00C43201">
            <w:pPr>
              <w:spacing w:line="240" w:lineRule="auto"/>
              <w:ind w:left="57" w:right="57" w:firstLine="46"/>
              <w:rPr>
                <w:sz w:val="24"/>
                <w:szCs w:val="24"/>
                <w:lang w:eastAsia="lv-LV"/>
              </w:rPr>
            </w:pPr>
            <w:r w:rsidRPr="00DD49B6">
              <w:rPr>
                <w:sz w:val="24"/>
                <w:szCs w:val="24"/>
                <w:lang w:eastAsia="lv-LV"/>
              </w:rPr>
              <w:t>Sabiedrības līdzdalības rezultāti</w:t>
            </w:r>
          </w:p>
        </w:tc>
        <w:tc>
          <w:tcPr>
            <w:tcW w:w="5103" w:type="dxa"/>
            <w:gridSpan w:val="2"/>
          </w:tcPr>
          <w:p w:rsidR="00E2413C" w:rsidRPr="00DD49B6" w:rsidRDefault="004B5224" w:rsidP="004B5224">
            <w:pPr>
              <w:shd w:val="clear" w:color="auto" w:fill="FFFFFF"/>
              <w:spacing w:line="240" w:lineRule="auto"/>
              <w:ind w:left="47" w:firstLine="0"/>
              <w:rPr>
                <w:sz w:val="24"/>
                <w:szCs w:val="24"/>
                <w:lang w:eastAsia="lv-LV"/>
              </w:rPr>
            </w:pPr>
            <w:r>
              <w:rPr>
                <w:sz w:val="24"/>
                <w:szCs w:val="24"/>
                <w:lang w:eastAsia="lv-LV"/>
              </w:rPr>
              <w:t>Tiesību akta projektu noraidoši viedokļi n</w:t>
            </w:r>
            <w:r w:rsidR="00965AE0">
              <w:rPr>
                <w:sz w:val="24"/>
                <w:szCs w:val="24"/>
                <w:lang w:eastAsia="lv-LV"/>
              </w:rPr>
              <w:t>av</w:t>
            </w:r>
            <w:r>
              <w:rPr>
                <w:sz w:val="24"/>
                <w:szCs w:val="24"/>
                <w:lang w:eastAsia="lv-LV"/>
              </w:rPr>
              <w:t xml:space="preserve"> saņemti</w:t>
            </w:r>
            <w:r w:rsidR="00965AE0">
              <w:rPr>
                <w:sz w:val="24"/>
                <w:szCs w:val="24"/>
                <w:lang w:eastAsia="lv-LV"/>
              </w:rPr>
              <w:t>.</w:t>
            </w:r>
          </w:p>
        </w:tc>
      </w:tr>
      <w:tr w:rsidR="00532F34" w:rsidRPr="00DD49B6" w:rsidTr="00780909">
        <w:tblPrEx>
          <w:tblCellMar>
            <w:left w:w="0" w:type="dxa"/>
            <w:right w:w="0" w:type="dxa"/>
          </w:tblCellMar>
          <w:tblLook w:val="0000" w:firstRow="0" w:lastRow="0" w:firstColumn="0" w:lastColumn="0" w:noHBand="0" w:noVBand="0"/>
        </w:tblPrEx>
        <w:trPr>
          <w:trHeight w:val="476"/>
        </w:trPr>
        <w:tc>
          <w:tcPr>
            <w:tcW w:w="3544" w:type="dxa"/>
            <w:gridSpan w:val="4"/>
          </w:tcPr>
          <w:p w:rsidR="00532F34" w:rsidRPr="00DD49B6" w:rsidRDefault="00532F34" w:rsidP="00C43201">
            <w:pPr>
              <w:spacing w:line="240" w:lineRule="auto"/>
              <w:ind w:left="57" w:right="57" w:firstLine="46"/>
              <w:rPr>
                <w:sz w:val="24"/>
                <w:szCs w:val="24"/>
                <w:lang w:eastAsia="lv-LV"/>
              </w:rPr>
            </w:pPr>
            <w:r w:rsidRPr="00DD49B6">
              <w:rPr>
                <w:sz w:val="24"/>
                <w:szCs w:val="24"/>
                <w:lang w:eastAsia="lv-LV"/>
              </w:rPr>
              <w:t>Cita informācija</w:t>
            </w:r>
          </w:p>
        </w:tc>
        <w:tc>
          <w:tcPr>
            <w:tcW w:w="5103" w:type="dxa"/>
            <w:gridSpan w:val="2"/>
          </w:tcPr>
          <w:p w:rsidR="00532F34" w:rsidRPr="00DD49B6" w:rsidRDefault="00532F34" w:rsidP="00C43201">
            <w:pPr>
              <w:spacing w:line="240" w:lineRule="auto"/>
              <w:ind w:left="47" w:right="57" w:firstLine="0"/>
              <w:rPr>
                <w:sz w:val="24"/>
                <w:szCs w:val="24"/>
                <w:lang w:eastAsia="lv-LV"/>
              </w:rPr>
            </w:pPr>
            <w:r>
              <w:rPr>
                <w:sz w:val="24"/>
                <w:szCs w:val="24"/>
              </w:rPr>
              <w:t>Nav.</w:t>
            </w:r>
          </w:p>
        </w:tc>
      </w:tr>
      <w:tr w:rsidR="00532F34" w:rsidRPr="0027189F" w:rsidTr="00C43201">
        <w:tc>
          <w:tcPr>
            <w:tcW w:w="8647" w:type="dxa"/>
            <w:gridSpan w:val="6"/>
            <w:shd w:val="clear" w:color="auto" w:fill="auto"/>
          </w:tcPr>
          <w:p w:rsidR="00532F34" w:rsidRPr="00AD4676" w:rsidRDefault="00532F34" w:rsidP="00C43201">
            <w:pPr>
              <w:spacing w:before="100" w:beforeAutospacing="1" w:after="100" w:afterAutospacing="1" w:line="240" w:lineRule="auto"/>
              <w:ind w:firstLine="0"/>
              <w:jc w:val="center"/>
              <w:rPr>
                <w:rFonts w:eastAsia="Times New Roman"/>
                <w:b/>
                <w:bCs/>
                <w:sz w:val="24"/>
                <w:szCs w:val="24"/>
                <w:lang w:eastAsia="lv-LV"/>
              </w:rPr>
            </w:pPr>
            <w:r w:rsidRPr="00AD4676">
              <w:rPr>
                <w:rFonts w:eastAsia="Times New Roman"/>
                <w:b/>
                <w:bCs/>
                <w:sz w:val="24"/>
                <w:szCs w:val="24"/>
                <w:lang w:eastAsia="lv-LV"/>
              </w:rPr>
              <w:t>VII. Tiesību akta projekta izpildes nodrošināšana un tās ietekme uz institūcijām</w:t>
            </w:r>
          </w:p>
        </w:tc>
      </w:tr>
      <w:tr w:rsidR="00532F34" w:rsidRPr="0027189F" w:rsidTr="001970F9">
        <w:trPr>
          <w:trHeight w:val="564"/>
        </w:trPr>
        <w:tc>
          <w:tcPr>
            <w:tcW w:w="3508" w:type="dxa"/>
            <w:gridSpan w:val="3"/>
            <w:shd w:val="clear" w:color="auto" w:fill="auto"/>
          </w:tcPr>
          <w:p w:rsidR="00532F34" w:rsidRPr="00AD4676" w:rsidRDefault="00532F34" w:rsidP="001970F9">
            <w:pPr>
              <w:numPr>
                <w:ilvl w:val="0"/>
                <w:numId w:val="2"/>
              </w:numPr>
              <w:spacing w:line="240" w:lineRule="auto"/>
              <w:jc w:val="left"/>
              <w:rPr>
                <w:rFonts w:eastAsia="Times New Roman"/>
                <w:sz w:val="24"/>
                <w:szCs w:val="24"/>
                <w:lang w:eastAsia="lv-LV"/>
              </w:rPr>
            </w:pPr>
            <w:r w:rsidRPr="00AD4676">
              <w:rPr>
                <w:rFonts w:eastAsia="Times New Roman"/>
                <w:sz w:val="24"/>
                <w:szCs w:val="24"/>
                <w:lang w:eastAsia="lv-LV"/>
              </w:rPr>
              <w:t>Projekta izpildē iesaistītās institūcijas</w:t>
            </w:r>
          </w:p>
        </w:tc>
        <w:tc>
          <w:tcPr>
            <w:tcW w:w="5139" w:type="dxa"/>
            <w:gridSpan w:val="3"/>
            <w:shd w:val="clear" w:color="auto" w:fill="auto"/>
          </w:tcPr>
          <w:p w:rsidR="00532F34" w:rsidRDefault="00532F34" w:rsidP="001970F9">
            <w:pPr>
              <w:spacing w:line="240" w:lineRule="auto"/>
              <w:ind w:firstLine="0"/>
              <w:rPr>
                <w:rFonts w:eastAsia="Times New Roman"/>
                <w:sz w:val="24"/>
                <w:szCs w:val="24"/>
                <w:lang w:eastAsia="lv-LV"/>
              </w:rPr>
            </w:pPr>
            <w:r w:rsidRPr="00AD4676">
              <w:rPr>
                <w:rFonts w:eastAsia="Times New Roman"/>
                <w:sz w:val="24"/>
                <w:szCs w:val="24"/>
                <w:lang w:eastAsia="lv-LV"/>
              </w:rPr>
              <w:t>Valsts akciju sabiedrība „Ceļu satiksmes drošības direkcija”.</w:t>
            </w:r>
          </w:p>
          <w:p w:rsidR="00D7143F" w:rsidRPr="00AD4676" w:rsidRDefault="00D7143F" w:rsidP="001970F9">
            <w:pPr>
              <w:spacing w:line="240" w:lineRule="auto"/>
              <w:ind w:firstLine="0"/>
              <w:rPr>
                <w:rFonts w:eastAsia="Times New Roman"/>
                <w:sz w:val="24"/>
                <w:szCs w:val="24"/>
                <w:lang w:eastAsia="lv-LV"/>
              </w:rPr>
            </w:pPr>
          </w:p>
        </w:tc>
      </w:tr>
      <w:tr w:rsidR="00532F34" w:rsidTr="00D7143F">
        <w:trPr>
          <w:trHeight w:val="685"/>
        </w:trPr>
        <w:tc>
          <w:tcPr>
            <w:tcW w:w="3508" w:type="dxa"/>
            <w:gridSpan w:val="3"/>
            <w:shd w:val="clear" w:color="auto" w:fill="auto"/>
          </w:tcPr>
          <w:p w:rsidR="00532F34" w:rsidRPr="00982751" w:rsidRDefault="00532F34" w:rsidP="001970F9">
            <w:pPr>
              <w:numPr>
                <w:ilvl w:val="0"/>
                <w:numId w:val="2"/>
              </w:numPr>
              <w:spacing w:line="240" w:lineRule="auto"/>
              <w:rPr>
                <w:rFonts w:eastAsia="Times New Roman"/>
                <w:sz w:val="24"/>
                <w:szCs w:val="24"/>
                <w:lang w:eastAsia="lv-LV"/>
              </w:rPr>
            </w:pPr>
            <w:r w:rsidRPr="00982751">
              <w:rPr>
                <w:rFonts w:eastAsia="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139" w:type="dxa"/>
            <w:gridSpan w:val="3"/>
            <w:shd w:val="clear" w:color="auto" w:fill="auto"/>
          </w:tcPr>
          <w:p w:rsidR="00532F34" w:rsidRPr="00982751" w:rsidRDefault="00532F34" w:rsidP="004A77C4">
            <w:pPr>
              <w:spacing w:line="240" w:lineRule="auto"/>
              <w:ind w:firstLine="0"/>
            </w:pPr>
            <w:r w:rsidRPr="00982751">
              <w:rPr>
                <w:rFonts w:eastAsia="Times New Roman"/>
                <w:sz w:val="24"/>
                <w:szCs w:val="24"/>
                <w:lang w:eastAsia="lv-LV"/>
              </w:rPr>
              <w:t xml:space="preserve"> </w:t>
            </w:r>
            <w:r w:rsidR="00982751" w:rsidRPr="00982751">
              <w:rPr>
                <w:rFonts w:eastAsia="Times New Roman"/>
                <w:sz w:val="24"/>
                <w:szCs w:val="24"/>
                <w:lang w:eastAsia="lv-LV"/>
              </w:rPr>
              <w:t>Noteikumu projekta izpilde tiks nodrošināta esošo valsts akciju sabiedrības "Ceļu satiksmes drošības direkcija" cilvēkresursu ietvaros.</w:t>
            </w:r>
          </w:p>
        </w:tc>
      </w:tr>
      <w:tr w:rsidR="00532F34" w:rsidRPr="0027189F" w:rsidTr="00C43201">
        <w:trPr>
          <w:trHeight w:val="416"/>
        </w:trPr>
        <w:tc>
          <w:tcPr>
            <w:tcW w:w="3508" w:type="dxa"/>
            <w:gridSpan w:val="3"/>
            <w:shd w:val="clear" w:color="auto" w:fill="auto"/>
          </w:tcPr>
          <w:p w:rsidR="00532F34" w:rsidRPr="00AD4676" w:rsidRDefault="00532F34" w:rsidP="001970F9">
            <w:pPr>
              <w:numPr>
                <w:ilvl w:val="0"/>
                <w:numId w:val="2"/>
              </w:numPr>
              <w:spacing w:line="240" w:lineRule="auto"/>
              <w:jc w:val="left"/>
              <w:rPr>
                <w:rFonts w:eastAsia="Times New Roman"/>
                <w:sz w:val="24"/>
                <w:szCs w:val="24"/>
                <w:lang w:eastAsia="lv-LV"/>
              </w:rPr>
            </w:pPr>
            <w:r w:rsidRPr="00AD4676">
              <w:rPr>
                <w:rFonts w:eastAsia="Times New Roman"/>
                <w:sz w:val="24"/>
                <w:szCs w:val="24"/>
                <w:lang w:eastAsia="lv-LV"/>
              </w:rPr>
              <w:t>Cita informācija</w:t>
            </w:r>
          </w:p>
        </w:tc>
        <w:tc>
          <w:tcPr>
            <w:tcW w:w="5139" w:type="dxa"/>
            <w:gridSpan w:val="3"/>
            <w:shd w:val="clear" w:color="auto" w:fill="auto"/>
          </w:tcPr>
          <w:p w:rsidR="00532F34" w:rsidRPr="00AD4676" w:rsidRDefault="00532F34" w:rsidP="001970F9">
            <w:pPr>
              <w:spacing w:line="240" w:lineRule="auto"/>
              <w:ind w:firstLine="0"/>
              <w:jc w:val="left"/>
              <w:rPr>
                <w:rFonts w:eastAsia="Times New Roman"/>
                <w:sz w:val="24"/>
                <w:szCs w:val="24"/>
                <w:lang w:eastAsia="lv-LV"/>
              </w:rPr>
            </w:pPr>
            <w:r w:rsidRPr="00AD4676">
              <w:rPr>
                <w:rFonts w:eastAsia="Times New Roman"/>
                <w:sz w:val="24"/>
                <w:szCs w:val="24"/>
                <w:lang w:eastAsia="lv-LV"/>
              </w:rPr>
              <w:t> Nav.</w:t>
            </w:r>
          </w:p>
        </w:tc>
      </w:tr>
    </w:tbl>
    <w:p w:rsidR="004A77C4" w:rsidRPr="00EF6549" w:rsidRDefault="004A77C4" w:rsidP="00EF6549">
      <w:pPr>
        <w:spacing w:line="240" w:lineRule="auto"/>
        <w:ind w:firstLine="0"/>
        <w:jc w:val="left"/>
        <w:rPr>
          <w:rFonts w:eastAsia="Times New Roman"/>
          <w:sz w:val="24"/>
          <w:szCs w:val="24"/>
          <w:lang w:eastAsia="lv-LV"/>
        </w:rPr>
      </w:pPr>
      <w:r w:rsidRPr="00EF6549">
        <w:rPr>
          <w:rFonts w:eastAsia="Times New Roman"/>
          <w:sz w:val="24"/>
          <w:szCs w:val="24"/>
          <w:lang w:eastAsia="lv-LV"/>
        </w:rPr>
        <w:t>Anotācijas III, IV un V sadaļa – projekts šīs jomas neskar.</w:t>
      </w:r>
    </w:p>
    <w:p w:rsidR="004A77C4" w:rsidRDefault="004A77C4" w:rsidP="00EF6549">
      <w:pPr>
        <w:spacing w:line="240" w:lineRule="auto"/>
        <w:ind w:firstLine="0"/>
        <w:jc w:val="left"/>
        <w:rPr>
          <w:rFonts w:eastAsia="Times New Roman"/>
          <w:szCs w:val="28"/>
          <w:lang w:eastAsia="lv-LV"/>
        </w:rPr>
      </w:pPr>
    </w:p>
    <w:p w:rsidR="00EF6549" w:rsidRPr="00EF6549" w:rsidRDefault="00EF6549" w:rsidP="00EF6549">
      <w:pPr>
        <w:spacing w:line="240" w:lineRule="auto"/>
        <w:ind w:right="-516" w:firstLine="0"/>
        <w:rPr>
          <w:rFonts w:eastAsia="Times New Roman"/>
          <w:sz w:val="24"/>
          <w:szCs w:val="24"/>
          <w:lang w:eastAsia="lv-LV"/>
        </w:rPr>
      </w:pPr>
      <w:r w:rsidRPr="00EF6549">
        <w:rPr>
          <w:rFonts w:eastAsia="Times New Roman"/>
          <w:sz w:val="24"/>
          <w:szCs w:val="24"/>
          <w:lang w:eastAsia="lv-LV"/>
        </w:rPr>
        <w:t>Satiksmes ministra p.i.</w:t>
      </w:r>
    </w:p>
    <w:p w:rsidR="00EF6549" w:rsidRPr="00EF6549" w:rsidRDefault="00EF6549" w:rsidP="00EF6549">
      <w:pPr>
        <w:spacing w:line="240" w:lineRule="auto"/>
        <w:ind w:right="-516" w:firstLine="0"/>
        <w:rPr>
          <w:rFonts w:eastAsia="Times New Roman"/>
          <w:sz w:val="24"/>
          <w:szCs w:val="24"/>
          <w:lang w:eastAsia="lv-LV"/>
        </w:rPr>
      </w:pPr>
      <w:r w:rsidRPr="00EF6549">
        <w:rPr>
          <w:rFonts w:eastAsia="Times New Roman"/>
          <w:sz w:val="24"/>
          <w:szCs w:val="24"/>
          <w:lang w:eastAsia="lv-LV"/>
        </w:rPr>
        <w:t xml:space="preserve">iekšlietu ministrs                                                            </w:t>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sidRPr="00EF6549">
        <w:rPr>
          <w:rFonts w:eastAsia="Times New Roman"/>
          <w:sz w:val="24"/>
          <w:szCs w:val="24"/>
          <w:lang w:eastAsia="lv-LV"/>
        </w:rPr>
        <w:t>R. Kozlovskis</w:t>
      </w:r>
    </w:p>
    <w:p w:rsidR="00E943C7" w:rsidRDefault="00E943C7" w:rsidP="00EF6549">
      <w:pPr>
        <w:spacing w:line="240" w:lineRule="auto"/>
        <w:ind w:right="-516" w:firstLine="0"/>
        <w:rPr>
          <w:sz w:val="24"/>
          <w:szCs w:val="24"/>
        </w:rPr>
      </w:pPr>
    </w:p>
    <w:p w:rsidR="0041368D" w:rsidRPr="0041368D" w:rsidRDefault="0041368D" w:rsidP="0041368D">
      <w:pPr>
        <w:spacing w:line="256" w:lineRule="auto"/>
        <w:ind w:firstLine="0"/>
        <w:jc w:val="left"/>
        <w:rPr>
          <w:sz w:val="24"/>
          <w:szCs w:val="24"/>
        </w:rPr>
      </w:pPr>
      <w:r w:rsidRPr="0041368D">
        <w:rPr>
          <w:sz w:val="24"/>
          <w:szCs w:val="24"/>
        </w:rPr>
        <w:t xml:space="preserve">Vīza: </w:t>
      </w:r>
      <w:r>
        <w:rPr>
          <w:sz w:val="24"/>
          <w:szCs w:val="24"/>
        </w:rPr>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1368D">
        <w:rPr>
          <w:sz w:val="24"/>
          <w:szCs w:val="24"/>
        </w:rPr>
        <w:t>K.Ozoliņš</w:t>
      </w:r>
    </w:p>
    <w:p w:rsidR="00780909" w:rsidRDefault="00780909" w:rsidP="003B3844">
      <w:pPr>
        <w:pStyle w:val="Header"/>
        <w:ind w:firstLine="0"/>
        <w:rPr>
          <w:sz w:val="20"/>
          <w:szCs w:val="20"/>
        </w:rPr>
      </w:pPr>
    </w:p>
    <w:p w:rsidR="0041368D" w:rsidRDefault="0041368D" w:rsidP="003B3844">
      <w:pPr>
        <w:pStyle w:val="Header"/>
        <w:ind w:firstLine="0"/>
        <w:rPr>
          <w:sz w:val="20"/>
          <w:szCs w:val="20"/>
        </w:rPr>
      </w:pPr>
    </w:p>
    <w:p w:rsidR="003B3844" w:rsidRPr="00306155" w:rsidRDefault="0041368D" w:rsidP="003B3844">
      <w:pPr>
        <w:pStyle w:val="Header"/>
        <w:ind w:firstLine="0"/>
        <w:rPr>
          <w:sz w:val="18"/>
          <w:szCs w:val="18"/>
        </w:rPr>
      </w:pPr>
      <w:r>
        <w:rPr>
          <w:sz w:val="18"/>
          <w:szCs w:val="18"/>
        </w:rPr>
        <w:t>30.</w:t>
      </w:r>
      <w:r w:rsidR="00022B2E" w:rsidRPr="00306155">
        <w:rPr>
          <w:sz w:val="18"/>
          <w:szCs w:val="18"/>
        </w:rPr>
        <w:t>11</w:t>
      </w:r>
      <w:r w:rsidR="00576115" w:rsidRPr="00306155">
        <w:rPr>
          <w:sz w:val="18"/>
          <w:szCs w:val="18"/>
        </w:rPr>
        <w:t>.201</w:t>
      </w:r>
      <w:r w:rsidR="00D95C11" w:rsidRPr="00306155">
        <w:rPr>
          <w:sz w:val="18"/>
          <w:szCs w:val="18"/>
        </w:rPr>
        <w:t>5</w:t>
      </w:r>
      <w:r w:rsidR="00576115" w:rsidRPr="00306155">
        <w:rPr>
          <w:sz w:val="18"/>
          <w:szCs w:val="18"/>
        </w:rPr>
        <w:t>.</w:t>
      </w:r>
      <w:r w:rsidR="003B3844" w:rsidRPr="00306155">
        <w:rPr>
          <w:sz w:val="18"/>
          <w:szCs w:val="18"/>
        </w:rPr>
        <w:t xml:space="preserve"> 1</w:t>
      </w:r>
      <w:r>
        <w:rPr>
          <w:sz w:val="18"/>
          <w:szCs w:val="18"/>
        </w:rPr>
        <w:t>5</w:t>
      </w:r>
      <w:r w:rsidR="003B3844" w:rsidRPr="00306155">
        <w:rPr>
          <w:sz w:val="18"/>
          <w:szCs w:val="18"/>
        </w:rPr>
        <w:t>:</w:t>
      </w:r>
      <w:r>
        <w:rPr>
          <w:sz w:val="18"/>
          <w:szCs w:val="18"/>
        </w:rPr>
        <w:t>01</w:t>
      </w:r>
    </w:p>
    <w:p w:rsidR="00DD2F2B" w:rsidRPr="00306155" w:rsidRDefault="00B06879" w:rsidP="003B3844">
      <w:pPr>
        <w:pStyle w:val="Header"/>
        <w:ind w:firstLine="0"/>
        <w:rPr>
          <w:sz w:val="18"/>
          <w:szCs w:val="18"/>
        </w:rPr>
      </w:pPr>
      <w:r w:rsidRPr="00306155">
        <w:rPr>
          <w:sz w:val="18"/>
          <w:szCs w:val="18"/>
        </w:rPr>
        <w:t>1</w:t>
      </w:r>
      <w:r w:rsidR="0041368D">
        <w:rPr>
          <w:sz w:val="18"/>
          <w:szCs w:val="18"/>
        </w:rPr>
        <w:t>295</w:t>
      </w:r>
      <w:bookmarkStart w:id="0" w:name="_GoBack"/>
      <w:bookmarkEnd w:id="0"/>
    </w:p>
    <w:p w:rsidR="005C413A" w:rsidRPr="00306155" w:rsidRDefault="005C413A" w:rsidP="00DD2F2B">
      <w:pPr>
        <w:pStyle w:val="Header"/>
        <w:spacing w:line="240" w:lineRule="auto"/>
        <w:ind w:firstLine="0"/>
        <w:rPr>
          <w:sz w:val="18"/>
          <w:szCs w:val="18"/>
        </w:rPr>
      </w:pPr>
      <w:r w:rsidRPr="00306155">
        <w:rPr>
          <w:sz w:val="18"/>
          <w:szCs w:val="18"/>
        </w:rPr>
        <w:t>R.Nīmanis, 67025719</w:t>
      </w:r>
    </w:p>
    <w:p w:rsidR="00B06879" w:rsidRPr="00306155" w:rsidRDefault="00DF7BE2" w:rsidP="00DD2F2B">
      <w:pPr>
        <w:pStyle w:val="Header"/>
        <w:spacing w:line="240" w:lineRule="auto"/>
        <w:ind w:firstLine="0"/>
        <w:rPr>
          <w:sz w:val="18"/>
          <w:szCs w:val="18"/>
        </w:rPr>
      </w:pPr>
      <w:hyperlink r:id="rId9" w:history="1">
        <w:r w:rsidR="00B06879" w:rsidRPr="00306155">
          <w:rPr>
            <w:rStyle w:val="Hyperlink"/>
            <w:sz w:val="18"/>
            <w:szCs w:val="18"/>
          </w:rPr>
          <w:t>reinis.nimanis@csdd.gov.lv</w:t>
        </w:r>
      </w:hyperlink>
    </w:p>
    <w:sectPr w:rsidR="00B06879" w:rsidRPr="00306155" w:rsidSect="00306155">
      <w:headerReference w:type="default" r:id="rId10"/>
      <w:footerReference w:type="default" r:id="rId11"/>
      <w:footerReference w:type="first" r:id="rId12"/>
      <w:pgSz w:w="11906" w:h="16838" w:code="9"/>
      <w:pgMar w:top="737" w:right="851" w:bottom="737" w:left="1418" w:header="709"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E2" w:rsidRDefault="00DF7BE2" w:rsidP="00E65F54">
      <w:pPr>
        <w:spacing w:line="240" w:lineRule="auto"/>
      </w:pPr>
      <w:r>
        <w:separator/>
      </w:r>
    </w:p>
  </w:endnote>
  <w:endnote w:type="continuationSeparator" w:id="0">
    <w:p w:rsidR="00DF7BE2" w:rsidRDefault="00DF7BE2"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24" w:rsidRDefault="0041368D" w:rsidP="008C096F">
    <w:pPr>
      <w:spacing w:line="240" w:lineRule="auto"/>
      <w:ind w:right="-199" w:firstLine="0"/>
      <w:rPr>
        <w:rFonts w:eastAsia="Times New Roman"/>
        <w:bCs/>
        <w:sz w:val="20"/>
        <w:szCs w:val="20"/>
        <w:lang w:eastAsia="lv-LV"/>
      </w:rPr>
    </w:pPr>
    <w:r>
      <w:rPr>
        <w:sz w:val="20"/>
        <w:szCs w:val="20"/>
      </w:rPr>
      <w:t>SAMAnot_30</w:t>
    </w:r>
    <w:r w:rsidR="00022B2E">
      <w:rPr>
        <w:sz w:val="20"/>
        <w:szCs w:val="20"/>
      </w:rPr>
      <w:t>11</w:t>
    </w:r>
    <w:r w:rsidR="004B5224">
      <w:rPr>
        <w:sz w:val="20"/>
        <w:szCs w:val="20"/>
      </w:rPr>
      <w:t>15</w:t>
    </w:r>
    <w:r w:rsidR="004B5224" w:rsidRPr="005C413A">
      <w:rPr>
        <w:sz w:val="20"/>
        <w:szCs w:val="20"/>
      </w:rPr>
      <w:t>_CSDD_cenradis; Minist</w:t>
    </w:r>
    <w:r w:rsidR="004B5224">
      <w:rPr>
        <w:sz w:val="20"/>
        <w:szCs w:val="20"/>
      </w:rPr>
      <w:t>ru kabineta noteikumu projekta „</w:t>
    </w:r>
    <w:r w:rsidR="004B5224" w:rsidRPr="005C413A">
      <w:rPr>
        <w:sz w:val="20"/>
        <w:szCs w:val="20"/>
      </w:rPr>
      <w:t>Grozījumi Ministru kabineta 2013.gada 2</w:t>
    </w:r>
    <w:r w:rsidR="004B5224">
      <w:rPr>
        <w:sz w:val="20"/>
        <w:szCs w:val="20"/>
      </w:rPr>
      <w:t>4.septembra noteikumos Nr.1000 „</w:t>
    </w:r>
    <w:r w:rsidR="004B5224" w:rsidRPr="005C413A">
      <w:rPr>
        <w:sz w:val="20"/>
        <w:szCs w:val="20"/>
      </w:rPr>
      <w:t>Valsts akciju sabi</w:t>
    </w:r>
    <w:r w:rsidR="004B5224">
      <w:rPr>
        <w:sz w:val="20"/>
        <w:szCs w:val="20"/>
      </w:rPr>
      <w:t>edrības „</w:t>
    </w:r>
    <w:r w:rsidR="004B5224" w:rsidRPr="005C413A">
      <w:rPr>
        <w:sz w:val="20"/>
        <w:szCs w:val="20"/>
      </w:rPr>
      <w:t>Ce</w:t>
    </w:r>
    <w:r w:rsidR="004B5224">
      <w:rPr>
        <w:sz w:val="20"/>
        <w:szCs w:val="20"/>
      </w:rPr>
      <w:t>ļu satiksmes drošības direkcija”</w:t>
    </w:r>
    <w:r w:rsidR="004B5224" w:rsidRPr="005C413A">
      <w:rPr>
        <w:sz w:val="20"/>
        <w:szCs w:val="20"/>
      </w:rPr>
      <w:t xml:space="preserve"> publi</w:t>
    </w:r>
    <w:r w:rsidR="004B5224">
      <w:rPr>
        <w:sz w:val="20"/>
        <w:szCs w:val="20"/>
      </w:rPr>
      <w:t>sko maksas pakalpojumu cenrādis””</w:t>
    </w:r>
    <w:r w:rsidR="004B5224" w:rsidRPr="005C413A">
      <w:rPr>
        <w:sz w:val="20"/>
        <w:szCs w:val="20"/>
      </w:rPr>
      <w:t xml:space="preserve"> sākotnējās ietekmes novērtējuma ziņojums (anotācija)</w:t>
    </w:r>
  </w:p>
  <w:p w:rsidR="004B5224" w:rsidRPr="00F52666" w:rsidRDefault="004B5224" w:rsidP="008C096F">
    <w:pPr>
      <w:spacing w:line="240" w:lineRule="auto"/>
      <w:ind w:right="-199" w:firstLine="0"/>
      <w:rPr>
        <w:rFonts w:eastAsia="Times New Roman"/>
        <w:bCs/>
        <w:sz w:val="20"/>
        <w:szCs w:val="20"/>
        <w:lang w:eastAsia="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24" w:rsidRPr="00F52666" w:rsidRDefault="0041368D" w:rsidP="008C096F">
    <w:pPr>
      <w:spacing w:line="240" w:lineRule="auto"/>
      <w:ind w:right="-199" w:firstLine="0"/>
      <w:rPr>
        <w:rFonts w:eastAsia="Times New Roman"/>
        <w:bCs/>
        <w:sz w:val="20"/>
        <w:szCs w:val="20"/>
        <w:lang w:eastAsia="lv-LV"/>
      </w:rPr>
    </w:pPr>
    <w:r>
      <w:rPr>
        <w:sz w:val="20"/>
        <w:szCs w:val="20"/>
      </w:rPr>
      <w:t>SAMAnot_30</w:t>
    </w:r>
    <w:r w:rsidR="00EF6549">
      <w:rPr>
        <w:sz w:val="20"/>
        <w:szCs w:val="20"/>
      </w:rPr>
      <w:t>1</w:t>
    </w:r>
    <w:r w:rsidR="00022B2E">
      <w:rPr>
        <w:sz w:val="20"/>
        <w:szCs w:val="20"/>
      </w:rPr>
      <w:t>115_CSDD_cenradis</w:t>
    </w:r>
    <w:r w:rsidR="002B5B9E" w:rsidRPr="002B5B9E">
      <w:rPr>
        <w:sz w:val="20"/>
        <w:szCs w:val="20"/>
      </w:rPr>
      <w:t>; Ministru kabineta noteikumu projekta „Grozījumi Ministru kabineta 2013.gada 24.septembra noteikumos Nr.1000 „Valsts akciju sabiedrības „Ceļu satiksmes drošības direkcija” publisko maksas pakalpojumu cenrādis””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E2" w:rsidRDefault="00DF7BE2" w:rsidP="00E65F54">
      <w:pPr>
        <w:spacing w:line="240" w:lineRule="auto"/>
      </w:pPr>
      <w:r>
        <w:separator/>
      </w:r>
    </w:p>
  </w:footnote>
  <w:footnote w:type="continuationSeparator" w:id="0">
    <w:p w:rsidR="00DF7BE2" w:rsidRDefault="00DF7BE2"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24" w:rsidRDefault="004B5224" w:rsidP="0047322B">
    <w:pPr>
      <w:pStyle w:val="Header"/>
      <w:ind w:firstLine="0"/>
      <w:jc w:val="center"/>
    </w:pPr>
    <w:r>
      <w:fldChar w:fldCharType="begin"/>
    </w:r>
    <w:r>
      <w:instrText xml:space="preserve"> PAGE   \* MERGEFORMAT </w:instrText>
    </w:r>
    <w:r>
      <w:fldChar w:fldCharType="separate"/>
    </w:r>
    <w:r w:rsidR="0041368D">
      <w:rPr>
        <w:noProof/>
      </w:rPr>
      <w:t>5</w:t>
    </w:r>
    <w:r>
      <w:fldChar w:fldCharType="end"/>
    </w:r>
  </w:p>
  <w:p w:rsidR="004B5224" w:rsidRDefault="004B5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053B52F0"/>
    <w:multiLevelType w:val="hybridMultilevel"/>
    <w:tmpl w:val="4F62B958"/>
    <w:lvl w:ilvl="0" w:tplc="29F2B1B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40A7EE2"/>
    <w:multiLevelType w:val="hybridMultilevel"/>
    <w:tmpl w:val="0CFECA8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304F7673"/>
    <w:multiLevelType w:val="hybridMultilevel"/>
    <w:tmpl w:val="3DAC66BE"/>
    <w:lvl w:ilvl="0" w:tplc="861AFEF8">
      <w:start w:val="2"/>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9F"/>
    <w:rsid w:val="00007801"/>
    <w:rsid w:val="00013446"/>
    <w:rsid w:val="00015C0B"/>
    <w:rsid w:val="00022B2E"/>
    <w:rsid w:val="000305C4"/>
    <w:rsid w:val="00030AAC"/>
    <w:rsid w:val="0003426E"/>
    <w:rsid w:val="0003680E"/>
    <w:rsid w:val="00036B0B"/>
    <w:rsid w:val="000448D7"/>
    <w:rsid w:val="0004524B"/>
    <w:rsid w:val="00047D4B"/>
    <w:rsid w:val="00063F9F"/>
    <w:rsid w:val="00066D08"/>
    <w:rsid w:val="000750A1"/>
    <w:rsid w:val="00076734"/>
    <w:rsid w:val="000811EA"/>
    <w:rsid w:val="00084CB3"/>
    <w:rsid w:val="00091C3F"/>
    <w:rsid w:val="00094458"/>
    <w:rsid w:val="000A069E"/>
    <w:rsid w:val="000B0687"/>
    <w:rsid w:val="000B7137"/>
    <w:rsid w:val="000C02D8"/>
    <w:rsid w:val="000C5F83"/>
    <w:rsid w:val="000C6584"/>
    <w:rsid w:val="000E0598"/>
    <w:rsid w:val="000E5172"/>
    <w:rsid w:val="000F0627"/>
    <w:rsid w:val="00101317"/>
    <w:rsid w:val="00103B16"/>
    <w:rsid w:val="001044AA"/>
    <w:rsid w:val="00112B76"/>
    <w:rsid w:val="00120C4F"/>
    <w:rsid w:val="001229AC"/>
    <w:rsid w:val="00127A0B"/>
    <w:rsid w:val="00131CC5"/>
    <w:rsid w:val="0013479B"/>
    <w:rsid w:val="0013670F"/>
    <w:rsid w:val="0015499E"/>
    <w:rsid w:val="00155DBC"/>
    <w:rsid w:val="001572C5"/>
    <w:rsid w:val="001627B5"/>
    <w:rsid w:val="00165690"/>
    <w:rsid w:val="00167D64"/>
    <w:rsid w:val="00170634"/>
    <w:rsid w:val="00171CCF"/>
    <w:rsid w:val="00174519"/>
    <w:rsid w:val="0017730B"/>
    <w:rsid w:val="001844CC"/>
    <w:rsid w:val="00184718"/>
    <w:rsid w:val="001851C0"/>
    <w:rsid w:val="00187275"/>
    <w:rsid w:val="001970F9"/>
    <w:rsid w:val="001A21CC"/>
    <w:rsid w:val="001A5814"/>
    <w:rsid w:val="001B1BF5"/>
    <w:rsid w:val="001B1FF9"/>
    <w:rsid w:val="001B2B88"/>
    <w:rsid w:val="001B46BB"/>
    <w:rsid w:val="001B75EE"/>
    <w:rsid w:val="001C0D5F"/>
    <w:rsid w:val="001C0F56"/>
    <w:rsid w:val="001D274D"/>
    <w:rsid w:val="001D35B7"/>
    <w:rsid w:val="001E685A"/>
    <w:rsid w:val="001E6D57"/>
    <w:rsid w:val="001F4D7A"/>
    <w:rsid w:val="00200D00"/>
    <w:rsid w:val="00202EEF"/>
    <w:rsid w:val="00204F40"/>
    <w:rsid w:val="0020575A"/>
    <w:rsid w:val="0020589F"/>
    <w:rsid w:val="00206DCB"/>
    <w:rsid w:val="00207E7D"/>
    <w:rsid w:val="00212EB7"/>
    <w:rsid w:val="00217600"/>
    <w:rsid w:val="00222114"/>
    <w:rsid w:val="00223560"/>
    <w:rsid w:val="00227D24"/>
    <w:rsid w:val="002325C3"/>
    <w:rsid w:val="002333FB"/>
    <w:rsid w:val="002338F3"/>
    <w:rsid w:val="002348E0"/>
    <w:rsid w:val="00242A73"/>
    <w:rsid w:val="002431F8"/>
    <w:rsid w:val="00245706"/>
    <w:rsid w:val="00254AAA"/>
    <w:rsid w:val="00254E6C"/>
    <w:rsid w:val="0025541C"/>
    <w:rsid w:val="002679F7"/>
    <w:rsid w:val="0027189F"/>
    <w:rsid w:val="002747E2"/>
    <w:rsid w:val="0027493E"/>
    <w:rsid w:val="002833B3"/>
    <w:rsid w:val="00287F35"/>
    <w:rsid w:val="0029370D"/>
    <w:rsid w:val="00295CAB"/>
    <w:rsid w:val="002968C8"/>
    <w:rsid w:val="00296CB4"/>
    <w:rsid w:val="00297B97"/>
    <w:rsid w:val="002A15B0"/>
    <w:rsid w:val="002A2DD8"/>
    <w:rsid w:val="002A3144"/>
    <w:rsid w:val="002A469E"/>
    <w:rsid w:val="002A7E09"/>
    <w:rsid w:val="002B420E"/>
    <w:rsid w:val="002B5B9E"/>
    <w:rsid w:val="002C009C"/>
    <w:rsid w:val="002C04A6"/>
    <w:rsid w:val="002C30D8"/>
    <w:rsid w:val="002C5EB8"/>
    <w:rsid w:val="002D4754"/>
    <w:rsid w:val="002D728B"/>
    <w:rsid w:val="002E1BAD"/>
    <w:rsid w:val="002E61AA"/>
    <w:rsid w:val="002E6E79"/>
    <w:rsid w:val="002F07D2"/>
    <w:rsid w:val="002F6F2D"/>
    <w:rsid w:val="00301224"/>
    <w:rsid w:val="00304890"/>
    <w:rsid w:val="00306155"/>
    <w:rsid w:val="003143C8"/>
    <w:rsid w:val="00315DA2"/>
    <w:rsid w:val="00327DE0"/>
    <w:rsid w:val="00333C49"/>
    <w:rsid w:val="003424A2"/>
    <w:rsid w:val="00351E6D"/>
    <w:rsid w:val="00354129"/>
    <w:rsid w:val="0035438C"/>
    <w:rsid w:val="003555F8"/>
    <w:rsid w:val="003649D2"/>
    <w:rsid w:val="00370CD2"/>
    <w:rsid w:val="00373431"/>
    <w:rsid w:val="003762F4"/>
    <w:rsid w:val="003777D2"/>
    <w:rsid w:val="0038200C"/>
    <w:rsid w:val="00387089"/>
    <w:rsid w:val="0039258A"/>
    <w:rsid w:val="003A031D"/>
    <w:rsid w:val="003B3844"/>
    <w:rsid w:val="003C027D"/>
    <w:rsid w:val="003D7BD5"/>
    <w:rsid w:val="003E7EBA"/>
    <w:rsid w:val="003F2842"/>
    <w:rsid w:val="003F4A5D"/>
    <w:rsid w:val="00400EC4"/>
    <w:rsid w:val="00410D4D"/>
    <w:rsid w:val="0041368D"/>
    <w:rsid w:val="00416B05"/>
    <w:rsid w:val="004176A6"/>
    <w:rsid w:val="0041799B"/>
    <w:rsid w:val="00421A23"/>
    <w:rsid w:val="0042286A"/>
    <w:rsid w:val="00423C68"/>
    <w:rsid w:val="0042467D"/>
    <w:rsid w:val="00426BBB"/>
    <w:rsid w:val="00436CFA"/>
    <w:rsid w:val="00440491"/>
    <w:rsid w:val="00447906"/>
    <w:rsid w:val="00454938"/>
    <w:rsid w:val="0047322B"/>
    <w:rsid w:val="00473855"/>
    <w:rsid w:val="0047727A"/>
    <w:rsid w:val="004871FD"/>
    <w:rsid w:val="00497897"/>
    <w:rsid w:val="004A77C4"/>
    <w:rsid w:val="004B14CA"/>
    <w:rsid w:val="004B5224"/>
    <w:rsid w:val="004D7D18"/>
    <w:rsid w:val="004E7AC4"/>
    <w:rsid w:val="004F24E5"/>
    <w:rsid w:val="004F4EAC"/>
    <w:rsid w:val="004F5900"/>
    <w:rsid w:val="00500A65"/>
    <w:rsid w:val="00503C44"/>
    <w:rsid w:val="00504EE4"/>
    <w:rsid w:val="00505A3E"/>
    <w:rsid w:val="00513367"/>
    <w:rsid w:val="00513C82"/>
    <w:rsid w:val="00517927"/>
    <w:rsid w:val="00522578"/>
    <w:rsid w:val="005248DA"/>
    <w:rsid w:val="00526D42"/>
    <w:rsid w:val="00526EB3"/>
    <w:rsid w:val="00532F34"/>
    <w:rsid w:val="00536A82"/>
    <w:rsid w:val="005424DF"/>
    <w:rsid w:val="005504D8"/>
    <w:rsid w:val="00550C9F"/>
    <w:rsid w:val="005543C7"/>
    <w:rsid w:val="00556218"/>
    <w:rsid w:val="00576115"/>
    <w:rsid w:val="00580B45"/>
    <w:rsid w:val="0058386F"/>
    <w:rsid w:val="00584812"/>
    <w:rsid w:val="00585852"/>
    <w:rsid w:val="005A0227"/>
    <w:rsid w:val="005A3223"/>
    <w:rsid w:val="005A4EA4"/>
    <w:rsid w:val="005A5D16"/>
    <w:rsid w:val="005C413A"/>
    <w:rsid w:val="005D526E"/>
    <w:rsid w:val="005D642F"/>
    <w:rsid w:val="005E015B"/>
    <w:rsid w:val="005E07E7"/>
    <w:rsid w:val="0060264C"/>
    <w:rsid w:val="0060734C"/>
    <w:rsid w:val="00616318"/>
    <w:rsid w:val="00631AA1"/>
    <w:rsid w:val="00636A6A"/>
    <w:rsid w:val="00647112"/>
    <w:rsid w:val="00654A6B"/>
    <w:rsid w:val="00654B07"/>
    <w:rsid w:val="00655313"/>
    <w:rsid w:val="0065770B"/>
    <w:rsid w:val="0066319E"/>
    <w:rsid w:val="00664D98"/>
    <w:rsid w:val="006652E8"/>
    <w:rsid w:val="00681A6F"/>
    <w:rsid w:val="00681EFB"/>
    <w:rsid w:val="006859BB"/>
    <w:rsid w:val="0068697D"/>
    <w:rsid w:val="00690C83"/>
    <w:rsid w:val="00691740"/>
    <w:rsid w:val="006917EE"/>
    <w:rsid w:val="00693586"/>
    <w:rsid w:val="006961F1"/>
    <w:rsid w:val="0069642A"/>
    <w:rsid w:val="00697697"/>
    <w:rsid w:val="006A0656"/>
    <w:rsid w:val="006A3498"/>
    <w:rsid w:val="006A6C39"/>
    <w:rsid w:val="006B4029"/>
    <w:rsid w:val="006C51CB"/>
    <w:rsid w:val="006D2E7F"/>
    <w:rsid w:val="006D731E"/>
    <w:rsid w:val="006E0766"/>
    <w:rsid w:val="006E74FA"/>
    <w:rsid w:val="006F005E"/>
    <w:rsid w:val="006F21A9"/>
    <w:rsid w:val="006F4C64"/>
    <w:rsid w:val="006F7F1F"/>
    <w:rsid w:val="00705D85"/>
    <w:rsid w:val="00710A4F"/>
    <w:rsid w:val="00716594"/>
    <w:rsid w:val="00721B24"/>
    <w:rsid w:val="00730FCA"/>
    <w:rsid w:val="0073167E"/>
    <w:rsid w:val="007323E8"/>
    <w:rsid w:val="00732A78"/>
    <w:rsid w:val="0073728A"/>
    <w:rsid w:val="00752546"/>
    <w:rsid w:val="00755A65"/>
    <w:rsid w:val="00757000"/>
    <w:rsid w:val="00765AF2"/>
    <w:rsid w:val="0076696A"/>
    <w:rsid w:val="00767A00"/>
    <w:rsid w:val="007749B3"/>
    <w:rsid w:val="007758CA"/>
    <w:rsid w:val="00780909"/>
    <w:rsid w:val="00787478"/>
    <w:rsid w:val="00787BB0"/>
    <w:rsid w:val="00790A91"/>
    <w:rsid w:val="00794A30"/>
    <w:rsid w:val="00797177"/>
    <w:rsid w:val="007A3A6B"/>
    <w:rsid w:val="007A5EC4"/>
    <w:rsid w:val="007B478B"/>
    <w:rsid w:val="007C174A"/>
    <w:rsid w:val="007C60A2"/>
    <w:rsid w:val="007D15C0"/>
    <w:rsid w:val="007D1DF0"/>
    <w:rsid w:val="007D6C45"/>
    <w:rsid w:val="007E51C5"/>
    <w:rsid w:val="0080047B"/>
    <w:rsid w:val="008057EB"/>
    <w:rsid w:val="00812AE7"/>
    <w:rsid w:val="0083425F"/>
    <w:rsid w:val="0084311A"/>
    <w:rsid w:val="00847F94"/>
    <w:rsid w:val="0085087A"/>
    <w:rsid w:val="00852D5C"/>
    <w:rsid w:val="00854F94"/>
    <w:rsid w:val="0086133C"/>
    <w:rsid w:val="008655A1"/>
    <w:rsid w:val="008656E3"/>
    <w:rsid w:val="00865C46"/>
    <w:rsid w:val="0088322B"/>
    <w:rsid w:val="00891204"/>
    <w:rsid w:val="0089232A"/>
    <w:rsid w:val="00896DAF"/>
    <w:rsid w:val="008A0E41"/>
    <w:rsid w:val="008A4766"/>
    <w:rsid w:val="008A7AB1"/>
    <w:rsid w:val="008A7BCE"/>
    <w:rsid w:val="008C096F"/>
    <w:rsid w:val="008C261A"/>
    <w:rsid w:val="008D0901"/>
    <w:rsid w:val="008D6F19"/>
    <w:rsid w:val="008E4E9E"/>
    <w:rsid w:val="008E4FDC"/>
    <w:rsid w:val="0090061C"/>
    <w:rsid w:val="00901AE9"/>
    <w:rsid w:val="00902794"/>
    <w:rsid w:val="00903C74"/>
    <w:rsid w:val="00907DDF"/>
    <w:rsid w:val="00910277"/>
    <w:rsid w:val="009106B5"/>
    <w:rsid w:val="00911911"/>
    <w:rsid w:val="00914657"/>
    <w:rsid w:val="009178DD"/>
    <w:rsid w:val="00927D6D"/>
    <w:rsid w:val="0093431A"/>
    <w:rsid w:val="00934564"/>
    <w:rsid w:val="00937C0D"/>
    <w:rsid w:val="00937F72"/>
    <w:rsid w:val="009442D2"/>
    <w:rsid w:val="009454B9"/>
    <w:rsid w:val="00946458"/>
    <w:rsid w:val="00956493"/>
    <w:rsid w:val="00962199"/>
    <w:rsid w:val="009627D4"/>
    <w:rsid w:val="00965A7B"/>
    <w:rsid w:val="00965AE0"/>
    <w:rsid w:val="009671D1"/>
    <w:rsid w:val="00974550"/>
    <w:rsid w:val="009745E7"/>
    <w:rsid w:val="00982751"/>
    <w:rsid w:val="00982781"/>
    <w:rsid w:val="0098530D"/>
    <w:rsid w:val="00986FAE"/>
    <w:rsid w:val="00991B21"/>
    <w:rsid w:val="00994742"/>
    <w:rsid w:val="009A3F40"/>
    <w:rsid w:val="009A778F"/>
    <w:rsid w:val="009B3A3C"/>
    <w:rsid w:val="009B676D"/>
    <w:rsid w:val="009C220D"/>
    <w:rsid w:val="009C3C34"/>
    <w:rsid w:val="009D208B"/>
    <w:rsid w:val="009D3FC0"/>
    <w:rsid w:val="009D46CC"/>
    <w:rsid w:val="009D7511"/>
    <w:rsid w:val="009E3CEB"/>
    <w:rsid w:val="009E3D75"/>
    <w:rsid w:val="009E45B1"/>
    <w:rsid w:val="009E77D9"/>
    <w:rsid w:val="009F2B91"/>
    <w:rsid w:val="00A04304"/>
    <w:rsid w:val="00A059EA"/>
    <w:rsid w:val="00A05F81"/>
    <w:rsid w:val="00A07764"/>
    <w:rsid w:val="00A15D3D"/>
    <w:rsid w:val="00A20999"/>
    <w:rsid w:val="00A221D2"/>
    <w:rsid w:val="00A23D92"/>
    <w:rsid w:val="00A24F5C"/>
    <w:rsid w:val="00A41420"/>
    <w:rsid w:val="00A42A7F"/>
    <w:rsid w:val="00A46EBC"/>
    <w:rsid w:val="00A52ACA"/>
    <w:rsid w:val="00A55E62"/>
    <w:rsid w:val="00A71C25"/>
    <w:rsid w:val="00A760A2"/>
    <w:rsid w:val="00A80307"/>
    <w:rsid w:val="00A951CD"/>
    <w:rsid w:val="00AA3A6B"/>
    <w:rsid w:val="00AC0F47"/>
    <w:rsid w:val="00AD09F2"/>
    <w:rsid w:val="00AD3FD8"/>
    <w:rsid w:val="00AE3BC9"/>
    <w:rsid w:val="00B035C8"/>
    <w:rsid w:val="00B05DF1"/>
    <w:rsid w:val="00B06879"/>
    <w:rsid w:val="00B22711"/>
    <w:rsid w:val="00B306D9"/>
    <w:rsid w:val="00B30FA4"/>
    <w:rsid w:val="00B30FC5"/>
    <w:rsid w:val="00B53085"/>
    <w:rsid w:val="00B60338"/>
    <w:rsid w:val="00B71C57"/>
    <w:rsid w:val="00B72A9D"/>
    <w:rsid w:val="00B7345C"/>
    <w:rsid w:val="00B75DAF"/>
    <w:rsid w:val="00B769C9"/>
    <w:rsid w:val="00B82E01"/>
    <w:rsid w:val="00B91243"/>
    <w:rsid w:val="00B94DED"/>
    <w:rsid w:val="00BA51FB"/>
    <w:rsid w:val="00BB1331"/>
    <w:rsid w:val="00BB440D"/>
    <w:rsid w:val="00BB634E"/>
    <w:rsid w:val="00BD058E"/>
    <w:rsid w:val="00BE046E"/>
    <w:rsid w:val="00BE5E2C"/>
    <w:rsid w:val="00BF514B"/>
    <w:rsid w:val="00BF7600"/>
    <w:rsid w:val="00BF7837"/>
    <w:rsid w:val="00C053B1"/>
    <w:rsid w:val="00C10433"/>
    <w:rsid w:val="00C15D2E"/>
    <w:rsid w:val="00C1785E"/>
    <w:rsid w:val="00C17EEB"/>
    <w:rsid w:val="00C20D78"/>
    <w:rsid w:val="00C23DE7"/>
    <w:rsid w:val="00C25EDD"/>
    <w:rsid w:val="00C26472"/>
    <w:rsid w:val="00C371A7"/>
    <w:rsid w:val="00C412CC"/>
    <w:rsid w:val="00C43201"/>
    <w:rsid w:val="00C4728B"/>
    <w:rsid w:val="00C610A5"/>
    <w:rsid w:val="00C63F56"/>
    <w:rsid w:val="00C7402F"/>
    <w:rsid w:val="00C81E24"/>
    <w:rsid w:val="00C84CA4"/>
    <w:rsid w:val="00C86BD9"/>
    <w:rsid w:val="00C903B2"/>
    <w:rsid w:val="00C9413E"/>
    <w:rsid w:val="00C94874"/>
    <w:rsid w:val="00CA08FB"/>
    <w:rsid w:val="00CA1E38"/>
    <w:rsid w:val="00CB46AF"/>
    <w:rsid w:val="00CC171D"/>
    <w:rsid w:val="00CC1A72"/>
    <w:rsid w:val="00CC3B6A"/>
    <w:rsid w:val="00CC7161"/>
    <w:rsid w:val="00CD5941"/>
    <w:rsid w:val="00CE3764"/>
    <w:rsid w:val="00CE5AD2"/>
    <w:rsid w:val="00CF1AC4"/>
    <w:rsid w:val="00CF56A5"/>
    <w:rsid w:val="00D12520"/>
    <w:rsid w:val="00D21B79"/>
    <w:rsid w:val="00D22876"/>
    <w:rsid w:val="00D25663"/>
    <w:rsid w:val="00D32D98"/>
    <w:rsid w:val="00D332B2"/>
    <w:rsid w:val="00D33E56"/>
    <w:rsid w:val="00D3709C"/>
    <w:rsid w:val="00D56814"/>
    <w:rsid w:val="00D56FCA"/>
    <w:rsid w:val="00D57AEC"/>
    <w:rsid w:val="00D600CB"/>
    <w:rsid w:val="00D625FA"/>
    <w:rsid w:val="00D66415"/>
    <w:rsid w:val="00D7143F"/>
    <w:rsid w:val="00D752F8"/>
    <w:rsid w:val="00D762AE"/>
    <w:rsid w:val="00D87381"/>
    <w:rsid w:val="00D87F9C"/>
    <w:rsid w:val="00D92789"/>
    <w:rsid w:val="00D95C11"/>
    <w:rsid w:val="00DA2996"/>
    <w:rsid w:val="00DA3807"/>
    <w:rsid w:val="00DC0BAA"/>
    <w:rsid w:val="00DC1B56"/>
    <w:rsid w:val="00DC2F9A"/>
    <w:rsid w:val="00DC3D8A"/>
    <w:rsid w:val="00DC6566"/>
    <w:rsid w:val="00DD2318"/>
    <w:rsid w:val="00DD2F2B"/>
    <w:rsid w:val="00DD34A1"/>
    <w:rsid w:val="00DE4A48"/>
    <w:rsid w:val="00DE6125"/>
    <w:rsid w:val="00DF7BE2"/>
    <w:rsid w:val="00E0069B"/>
    <w:rsid w:val="00E1055F"/>
    <w:rsid w:val="00E135D7"/>
    <w:rsid w:val="00E213EF"/>
    <w:rsid w:val="00E2406E"/>
    <w:rsid w:val="00E2413C"/>
    <w:rsid w:val="00E27AA4"/>
    <w:rsid w:val="00E35600"/>
    <w:rsid w:val="00E36609"/>
    <w:rsid w:val="00E477AD"/>
    <w:rsid w:val="00E603C2"/>
    <w:rsid w:val="00E65F54"/>
    <w:rsid w:val="00E76369"/>
    <w:rsid w:val="00E76F28"/>
    <w:rsid w:val="00E93554"/>
    <w:rsid w:val="00E943C7"/>
    <w:rsid w:val="00EA1944"/>
    <w:rsid w:val="00EA664E"/>
    <w:rsid w:val="00EB0C72"/>
    <w:rsid w:val="00EB3EF8"/>
    <w:rsid w:val="00EC20CA"/>
    <w:rsid w:val="00EC5C42"/>
    <w:rsid w:val="00EC79C9"/>
    <w:rsid w:val="00ED7E23"/>
    <w:rsid w:val="00EE0D7C"/>
    <w:rsid w:val="00EF1B68"/>
    <w:rsid w:val="00EF5E10"/>
    <w:rsid w:val="00EF6549"/>
    <w:rsid w:val="00F0219F"/>
    <w:rsid w:val="00F05597"/>
    <w:rsid w:val="00F1581E"/>
    <w:rsid w:val="00F1660A"/>
    <w:rsid w:val="00F166F2"/>
    <w:rsid w:val="00F20C12"/>
    <w:rsid w:val="00F24D66"/>
    <w:rsid w:val="00F3505C"/>
    <w:rsid w:val="00F44FD7"/>
    <w:rsid w:val="00F51F60"/>
    <w:rsid w:val="00F53109"/>
    <w:rsid w:val="00F5374E"/>
    <w:rsid w:val="00F570A2"/>
    <w:rsid w:val="00F61C44"/>
    <w:rsid w:val="00F647AC"/>
    <w:rsid w:val="00F66F7A"/>
    <w:rsid w:val="00F70DE6"/>
    <w:rsid w:val="00F72E89"/>
    <w:rsid w:val="00F745BF"/>
    <w:rsid w:val="00F77785"/>
    <w:rsid w:val="00F814BE"/>
    <w:rsid w:val="00F83CC8"/>
    <w:rsid w:val="00F95633"/>
    <w:rsid w:val="00FA0642"/>
    <w:rsid w:val="00FA42A5"/>
    <w:rsid w:val="00FA5938"/>
    <w:rsid w:val="00FA5BB3"/>
    <w:rsid w:val="00FB2784"/>
    <w:rsid w:val="00FB7922"/>
    <w:rsid w:val="00FC2928"/>
    <w:rsid w:val="00FC387F"/>
    <w:rsid w:val="00FD02AC"/>
    <w:rsid w:val="00FD0D3B"/>
    <w:rsid w:val="00FE1B12"/>
    <w:rsid w:val="00FE33BA"/>
    <w:rsid w:val="00FE793C"/>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paragraph" w:styleId="ListParagraph">
    <w:name w:val="List Paragraph"/>
    <w:basedOn w:val="Normal"/>
    <w:uiPriority w:val="99"/>
    <w:qFormat/>
    <w:rsid w:val="00532F34"/>
    <w:pPr>
      <w:spacing w:line="240" w:lineRule="auto"/>
      <w:ind w:left="720" w:firstLine="0"/>
      <w:contextualSpacing/>
      <w:jc w:val="left"/>
    </w:pPr>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paragraph" w:styleId="ListParagraph">
    <w:name w:val="List Paragraph"/>
    <w:basedOn w:val="Normal"/>
    <w:uiPriority w:val="99"/>
    <w:qFormat/>
    <w:rsid w:val="00532F34"/>
    <w:pPr>
      <w:spacing w:line="240" w:lineRule="auto"/>
      <w:ind w:left="720" w:firstLine="0"/>
      <w:contextualSpacing/>
      <w:jc w:val="left"/>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546258708">
      <w:bodyDiv w:val="1"/>
      <w:marLeft w:val="0"/>
      <w:marRight w:val="0"/>
      <w:marTop w:val="0"/>
      <w:marBottom w:val="0"/>
      <w:divBdr>
        <w:top w:val="none" w:sz="0" w:space="0" w:color="auto"/>
        <w:left w:val="none" w:sz="0" w:space="0" w:color="auto"/>
        <w:bottom w:val="none" w:sz="0" w:space="0" w:color="auto"/>
        <w:right w:val="none" w:sz="0" w:space="0" w:color="auto"/>
      </w:divBdr>
    </w:div>
    <w:div w:id="553661332">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inis.nimanis@csd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8672-6C5B-48DF-87F3-BED86E4D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7300</Words>
  <Characters>4162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24.septembra noteikumos Nr.1000 "Valsts akciju sabiedrības "Ceļu satiksmes drošības direkcija" publisko maksas pakalpojumu cenrādis" sākotnējās ietekmes novērtējuma ziņojums (anot</vt:lpstr>
    </vt:vector>
  </TitlesOfParts>
  <Company>Satiksmes ministrija</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24.septembra noteikumos Nr.1000 "Valsts akciju sabiedrības "Ceļu satiksmes drošības direkcija" publisko maksas pakalpojumu cenrādis" sākotnējās ietekmes novērtējuma ziņojums (anot</dc:title>
  <dc:subject>anotācija</dc:subject>
  <dc:creator>Juris Teteris</dc:creator>
  <cp:keywords/>
  <dc:description/>
  <cp:lastModifiedBy>Lauris Miķelsons</cp:lastModifiedBy>
  <cp:revision>42</cp:revision>
  <cp:lastPrinted>2015-11-25T11:09:00Z</cp:lastPrinted>
  <dcterms:created xsi:type="dcterms:W3CDTF">2015-10-13T10:17:00Z</dcterms:created>
  <dcterms:modified xsi:type="dcterms:W3CDTF">2015-11-30T13:01:00Z</dcterms:modified>
</cp:coreProperties>
</file>