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AD" w:rsidRPr="00427146" w:rsidRDefault="00C50198" w:rsidP="0043117C">
      <w:pPr>
        <w:jc w:val="center"/>
        <w:rPr>
          <w:b/>
          <w:color w:val="000000"/>
          <w:sz w:val="28"/>
          <w:szCs w:val="28"/>
        </w:rPr>
      </w:pPr>
      <w:r>
        <w:rPr>
          <w:b/>
          <w:bCs/>
          <w:color w:val="000000"/>
          <w:sz w:val="28"/>
          <w:szCs w:val="28"/>
        </w:rPr>
        <w:t>M</w:t>
      </w:r>
      <w:r w:rsidR="009F7598" w:rsidRPr="00427146">
        <w:rPr>
          <w:b/>
          <w:bCs/>
          <w:color w:val="000000"/>
          <w:sz w:val="28"/>
          <w:szCs w:val="28"/>
        </w:rPr>
        <w:t xml:space="preserve">inistru kabineta noteikumu </w:t>
      </w:r>
      <w:r w:rsidR="00A738E0" w:rsidRPr="00427146">
        <w:rPr>
          <w:b/>
          <w:bCs/>
          <w:color w:val="000000"/>
          <w:sz w:val="28"/>
          <w:szCs w:val="28"/>
        </w:rPr>
        <w:t>projekta</w:t>
      </w:r>
      <w:r w:rsidR="00A738E0" w:rsidRPr="005A7740">
        <w:rPr>
          <w:b/>
          <w:bCs/>
          <w:color w:val="000000"/>
          <w:sz w:val="28"/>
          <w:szCs w:val="28"/>
        </w:rPr>
        <w:t xml:space="preserve"> “Grozījumi</w:t>
      </w:r>
      <w:r w:rsidR="005A7740" w:rsidRPr="005A7740">
        <w:rPr>
          <w:b/>
          <w:bCs/>
          <w:color w:val="000000"/>
          <w:sz w:val="28"/>
          <w:szCs w:val="28"/>
        </w:rPr>
        <w:t xml:space="preserve"> Ministru kabineta 2008.gada 30.septembra noteikumos Nr.817 “Noteikumi par darbības programmas “Infrastruktūra un pakalpojumi” papildinājuma 3.4.1.4.aktivitāti “Vēsturiski piesārņoto vietu sanācija””</w:t>
      </w:r>
      <w:r w:rsidR="005A7740">
        <w:rPr>
          <w:b/>
          <w:bCs/>
          <w:color w:val="000000"/>
          <w:sz w:val="28"/>
          <w:szCs w:val="28"/>
        </w:rPr>
        <w:t xml:space="preserve">” </w:t>
      </w:r>
      <w:r w:rsidR="00086ED6" w:rsidRPr="005A7740">
        <w:rPr>
          <w:b/>
          <w:bCs/>
          <w:color w:val="000000"/>
          <w:sz w:val="28"/>
          <w:szCs w:val="28"/>
        </w:rPr>
        <w:t>s</w:t>
      </w:r>
      <w:r w:rsidR="00086ED6" w:rsidRPr="00427146">
        <w:rPr>
          <w:b/>
          <w:color w:val="000000"/>
          <w:sz w:val="28"/>
          <w:szCs w:val="28"/>
        </w:rPr>
        <w:t>ākotnējās ietekmes novērtējuma ziņojums (anotācija)</w:t>
      </w:r>
    </w:p>
    <w:p w:rsidR="00DF5207" w:rsidRPr="00F7767A" w:rsidRDefault="00DF5207" w:rsidP="008539C0">
      <w:pPr>
        <w:pStyle w:val="naisc"/>
        <w:spacing w:before="0" w:after="0"/>
        <w:rPr>
          <w:color w:val="000000"/>
          <w:sz w:val="16"/>
          <w:szCs w:val="16"/>
        </w:rPr>
      </w:pP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3"/>
        <w:gridCol w:w="2275"/>
        <w:gridCol w:w="6820"/>
      </w:tblGrid>
      <w:tr w:rsidR="00AA00A2" w:rsidRPr="00427146" w:rsidTr="00B274FB">
        <w:trPr>
          <w:trHeight w:val="450"/>
          <w:tblCellSpacing w:w="15" w:type="dxa"/>
        </w:trPr>
        <w:tc>
          <w:tcPr>
            <w:tcW w:w="4968"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b/>
                <w:bCs/>
                <w:color w:val="000000"/>
              </w:rPr>
              <w:t>I. Tiesību akta projekta izstrādes nepieciešamība</w:t>
            </w:r>
          </w:p>
        </w:tc>
      </w:tr>
      <w:tr w:rsidR="00385F0D" w:rsidRPr="00427146" w:rsidTr="00B274FB">
        <w:trPr>
          <w:trHeight w:val="405"/>
          <w:tblCellSpacing w:w="15" w:type="dxa"/>
        </w:trPr>
        <w:tc>
          <w:tcPr>
            <w:tcW w:w="190" w:type="pct"/>
            <w:hideMark/>
          </w:tcPr>
          <w:p w:rsidR="00385F0D" w:rsidRPr="00427146" w:rsidRDefault="00385F0D" w:rsidP="00385F0D">
            <w:pPr>
              <w:spacing w:before="100" w:beforeAutospacing="1" w:after="100" w:afterAutospacing="1" w:line="360" w:lineRule="auto"/>
              <w:rPr>
                <w:color w:val="000000"/>
              </w:rPr>
            </w:pPr>
            <w:r w:rsidRPr="00427146">
              <w:rPr>
                <w:color w:val="000000"/>
              </w:rPr>
              <w:t>1.</w:t>
            </w:r>
          </w:p>
        </w:tc>
        <w:tc>
          <w:tcPr>
            <w:tcW w:w="1189" w:type="pct"/>
            <w:hideMark/>
          </w:tcPr>
          <w:p w:rsidR="00385F0D" w:rsidRPr="00427146" w:rsidRDefault="00385F0D">
            <w:pPr>
              <w:rPr>
                <w:color w:val="000000"/>
              </w:rPr>
            </w:pPr>
            <w:r w:rsidRPr="00427146">
              <w:rPr>
                <w:color w:val="000000"/>
              </w:rPr>
              <w:t>Pamatojums</w:t>
            </w:r>
          </w:p>
        </w:tc>
        <w:tc>
          <w:tcPr>
            <w:tcW w:w="3558" w:type="pct"/>
            <w:hideMark/>
          </w:tcPr>
          <w:p w:rsidR="00DC4F20" w:rsidRPr="00427146" w:rsidRDefault="00385F0D" w:rsidP="00DC4F20">
            <w:pPr>
              <w:ind w:right="65"/>
              <w:jc w:val="both"/>
              <w:rPr>
                <w:color w:val="000000"/>
              </w:rPr>
            </w:pPr>
            <w:r w:rsidRPr="00427146">
              <w:rPr>
                <w:color w:val="000000"/>
              </w:rPr>
              <w:t>Ministru kabineta (tu</w:t>
            </w:r>
            <w:r w:rsidR="00632205" w:rsidRPr="00427146">
              <w:rPr>
                <w:color w:val="000000"/>
              </w:rPr>
              <w:t xml:space="preserve">rpmāk – MK) noteikumu projektu </w:t>
            </w:r>
            <w:r w:rsidR="00E47163" w:rsidRPr="00E47163">
              <w:rPr>
                <w:bCs/>
                <w:color w:val="000000"/>
              </w:rPr>
              <w:t>“Grozījumi Ministru kabineta 2008.gada 30.septembra noteikumos Nr.817 “Noteikumi par darbības programmas “Infrastruktūra un pakalpojumi” papildinājuma 3.4.1.4.aktivitāti “Vēsturiski piesārņoto vietu sanācija”””</w:t>
            </w:r>
            <w:r w:rsidRPr="00427146">
              <w:rPr>
                <w:color w:val="000000"/>
              </w:rPr>
              <w:t>(turpmāk – noteikumu projekts) Vides aizsardzības un reģionālās attīstības ministrija (turpmāk – VARAM) izstrādājusi saskaņā ar Eiropas Savienības struktūrfondu un Kohēzijas fonda vadības likuma 18.panta 10.punktu</w:t>
            </w:r>
            <w:r w:rsidR="005F6D77">
              <w:rPr>
                <w:color w:val="000000"/>
              </w:rPr>
              <w:t xml:space="preserve"> un atsaucoties uz MK 2015.gada 22.septembra sēdes protokola Nr.50 38.§ “Informatīvais ziņojums “Par Eiropas Reģionālās attīstības fonda līdzfinansētā projekta “Vēsturiski piesārņoto vietu “Inčukalna </w:t>
            </w:r>
            <w:proofErr w:type="spellStart"/>
            <w:r w:rsidR="005F6D77">
              <w:rPr>
                <w:color w:val="000000"/>
              </w:rPr>
              <w:t>sērskābie</w:t>
            </w:r>
            <w:proofErr w:type="spellEnd"/>
            <w:r w:rsidR="005F6D77">
              <w:rPr>
                <w:color w:val="000000"/>
              </w:rPr>
              <w:t xml:space="preserve"> gudrona dīķi” sanācijas darbi” turpmāku īstenošanu”.</w:t>
            </w:r>
          </w:p>
        </w:tc>
      </w:tr>
      <w:tr w:rsidR="00385F0D" w:rsidRPr="00427146" w:rsidTr="00B274FB">
        <w:trPr>
          <w:trHeight w:val="505"/>
          <w:tblCellSpacing w:w="15" w:type="dxa"/>
        </w:trPr>
        <w:tc>
          <w:tcPr>
            <w:tcW w:w="190" w:type="pct"/>
            <w:hideMark/>
          </w:tcPr>
          <w:p w:rsidR="00385F0D" w:rsidRPr="00427146" w:rsidRDefault="00385F0D" w:rsidP="00385F0D">
            <w:pPr>
              <w:spacing w:before="100" w:beforeAutospacing="1" w:after="100" w:afterAutospacing="1" w:line="360" w:lineRule="auto"/>
              <w:rPr>
                <w:color w:val="000000"/>
              </w:rPr>
            </w:pPr>
            <w:r w:rsidRPr="00427146">
              <w:rPr>
                <w:color w:val="000000"/>
              </w:rPr>
              <w:t>2.</w:t>
            </w:r>
          </w:p>
        </w:tc>
        <w:tc>
          <w:tcPr>
            <w:tcW w:w="1189" w:type="pct"/>
            <w:hideMark/>
          </w:tcPr>
          <w:p w:rsidR="00385F0D" w:rsidRPr="00427146" w:rsidRDefault="00385F0D">
            <w:pPr>
              <w:rPr>
                <w:color w:val="000000"/>
              </w:rPr>
            </w:pPr>
            <w:r w:rsidRPr="00427146">
              <w:rPr>
                <w:color w:val="000000"/>
              </w:rPr>
              <w:t>Pašreizējā situācija un problēmas, kuru risināšanai tiesību akta projekts izstrādāts, tiesiskā regulējuma mērķis un būtība</w:t>
            </w:r>
          </w:p>
        </w:tc>
        <w:tc>
          <w:tcPr>
            <w:tcW w:w="3558" w:type="pct"/>
            <w:hideMark/>
          </w:tcPr>
          <w:p w:rsidR="003A0EF8" w:rsidRDefault="003A0EF8" w:rsidP="00300781">
            <w:pPr>
              <w:spacing w:after="80"/>
              <w:ind w:right="74"/>
              <w:jc w:val="both"/>
              <w:rPr>
                <w:bCs/>
                <w:color w:val="000000"/>
              </w:rPr>
            </w:pPr>
            <w:r>
              <w:rPr>
                <w:bCs/>
                <w:color w:val="000000"/>
              </w:rPr>
              <w:t xml:space="preserve">2009.gadā tika uzsākta </w:t>
            </w:r>
            <w:r w:rsidRPr="00E47163">
              <w:rPr>
                <w:bCs/>
                <w:color w:val="000000"/>
              </w:rPr>
              <w:t xml:space="preserve">darbības programmas “Infrastruktūra un pakalpojumi” </w:t>
            </w:r>
            <w:r>
              <w:rPr>
                <w:bCs/>
                <w:color w:val="000000"/>
              </w:rPr>
              <w:t>papildinājuma 3.4.1.4.aktivitātes</w:t>
            </w:r>
            <w:r w:rsidRPr="00E47163">
              <w:rPr>
                <w:bCs/>
                <w:color w:val="000000"/>
              </w:rPr>
              <w:t xml:space="preserve"> “Vēsturiski piesārņoto vietu sanācija”</w:t>
            </w:r>
            <w:r>
              <w:rPr>
                <w:bCs/>
                <w:color w:val="000000"/>
              </w:rPr>
              <w:t xml:space="preserve"> (turpmāk – 3.4.1.4.aktivitāte</w:t>
            </w:r>
            <w:r w:rsidR="00770AE6">
              <w:rPr>
                <w:bCs/>
                <w:color w:val="000000"/>
              </w:rPr>
              <w:t xml:space="preserve">) īstenošana. </w:t>
            </w:r>
            <w:r w:rsidR="00741C8D">
              <w:rPr>
                <w:bCs/>
                <w:color w:val="000000"/>
              </w:rPr>
              <w:t>2013.gada nogalē tika</w:t>
            </w:r>
            <w:r>
              <w:rPr>
                <w:bCs/>
                <w:color w:val="000000"/>
              </w:rPr>
              <w:t xml:space="preserve"> pabeigts Jelgavas šķidro bīstamo atkritumu</w:t>
            </w:r>
            <w:r w:rsidR="00741C8D">
              <w:rPr>
                <w:bCs/>
                <w:color w:val="000000"/>
              </w:rPr>
              <w:t xml:space="preserve"> izgā</w:t>
            </w:r>
            <w:r w:rsidR="00A77016">
              <w:rPr>
                <w:bCs/>
                <w:color w:val="000000"/>
              </w:rPr>
              <w:t>z</w:t>
            </w:r>
            <w:r w:rsidR="00741C8D">
              <w:rPr>
                <w:bCs/>
                <w:color w:val="000000"/>
              </w:rPr>
              <w:t xml:space="preserve">tuves “Kosmoss” sanācijas projekts, </w:t>
            </w:r>
            <w:r w:rsidR="00D66C21">
              <w:rPr>
                <w:bCs/>
                <w:color w:val="000000"/>
              </w:rPr>
              <w:t xml:space="preserve">2015.gada oktobrī noslēgušies visi darbi bijušajā Olaines šķidro bīstamo atkritumu izgāztuves teritorijā, </w:t>
            </w:r>
            <w:r w:rsidR="00741C8D">
              <w:rPr>
                <w:bCs/>
                <w:color w:val="000000"/>
              </w:rPr>
              <w:t xml:space="preserve">bet </w:t>
            </w:r>
            <w:r w:rsidR="00D66C21">
              <w:rPr>
                <w:bCs/>
                <w:color w:val="000000"/>
              </w:rPr>
              <w:t>šobrīd</w:t>
            </w:r>
            <w:r w:rsidR="003D0DB2">
              <w:rPr>
                <w:bCs/>
                <w:color w:val="000000"/>
              </w:rPr>
              <w:t xml:space="preserve"> </w:t>
            </w:r>
            <w:r>
              <w:rPr>
                <w:bCs/>
                <w:color w:val="000000"/>
              </w:rPr>
              <w:t>3.4</w:t>
            </w:r>
            <w:r w:rsidR="00741C8D">
              <w:rPr>
                <w:bCs/>
                <w:color w:val="000000"/>
              </w:rPr>
              <w:t xml:space="preserve">.1.4.aktivitātes ietvaros turpinās </w:t>
            </w:r>
            <w:r w:rsidR="00D66C21">
              <w:rPr>
                <w:bCs/>
                <w:color w:val="000000"/>
              </w:rPr>
              <w:t>vairs tikai</w:t>
            </w:r>
            <w:r w:rsidR="00286A5F">
              <w:rPr>
                <w:bCs/>
                <w:color w:val="000000"/>
              </w:rPr>
              <w:t xml:space="preserve"> lielā</w:t>
            </w:r>
            <w:r w:rsidR="00D66C21">
              <w:rPr>
                <w:bCs/>
                <w:color w:val="000000"/>
              </w:rPr>
              <w:t xml:space="preserve"> projekta </w:t>
            </w:r>
            <w:r w:rsidRPr="00D66C21">
              <w:rPr>
                <w:bCs/>
                <w:color w:val="000000"/>
              </w:rPr>
              <w:t>“</w:t>
            </w:r>
            <w:r w:rsidR="00143676" w:rsidRPr="00D66C21">
              <w:rPr>
                <w:bCs/>
                <w:color w:val="000000"/>
              </w:rPr>
              <w:t>Vēsturiski piesārņoto vietu “</w:t>
            </w:r>
            <w:r w:rsidRPr="00D66C21">
              <w:rPr>
                <w:bCs/>
                <w:color w:val="000000"/>
              </w:rPr>
              <w:t xml:space="preserve">Inčukalna </w:t>
            </w:r>
            <w:proofErr w:type="spellStart"/>
            <w:r w:rsidRPr="00D66C21">
              <w:rPr>
                <w:bCs/>
                <w:color w:val="000000"/>
              </w:rPr>
              <w:t>sērskābie</w:t>
            </w:r>
            <w:proofErr w:type="spellEnd"/>
            <w:r w:rsidRPr="00D66C21">
              <w:rPr>
                <w:bCs/>
                <w:color w:val="000000"/>
              </w:rPr>
              <w:t xml:space="preserve"> gudrona dīķi” sanācijas darbi”</w:t>
            </w:r>
            <w:r w:rsidR="00D66C21">
              <w:rPr>
                <w:bCs/>
                <w:color w:val="000000"/>
              </w:rPr>
              <w:t xml:space="preserve"> (turpmāk – Inčukalna projekts) īstenošana. </w:t>
            </w:r>
          </w:p>
          <w:p w:rsidR="00EC1FE4" w:rsidRDefault="00D66C21" w:rsidP="00300781">
            <w:pPr>
              <w:spacing w:after="80"/>
              <w:ind w:right="74"/>
              <w:jc w:val="both"/>
              <w:rPr>
                <w:bCs/>
                <w:color w:val="000000"/>
              </w:rPr>
            </w:pPr>
            <w:r>
              <w:rPr>
                <w:bCs/>
                <w:color w:val="000000"/>
              </w:rPr>
              <w:t>Starp Valsts vides dienestu</w:t>
            </w:r>
            <w:r w:rsidR="003D0DB2">
              <w:rPr>
                <w:bCs/>
                <w:color w:val="000000"/>
              </w:rPr>
              <w:t xml:space="preserve"> (turpmāk – VVD)</w:t>
            </w:r>
            <w:r>
              <w:rPr>
                <w:bCs/>
                <w:color w:val="000000"/>
              </w:rPr>
              <w:t xml:space="preserve"> un SIA “Skonto būve” noslēgtais projektēšanas un sanācijas darbu līgums ir izbeigts 2015.gada 22.jūlijā. </w:t>
            </w:r>
            <w:r w:rsidR="004247AB">
              <w:rPr>
                <w:bCs/>
                <w:color w:val="000000"/>
              </w:rPr>
              <w:t>VARAM kā 3.4.1.4.aktivi</w:t>
            </w:r>
            <w:r w:rsidR="00A77016">
              <w:rPr>
                <w:bCs/>
                <w:color w:val="000000"/>
              </w:rPr>
              <w:t>t</w:t>
            </w:r>
            <w:r w:rsidR="004247AB">
              <w:rPr>
                <w:bCs/>
                <w:color w:val="000000"/>
              </w:rPr>
              <w:t xml:space="preserve">ātes atbildīgā iestāde </w:t>
            </w:r>
            <w:r>
              <w:rPr>
                <w:bCs/>
                <w:color w:val="000000"/>
              </w:rPr>
              <w:t xml:space="preserve">izstrādāja </w:t>
            </w:r>
            <w:r w:rsidR="00A77016">
              <w:rPr>
                <w:bCs/>
                <w:color w:val="000000"/>
              </w:rPr>
              <w:t xml:space="preserve">scenāriju </w:t>
            </w:r>
            <w:r w:rsidR="00A738E0">
              <w:rPr>
                <w:bCs/>
                <w:color w:val="000000"/>
              </w:rPr>
              <w:t>turpmākai Inčukalna</w:t>
            </w:r>
            <w:r w:rsidR="00DB4131">
              <w:rPr>
                <w:bCs/>
                <w:color w:val="000000"/>
              </w:rPr>
              <w:t xml:space="preserve"> </w:t>
            </w:r>
            <w:r w:rsidR="003A0EF8">
              <w:rPr>
                <w:bCs/>
                <w:color w:val="000000"/>
              </w:rPr>
              <w:t>projekta īstenošanai</w:t>
            </w:r>
            <w:r>
              <w:rPr>
                <w:bCs/>
                <w:color w:val="000000"/>
              </w:rPr>
              <w:t xml:space="preserve">, </w:t>
            </w:r>
            <w:r w:rsidR="00A77016">
              <w:rPr>
                <w:bCs/>
                <w:color w:val="000000"/>
              </w:rPr>
              <w:t xml:space="preserve">lai netiktu zaudēts </w:t>
            </w:r>
            <w:r w:rsidR="009A069B">
              <w:rPr>
                <w:bCs/>
                <w:color w:val="000000"/>
              </w:rPr>
              <w:t xml:space="preserve">Inčukalna </w:t>
            </w:r>
            <w:r w:rsidR="00A77016">
              <w:rPr>
                <w:bCs/>
                <w:color w:val="000000"/>
              </w:rPr>
              <w:t xml:space="preserve">projektā ieguldītais Eiropas Reģionālās attīstības fonda finansējums. </w:t>
            </w:r>
            <w:r w:rsidR="00A14182">
              <w:rPr>
                <w:bCs/>
                <w:color w:val="000000"/>
              </w:rPr>
              <w:t>Tamdēļ k</w:t>
            </w:r>
            <w:r w:rsidR="00A77016">
              <w:rPr>
                <w:bCs/>
                <w:color w:val="000000"/>
              </w:rPr>
              <w:t xml:space="preserve">ā </w:t>
            </w:r>
            <w:r w:rsidR="00972601">
              <w:rPr>
                <w:bCs/>
                <w:color w:val="000000"/>
              </w:rPr>
              <w:t>atbilstošs</w:t>
            </w:r>
            <w:r w:rsidR="00A77016">
              <w:rPr>
                <w:bCs/>
                <w:color w:val="000000"/>
              </w:rPr>
              <w:t xml:space="preserve"> no Eiropas Savienības fondu vadības </w:t>
            </w:r>
            <w:r w:rsidR="00DB4131">
              <w:rPr>
                <w:bCs/>
                <w:color w:val="000000"/>
              </w:rPr>
              <w:t xml:space="preserve">regulējuma viedokļa </w:t>
            </w:r>
            <w:r w:rsidR="00A77016">
              <w:rPr>
                <w:bCs/>
                <w:color w:val="000000"/>
              </w:rPr>
              <w:t xml:space="preserve">piemērojamais risinājums ir turpināt </w:t>
            </w:r>
            <w:r w:rsidR="00DB4131">
              <w:rPr>
                <w:bCs/>
                <w:color w:val="000000"/>
              </w:rPr>
              <w:t xml:space="preserve">Inčukalna </w:t>
            </w:r>
            <w:r w:rsidR="00A77016">
              <w:rPr>
                <w:bCs/>
                <w:color w:val="000000"/>
              </w:rPr>
              <w:t xml:space="preserve">projektu arī pēc 2015.gada 31.decembra, kad visas izmaksas, kas projektā rodas, tiek uzskatītas par </w:t>
            </w:r>
            <w:r w:rsidR="00A738E0">
              <w:rPr>
                <w:bCs/>
                <w:color w:val="000000"/>
              </w:rPr>
              <w:t>neattiecināmām atbilstoši</w:t>
            </w:r>
            <w:r w:rsidR="00972601">
              <w:rPr>
                <w:bCs/>
                <w:color w:val="000000"/>
              </w:rPr>
              <w:t xml:space="preserve"> Eiropas</w:t>
            </w:r>
            <w:r w:rsidR="00A77016">
              <w:rPr>
                <w:bCs/>
                <w:color w:val="000000"/>
              </w:rPr>
              <w:t xml:space="preserve"> Komisijas </w:t>
            </w:r>
            <w:r w:rsidR="00A738E0" w:rsidRPr="00B32411">
              <w:rPr>
                <w:bCs/>
                <w:i/>
                <w:color w:val="000000"/>
              </w:rPr>
              <w:t>Pamatnostādn</w:t>
            </w:r>
            <w:r w:rsidR="00A738E0">
              <w:rPr>
                <w:bCs/>
                <w:i/>
                <w:color w:val="000000"/>
              </w:rPr>
              <w:t>ēm</w:t>
            </w:r>
            <w:r w:rsidR="00A738E0" w:rsidRPr="00B32411">
              <w:rPr>
                <w:i/>
              </w:rPr>
              <w:t xml:space="preserve"> par</w:t>
            </w:r>
            <w:r w:rsidR="00A77016" w:rsidRPr="00B32411">
              <w:rPr>
                <w:i/>
              </w:rPr>
              <w:t xml:space="preserve"> to darbības programmu slēgšanu, kuras pieņemtas atbalsta saņemšanai no Eiropas Reģionālās attīstības fonda, Eiropas Sociālā fonda un Kohēzijas fonda (2007-2013)</w:t>
            </w:r>
            <w:r w:rsidR="00AF1763" w:rsidRPr="00AF1763">
              <w:t>(turpmāk – Pamatnostādnes)</w:t>
            </w:r>
            <w:r w:rsidR="00A77016" w:rsidRPr="00AF1763">
              <w:t>.</w:t>
            </w:r>
            <w:r w:rsidR="00A77016">
              <w:t xml:space="preserve"> Saskaņā ar </w:t>
            </w:r>
            <w:r w:rsidR="00EB51F3">
              <w:t>Pamatnostādnēm</w:t>
            </w:r>
            <w:r w:rsidR="00A77016">
              <w:t xml:space="preserve"> Inčukalna projekts iepriekš aplūkotajā gadījumā tiek uzskatīts par nefunkcionējošu, proti, tiek pieļauta </w:t>
            </w:r>
            <w:r w:rsidR="00DB4131">
              <w:t xml:space="preserve">tā </w:t>
            </w:r>
            <w:r w:rsidR="00A77016">
              <w:t>pabeigšana līdz 2019.gada 31.</w:t>
            </w:r>
            <w:r w:rsidR="008E68F0">
              <w:t>martam</w:t>
            </w:r>
            <w:r w:rsidR="00A77016">
              <w:t xml:space="preserve">, saņemot Eiropas Savienības fondu finansējuma atmaksu par tiem darbiem, kas paveikti līdz 2015.gada </w:t>
            </w:r>
            <w:r w:rsidR="00BE10FE">
              <w:t>31.decembrim</w:t>
            </w:r>
            <w:r w:rsidR="00A77016">
              <w:t>. Lai Inčukalna projektu varētu turpināt kā 2014.-2020.gada Eiropas Savienības finanšu plānošanas perioda projektu, ir</w:t>
            </w:r>
            <w:r w:rsidR="00A149CC">
              <w:t xml:space="preserve"> jāsaņem Eiropas Komisijas lēmums </w:t>
            </w:r>
            <w:r w:rsidR="00B61AA8">
              <w:t xml:space="preserve">par projekta dalīšanu </w:t>
            </w:r>
            <w:r w:rsidR="00B61AA8">
              <w:lastRenderedPageBreak/>
              <w:t xml:space="preserve">posmos </w:t>
            </w:r>
            <w:r w:rsidR="00A149CC">
              <w:t>un jāveic</w:t>
            </w:r>
            <w:r w:rsidR="00A77016">
              <w:t xml:space="preserve"> nepieciešam</w:t>
            </w:r>
            <w:r w:rsidR="00E01969">
              <w:t>ā</w:t>
            </w:r>
            <w:r w:rsidR="00A77016">
              <w:t xml:space="preserve">s izmaiņas </w:t>
            </w:r>
            <w:r w:rsidR="00DB4131">
              <w:t xml:space="preserve">jaunā plānošanas perioda </w:t>
            </w:r>
            <w:r w:rsidR="00A77016">
              <w:t>normatīvajā regulējumā</w:t>
            </w:r>
            <w:r w:rsidR="00A149CC">
              <w:t>.</w:t>
            </w:r>
          </w:p>
          <w:p w:rsidR="00EB51F3" w:rsidRDefault="00EC1FE4" w:rsidP="00B274FB">
            <w:pPr>
              <w:spacing w:after="120"/>
              <w:ind w:right="74"/>
              <w:jc w:val="both"/>
              <w:rPr>
                <w:bCs/>
                <w:color w:val="000000"/>
              </w:rPr>
            </w:pPr>
            <w:r>
              <w:rPr>
                <w:bCs/>
                <w:color w:val="000000"/>
              </w:rPr>
              <w:t>Tamdēļ situācijā, kad ir būtiski nodrošināt Inčukalna projekta īstenošan</w:t>
            </w:r>
            <w:r w:rsidR="00CD567F">
              <w:rPr>
                <w:bCs/>
                <w:color w:val="000000"/>
              </w:rPr>
              <w:t>as turpināšanu</w:t>
            </w:r>
            <w:r>
              <w:rPr>
                <w:bCs/>
                <w:color w:val="000000"/>
              </w:rPr>
              <w:t>,</w:t>
            </w:r>
            <w:r w:rsidR="00DC5828">
              <w:rPr>
                <w:bCs/>
                <w:color w:val="000000"/>
              </w:rPr>
              <w:t xml:space="preserve"> lai netiktu zaudēts Inčukalna projektā ieguldītais Eiropas Reģionālās attīstības fonda finansējums,</w:t>
            </w:r>
            <w:r>
              <w:rPr>
                <w:bCs/>
                <w:color w:val="000000"/>
              </w:rPr>
              <w:t xml:space="preserve"> MK 2015.gada 22.septembra sēdē (prot.Nr.50., 38.§) atļāva </w:t>
            </w:r>
            <w:r w:rsidR="003D0DB2">
              <w:rPr>
                <w:bCs/>
                <w:color w:val="000000"/>
              </w:rPr>
              <w:t>VVD</w:t>
            </w:r>
            <w:r>
              <w:rPr>
                <w:bCs/>
                <w:color w:val="000000"/>
              </w:rPr>
              <w:t xml:space="preserve"> uzņemties saistības projekta īstenošanas turpināšanai (prot.Nr.50., 38.§ 4.punkts), vienlaikus VARAM izvērtējot </w:t>
            </w:r>
            <w:r w:rsidR="00DB4131">
              <w:rPr>
                <w:bCs/>
                <w:color w:val="000000"/>
              </w:rPr>
              <w:t xml:space="preserve">Inčukalna </w:t>
            </w:r>
            <w:r>
              <w:rPr>
                <w:bCs/>
                <w:color w:val="000000"/>
              </w:rPr>
              <w:t xml:space="preserve">projekta tālāko īstenošanu, piesaistot Eiropas Savienības fondu 2014.-2020.gada plānošanas perioda finansējumu (pēc tam, kad tiks saņemts Eiropas Komisijas lēmums par </w:t>
            </w:r>
            <w:r w:rsidR="00DB4131">
              <w:rPr>
                <w:bCs/>
                <w:color w:val="000000"/>
              </w:rPr>
              <w:t xml:space="preserve">Inčukalna </w:t>
            </w:r>
            <w:r>
              <w:rPr>
                <w:bCs/>
                <w:color w:val="000000"/>
              </w:rPr>
              <w:t>projekta dalīšanu posmos).</w:t>
            </w:r>
            <w:r w:rsidR="00A738E0">
              <w:rPr>
                <w:bCs/>
                <w:color w:val="000000"/>
              </w:rPr>
              <w:t xml:space="preserve"> </w:t>
            </w:r>
            <w:r w:rsidR="002F0745">
              <w:rPr>
                <w:bCs/>
                <w:color w:val="000000"/>
              </w:rPr>
              <w:t xml:space="preserve">Šobrīd plānotais Eiropas Komisijai deklarējamais Inčukalna projekta 1.posma finansējuma apmērs ir 27 645 288 </w:t>
            </w:r>
            <w:proofErr w:type="spellStart"/>
            <w:r w:rsidR="002F0745" w:rsidRPr="002F0745">
              <w:rPr>
                <w:bCs/>
                <w:i/>
                <w:color w:val="000000"/>
              </w:rPr>
              <w:t>euro</w:t>
            </w:r>
            <w:proofErr w:type="spellEnd"/>
            <w:r w:rsidR="002F0745">
              <w:rPr>
                <w:bCs/>
                <w:color w:val="000000"/>
              </w:rPr>
              <w:t xml:space="preserve">, savukārt 2.posma </w:t>
            </w:r>
            <w:r w:rsidR="00865EB6">
              <w:rPr>
                <w:bCs/>
                <w:color w:val="000000"/>
              </w:rPr>
              <w:t>kopēj</w:t>
            </w:r>
            <w:r w:rsidR="00597DA1">
              <w:rPr>
                <w:bCs/>
                <w:color w:val="000000"/>
              </w:rPr>
              <w:t xml:space="preserve">ās </w:t>
            </w:r>
            <w:r w:rsidR="00A738E0" w:rsidRPr="002A3E04">
              <w:rPr>
                <w:bCs/>
                <w:color w:val="000000"/>
              </w:rPr>
              <w:t>maksimālās indikatīvās</w:t>
            </w:r>
            <w:r w:rsidR="00A738E0">
              <w:rPr>
                <w:bCs/>
                <w:color w:val="000000"/>
              </w:rPr>
              <w:t xml:space="preserve"> </w:t>
            </w:r>
            <w:r w:rsidR="00597DA1">
              <w:rPr>
                <w:bCs/>
                <w:color w:val="000000"/>
              </w:rPr>
              <w:t>izmaksas šobrīd noteiktas ~25,5 miljonu</w:t>
            </w:r>
            <w:r w:rsidR="00A738E0">
              <w:rPr>
                <w:bCs/>
                <w:color w:val="000000"/>
              </w:rPr>
              <w:t xml:space="preserve"> </w:t>
            </w:r>
            <w:proofErr w:type="spellStart"/>
            <w:r w:rsidR="00865EB6" w:rsidRPr="00865EB6">
              <w:rPr>
                <w:bCs/>
                <w:i/>
                <w:color w:val="000000"/>
              </w:rPr>
              <w:t>euro</w:t>
            </w:r>
            <w:proofErr w:type="spellEnd"/>
            <w:r w:rsidR="00865EB6">
              <w:rPr>
                <w:bCs/>
                <w:color w:val="000000"/>
              </w:rPr>
              <w:t xml:space="preserve"> apmērā</w:t>
            </w:r>
            <w:r w:rsidR="00597DA1">
              <w:rPr>
                <w:bCs/>
                <w:color w:val="000000"/>
              </w:rPr>
              <w:t xml:space="preserve"> (faktiskās izmaksas noteiks iepirkuma procedūru rezultāti)</w:t>
            </w:r>
            <w:r w:rsidR="00865EB6">
              <w:rPr>
                <w:bCs/>
                <w:color w:val="000000"/>
              </w:rPr>
              <w:t>.</w:t>
            </w:r>
          </w:p>
          <w:p w:rsidR="002A3E04" w:rsidRPr="008B7490" w:rsidRDefault="00EC1FE4" w:rsidP="00300781">
            <w:pPr>
              <w:spacing w:after="80"/>
              <w:ind w:right="74"/>
              <w:jc w:val="both"/>
              <w:rPr>
                <w:bCs/>
                <w:color w:val="FF0000"/>
                <w:sz w:val="28"/>
              </w:rPr>
            </w:pPr>
            <w:r>
              <w:rPr>
                <w:bCs/>
                <w:color w:val="000000"/>
              </w:rPr>
              <w:t xml:space="preserve">Pamatojoties uz augstāk minēto, </w:t>
            </w:r>
            <w:r w:rsidR="00702362">
              <w:rPr>
                <w:bCs/>
                <w:color w:val="000000"/>
              </w:rPr>
              <w:t xml:space="preserve">VARAM ir izstrādājusi šo noteikumu projektu, kas </w:t>
            </w:r>
            <w:r w:rsidR="00081692">
              <w:rPr>
                <w:bCs/>
                <w:color w:val="000000"/>
              </w:rPr>
              <w:t xml:space="preserve">paredz </w:t>
            </w:r>
            <w:r w:rsidRPr="00723328">
              <w:rPr>
                <w:bCs/>
                <w:color w:val="000000"/>
              </w:rPr>
              <w:t>turpināt Inčukalna projekta īstenošan</w:t>
            </w:r>
            <w:r w:rsidR="00CD567F">
              <w:rPr>
                <w:bCs/>
                <w:color w:val="000000"/>
              </w:rPr>
              <w:t>as</w:t>
            </w:r>
            <w:r w:rsidRPr="00723328">
              <w:rPr>
                <w:bCs/>
                <w:color w:val="000000"/>
              </w:rPr>
              <w:t xml:space="preserve"> </w:t>
            </w:r>
            <w:r w:rsidR="00CD567F">
              <w:rPr>
                <w:bCs/>
                <w:color w:val="000000"/>
              </w:rPr>
              <w:t xml:space="preserve">turpināšanu </w:t>
            </w:r>
            <w:r w:rsidRPr="00723328">
              <w:rPr>
                <w:bCs/>
                <w:color w:val="000000"/>
              </w:rPr>
              <w:t xml:space="preserve"> pēc 2015.gada 31.decembra</w:t>
            </w:r>
            <w:r w:rsidR="00A738E0">
              <w:rPr>
                <w:bCs/>
                <w:color w:val="000000"/>
              </w:rPr>
              <w:t xml:space="preserve"> </w:t>
            </w:r>
            <w:r w:rsidR="008E68F0" w:rsidRPr="008E68F0">
              <w:rPr>
                <w:bCs/>
                <w:color w:val="000000"/>
              </w:rPr>
              <w:t>(noteikumu projekta 6.punkts)</w:t>
            </w:r>
            <w:r w:rsidR="00CD567F">
              <w:rPr>
                <w:bCs/>
                <w:color w:val="000000"/>
              </w:rPr>
              <w:t xml:space="preserve"> līdz 2.posma projekta apstiprināšanai Eiropas Savienības fondu 2014.-2020.gada plānošanas perioda ietvaros</w:t>
            </w:r>
            <w:r w:rsidR="00081692">
              <w:rPr>
                <w:bCs/>
                <w:color w:val="000000"/>
              </w:rPr>
              <w:t xml:space="preserve">. </w:t>
            </w:r>
            <w:r w:rsidR="007A5A4F">
              <w:rPr>
                <w:bCs/>
                <w:color w:val="000000"/>
              </w:rPr>
              <w:t xml:space="preserve">Saskaņā ar Pamatnostādnēm šobrīd Inčukalna projekts tiek noteikts kā nefunkcionāls projekts un tā īstenošana jāpabeidz divu gadu laikā pēc darbības programmas “Infrastruktūra un pakalpojumi” slēgšanas dokumentu iesniegšanas termiņa – </w:t>
            </w:r>
            <w:r w:rsidR="00BE10FE">
              <w:rPr>
                <w:bCs/>
                <w:color w:val="000000"/>
              </w:rPr>
              <w:t xml:space="preserve">līdz </w:t>
            </w:r>
            <w:r w:rsidR="007A5A4F">
              <w:rPr>
                <w:bCs/>
                <w:color w:val="000000"/>
              </w:rPr>
              <w:t xml:space="preserve">2019.gada 31.martam. </w:t>
            </w:r>
            <w:r w:rsidR="00AF1763">
              <w:rPr>
                <w:bCs/>
                <w:color w:val="000000"/>
              </w:rPr>
              <w:t>Inčukalna projekta mērķis netiks sasniegts 2007.-2013.gada plānošanas perioda ietvaros līdz 2019.gada 31.martam</w:t>
            </w:r>
            <w:r w:rsidR="00DC5828">
              <w:rPr>
                <w:bCs/>
                <w:color w:val="000000"/>
              </w:rPr>
              <w:t>,</w:t>
            </w:r>
            <w:r w:rsidR="00CD567F">
              <w:rPr>
                <w:bCs/>
                <w:color w:val="000000"/>
              </w:rPr>
              <w:t xml:space="preserve"> </w:t>
            </w:r>
            <w:r w:rsidR="00DC5828">
              <w:rPr>
                <w:bCs/>
                <w:color w:val="000000"/>
              </w:rPr>
              <w:t>tāpēc</w:t>
            </w:r>
            <w:r w:rsidR="00CD567F">
              <w:rPr>
                <w:bCs/>
                <w:color w:val="000000"/>
              </w:rPr>
              <w:t xml:space="preserve"> </w:t>
            </w:r>
            <w:r w:rsidR="00DC5828">
              <w:rPr>
                <w:bCs/>
                <w:color w:val="000000"/>
              </w:rPr>
              <w:t>a</w:t>
            </w:r>
            <w:r w:rsidR="00AF1763">
              <w:rPr>
                <w:bCs/>
                <w:color w:val="000000"/>
              </w:rPr>
              <w:t xml:space="preserve">tbilstoši Pamatnostādnēm </w:t>
            </w:r>
            <w:r w:rsidR="009E32B5">
              <w:rPr>
                <w:bCs/>
                <w:color w:val="000000"/>
              </w:rPr>
              <w:t xml:space="preserve">Eiropas Komisijā </w:t>
            </w:r>
            <w:r w:rsidR="00BE10FE">
              <w:rPr>
                <w:bCs/>
                <w:color w:val="000000"/>
              </w:rPr>
              <w:t>ir iesniegts</w:t>
            </w:r>
            <w:r w:rsidR="009E32B5">
              <w:rPr>
                <w:bCs/>
                <w:color w:val="000000"/>
              </w:rPr>
              <w:t xml:space="preserve"> un tiek </w:t>
            </w:r>
            <w:r w:rsidR="00A738E0">
              <w:rPr>
                <w:bCs/>
                <w:color w:val="000000"/>
              </w:rPr>
              <w:t>gaidīts lēmums</w:t>
            </w:r>
            <w:r w:rsidR="008E68F0">
              <w:rPr>
                <w:bCs/>
                <w:color w:val="000000"/>
              </w:rPr>
              <w:t xml:space="preserve"> par Inčukalna </w:t>
            </w:r>
            <w:r w:rsidR="00A738E0">
              <w:rPr>
                <w:bCs/>
                <w:color w:val="000000"/>
              </w:rPr>
              <w:t>projekta dalīšanu</w:t>
            </w:r>
            <w:r w:rsidR="00AF1763">
              <w:rPr>
                <w:bCs/>
                <w:color w:val="000000"/>
              </w:rPr>
              <w:t xml:space="preserve"> posmos</w:t>
            </w:r>
            <w:r w:rsidR="008E68F0">
              <w:rPr>
                <w:bCs/>
                <w:color w:val="000000"/>
              </w:rPr>
              <w:t>, lai to p</w:t>
            </w:r>
            <w:r w:rsidR="00AF1763">
              <w:rPr>
                <w:bCs/>
                <w:color w:val="000000"/>
              </w:rPr>
              <w:t>abeigt</w:t>
            </w:r>
            <w:r w:rsidR="008E68F0">
              <w:rPr>
                <w:bCs/>
                <w:color w:val="000000"/>
              </w:rPr>
              <w:t xml:space="preserve">u </w:t>
            </w:r>
            <w:r w:rsidR="00AF1763">
              <w:rPr>
                <w:bCs/>
                <w:color w:val="000000"/>
              </w:rPr>
              <w:t xml:space="preserve">2014.-2020.gada plānošanas perioda </w:t>
            </w:r>
            <w:r w:rsidR="00A738E0">
              <w:rPr>
                <w:bCs/>
                <w:color w:val="000000"/>
              </w:rPr>
              <w:t xml:space="preserve">ietvaros. </w:t>
            </w:r>
            <w:r w:rsidR="00A738E0" w:rsidRPr="002A3E04">
              <w:rPr>
                <w:bCs/>
                <w:color w:val="000000"/>
              </w:rPr>
              <w:t>VARAM</w:t>
            </w:r>
            <w:r w:rsidR="0000228D" w:rsidRPr="002A3E04">
              <w:rPr>
                <w:bCs/>
                <w:color w:val="000000"/>
              </w:rPr>
              <w:t xml:space="preserve"> apliecina, ka </w:t>
            </w:r>
            <w:r w:rsidR="00CD567F" w:rsidRPr="002A3E04">
              <w:rPr>
                <w:bCs/>
                <w:color w:val="000000"/>
              </w:rPr>
              <w:t>atbilstoš</w:t>
            </w:r>
            <w:r w:rsidR="001A3E16" w:rsidRPr="002A3E04">
              <w:rPr>
                <w:bCs/>
                <w:color w:val="000000"/>
              </w:rPr>
              <w:t xml:space="preserve">i </w:t>
            </w:r>
            <w:r w:rsidR="00672E35">
              <w:rPr>
                <w:bCs/>
                <w:color w:val="000000"/>
              </w:rPr>
              <w:t>MK</w:t>
            </w:r>
            <w:r w:rsidR="00CD567F" w:rsidRPr="002A3E04">
              <w:rPr>
                <w:bCs/>
                <w:color w:val="000000"/>
              </w:rPr>
              <w:t xml:space="preserve"> dotajam uzdevumam </w:t>
            </w:r>
            <w:r w:rsidR="001A3E16" w:rsidRPr="002A3E04">
              <w:rPr>
                <w:bCs/>
                <w:color w:val="000000"/>
              </w:rPr>
              <w:t>(</w:t>
            </w:r>
            <w:r w:rsidR="002A3E04" w:rsidRPr="002A3E04">
              <w:rPr>
                <w:bCs/>
                <w:color w:val="000000"/>
              </w:rPr>
              <w:t>MK 2015.gada 22.septembra sēdes protokols Nr.50, 38</w:t>
            </w:r>
            <w:r w:rsidR="00672E35">
              <w:rPr>
                <w:bCs/>
                <w:color w:val="000000"/>
              </w:rPr>
              <w:t>.§</w:t>
            </w:r>
            <w:r w:rsidR="001A3E16" w:rsidRPr="002A3E04">
              <w:rPr>
                <w:bCs/>
                <w:color w:val="000000"/>
              </w:rPr>
              <w:t>)</w:t>
            </w:r>
            <w:r w:rsidR="00CD567F" w:rsidRPr="002A3E04">
              <w:rPr>
                <w:bCs/>
                <w:color w:val="000000"/>
              </w:rPr>
              <w:t xml:space="preserve"> līdz 2016.gada beigām</w:t>
            </w:r>
            <w:r w:rsidR="002A3E04" w:rsidRPr="002A3E04">
              <w:rPr>
                <w:bCs/>
                <w:color w:val="000000"/>
              </w:rPr>
              <w:t xml:space="preserve"> izvērtēs un noteiktā kārtībā</w:t>
            </w:r>
            <w:r w:rsidR="00CD567F" w:rsidRPr="002A3E04">
              <w:rPr>
                <w:bCs/>
                <w:color w:val="000000"/>
              </w:rPr>
              <w:t xml:space="preserve"> </w:t>
            </w:r>
            <w:r w:rsidR="002A3E04" w:rsidRPr="002A3E04">
              <w:rPr>
                <w:bCs/>
                <w:color w:val="000000"/>
              </w:rPr>
              <w:t>iesnieg</w:t>
            </w:r>
            <w:r w:rsidR="002A3E04">
              <w:rPr>
                <w:bCs/>
                <w:color w:val="000000"/>
              </w:rPr>
              <w:t>s</w:t>
            </w:r>
            <w:r w:rsidR="002A3E04" w:rsidRPr="002A3E04">
              <w:rPr>
                <w:bCs/>
                <w:color w:val="000000"/>
              </w:rPr>
              <w:t xml:space="preserve"> </w:t>
            </w:r>
            <w:r w:rsidR="002A3E04">
              <w:rPr>
                <w:bCs/>
                <w:color w:val="000000"/>
              </w:rPr>
              <w:t>MK</w:t>
            </w:r>
            <w:r w:rsidR="002A3E04" w:rsidRPr="002A3E04">
              <w:rPr>
                <w:bCs/>
                <w:color w:val="000000"/>
              </w:rPr>
              <w:t xml:space="preserve"> priekšlikumu </w:t>
            </w:r>
            <w:r w:rsidR="00672E35">
              <w:rPr>
                <w:bCs/>
                <w:color w:val="000000"/>
              </w:rPr>
              <w:t>Inčukalna p</w:t>
            </w:r>
            <w:r w:rsidR="002A3E04" w:rsidRPr="002A3E04">
              <w:rPr>
                <w:bCs/>
                <w:color w:val="000000"/>
              </w:rPr>
              <w:t xml:space="preserve">rojekta pabeigšanas finansēšanai Eiropas Savienības fondu 2014.-2020.gada plānošanas perioda ietvaros, kas ir ar mazāko iespējamo negatīvo ietekmi uz valsts budžetu, prioritāri kā finanšu avotu izvērtējot </w:t>
            </w:r>
            <w:r w:rsidR="00672E35">
              <w:rPr>
                <w:bCs/>
                <w:color w:val="000000"/>
              </w:rPr>
              <w:t>VARAM</w:t>
            </w:r>
            <w:r w:rsidR="002A3E04" w:rsidRPr="002A3E04">
              <w:rPr>
                <w:bCs/>
                <w:color w:val="000000"/>
              </w:rPr>
              <w:t xml:space="preserve"> kā Eiropas Savienības fondu 2014.-2020.gada plānošanas perioda atbildīgajai iestādei pieejamo finansējumu.</w:t>
            </w:r>
            <w:r w:rsidR="008B7490">
              <w:rPr>
                <w:bCs/>
                <w:color w:val="000000"/>
              </w:rPr>
              <w:t xml:space="preserve"> </w:t>
            </w:r>
          </w:p>
          <w:p w:rsidR="007457FB" w:rsidRDefault="0085417B" w:rsidP="00300781">
            <w:pPr>
              <w:spacing w:after="80"/>
              <w:ind w:right="74"/>
              <w:jc w:val="both"/>
              <w:rPr>
                <w:bCs/>
                <w:color w:val="000000"/>
              </w:rPr>
            </w:pPr>
            <w:r>
              <w:rPr>
                <w:bCs/>
                <w:color w:val="000000"/>
              </w:rPr>
              <w:t>N</w:t>
            </w:r>
            <w:r w:rsidR="00081692">
              <w:rPr>
                <w:bCs/>
                <w:color w:val="000000"/>
              </w:rPr>
              <w:t xml:space="preserve">oteikumu projekts paredz </w:t>
            </w:r>
            <w:r w:rsidR="00081692" w:rsidRPr="0093134E">
              <w:rPr>
                <w:bCs/>
                <w:color w:val="000000"/>
              </w:rPr>
              <w:t>neattiecināmās izmaksas</w:t>
            </w:r>
            <w:r w:rsidR="00495570">
              <w:rPr>
                <w:bCs/>
                <w:color w:val="000000"/>
              </w:rPr>
              <w:t xml:space="preserve"> (noteikumu projekta 4., 5.punkts)</w:t>
            </w:r>
            <w:r>
              <w:rPr>
                <w:bCs/>
                <w:color w:val="000000"/>
              </w:rPr>
              <w:t xml:space="preserve"> un </w:t>
            </w:r>
            <w:r w:rsidR="00081692" w:rsidRPr="0093134E">
              <w:rPr>
                <w:bCs/>
                <w:color w:val="000000"/>
              </w:rPr>
              <w:t>tās saskaņā ar MK 2010.gada 18.maija noteikumu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057DC2">
              <w:rPr>
                <w:bCs/>
                <w:color w:val="000000"/>
              </w:rPr>
              <w:t xml:space="preserve"> (turpmāk – MK noteikumi Nr.464)</w:t>
            </w:r>
            <w:r w:rsidR="00081692" w:rsidRPr="0093134E">
              <w:rPr>
                <w:bCs/>
                <w:color w:val="000000"/>
              </w:rPr>
              <w:t xml:space="preserve"> 3.punktu var tikt finansētas no valsts budžeta 80.00.00 programmas “Nesadalītais finansējums Eiropas Savienības politiku instrumentu un pārējās ārvalstu finanšu palīdzības līdzfinansēto</w:t>
            </w:r>
            <w:r w:rsidR="00081692">
              <w:rPr>
                <w:bCs/>
                <w:color w:val="000000"/>
              </w:rPr>
              <w:t xml:space="preserve"> projektu un pasākumu īstenošanai”. </w:t>
            </w:r>
            <w:r w:rsidR="0093134E">
              <w:rPr>
                <w:bCs/>
                <w:color w:val="000000"/>
              </w:rPr>
              <w:t xml:space="preserve">Izmaiņu veikšana neattiecināmo izmaksu grupā, kas ietvertas noteikumu projektā, nav uzskatāma par tiesiskās vienlīdzības principa pārkāpumu, jo visos </w:t>
            </w:r>
            <w:r w:rsidR="0093134E">
              <w:rPr>
                <w:bCs/>
                <w:color w:val="000000"/>
              </w:rPr>
              <w:lastRenderedPageBreak/>
              <w:t>pārējos 3.4.1.4.aktivitātes projektos nav konstatētas vajadzības finansēt šādas izmaksas un plānotās izmaiņas attiektos tikai uz lielo projektu, kas pēc būt</w:t>
            </w:r>
            <w:r w:rsidR="00E374BA">
              <w:rPr>
                <w:bCs/>
                <w:color w:val="000000"/>
              </w:rPr>
              <w:t xml:space="preserve">ības ir kompleksu darbību kopa, kas prasa </w:t>
            </w:r>
            <w:r w:rsidR="007457FB">
              <w:rPr>
                <w:bCs/>
                <w:color w:val="000000"/>
              </w:rPr>
              <w:t>projektam pielāgotus</w:t>
            </w:r>
            <w:r w:rsidR="00E374BA">
              <w:rPr>
                <w:bCs/>
                <w:color w:val="000000"/>
              </w:rPr>
              <w:t xml:space="preserve"> risinājumus</w:t>
            </w:r>
            <w:r w:rsidR="00B074D0">
              <w:rPr>
                <w:bCs/>
                <w:color w:val="000000"/>
              </w:rPr>
              <w:t xml:space="preserve"> un individuālu pieeju</w:t>
            </w:r>
            <w:r w:rsidR="0093134E">
              <w:rPr>
                <w:bCs/>
                <w:color w:val="000000"/>
              </w:rPr>
              <w:t>.</w:t>
            </w:r>
            <w:r w:rsidR="000E3990">
              <w:rPr>
                <w:bCs/>
                <w:color w:val="000000"/>
              </w:rPr>
              <w:t xml:space="preserve"> Skaidrojam, ka 3.4.1.4.aktivitātē projektu iesniegumu atlase noteikta kā ierobežota</w:t>
            </w:r>
            <w:r w:rsidR="00416E96">
              <w:rPr>
                <w:bCs/>
                <w:color w:val="000000"/>
              </w:rPr>
              <w:t xml:space="preserve">, kas pamatā nozīmē zināmu projektu iesniedzēju loku ar pamatotiem apsvērumiem </w:t>
            </w:r>
            <w:r w:rsidR="00CD647D">
              <w:rPr>
                <w:bCs/>
                <w:color w:val="000000"/>
              </w:rPr>
              <w:t>to</w:t>
            </w:r>
            <w:r w:rsidR="00416E96">
              <w:rPr>
                <w:bCs/>
                <w:color w:val="000000"/>
              </w:rPr>
              <w:t xml:space="preserve"> ierobežošanai</w:t>
            </w:r>
            <w:r w:rsidR="00CD647D">
              <w:rPr>
                <w:bCs/>
                <w:color w:val="000000"/>
              </w:rPr>
              <w:t>.</w:t>
            </w:r>
            <w:r w:rsidR="00A738E0">
              <w:rPr>
                <w:bCs/>
                <w:color w:val="000000"/>
              </w:rPr>
              <w:t xml:space="preserve"> </w:t>
            </w:r>
            <w:r w:rsidR="007457FB">
              <w:rPr>
                <w:bCs/>
                <w:color w:val="000000"/>
              </w:rPr>
              <w:t>Lai arī sākotnēj</w:t>
            </w:r>
            <w:r w:rsidR="00D650C0">
              <w:rPr>
                <w:bCs/>
                <w:color w:val="000000"/>
              </w:rPr>
              <w:t xml:space="preserve">ā MK </w:t>
            </w:r>
            <w:r w:rsidR="007457FB" w:rsidRPr="008408E8">
              <w:rPr>
                <w:bCs/>
                <w:color w:val="000000"/>
              </w:rPr>
              <w:t>2</w:t>
            </w:r>
            <w:r w:rsidR="00D650C0">
              <w:rPr>
                <w:bCs/>
                <w:color w:val="000000"/>
              </w:rPr>
              <w:t>008.gada 30.septembra noteikumu redakcijā</w:t>
            </w:r>
            <w:r w:rsidR="007457FB" w:rsidRPr="008408E8">
              <w:rPr>
                <w:bCs/>
                <w:color w:val="000000"/>
              </w:rPr>
              <w:t xml:space="preserve"> Nr.817 “Noteikumi par darbības programmas “Infrastruktūra un pakalpojumi” papildinājuma 3.4.1.4.aktivitāti “Vēsturiski piesārņoto vietu sanācija”””</w:t>
            </w:r>
            <w:r w:rsidR="007457FB">
              <w:rPr>
                <w:bCs/>
                <w:color w:val="000000"/>
              </w:rPr>
              <w:t xml:space="preserve"> (turpmāk – MK noteikumi Nr.817)</w:t>
            </w:r>
            <w:r w:rsidR="00D650C0">
              <w:rPr>
                <w:bCs/>
                <w:color w:val="000000"/>
              </w:rPr>
              <w:t xml:space="preserve"> savulaik bija iekļauta nodaļa par neattiecināmajām izmaksām un </w:t>
            </w:r>
            <w:r w:rsidR="00DB4131">
              <w:rPr>
                <w:bCs/>
                <w:color w:val="000000"/>
              </w:rPr>
              <w:t xml:space="preserve">līdz ar 2010.gada 20.jūlija grozījumiem MK noteikumos Nr.817 </w:t>
            </w:r>
            <w:r w:rsidR="00D650C0">
              <w:rPr>
                <w:bCs/>
                <w:color w:val="000000"/>
              </w:rPr>
              <w:t>svītrota</w:t>
            </w:r>
            <w:r w:rsidR="00DB4131">
              <w:rPr>
                <w:bCs/>
                <w:color w:val="000000"/>
              </w:rPr>
              <w:t xml:space="preserve"> (</w:t>
            </w:r>
            <w:r w:rsidR="00D650C0">
              <w:rPr>
                <w:bCs/>
                <w:color w:val="000000"/>
              </w:rPr>
              <w:t xml:space="preserve">pamatojoties uz MK 2009.gada 26.maija sēdes </w:t>
            </w:r>
            <w:r w:rsidR="00057DC2">
              <w:rPr>
                <w:bCs/>
                <w:color w:val="000000"/>
              </w:rPr>
              <w:t xml:space="preserve">protokola </w:t>
            </w:r>
            <w:r w:rsidR="00D650C0">
              <w:rPr>
                <w:bCs/>
                <w:color w:val="000000"/>
              </w:rPr>
              <w:t>Nr.33 56.§ 8.punktu</w:t>
            </w:r>
            <w:r w:rsidR="00DB4131">
              <w:rPr>
                <w:bCs/>
                <w:color w:val="000000"/>
              </w:rPr>
              <w:t>)</w:t>
            </w:r>
            <w:r w:rsidR="00D650C0">
              <w:rPr>
                <w:bCs/>
                <w:color w:val="000000"/>
              </w:rPr>
              <w:t>,</w:t>
            </w:r>
            <w:r>
              <w:rPr>
                <w:bCs/>
                <w:color w:val="000000"/>
              </w:rPr>
              <w:t xml:space="preserve"> līdz ar iepriekš minēto MK noteikumu Nr.464 stāšanos spēkā valsts budžeta iestādēm Eiropas Savienības projektos var plānot neattiecināmo izmaksu segšanu.</w:t>
            </w:r>
          </w:p>
          <w:p w:rsidR="00F50128" w:rsidRDefault="00575D83" w:rsidP="00300781">
            <w:pPr>
              <w:spacing w:after="80"/>
              <w:ind w:right="74"/>
              <w:jc w:val="both"/>
              <w:rPr>
                <w:bCs/>
                <w:color w:val="000000"/>
              </w:rPr>
            </w:pPr>
            <w:r>
              <w:rPr>
                <w:bCs/>
                <w:color w:val="000000"/>
              </w:rPr>
              <w:t xml:space="preserve">Ņemot vērā Inčukalna projekta ieviešanas gaitas </w:t>
            </w:r>
            <w:r w:rsidR="004F1C1B">
              <w:rPr>
                <w:bCs/>
                <w:color w:val="000000"/>
              </w:rPr>
              <w:t>sarežģīto raksturu</w:t>
            </w:r>
            <w:r>
              <w:rPr>
                <w:bCs/>
                <w:color w:val="000000"/>
              </w:rPr>
              <w:t xml:space="preserve"> un</w:t>
            </w:r>
            <w:r w:rsidR="008408E8">
              <w:rPr>
                <w:bCs/>
                <w:color w:val="000000"/>
              </w:rPr>
              <w:t xml:space="preserve"> iespējamos</w:t>
            </w:r>
            <w:r>
              <w:rPr>
                <w:bCs/>
                <w:color w:val="000000"/>
              </w:rPr>
              <w:t xml:space="preserve"> tālākos attīstības scenārijus, lai nodrošinātu </w:t>
            </w:r>
            <w:r w:rsidR="008408E8" w:rsidRPr="00403225">
              <w:rPr>
                <w:bCs/>
                <w:color w:val="000000"/>
              </w:rPr>
              <w:t xml:space="preserve">efektīvu </w:t>
            </w:r>
            <w:r w:rsidRPr="00403225">
              <w:rPr>
                <w:bCs/>
                <w:color w:val="000000"/>
              </w:rPr>
              <w:t xml:space="preserve">valsts interešu pārstāvību sanācijas darbu līguma izbeigšanas procesā un tiesvedībā ar </w:t>
            </w:r>
            <w:r w:rsidR="00790E8F">
              <w:rPr>
                <w:bCs/>
                <w:color w:val="000000"/>
              </w:rPr>
              <w:t xml:space="preserve">iepriekšējo </w:t>
            </w:r>
            <w:r w:rsidRPr="00403225">
              <w:rPr>
                <w:bCs/>
                <w:color w:val="000000"/>
              </w:rPr>
              <w:t xml:space="preserve">būvdarbu veicēju un </w:t>
            </w:r>
            <w:r w:rsidR="001C38ED">
              <w:rPr>
                <w:bCs/>
                <w:color w:val="000000"/>
              </w:rPr>
              <w:t xml:space="preserve">iespējams </w:t>
            </w:r>
            <w:r w:rsidRPr="00403225">
              <w:rPr>
                <w:bCs/>
                <w:color w:val="000000"/>
              </w:rPr>
              <w:t xml:space="preserve">citām </w:t>
            </w:r>
            <w:r w:rsidR="009A069B" w:rsidRPr="00403225">
              <w:rPr>
                <w:bCs/>
                <w:color w:val="000000"/>
              </w:rPr>
              <w:t xml:space="preserve">Inčukalna </w:t>
            </w:r>
            <w:r w:rsidR="00057DC2" w:rsidRPr="00403225">
              <w:rPr>
                <w:bCs/>
                <w:color w:val="000000"/>
              </w:rPr>
              <w:t xml:space="preserve">projekta īstenošanā </w:t>
            </w:r>
            <w:r w:rsidRPr="00403225">
              <w:rPr>
                <w:bCs/>
                <w:color w:val="000000"/>
              </w:rPr>
              <w:t>iesaistītajām pusēm, jautājumos, kas saistīti ar sa</w:t>
            </w:r>
            <w:r w:rsidR="00790E8F">
              <w:rPr>
                <w:bCs/>
                <w:color w:val="000000"/>
              </w:rPr>
              <w:t>nācijas darbu līguma izbeigšanu,</w:t>
            </w:r>
            <w:r w:rsidR="00A738E0">
              <w:rPr>
                <w:bCs/>
                <w:color w:val="000000"/>
              </w:rPr>
              <w:t xml:space="preserve"> </w:t>
            </w:r>
            <w:r w:rsidR="00366C87" w:rsidRPr="00403225">
              <w:rPr>
                <w:bCs/>
                <w:color w:val="000000"/>
              </w:rPr>
              <w:t xml:space="preserve">kā atsevišķu </w:t>
            </w:r>
            <w:r w:rsidR="007F4187" w:rsidRPr="00403225">
              <w:rPr>
                <w:bCs/>
                <w:color w:val="000000"/>
              </w:rPr>
              <w:t>ne</w:t>
            </w:r>
            <w:r w:rsidR="00366C87" w:rsidRPr="00403225">
              <w:rPr>
                <w:bCs/>
                <w:color w:val="000000"/>
              </w:rPr>
              <w:t>attiecināmo izdevumu pozīciju</w:t>
            </w:r>
            <w:r w:rsidR="00A738E0">
              <w:rPr>
                <w:bCs/>
                <w:color w:val="000000"/>
              </w:rPr>
              <w:t xml:space="preserve"> </w:t>
            </w:r>
            <w:r w:rsidR="00B074D0" w:rsidRPr="00403225">
              <w:rPr>
                <w:bCs/>
                <w:color w:val="000000"/>
              </w:rPr>
              <w:t>MK noteikumos</w:t>
            </w:r>
            <w:r w:rsidR="008408E8" w:rsidRPr="00403225">
              <w:rPr>
                <w:bCs/>
                <w:color w:val="000000"/>
              </w:rPr>
              <w:t xml:space="preserve"> Nr.817</w:t>
            </w:r>
            <w:r w:rsidR="00A738E0">
              <w:rPr>
                <w:bCs/>
                <w:color w:val="000000"/>
              </w:rPr>
              <w:t xml:space="preserve"> </w:t>
            </w:r>
            <w:r w:rsidR="00366C87" w:rsidRPr="00403225">
              <w:rPr>
                <w:bCs/>
                <w:color w:val="000000"/>
              </w:rPr>
              <w:t xml:space="preserve">nepieciešams iekļaut </w:t>
            </w:r>
            <w:r w:rsidR="001F1CD3" w:rsidRPr="00403225">
              <w:rPr>
                <w:bCs/>
                <w:color w:val="000000"/>
              </w:rPr>
              <w:t xml:space="preserve">juridisko pakalpojumu izmaksas. </w:t>
            </w:r>
            <w:r w:rsidR="00366C87" w:rsidRPr="00403225">
              <w:rPr>
                <w:bCs/>
                <w:color w:val="000000"/>
              </w:rPr>
              <w:t xml:space="preserve">Saskaņā ar </w:t>
            </w:r>
            <w:r w:rsidR="008E02F2" w:rsidRPr="00403225">
              <w:rPr>
                <w:bCs/>
                <w:color w:val="000000"/>
              </w:rPr>
              <w:t>Inčukalna projekta</w:t>
            </w:r>
            <w:r w:rsidR="00366C87" w:rsidRPr="00403225">
              <w:rPr>
                <w:bCs/>
                <w:color w:val="000000"/>
              </w:rPr>
              <w:t xml:space="preserve"> īstenotāja</w:t>
            </w:r>
            <w:r w:rsidR="005419CC" w:rsidRPr="00403225">
              <w:rPr>
                <w:bCs/>
                <w:color w:val="000000"/>
              </w:rPr>
              <w:t xml:space="preserve"> </w:t>
            </w:r>
            <w:r w:rsidR="003D0DB2">
              <w:rPr>
                <w:bCs/>
                <w:color w:val="000000"/>
              </w:rPr>
              <w:t>VVD</w:t>
            </w:r>
            <w:r w:rsidR="00366C87" w:rsidRPr="00403225">
              <w:rPr>
                <w:bCs/>
                <w:color w:val="000000"/>
              </w:rPr>
              <w:t xml:space="preserve"> sniegto informāciju</w:t>
            </w:r>
            <w:r w:rsidR="0055774D" w:rsidRPr="00403225">
              <w:rPr>
                <w:bCs/>
                <w:color w:val="000000"/>
              </w:rPr>
              <w:t xml:space="preserve"> un veiktajām aplēsēm</w:t>
            </w:r>
            <w:r w:rsidR="00A738E0">
              <w:rPr>
                <w:bCs/>
                <w:color w:val="000000"/>
              </w:rPr>
              <w:t xml:space="preserve"> </w:t>
            </w:r>
            <w:r w:rsidR="00262B8E" w:rsidRPr="00403225">
              <w:rPr>
                <w:bCs/>
                <w:color w:val="000000"/>
              </w:rPr>
              <w:t xml:space="preserve">ar </w:t>
            </w:r>
            <w:r w:rsidR="001F1CD3" w:rsidRPr="00403225">
              <w:rPr>
                <w:bCs/>
                <w:color w:val="000000"/>
              </w:rPr>
              <w:t xml:space="preserve">juridisko un </w:t>
            </w:r>
            <w:r w:rsidR="007F4187" w:rsidRPr="00403225">
              <w:rPr>
                <w:bCs/>
                <w:color w:val="000000"/>
              </w:rPr>
              <w:t>tiesvedības</w:t>
            </w:r>
            <w:r w:rsidR="0055774D">
              <w:rPr>
                <w:bCs/>
                <w:color w:val="000000"/>
              </w:rPr>
              <w:t xml:space="preserve"> pakalpojumiem saistīto</w:t>
            </w:r>
            <w:r w:rsidR="00366C87">
              <w:rPr>
                <w:bCs/>
                <w:color w:val="000000"/>
              </w:rPr>
              <w:t xml:space="preserve"> izmaksu slieksnis nosakāms 512 000 </w:t>
            </w:r>
            <w:proofErr w:type="spellStart"/>
            <w:r w:rsidR="00366C87" w:rsidRPr="00366C87">
              <w:rPr>
                <w:bCs/>
                <w:i/>
                <w:color w:val="000000"/>
              </w:rPr>
              <w:t>euro</w:t>
            </w:r>
            <w:proofErr w:type="spellEnd"/>
            <w:r w:rsidR="00366C87">
              <w:rPr>
                <w:bCs/>
                <w:color w:val="000000"/>
              </w:rPr>
              <w:t xml:space="preserve"> </w:t>
            </w:r>
            <w:r w:rsidR="00A738E0">
              <w:rPr>
                <w:bCs/>
                <w:color w:val="000000"/>
              </w:rPr>
              <w:t>apmērā. Šādu</w:t>
            </w:r>
            <w:r w:rsidR="00EB54A3">
              <w:rPr>
                <w:bCs/>
                <w:color w:val="000000"/>
              </w:rPr>
              <w:t xml:space="preserve"> izmaksu iekļaušana sekmētu </w:t>
            </w:r>
            <w:r w:rsidR="008E02F2">
              <w:rPr>
                <w:bCs/>
                <w:color w:val="000000"/>
              </w:rPr>
              <w:t xml:space="preserve">Inčukalna projekta </w:t>
            </w:r>
            <w:r w:rsidR="00EB54A3">
              <w:rPr>
                <w:bCs/>
                <w:color w:val="000000"/>
              </w:rPr>
              <w:t xml:space="preserve">tālāku īstenošanu un nodrošinātu valsts pārvaldes institucionālā resora nepastarpinātu </w:t>
            </w:r>
            <w:r w:rsidR="00E7258F">
              <w:rPr>
                <w:bCs/>
                <w:color w:val="000000"/>
              </w:rPr>
              <w:t>dalību projekta ieviešanā</w:t>
            </w:r>
            <w:r w:rsidR="00EB54A3">
              <w:rPr>
                <w:bCs/>
                <w:color w:val="000000"/>
              </w:rPr>
              <w:t xml:space="preserve"> un vadīb</w:t>
            </w:r>
            <w:r w:rsidR="00E7258F">
              <w:rPr>
                <w:bCs/>
                <w:color w:val="000000"/>
              </w:rPr>
              <w:t>ā</w:t>
            </w:r>
            <w:r w:rsidR="00EB54A3">
              <w:rPr>
                <w:bCs/>
                <w:color w:val="000000"/>
              </w:rPr>
              <w:t xml:space="preserve">. </w:t>
            </w:r>
            <w:r w:rsidR="002417DD">
              <w:rPr>
                <w:bCs/>
                <w:color w:val="000000"/>
              </w:rPr>
              <w:t xml:space="preserve">Ar </w:t>
            </w:r>
            <w:r w:rsidR="008E2129">
              <w:rPr>
                <w:bCs/>
                <w:color w:val="000000"/>
              </w:rPr>
              <w:t xml:space="preserve">juridisko pakalpojumu un </w:t>
            </w:r>
            <w:r w:rsidR="002417DD">
              <w:rPr>
                <w:bCs/>
                <w:color w:val="000000"/>
              </w:rPr>
              <w:t xml:space="preserve">tiesvedību saistīto pakalpojumu </w:t>
            </w:r>
            <w:r w:rsidR="00EB54A3">
              <w:rPr>
                <w:bCs/>
                <w:color w:val="000000"/>
              </w:rPr>
              <w:t>sniedzējs tiks izvēlēts atbilstoši Publisko iepirkumu likuma regul</w:t>
            </w:r>
            <w:r w:rsidR="00DB4ECD">
              <w:rPr>
                <w:bCs/>
                <w:color w:val="000000"/>
              </w:rPr>
              <w:t xml:space="preserve">ējumam un ietvers kompetentu un profesionālu sanācijas darbu līguma juridisko </w:t>
            </w:r>
            <w:proofErr w:type="spellStart"/>
            <w:r w:rsidR="00DB4ECD">
              <w:rPr>
                <w:bCs/>
                <w:color w:val="000000"/>
              </w:rPr>
              <w:t>izvērtējumu</w:t>
            </w:r>
            <w:proofErr w:type="spellEnd"/>
            <w:r w:rsidR="00DB4ECD">
              <w:rPr>
                <w:bCs/>
                <w:color w:val="000000"/>
              </w:rPr>
              <w:t xml:space="preserve">, iespējamo prasību un pretprasību sagatavošanu iesniegšanai darbu veicējam un nepieciešamības gadījumā tiesai, nodrošinās </w:t>
            </w:r>
            <w:r w:rsidR="003D0DB2">
              <w:rPr>
                <w:bCs/>
                <w:color w:val="000000"/>
              </w:rPr>
              <w:t>VVD</w:t>
            </w:r>
            <w:r w:rsidR="00DB4ECD">
              <w:rPr>
                <w:bCs/>
                <w:color w:val="000000"/>
              </w:rPr>
              <w:t xml:space="preserve"> pārstāvību iespējamajos tiesvedības procesos visās tiesu instancēs. Šo izmaksu ietvaros var tikt segtas izmaksas, kas saistītas, piemēram, arī ar tulku un ekspertu (t.sk. ārvalstu tiesību ekspertu) sniegtajiem pakalpojumiem.</w:t>
            </w:r>
            <w:r w:rsidR="0085417B">
              <w:rPr>
                <w:bCs/>
                <w:color w:val="000000"/>
              </w:rPr>
              <w:t xml:space="preserve"> Juridisko pakalpojumu sniegšana </w:t>
            </w:r>
            <w:r w:rsidR="00790E8F">
              <w:rPr>
                <w:bCs/>
                <w:color w:val="000000"/>
              </w:rPr>
              <w:t>tiks piesaistīti augsti kvalificēti nozares speciālisti</w:t>
            </w:r>
            <w:r w:rsidR="0085417B">
              <w:rPr>
                <w:bCs/>
                <w:color w:val="000000"/>
              </w:rPr>
              <w:t>.</w:t>
            </w:r>
          </w:p>
          <w:p w:rsidR="006221D1" w:rsidRDefault="00E7687A" w:rsidP="00300781">
            <w:pPr>
              <w:spacing w:after="80"/>
              <w:ind w:right="74"/>
              <w:jc w:val="both"/>
              <w:rPr>
                <w:bCs/>
                <w:color w:val="000000"/>
              </w:rPr>
            </w:pPr>
            <w:r w:rsidRPr="006F3B14">
              <w:rPr>
                <w:bCs/>
                <w:color w:val="000000"/>
              </w:rPr>
              <w:t>Atsevišķi noteikumu projektā izdalīta neattiecināmo izmaksu daļa</w:t>
            </w:r>
            <w:r w:rsidR="001435B4">
              <w:rPr>
                <w:bCs/>
                <w:color w:val="000000"/>
              </w:rPr>
              <w:t xml:space="preserve"> (noteikumu projekta 4.punktā iekļautais </w:t>
            </w:r>
            <w:r w:rsidR="001435B4">
              <w:t>10.</w:t>
            </w:r>
            <w:r w:rsidR="001435B4">
              <w:rPr>
                <w:vertAlign w:val="superscript"/>
              </w:rPr>
              <w:t xml:space="preserve">1 </w:t>
            </w:r>
            <w:r w:rsidR="001435B4">
              <w:t>3 punkts)</w:t>
            </w:r>
            <w:r w:rsidRPr="006F3B14">
              <w:rPr>
                <w:bCs/>
                <w:color w:val="000000"/>
              </w:rPr>
              <w:t xml:space="preserve">, kas radusies, veicot papildu darbus pēc darbu pārtraukuma rudens/pavasara klimatiskajā sezonā, kad darbu veikšanas vietā nokrišņu ietekmē bija pieaudzis darbu apjoms. Uz šo izmaksu pozīciju kā neattiecināmu norādījuši JASPERS eksperti ziņojumā par ierosinātajām izmaiņām Inčukalna projektā. Darbu pārtraukums radās, meklējot jaunus tehnoloģiskos risinājumus gudrona pārstrādei, jo tika </w:t>
            </w:r>
            <w:r w:rsidR="006F3B14" w:rsidRPr="006F3B14">
              <w:rPr>
                <w:bCs/>
                <w:color w:val="000000"/>
              </w:rPr>
              <w:t xml:space="preserve">novērota līdz šim nekur citur nekonstatēta </w:t>
            </w:r>
            <w:r w:rsidRPr="006F3B14">
              <w:rPr>
                <w:bCs/>
                <w:color w:val="000000"/>
              </w:rPr>
              <w:t>gudrona ķīmisk</w:t>
            </w:r>
            <w:r w:rsidR="006F3B14" w:rsidRPr="006F3B14">
              <w:rPr>
                <w:bCs/>
                <w:color w:val="000000"/>
              </w:rPr>
              <w:t>ā</w:t>
            </w:r>
            <w:r w:rsidRPr="006F3B14">
              <w:rPr>
                <w:bCs/>
                <w:color w:val="000000"/>
              </w:rPr>
              <w:t xml:space="preserve"> un fizikāl</w:t>
            </w:r>
            <w:r w:rsidR="006F3B14" w:rsidRPr="006F3B14">
              <w:rPr>
                <w:bCs/>
                <w:color w:val="000000"/>
              </w:rPr>
              <w:t>ā mainība.</w:t>
            </w:r>
          </w:p>
          <w:p w:rsidR="00B702F0" w:rsidRPr="00B702F0" w:rsidRDefault="00B702F0" w:rsidP="00300781">
            <w:pPr>
              <w:spacing w:after="80"/>
              <w:ind w:right="74"/>
              <w:jc w:val="both"/>
              <w:rPr>
                <w:rFonts w:ascii="Open Sans" w:hAnsi="Open Sans"/>
                <w:color w:val="3D3D3D"/>
                <w:sz w:val="18"/>
                <w:szCs w:val="18"/>
              </w:rPr>
            </w:pPr>
            <w:r>
              <w:rPr>
                <w:bCs/>
                <w:color w:val="000000"/>
              </w:rPr>
              <w:lastRenderedPageBreak/>
              <w:t xml:space="preserve">Lai nepieļautu </w:t>
            </w:r>
            <w:r w:rsidR="001C38ED">
              <w:rPr>
                <w:bCs/>
                <w:color w:val="000000"/>
              </w:rPr>
              <w:t xml:space="preserve">atkārtotu </w:t>
            </w:r>
            <w:r>
              <w:rPr>
                <w:bCs/>
                <w:color w:val="000000"/>
              </w:rPr>
              <w:t>darbu apjoma palielināšanos hidroloģisko un meteoroloģisko apstākļu dēļ</w:t>
            </w:r>
            <w:r w:rsidR="00452422">
              <w:rPr>
                <w:bCs/>
                <w:color w:val="000000"/>
              </w:rPr>
              <w:t xml:space="preserve"> laika posmā līdz darbu atsākšanai</w:t>
            </w:r>
            <w:r>
              <w:rPr>
                <w:bCs/>
                <w:color w:val="000000"/>
              </w:rPr>
              <w:t>,</w:t>
            </w:r>
            <w:r w:rsidR="00F444A6">
              <w:rPr>
                <w:bCs/>
                <w:color w:val="000000"/>
              </w:rPr>
              <w:t xml:space="preserve"> </w:t>
            </w:r>
            <w:r>
              <w:rPr>
                <w:bCs/>
                <w:color w:val="000000"/>
              </w:rPr>
              <w:t>2015.gada oktobrī ir uzsākta Dienvidu dīķa pārklāšana ar ūdens necaurlaidīgu pārklājumu, lai nepieļautu dīķī palikušā piesārņojuma sajaukšanos ar lietus un sniega kušanas ūdeņiem. Plānots, ka līdz 2015.gada 12.decembrim pār Dienvidu dīķa virsmu 15 063 m</w:t>
            </w:r>
            <w:r w:rsidRPr="00B702F0">
              <w:rPr>
                <w:bCs/>
                <w:color w:val="000000"/>
                <w:vertAlign w:val="superscript"/>
              </w:rPr>
              <w:t>2</w:t>
            </w:r>
            <w:r>
              <w:rPr>
                <w:bCs/>
                <w:color w:val="000000"/>
              </w:rPr>
              <w:t xml:space="preserve"> platībā tiks pārvilkta plēve, kas tiks noņemta, atkal uzsākot sanācijas darbus. Kopējais izdevumu apmērs </w:t>
            </w:r>
            <w:r w:rsidR="003F47A5">
              <w:rPr>
                <w:bCs/>
                <w:color w:val="000000"/>
              </w:rPr>
              <w:t xml:space="preserve">šo darbu veikšanai </w:t>
            </w:r>
            <w:r w:rsidR="001C38ED">
              <w:rPr>
                <w:bCs/>
                <w:color w:val="000000"/>
              </w:rPr>
              <w:t xml:space="preserve">iepirkuma rezultātā </w:t>
            </w:r>
            <w:r w:rsidR="003F47A5">
              <w:rPr>
                <w:bCs/>
                <w:color w:val="000000"/>
              </w:rPr>
              <w:t xml:space="preserve">noteikts 504 852 </w:t>
            </w:r>
            <w:proofErr w:type="spellStart"/>
            <w:r w:rsidR="003F47A5" w:rsidRPr="003F47A5">
              <w:rPr>
                <w:bCs/>
                <w:i/>
                <w:color w:val="000000"/>
              </w:rPr>
              <w:t>euro</w:t>
            </w:r>
            <w:proofErr w:type="spellEnd"/>
            <w:r w:rsidR="003F47A5">
              <w:rPr>
                <w:bCs/>
                <w:color w:val="000000"/>
              </w:rPr>
              <w:t xml:space="preserve"> un izmaksas </w:t>
            </w:r>
            <w:r w:rsidR="001B19F8" w:rsidRPr="00B274FB">
              <w:rPr>
                <w:bCs/>
                <w:color w:val="000000" w:themeColor="text1"/>
              </w:rPr>
              <w:t>plānots segt</w:t>
            </w:r>
            <w:r w:rsidR="003F47A5" w:rsidRPr="00B274FB">
              <w:rPr>
                <w:bCs/>
                <w:color w:val="000000" w:themeColor="text1"/>
              </w:rPr>
              <w:t xml:space="preserve"> </w:t>
            </w:r>
            <w:r w:rsidR="003F47A5" w:rsidRPr="00B274FB">
              <w:rPr>
                <w:bCs/>
                <w:color w:val="000000"/>
              </w:rPr>
              <w:t>no</w:t>
            </w:r>
            <w:r w:rsidR="003F47A5">
              <w:rPr>
                <w:bCs/>
                <w:color w:val="000000"/>
              </w:rPr>
              <w:t xml:space="preserve"> Inčukalna projekta ietvaros </w:t>
            </w:r>
            <w:r w:rsidR="007C135A" w:rsidRPr="00B274FB">
              <w:rPr>
                <w:bCs/>
                <w:color w:val="000000"/>
              </w:rPr>
              <w:t>2015.</w:t>
            </w:r>
            <w:r w:rsidR="003F47A5" w:rsidRPr="00B274FB">
              <w:rPr>
                <w:bCs/>
                <w:color w:val="000000"/>
              </w:rPr>
              <w:t>gadam</w:t>
            </w:r>
            <w:r w:rsidR="003F47A5">
              <w:rPr>
                <w:bCs/>
                <w:color w:val="000000"/>
              </w:rPr>
              <w:t xml:space="preserve"> paredzētā finansējuma, kas netiks izmaksāt</w:t>
            </w:r>
            <w:r w:rsidR="00D7090D">
              <w:rPr>
                <w:bCs/>
                <w:color w:val="000000"/>
              </w:rPr>
              <w:t>s</w:t>
            </w:r>
            <w:r w:rsidR="003F47A5">
              <w:rPr>
                <w:bCs/>
                <w:color w:val="000000"/>
              </w:rPr>
              <w:t xml:space="preserve">, </w:t>
            </w:r>
            <w:r w:rsidR="002A0938">
              <w:rPr>
                <w:bCs/>
                <w:color w:val="000000"/>
              </w:rPr>
              <w:t>jo tika lauzts</w:t>
            </w:r>
            <w:r w:rsidR="003F47A5">
              <w:rPr>
                <w:bCs/>
                <w:color w:val="000000"/>
              </w:rPr>
              <w:t xml:space="preserve"> līgum</w:t>
            </w:r>
            <w:r w:rsidR="002A0938">
              <w:rPr>
                <w:bCs/>
                <w:color w:val="000000"/>
              </w:rPr>
              <w:t>s</w:t>
            </w:r>
            <w:r w:rsidR="003F47A5">
              <w:rPr>
                <w:bCs/>
                <w:color w:val="000000"/>
              </w:rPr>
              <w:t xml:space="preserve"> ar darbu izpildītāju.</w:t>
            </w:r>
          </w:p>
          <w:p w:rsidR="0056714C" w:rsidRDefault="0056714C" w:rsidP="00300781">
            <w:pPr>
              <w:spacing w:after="80"/>
              <w:ind w:right="74"/>
              <w:jc w:val="both"/>
              <w:rPr>
                <w:bCs/>
                <w:color w:val="000000"/>
              </w:rPr>
            </w:pPr>
            <w:bookmarkStart w:id="0" w:name="n1"/>
            <w:bookmarkEnd w:id="0"/>
            <w:r>
              <w:rPr>
                <w:bCs/>
                <w:color w:val="000000"/>
              </w:rPr>
              <w:t>Noteikumu projektā veikti arī redakcionāli precizējumi</w:t>
            </w:r>
            <w:r w:rsidR="00495570">
              <w:rPr>
                <w:bCs/>
                <w:color w:val="000000"/>
              </w:rPr>
              <w:t xml:space="preserve"> (noteikumu projekta 1., 2.</w:t>
            </w:r>
            <w:r w:rsidR="00105667">
              <w:rPr>
                <w:bCs/>
                <w:color w:val="000000"/>
              </w:rPr>
              <w:t>punkts)</w:t>
            </w:r>
            <w:r>
              <w:rPr>
                <w:bCs/>
                <w:color w:val="000000"/>
              </w:rPr>
              <w:t xml:space="preserve">, uzsverot tieši sanācijas darbus kā nozīmīgāko darbu pozīciju. </w:t>
            </w:r>
            <w:r w:rsidR="008E02F2">
              <w:rPr>
                <w:bCs/>
                <w:color w:val="000000"/>
              </w:rPr>
              <w:t>Inčukalna p</w:t>
            </w:r>
            <w:r>
              <w:rPr>
                <w:bCs/>
                <w:color w:val="000000"/>
              </w:rPr>
              <w:t xml:space="preserve">rojekta ieviešanas gaitā secināts, ka dominējošās izmaksu grupas sanācijas projektos ir pakalpojumu izmaksas un tikai daļu no kopējām izmaksām rada būvdarbu veikšana. </w:t>
            </w:r>
            <w:r w:rsidR="00105667">
              <w:rPr>
                <w:bCs/>
                <w:color w:val="000000"/>
              </w:rPr>
              <w:t>Tāpat redakcionāli precizēts nosacījums, kādu līgumu gadījumos izmaksas var tikt attiecinātas</w:t>
            </w:r>
            <w:r w:rsidR="00C1116E">
              <w:rPr>
                <w:bCs/>
                <w:color w:val="000000"/>
              </w:rPr>
              <w:t xml:space="preserve"> (noteikumu projekta 3.punkts)</w:t>
            </w:r>
            <w:r w:rsidR="00105667">
              <w:rPr>
                <w:bCs/>
                <w:color w:val="000000"/>
              </w:rPr>
              <w:t xml:space="preserve">. </w:t>
            </w:r>
          </w:p>
          <w:p w:rsidR="00A14B4B" w:rsidRDefault="00495570" w:rsidP="00300781">
            <w:pPr>
              <w:spacing w:after="80"/>
              <w:ind w:right="74"/>
              <w:jc w:val="both"/>
            </w:pPr>
            <w:r>
              <w:t>Papildu</w:t>
            </w:r>
            <w:r w:rsidR="001C38ED">
              <w:t>s</w:t>
            </w:r>
            <w:r w:rsidR="00BE2A6E">
              <w:t xml:space="preserve"> jau iepriekš minētajam</w:t>
            </w:r>
            <w:r>
              <w:t xml:space="preserve"> noteikumu projekta 7.punktā paredzēts</w:t>
            </w:r>
            <w:r w:rsidR="00712798">
              <w:t xml:space="preserve"> redakcionāli</w:t>
            </w:r>
            <w:r>
              <w:t xml:space="preserve"> precizēt kārtību, kādā tiek ierosināti grozījumi lielajā projektā, finansējuma saņēmējam uzreiz sagatavojot informāciju atbilstošā veidā</w:t>
            </w:r>
            <w:r w:rsidR="001C38ED">
              <w:t xml:space="preserve"> iesniegšanai E</w:t>
            </w:r>
            <w:r w:rsidR="00BE2A6E">
              <w:t xml:space="preserve">iropas </w:t>
            </w:r>
            <w:r w:rsidR="001C38ED">
              <w:t>K</w:t>
            </w:r>
            <w:r w:rsidR="00BE2A6E">
              <w:t>omisijā</w:t>
            </w:r>
            <w:r>
              <w:t xml:space="preserve">. </w:t>
            </w:r>
          </w:p>
          <w:p w:rsidR="00A14B4B" w:rsidRPr="009A5481" w:rsidRDefault="00A344C2" w:rsidP="00300781">
            <w:pPr>
              <w:spacing w:after="80"/>
              <w:ind w:right="74"/>
              <w:jc w:val="both"/>
            </w:pPr>
            <w:r>
              <w:t xml:space="preserve">VARAM piedāvātie grozījumi MK </w:t>
            </w:r>
            <w:r w:rsidRPr="00A344C2">
              <w:t>noteikumos Nr.817</w:t>
            </w:r>
            <w:r>
              <w:t xml:space="preserve"> neradīs riskus noteiktā gala termiņa 3.4.1.4. aktivitātes projektu izdevumu </w:t>
            </w:r>
            <w:proofErr w:type="spellStart"/>
            <w:r>
              <w:t>attiecināmībai</w:t>
            </w:r>
            <w:proofErr w:type="spellEnd"/>
            <w:r w:rsidRPr="00A344C2">
              <w:t xml:space="preserve"> apmaksai no </w:t>
            </w:r>
            <w:r>
              <w:t>ES fondu</w:t>
            </w:r>
            <w:r w:rsidRPr="00A344C2">
              <w:t xml:space="preserve"> līdzekļiem</w:t>
            </w:r>
            <w:r w:rsidR="00B82EB3">
              <w:t xml:space="preserve"> (</w:t>
            </w:r>
            <w:r>
              <w:t>t.i.,</w:t>
            </w:r>
            <w:r w:rsidR="00A738E0">
              <w:t xml:space="preserve"> </w:t>
            </w:r>
            <w:r w:rsidR="00D52515">
              <w:t xml:space="preserve">līdz </w:t>
            </w:r>
            <w:r w:rsidR="00B82EB3">
              <w:t>2015.gada 31.decembri</w:t>
            </w:r>
            <w:r w:rsidR="00D52515">
              <w:t>m</w:t>
            </w:r>
            <w:r w:rsidR="00B82EB3">
              <w:t>)</w:t>
            </w:r>
            <w:r>
              <w:t xml:space="preserve"> ievērošanai, un tie </w:t>
            </w:r>
            <w:r w:rsidR="00A738E0">
              <w:t>ir ne</w:t>
            </w:r>
            <w:r w:rsidR="00A738E0" w:rsidRPr="00723328">
              <w:t>pieciešami</w:t>
            </w:r>
            <w:r w:rsidR="00B82EB3" w:rsidRPr="00723328">
              <w:t>, lai paredzētu mehānis</w:t>
            </w:r>
            <w:r w:rsidR="00712798" w:rsidRPr="00723328">
              <w:t>mu 3.4.1.4.aktivitātes Inčukalna lielā projekta</w:t>
            </w:r>
            <w:r w:rsidR="00B82EB3" w:rsidRPr="00723328">
              <w:t xml:space="preserve"> sekmīgai pabeigšanai</w:t>
            </w:r>
            <w:r w:rsidR="00712798" w:rsidRPr="00723328">
              <w:t>,</w:t>
            </w:r>
            <w:r w:rsidR="00712798">
              <w:t xml:space="preserve"> ņemot vērā tā</w:t>
            </w:r>
            <w:r w:rsidR="00B82EB3">
              <w:t xml:space="preserve"> specifiku.</w:t>
            </w:r>
          </w:p>
        </w:tc>
      </w:tr>
      <w:tr w:rsidR="00385F0D" w:rsidRPr="00427146" w:rsidTr="00B274FB">
        <w:trPr>
          <w:trHeight w:val="465"/>
          <w:tblCellSpacing w:w="15" w:type="dxa"/>
        </w:trPr>
        <w:tc>
          <w:tcPr>
            <w:tcW w:w="190" w:type="pct"/>
            <w:hideMark/>
          </w:tcPr>
          <w:p w:rsidR="00385F0D" w:rsidRPr="00427146" w:rsidRDefault="00385F0D" w:rsidP="00385F0D">
            <w:pPr>
              <w:spacing w:before="100" w:beforeAutospacing="1" w:after="100" w:afterAutospacing="1" w:line="360" w:lineRule="auto"/>
              <w:rPr>
                <w:color w:val="000000"/>
              </w:rPr>
            </w:pPr>
            <w:r w:rsidRPr="00427146">
              <w:rPr>
                <w:color w:val="000000"/>
              </w:rPr>
              <w:lastRenderedPageBreak/>
              <w:t>3.</w:t>
            </w:r>
          </w:p>
        </w:tc>
        <w:tc>
          <w:tcPr>
            <w:tcW w:w="1189" w:type="pct"/>
            <w:hideMark/>
          </w:tcPr>
          <w:p w:rsidR="00385F0D" w:rsidRPr="00427146" w:rsidRDefault="00385F0D">
            <w:pPr>
              <w:rPr>
                <w:color w:val="000000"/>
              </w:rPr>
            </w:pPr>
            <w:r w:rsidRPr="00427146">
              <w:rPr>
                <w:color w:val="000000"/>
              </w:rPr>
              <w:t>Projekta izstrādē iesaistītās institūcijas</w:t>
            </w:r>
          </w:p>
        </w:tc>
        <w:tc>
          <w:tcPr>
            <w:tcW w:w="3558" w:type="pct"/>
            <w:hideMark/>
          </w:tcPr>
          <w:p w:rsidR="00385F0D" w:rsidRPr="00427146" w:rsidRDefault="00572572" w:rsidP="003D0DB2">
            <w:pPr>
              <w:ind w:right="72"/>
              <w:jc w:val="both"/>
              <w:rPr>
                <w:color w:val="000000"/>
              </w:rPr>
            </w:pPr>
            <w:r>
              <w:rPr>
                <w:color w:val="000000"/>
              </w:rPr>
              <w:t xml:space="preserve">Noteikumu projekta izstrādē izmantota </w:t>
            </w:r>
            <w:r w:rsidR="003D0DB2">
              <w:rPr>
                <w:color w:val="000000"/>
              </w:rPr>
              <w:t>VVD</w:t>
            </w:r>
            <w:r w:rsidR="001A0661">
              <w:rPr>
                <w:color w:val="000000"/>
              </w:rPr>
              <w:t xml:space="preserve"> sniegtā informācija</w:t>
            </w:r>
            <w:r w:rsidR="00A87387">
              <w:rPr>
                <w:color w:val="000000"/>
              </w:rPr>
              <w:t>.</w:t>
            </w:r>
          </w:p>
        </w:tc>
      </w:tr>
      <w:tr w:rsidR="00385F0D" w:rsidRPr="00427146" w:rsidTr="00B274FB">
        <w:trPr>
          <w:trHeight w:val="889"/>
          <w:tblCellSpacing w:w="15" w:type="dxa"/>
        </w:trPr>
        <w:tc>
          <w:tcPr>
            <w:tcW w:w="190" w:type="pct"/>
            <w:hideMark/>
          </w:tcPr>
          <w:p w:rsidR="00385F0D" w:rsidRPr="00427146" w:rsidRDefault="00385F0D" w:rsidP="00385F0D">
            <w:pPr>
              <w:spacing w:before="100" w:beforeAutospacing="1" w:after="100" w:afterAutospacing="1" w:line="360" w:lineRule="auto"/>
              <w:rPr>
                <w:color w:val="000000"/>
              </w:rPr>
            </w:pPr>
            <w:r w:rsidRPr="00427146">
              <w:rPr>
                <w:color w:val="000000"/>
              </w:rPr>
              <w:t>4.</w:t>
            </w:r>
          </w:p>
        </w:tc>
        <w:tc>
          <w:tcPr>
            <w:tcW w:w="1189" w:type="pct"/>
            <w:hideMark/>
          </w:tcPr>
          <w:p w:rsidR="00385F0D" w:rsidRPr="00427146" w:rsidRDefault="00385F0D">
            <w:pPr>
              <w:rPr>
                <w:color w:val="000000"/>
              </w:rPr>
            </w:pPr>
            <w:r w:rsidRPr="00427146">
              <w:rPr>
                <w:color w:val="000000"/>
              </w:rPr>
              <w:t>Cita informācija</w:t>
            </w:r>
          </w:p>
        </w:tc>
        <w:tc>
          <w:tcPr>
            <w:tcW w:w="3558" w:type="pct"/>
            <w:hideMark/>
          </w:tcPr>
          <w:p w:rsidR="00F56DA3" w:rsidRPr="00427146" w:rsidRDefault="00385F0D" w:rsidP="001F7760">
            <w:pPr>
              <w:ind w:right="72"/>
              <w:jc w:val="both"/>
              <w:rPr>
                <w:color w:val="000000"/>
              </w:rPr>
            </w:pPr>
            <w:r w:rsidRPr="00427146">
              <w:rPr>
                <w:color w:val="000000"/>
              </w:rPr>
              <w:t xml:space="preserve">Sabiedrības līdzdalība noteikumu projekta izstrādē netika nodrošināta, </w:t>
            </w:r>
            <w:r w:rsidR="00572572">
              <w:rPr>
                <w:color w:val="000000"/>
              </w:rPr>
              <w:t xml:space="preserve">noteikumu </w:t>
            </w:r>
            <w:r w:rsidRPr="00427146">
              <w:rPr>
                <w:color w:val="000000"/>
              </w:rPr>
              <w:t xml:space="preserve">projekts </w:t>
            </w:r>
            <w:r w:rsidR="006C22C7">
              <w:rPr>
                <w:color w:val="000000"/>
              </w:rPr>
              <w:t xml:space="preserve">būtiski </w:t>
            </w:r>
            <w:r w:rsidRPr="00427146">
              <w:rPr>
                <w:color w:val="000000"/>
              </w:rPr>
              <w:t>nemain</w:t>
            </w:r>
            <w:r w:rsidR="006C22C7">
              <w:rPr>
                <w:color w:val="000000"/>
              </w:rPr>
              <w:t>a pastāvošo tiesisko regulējumu</w:t>
            </w:r>
            <w:r w:rsidR="00237477">
              <w:rPr>
                <w:color w:val="000000"/>
              </w:rPr>
              <w:t xml:space="preserve"> un </w:t>
            </w:r>
            <w:r w:rsidR="00237477" w:rsidRPr="00CF5CF5">
              <w:rPr>
                <w:color w:val="000000" w:themeColor="text1"/>
              </w:rPr>
              <w:t xml:space="preserve">nav pretrunā ar </w:t>
            </w:r>
            <w:r w:rsidR="00F902FD">
              <w:rPr>
                <w:color w:val="000000" w:themeColor="text1"/>
              </w:rPr>
              <w:t xml:space="preserve">spēkā esošo </w:t>
            </w:r>
            <w:r w:rsidR="00237477" w:rsidRPr="00CF5CF5">
              <w:rPr>
                <w:color w:val="000000" w:themeColor="text1"/>
              </w:rPr>
              <w:t>normatīvo regulējumu</w:t>
            </w:r>
            <w:r w:rsidRPr="00CF5CF5">
              <w:rPr>
                <w:color w:val="000000" w:themeColor="text1"/>
              </w:rPr>
              <w:t>.</w:t>
            </w:r>
          </w:p>
        </w:tc>
      </w:tr>
      <w:tr w:rsidR="007E1737" w:rsidRPr="00427146" w:rsidTr="00B274FB">
        <w:trPr>
          <w:trHeight w:val="454"/>
          <w:tblCellSpacing w:w="15" w:type="dxa"/>
        </w:trPr>
        <w:tc>
          <w:tcPr>
            <w:tcW w:w="4968"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color w:val="000000"/>
              </w:rPr>
              <w:t> </w:t>
            </w:r>
            <w:r w:rsidRPr="00427146">
              <w:rPr>
                <w:b/>
                <w:bCs/>
                <w:color w:val="000000"/>
              </w:rPr>
              <w:t>II. Tiesību akta projekta ietekme uz sabiedrību, tautsaimniecības attīstību un administratīvo slogu</w:t>
            </w:r>
          </w:p>
        </w:tc>
      </w:tr>
      <w:tr w:rsidR="00385F0D" w:rsidRPr="00427146" w:rsidTr="00B274FB">
        <w:trPr>
          <w:trHeight w:val="465"/>
          <w:tblCellSpacing w:w="15" w:type="dxa"/>
        </w:trPr>
        <w:tc>
          <w:tcPr>
            <w:tcW w:w="190" w:type="pct"/>
            <w:hideMark/>
          </w:tcPr>
          <w:p w:rsidR="00385F0D" w:rsidRPr="00427146" w:rsidRDefault="00385F0D">
            <w:pPr>
              <w:rPr>
                <w:color w:val="000000"/>
              </w:rPr>
            </w:pPr>
            <w:r w:rsidRPr="00427146">
              <w:rPr>
                <w:color w:val="000000"/>
              </w:rPr>
              <w:t>1.</w:t>
            </w:r>
          </w:p>
        </w:tc>
        <w:tc>
          <w:tcPr>
            <w:tcW w:w="1189" w:type="pct"/>
            <w:hideMark/>
          </w:tcPr>
          <w:p w:rsidR="00831EA8" w:rsidRPr="00427146" w:rsidRDefault="00385F0D" w:rsidP="00C50198">
            <w:pPr>
              <w:rPr>
                <w:color w:val="000000"/>
              </w:rPr>
            </w:pPr>
            <w:r w:rsidRPr="00427146">
              <w:rPr>
                <w:color w:val="000000"/>
              </w:rPr>
              <w:t xml:space="preserve">Sabiedrības </w:t>
            </w:r>
            <w:proofErr w:type="spellStart"/>
            <w:r w:rsidRPr="00427146">
              <w:rPr>
                <w:color w:val="000000"/>
              </w:rPr>
              <w:t>mērķgrupas</w:t>
            </w:r>
            <w:proofErr w:type="spellEnd"/>
            <w:r w:rsidRPr="00427146">
              <w:rPr>
                <w:color w:val="000000"/>
              </w:rPr>
              <w:t xml:space="preserve">, kuras tiesiskais regulējums ietekmē </w:t>
            </w:r>
          </w:p>
        </w:tc>
        <w:tc>
          <w:tcPr>
            <w:tcW w:w="3558" w:type="pct"/>
            <w:hideMark/>
          </w:tcPr>
          <w:p w:rsidR="00385F0D" w:rsidRDefault="00FD5CB7" w:rsidP="00392FC9">
            <w:pPr>
              <w:ind w:right="72"/>
              <w:jc w:val="both"/>
              <w:rPr>
                <w:color w:val="000000"/>
              </w:rPr>
            </w:pPr>
            <w:r w:rsidRPr="00427146">
              <w:rPr>
                <w:color w:val="000000"/>
              </w:rPr>
              <w:t xml:space="preserve">Sabiedrības </w:t>
            </w:r>
            <w:proofErr w:type="spellStart"/>
            <w:r w:rsidRPr="00427146">
              <w:rPr>
                <w:color w:val="000000"/>
              </w:rPr>
              <w:t>mērķgrupas</w:t>
            </w:r>
            <w:proofErr w:type="spellEnd"/>
            <w:r w:rsidRPr="00427146">
              <w:rPr>
                <w:color w:val="000000"/>
              </w:rPr>
              <w:t xml:space="preserve"> neietekmē, jo projekts</w:t>
            </w:r>
            <w:r w:rsidR="00392FC9">
              <w:rPr>
                <w:color w:val="000000"/>
              </w:rPr>
              <w:t xml:space="preserve"> būtiski</w:t>
            </w:r>
            <w:r w:rsidRPr="00427146">
              <w:rPr>
                <w:color w:val="000000"/>
              </w:rPr>
              <w:t xml:space="preserve"> nemaina pastāvošo tiesisko regulējumu.</w:t>
            </w:r>
            <w:r w:rsidR="00392FC9">
              <w:rPr>
                <w:color w:val="000000"/>
              </w:rPr>
              <w:t xml:space="preserve"> Ierosinātie grozījumi ir labvēlīgi</w:t>
            </w:r>
            <w:r w:rsidR="002C5C78">
              <w:rPr>
                <w:color w:val="000000"/>
              </w:rPr>
              <w:t xml:space="preserve"> projekta īstenotājam.</w:t>
            </w:r>
          </w:p>
          <w:p w:rsidR="001F7760" w:rsidRPr="00427146" w:rsidRDefault="001F7760" w:rsidP="00392FC9">
            <w:pPr>
              <w:ind w:right="72"/>
              <w:jc w:val="both"/>
              <w:rPr>
                <w:color w:val="000000"/>
              </w:rPr>
            </w:pPr>
          </w:p>
        </w:tc>
      </w:tr>
      <w:tr w:rsidR="00385F0D" w:rsidRPr="00427146" w:rsidTr="00B274FB">
        <w:trPr>
          <w:trHeight w:val="510"/>
          <w:tblCellSpacing w:w="15" w:type="dxa"/>
        </w:trPr>
        <w:tc>
          <w:tcPr>
            <w:tcW w:w="190" w:type="pct"/>
            <w:hideMark/>
          </w:tcPr>
          <w:p w:rsidR="00385F0D" w:rsidRPr="00427146" w:rsidRDefault="00385F0D">
            <w:pPr>
              <w:rPr>
                <w:color w:val="000000"/>
              </w:rPr>
            </w:pPr>
            <w:r w:rsidRPr="00427146">
              <w:rPr>
                <w:color w:val="000000"/>
              </w:rPr>
              <w:t>2.</w:t>
            </w:r>
          </w:p>
        </w:tc>
        <w:tc>
          <w:tcPr>
            <w:tcW w:w="1189" w:type="pct"/>
            <w:hideMark/>
          </w:tcPr>
          <w:p w:rsidR="00831EA8" w:rsidRPr="00427146" w:rsidRDefault="00385F0D">
            <w:pPr>
              <w:rPr>
                <w:color w:val="000000"/>
              </w:rPr>
            </w:pPr>
            <w:r w:rsidRPr="00427146">
              <w:rPr>
                <w:color w:val="000000"/>
              </w:rPr>
              <w:t>Tiesiskā regulējuma ietekme uz tautsaimniecību un administratīvo slogu</w:t>
            </w:r>
          </w:p>
        </w:tc>
        <w:tc>
          <w:tcPr>
            <w:tcW w:w="3558" w:type="pct"/>
            <w:hideMark/>
          </w:tcPr>
          <w:p w:rsidR="00385F0D" w:rsidRPr="00427146" w:rsidRDefault="00632608" w:rsidP="000A01DB">
            <w:pPr>
              <w:ind w:right="72"/>
              <w:jc w:val="both"/>
              <w:rPr>
                <w:color w:val="000000"/>
              </w:rPr>
            </w:pPr>
            <w:r w:rsidRPr="00427146">
              <w:rPr>
                <w:color w:val="000000"/>
              </w:rPr>
              <w:t>Sabiedrības grupām un institūcijām projekta tiesiskais regulējums nemaina tiesības un pienākumus</w:t>
            </w:r>
            <w:r w:rsidR="002C5C78">
              <w:rPr>
                <w:color w:val="000000"/>
              </w:rPr>
              <w:t>, jo projekta īstenotājam nerada papildu pienākumus, salī</w:t>
            </w:r>
            <w:r w:rsidR="00392FC9">
              <w:rPr>
                <w:color w:val="000000"/>
              </w:rPr>
              <w:t xml:space="preserve">dzinot tos ar standarta procedūrām projekta </w:t>
            </w:r>
            <w:r w:rsidR="00A738E0">
              <w:rPr>
                <w:color w:val="000000"/>
              </w:rPr>
              <w:t>administrēšanā.</w:t>
            </w:r>
            <w:r w:rsidR="00A738E0" w:rsidRPr="00CF5CF5">
              <w:rPr>
                <w:color w:val="000000" w:themeColor="text1"/>
              </w:rPr>
              <w:t xml:space="preserve"> Noteikumu</w:t>
            </w:r>
            <w:r w:rsidR="00392FC9" w:rsidRPr="00CF5CF5">
              <w:rPr>
                <w:color w:val="000000" w:themeColor="text1"/>
              </w:rPr>
              <w:t xml:space="preserve"> projektā </w:t>
            </w:r>
            <w:r w:rsidR="00A738E0" w:rsidRPr="00CF5CF5">
              <w:rPr>
                <w:color w:val="000000" w:themeColor="text1"/>
              </w:rPr>
              <w:t>iekļauta</w:t>
            </w:r>
            <w:r w:rsidR="00A738E0">
              <w:rPr>
                <w:color w:val="000000" w:themeColor="text1"/>
              </w:rPr>
              <w:t>s neattiecināmo</w:t>
            </w:r>
            <w:r w:rsidR="001F7760">
              <w:rPr>
                <w:color w:val="000000" w:themeColor="text1"/>
              </w:rPr>
              <w:t xml:space="preserve"> izmaksu </w:t>
            </w:r>
            <w:r w:rsidR="00733D02" w:rsidRPr="00CF5CF5">
              <w:rPr>
                <w:color w:val="000000" w:themeColor="text1"/>
              </w:rPr>
              <w:t>pozīcijas</w:t>
            </w:r>
            <w:r w:rsidR="00392FC9" w:rsidRPr="00CF5CF5">
              <w:rPr>
                <w:color w:val="000000" w:themeColor="text1"/>
              </w:rPr>
              <w:t xml:space="preserve">, </w:t>
            </w:r>
            <w:r w:rsidR="00392FC9">
              <w:rPr>
                <w:color w:val="000000"/>
              </w:rPr>
              <w:t>kas var radīt papildu administratīvo slogu, bet šo izmaksu uzskaite ir līdzvērtīga, piem., būvuzraudzības</w:t>
            </w:r>
            <w:r w:rsidR="00733D02">
              <w:rPr>
                <w:color w:val="000000"/>
              </w:rPr>
              <w:t xml:space="preserve"> un būvniecības</w:t>
            </w:r>
            <w:r w:rsidR="00392FC9">
              <w:rPr>
                <w:color w:val="000000"/>
              </w:rPr>
              <w:t xml:space="preserve"> izmaksu grupai, kuras administrēšanā projekta īstenotājam jau ir pieredze.</w:t>
            </w:r>
          </w:p>
        </w:tc>
      </w:tr>
      <w:tr w:rsidR="00385F0D" w:rsidRPr="00427146" w:rsidTr="00B274FB">
        <w:trPr>
          <w:trHeight w:val="510"/>
          <w:tblCellSpacing w:w="15" w:type="dxa"/>
        </w:trPr>
        <w:tc>
          <w:tcPr>
            <w:tcW w:w="190" w:type="pct"/>
            <w:hideMark/>
          </w:tcPr>
          <w:p w:rsidR="00385F0D" w:rsidRPr="00427146" w:rsidRDefault="00385F0D">
            <w:pPr>
              <w:rPr>
                <w:color w:val="000000"/>
              </w:rPr>
            </w:pPr>
            <w:r w:rsidRPr="00427146">
              <w:rPr>
                <w:color w:val="000000"/>
              </w:rPr>
              <w:lastRenderedPageBreak/>
              <w:t>3.</w:t>
            </w:r>
          </w:p>
        </w:tc>
        <w:tc>
          <w:tcPr>
            <w:tcW w:w="1189" w:type="pct"/>
            <w:hideMark/>
          </w:tcPr>
          <w:p w:rsidR="00385F0D" w:rsidRPr="00427146" w:rsidRDefault="00385F0D">
            <w:pPr>
              <w:rPr>
                <w:color w:val="000000"/>
              </w:rPr>
            </w:pPr>
            <w:r w:rsidRPr="00427146">
              <w:rPr>
                <w:color w:val="000000"/>
              </w:rPr>
              <w:t>Administratīvo izmaksu monetārs novērtējums</w:t>
            </w:r>
          </w:p>
        </w:tc>
        <w:tc>
          <w:tcPr>
            <w:tcW w:w="3558" w:type="pct"/>
            <w:hideMark/>
          </w:tcPr>
          <w:p w:rsidR="00385F0D" w:rsidRPr="00427146" w:rsidRDefault="0031684F" w:rsidP="00BA3DA3">
            <w:pPr>
              <w:ind w:right="74"/>
              <w:jc w:val="both"/>
              <w:rPr>
                <w:color w:val="000000"/>
              </w:rPr>
            </w:pPr>
            <w:r w:rsidRPr="00427146">
              <w:rPr>
                <w:color w:val="000000"/>
              </w:rPr>
              <w:t>Projekts šo jomu neskar</w:t>
            </w:r>
            <w:r w:rsidR="00392FC9">
              <w:rPr>
                <w:color w:val="000000"/>
              </w:rPr>
              <w:t xml:space="preserve"> tieši</w:t>
            </w:r>
            <w:r w:rsidR="007C23FC">
              <w:rPr>
                <w:color w:val="000000"/>
              </w:rPr>
              <w:t>, jo projekta īstenotājam nerada papildu</w:t>
            </w:r>
            <w:r w:rsidR="002C5C78">
              <w:rPr>
                <w:color w:val="000000"/>
              </w:rPr>
              <w:t xml:space="preserve"> </w:t>
            </w:r>
            <w:r w:rsidR="00A738E0">
              <w:rPr>
                <w:color w:val="000000"/>
              </w:rPr>
              <w:t>administratīvās izmaksas</w:t>
            </w:r>
            <w:r w:rsidR="007C23FC">
              <w:rPr>
                <w:color w:val="000000"/>
              </w:rPr>
              <w:t xml:space="preserve">, salīdzinot to ar </w:t>
            </w:r>
            <w:r w:rsidR="002C5C78">
              <w:rPr>
                <w:color w:val="000000"/>
              </w:rPr>
              <w:t xml:space="preserve">administratīvajām izmaksām (dokumentu sagatavošana, nosūtīšana u.c.), kas rodas, veicot </w:t>
            </w:r>
            <w:r w:rsidR="007C23FC">
              <w:rPr>
                <w:color w:val="000000"/>
              </w:rPr>
              <w:t>standarta procedūr</w:t>
            </w:r>
            <w:r w:rsidR="00392FC9">
              <w:rPr>
                <w:color w:val="000000"/>
              </w:rPr>
              <w:t xml:space="preserve">as </w:t>
            </w:r>
            <w:r w:rsidR="002A0938">
              <w:rPr>
                <w:color w:val="000000"/>
              </w:rPr>
              <w:t xml:space="preserve">lielā </w:t>
            </w:r>
            <w:r w:rsidR="00392FC9">
              <w:rPr>
                <w:color w:val="000000"/>
              </w:rPr>
              <w:t xml:space="preserve">projekta administrēšanā. </w:t>
            </w:r>
          </w:p>
        </w:tc>
      </w:tr>
      <w:tr w:rsidR="00385F0D" w:rsidRPr="00427146" w:rsidTr="00B274FB">
        <w:trPr>
          <w:trHeight w:val="345"/>
          <w:tblCellSpacing w:w="15" w:type="dxa"/>
        </w:trPr>
        <w:tc>
          <w:tcPr>
            <w:tcW w:w="190" w:type="pct"/>
            <w:hideMark/>
          </w:tcPr>
          <w:p w:rsidR="00385F0D" w:rsidRPr="00427146" w:rsidRDefault="00385F0D">
            <w:pPr>
              <w:rPr>
                <w:color w:val="000000"/>
              </w:rPr>
            </w:pPr>
            <w:r w:rsidRPr="00427146">
              <w:rPr>
                <w:color w:val="000000"/>
              </w:rPr>
              <w:t>4.</w:t>
            </w:r>
          </w:p>
        </w:tc>
        <w:tc>
          <w:tcPr>
            <w:tcW w:w="1189" w:type="pct"/>
            <w:hideMark/>
          </w:tcPr>
          <w:p w:rsidR="00385F0D" w:rsidRPr="00427146" w:rsidRDefault="00385F0D">
            <w:pPr>
              <w:rPr>
                <w:color w:val="000000"/>
              </w:rPr>
            </w:pPr>
            <w:r w:rsidRPr="00427146">
              <w:rPr>
                <w:color w:val="000000"/>
              </w:rPr>
              <w:t>Cita informācija</w:t>
            </w:r>
          </w:p>
        </w:tc>
        <w:tc>
          <w:tcPr>
            <w:tcW w:w="3558" w:type="pct"/>
            <w:hideMark/>
          </w:tcPr>
          <w:p w:rsidR="00385F0D" w:rsidRPr="00427146" w:rsidRDefault="00385F0D" w:rsidP="00F83515">
            <w:pPr>
              <w:ind w:right="72"/>
              <w:jc w:val="both"/>
              <w:rPr>
                <w:color w:val="000000"/>
              </w:rPr>
            </w:pPr>
            <w:r w:rsidRPr="00427146">
              <w:rPr>
                <w:color w:val="000000"/>
              </w:rPr>
              <w:t>Nav</w:t>
            </w:r>
          </w:p>
        </w:tc>
      </w:tr>
    </w:tbl>
    <w:p w:rsidR="00AB5155" w:rsidRPr="00300781" w:rsidRDefault="00AB5155" w:rsidP="00B239CC">
      <w:pPr>
        <w:ind w:left="425" w:hanging="79"/>
        <w:jc w:val="both"/>
        <w:rPr>
          <w:color w:val="000000"/>
          <w:sz w:val="16"/>
          <w:szCs w:val="16"/>
        </w:rPr>
      </w:pPr>
    </w:p>
    <w:tbl>
      <w:tblPr>
        <w:tblW w:w="9498"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2676"/>
        <w:gridCol w:w="1417"/>
        <w:gridCol w:w="1578"/>
        <w:gridCol w:w="1134"/>
        <w:gridCol w:w="1418"/>
        <w:gridCol w:w="1275"/>
      </w:tblGrid>
      <w:tr w:rsidR="00072B7C" w:rsidRPr="00860943" w:rsidTr="00300781">
        <w:tc>
          <w:tcPr>
            <w:tcW w:w="9498" w:type="dxa"/>
            <w:gridSpan w:val="6"/>
            <w:shd w:val="clear" w:color="auto" w:fill="auto"/>
            <w:vAlign w:val="center"/>
            <w:hideMark/>
          </w:tcPr>
          <w:p w:rsidR="00072B7C" w:rsidRPr="00860943" w:rsidRDefault="00072B7C" w:rsidP="00A37B8C">
            <w:pPr>
              <w:pStyle w:val="ListParagraph"/>
              <w:tabs>
                <w:tab w:val="left" w:pos="2268"/>
                <w:tab w:val="left" w:pos="2410"/>
              </w:tabs>
              <w:ind w:left="1080"/>
              <w:jc w:val="center"/>
              <w:rPr>
                <w:b/>
                <w:bCs/>
                <w:lang w:eastAsia="en-US"/>
              </w:rPr>
            </w:pPr>
            <w:r w:rsidRPr="00860943">
              <w:rPr>
                <w:b/>
                <w:bCs/>
              </w:rPr>
              <w:t>III. Tiesību akta projekta ietekme uz valsts budžetu un pašvaldību budžetiem</w:t>
            </w:r>
          </w:p>
        </w:tc>
      </w:tr>
      <w:tr w:rsidR="00072B7C" w:rsidRPr="00860943" w:rsidTr="00300781">
        <w:trPr>
          <w:trHeight w:val="254"/>
        </w:trPr>
        <w:tc>
          <w:tcPr>
            <w:tcW w:w="2676" w:type="dxa"/>
            <w:vMerge w:val="restart"/>
            <w:shd w:val="clear" w:color="auto" w:fill="auto"/>
            <w:vAlign w:val="center"/>
            <w:hideMark/>
          </w:tcPr>
          <w:p w:rsidR="00072B7C" w:rsidRPr="00F7767A" w:rsidRDefault="00072B7C" w:rsidP="00A37B8C">
            <w:pPr>
              <w:jc w:val="center"/>
              <w:rPr>
                <w:b/>
                <w:sz w:val="22"/>
                <w:szCs w:val="22"/>
                <w:lang w:eastAsia="en-US"/>
              </w:rPr>
            </w:pPr>
            <w:r w:rsidRPr="00F7767A">
              <w:rPr>
                <w:b/>
                <w:sz w:val="22"/>
                <w:szCs w:val="22"/>
              </w:rPr>
              <w:t>Rādītāji</w:t>
            </w:r>
          </w:p>
        </w:tc>
        <w:tc>
          <w:tcPr>
            <w:tcW w:w="2995" w:type="dxa"/>
            <w:gridSpan w:val="2"/>
            <w:vMerge w:val="restart"/>
            <w:shd w:val="clear" w:color="auto" w:fill="auto"/>
            <w:vAlign w:val="center"/>
            <w:hideMark/>
          </w:tcPr>
          <w:p w:rsidR="00072B7C" w:rsidRPr="00F7767A" w:rsidRDefault="00072B7C" w:rsidP="00A37B8C">
            <w:pPr>
              <w:jc w:val="center"/>
              <w:rPr>
                <w:b/>
                <w:sz w:val="22"/>
                <w:szCs w:val="22"/>
                <w:lang w:eastAsia="en-US"/>
              </w:rPr>
            </w:pPr>
            <w:r w:rsidRPr="00F7767A">
              <w:rPr>
                <w:b/>
                <w:sz w:val="22"/>
                <w:szCs w:val="22"/>
              </w:rPr>
              <w:t>2015.gads</w:t>
            </w:r>
          </w:p>
        </w:tc>
        <w:tc>
          <w:tcPr>
            <w:tcW w:w="3827" w:type="dxa"/>
            <w:gridSpan w:val="3"/>
            <w:shd w:val="clear" w:color="auto" w:fill="auto"/>
            <w:vAlign w:val="center"/>
            <w:hideMark/>
          </w:tcPr>
          <w:p w:rsidR="00AB5155" w:rsidRPr="00F7767A" w:rsidRDefault="00072B7C" w:rsidP="00AB5155">
            <w:pPr>
              <w:jc w:val="center"/>
              <w:rPr>
                <w:b/>
                <w:sz w:val="22"/>
                <w:szCs w:val="22"/>
              </w:rPr>
            </w:pPr>
            <w:r w:rsidRPr="00F7767A">
              <w:rPr>
                <w:b/>
                <w:sz w:val="22"/>
                <w:szCs w:val="22"/>
              </w:rPr>
              <w:t>Turpmākie trīs gadi (</w:t>
            </w:r>
            <w:proofErr w:type="spellStart"/>
            <w:r w:rsidRPr="00F7767A">
              <w:rPr>
                <w:b/>
                <w:i/>
                <w:sz w:val="22"/>
                <w:szCs w:val="22"/>
              </w:rPr>
              <w:t>euro</w:t>
            </w:r>
            <w:proofErr w:type="spellEnd"/>
            <w:r w:rsidRPr="00F7767A">
              <w:rPr>
                <w:b/>
                <w:sz w:val="22"/>
                <w:szCs w:val="22"/>
              </w:rPr>
              <w:t>)</w:t>
            </w:r>
          </w:p>
        </w:tc>
      </w:tr>
      <w:tr w:rsidR="00072B7C" w:rsidRPr="00860943" w:rsidTr="00300781">
        <w:trPr>
          <w:trHeight w:val="396"/>
        </w:trPr>
        <w:tc>
          <w:tcPr>
            <w:tcW w:w="2676" w:type="dxa"/>
            <w:vMerge/>
            <w:shd w:val="clear" w:color="auto" w:fill="auto"/>
            <w:vAlign w:val="center"/>
            <w:hideMark/>
          </w:tcPr>
          <w:p w:rsidR="00072B7C" w:rsidRPr="00F7767A" w:rsidRDefault="00072B7C" w:rsidP="00A37B8C">
            <w:pPr>
              <w:rPr>
                <w:b/>
                <w:sz w:val="22"/>
                <w:szCs w:val="22"/>
                <w:lang w:eastAsia="en-US"/>
              </w:rPr>
            </w:pPr>
          </w:p>
        </w:tc>
        <w:tc>
          <w:tcPr>
            <w:tcW w:w="2995" w:type="dxa"/>
            <w:gridSpan w:val="2"/>
            <w:vMerge/>
            <w:shd w:val="clear" w:color="auto" w:fill="auto"/>
            <w:vAlign w:val="center"/>
            <w:hideMark/>
          </w:tcPr>
          <w:p w:rsidR="00072B7C" w:rsidRPr="00F7767A" w:rsidRDefault="00072B7C" w:rsidP="00A37B8C">
            <w:pPr>
              <w:rPr>
                <w:b/>
                <w:sz w:val="22"/>
                <w:szCs w:val="22"/>
                <w:lang w:eastAsia="en-US"/>
              </w:rPr>
            </w:pPr>
          </w:p>
        </w:tc>
        <w:tc>
          <w:tcPr>
            <w:tcW w:w="1134" w:type="dxa"/>
            <w:shd w:val="clear" w:color="auto" w:fill="auto"/>
            <w:vAlign w:val="center"/>
            <w:hideMark/>
          </w:tcPr>
          <w:p w:rsidR="00072B7C" w:rsidRPr="00F7767A" w:rsidRDefault="00072B7C" w:rsidP="00A37B8C">
            <w:pPr>
              <w:jc w:val="center"/>
              <w:rPr>
                <w:b/>
                <w:sz w:val="22"/>
                <w:szCs w:val="22"/>
                <w:lang w:eastAsia="en-US"/>
              </w:rPr>
            </w:pPr>
            <w:r w:rsidRPr="00F7767A">
              <w:rPr>
                <w:b/>
                <w:sz w:val="22"/>
                <w:szCs w:val="22"/>
              </w:rPr>
              <w:t>2016.g.</w:t>
            </w:r>
          </w:p>
        </w:tc>
        <w:tc>
          <w:tcPr>
            <w:tcW w:w="1418" w:type="dxa"/>
            <w:shd w:val="clear" w:color="auto" w:fill="auto"/>
            <w:vAlign w:val="center"/>
            <w:hideMark/>
          </w:tcPr>
          <w:p w:rsidR="00072B7C" w:rsidRPr="00F7767A" w:rsidRDefault="00072B7C" w:rsidP="00A37B8C">
            <w:pPr>
              <w:jc w:val="center"/>
              <w:rPr>
                <w:b/>
                <w:sz w:val="22"/>
                <w:szCs w:val="22"/>
                <w:lang w:eastAsia="en-US"/>
              </w:rPr>
            </w:pPr>
            <w:r w:rsidRPr="00F7767A">
              <w:rPr>
                <w:b/>
                <w:sz w:val="22"/>
                <w:szCs w:val="22"/>
              </w:rPr>
              <w:t>2017.g.</w:t>
            </w:r>
          </w:p>
        </w:tc>
        <w:tc>
          <w:tcPr>
            <w:tcW w:w="1275" w:type="dxa"/>
            <w:shd w:val="clear" w:color="auto" w:fill="auto"/>
            <w:vAlign w:val="center"/>
            <w:hideMark/>
          </w:tcPr>
          <w:p w:rsidR="00072B7C" w:rsidRPr="00F7767A" w:rsidRDefault="00072B7C" w:rsidP="00A37B8C">
            <w:pPr>
              <w:jc w:val="center"/>
              <w:rPr>
                <w:b/>
                <w:sz w:val="22"/>
                <w:szCs w:val="22"/>
                <w:lang w:eastAsia="en-US"/>
              </w:rPr>
            </w:pPr>
            <w:r w:rsidRPr="00F7767A">
              <w:rPr>
                <w:b/>
                <w:sz w:val="22"/>
                <w:szCs w:val="22"/>
              </w:rPr>
              <w:t>2018.g.</w:t>
            </w:r>
          </w:p>
        </w:tc>
      </w:tr>
      <w:tr w:rsidR="00072B7C" w:rsidRPr="00860943" w:rsidTr="00300781">
        <w:tc>
          <w:tcPr>
            <w:tcW w:w="2676" w:type="dxa"/>
            <w:vMerge/>
            <w:shd w:val="clear" w:color="auto" w:fill="auto"/>
            <w:vAlign w:val="center"/>
            <w:hideMark/>
          </w:tcPr>
          <w:p w:rsidR="00072B7C" w:rsidRPr="00F7767A" w:rsidRDefault="00072B7C" w:rsidP="00A37B8C">
            <w:pPr>
              <w:rPr>
                <w:b/>
                <w:sz w:val="22"/>
                <w:szCs w:val="22"/>
                <w:lang w:eastAsia="en-US"/>
              </w:rPr>
            </w:pPr>
          </w:p>
        </w:tc>
        <w:tc>
          <w:tcPr>
            <w:tcW w:w="1417" w:type="dxa"/>
            <w:shd w:val="clear" w:color="auto" w:fill="auto"/>
            <w:vAlign w:val="center"/>
            <w:hideMark/>
          </w:tcPr>
          <w:p w:rsidR="00072B7C" w:rsidRPr="00F7767A" w:rsidRDefault="00072B7C" w:rsidP="00A37B8C">
            <w:pPr>
              <w:jc w:val="center"/>
              <w:rPr>
                <w:b/>
                <w:sz w:val="22"/>
                <w:szCs w:val="22"/>
                <w:lang w:eastAsia="en-US"/>
              </w:rPr>
            </w:pPr>
            <w:r w:rsidRPr="00F7767A">
              <w:rPr>
                <w:b/>
                <w:sz w:val="22"/>
                <w:szCs w:val="22"/>
              </w:rPr>
              <w:t>saskaņā ar valsts budžetu kārtējam gadam</w:t>
            </w:r>
          </w:p>
        </w:tc>
        <w:tc>
          <w:tcPr>
            <w:tcW w:w="1578" w:type="dxa"/>
            <w:shd w:val="clear" w:color="auto" w:fill="auto"/>
            <w:vAlign w:val="center"/>
            <w:hideMark/>
          </w:tcPr>
          <w:p w:rsidR="00072B7C" w:rsidRPr="00F7767A" w:rsidRDefault="00072B7C" w:rsidP="00A37B8C">
            <w:pPr>
              <w:jc w:val="center"/>
              <w:rPr>
                <w:b/>
                <w:sz w:val="22"/>
                <w:szCs w:val="22"/>
                <w:lang w:eastAsia="en-US"/>
              </w:rPr>
            </w:pPr>
            <w:r w:rsidRPr="00F7767A">
              <w:rPr>
                <w:b/>
                <w:sz w:val="22"/>
                <w:szCs w:val="22"/>
              </w:rPr>
              <w:t>izmaiņas kārtējā gadā, salīdzinot ar valsts budžetu kārtējam gadam</w:t>
            </w:r>
          </w:p>
        </w:tc>
        <w:tc>
          <w:tcPr>
            <w:tcW w:w="1134" w:type="dxa"/>
            <w:shd w:val="clear" w:color="auto" w:fill="auto"/>
            <w:vAlign w:val="center"/>
            <w:hideMark/>
          </w:tcPr>
          <w:p w:rsidR="00072B7C" w:rsidRPr="00F7767A" w:rsidRDefault="00072B7C" w:rsidP="00BA3DA3">
            <w:pPr>
              <w:jc w:val="center"/>
              <w:rPr>
                <w:b/>
                <w:sz w:val="22"/>
                <w:szCs w:val="22"/>
                <w:lang w:eastAsia="en-US"/>
              </w:rPr>
            </w:pPr>
            <w:r w:rsidRPr="00F7767A">
              <w:rPr>
                <w:b/>
                <w:sz w:val="22"/>
                <w:szCs w:val="22"/>
              </w:rPr>
              <w:t>izmaiņas, salīdzinot ar kārtējo gadu</w:t>
            </w:r>
          </w:p>
        </w:tc>
        <w:tc>
          <w:tcPr>
            <w:tcW w:w="1418" w:type="dxa"/>
            <w:shd w:val="clear" w:color="auto" w:fill="auto"/>
            <w:vAlign w:val="center"/>
            <w:hideMark/>
          </w:tcPr>
          <w:p w:rsidR="00072B7C" w:rsidRPr="00F7767A" w:rsidRDefault="00072B7C" w:rsidP="00BA3DA3">
            <w:pPr>
              <w:jc w:val="center"/>
              <w:rPr>
                <w:b/>
                <w:sz w:val="22"/>
                <w:szCs w:val="22"/>
                <w:lang w:eastAsia="en-US"/>
              </w:rPr>
            </w:pPr>
            <w:r w:rsidRPr="00F7767A">
              <w:rPr>
                <w:b/>
                <w:sz w:val="22"/>
                <w:szCs w:val="22"/>
              </w:rPr>
              <w:t>izmaiņas, salīdzinot ar kārtējo gadu</w:t>
            </w:r>
          </w:p>
        </w:tc>
        <w:tc>
          <w:tcPr>
            <w:tcW w:w="1275" w:type="dxa"/>
            <w:shd w:val="clear" w:color="auto" w:fill="auto"/>
            <w:vAlign w:val="center"/>
            <w:hideMark/>
          </w:tcPr>
          <w:p w:rsidR="00072B7C" w:rsidRPr="00F7767A" w:rsidRDefault="00072B7C" w:rsidP="00BA3DA3">
            <w:pPr>
              <w:jc w:val="center"/>
              <w:rPr>
                <w:b/>
                <w:sz w:val="22"/>
                <w:szCs w:val="22"/>
                <w:lang w:eastAsia="en-US"/>
              </w:rPr>
            </w:pPr>
            <w:r w:rsidRPr="00F7767A">
              <w:rPr>
                <w:b/>
                <w:sz w:val="22"/>
                <w:szCs w:val="22"/>
              </w:rPr>
              <w:t>izmaiņas, salīdzinot ar kārtējo gadu</w:t>
            </w:r>
          </w:p>
        </w:tc>
      </w:tr>
      <w:tr w:rsidR="00072B7C" w:rsidRPr="00860943" w:rsidTr="00300781">
        <w:tc>
          <w:tcPr>
            <w:tcW w:w="2676" w:type="dxa"/>
            <w:shd w:val="clear" w:color="auto" w:fill="auto"/>
            <w:vAlign w:val="center"/>
            <w:hideMark/>
          </w:tcPr>
          <w:p w:rsidR="00072B7C" w:rsidRPr="00F7767A" w:rsidRDefault="00072B7C" w:rsidP="00A37B8C">
            <w:pPr>
              <w:jc w:val="center"/>
              <w:rPr>
                <w:sz w:val="22"/>
                <w:szCs w:val="22"/>
                <w:lang w:eastAsia="en-US"/>
              </w:rPr>
            </w:pPr>
            <w:r w:rsidRPr="00F7767A">
              <w:rPr>
                <w:sz w:val="22"/>
                <w:szCs w:val="22"/>
              </w:rPr>
              <w:t>1</w:t>
            </w:r>
          </w:p>
        </w:tc>
        <w:tc>
          <w:tcPr>
            <w:tcW w:w="1417" w:type="dxa"/>
            <w:shd w:val="clear" w:color="auto" w:fill="auto"/>
            <w:vAlign w:val="center"/>
            <w:hideMark/>
          </w:tcPr>
          <w:p w:rsidR="00072B7C" w:rsidRPr="00F7767A" w:rsidRDefault="00072B7C" w:rsidP="00A37B8C">
            <w:pPr>
              <w:jc w:val="center"/>
              <w:rPr>
                <w:sz w:val="22"/>
                <w:szCs w:val="22"/>
                <w:lang w:eastAsia="en-US"/>
              </w:rPr>
            </w:pPr>
            <w:r w:rsidRPr="00F7767A">
              <w:rPr>
                <w:sz w:val="22"/>
                <w:szCs w:val="22"/>
              </w:rPr>
              <w:t>2</w:t>
            </w:r>
          </w:p>
        </w:tc>
        <w:tc>
          <w:tcPr>
            <w:tcW w:w="1578" w:type="dxa"/>
            <w:shd w:val="clear" w:color="auto" w:fill="auto"/>
            <w:vAlign w:val="center"/>
            <w:hideMark/>
          </w:tcPr>
          <w:p w:rsidR="00072B7C" w:rsidRPr="00F7767A" w:rsidRDefault="00072B7C" w:rsidP="00A37B8C">
            <w:pPr>
              <w:jc w:val="center"/>
              <w:rPr>
                <w:sz w:val="22"/>
                <w:szCs w:val="22"/>
                <w:lang w:eastAsia="en-US"/>
              </w:rPr>
            </w:pPr>
            <w:r w:rsidRPr="00F7767A">
              <w:rPr>
                <w:sz w:val="22"/>
                <w:szCs w:val="22"/>
              </w:rPr>
              <w:t>3</w:t>
            </w:r>
          </w:p>
        </w:tc>
        <w:tc>
          <w:tcPr>
            <w:tcW w:w="1134" w:type="dxa"/>
            <w:shd w:val="clear" w:color="auto" w:fill="auto"/>
            <w:vAlign w:val="center"/>
            <w:hideMark/>
          </w:tcPr>
          <w:p w:rsidR="00072B7C" w:rsidRPr="00F7767A" w:rsidRDefault="00072B7C" w:rsidP="00A37B8C">
            <w:pPr>
              <w:jc w:val="center"/>
              <w:rPr>
                <w:sz w:val="22"/>
                <w:szCs w:val="22"/>
                <w:lang w:eastAsia="en-US"/>
              </w:rPr>
            </w:pPr>
            <w:r w:rsidRPr="00F7767A">
              <w:rPr>
                <w:sz w:val="22"/>
                <w:szCs w:val="22"/>
              </w:rPr>
              <w:t>4</w:t>
            </w:r>
          </w:p>
        </w:tc>
        <w:tc>
          <w:tcPr>
            <w:tcW w:w="1418" w:type="dxa"/>
            <w:shd w:val="clear" w:color="auto" w:fill="auto"/>
            <w:vAlign w:val="center"/>
            <w:hideMark/>
          </w:tcPr>
          <w:p w:rsidR="00072B7C" w:rsidRPr="00F7767A" w:rsidRDefault="00072B7C" w:rsidP="00A37B8C">
            <w:pPr>
              <w:jc w:val="center"/>
              <w:rPr>
                <w:sz w:val="22"/>
                <w:szCs w:val="22"/>
                <w:lang w:eastAsia="en-US"/>
              </w:rPr>
            </w:pPr>
            <w:r w:rsidRPr="00F7767A">
              <w:rPr>
                <w:sz w:val="22"/>
                <w:szCs w:val="22"/>
              </w:rPr>
              <w:t>5</w:t>
            </w:r>
          </w:p>
        </w:tc>
        <w:tc>
          <w:tcPr>
            <w:tcW w:w="1275" w:type="dxa"/>
            <w:shd w:val="clear" w:color="auto" w:fill="auto"/>
            <w:vAlign w:val="center"/>
            <w:hideMark/>
          </w:tcPr>
          <w:p w:rsidR="00072B7C" w:rsidRPr="00F7767A" w:rsidRDefault="00072B7C" w:rsidP="00A37B8C">
            <w:pPr>
              <w:jc w:val="center"/>
              <w:rPr>
                <w:sz w:val="22"/>
                <w:szCs w:val="22"/>
                <w:lang w:eastAsia="en-US"/>
              </w:rPr>
            </w:pPr>
            <w:r w:rsidRPr="00F7767A">
              <w:rPr>
                <w:sz w:val="22"/>
                <w:szCs w:val="22"/>
              </w:rPr>
              <w:t>6</w:t>
            </w:r>
          </w:p>
        </w:tc>
      </w:tr>
      <w:tr w:rsidR="00072B7C" w:rsidRPr="00860943" w:rsidTr="00300781">
        <w:tc>
          <w:tcPr>
            <w:tcW w:w="2676" w:type="dxa"/>
            <w:shd w:val="clear" w:color="auto" w:fill="auto"/>
            <w:hideMark/>
          </w:tcPr>
          <w:p w:rsidR="00072B7C" w:rsidRPr="00F7767A" w:rsidRDefault="00072B7C" w:rsidP="00A37B8C">
            <w:pPr>
              <w:rPr>
                <w:sz w:val="22"/>
                <w:szCs w:val="22"/>
                <w:lang w:eastAsia="en-US"/>
              </w:rPr>
            </w:pPr>
            <w:r w:rsidRPr="00F7767A">
              <w:rPr>
                <w:sz w:val="22"/>
                <w:szCs w:val="22"/>
              </w:rPr>
              <w:t>1. Budžeta ieņēmumi:</w:t>
            </w:r>
          </w:p>
        </w:tc>
        <w:tc>
          <w:tcPr>
            <w:tcW w:w="1417" w:type="dxa"/>
            <w:shd w:val="clear" w:color="auto" w:fill="auto"/>
            <w:vAlign w:val="center"/>
          </w:tcPr>
          <w:p w:rsidR="00072B7C" w:rsidRPr="00F7767A" w:rsidRDefault="00072B7C" w:rsidP="00A37B8C">
            <w:pPr>
              <w:jc w:val="right"/>
              <w:rPr>
                <w:sz w:val="22"/>
                <w:szCs w:val="22"/>
                <w:lang w:eastAsia="en-US"/>
              </w:rPr>
            </w:pPr>
          </w:p>
        </w:tc>
        <w:tc>
          <w:tcPr>
            <w:tcW w:w="1578" w:type="dxa"/>
            <w:shd w:val="clear" w:color="auto" w:fill="auto"/>
            <w:vAlign w:val="center"/>
          </w:tcPr>
          <w:p w:rsidR="00072B7C" w:rsidRPr="00F7767A" w:rsidRDefault="00072B7C" w:rsidP="00A37B8C">
            <w:pPr>
              <w:jc w:val="right"/>
              <w:rPr>
                <w:sz w:val="22"/>
                <w:szCs w:val="22"/>
                <w:lang w:eastAsia="en-US"/>
              </w:rPr>
            </w:pPr>
          </w:p>
        </w:tc>
        <w:tc>
          <w:tcPr>
            <w:tcW w:w="1134" w:type="dxa"/>
            <w:shd w:val="clear" w:color="auto" w:fill="auto"/>
            <w:vAlign w:val="center"/>
          </w:tcPr>
          <w:p w:rsidR="00072B7C" w:rsidRPr="00F7767A" w:rsidRDefault="00072B7C" w:rsidP="00A37B8C">
            <w:pPr>
              <w:jc w:val="right"/>
              <w:rPr>
                <w:sz w:val="22"/>
                <w:szCs w:val="22"/>
                <w:lang w:eastAsia="en-US"/>
              </w:rPr>
            </w:pPr>
          </w:p>
        </w:tc>
        <w:tc>
          <w:tcPr>
            <w:tcW w:w="1418" w:type="dxa"/>
            <w:shd w:val="clear" w:color="auto" w:fill="auto"/>
            <w:vAlign w:val="center"/>
          </w:tcPr>
          <w:p w:rsidR="00072B7C" w:rsidRPr="00F7767A" w:rsidRDefault="00072B7C" w:rsidP="00A37B8C">
            <w:pPr>
              <w:jc w:val="right"/>
              <w:rPr>
                <w:sz w:val="22"/>
                <w:szCs w:val="22"/>
                <w:lang w:eastAsia="en-US"/>
              </w:rPr>
            </w:pPr>
          </w:p>
        </w:tc>
        <w:tc>
          <w:tcPr>
            <w:tcW w:w="1275" w:type="dxa"/>
            <w:shd w:val="clear" w:color="auto" w:fill="auto"/>
            <w:vAlign w:val="center"/>
          </w:tcPr>
          <w:p w:rsidR="00072B7C" w:rsidRPr="00F7767A" w:rsidRDefault="00072B7C" w:rsidP="00A37B8C">
            <w:pPr>
              <w:jc w:val="right"/>
              <w:rPr>
                <w:sz w:val="22"/>
                <w:szCs w:val="22"/>
                <w:lang w:eastAsia="en-US"/>
              </w:rPr>
            </w:pPr>
          </w:p>
        </w:tc>
      </w:tr>
      <w:tr w:rsidR="002E2319" w:rsidRPr="00860943" w:rsidTr="00300781">
        <w:tc>
          <w:tcPr>
            <w:tcW w:w="2676" w:type="dxa"/>
            <w:shd w:val="clear" w:color="auto" w:fill="auto"/>
            <w:hideMark/>
          </w:tcPr>
          <w:p w:rsidR="002E2319" w:rsidRPr="00F7767A" w:rsidRDefault="002E2319" w:rsidP="002E2319">
            <w:pPr>
              <w:rPr>
                <w:sz w:val="22"/>
                <w:szCs w:val="22"/>
                <w:lang w:eastAsia="en-US"/>
              </w:rPr>
            </w:pPr>
            <w:r w:rsidRPr="00F7767A">
              <w:rPr>
                <w:sz w:val="22"/>
                <w:szCs w:val="22"/>
              </w:rPr>
              <w:t>1.1. valsts pamatbudžets, tai skaitā ieņēmumi no maksas pakalpojumiem un citi pašu ieņēmumi</w:t>
            </w:r>
          </w:p>
        </w:tc>
        <w:tc>
          <w:tcPr>
            <w:tcW w:w="1417"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578"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134"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418"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275"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r>
      <w:tr w:rsidR="002E2319" w:rsidRPr="00860943" w:rsidTr="00300781">
        <w:tc>
          <w:tcPr>
            <w:tcW w:w="2676" w:type="dxa"/>
            <w:shd w:val="clear" w:color="auto" w:fill="auto"/>
            <w:hideMark/>
          </w:tcPr>
          <w:p w:rsidR="002E2319" w:rsidRPr="00F7767A" w:rsidRDefault="002E2319" w:rsidP="002E2319">
            <w:pPr>
              <w:rPr>
                <w:sz w:val="22"/>
                <w:szCs w:val="22"/>
                <w:lang w:eastAsia="en-US"/>
              </w:rPr>
            </w:pPr>
            <w:r w:rsidRPr="00F7767A">
              <w:rPr>
                <w:sz w:val="22"/>
                <w:szCs w:val="22"/>
              </w:rPr>
              <w:t>1.2. valsts speciālais budžets</w:t>
            </w:r>
          </w:p>
        </w:tc>
        <w:tc>
          <w:tcPr>
            <w:tcW w:w="1417"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578"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134"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418"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275"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r>
      <w:tr w:rsidR="002E2319" w:rsidRPr="00860943" w:rsidTr="00300781">
        <w:tc>
          <w:tcPr>
            <w:tcW w:w="2676" w:type="dxa"/>
            <w:shd w:val="clear" w:color="auto" w:fill="auto"/>
            <w:hideMark/>
          </w:tcPr>
          <w:p w:rsidR="002E2319" w:rsidRPr="00F7767A" w:rsidRDefault="002E2319" w:rsidP="002E2319">
            <w:pPr>
              <w:rPr>
                <w:sz w:val="22"/>
                <w:szCs w:val="22"/>
                <w:lang w:eastAsia="en-US"/>
              </w:rPr>
            </w:pPr>
            <w:r w:rsidRPr="00F7767A">
              <w:rPr>
                <w:sz w:val="22"/>
                <w:szCs w:val="22"/>
              </w:rPr>
              <w:t>1.3. pašvaldību budžets</w:t>
            </w:r>
          </w:p>
        </w:tc>
        <w:tc>
          <w:tcPr>
            <w:tcW w:w="1417"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578"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134"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418"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c>
          <w:tcPr>
            <w:tcW w:w="1275" w:type="dxa"/>
            <w:shd w:val="clear" w:color="auto" w:fill="auto"/>
            <w:vAlign w:val="center"/>
          </w:tcPr>
          <w:p w:rsidR="002E2319" w:rsidRPr="00F7767A" w:rsidRDefault="008C18B6" w:rsidP="002E2319">
            <w:pPr>
              <w:jc w:val="right"/>
              <w:rPr>
                <w:sz w:val="22"/>
                <w:szCs w:val="22"/>
                <w:lang w:eastAsia="en-US"/>
              </w:rPr>
            </w:pPr>
            <w:r w:rsidRPr="00F7767A">
              <w:rPr>
                <w:sz w:val="22"/>
                <w:szCs w:val="22"/>
                <w:lang w:eastAsia="en-US"/>
              </w:rPr>
              <w:t>-</w:t>
            </w:r>
          </w:p>
        </w:tc>
      </w:tr>
      <w:tr w:rsidR="002E2319" w:rsidRPr="00860943" w:rsidTr="00300781">
        <w:tc>
          <w:tcPr>
            <w:tcW w:w="2676" w:type="dxa"/>
            <w:shd w:val="clear" w:color="auto" w:fill="auto"/>
            <w:hideMark/>
          </w:tcPr>
          <w:p w:rsidR="002E2319" w:rsidRPr="00F7767A" w:rsidRDefault="002E2319" w:rsidP="002E2319">
            <w:pPr>
              <w:rPr>
                <w:sz w:val="22"/>
                <w:szCs w:val="22"/>
                <w:lang w:eastAsia="en-US"/>
              </w:rPr>
            </w:pPr>
            <w:r w:rsidRPr="00F7767A">
              <w:rPr>
                <w:sz w:val="22"/>
                <w:szCs w:val="22"/>
              </w:rPr>
              <w:t>2. Budžeta izdevumi:</w:t>
            </w:r>
          </w:p>
        </w:tc>
        <w:tc>
          <w:tcPr>
            <w:tcW w:w="1417" w:type="dxa"/>
            <w:shd w:val="clear" w:color="auto" w:fill="auto"/>
            <w:vAlign w:val="center"/>
          </w:tcPr>
          <w:p w:rsidR="002E2319" w:rsidRPr="00F7767A" w:rsidRDefault="002E2319" w:rsidP="002E2319">
            <w:pPr>
              <w:jc w:val="right"/>
              <w:rPr>
                <w:color w:val="000000" w:themeColor="text1"/>
                <w:sz w:val="22"/>
                <w:szCs w:val="22"/>
                <w:lang w:eastAsia="en-US"/>
              </w:rPr>
            </w:pPr>
          </w:p>
        </w:tc>
        <w:tc>
          <w:tcPr>
            <w:tcW w:w="1578" w:type="dxa"/>
            <w:shd w:val="clear" w:color="auto" w:fill="FFFFFF"/>
            <w:vAlign w:val="center"/>
          </w:tcPr>
          <w:p w:rsidR="002E2319" w:rsidRPr="00F7767A" w:rsidRDefault="002E2319" w:rsidP="002E2319">
            <w:pPr>
              <w:jc w:val="right"/>
              <w:rPr>
                <w:color w:val="000000" w:themeColor="text1"/>
                <w:sz w:val="22"/>
                <w:szCs w:val="22"/>
                <w:lang w:eastAsia="en-US"/>
              </w:rPr>
            </w:pPr>
          </w:p>
        </w:tc>
        <w:tc>
          <w:tcPr>
            <w:tcW w:w="1134" w:type="dxa"/>
            <w:shd w:val="clear" w:color="auto" w:fill="auto"/>
            <w:vAlign w:val="center"/>
          </w:tcPr>
          <w:p w:rsidR="002E2319" w:rsidRPr="00F7767A" w:rsidRDefault="002E2319" w:rsidP="004D7566">
            <w:pPr>
              <w:jc w:val="right"/>
              <w:rPr>
                <w:color w:val="000000" w:themeColor="text1"/>
                <w:sz w:val="22"/>
                <w:szCs w:val="22"/>
                <w:lang w:eastAsia="en-US"/>
              </w:rPr>
            </w:pPr>
          </w:p>
        </w:tc>
        <w:tc>
          <w:tcPr>
            <w:tcW w:w="1418" w:type="dxa"/>
            <w:shd w:val="clear" w:color="auto" w:fill="auto"/>
            <w:vAlign w:val="center"/>
          </w:tcPr>
          <w:p w:rsidR="002E2319" w:rsidRPr="00F7767A" w:rsidRDefault="002E2319" w:rsidP="004D7566">
            <w:pPr>
              <w:jc w:val="right"/>
              <w:rPr>
                <w:color w:val="000000" w:themeColor="text1"/>
                <w:sz w:val="22"/>
                <w:szCs w:val="22"/>
                <w:lang w:eastAsia="en-US"/>
              </w:rPr>
            </w:pPr>
          </w:p>
        </w:tc>
        <w:tc>
          <w:tcPr>
            <w:tcW w:w="1275" w:type="dxa"/>
            <w:shd w:val="clear" w:color="auto" w:fill="auto"/>
            <w:vAlign w:val="center"/>
          </w:tcPr>
          <w:p w:rsidR="002E2319" w:rsidRPr="00F7767A" w:rsidRDefault="002E2319" w:rsidP="002E2319">
            <w:pPr>
              <w:jc w:val="right"/>
              <w:rPr>
                <w:color w:val="000000" w:themeColor="text1"/>
                <w:sz w:val="22"/>
                <w:szCs w:val="22"/>
                <w:lang w:eastAsia="en-US"/>
              </w:rPr>
            </w:pPr>
          </w:p>
        </w:tc>
      </w:tr>
      <w:tr w:rsidR="002E2319" w:rsidRPr="00860943" w:rsidTr="00300781">
        <w:tc>
          <w:tcPr>
            <w:tcW w:w="2676" w:type="dxa"/>
            <w:shd w:val="clear" w:color="auto" w:fill="auto"/>
            <w:hideMark/>
          </w:tcPr>
          <w:p w:rsidR="002E2319" w:rsidRPr="00F7767A" w:rsidRDefault="002E2319" w:rsidP="002E2319">
            <w:pPr>
              <w:rPr>
                <w:sz w:val="22"/>
                <w:szCs w:val="22"/>
                <w:lang w:eastAsia="en-US"/>
              </w:rPr>
            </w:pPr>
            <w:r w:rsidRPr="00F7767A">
              <w:rPr>
                <w:sz w:val="22"/>
                <w:szCs w:val="22"/>
              </w:rPr>
              <w:t>2.1. valsts pamatbudžets</w:t>
            </w:r>
          </w:p>
        </w:tc>
        <w:tc>
          <w:tcPr>
            <w:tcW w:w="1417" w:type="dxa"/>
            <w:shd w:val="clear" w:color="auto" w:fill="auto"/>
            <w:vAlign w:val="center"/>
          </w:tcPr>
          <w:p w:rsidR="002E2319" w:rsidRPr="00F7767A" w:rsidRDefault="00DE736F" w:rsidP="002E2319">
            <w:pPr>
              <w:jc w:val="right"/>
              <w:rPr>
                <w:color w:val="000000" w:themeColor="text1"/>
                <w:sz w:val="22"/>
                <w:szCs w:val="22"/>
                <w:lang w:eastAsia="en-US"/>
              </w:rPr>
            </w:pPr>
            <w:r w:rsidRPr="00F7767A">
              <w:rPr>
                <w:color w:val="000000" w:themeColor="text1"/>
                <w:sz w:val="22"/>
                <w:szCs w:val="22"/>
                <w:lang w:eastAsia="en-US"/>
              </w:rPr>
              <w:t>0</w:t>
            </w:r>
          </w:p>
        </w:tc>
        <w:tc>
          <w:tcPr>
            <w:tcW w:w="1578" w:type="dxa"/>
            <w:shd w:val="clear" w:color="auto" w:fill="FFFFFF"/>
            <w:vAlign w:val="center"/>
          </w:tcPr>
          <w:p w:rsidR="002E2319" w:rsidRPr="00F7767A" w:rsidRDefault="00DE736F" w:rsidP="002E2319">
            <w:pPr>
              <w:jc w:val="right"/>
              <w:rPr>
                <w:color w:val="000000" w:themeColor="text1"/>
                <w:sz w:val="22"/>
                <w:szCs w:val="22"/>
                <w:lang w:eastAsia="en-US"/>
              </w:rPr>
            </w:pPr>
            <w:r w:rsidRPr="00F7767A">
              <w:rPr>
                <w:color w:val="000000" w:themeColor="text1"/>
                <w:sz w:val="22"/>
                <w:szCs w:val="22"/>
                <w:lang w:eastAsia="en-US"/>
              </w:rPr>
              <w:t>0</w:t>
            </w:r>
          </w:p>
        </w:tc>
        <w:tc>
          <w:tcPr>
            <w:tcW w:w="1134" w:type="dxa"/>
            <w:shd w:val="clear" w:color="auto" w:fill="auto"/>
            <w:vAlign w:val="center"/>
          </w:tcPr>
          <w:p w:rsidR="002E2319" w:rsidRPr="00F7767A" w:rsidRDefault="00FB1FED" w:rsidP="004D7566">
            <w:pPr>
              <w:jc w:val="right"/>
              <w:rPr>
                <w:color w:val="000000" w:themeColor="text1"/>
                <w:sz w:val="22"/>
                <w:szCs w:val="22"/>
                <w:lang w:eastAsia="en-US"/>
              </w:rPr>
            </w:pPr>
            <w:r>
              <w:rPr>
                <w:color w:val="000000" w:themeColor="text1"/>
                <w:sz w:val="22"/>
                <w:szCs w:val="22"/>
                <w:lang w:eastAsia="en-US"/>
              </w:rPr>
              <w:t>788 854</w:t>
            </w:r>
          </w:p>
        </w:tc>
        <w:tc>
          <w:tcPr>
            <w:tcW w:w="1418" w:type="dxa"/>
            <w:shd w:val="clear" w:color="auto" w:fill="auto"/>
            <w:vAlign w:val="center"/>
          </w:tcPr>
          <w:p w:rsidR="002E2319" w:rsidRPr="00F7767A" w:rsidRDefault="00FB1FED" w:rsidP="004D7566">
            <w:pPr>
              <w:jc w:val="right"/>
              <w:rPr>
                <w:color w:val="000000" w:themeColor="text1"/>
                <w:sz w:val="22"/>
                <w:szCs w:val="22"/>
                <w:lang w:eastAsia="en-US"/>
              </w:rPr>
            </w:pPr>
            <w:r>
              <w:rPr>
                <w:color w:val="000000" w:themeColor="text1"/>
                <w:sz w:val="22"/>
                <w:szCs w:val="22"/>
                <w:lang w:eastAsia="en-US"/>
              </w:rPr>
              <w:t>12 523 992</w:t>
            </w:r>
          </w:p>
        </w:tc>
        <w:tc>
          <w:tcPr>
            <w:tcW w:w="1275" w:type="dxa"/>
            <w:shd w:val="clear" w:color="auto" w:fill="auto"/>
            <w:vAlign w:val="center"/>
          </w:tcPr>
          <w:p w:rsidR="002E2319" w:rsidRPr="00F7767A" w:rsidRDefault="00FB1FED" w:rsidP="002E2319">
            <w:pPr>
              <w:jc w:val="right"/>
              <w:rPr>
                <w:color w:val="000000" w:themeColor="text1"/>
                <w:sz w:val="22"/>
                <w:szCs w:val="22"/>
                <w:lang w:eastAsia="en-US"/>
              </w:rPr>
            </w:pPr>
            <w:r>
              <w:rPr>
                <w:color w:val="000000" w:themeColor="text1"/>
                <w:sz w:val="22"/>
                <w:szCs w:val="22"/>
                <w:lang w:eastAsia="en-US"/>
              </w:rPr>
              <w:t>7 569 782</w:t>
            </w:r>
          </w:p>
        </w:tc>
      </w:tr>
      <w:tr w:rsidR="002E2319" w:rsidRPr="00860943" w:rsidTr="00300781">
        <w:tc>
          <w:tcPr>
            <w:tcW w:w="2676" w:type="dxa"/>
            <w:shd w:val="clear" w:color="auto" w:fill="auto"/>
            <w:hideMark/>
          </w:tcPr>
          <w:p w:rsidR="002E2319" w:rsidRPr="00F7767A" w:rsidRDefault="002E2319" w:rsidP="002E2319">
            <w:pPr>
              <w:rPr>
                <w:sz w:val="22"/>
                <w:szCs w:val="22"/>
                <w:lang w:eastAsia="en-US"/>
              </w:rPr>
            </w:pPr>
            <w:r w:rsidRPr="00F7767A">
              <w:rPr>
                <w:sz w:val="22"/>
                <w:szCs w:val="22"/>
              </w:rPr>
              <w:t>2.2. valsts speciālais budžets</w:t>
            </w:r>
          </w:p>
        </w:tc>
        <w:tc>
          <w:tcPr>
            <w:tcW w:w="1417" w:type="dxa"/>
            <w:shd w:val="clear" w:color="auto" w:fill="auto"/>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c>
          <w:tcPr>
            <w:tcW w:w="1578" w:type="dxa"/>
            <w:shd w:val="clear" w:color="auto" w:fill="FFFFFF"/>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c>
          <w:tcPr>
            <w:tcW w:w="1134" w:type="dxa"/>
            <w:shd w:val="clear" w:color="auto" w:fill="auto"/>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c>
          <w:tcPr>
            <w:tcW w:w="1418" w:type="dxa"/>
            <w:shd w:val="clear" w:color="auto" w:fill="auto"/>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c>
          <w:tcPr>
            <w:tcW w:w="1275" w:type="dxa"/>
            <w:shd w:val="clear" w:color="auto" w:fill="auto"/>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r>
      <w:tr w:rsidR="002E2319" w:rsidRPr="00860943" w:rsidTr="00300781">
        <w:tc>
          <w:tcPr>
            <w:tcW w:w="2676" w:type="dxa"/>
            <w:shd w:val="clear" w:color="auto" w:fill="auto"/>
            <w:hideMark/>
          </w:tcPr>
          <w:p w:rsidR="002E2319" w:rsidRPr="00F7767A" w:rsidRDefault="002E2319" w:rsidP="002E2319">
            <w:pPr>
              <w:rPr>
                <w:sz w:val="22"/>
                <w:szCs w:val="22"/>
                <w:lang w:eastAsia="en-US"/>
              </w:rPr>
            </w:pPr>
            <w:r w:rsidRPr="00F7767A">
              <w:rPr>
                <w:sz w:val="22"/>
                <w:szCs w:val="22"/>
              </w:rPr>
              <w:t>2.3. pašvaldību budžets</w:t>
            </w:r>
          </w:p>
        </w:tc>
        <w:tc>
          <w:tcPr>
            <w:tcW w:w="1417" w:type="dxa"/>
            <w:shd w:val="clear" w:color="auto" w:fill="auto"/>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c>
          <w:tcPr>
            <w:tcW w:w="1578" w:type="dxa"/>
            <w:shd w:val="clear" w:color="auto" w:fill="FFFFFF"/>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c>
          <w:tcPr>
            <w:tcW w:w="1134" w:type="dxa"/>
            <w:shd w:val="clear" w:color="auto" w:fill="auto"/>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c>
          <w:tcPr>
            <w:tcW w:w="1418" w:type="dxa"/>
            <w:shd w:val="clear" w:color="auto" w:fill="auto"/>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c>
          <w:tcPr>
            <w:tcW w:w="1275" w:type="dxa"/>
            <w:shd w:val="clear" w:color="auto" w:fill="auto"/>
            <w:vAlign w:val="center"/>
          </w:tcPr>
          <w:p w:rsidR="002E2319" w:rsidRPr="00F7767A" w:rsidRDefault="008C18B6" w:rsidP="002E2319">
            <w:pPr>
              <w:jc w:val="right"/>
              <w:rPr>
                <w:color w:val="000000" w:themeColor="text1"/>
                <w:sz w:val="22"/>
                <w:szCs w:val="22"/>
                <w:lang w:eastAsia="en-US"/>
              </w:rPr>
            </w:pPr>
            <w:r w:rsidRPr="00F7767A">
              <w:rPr>
                <w:color w:val="000000" w:themeColor="text1"/>
                <w:sz w:val="22"/>
                <w:szCs w:val="22"/>
                <w:lang w:eastAsia="en-US"/>
              </w:rPr>
              <w:t>-</w:t>
            </w:r>
          </w:p>
        </w:tc>
      </w:tr>
      <w:tr w:rsidR="002E2319" w:rsidRPr="00860943" w:rsidTr="00300781">
        <w:tc>
          <w:tcPr>
            <w:tcW w:w="2676" w:type="dxa"/>
            <w:shd w:val="clear" w:color="auto" w:fill="auto"/>
            <w:hideMark/>
          </w:tcPr>
          <w:p w:rsidR="002E2319" w:rsidRPr="00F7767A" w:rsidRDefault="002E2319" w:rsidP="002E2319">
            <w:pPr>
              <w:rPr>
                <w:sz w:val="22"/>
                <w:szCs w:val="22"/>
                <w:lang w:eastAsia="en-US"/>
              </w:rPr>
            </w:pPr>
            <w:r w:rsidRPr="00F7767A">
              <w:rPr>
                <w:sz w:val="22"/>
                <w:szCs w:val="22"/>
              </w:rPr>
              <w:t>3. Finansiālā ietekme:</w:t>
            </w:r>
          </w:p>
        </w:tc>
        <w:tc>
          <w:tcPr>
            <w:tcW w:w="1417" w:type="dxa"/>
            <w:shd w:val="clear" w:color="auto" w:fill="auto"/>
            <w:vAlign w:val="center"/>
          </w:tcPr>
          <w:p w:rsidR="002E2319" w:rsidRPr="00F7767A" w:rsidRDefault="002E2319" w:rsidP="006242DA">
            <w:pPr>
              <w:jc w:val="right"/>
              <w:rPr>
                <w:color w:val="000000" w:themeColor="text1"/>
                <w:sz w:val="22"/>
                <w:szCs w:val="22"/>
                <w:lang w:eastAsia="en-US"/>
              </w:rPr>
            </w:pPr>
          </w:p>
        </w:tc>
        <w:tc>
          <w:tcPr>
            <w:tcW w:w="1578" w:type="dxa"/>
            <w:shd w:val="clear" w:color="auto" w:fill="FFFFFF"/>
            <w:vAlign w:val="center"/>
          </w:tcPr>
          <w:p w:rsidR="002E2319" w:rsidRPr="00F7767A" w:rsidRDefault="002E2319" w:rsidP="002E2319">
            <w:pPr>
              <w:jc w:val="right"/>
              <w:rPr>
                <w:color w:val="000000" w:themeColor="text1"/>
                <w:sz w:val="22"/>
                <w:szCs w:val="22"/>
                <w:lang w:eastAsia="en-US"/>
              </w:rPr>
            </w:pPr>
          </w:p>
        </w:tc>
        <w:tc>
          <w:tcPr>
            <w:tcW w:w="1134" w:type="dxa"/>
            <w:shd w:val="clear" w:color="auto" w:fill="auto"/>
            <w:vAlign w:val="center"/>
          </w:tcPr>
          <w:p w:rsidR="002E2319" w:rsidRPr="00F7767A" w:rsidRDefault="002E2319" w:rsidP="004D7566">
            <w:pPr>
              <w:jc w:val="right"/>
              <w:rPr>
                <w:color w:val="000000" w:themeColor="text1"/>
                <w:sz w:val="22"/>
                <w:szCs w:val="22"/>
                <w:lang w:eastAsia="en-US"/>
              </w:rPr>
            </w:pPr>
          </w:p>
        </w:tc>
        <w:tc>
          <w:tcPr>
            <w:tcW w:w="1418" w:type="dxa"/>
            <w:shd w:val="clear" w:color="auto" w:fill="auto"/>
            <w:vAlign w:val="center"/>
          </w:tcPr>
          <w:p w:rsidR="002E2319" w:rsidRPr="00F7767A" w:rsidRDefault="002E2319" w:rsidP="004D7566">
            <w:pPr>
              <w:jc w:val="right"/>
              <w:rPr>
                <w:color w:val="000000" w:themeColor="text1"/>
                <w:sz w:val="22"/>
                <w:szCs w:val="22"/>
                <w:lang w:eastAsia="en-US"/>
              </w:rPr>
            </w:pPr>
          </w:p>
        </w:tc>
        <w:tc>
          <w:tcPr>
            <w:tcW w:w="1275" w:type="dxa"/>
            <w:shd w:val="clear" w:color="auto" w:fill="auto"/>
            <w:vAlign w:val="center"/>
          </w:tcPr>
          <w:p w:rsidR="002E2319" w:rsidRPr="00F7767A" w:rsidRDefault="002E2319" w:rsidP="002E2319">
            <w:pPr>
              <w:jc w:val="right"/>
              <w:rPr>
                <w:color w:val="000000" w:themeColor="text1"/>
                <w:sz w:val="22"/>
                <w:szCs w:val="22"/>
                <w:lang w:eastAsia="en-US"/>
              </w:rPr>
            </w:pPr>
          </w:p>
        </w:tc>
      </w:tr>
      <w:tr w:rsidR="00DE736F" w:rsidRPr="00860943" w:rsidTr="00300781">
        <w:tc>
          <w:tcPr>
            <w:tcW w:w="2676" w:type="dxa"/>
            <w:shd w:val="clear" w:color="auto" w:fill="auto"/>
            <w:hideMark/>
          </w:tcPr>
          <w:p w:rsidR="00DE736F" w:rsidRPr="00F7767A" w:rsidRDefault="00DE736F" w:rsidP="00DE736F">
            <w:pPr>
              <w:rPr>
                <w:sz w:val="22"/>
                <w:szCs w:val="22"/>
                <w:lang w:eastAsia="en-US"/>
              </w:rPr>
            </w:pPr>
            <w:r w:rsidRPr="00F7767A">
              <w:rPr>
                <w:sz w:val="22"/>
                <w:szCs w:val="22"/>
              </w:rPr>
              <w:t>3.1. valsts pamatbudžets</w:t>
            </w:r>
          </w:p>
        </w:tc>
        <w:tc>
          <w:tcPr>
            <w:tcW w:w="1417" w:type="dxa"/>
            <w:shd w:val="clear" w:color="auto" w:fill="auto"/>
            <w:vAlign w:val="center"/>
          </w:tcPr>
          <w:p w:rsidR="00DE736F" w:rsidRPr="00F7767A" w:rsidRDefault="00DE736F" w:rsidP="00DE736F">
            <w:pPr>
              <w:jc w:val="right"/>
              <w:rPr>
                <w:color w:val="000000" w:themeColor="text1"/>
                <w:sz w:val="22"/>
                <w:szCs w:val="22"/>
                <w:lang w:eastAsia="en-US"/>
              </w:rPr>
            </w:pPr>
            <w:r w:rsidRPr="00F7767A">
              <w:rPr>
                <w:color w:val="000000" w:themeColor="text1"/>
                <w:sz w:val="22"/>
                <w:szCs w:val="22"/>
                <w:lang w:eastAsia="en-US"/>
              </w:rPr>
              <w:t>0</w:t>
            </w:r>
          </w:p>
        </w:tc>
        <w:tc>
          <w:tcPr>
            <w:tcW w:w="1578" w:type="dxa"/>
            <w:shd w:val="clear" w:color="auto" w:fill="FFFFFF"/>
            <w:vAlign w:val="center"/>
          </w:tcPr>
          <w:p w:rsidR="00DE736F" w:rsidRPr="00F7767A" w:rsidRDefault="00DE736F" w:rsidP="00DE736F">
            <w:pPr>
              <w:jc w:val="right"/>
              <w:rPr>
                <w:color w:val="000000" w:themeColor="text1"/>
                <w:sz w:val="22"/>
                <w:szCs w:val="22"/>
                <w:lang w:eastAsia="en-US"/>
              </w:rPr>
            </w:pPr>
            <w:r w:rsidRPr="00F7767A">
              <w:rPr>
                <w:color w:val="000000" w:themeColor="text1"/>
                <w:sz w:val="22"/>
                <w:szCs w:val="22"/>
                <w:lang w:eastAsia="en-US"/>
              </w:rPr>
              <w:t>0</w:t>
            </w:r>
          </w:p>
        </w:tc>
        <w:tc>
          <w:tcPr>
            <w:tcW w:w="1134" w:type="dxa"/>
            <w:shd w:val="clear" w:color="auto" w:fill="auto"/>
            <w:vAlign w:val="center"/>
          </w:tcPr>
          <w:p w:rsidR="00DE736F" w:rsidRPr="00F7767A" w:rsidRDefault="00DE736F" w:rsidP="00FB1FED">
            <w:pPr>
              <w:jc w:val="right"/>
              <w:rPr>
                <w:color w:val="000000" w:themeColor="text1"/>
                <w:sz w:val="22"/>
                <w:szCs w:val="22"/>
                <w:lang w:eastAsia="en-US"/>
              </w:rPr>
            </w:pPr>
            <w:r w:rsidRPr="00F7767A">
              <w:rPr>
                <w:color w:val="000000" w:themeColor="text1"/>
                <w:sz w:val="22"/>
                <w:szCs w:val="22"/>
                <w:lang w:eastAsia="en-US"/>
              </w:rPr>
              <w:t>-</w:t>
            </w:r>
            <w:r w:rsidR="00FB1FED">
              <w:rPr>
                <w:color w:val="000000" w:themeColor="text1"/>
                <w:sz w:val="22"/>
                <w:szCs w:val="22"/>
                <w:lang w:eastAsia="en-US"/>
              </w:rPr>
              <w:t>788 854</w:t>
            </w:r>
          </w:p>
        </w:tc>
        <w:tc>
          <w:tcPr>
            <w:tcW w:w="1418" w:type="dxa"/>
            <w:shd w:val="clear" w:color="auto" w:fill="auto"/>
            <w:vAlign w:val="center"/>
          </w:tcPr>
          <w:p w:rsidR="00DE736F" w:rsidRPr="00F7767A" w:rsidRDefault="00DE736F" w:rsidP="00DE736F">
            <w:pPr>
              <w:jc w:val="right"/>
              <w:rPr>
                <w:color w:val="000000" w:themeColor="text1"/>
                <w:sz w:val="22"/>
                <w:szCs w:val="22"/>
                <w:lang w:eastAsia="en-US"/>
              </w:rPr>
            </w:pPr>
            <w:r w:rsidRPr="00F7767A">
              <w:rPr>
                <w:color w:val="000000" w:themeColor="text1"/>
                <w:sz w:val="22"/>
                <w:szCs w:val="22"/>
                <w:lang w:eastAsia="en-US"/>
              </w:rPr>
              <w:t>-</w:t>
            </w:r>
            <w:r w:rsidR="00FB1FED">
              <w:rPr>
                <w:color w:val="000000" w:themeColor="text1"/>
                <w:sz w:val="22"/>
                <w:szCs w:val="22"/>
                <w:lang w:eastAsia="en-US"/>
              </w:rPr>
              <w:t>12 523 992</w:t>
            </w:r>
          </w:p>
        </w:tc>
        <w:tc>
          <w:tcPr>
            <w:tcW w:w="1275" w:type="dxa"/>
            <w:shd w:val="clear" w:color="auto" w:fill="auto"/>
            <w:vAlign w:val="center"/>
          </w:tcPr>
          <w:p w:rsidR="00DE736F" w:rsidRPr="00F7767A" w:rsidRDefault="00DE736F" w:rsidP="00DE736F">
            <w:pPr>
              <w:jc w:val="right"/>
              <w:rPr>
                <w:color w:val="000000" w:themeColor="text1"/>
                <w:sz w:val="22"/>
                <w:szCs w:val="22"/>
                <w:lang w:eastAsia="en-US"/>
              </w:rPr>
            </w:pPr>
            <w:r w:rsidRPr="00F7767A">
              <w:rPr>
                <w:color w:val="000000" w:themeColor="text1"/>
                <w:sz w:val="22"/>
                <w:szCs w:val="22"/>
                <w:lang w:eastAsia="en-US"/>
              </w:rPr>
              <w:t>-</w:t>
            </w:r>
            <w:r w:rsidR="00FB1FED">
              <w:rPr>
                <w:color w:val="000000" w:themeColor="text1"/>
                <w:sz w:val="22"/>
                <w:szCs w:val="22"/>
                <w:lang w:eastAsia="en-US"/>
              </w:rPr>
              <w:t>7 569 782</w:t>
            </w:r>
          </w:p>
        </w:tc>
      </w:tr>
      <w:tr w:rsidR="00DE736F" w:rsidRPr="00860943" w:rsidTr="00300781">
        <w:tc>
          <w:tcPr>
            <w:tcW w:w="2676" w:type="dxa"/>
            <w:shd w:val="clear" w:color="auto" w:fill="auto"/>
            <w:hideMark/>
          </w:tcPr>
          <w:p w:rsidR="00DE736F" w:rsidRPr="00F7767A" w:rsidRDefault="00DE736F" w:rsidP="00DE736F">
            <w:pPr>
              <w:rPr>
                <w:sz w:val="22"/>
                <w:szCs w:val="22"/>
                <w:lang w:eastAsia="en-US"/>
              </w:rPr>
            </w:pPr>
            <w:r w:rsidRPr="00F7767A">
              <w:rPr>
                <w:sz w:val="22"/>
                <w:szCs w:val="22"/>
              </w:rPr>
              <w:t>3.2. speciālais budžets</w:t>
            </w:r>
          </w:p>
        </w:tc>
        <w:tc>
          <w:tcPr>
            <w:tcW w:w="1417"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578" w:type="dxa"/>
            <w:shd w:val="clear" w:color="auto" w:fill="FFFFFF"/>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134"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418"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275"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r>
      <w:tr w:rsidR="00DE736F" w:rsidRPr="00860943" w:rsidTr="00300781">
        <w:tc>
          <w:tcPr>
            <w:tcW w:w="2676" w:type="dxa"/>
            <w:shd w:val="clear" w:color="auto" w:fill="auto"/>
            <w:hideMark/>
          </w:tcPr>
          <w:p w:rsidR="00DE736F" w:rsidRPr="00F7767A" w:rsidRDefault="00DE736F" w:rsidP="00DE736F">
            <w:pPr>
              <w:rPr>
                <w:sz w:val="22"/>
                <w:szCs w:val="22"/>
                <w:lang w:eastAsia="en-US"/>
              </w:rPr>
            </w:pPr>
            <w:r w:rsidRPr="00F7767A">
              <w:rPr>
                <w:sz w:val="22"/>
                <w:szCs w:val="22"/>
              </w:rPr>
              <w:t>3.3. pašvaldību budžets</w:t>
            </w:r>
          </w:p>
        </w:tc>
        <w:tc>
          <w:tcPr>
            <w:tcW w:w="1417"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578" w:type="dxa"/>
            <w:shd w:val="clear" w:color="auto" w:fill="FFFFFF"/>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134"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418"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275"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r>
      <w:tr w:rsidR="00DE736F" w:rsidRPr="00860943" w:rsidTr="00300781">
        <w:trPr>
          <w:trHeight w:val="1380"/>
        </w:trPr>
        <w:tc>
          <w:tcPr>
            <w:tcW w:w="2676" w:type="dxa"/>
            <w:shd w:val="clear" w:color="auto" w:fill="auto"/>
            <w:hideMark/>
          </w:tcPr>
          <w:p w:rsidR="00DE736F" w:rsidRPr="00F7767A" w:rsidRDefault="00DE736F" w:rsidP="00DE736F">
            <w:pPr>
              <w:rPr>
                <w:sz w:val="22"/>
                <w:szCs w:val="22"/>
                <w:lang w:eastAsia="en-US"/>
              </w:rPr>
            </w:pPr>
            <w:r w:rsidRPr="00F7767A">
              <w:rPr>
                <w:sz w:val="22"/>
                <w:szCs w:val="22"/>
              </w:rPr>
              <w:t>4. Finanšu līdzekļi papildu izdevumu finansēšanai (kompensējošu izdevumu samazinājumu norāda ar "+" zīmi</w:t>
            </w:r>
          </w:p>
        </w:tc>
        <w:tc>
          <w:tcPr>
            <w:tcW w:w="1417" w:type="dxa"/>
            <w:shd w:val="clear" w:color="auto" w:fill="auto"/>
            <w:vAlign w:val="center"/>
          </w:tcPr>
          <w:p w:rsidR="00DE736F" w:rsidRPr="00F7767A" w:rsidRDefault="00DE736F" w:rsidP="00DE736F">
            <w:pPr>
              <w:jc w:val="right"/>
              <w:rPr>
                <w:sz w:val="22"/>
                <w:szCs w:val="22"/>
                <w:lang w:eastAsia="en-US"/>
              </w:rPr>
            </w:pPr>
            <w:r w:rsidRPr="00F7767A">
              <w:rPr>
                <w:color w:val="000000" w:themeColor="text1"/>
                <w:sz w:val="22"/>
                <w:szCs w:val="22"/>
                <w:lang w:eastAsia="en-US"/>
              </w:rPr>
              <w:t>0</w:t>
            </w:r>
          </w:p>
        </w:tc>
        <w:tc>
          <w:tcPr>
            <w:tcW w:w="1578" w:type="dxa"/>
            <w:shd w:val="clear" w:color="auto" w:fill="FFFFFF"/>
            <w:vAlign w:val="center"/>
          </w:tcPr>
          <w:p w:rsidR="00DE736F" w:rsidRPr="00F7767A" w:rsidRDefault="00DE736F" w:rsidP="00DE736F">
            <w:pPr>
              <w:jc w:val="right"/>
              <w:rPr>
                <w:sz w:val="22"/>
                <w:szCs w:val="22"/>
                <w:lang w:eastAsia="en-US"/>
              </w:rPr>
            </w:pPr>
            <w:r w:rsidRPr="00F7767A">
              <w:rPr>
                <w:color w:val="000000" w:themeColor="text1"/>
                <w:sz w:val="22"/>
                <w:szCs w:val="22"/>
                <w:lang w:eastAsia="en-US"/>
              </w:rPr>
              <w:t>0</w:t>
            </w:r>
          </w:p>
        </w:tc>
        <w:tc>
          <w:tcPr>
            <w:tcW w:w="1134" w:type="dxa"/>
            <w:shd w:val="clear" w:color="auto" w:fill="auto"/>
            <w:vAlign w:val="center"/>
          </w:tcPr>
          <w:p w:rsidR="00DE736F" w:rsidRPr="00F7767A" w:rsidRDefault="00FB1FED" w:rsidP="00DE736F">
            <w:pPr>
              <w:jc w:val="right"/>
              <w:rPr>
                <w:sz w:val="22"/>
                <w:szCs w:val="22"/>
                <w:lang w:eastAsia="en-US"/>
              </w:rPr>
            </w:pPr>
            <w:r>
              <w:rPr>
                <w:color w:val="000000" w:themeColor="text1"/>
                <w:sz w:val="22"/>
                <w:szCs w:val="22"/>
                <w:lang w:eastAsia="en-US"/>
              </w:rPr>
              <w:t>788 854</w:t>
            </w:r>
          </w:p>
        </w:tc>
        <w:tc>
          <w:tcPr>
            <w:tcW w:w="1418" w:type="dxa"/>
            <w:shd w:val="clear" w:color="auto" w:fill="auto"/>
            <w:vAlign w:val="center"/>
          </w:tcPr>
          <w:p w:rsidR="00DE736F" w:rsidRPr="00F7767A" w:rsidRDefault="00FB1FED" w:rsidP="00DE736F">
            <w:pPr>
              <w:jc w:val="right"/>
              <w:rPr>
                <w:sz w:val="22"/>
                <w:szCs w:val="22"/>
                <w:lang w:eastAsia="en-US"/>
              </w:rPr>
            </w:pPr>
            <w:r>
              <w:rPr>
                <w:color w:val="000000" w:themeColor="text1"/>
                <w:sz w:val="22"/>
                <w:szCs w:val="22"/>
                <w:lang w:eastAsia="en-US"/>
              </w:rPr>
              <w:t>12 523 992</w:t>
            </w:r>
          </w:p>
        </w:tc>
        <w:tc>
          <w:tcPr>
            <w:tcW w:w="1275" w:type="dxa"/>
            <w:shd w:val="clear" w:color="auto" w:fill="auto"/>
            <w:vAlign w:val="center"/>
          </w:tcPr>
          <w:p w:rsidR="00DE736F" w:rsidRPr="00F7767A" w:rsidRDefault="00FB1FED" w:rsidP="00DE736F">
            <w:pPr>
              <w:jc w:val="right"/>
              <w:rPr>
                <w:sz w:val="22"/>
                <w:szCs w:val="22"/>
                <w:lang w:eastAsia="en-US"/>
              </w:rPr>
            </w:pPr>
            <w:r>
              <w:rPr>
                <w:color w:val="000000" w:themeColor="text1"/>
                <w:sz w:val="22"/>
                <w:szCs w:val="22"/>
                <w:lang w:eastAsia="en-US"/>
              </w:rPr>
              <w:t>7 569 782</w:t>
            </w:r>
          </w:p>
        </w:tc>
      </w:tr>
      <w:tr w:rsidR="00DE736F" w:rsidRPr="00860943" w:rsidTr="00300781">
        <w:tc>
          <w:tcPr>
            <w:tcW w:w="2676" w:type="dxa"/>
            <w:shd w:val="clear" w:color="auto" w:fill="auto"/>
            <w:hideMark/>
          </w:tcPr>
          <w:p w:rsidR="00DE736F" w:rsidRPr="00F7767A" w:rsidRDefault="00DE736F" w:rsidP="00DE736F">
            <w:pPr>
              <w:rPr>
                <w:sz w:val="22"/>
                <w:szCs w:val="22"/>
                <w:lang w:eastAsia="en-US"/>
              </w:rPr>
            </w:pPr>
            <w:r w:rsidRPr="00F7767A">
              <w:rPr>
                <w:sz w:val="22"/>
                <w:szCs w:val="22"/>
              </w:rPr>
              <w:t>5. Precizēta finansiālā ietekme:</w:t>
            </w:r>
          </w:p>
        </w:tc>
        <w:tc>
          <w:tcPr>
            <w:tcW w:w="1417" w:type="dxa"/>
            <w:vMerge w:val="restart"/>
            <w:shd w:val="clear" w:color="auto" w:fill="auto"/>
            <w:vAlign w:val="center"/>
          </w:tcPr>
          <w:p w:rsidR="00DE736F" w:rsidRPr="00F7767A" w:rsidRDefault="00DE736F" w:rsidP="00DE736F">
            <w:pPr>
              <w:jc w:val="right"/>
              <w:rPr>
                <w:sz w:val="22"/>
                <w:szCs w:val="22"/>
                <w:lang w:eastAsia="en-US"/>
              </w:rPr>
            </w:pPr>
          </w:p>
        </w:tc>
        <w:tc>
          <w:tcPr>
            <w:tcW w:w="1578" w:type="dxa"/>
            <w:shd w:val="clear" w:color="auto" w:fill="auto"/>
            <w:vAlign w:val="center"/>
          </w:tcPr>
          <w:p w:rsidR="00DE736F" w:rsidRPr="00F7767A" w:rsidRDefault="00DE736F" w:rsidP="00DE736F">
            <w:pPr>
              <w:jc w:val="right"/>
              <w:rPr>
                <w:sz w:val="22"/>
                <w:szCs w:val="22"/>
                <w:lang w:eastAsia="en-US"/>
              </w:rPr>
            </w:pPr>
          </w:p>
        </w:tc>
        <w:tc>
          <w:tcPr>
            <w:tcW w:w="1134" w:type="dxa"/>
            <w:shd w:val="clear" w:color="auto" w:fill="auto"/>
            <w:vAlign w:val="center"/>
          </w:tcPr>
          <w:p w:rsidR="00DE736F" w:rsidRPr="00F7767A" w:rsidRDefault="00DE736F" w:rsidP="00DE736F">
            <w:pPr>
              <w:jc w:val="right"/>
              <w:rPr>
                <w:sz w:val="22"/>
                <w:szCs w:val="22"/>
                <w:lang w:eastAsia="en-US"/>
              </w:rPr>
            </w:pPr>
          </w:p>
        </w:tc>
        <w:tc>
          <w:tcPr>
            <w:tcW w:w="1418" w:type="dxa"/>
            <w:shd w:val="clear" w:color="auto" w:fill="auto"/>
            <w:vAlign w:val="center"/>
          </w:tcPr>
          <w:p w:rsidR="00DE736F" w:rsidRPr="00F7767A" w:rsidRDefault="00DE736F" w:rsidP="00DE736F">
            <w:pPr>
              <w:jc w:val="right"/>
              <w:rPr>
                <w:sz w:val="22"/>
                <w:szCs w:val="22"/>
                <w:lang w:eastAsia="en-US"/>
              </w:rPr>
            </w:pPr>
          </w:p>
        </w:tc>
        <w:tc>
          <w:tcPr>
            <w:tcW w:w="1275" w:type="dxa"/>
            <w:shd w:val="clear" w:color="auto" w:fill="auto"/>
            <w:vAlign w:val="center"/>
          </w:tcPr>
          <w:p w:rsidR="00DE736F" w:rsidRPr="00F7767A" w:rsidRDefault="00DE736F" w:rsidP="00DE736F">
            <w:pPr>
              <w:jc w:val="right"/>
              <w:rPr>
                <w:sz w:val="22"/>
                <w:szCs w:val="22"/>
                <w:lang w:eastAsia="en-US"/>
              </w:rPr>
            </w:pPr>
          </w:p>
        </w:tc>
      </w:tr>
      <w:tr w:rsidR="00DE736F" w:rsidRPr="00860943" w:rsidTr="00300781">
        <w:tc>
          <w:tcPr>
            <w:tcW w:w="2676" w:type="dxa"/>
            <w:shd w:val="clear" w:color="auto" w:fill="auto"/>
            <w:hideMark/>
          </w:tcPr>
          <w:p w:rsidR="00DE736F" w:rsidRPr="00F7767A" w:rsidRDefault="00DE736F" w:rsidP="00DE736F">
            <w:pPr>
              <w:rPr>
                <w:sz w:val="22"/>
                <w:szCs w:val="22"/>
                <w:lang w:eastAsia="en-US"/>
              </w:rPr>
            </w:pPr>
            <w:r w:rsidRPr="00F7767A">
              <w:rPr>
                <w:sz w:val="22"/>
                <w:szCs w:val="22"/>
              </w:rPr>
              <w:t>5.1. valsts pamatbudžets</w:t>
            </w:r>
          </w:p>
        </w:tc>
        <w:tc>
          <w:tcPr>
            <w:tcW w:w="1417" w:type="dxa"/>
            <w:vMerge/>
            <w:shd w:val="clear" w:color="auto" w:fill="auto"/>
            <w:vAlign w:val="center"/>
          </w:tcPr>
          <w:p w:rsidR="00DE736F" w:rsidRPr="00F7767A" w:rsidRDefault="00DE736F" w:rsidP="00DE736F">
            <w:pPr>
              <w:rPr>
                <w:sz w:val="22"/>
                <w:szCs w:val="22"/>
                <w:lang w:eastAsia="en-US"/>
              </w:rPr>
            </w:pPr>
          </w:p>
        </w:tc>
        <w:tc>
          <w:tcPr>
            <w:tcW w:w="1578" w:type="dxa"/>
            <w:shd w:val="clear" w:color="auto" w:fill="auto"/>
            <w:vAlign w:val="center"/>
          </w:tcPr>
          <w:p w:rsidR="00DE736F" w:rsidRPr="00F7767A" w:rsidRDefault="00DE736F" w:rsidP="00DE736F">
            <w:pPr>
              <w:jc w:val="right"/>
              <w:rPr>
                <w:sz w:val="22"/>
                <w:szCs w:val="22"/>
                <w:lang w:eastAsia="en-US"/>
              </w:rPr>
            </w:pPr>
            <w:r w:rsidRPr="00F7767A">
              <w:rPr>
                <w:sz w:val="22"/>
                <w:szCs w:val="22"/>
                <w:lang w:eastAsia="en-US"/>
              </w:rPr>
              <w:t>0</w:t>
            </w:r>
          </w:p>
        </w:tc>
        <w:tc>
          <w:tcPr>
            <w:tcW w:w="1134" w:type="dxa"/>
            <w:shd w:val="clear" w:color="auto" w:fill="auto"/>
            <w:vAlign w:val="center"/>
          </w:tcPr>
          <w:p w:rsidR="00DE736F" w:rsidRPr="00F7767A" w:rsidRDefault="00DE736F" w:rsidP="00DE736F">
            <w:pPr>
              <w:jc w:val="right"/>
              <w:rPr>
                <w:sz w:val="22"/>
                <w:szCs w:val="22"/>
                <w:lang w:eastAsia="en-US"/>
              </w:rPr>
            </w:pPr>
            <w:r w:rsidRPr="00F7767A">
              <w:rPr>
                <w:sz w:val="22"/>
                <w:szCs w:val="22"/>
                <w:lang w:eastAsia="en-US"/>
              </w:rPr>
              <w:t>0</w:t>
            </w:r>
          </w:p>
        </w:tc>
        <w:tc>
          <w:tcPr>
            <w:tcW w:w="1418" w:type="dxa"/>
            <w:shd w:val="clear" w:color="auto" w:fill="auto"/>
            <w:vAlign w:val="center"/>
          </w:tcPr>
          <w:p w:rsidR="00DE736F" w:rsidRPr="00F7767A" w:rsidRDefault="00DE736F" w:rsidP="00DE736F">
            <w:pPr>
              <w:jc w:val="right"/>
              <w:rPr>
                <w:sz w:val="22"/>
                <w:szCs w:val="22"/>
                <w:lang w:eastAsia="en-US"/>
              </w:rPr>
            </w:pPr>
            <w:r w:rsidRPr="00F7767A">
              <w:rPr>
                <w:sz w:val="22"/>
                <w:szCs w:val="22"/>
                <w:lang w:eastAsia="en-US"/>
              </w:rPr>
              <w:t>0</w:t>
            </w:r>
          </w:p>
        </w:tc>
        <w:tc>
          <w:tcPr>
            <w:tcW w:w="1275" w:type="dxa"/>
            <w:shd w:val="clear" w:color="auto" w:fill="auto"/>
            <w:vAlign w:val="center"/>
          </w:tcPr>
          <w:p w:rsidR="00DE736F" w:rsidRPr="00F7767A" w:rsidRDefault="00DE736F" w:rsidP="00DE736F">
            <w:pPr>
              <w:jc w:val="right"/>
              <w:rPr>
                <w:sz w:val="22"/>
                <w:szCs w:val="22"/>
                <w:lang w:eastAsia="en-US"/>
              </w:rPr>
            </w:pPr>
            <w:r w:rsidRPr="00F7767A">
              <w:rPr>
                <w:sz w:val="22"/>
                <w:szCs w:val="22"/>
                <w:lang w:eastAsia="en-US"/>
              </w:rPr>
              <w:t>0</w:t>
            </w:r>
          </w:p>
        </w:tc>
      </w:tr>
      <w:tr w:rsidR="00DE736F" w:rsidRPr="00860943" w:rsidTr="00300781">
        <w:tc>
          <w:tcPr>
            <w:tcW w:w="2676" w:type="dxa"/>
            <w:shd w:val="clear" w:color="auto" w:fill="auto"/>
            <w:hideMark/>
          </w:tcPr>
          <w:p w:rsidR="00DE736F" w:rsidRPr="00F7767A" w:rsidRDefault="00DE736F" w:rsidP="00DE736F">
            <w:pPr>
              <w:rPr>
                <w:sz w:val="22"/>
                <w:szCs w:val="22"/>
                <w:lang w:eastAsia="en-US"/>
              </w:rPr>
            </w:pPr>
            <w:r w:rsidRPr="00F7767A">
              <w:rPr>
                <w:sz w:val="22"/>
                <w:szCs w:val="22"/>
              </w:rPr>
              <w:t>5.2. speciālais budžets</w:t>
            </w:r>
          </w:p>
        </w:tc>
        <w:tc>
          <w:tcPr>
            <w:tcW w:w="1417" w:type="dxa"/>
            <w:vMerge/>
            <w:shd w:val="clear" w:color="auto" w:fill="auto"/>
            <w:vAlign w:val="center"/>
          </w:tcPr>
          <w:p w:rsidR="00DE736F" w:rsidRPr="00F7767A" w:rsidRDefault="00DE736F" w:rsidP="00DE736F">
            <w:pPr>
              <w:rPr>
                <w:sz w:val="22"/>
                <w:szCs w:val="22"/>
                <w:lang w:eastAsia="en-US"/>
              </w:rPr>
            </w:pPr>
          </w:p>
        </w:tc>
        <w:tc>
          <w:tcPr>
            <w:tcW w:w="1578"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134"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418"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275"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r>
      <w:tr w:rsidR="00DE736F" w:rsidRPr="00860943" w:rsidTr="00300781">
        <w:tc>
          <w:tcPr>
            <w:tcW w:w="2676" w:type="dxa"/>
            <w:shd w:val="clear" w:color="auto" w:fill="auto"/>
            <w:hideMark/>
          </w:tcPr>
          <w:p w:rsidR="00DE736F" w:rsidRPr="00F7767A" w:rsidRDefault="00DE736F" w:rsidP="00DE736F">
            <w:pPr>
              <w:rPr>
                <w:sz w:val="22"/>
                <w:szCs w:val="22"/>
                <w:lang w:eastAsia="en-US"/>
              </w:rPr>
            </w:pPr>
            <w:r w:rsidRPr="00F7767A">
              <w:rPr>
                <w:sz w:val="22"/>
                <w:szCs w:val="22"/>
              </w:rPr>
              <w:t>5.3. pašvaldību budžets</w:t>
            </w:r>
          </w:p>
        </w:tc>
        <w:tc>
          <w:tcPr>
            <w:tcW w:w="1417" w:type="dxa"/>
            <w:vMerge/>
            <w:shd w:val="clear" w:color="auto" w:fill="auto"/>
            <w:vAlign w:val="center"/>
          </w:tcPr>
          <w:p w:rsidR="00DE736F" w:rsidRPr="00F7767A" w:rsidRDefault="00DE736F" w:rsidP="00DE736F">
            <w:pPr>
              <w:rPr>
                <w:sz w:val="22"/>
                <w:szCs w:val="22"/>
                <w:lang w:eastAsia="en-US"/>
              </w:rPr>
            </w:pPr>
          </w:p>
        </w:tc>
        <w:tc>
          <w:tcPr>
            <w:tcW w:w="1578"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134"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418"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c>
          <w:tcPr>
            <w:tcW w:w="1275" w:type="dxa"/>
            <w:shd w:val="clear" w:color="auto" w:fill="auto"/>
            <w:vAlign w:val="center"/>
          </w:tcPr>
          <w:p w:rsidR="00DE736F" w:rsidRPr="00F7767A" w:rsidRDefault="008C18B6" w:rsidP="00DE736F">
            <w:pPr>
              <w:jc w:val="right"/>
              <w:rPr>
                <w:sz w:val="22"/>
                <w:szCs w:val="22"/>
                <w:lang w:eastAsia="en-US"/>
              </w:rPr>
            </w:pPr>
            <w:r w:rsidRPr="00F7767A">
              <w:rPr>
                <w:sz w:val="22"/>
                <w:szCs w:val="22"/>
                <w:lang w:eastAsia="en-US"/>
              </w:rPr>
              <w:t>-</w:t>
            </w:r>
          </w:p>
        </w:tc>
      </w:tr>
      <w:tr w:rsidR="00DE736F" w:rsidRPr="00860943" w:rsidTr="00300781">
        <w:tc>
          <w:tcPr>
            <w:tcW w:w="2676" w:type="dxa"/>
            <w:shd w:val="clear" w:color="auto" w:fill="auto"/>
            <w:hideMark/>
          </w:tcPr>
          <w:p w:rsidR="00DE736F" w:rsidRPr="00860943" w:rsidRDefault="00DE736F" w:rsidP="00DE736F">
            <w:pPr>
              <w:rPr>
                <w:lang w:eastAsia="en-US"/>
              </w:rPr>
            </w:pPr>
            <w:r w:rsidRPr="00860943">
              <w:t>6. Detalizēts ieņēmumu un izdevumu aprēķins (ja nepieciešams, detalizētu ieņēmumu un izdevumu aprēķinu var pievienot anotācijas pielikumā):</w:t>
            </w:r>
          </w:p>
        </w:tc>
        <w:tc>
          <w:tcPr>
            <w:tcW w:w="6822" w:type="dxa"/>
            <w:gridSpan w:val="5"/>
            <w:vMerge w:val="restart"/>
            <w:shd w:val="clear" w:color="auto" w:fill="auto"/>
            <w:hideMark/>
          </w:tcPr>
          <w:p w:rsidR="006668C0" w:rsidRPr="00B274FB" w:rsidRDefault="007A7525" w:rsidP="007A7525">
            <w:pPr>
              <w:spacing w:after="120"/>
              <w:jc w:val="both"/>
              <w:rPr>
                <w:bCs/>
                <w:color w:val="000000" w:themeColor="text1"/>
              </w:rPr>
            </w:pPr>
            <w:r w:rsidRPr="00B274FB">
              <w:rPr>
                <w:color w:val="000000" w:themeColor="text1"/>
                <w:lang w:eastAsia="en-US"/>
              </w:rPr>
              <w:t xml:space="preserve">Atbilstoši </w:t>
            </w:r>
            <w:r w:rsidRPr="00B274FB">
              <w:rPr>
                <w:bCs/>
                <w:color w:val="000000" w:themeColor="text1"/>
              </w:rPr>
              <w:t xml:space="preserve">MK 2015.gada 22.septembra sēdē </w:t>
            </w:r>
            <w:r w:rsidR="00CD0B16" w:rsidRPr="00B274FB">
              <w:rPr>
                <w:bCs/>
                <w:color w:val="000000" w:themeColor="text1"/>
              </w:rPr>
              <w:t xml:space="preserve">lemtajam  (protokols Nr.50, 38.§) </w:t>
            </w:r>
            <w:r w:rsidRPr="00B274FB">
              <w:rPr>
                <w:bCs/>
                <w:color w:val="000000" w:themeColor="text1"/>
              </w:rPr>
              <w:t xml:space="preserve">par maksimālo saistību apjomu, ko </w:t>
            </w:r>
            <w:r w:rsidR="00647C5B" w:rsidRPr="00B274FB">
              <w:rPr>
                <w:bCs/>
                <w:color w:val="000000" w:themeColor="text1"/>
              </w:rPr>
              <w:t>VVD</w:t>
            </w:r>
            <w:r w:rsidRPr="00B274FB">
              <w:rPr>
                <w:bCs/>
                <w:color w:val="000000" w:themeColor="text1"/>
              </w:rPr>
              <w:t xml:space="preserve"> atļauts uzņemties Inčukalna projektā, (</w:t>
            </w:r>
            <w:r w:rsidRPr="00B274FB">
              <w:rPr>
                <w:color w:val="000000" w:themeColor="text1"/>
                <w:lang w:eastAsia="en-US"/>
              </w:rPr>
              <w:t xml:space="preserve">22 037 691 </w:t>
            </w:r>
            <w:proofErr w:type="spellStart"/>
            <w:r w:rsidRPr="00B274FB">
              <w:rPr>
                <w:i/>
                <w:color w:val="000000" w:themeColor="text1"/>
                <w:lang w:eastAsia="en-US"/>
              </w:rPr>
              <w:t>euro</w:t>
            </w:r>
            <w:proofErr w:type="spellEnd"/>
            <w:r w:rsidRPr="00B274FB">
              <w:rPr>
                <w:bCs/>
                <w:color w:val="000000" w:themeColor="text1"/>
              </w:rPr>
              <w:t xml:space="preserve">)  </w:t>
            </w:r>
            <w:r w:rsidR="00647C5B" w:rsidRPr="00B274FB">
              <w:rPr>
                <w:bCs/>
                <w:color w:val="000000" w:themeColor="text1"/>
              </w:rPr>
              <w:t>VVD</w:t>
            </w:r>
            <w:r w:rsidRPr="00B274FB">
              <w:rPr>
                <w:bCs/>
                <w:color w:val="000000" w:themeColor="text1"/>
              </w:rPr>
              <w:t xml:space="preserve"> kopš 2015.gada 22.septembra ir uzņēmies saistības (iepirkumu rezultātā noslēdzis līgumus</w:t>
            </w:r>
            <w:r w:rsidR="007478E1" w:rsidRPr="00B274FB">
              <w:rPr>
                <w:bCs/>
                <w:color w:val="000000" w:themeColor="text1"/>
              </w:rPr>
              <w:t xml:space="preserve"> par Dienvidu dīķa pagaidu pārklājuma izveidi un </w:t>
            </w:r>
            <w:r w:rsidR="00CD0B16" w:rsidRPr="00B274FB">
              <w:rPr>
                <w:bCs/>
                <w:color w:val="000000" w:themeColor="text1"/>
              </w:rPr>
              <w:t>inženiertehniskās izpētes</w:t>
            </w:r>
            <w:r w:rsidR="007478E1" w:rsidRPr="00B274FB">
              <w:rPr>
                <w:bCs/>
                <w:color w:val="000000" w:themeColor="text1"/>
              </w:rPr>
              <w:t xml:space="preserve"> darbiem</w:t>
            </w:r>
            <w:r w:rsidRPr="00B274FB">
              <w:rPr>
                <w:bCs/>
                <w:color w:val="000000" w:themeColor="text1"/>
              </w:rPr>
              <w:t>)</w:t>
            </w:r>
            <w:r w:rsidR="007478E1" w:rsidRPr="00B274FB">
              <w:rPr>
                <w:bCs/>
                <w:color w:val="000000" w:themeColor="text1"/>
              </w:rPr>
              <w:t xml:space="preserve"> un līdz 2015.gada 31.decembrim, t.i., Inčukalna projekta izmaksu </w:t>
            </w:r>
            <w:proofErr w:type="spellStart"/>
            <w:r w:rsidR="007478E1" w:rsidRPr="00B274FB">
              <w:rPr>
                <w:bCs/>
                <w:color w:val="000000" w:themeColor="text1"/>
              </w:rPr>
              <w:t>attiecināmības</w:t>
            </w:r>
            <w:proofErr w:type="spellEnd"/>
            <w:r w:rsidR="007478E1" w:rsidRPr="00B274FB">
              <w:rPr>
                <w:bCs/>
                <w:color w:val="000000" w:themeColor="text1"/>
              </w:rPr>
              <w:t xml:space="preserve"> periodā, piegād</w:t>
            </w:r>
            <w:r w:rsidR="00CD0B16" w:rsidRPr="00B274FB">
              <w:rPr>
                <w:bCs/>
                <w:color w:val="000000" w:themeColor="text1"/>
              </w:rPr>
              <w:t xml:space="preserve">ātājiem paredzēts samaksāt 1 098 867 </w:t>
            </w:r>
            <w:proofErr w:type="spellStart"/>
            <w:r w:rsidR="00CD0B16" w:rsidRPr="00B274FB">
              <w:rPr>
                <w:bCs/>
                <w:i/>
                <w:color w:val="000000" w:themeColor="text1"/>
              </w:rPr>
              <w:t>euro</w:t>
            </w:r>
            <w:proofErr w:type="spellEnd"/>
            <w:r w:rsidRPr="00B274FB">
              <w:rPr>
                <w:bCs/>
                <w:color w:val="000000" w:themeColor="text1"/>
              </w:rPr>
              <w:t xml:space="preserve"> un šīs izmaksas plānots deklarēt kā attiecin</w:t>
            </w:r>
            <w:r w:rsidR="007478E1" w:rsidRPr="00B274FB">
              <w:rPr>
                <w:bCs/>
                <w:color w:val="000000" w:themeColor="text1"/>
              </w:rPr>
              <w:t>āmā</w:t>
            </w:r>
            <w:r w:rsidRPr="00B274FB">
              <w:rPr>
                <w:bCs/>
                <w:color w:val="000000" w:themeColor="text1"/>
              </w:rPr>
              <w:t xml:space="preserve">s izmaksas. Izmaksas, kas radušās līdz 2015.gada 31.decembrim, tiks segtas no Inčukalna projektam 2015.gadam </w:t>
            </w:r>
            <w:r w:rsidRPr="00B274FB">
              <w:rPr>
                <w:bCs/>
                <w:color w:val="000000" w:themeColor="text1"/>
              </w:rPr>
              <w:lastRenderedPageBreak/>
              <w:t>paredzētā finansējuma (finansējuma, kas bija ieplānots</w:t>
            </w:r>
            <w:r w:rsidR="00CD0B16" w:rsidRPr="00B274FB">
              <w:rPr>
                <w:bCs/>
                <w:color w:val="000000" w:themeColor="text1"/>
              </w:rPr>
              <w:t xml:space="preserve"> samaksai par sanācijas darbiem</w:t>
            </w:r>
            <w:r w:rsidRPr="00B274FB">
              <w:rPr>
                <w:bCs/>
                <w:color w:val="000000" w:themeColor="text1"/>
              </w:rPr>
              <w:t>, bet netiks izlietots, jo tika lauzts līgums ar sanācijas darbu izpildītāju)</w:t>
            </w:r>
            <w:r w:rsidR="007478E1" w:rsidRPr="00B274FB">
              <w:rPr>
                <w:bCs/>
                <w:color w:val="000000" w:themeColor="text1"/>
              </w:rPr>
              <w:t xml:space="preserve">. </w:t>
            </w:r>
            <w:r w:rsidR="006668C0" w:rsidRPr="00B274FB">
              <w:rPr>
                <w:bCs/>
                <w:color w:val="000000" w:themeColor="text1"/>
              </w:rPr>
              <w:t xml:space="preserve">Attiecīgi III sadaļas tabulā norādīts 2016.-2018.gadā nepieciešamais finansējums, </w:t>
            </w:r>
            <w:r w:rsidR="00CD0B16" w:rsidRPr="00B274FB">
              <w:rPr>
                <w:bCs/>
                <w:color w:val="000000" w:themeColor="text1"/>
              </w:rPr>
              <w:t xml:space="preserve">savukārt 2019.gadā projektam plānots finansējums 56 196 </w:t>
            </w:r>
            <w:proofErr w:type="spellStart"/>
            <w:r w:rsidR="00CD0B16" w:rsidRPr="00B274FB">
              <w:rPr>
                <w:bCs/>
                <w:i/>
                <w:color w:val="000000" w:themeColor="text1"/>
              </w:rPr>
              <w:t>euro</w:t>
            </w:r>
            <w:proofErr w:type="spellEnd"/>
            <w:r w:rsidR="00CD0B16" w:rsidRPr="00B274FB">
              <w:rPr>
                <w:bCs/>
                <w:color w:val="000000" w:themeColor="text1"/>
              </w:rPr>
              <w:t xml:space="preserve">, līdz ar to </w:t>
            </w:r>
            <w:r w:rsidR="00F923D2" w:rsidRPr="00B274FB">
              <w:rPr>
                <w:bCs/>
                <w:color w:val="000000" w:themeColor="text1"/>
              </w:rPr>
              <w:t xml:space="preserve">plānotais finansējums turpmākajiem gadiem atbilst MK 2015.gada 22.septembra sēdē lemtajam par maksimālo saistību apjomu, ko </w:t>
            </w:r>
            <w:r w:rsidR="00647C5B" w:rsidRPr="00B274FB">
              <w:rPr>
                <w:bCs/>
                <w:color w:val="000000" w:themeColor="text1"/>
              </w:rPr>
              <w:t>VVD</w:t>
            </w:r>
            <w:r w:rsidR="00F923D2" w:rsidRPr="00B274FB">
              <w:rPr>
                <w:bCs/>
                <w:color w:val="000000" w:themeColor="text1"/>
              </w:rPr>
              <w:t xml:space="preserve"> atļauts uzņemties Inčukalna projektā</w:t>
            </w:r>
            <w:r w:rsidR="00722ED7" w:rsidRPr="00B274FB">
              <w:rPr>
                <w:bCs/>
                <w:color w:val="000000" w:themeColor="text1"/>
              </w:rPr>
              <w:t xml:space="preserve"> 2015.gadā un turpmākajos gados</w:t>
            </w:r>
            <w:r w:rsidR="00F923D2" w:rsidRPr="00B274FB">
              <w:rPr>
                <w:bCs/>
                <w:color w:val="000000" w:themeColor="text1"/>
              </w:rPr>
              <w:t>.</w:t>
            </w:r>
          </w:p>
          <w:p w:rsidR="00371BEE" w:rsidRPr="00B274FB" w:rsidRDefault="00722ED7" w:rsidP="007A7525">
            <w:pPr>
              <w:spacing w:after="120"/>
              <w:jc w:val="both"/>
              <w:rPr>
                <w:color w:val="000000" w:themeColor="text1"/>
                <w:lang w:eastAsia="en-US"/>
              </w:rPr>
            </w:pPr>
            <w:r w:rsidRPr="00B274FB">
              <w:rPr>
                <w:bCs/>
                <w:color w:val="000000" w:themeColor="text1"/>
              </w:rPr>
              <w:t xml:space="preserve">Prognozētais </w:t>
            </w:r>
            <w:r w:rsidR="00647C5B" w:rsidRPr="00B274FB">
              <w:rPr>
                <w:bCs/>
                <w:color w:val="000000" w:themeColor="text1"/>
              </w:rPr>
              <w:t xml:space="preserve">nepieciešamais </w:t>
            </w:r>
            <w:r w:rsidRPr="00B274FB">
              <w:rPr>
                <w:bCs/>
                <w:color w:val="000000" w:themeColor="text1"/>
              </w:rPr>
              <w:t>finansējums</w:t>
            </w:r>
            <w:r w:rsidR="00647C5B" w:rsidRPr="00B274FB">
              <w:rPr>
                <w:bCs/>
                <w:color w:val="000000" w:themeColor="text1"/>
              </w:rPr>
              <w:t xml:space="preserve"> Inčukalna</w:t>
            </w:r>
            <w:r w:rsidRPr="00B274FB">
              <w:rPr>
                <w:bCs/>
                <w:color w:val="000000" w:themeColor="text1"/>
              </w:rPr>
              <w:t xml:space="preserve"> projekta pabeigšanai </w:t>
            </w:r>
            <w:r w:rsidR="00647C5B" w:rsidRPr="00B274FB">
              <w:rPr>
                <w:bCs/>
                <w:color w:val="000000" w:themeColor="text1"/>
              </w:rPr>
              <w:t xml:space="preserve">pārsniedz ar MK 2015.gada 22.septembra sēdes lēmumu (protokols Nr.50, 38.§) atļauto maksimālo saistību apjomu, ko drīkst uzņemties VVD Inčukalna projektā. Iepirkuma par sanācijas darbu pabeigšanu rezultātā tiks precizēts projekta pabeigšanai nepieciešamais finansējums, kā arī var tikt precizēts izmaksu sadalījums pa gadiem. </w:t>
            </w:r>
            <w:r w:rsidR="00647C5B" w:rsidRPr="00B274FB">
              <w:rPr>
                <w:color w:val="000000" w:themeColor="text1"/>
                <w:lang w:eastAsia="en-US"/>
              </w:rPr>
              <w:t>VARAM apliecina, ka šī ir precīzākā indikatīvā finansējuma sadalījuma aplēse, kas, pamatojoties uz VARAM rīcībā esošo informāciju, var</w:t>
            </w:r>
            <w:r w:rsidR="007A18B0" w:rsidRPr="00B274FB">
              <w:rPr>
                <w:color w:val="000000" w:themeColor="text1"/>
                <w:lang w:eastAsia="en-US"/>
              </w:rPr>
              <w:t xml:space="preserve"> pašlaik</w:t>
            </w:r>
            <w:r w:rsidR="00647C5B" w:rsidRPr="00B274FB">
              <w:rPr>
                <w:color w:val="000000" w:themeColor="text1"/>
                <w:lang w:eastAsia="en-US"/>
              </w:rPr>
              <w:t xml:space="preserve"> tikt sniegta. VARAM un VVD nodrošinās, ka 2015.gadā un turpmākajos gados uzņemtās saistības līdz turpmāku lēmumu pieņemšanai par projekta īstenošanas turpināšanu un finansēšanu nepārsniedz maksimālo MK atļauto uzņemamo saistību apjomu (22 037 691 </w:t>
            </w:r>
            <w:proofErr w:type="spellStart"/>
            <w:r w:rsidR="00647C5B" w:rsidRPr="00B274FB">
              <w:rPr>
                <w:i/>
                <w:color w:val="000000" w:themeColor="text1"/>
                <w:lang w:eastAsia="en-US"/>
              </w:rPr>
              <w:t>euro</w:t>
            </w:r>
            <w:proofErr w:type="spellEnd"/>
            <w:r w:rsidR="00647C5B" w:rsidRPr="00B274FB">
              <w:rPr>
                <w:color w:val="000000" w:themeColor="text1"/>
                <w:lang w:eastAsia="en-US"/>
              </w:rPr>
              <w:t xml:space="preserve">). VARAM 2016.gadā, izpildot </w:t>
            </w:r>
            <w:r w:rsidR="00647C5B" w:rsidRPr="00B274FB">
              <w:rPr>
                <w:bCs/>
                <w:color w:val="000000" w:themeColor="text1"/>
              </w:rPr>
              <w:t xml:space="preserve">MK 2015.gada 22.septembra sēdē doto uzdevumu, </w:t>
            </w:r>
            <w:r w:rsidR="00647C5B" w:rsidRPr="00B274FB">
              <w:rPr>
                <w:color w:val="000000" w:themeColor="text1"/>
                <w:lang w:eastAsia="en-US"/>
              </w:rPr>
              <w:t>noteiktā kārtībā iesniegs priekšlikumu par nepieciešamā finansējuma nodrošināšanu projekta īstenošanas pabeigšanai.</w:t>
            </w:r>
          </w:p>
          <w:p w:rsidR="00527D3E" w:rsidRPr="00B274FB" w:rsidRDefault="00217BB8" w:rsidP="00217BB8">
            <w:pPr>
              <w:spacing w:after="120"/>
              <w:jc w:val="both"/>
              <w:rPr>
                <w:bCs/>
                <w:color w:val="000000" w:themeColor="text1"/>
              </w:rPr>
            </w:pPr>
            <w:r w:rsidRPr="00B274FB">
              <w:rPr>
                <w:color w:val="000000" w:themeColor="text1"/>
                <w:lang w:eastAsia="en-US"/>
              </w:rPr>
              <w:t xml:space="preserve">Noteikumu projektā izdalītas vairākas izmaksu pozīcijas, lai nodrošinātu juridisko pakalpojumu izmaksu, projekta vadības izmaksu, lielā projekta iesniegumā norādīto neattiecināmo izmaksu, kā arī visu to izmaksu, kas projektā rodas pēc 2015.gada 31.decembra, segšanai. Attiecīgi norādīti šo neattiecināmo izmaksu pozīciju maksimālie ierobežojumi. Minētie ierobežojumi </w:t>
            </w:r>
            <w:r w:rsidR="00396A47" w:rsidRPr="00B274FB">
              <w:rPr>
                <w:color w:val="000000" w:themeColor="text1"/>
                <w:lang w:eastAsia="en-US"/>
              </w:rPr>
              <w:t>nemaina</w:t>
            </w:r>
            <w:r w:rsidRPr="00B274FB">
              <w:rPr>
                <w:color w:val="000000" w:themeColor="text1"/>
                <w:lang w:eastAsia="en-US"/>
              </w:rPr>
              <w:t xml:space="preserve"> </w:t>
            </w:r>
            <w:r w:rsidRPr="00B274FB">
              <w:rPr>
                <w:bCs/>
                <w:color w:val="000000" w:themeColor="text1"/>
              </w:rPr>
              <w:t>MK 2015.gada 22.septembra sēdē pieņemtā lēmuma par maksimālo saistību apjomu, ko VVD atļauts uzņemties Inčukalna projektā 2015.gadā un turpmākajos gados, izpildi.</w:t>
            </w:r>
          </w:p>
          <w:p w:rsidR="009B526C" w:rsidRDefault="009A1DD7" w:rsidP="00B274FB">
            <w:pPr>
              <w:spacing w:after="120"/>
              <w:jc w:val="both"/>
              <w:rPr>
                <w:lang w:eastAsia="en-US"/>
              </w:rPr>
            </w:pPr>
            <w:r>
              <w:rPr>
                <w:lang w:eastAsia="en-US"/>
              </w:rPr>
              <w:t>Aprēķinot juridisko pakalpojumu izmaksu ierobežojum</w:t>
            </w:r>
            <w:r w:rsidR="00295837">
              <w:rPr>
                <w:lang w:eastAsia="en-US"/>
              </w:rPr>
              <w:t>u</w:t>
            </w:r>
            <w:r w:rsidR="00EB7F58">
              <w:rPr>
                <w:lang w:eastAsia="en-US"/>
              </w:rPr>
              <w:t xml:space="preserve"> (512 000 </w:t>
            </w:r>
            <w:proofErr w:type="spellStart"/>
            <w:r w:rsidR="00EB7F58" w:rsidRPr="00EB7F58">
              <w:rPr>
                <w:i/>
                <w:lang w:eastAsia="en-US"/>
              </w:rPr>
              <w:t>euro</w:t>
            </w:r>
            <w:proofErr w:type="spellEnd"/>
            <w:r w:rsidR="00EB7F58">
              <w:rPr>
                <w:lang w:eastAsia="en-US"/>
              </w:rPr>
              <w:t>)</w:t>
            </w:r>
            <w:r>
              <w:rPr>
                <w:lang w:eastAsia="en-US"/>
              </w:rPr>
              <w:t xml:space="preserve">, </w:t>
            </w:r>
            <w:r w:rsidR="00295837">
              <w:rPr>
                <w:lang w:eastAsia="en-US"/>
              </w:rPr>
              <w:t>ņemta vērā vajadzība pēc augsti kvalificētas juridiskās palīdzības turpmāko četru gadu laikā, prognozējot valsts interešu pārstāvības potenciālo noslodzi tiesvedības procesos un citos jautājumos, kas saistīti ar sanācijas darbu līguma izbeigšanu.</w:t>
            </w:r>
            <w:r w:rsidR="008E2129">
              <w:rPr>
                <w:lang w:eastAsia="en-US"/>
              </w:rPr>
              <w:t xml:space="preserve"> Šo izmaksu pozīcija ietver arī tiesvedības izmaksas (t.sk. valsts nodevas, kancelejas nodevas, ar lietas izskatīšanu saistītos izdevumus u.c.).</w:t>
            </w:r>
            <w:r w:rsidR="009B526C">
              <w:rPr>
                <w:lang w:eastAsia="en-US"/>
              </w:rPr>
              <w:t xml:space="preserve"> </w:t>
            </w:r>
            <w:r w:rsidR="009B526C" w:rsidRPr="00217BB8">
              <w:rPr>
                <w:szCs w:val="22"/>
              </w:rPr>
              <w:t>Izmaksas noteiktas, summējot ekspertu atlīdzību, uzturēšanas izdevumus un ārējo ekspertu piesaistes izmaksas līguma izpildes laikā. Projekta ietvaros plānots piesaistīt zvērinātu advokātu un juristu, kuru vidējās stundas tarifa likme noteikta atbilstoši profesiju klasifikatoram saskaņā ar Valsts ieņēmuma dienesta sniegto informāciju, papildu aprēķināti ekspertu uzturēšanas izdevumi, kā arī izmaksas ārējo ekspertu piesaistei atzinuma sniegšanai.</w:t>
            </w:r>
          </w:p>
          <w:p w:rsidR="009B526C" w:rsidRPr="00B274FB" w:rsidRDefault="00295837" w:rsidP="00B274FB">
            <w:pPr>
              <w:spacing w:after="120"/>
              <w:jc w:val="both"/>
              <w:rPr>
                <w:b/>
                <w:color w:val="000000" w:themeColor="text1"/>
                <w:szCs w:val="22"/>
              </w:rPr>
            </w:pPr>
            <w:r>
              <w:rPr>
                <w:lang w:eastAsia="en-US"/>
              </w:rPr>
              <w:t xml:space="preserve">Nosakot </w:t>
            </w:r>
            <w:r w:rsidR="008E2129">
              <w:rPr>
                <w:lang w:eastAsia="en-US"/>
              </w:rPr>
              <w:t>projekta vad</w:t>
            </w:r>
            <w:r w:rsidR="008A407D">
              <w:rPr>
                <w:lang w:eastAsia="en-US"/>
              </w:rPr>
              <w:t>ības izmaksas</w:t>
            </w:r>
            <w:r w:rsidR="00142A71">
              <w:rPr>
                <w:lang w:eastAsia="en-US"/>
              </w:rPr>
              <w:t xml:space="preserve"> (503 000 </w:t>
            </w:r>
            <w:proofErr w:type="spellStart"/>
            <w:r w:rsidR="00142A71" w:rsidRPr="00142A71">
              <w:rPr>
                <w:i/>
                <w:lang w:eastAsia="en-US"/>
              </w:rPr>
              <w:t>euro</w:t>
            </w:r>
            <w:proofErr w:type="spellEnd"/>
            <w:r w:rsidR="00142A71">
              <w:rPr>
                <w:lang w:eastAsia="en-US"/>
              </w:rPr>
              <w:t>)</w:t>
            </w:r>
            <w:r w:rsidR="008E2129">
              <w:rPr>
                <w:lang w:eastAsia="en-US"/>
              </w:rPr>
              <w:t xml:space="preserve">, </w:t>
            </w:r>
            <w:r w:rsidR="00507EF4">
              <w:rPr>
                <w:lang w:eastAsia="en-US"/>
              </w:rPr>
              <w:t xml:space="preserve">ņemtas </w:t>
            </w:r>
            <w:r w:rsidR="008E2129">
              <w:rPr>
                <w:lang w:eastAsia="en-US"/>
              </w:rPr>
              <w:t xml:space="preserve"> vērā</w:t>
            </w:r>
            <w:r w:rsidR="00286A5F">
              <w:rPr>
                <w:lang w:eastAsia="en-US"/>
              </w:rPr>
              <w:t xml:space="preserve"> E</w:t>
            </w:r>
            <w:r w:rsidR="00507EF4">
              <w:rPr>
                <w:lang w:eastAsia="en-US"/>
              </w:rPr>
              <w:t xml:space="preserve">iropas </w:t>
            </w:r>
            <w:r w:rsidR="00286A5F">
              <w:rPr>
                <w:lang w:eastAsia="en-US"/>
              </w:rPr>
              <w:t>K</w:t>
            </w:r>
            <w:r w:rsidR="00507EF4">
              <w:rPr>
                <w:lang w:eastAsia="en-US"/>
              </w:rPr>
              <w:t>omisijas</w:t>
            </w:r>
            <w:r w:rsidR="00286A5F">
              <w:rPr>
                <w:lang w:eastAsia="en-US"/>
              </w:rPr>
              <w:t xml:space="preserve"> un JASPERS </w:t>
            </w:r>
            <w:r w:rsidR="00507EF4">
              <w:rPr>
                <w:lang w:eastAsia="en-US"/>
              </w:rPr>
              <w:t>īpaši uzsvērtās rekomendācijas</w:t>
            </w:r>
            <w:r w:rsidR="00286A5F">
              <w:rPr>
                <w:lang w:eastAsia="en-US"/>
              </w:rPr>
              <w:t xml:space="preserve">, kā arī </w:t>
            </w:r>
            <w:r w:rsidR="008A407D">
              <w:rPr>
                <w:lang w:eastAsia="en-US"/>
              </w:rPr>
              <w:t xml:space="preserve">Eiropas Savienības fondu Vadošās iestādes regulārajos un </w:t>
            </w:r>
            <w:r w:rsidR="008A407D">
              <w:rPr>
                <w:lang w:eastAsia="en-US"/>
              </w:rPr>
              <w:lastRenderedPageBreak/>
              <w:t xml:space="preserve">gadskārtējos </w:t>
            </w:r>
            <w:r w:rsidR="008E2129" w:rsidRPr="008A407D">
              <w:rPr>
                <w:lang w:eastAsia="en-US"/>
              </w:rPr>
              <w:t>ziņojumos</w:t>
            </w:r>
            <w:r w:rsidR="00A738E0">
              <w:rPr>
                <w:lang w:eastAsia="en-US"/>
              </w:rPr>
              <w:t xml:space="preserve"> </w:t>
            </w:r>
            <w:r w:rsidR="008A407D">
              <w:rPr>
                <w:lang w:eastAsia="en-US"/>
              </w:rPr>
              <w:t xml:space="preserve">MK </w:t>
            </w:r>
            <w:r w:rsidR="008E2129">
              <w:rPr>
                <w:lang w:eastAsia="en-US"/>
              </w:rPr>
              <w:t xml:space="preserve">ietvertie norādījumi par projekta vadības kapacitātes celšanu Inčukalna projektā. </w:t>
            </w:r>
            <w:r w:rsidR="008A407D">
              <w:rPr>
                <w:lang w:eastAsia="en-US"/>
              </w:rPr>
              <w:t>Tā kā Inčukalna projekts ir uzskatāms par lielu, sarežģītu un jo sevišķi nestandarta projektu, projekta vadībai ir nozīmīga loma sekmīgai tā īsteno</w:t>
            </w:r>
            <w:r w:rsidR="00166683">
              <w:rPr>
                <w:lang w:eastAsia="en-US"/>
              </w:rPr>
              <w:t>šanai</w:t>
            </w:r>
            <w:r w:rsidR="008A407D">
              <w:rPr>
                <w:lang w:eastAsia="en-US"/>
              </w:rPr>
              <w:t xml:space="preserve"> un </w:t>
            </w:r>
            <w:r w:rsidR="00166683">
              <w:rPr>
                <w:lang w:eastAsia="en-US"/>
              </w:rPr>
              <w:t xml:space="preserve">tā </w:t>
            </w:r>
            <w:r w:rsidR="008A407D">
              <w:rPr>
                <w:lang w:eastAsia="en-US"/>
              </w:rPr>
              <w:t xml:space="preserve">prasa lielus </w:t>
            </w:r>
            <w:proofErr w:type="spellStart"/>
            <w:r w:rsidR="008A407D">
              <w:rPr>
                <w:lang w:eastAsia="en-US"/>
              </w:rPr>
              <w:t>cilvēkkapitāla</w:t>
            </w:r>
            <w:proofErr w:type="spellEnd"/>
            <w:r w:rsidR="008A407D">
              <w:rPr>
                <w:lang w:eastAsia="en-US"/>
              </w:rPr>
              <w:t xml:space="preserve"> ieguldījumus,</w:t>
            </w:r>
            <w:r w:rsidR="00166683">
              <w:rPr>
                <w:lang w:eastAsia="en-US"/>
              </w:rPr>
              <w:t xml:space="preserve"> tamdēļ</w:t>
            </w:r>
            <w:r w:rsidR="008A407D">
              <w:rPr>
                <w:lang w:eastAsia="en-US"/>
              </w:rPr>
              <w:t xml:space="preserve"> būtiski ir nodrošināt kvalificētu projekta vadību. Nosakot šo izmaksu slieksni, ņemta vērā projektu vadībā iesaistīto speciālistu noslodze turpmāko četru gadu periodā un vidēj</w:t>
            </w:r>
            <w:r w:rsidR="00166683">
              <w:rPr>
                <w:lang w:eastAsia="en-US"/>
              </w:rPr>
              <w:t xml:space="preserve">ās mēnešalgas apmērs projektu vadībā iesaistītajām personām, kas strādā ar </w:t>
            </w:r>
            <w:r w:rsidR="003D7B83">
              <w:rPr>
                <w:lang w:eastAsia="en-US"/>
              </w:rPr>
              <w:t xml:space="preserve">sarežģītiem un </w:t>
            </w:r>
            <w:r w:rsidR="00166683">
              <w:rPr>
                <w:lang w:eastAsia="en-US"/>
              </w:rPr>
              <w:t>liela mēroga investīciju projektiem.</w:t>
            </w:r>
            <w:r w:rsidR="009B526C">
              <w:rPr>
                <w:lang w:eastAsia="en-US"/>
              </w:rPr>
              <w:t xml:space="preserve"> </w:t>
            </w:r>
            <w:r w:rsidR="009B526C" w:rsidRPr="00217BB8">
              <w:rPr>
                <w:szCs w:val="22"/>
              </w:rPr>
              <w:t xml:space="preserve">Izmaksu noteikšanai par pamatu ņemti MK 2013.gada 29.janvāra noteikumos Nr.66 “Noteikumi par valsts un pašvaldību institūciju amatpersonu un darbinieku darba samaksu un tās noteikšanas kārtību” un MK 2010.gada 30.novembra noteikumos Nr.1075 “Valsts un pašvaldību institūciju amatu katalogs” ietvertie nosacījumi par projektu vadībā iesaistīto amatu klasifikāciju un samaksas apmēru. Projektam plānots piesaistīt projekta ieviešanas vienības vadītāju, projekta vadītāju, projekta koordinatoru, projekta finansistu-ekonomistu, kā arī papildu ekspertus (daļēja slodze). </w:t>
            </w:r>
            <w:r w:rsidR="007C5D0F" w:rsidRPr="00B274FB">
              <w:rPr>
                <w:color w:val="000000" w:themeColor="text1"/>
                <w:szCs w:val="22"/>
              </w:rPr>
              <w:t>Inčukalna projekta vadības nodrošināšanas dēļ VARAM</w:t>
            </w:r>
            <w:r w:rsidR="001B19F8" w:rsidRPr="00B274FB">
              <w:rPr>
                <w:color w:val="000000" w:themeColor="text1"/>
                <w:szCs w:val="22"/>
              </w:rPr>
              <w:t xml:space="preserve"> resorā netiks palielināts </w:t>
            </w:r>
            <w:r w:rsidR="007C5D0F" w:rsidRPr="00B274FB">
              <w:rPr>
                <w:color w:val="000000" w:themeColor="text1"/>
                <w:szCs w:val="22"/>
              </w:rPr>
              <w:t xml:space="preserve">kopējais </w:t>
            </w:r>
            <w:r w:rsidR="001B19F8" w:rsidRPr="00B274FB">
              <w:rPr>
                <w:color w:val="000000" w:themeColor="text1"/>
                <w:szCs w:val="22"/>
              </w:rPr>
              <w:t>nodarbināto skaits.</w:t>
            </w:r>
          </w:p>
          <w:p w:rsidR="009B526C" w:rsidRPr="00B274FB" w:rsidRDefault="003D7B83" w:rsidP="00B274FB">
            <w:pPr>
              <w:spacing w:after="120"/>
              <w:jc w:val="both"/>
              <w:rPr>
                <w:color w:val="000000" w:themeColor="text1"/>
                <w:szCs w:val="22"/>
              </w:rPr>
            </w:pPr>
            <w:r>
              <w:rPr>
                <w:lang w:eastAsia="en-US"/>
              </w:rPr>
              <w:t>Izmaksu ierobežojums noteikum</w:t>
            </w:r>
            <w:r w:rsidR="00E14705">
              <w:rPr>
                <w:lang w:eastAsia="en-US"/>
              </w:rPr>
              <w:t>u</w:t>
            </w:r>
            <w:r>
              <w:rPr>
                <w:lang w:eastAsia="en-US"/>
              </w:rPr>
              <w:t xml:space="preserve"> projekta 4.punktā minētajām </w:t>
            </w:r>
            <w:r>
              <w:rPr>
                <w:color w:val="000000" w:themeColor="text1"/>
                <w:szCs w:val="28"/>
              </w:rPr>
              <w:t>projekta iesniegumā norādītajām neattiecināmajām sanācijas darbu izmaksām</w:t>
            </w:r>
            <w:r w:rsidR="007B51E6">
              <w:rPr>
                <w:color w:val="000000" w:themeColor="text1"/>
                <w:szCs w:val="28"/>
              </w:rPr>
              <w:t xml:space="preserve"> (</w:t>
            </w:r>
            <w:r w:rsidR="007B51E6" w:rsidRPr="00073A56">
              <w:rPr>
                <w:color w:val="000000" w:themeColor="text1"/>
                <w:szCs w:val="28"/>
              </w:rPr>
              <w:t xml:space="preserve">497 600 </w:t>
            </w:r>
            <w:proofErr w:type="spellStart"/>
            <w:r w:rsidR="007B51E6" w:rsidRPr="00073A56">
              <w:rPr>
                <w:i/>
                <w:color w:val="000000" w:themeColor="text1"/>
                <w:szCs w:val="28"/>
              </w:rPr>
              <w:t>euro</w:t>
            </w:r>
            <w:proofErr w:type="spellEnd"/>
            <w:r w:rsidR="007B51E6" w:rsidRPr="007B51E6">
              <w:rPr>
                <w:color w:val="000000" w:themeColor="text1"/>
                <w:szCs w:val="28"/>
              </w:rPr>
              <w:t>)</w:t>
            </w:r>
            <w:r>
              <w:rPr>
                <w:color w:val="000000" w:themeColor="text1"/>
                <w:szCs w:val="28"/>
              </w:rPr>
              <w:t xml:space="preserve"> noteikts, ņemot vērā JASPERS </w:t>
            </w:r>
            <w:r w:rsidR="00301948">
              <w:rPr>
                <w:color w:val="000000" w:themeColor="text1"/>
                <w:szCs w:val="28"/>
              </w:rPr>
              <w:t>ziņojumā norādīto par hidroloģiskajiem apstākļiem darbu veikšanas vietā. Tā rezultātā Dienvidu dīķī radās papildu izsmeļamais apjoms, kas saskaņā ar JASPERS ziņojumu uzskatāms par neattiecināmajām izmaksām.</w:t>
            </w:r>
            <w:r w:rsidR="009B526C">
              <w:rPr>
                <w:color w:val="000000" w:themeColor="text1"/>
                <w:szCs w:val="28"/>
              </w:rPr>
              <w:t xml:space="preserve"> </w:t>
            </w:r>
            <w:r w:rsidR="009B526C" w:rsidRPr="00217BB8">
              <w:rPr>
                <w:color w:val="000000" w:themeColor="text1"/>
                <w:szCs w:val="28"/>
              </w:rPr>
              <w:t>I</w:t>
            </w:r>
            <w:r w:rsidR="009B526C" w:rsidRPr="00217BB8">
              <w:rPr>
                <w:szCs w:val="22"/>
              </w:rPr>
              <w:t xml:space="preserve">zmaksu noteikšanai par pamatu ņemti hidrometeoroloģiskie apstākļi šajā vietā, proti, nokrišņu daudzums gadā un nokrišņu iztvaikošana. Zinot Dienvidu dīķa virsmas platību un gada nokrišņu bilanci, </w:t>
            </w:r>
            <w:r w:rsidR="00CC6BA5" w:rsidRPr="00217BB8">
              <w:rPr>
                <w:szCs w:val="22"/>
              </w:rPr>
              <w:t>a</w:t>
            </w:r>
            <w:r w:rsidR="009B526C" w:rsidRPr="00217BB8">
              <w:rPr>
                <w:szCs w:val="22"/>
              </w:rPr>
              <w:t>ttīrīšanai tika pakļauti 3050 m</w:t>
            </w:r>
            <w:r w:rsidR="009B526C" w:rsidRPr="00217BB8">
              <w:rPr>
                <w:szCs w:val="22"/>
                <w:vertAlign w:val="superscript"/>
              </w:rPr>
              <w:t>3</w:t>
            </w:r>
            <w:r w:rsidR="009B526C" w:rsidRPr="00217BB8">
              <w:rPr>
                <w:szCs w:val="22"/>
              </w:rPr>
              <w:t xml:space="preserve"> ūdens. Ņemot vērā kopējās izmaksas šo darbu pozīcijai un kopējo attīrīto ūdens daudzumu, </w:t>
            </w:r>
            <w:r w:rsidR="00CC6BA5" w:rsidRPr="00217BB8">
              <w:rPr>
                <w:szCs w:val="22"/>
              </w:rPr>
              <w:t>tika arī</w:t>
            </w:r>
            <w:r w:rsidR="009B526C" w:rsidRPr="00217BB8">
              <w:rPr>
                <w:szCs w:val="22"/>
              </w:rPr>
              <w:t xml:space="preserve"> noteikts neattiecināmo iz</w:t>
            </w:r>
            <w:r w:rsidR="00CC6BA5" w:rsidRPr="00217BB8">
              <w:rPr>
                <w:szCs w:val="22"/>
              </w:rPr>
              <w:t>maksu apjoms šo darbu veikšanai.</w:t>
            </w:r>
            <w:r w:rsidR="00217BB8" w:rsidRPr="00217BB8">
              <w:rPr>
                <w:szCs w:val="22"/>
              </w:rPr>
              <w:t xml:space="preserve"> </w:t>
            </w:r>
            <w:r w:rsidR="00217BB8" w:rsidRPr="00B274FB">
              <w:rPr>
                <w:color w:val="000000" w:themeColor="text1"/>
                <w:szCs w:val="22"/>
              </w:rPr>
              <w:t>Šīs izmaksas</w:t>
            </w:r>
            <w:r w:rsidR="00217BB8" w:rsidRPr="00B274FB">
              <w:rPr>
                <w:b/>
                <w:color w:val="000000" w:themeColor="text1"/>
                <w:szCs w:val="22"/>
              </w:rPr>
              <w:t xml:space="preserve"> </w:t>
            </w:r>
            <w:r w:rsidR="00217BB8" w:rsidRPr="00B274FB">
              <w:rPr>
                <w:color w:val="000000" w:themeColor="text1"/>
                <w:szCs w:val="22"/>
              </w:rPr>
              <w:t>ir radušās iepriekš un segtas no projektam iepriekš paredzētā finansējuma, līdz ar to tām nav ietekme uz turpmākajos gados nepieciešamo finansējumu.</w:t>
            </w:r>
          </w:p>
          <w:p w:rsidR="00E14705" w:rsidRPr="00B274FB" w:rsidRDefault="003154C9" w:rsidP="00217BB8">
            <w:pPr>
              <w:spacing w:after="120"/>
              <w:jc w:val="both"/>
              <w:rPr>
                <w:bCs/>
                <w:color w:val="000000" w:themeColor="text1"/>
              </w:rPr>
            </w:pPr>
            <w:r w:rsidRPr="00B274FB">
              <w:rPr>
                <w:color w:val="000000" w:themeColor="text1"/>
                <w:lang w:eastAsia="en-US"/>
              </w:rPr>
              <w:t>Izmaksu ierobežojums noteikum</w:t>
            </w:r>
            <w:r w:rsidR="00E14705" w:rsidRPr="00B274FB">
              <w:rPr>
                <w:color w:val="000000" w:themeColor="text1"/>
                <w:lang w:eastAsia="en-US"/>
              </w:rPr>
              <w:t>u</w:t>
            </w:r>
            <w:r w:rsidRPr="00B274FB">
              <w:rPr>
                <w:color w:val="000000" w:themeColor="text1"/>
                <w:lang w:eastAsia="en-US"/>
              </w:rPr>
              <w:t xml:space="preserve"> projekta 4.punktā minētajām visām neattiecināmajām izmaksām, ko finansējuma saņēmējs proj</w:t>
            </w:r>
            <w:r w:rsidR="00B65F6D" w:rsidRPr="00B274FB">
              <w:rPr>
                <w:color w:val="000000" w:themeColor="text1"/>
                <w:lang w:eastAsia="en-US"/>
              </w:rPr>
              <w:t>e</w:t>
            </w:r>
            <w:r w:rsidRPr="00B274FB">
              <w:rPr>
                <w:color w:val="000000" w:themeColor="text1"/>
                <w:lang w:eastAsia="en-US"/>
              </w:rPr>
              <w:t>ktā veiks pēc 2015.gada 31.decembra, norādīts kā maksimālais saistību apjoms</w:t>
            </w:r>
            <w:r w:rsidR="00217BB8" w:rsidRPr="00B274FB">
              <w:rPr>
                <w:color w:val="000000" w:themeColor="text1"/>
                <w:lang w:eastAsia="en-US"/>
              </w:rPr>
              <w:t xml:space="preserve">, ko </w:t>
            </w:r>
            <w:r w:rsidR="003D0DB2">
              <w:rPr>
                <w:color w:val="000000" w:themeColor="text1"/>
                <w:lang w:eastAsia="en-US"/>
              </w:rPr>
              <w:t>VVD</w:t>
            </w:r>
            <w:r w:rsidR="00217BB8" w:rsidRPr="00B274FB">
              <w:rPr>
                <w:color w:val="000000" w:themeColor="text1"/>
                <w:lang w:eastAsia="en-US"/>
              </w:rPr>
              <w:t xml:space="preserve"> atļauts uzņemties Inčukalna projektā atbilstoši </w:t>
            </w:r>
            <w:r w:rsidR="00217BB8" w:rsidRPr="00B274FB">
              <w:rPr>
                <w:bCs/>
                <w:color w:val="000000" w:themeColor="text1"/>
              </w:rPr>
              <w:t>MK 2015.gada 22.septembra sēdē lemtajam (protokols Nr.50, 38.§)</w:t>
            </w:r>
            <w:r w:rsidR="00E14705" w:rsidRPr="00B274FB">
              <w:rPr>
                <w:bCs/>
                <w:color w:val="000000" w:themeColor="text1"/>
              </w:rPr>
              <w:t xml:space="preserve">. Visas izmaksas, kas tiks veiktas Inčukalna projektā kā </w:t>
            </w:r>
            <w:proofErr w:type="spellStart"/>
            <w:r w:rsidR="00E14705" w:rsidRPr="00B274FB">
              <w:rPr>
                <w:bCs/>
                <w:color w:val="000000" w:themeColor="text1"/>
              </w:rPr>
              <w:t>nefuncionējošā</w:t>
            </w:r>
            <w:proofErr w:type="spellEnd"/>
            <w:r w:rsidR="00E14705" w:rsidRPr="00B274FB">
              <w:rPr>
                <w:bCs/>
                <w:color w:val="000000" w:themeColor="text1"/>
              </w:rPr>
              <w:t xml:space="preserve"> projektā, pēc 2015.gada 31.decembra, būs neattiecināmas izmaksas (arī izmaksas, kas līdz 2015.gada 31.decembrim</w:t>
            </w:r>
            <w:r w:rsidR="00193AF2" w:rsidRPr="00B274FB">
              <w:rPr>
                <w:bCs/>
                <w:color w:val="000000" w:themeColor="text1"/>
              </w:rPr>
              <w:t xml:space="preserve"> varētu tikt veiktas un tikt</w:t>
            </w:r>
            <w:r w:rsidR="00E14705" w:rsidRPr="00B274FB">
              <w:rPr>
                <w:bCs/>
                <w:color w:val="000000" w:themeColor="text1"/>
              </w:rPr>
              <w:t xml:space="preserve">  attiecināmas). Minētais ierobežojums šobrīd nav samazināms par summu, kādu pēc 2015.gada 22.septembra nosl</w:t>
            </w:r>
            <w:r w:rsidR="007A18B0" w:rsidRPr="00B274FB">
              <w:rPr>
                <w:bCs/>
                <w:color w:val="000000" w:themeColor="text1"/>
              </w:rPr>
              <w:t>ē</w:t>
            </w:r>
            <w:r w:rsidR="00E14705" w:rsidRPr="00B274FB">
              <w:rPr>
                <w:bCs/>
                <w:color w:val="000000" w:themeColor="text1"/>
              </w:rPr>
              <w:t>gto līgumu ietvaros plānots izmaksāt piegādātājiem 2015.gadā, ievērojot, ka precīzs 2015.gadā veikto izmaksu apjoms (un līdz ar to i</w:t>
            </w:r>
            <w:r w:rsidR="00EA3DCC" w:rsidRPr="00B274FB">
              <w:rPr>
                <w:bCs/>
                <w:color w:val="000000" w:themeColor="text1"/>
              </w:rPr>
              <w:t>e</w:t>
            </w:r>
            <w:r w:rsidR="00E14705" w:rsidRPr="00B274FB">
              <w:rPr>
                <w:bCs/>
                <w:color w:val="000000" w:themeColor="text1"/>
              </w:rPr>
              <w:t>spēja šīs izmaksas atzīt par attiecināmām) būs zināms tikai pēc attiecīgo maksājuma dokumentu iesniegšanas un apmaksas. Vienlaikus VARAM un VVD atkārtoti aplie</w:t>
            </w:r>
            <w:r w:rsidR="007A18B0" w:rsidRPr="00B274FB">
              <w:rPr>
                <w:bCs/>
                <w:color w:val="000000" w:themeColor="text1"/>
              </w:rPr>
              <w:t>c</w:t>
            </w:r>
            <w:r w:rsidR="00E14705" w:rsidRPr="00B274FB">
              <w:rPr>
                <w:bCs/>
                <w:color w:val="000000" w:themeColor="text1"/>
              </w:rPr>
              <w:t xml:space="preserve">ina, ka neuzņemsies </w:t>
            </w:r>
            <w:r w:rsidR="00396A47" w:rsidRPr="00B274FB">
              <w:rPr>
                <w:bCs/>
                <w:color w:val="000000" w:themeColor="text1"/>
              </w:rPr>
              <w:t xml:space="preserve">saistības, kas pārsniedz MK </w:t>
            </w:r>
            <w:r w:rsidR="00396A47" w:rsidRPr="00B274FB">
              <w:rPr>
                <w:bCs/>
                <w:color w:val="000000" w:themeColor="text1"/>
              </w:rPr>
              <w:lastRenderedPageBreak/>
              <w:t xml:space="preserve">2015.gada 22.septembra sēdē (protokols Nr.50, 38.§) atbalstīto apjomu. </w:t>
            </w:r>
          </w:p>
          <w:p w:rsidR="006A59C0" w:rsidRPr="00B274FB" w:rsidRDefault="00B8315F" w:rsidP="00B274FB">
            <w:pPr>
              <w:spacing w:after="120"/>
              <w:jc w:val="both"/>
              <w:rPr>
                <w:bCs/>
                <w:color w:val="000000"/>
              </w:rPr>
            </w:pPr>
            <w:r>
              <w:rPr>
                <w:color w:val="000000" w:themeColor="text1"/>
                <w:szCs w:val="28"/>
              </w:rPr>
              <w:t>Atbilstoši Pamatnostādnēm visas izmaksas, kas nefunkcionālos projektos rodas pēc 2015.gada 31.decembra, tiek uzskatītas par neattiecināmām</w:t>
            </w:r>
            <w:r w:rsidR="00597DA1">
              <w:rPr>
                <w:color w:val="000000" w:themeColor="text1"/>
                <w:szCs w:val="28"/>
              </w:rPr>
              <w:t xml:space="preserve">. Projekta pabeigšanas kopējās izmaksas (atbilstoši Eiropas </w:t>
            </w:r>
            <w:r w:rsidR="00467343">
              <w:rPr>
                <w:color w:val="000000" w:themeColor="text1"/>
                <w:szCs w:val="28"/>
              </w:rPr>
              <w:t>K</w:t>
            </w:r>
            <w:r w:rsidR="00597DA1">
              <w:rPr>
                <w:color w:val="000000" w:themeColor="text1"/>
                <w:szCs w:val="28"/>
              </w:rPr>
              <w:t xml:space="preserve">omisijā iesniegtajā projekta iesniegumā paredzētajām projekta </w:t>
            </w:r>
            <w:r w:rsidR="00597DA1">
              <w:rPr>
                <w:bCs/>
                <w:color w:val="000000"/>
              </w:rPr>
              <w:t>2.posma kopējām izmaksām</w:t>
            </w:r>
            <w:r w:rsidR="00597DA1">
              <w:rPr>
                <w:color w:val="000000" w:themeColor="text1"/>
                <w:szCs w:val="28"/>
              </w:rPr>
              <w:t xml:space="preserve">) noteiktas </w:t>
            </w:r>
            <w:r w:rsidR="00597DA1">
              <w:rPr>
                <w:bCs/>
                <w:color w:val="000000"/>
              </w:rPr>
              <w:t xml:space="preserve">~25,5 miljonu </w:t>
            </w:r>
            <w:proofErr w:type="spellStart"/>
            <w:r w:rsidR="00597DA1" w:rsidRPr="00865EB6">
              <w:rPr>
                <w:bCs/>
                <w:i/>
                <w:color w:val="000000"/>
              </w:rPr>
              <w:t>euro</w:t>
            </w:r>
            <w:proofErr w:type="spellEnd"/>
            <w:r w:rsidR="00597DA1">
              <w:rPr>
                <w:bCs/>
                <w:color w:val="000000"/>
              </w:rPr>
              <w:t xml:space="preserve"> apmērā, bet tās tiks precizētas projekta pabeigšanai nepieciešamo iepirkuma procedūru rezultātā un to finansēšanas avoti tiks noteikti 2016.gada laikā atbilstoši Ministru kabineta dotajam uzdevumam.</w:t>
            </w:r>
          </w:p>
          <w:p w:rsidR="0004275D" w:rsidRPr="00B274FB" w:rsidRDefault="006A59C0" w:rsidP="00B274FB">
            <w:pPr>
              <w:spacing w:after="120"/>
              <w:jc w:val="both"/>
            </w:pPr>
            <w:r w:rsidRPr="00B274FB">
              <w:t xml:space="preserve">Noteikumu </w:t>
            </w:r>
            <w:r w:rsidRPr="00B274FB">
              <w:rPr>
                <w:u w:val="single"/>
              </w:rPr>
              <w:t>projektā</w:t>
            </w:r>
            <w:r w:rsidRPr="00B274FB">
              <w:t xml:space="preserve"> ir </w:t>
            </w:r>
            <w:r w:rsidR="00467343" w:rsidRPr="00B274FB">
              <w:t xml:space="preserve">norādīts saistību apmērs (22 037 691 </w:t>
            </w:r>
            <w:proofErr w:type="spellStart"/>
            <w:r w:rsidR="00467343" w:rsidRPr="00B274FB">
              <w:rPr>
                <w:i/>
              </w:rPr>
              <w:t>euro</w:t>
            </w:r>
            <w:proofErr w:type="spellEnd"/>
            <w:r w:rsidR="00467343" w:rsidRPr="00B274FB">
              <w:t>)</w:t>
            </w:r>
            <w:r w:rsidRPr="00B274FB">
              <w:t>, kuru MK ar 2015.gada 22.septembra lēmumu</w:t>
            </w:r>
            <w:r w:rsidR="00527D06" w:rsidRPr="00B274FB">
              <w:t xml:space="preserve"> (</w:t>
            </w:r>
            <w:r w:rsidR="00527D06" w:rsidRPr="00B274FB">
              <w:rPr>
                <w:color w:val="000000"/>
              </w:rPr>
              <w:t>prot. Nr.50 38.§)</w:t>
            </w:r>
            <w:r w:rsidRPr="00B274FB">
              <w:t xml:space="preserve"> atļāva </w:t>
            </w:r>
            <w:r w:rsidR="003D0DB2">
              <w:t>VVD</w:t>
            </w:r>
            <w:r w:rsidRPr="00B274FB">
              <w:t xml:space="preserve"> uzņemties </w:t>
            </w:r>
            <w:r w:rsidR="00467343" w:rsidRPr="00B274FB">
              <w:t>projekta īstenošanas turpināšanai</w:t>
            </w:r>
            <w:r w:rsidRPr="00B274FB">
              <w:t>.</w:t>
            </w:r>
            <w:r w:rsidR="0004275D" w:rsidRPr="00B274FB">
              <w:t xml:space="preserve"> Šis finansējums un tā sadalījums turpmākajiem 3 gadiem ir norādīts arī anotācijas III pielikuma tabulā. Jāņem vērā, ka projekta ieviešana turpināsies arī 2019.gadā, projekta budžetā paredzot </w:t>
            </w:r>
            <w:r w:rsidR="00816AC0" w:rsidRPr="00B274FB">
              <w:t xml:space="preserve">55 490 </w:t>
            </w:r>
            <w:proofErr w:type="spellStart"/>
            <w:r w:rsidR="0004275D" w:rsidRPr="00B274FB">
              <w:rPr>
                <w:i/>
              </w:rPr>
              <w:t>euro</w:t>
            </w:r>
            <w:proofErr w:type="spellEnd"/>
            <w:r w:rsidR="0004275D" w:rsidRPr="00B274FB">
              <w:t>.</w:t>
            </w:r>
          </w:p>
          <w:p w:rsidR="00527D06" w:rsidRPr="00B274FB" w:rsidRDefault="0004275D" w:rsidP="00B274FB">
            <w:pPr>
              <w:spacing w:after="120"/>
              <w:jc w:val="both"/>
            </w:pPr>
            <w:r w:rsidRPr="00B274FB">
              <w:t xml:space="preserve">Vienlaikus </w:t>
            </w:r>
            <w:r w:rsidR="006A59C0" w:rsidRPr="00B274FB">
              <w:rPr>
                <w:u w:val="single"/>
              </w:rPr>
              <w:t>anotācijā</w:t>
            </w:r>
            <w:r w:rsidR="006A59C0" w:rsidRPr="00B274FB">
              <w:t xml:space="preserve"> norādīts arī aprēķinātais </w:t>
            </w:r>
            <w:r w:rsidR="00467343" w:rsidRPr="00B274FB">
              <w:t xml:space="preserve">maksimālais </w:t>
            </w:r>
            <w:r w:rsidR="006A59C0" w:rsidRPr="00B274FB">
              <w:t xml:space="preserve">projekta pabeigšanai indikatīvi </w:t>
            </w:r>
            <w:r w:rsidR="00467343" w:rsidRPr="00B274FB">
              <w:t xml:space="preserve">nepieciešamais </w:t>
            </w:r>
            <w:r w:rsidR="006A59C0" w:rsidRPr="00B274FB">
              <w:t>finansējums, kas paziņots arī Eiropas Komisijai</w:t>
            </w:r>
            <w:r w:rsidR="00467343" w:rsidRPr="00B274FB">
              <w:t xml:space="preserve">, </w:t>
            </w:r>
            <w:r w:rsidR="00407513" w:rsidRPr="00B274FB">
              <w:t xml:space="preserve">noteiktajā kārtībā </w:t>
            </w:r>
            <w:r w:rsidR="00467343" w:rsidRPr="00B274FB">
              <w:t>iesniedzot projekta grozījumu priekšlikumu,</w:t>
            </w:r>
            <w:r w:rsidR="006A59C0" w:rsidRPr="00B274FB">
              <w:t xml:space="preserve"> (25 488 220 </w:t>
            </w:r>
            <w:proofErr w:type="spellStart"/>
            <w:r w:rsidR="006A59C0" w:rsidRPr="00B274FB">
              <w:rPr>
                <w:i/>
              </w:rPr>
              <w:t>euro</w:t>
            </w:r>
            <w:proofErr w:type="spellEnd"/>
            <w:r w:rsidR="006A59C0" w:rsidRPr="00B274FB">
              <w:t>)</w:t>
            </w:r>
            <w:r w:rsidR="00527D06" w:rsidRPr="00B274FB">
              <w:t>.</w:t>
            </w:r>
          </w:p>
          <w:p w:rsidR="006A59C0" w:rsidRPr="00597DA1" w:rsidRDefault="0004275D" w:rsidP="00B274FB">
            <w:pPr>
              <w:spacing w:after="120"/>
              <w:jc w:val="both"/>
              <w:rPr>
                <w:color w:val="000000" w:themeColor="text1"/>
                <w:szCs w:val="28"/>
              </w:rPr>
            </w:pPr>
            <w:r w:rsidRPr="00B274FB">
              <w:t>Minētā</w:t>
            </w:r>
            <w:r w:rsidR="00407513" w:rsidRPr="00B274FB">
              <w:t xml:space="preserve"> papildus nepieciešamā</w:t>
            </w:r>
            <w:r w:rsidRPr="00B274FB">
              <w:t xml:space="preserve"> finansējuma sadalījums  </w:t>
            </w:r>
            <w:r w:rsidR="00EB475C" w:rsidRPr="00B274FB">
              <w:t>turpmākajiem gadiem nav veikt</w:t>
            </w:r>
            <w:r w:rsidR="00467343" w:rsidRPr="00B274FB">
              <w:t>s</w:t>
            </w:r>
            <w:r w:rsidR="00EB475C" w:rsidRPr="00B274FB">
              <w:t xml:space="preserve">, jo </w:t>
            </w:r>
            <w:r w:rsidR="00527D06" w:rsidRPr="00B274FB">
              <w:t>nepieciešamās izmaksas katram no turpmākajiem gadiem precizējamas iepirkuma par sanācijas darbu pabeigšanu rezultā</w:t>
            </w:r>
            <w:r w:rsidR="002F633E" w:rsidRPr="00B274FB">
              <w:t>t</w:t>
            </w:r>
            <w:r w:rsidR="00527D06" w:rsidRPr="00B274FB">
              <w:t>ā un sagatavojot un apstiprinot projektu ES fondu 2014.-2020.gada plānošanas perioda ietvaros</w:t>
            </w:r>
            <w:r w:rsidRPr="00B274FB">
              <w:t>. T</w:t>
            </w:r>
            <w:r w:rsidR="00527D06" w:rsidRPr="00B274FB">
              <w:t xml:space="preserve">urklāt </w:t>
            </w:r>
            <w:r w:rsidRPr="00B274FB">
              <w:t xml:space="preserve">finansējuma </w:t>
            </w:r>
            <w:r w:rsidR="002F633E" w:rsidRPr="00B274FB">
              <w:t>sadalījumu</w:t>
            </w:r>
            <w:r w:rsidRPr="00B274FB">
              <w:t xml:space="preserve"> pa gadiem var </w:t>
            </w:r>
            <w:r w:rsidR="002F633E" w:rsidRPr="00B274FB">
              <w:t>ietekmēt</w:t>
            </w:r>
            <w:r w:rsidRPr="00B274FB">
              <w:t xml:space="preserve"> </w:t>
            </w:r>
            <w:r w:rsidR="00527D06" w:rsidRPr="00B274FB">
              <w:t>saskaņā ar MK 2015.gada 22.septembra lēmumu</w:t>
            </w:r>
            <w:r w:rsidRPr="00B274FB">
              <w:t xml:space="preserve"> dotā uzdevuma par </w:t>
            </w:r>
            <w:r w:rsidR="002F633E" w:rsidRPr="00B274FB">
              <w:t>projekta</w:t>
            </w:r>
            <w:r w:rsidRPr="00B274FB">
              <w:t xml:space="preserve"> pabeigšanas izmaksu segšanas avotu precizēšanu līdz 2016.gada 30.decembrim izpildes rezultāts. Tāpat šobrīd vēl Eiropas Komisija nav pieņēmusi lēmumu par projekta grozījumu priekšlikuma apstiprin</w:t>
            </w:r>
            <w:r w:rsidR="002F633E" w:rsidRPr="00B274FB">
              <w:t>ā</w:t>
            </w:r>
            <w:r w:rsidRPr="00B274FB">
              <w:t>šanu.</w:t>
            </w:r>
          </w:p>
        </w:tc>
      </w:tr>
      <w:tr w:rsidR="00DE736F" w:rsidRPr="00860943" w:rsidTr="00300781">
        <w:tc>
          <w:tcPr>
            <w:tcW w:w="2676" w:type="dxa"/>
            <w:shd w:val="clear" w:color="auto" w:fill="auto"/>
            <w:hideMark/>
          </w:tcPr>
          <w:p w:rsidR="00DE736F" w:rsidRPr="00860943" w:rsidRDefault="00DE736F" w:rsidP="00DE736F">
            <w:pPr>
              <w:rPr>
                <w:lang w:eastAsia="en-US"/>
              </w:rPr>
            </w:pPr>
            <w:r w:rsidRPr="00860943">
              <w:t>6.1. detalizēts ieņēmumu aprēķins</w:t>
            </w:r>
          </w:p>
        </w:tc>
        <w:tc>
          <w:tcPr>
            <w:tcW w:w="6822" w:type="dxa"/>
            <w:gridSpan w:val="5"/>
            <w:vMerge/>
            <w:shd w:val="clear" w:color="auto" w:fill="auto"/>
            <w:vAlign w:val="center"/>
            <w:hideMark/>
          </w:tcPr>
          <w:p w:rsidR="00DE736F" w:rsidRPr="00860943" w:rsidRDefault="00DE736F" w:rsidP="00DE736F">
            <w:pPr>
              <w:rPr>
                <w:lang w:eastAsia="en-US"/>
              </w:rPr>
            </w:pPr>
          </w:p>
        </w:tc>
      </w:tr>
      <w:tr w:rsidR="00DE736F" w:rsidRPr="00860943" w:rsidTr="00300781">
        <w:tc>
          <w:tcPr>
            <w:tcW w:w="2676" w:type="dxa"/>
            <w:tcBorders>
              <w:bottom w:val="double" w:sz="4" w:space="0" w:color="auto"/>
            </w:tcBorders>
            <w:shd w:val="clear" w:color="auto" w:fill="auto"/>
            <w:hideMark/>
          </w:tcPr>
          <w:p w:rsidR="00DE736F" w:rsidRPr="00860943" w:rsidRDefault="00DE736F" w:rsidP="00DE736F">
            <w:pPr>
              <w:rPr>
                <w:lang w:eastAsia="en-US"/>
              </w:rPr>
            </w:pPr>
            <w:r w:rsidRPr="00860943">
              <w:t>6.2. detalizēts izdevumu aprēķins</w:t>
            </w:r>
          </w:p>
        </w:tc>
        <w:tc>
          <w:tcPr>
            <w:tcW w:w="6822" w:type="dxa"/>
            <w:gridSpan w:val="5"/>
            <w:vMerge/>
            <w:tcBorders>
              <w:bottom w:val="double" w:sz="4" w:space="0" w:color="auto"/>
            </w:tcBorders>
            <w:shd w:val="clear" w:color="auto" w:fill="auto"/>
            <w:vAlign w:val="center"/>
            <w:hideMark/>
          </w:tcPr>
          <w:p w:rsidR="00DE736F" w:rsidRPr="00860943" w:rsidRDefault="00DE736F" w:rsidP="00DE736F">
            <w:pPr>
              <w:rPr>
                <w:lang w:eastAsia="en-US"/>
              </w:rPr>
            </w:pPr>
          </w:p>
        </w:tc>
      </w:tr>
      <w:tr w:rsidR="00DE736F" w:rsidRPr="00860943" w:rsidTr="00300781">
        <w:trPr>
          <w:trHeight w:val="378"/>
        </w:trPr>
        <w:tc>
          <w:tcPr>
            <w:tcW w:w="2676" w:type="dxa"/>
            <w:tcBorders>
              <w:bottom w:val="single" w:sz="4" w:space="0" w:color="auto"/>
            </w:tcBorders>
            <w:shd w:val="clear" w:color="auto" w:fill="auto"/>
            <w:hideMark/>
          </w:tcPr>
          <w:p w:rsidR="00DE736F" w:rsidRPr="00860943" w:rsidRDefault="00DE736F" w:rsidP="00DE736F">
            <w:pPr>
              <w:rPr>
                <w:lang w:eastAsia="en-US"/>
              </w:rPr>
            </w:pPr>
            <w:r w:rsidRPr="00860943">
              <w:lastRenderedPageBreak/>
              <w:t>7. Cita informācija</w:t>
            </w:r>
          </w:p>
        </w:tc>
        <w:tc>
          <w:tcPr>
            <w:tcW w:w="6822" w:type="dxa"/>
            <w:gridSpan w:val="5"/>
            <w:tcBorders>
              <w:bottom w:val="single" w:sz="4" w:space="0" w:color="auto"/>
            </w:tcBorders>
            <w:shd w:val="clear" w:color="auto" w:fill="auto"/>
            <w:hideMark/>
          </w:tcPr>
          <w:p w:rsidR="00EB7F58" w:rsidRDefault="00EB7F58" w:rsidP="00054A79">
            <w:pPr>
              <w:ind w:right="74"/>
              <w:jc w:val="both"/>
              <w:rPr>
                <w:bCs/>
                <w:color w:val="000000"/>
              </w:rPr>
            </w:pPr>
            <w:r>
              <w:rPr>
                <w:bCs/>
                <w:color w:val="000000"/>
              </w:rPr>
              <w:t xml:space="preserve">Neattiecināmo izmaksu segšanai tiks izmantots valsts budžeta </w:t>
            </w:r>
            <w:r w:rsidR="00DE736F">
              <w:rPr>
                <w:bCs/>
                <w:color w:val="000000"/>
              </w:rPr>
              <w:t>80.00.00 programma</w:t>
            </w:r>
            <w:r>
              <w:rPr>
                <w:bCs/>
                <w:color w:val="000000"/>
              </w:rPr>
              <w:t xml:space="preserve">s </w:t>
            </w:r>
            <w:r w:rsidRPr="0093134E">
              <w:rPr>
                <w:bCs/>
                <w:color w:val="000000"/>
              </w:rPr>
              <w:t>“Nesadalītais finansējums Eiropas Savienības politiku instrumentu un pārējās ārvalstu finanšu palīdzības līdzfinansēto</w:t>
            </w:r>
            <w:r>
              <w:rPr>
                <w:bCs/>
                <w:color w:val="000000"/>
              </w:rPr>
              <w:t xml:space="preserve"> projektu un pasākumu īstenošanai” finanšu līdzekļi.</w:t>
            </w:r>
          </w:p>
          <w:p w:rsidR="009D624C" w:rsidRPr="00B274FB" w:rsidRDefault="009D624C" w:rsidP="00EB7F58">
            <w:pPr>
              <w:spacing w:after="100" w:afterAutospacing="1"/>
              <w:ind w:right="74"/>
              <w:jc w:val="both"/>
              <w:rPr>
                <w:bCs/>
                <w:color w:val="000000"/>
              </w:rPr>
            </w:pPr>
            <w:r w:rsidRPr="00B274FB">
              <w:rPr>
                <w:szCs w:val="22"/>
              </w:rPr>
              <w:t xml:space="preserve">VARAM, izpildot MK 2015.gada 22.septembra sēdes Nr.50, 38.§ 3.punktā noteikto, izvērtēs un noteiktā kārtībā 2016.gadā MK iesniegs priekšlikumus projekta pabeigšanai no Eiropas Savienības fondu 2014.-2020.gada plānošanas perioda līdzekļiem. Izstrādājot priekšlikumu, tiks izvērtēti visi iespējamie risinājumi iespējamās negatīvās ietekmes mazināšanai uz valsts budžetu (maksimāla izmaksu </w:t>
            </w:r>
            <w:proofErr w:type="spellStart"/>
            <w:r w:rsidRPr="00B274FB">
              <w:rPr>
                <w:szCs w:val="22"/>
              </w:rPr>
              <w:t>attiecināmība</w:t>
            </w:r>
            <w:proofErr w:type="spellEnd"/>
            <w:r w:rsidRPr="00B274FB">
              <w:rPr>
                <w:szCs w:val="22"/>
              </w:rPr>
              <w:t xml:space="preserve">, iespējami augstākā līdzfinansējuma likme, </w:t>
            </w:r>
            <w:proofErr w:type="spellStart"/>
            <w:r w:rsidRPr="00B274FB">
              <w:rPr>
                <w:szCs w:val="22"/>
              </w:rPr>
              <w:t>attiecināmības</w:t>
            </w:r>
            <w:proofErr w:type="spellEnd"/>
            <w:r w:rsidRPr="00B274FB">
              <w:rPr>
                <w:szCs w:val="22"/>
              </w:rPr>
              <w:t xml:space="preserve"> periods u.c.).</w:t>
            </w:r>
          </w:p>
        </w:tc>
      </w:tr>
    </w:tbl>
    <w:p w:rsidR="00B239CC" w:rsidRPr="006B0B81" w:rsidRDefault="00B239CC" w:rsidP="00B239CC">
      <w:pPr>
        <w:ind w:left="425" w:hanging="79"/>
        <w:jc w:val="both"/>
        <w:rPr>
          <w:i/>
          <w:iCs/>
          <w:color w:val="000000"/>
          <w:sz w:val="16"/>
          <w:szCs w:val="16"/>
        </w:rPr>
      </w:pPr>
    </w:p>
    <w:tbl>
      <w:tblPr>
        <w:tblW w:w="5278" w:type="pct"/>
        <w:tblCellSpacing w:w="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
        <w:gridCol w:w="3079"/>
        <w:gridCol w:w="5580"/>
      </w:tblGrid>
      <w:tr w:rsidR="00AA00A2" w:rsidRPr="00427146" w:rsidTr="00B274FB">
        <w:trPr>
          <w:trHeight w:val="477"/>
          <w:tblCellSpacing w:w="15" w:type="dxa"/>
        </w:trPr>
        <w:tc>
          <w:tcPr>
            <w:tcW w:w="4969" w:type="pct"/>
            <w:gridSpan w:val="3"/>
            <w:vAlign w:val="center"/>
            <w:hideMark/>
          </w:tcPr>
          <w:p w:rsidR="007E1737" w:rsidRPr="00427146" w:rsidRDefault="007E1737" w:rsidP="00541F62">
            <w:pPr>
              <w:spacing w:before="100" w:beforeAutospacing="1" w:after="100" w:afterAutospacing="1"/>
              <w:ind w:firstLine="346"/>
              <w:jc w:val="center"/>
              <w:rPr>
                <w:b/>
                <w:bCs/>
                <w:color w:val="000000"/>
              </w:rPr>
            </w:pPr>
            <w:r w:rsidRPr="00427146">
              <w:rPr>
                <w:color w:val="000000"/>
              </w:rPr>
              <w:t> </w:t>
            </w:r>
            <w:r w:rsidRPr="00427146">
              <w:rPr>
                <w:b/>
                <w:bCs/>
                <w:color w:val="000000"/>
              </w:rPr>
              <w:t>IV. Tiesību akta projekta ietekme uz spēkā esošo tiesību normu sistēmu</w:t>
            </w:r>
          </w:p>
        </w:tc>
      </w:tr>
      <w:tr w:rsidR="007E1737" w:rsidRPr="00427146" w:rsidTr="00B274FB">
        <w:trPr>
          <w:trHeight w:val="465"/>
          <w:tblCellSpacing w:w="15" w:type="dxa"/>
        </w:trPr>
        <w:tc>
          <w:tcPr>
            <w:tcW w:w="453" w:type="pct"/>
            <w:hideMark/>
          </w:tcPr>
          <w:p w:rsidR="007E1737" w:rsidRPr="00427146" w:rsidRDefault="007E1737" w:rsidP="00541F62">
            <w:pPr>
              <w:rPr>
                <w:color w:val="000000"/>
              </w:rPr>
            </w:pPr>
            <w:r w:rsidRPr="00427146">
              <w:rPr>
                <w:color w:val="000000"/>
              </w:rPr>
              <w:t>1.</w:t>
            </w:r>
          </w:p>
        </w:tc>
        <w:tc>
          <w:tcPr>
            <w:tcW w:w="1604" w:type="pct"/>
            <w:hideMark/>
          </w:tcPr>
          <w:p w:rsidR="007E1737" w:rsidRPr="00427146" w:rsidRDefault="007E1737" w:rsidP="007E1737">
            <w:pPr>
              <w:rPr>
                <w:color w:val="000000"/>
              </w:rPr>
            </w:pPr>
            <w:r w:rsidRPr="00427146">
              <w:rPr>
                <w:color w:val="000000"/>
              </w:rPr>
              <w:t>Nepieciešamie saistītie tiesību aktu projekti</w:t>
            </w:r>
          </w:p>
        </w:tc>
        <w:tc>
          <w:tcPr>
            <w:tcW w:w="2880" w:type="pct"/>
            <w:hideMark/>
          </w:tcPr>
          <w:p w:rsidR="007E1737" w:rsidRPr="00427146" w:rsidRDefault="00572572" w:rsidP="0057693B">
            <w:pPr>
              <w:ind w:right="72"/>
              <w:jc w:val="both"/>
              <w:rPr>
                <w:color w:val="000000"/>
              </w:rPr>
            </w:pPr>
            <w:r>
              <w:rPr>
                <w:color w:val="000000"/>
              </w:rPr>
              <w:t>Nav attiecināms</w:t>
            </w:r>
          </w:p>
        </w:tc>
      </w:tr>
      <w:tr w:rsidR="007E1737" w:rsidRPr="00427146" w:rsidTr="00B274FB">
        <w:trPr>
          <w:trHeight w:val="435"/>
          <w:tblCellSpacing w:w="15" w:type="dxa"/>
        </w:trPr>
        <w:tc>
          <w:tcPr>
            <w:tcW w:w="453" w:type="pct"/>
            <w:hideMark/>
          </w:tcPr>
          <w:p w:rsidR="007E1737" w:rsidRPr="00427146" w:rsidRDefault="007E1737" w:rsidP="00541F62">
            <w:pPr>
              <w:rPr>
                <w:color w:val="000000"/>
              </w:rPr>
            </w:pPr>
            <w:r w:rsidRPr="00427146">
              <w:rPr>
                <w:color w:val="000000"/>
              </w:rPr>
              <w:t>2.</w:t>
            </w:r>
          </w:p>
        </w:tc>
        <w:tc>
          <w:tcPr>
            <w:tcW w:w="1604" w:type="pct"/>
            <w:hideMark/>
          </w:tcPr>
          <w:p w:rsidR="007E1737" w:rsidRPr="00427146" w:rsidRDefault="007E1737" w:rsidP="007E1737">
            <w:pPr>
              <w:rPr>
                <w:color w:val="000000"/>
              </w:rPr>
            </w:pPr>
            <w:r w:rsidRPr="00427146">
              <w:rPr>
                <w:color w:val="000000"/>
              </w:rPr>
              <w:t>Atbildīgā institūcija</w:t>
            </w:r>
          </w:p>
        </w:tc>
        <w:tc>
          <w:tcPr>
            <w:tcW w:w="2880" w:type="pct"/>
            <w:hideMark/>
          </w:tcPr>
          <w:p w:rsidR="007E1737" w:rsidRPr="00427146" w:rsidRDefault="007E1737" w:rsidP="00F83515">
            <w:pPr>
              <w:jc w:val="both"/>
              <w:rPr>
                <w:color w:val="000000"/>
              </w:rPr>
            </w:pPr>
            <w:r w:rsidRPr="00427146">
              <w:rPr>
                <w:bCs/>
                <w:color w:val="000000"/>
              </w:rPr>
              <w:t>Vides aizsardzības un reģionālās attīstības ministrija</w:t>
            </w:r>
          </w:p>
        </w:tc>
      </w:tr>
      <w:tr w:rsidR="007E1737" w:rsidRPr="00427146" w:rsidTr="00B274FB">
        <w:trPr>
          <w:trHeight w:val="457"/>
          <w:tblCellSpacing w:w="15" w:type="dxa"/>
        </w:trPr>
        <w:tc>
          <w:tcPr>
            <w:tcW w:w="453" w:type="pct"/>
            <w:hideMark/>
          </w:tcPr>
          <w:p w:rsidR="007E1737" w:rsidRPr="00427146" w:rsidRDefault="007E1737" w:rsidP="00541F62">
            <w:pPr>
              <w:rPr>
                <w:color w:val="000000"/>
              </w:rPr>
            </w:pPr>
            <w:r w:rsidRPr="00427146">
              <w:rPr>
                <w:color w:val="000000"/>
              </w:rPr>
              <w:lastRenderedPageBreak/>
              <w:t>3.</w:t>
            </w:r>
          </w:p>
        </w:tc>
        <w:tc>
          <w:tcPr>
            <w:tcW w:w="1604" w:type="pct"/>
            <w:hideMark/>
          </w:tcPr>
          <w:p w:rsidR="007E1737" w:rsidRPr="00427146" w:rsidRDefault="007E1737" w:rsidP="00541F62">
            <w:pPr>
              <w:rPr>
                <w:color w:val="000000"/>
              </w:rPr>
            </w:pPr>
            <w:r w:rsidRPr="00427146">
              <w:rPr>
                <w:color w:val="000000"/>
              </w:rPr>
              <w:t>Cita informācija</w:t>
            </w:r>
          </w:p>
        </w:tc>
        <w:tc>
          <w:tcPr>
            <w:tcW w:w="2880" w:type="pct"/>
            <w:hideMark/>
          </w:tcPr>
          <w:p w:rsidR="007E1737" w:rsidRPr="002E68B5" w:rsidRDefault="002C5C78" w:rsidP="00611050">
            <w:pPr>
              <w:jc w:val="both"/>
              <w:rPr>
                <w:color w:val="000000"/>
              </w:rPr>
            </w:pPr>
            <w:r>
              <w:rPr>
                <w:color w:val="000000"/>
              </w:rPr>
              <w:t>Nav</w:t>
            </w:r>
          </w:p>
        </w:tc>
      </w:tr>
    </w:tbl>
    <w:p w:rsidR="0015395C" w:rsidRDefault="0006279B" w:rsidP="00F7767A">
      <w:pPr>
        <w:spacing w:before="120" w:line="360" w:lineRule="auto"/>
        <w:ind w:firstLine="346"/>
        <w:rPr>
          <w:i/>
          <w:iCs/>
          <w:color w:val="000000"/>
        </w:rPr>
      </w:pPr>
      <w:r>
        <w:rPr>
          <w:i/>
          <w:iCs/>
          <w:color w:val="000000"/>
        </w:rPr>
        <w:t>Anotācijas V. – VI</w:t>
      </w:r>
      <w:r w:rsidR="0015395C" w:rsidRPr="00427146">
        <w:rPr>
          <w:i/>
          <w:iCs/>
          <w:color w:val="000000"/>
        </w:rPr>
        <w:t>. sadaļa – projekts šīs jomas neskar.</w:t>
      </w:r>
    </w:p>
    <w:tbl>
      <w:tblPr>
        <w:tblW w:w="5319"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6"/>
        <w:gridCol w:w="3948"/>
        <w:gridCol w:w="4715"/>
      </w:tblGrid>
      <w:tr w:rsidR="0006279B" w:rsidRPr="00427146" w:rsidTr="00B274FB">
        <w:trPr>
          <w:trHeight w:val="403"/>
          <w:tblCellSpacing w:w="15" w:type="dxa"/>
        </w:trPr>
        <w:tc>
          <w:tcPr>
            <w:tcW w:w="4969" w:type="pct"/>
            <w:gridSpan w:val="3"/>
            <w:vAlign w:val="center"/>
            <w:hideMark/>
          </w:tcPr>
          <w:p w:rsidR="0006279B" w:rsidRPr="00427146" w:rsidRDefault="0006279B" w:rsidP="0006279B">
            <w:pPr>
              <w:spacing w:before="100" w:beforeAutospacing="1" w:after="100" w:afterAutospacing="1"/>
              <w:ind w:firstLine="346"/>
              <w:jc w:val="center"/>
              <w:rPr>
                <w:b/>
                <w:bCs/>
                <w:color w:val="000000"/>
              </w:rPr>
            </w:pPr>
            <w:r w:rsidRPr="00427146">
              <w:rPr>
                <w:color w:val="000000"/>
              </w:rPr>
              <w:t> </w:t>
            </w:r>
            <w:r>
              <w:rPr>
                <w:b/>
                <w:bCs/>
                <w:color w:val="000000"/>
              </w:rPr>
              <w:t>VII</w:t>
            </w:r>
            <w:r w:rsidRPr="00427146">
              <w:rPr>
                <w:b/>
                <w:bCs/>
                <w:color w:val="000000"/>
              </w:rPr>
              <w:t xml:space="preserve">. Tiesību akta projekta </w:t>
            </w:r>
            <w:r>
              <w:rPr>
                <w:b/>
                <w:bCs/>
                <w:color w:val="000000"/>
              </w:rPr>
              <w:t>izpildes nodrošināšana un tās ietekme uz institūcijām</w:t>
            </w:r>
          </w:p>
        </w:tc>
      </w:tr>
      <w:tr w:rsidR="0006279B" w:rsidRPr="00427146" w:rsidTr="00B274FB">
        <w:trPr>
          <w:trHeight w:val="465"/>
          <w:tblCellSpacing w:w="15" w:type="dxa"/>
        </w:trPr>
        <w:tc>
          <w:tcPr>
            <w:tcW w:w="486" w:type="pct"/>
            <w:hideMark/>
          </w:tcPr>
          <w:p w:rsidR="0006279B" w:rsidRPr="00427146" w:rsidRDefault="0006279B" w:rsidP="00943C82">
            <w:pPr>
              <w:rPr>
                <w:color w:val="000000"/>
              </w:rPr>
            </w:pPr>
            <w:r w:rsidRPr="00427146">
              <w:rPr>
                <w:color w:val="000000"/>
              </w:rPr>
              <w:t>1.</w:t>
            </w:r>
          </w:p>
        </w:tc>
        <w:tc>
          <w:tcPr>
            <w:tcW w:w="2045" w:type="pct"/>
            <w:hideMark/>
          </w:tcPr>
          <w:p w:rsidR="0006279B" w:rsidRPr="00427146" w:rsidRDefault="0006279B" w:rsidP="00943C82">
            <w:pPr>
              <w:rPr>
                <w:color w:val="000000"/>
              </w:rPr>
            </w:pPr>
            <w:r>
              <w:rPr>
                <w:color w:val="000000"/>
              </w:rPr>
              <w:t>Projekta izpildē iesaistītās institūcijas</w:t>
            </w:r>
          </w:p>
        </w:tc>
        <w:tc>
          <w:tcPr>
            <w:tcW w:w="2407" w:type="pct"/>
            <w:hideMark/>
          </w:tcPr>
          <w:p w:rsidR="0006279B" w:rsidRPr="00427146" w:rsidRDefault="003D0DB2" w:rsidP="009E3AEB">
            <w:pPr>
              <w:ind w:right="72"/>
              <w:jc w:val="both"/>
              <w:rPr>
                <w:color w:val="000000"/>
              </w:rPr>
            </w:pPr>
            <w:r>
              <w:rPr>
                <w:bCs/>
                <w:color w:val="000000"/>
              </w:rPr>
              <w:t>VVD</w:t>
            </w:r>
            <w:r w:rsidR="00E165BE">
              <w:rPr>
                <w:bCs/>
                <w:color w:val="000000"/>
              </w:rPr>
              <w:t xml:space="preserve"> kā Inčukalna projekta īstenotājs</w:t>
            </w:r>
          </w:p>
        </w:tc>
      </w:tr>
      <w:tr w:rsidR="0006279B" w:rsidRPr="00427146" w:rsidTr="00B274FB">
        <w:trPr>
          <w:trHeight w:val="435"/>
          <w:tblCellSpacing w:w="15" w:type="dxa"/>
        </w:trPr>
        <w:tc>
          <w:tcPr>
            <w:tcW w:w="486" w:type="pct"/>
            <w:hideMark/>
          </w:tcPr>
          <w:p w:rsidR="0006279B" w:rsidRPr="00427146" w:rsidRDefault="0006279B" w:rsidP="00943C82">
            <w:pPr>
              <w:rPr>
                <w:color w:val="000000"/>
              </w:rPr>
            </w:pPr>
            <w:r w:rsidRPr="00427146">
              <w:rPr>
                <w:color w:val="000000"/>
              </w:rPr>
              <w:t>2.</w:t>
            </w:r>
          </w:p>
        </w:tc>
        <w:tc>
          <w:tcPr>
            <w:tcW w:w="2045" w:type="pct"/>
            <w:hideMark/>
          </w:tcPr>
          <w:p w:rsidR="0006279B" w:rsidRPr="00427146" w:rsidRDefault="0006279B" w:rsidP="00943C82">
            <w:pPr>
              <w:rPr>
                <w:color w:val="000000"/>
              </w:rPr>
            </w:pPr>
            <w:r>
              <w:rPr>
                <w:color w:val="000000"/>
              </w:rPr>
              <w:t>Projekta izpildes ietekme uz pārvaldes funkcijām un institucionālo struktūru</w:t>
            </w:r>
          </w:p>
        </w:tc>
        <w:tc>
          <w:tcPr>
            <w:tcW w:w="2407" w:type="pct"/>
            <w:hideMark/>
          </w:tcPr>
          <w:p w:rsidR="0006279B" w:rsidRPr="00427146" w:rsidRDefault="0006279B" w:rsidP="0006279B">
            <w:pPr>
              <w:jc w:val="both"/>
              <w:rPr>
                <w:color w:val="000000"/>
              </w:rPr>
            </w:pPr>
            <w:r>
              <w:rPr>
                <w:color w:val="000000"/>
              </w:rPr>
              <w:t>Nav attiecināms</w:t>
            </w:r>
          </w:p>
        </w:tc>
      </w:tr>
      <w:tr w:rsidR="0006279B" w:rsidRPr="00427146" w:rsidTr="00B274FB">
        <w:trPr>
          <w:trHeight w:val="457"/>
          <w:tblCellSpacing w:w="15" w:type="dxa"/>
        </w:trPr>
        <w:tc>
          <w:tcPr>
            <w:tcW w:w="486" w:type="pct"/>
            <w:hideMark/>
          </w:tcPr>
          <w:p w:rsidR="0006279B" w:rsidRPr="00427146" w:rsidRDefault="0006279B" w:rsidP="00943C82">
            <w:pPr>
              <w:rPr>
                <w:color w:val="000000"/>
              </w:rPr>
            </w:pPr>
            <w:r w:rsidRPr="00427146">
              <w:rPr>
                <w:color w:val="000000"/>
              </w:rPr>
              <w:t>3.</w:t>
            </w:r>
          </w:p>
        </w:tc>
        <w:tc>
          <w:tcPr>
            <w:tcW w:w="2045" w:type="pct"/>
            <w:hideMark/>
          </w:tcPr>
          <w:p w:rsidR="0006279B" w:rsidRPr="00427146" w:rsidRDefault="0006279B" w:rsidP="00943C82">
            <w:pPr>
              <w:rPr>
                <w:color w:val="000000"/>
              </w:rPr>
            </w:pPr>
            <w:r w:rsidRPr="00427146">
              <w:rPr>
                <w:color w:val="000000"/>
              </w:rPr>
              <w:t>Cita informācija</w:t>
            </w:r>
          </w:p>
        </w:tc>
        <w:tc>
          <w:tcPr>
            <w:tcW w:w="2407" w:type="pct"/>
            <w:hideMark/>
          </w:tcPr>
          <w:p w:rsidR="0006279B" w:rsidRPr="002E68B5" w:rsidRDefault="0006279B" w:rsidP="00943C82">
            <w:pPr>
              <w:jc w:val="both"/>
              <w:rPr>
                <w:color w:val="000000"/>
              </w:rPr>
            </w:pPr>
            <w:r>
              <w:rPr>
                <w:color w:val="000000"/>
              </w:rPr>
              <w:t>Nav</w:t>
            </w:r>
          </w:p>
        </w:tc>
      </w:tr>
    </w:tbl>
    <w:p w:rsidR="0006279B" w:rsidRDefault="0006279B" w:rsidP="00385A38">
      <w:pPr>
        <w:rPr>
          <w:color w:val="000000"/>
          <w:sz w:val="28"/>
          <w:szCs w:val="28"/>
        </w:rPr>
      </w:pPr>
    </w:p>
    <w:p w:rsidR="00385A38" w:rsidRPr="00427146" w:rsidRDefault="005B71D1" w:rsidP="00385A38">
      <w:pPr>
        <w:rPr>
          <w:color w:val="000000"/>
          <w:sz w:val="28"/>
          <w:szCs w:val="28"/>
        </w:rPr>
      </w:pPr>
      <w:r w:rsidRPr="00427146">
        <w:rPr>
          <w:color w:val="000000"/>
          <w:sz w:val="28"/>
          <w:szCs w:val="28"/>
        </w:rPr>
        <w:t>I</w:t>
      </w:r>
      <w:r w:rsidR="00C83C8B" w:rsidRPr="00427146">
        <w:rPr>
          <w:color w:val="000000"/>
          <w:sz w:val="28"/>
          <w:szCs w:val="28"/>
        </w:rPr>
        <w:t>esniedzējs:</w:t>
      </w:r>
    </w:p>
    <w:p w:rsidR="00BA0344" w:rsidRPr="00427146" w:rsidRDefault="00BA0344" w:rsidP="00385A38">
      <w:pPr>
        <w:rPr>
          <w:color w:val="000000"/>
          <w:sz w:val="28"/>
          <w:szCs w:val="28"/>
        </w:rPr>
      </w:pPr>
      <w:r w:rsidRPr="00427146">
        <w:rPr>
          <w:color w:val="000000"/>
          <w:sz w:val="28"/>
          <w:szCs w:val="28"/>
        </w:rPr>
        <w:t xml:space="preserve">vides aizsardzības un </w:t>
      </w:r>
    </w:p>
    <w:p w:rsidR="00831EA8" w:rsidRDefault="00BA0344" w:rsidP="008841C6">
      <w:pPr>
        <w:rPr>
          <w:color w:val="000000"/>
          <w:sz w:val="28"/>
          <w:szCs w:val="28"/>
        </w:rPr>
      </w:pPr>
      <w:r w:rsidRPr="00427146">
        <w:rPr>
          <w:color w:val="000000"/>
          <w:sz w:val="28"/>
          <w:szCs w:val="28"/>
        </w:rPr>
        <w:t>reģionālās attīstības ministr</w:t>
      </w:r>
      <w:r w:rsidR="00901A03">
        <w:rPr>
          <w:color w:val="000000"/>
          <w:sz w:val="28"/>
          <w:szCs w:val="28"/>
        </w:rPr>
        <w:t>s</w:t>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B274FB">
        <w:rPr>
          <w:color w:val="000000"/>
          <w:sz w:val="28"/>
          <w:szCs w:val="28"/>
        </w:rPr>
        <w:t xml:space="preserve">       </w:t>
      </w:r>
      <w:r w:rsidR="008841C6">
        <w:rPr>
          <w:color w:val="000000"/>
          <w:sz w:val="28"/>
          <w:szCs w:val="28"/>
        </w:rPr>
        <w:t>K. Gerhards</w:t>
      </w:r>
    </w:p>
    <w:p w:rsidR="005331E3" w:rsidRDefault="005331E3" w:rsidP="008841C6">
      <w:pPr>
        <w:rPr>
          <w:color w:val="000000"/>
          <w:sz w:val="28"/>
          <w:szCs w:val="28"/>
        </w:rPr>
      </w:pPr>
    </w:p>
    <w:p w:rsidR="00300781" w:rsidRDefault="00300781" w:rsidP="008841C6">
      <w:pPr>
        <w:rPr>
          <w:color w:val="000000"/>
          <w:sz w:val="28"/>
          <w:szCs w:val="28"/>
        </w:rPr>
      </w:pPr>
    </w:p>
    <w:p w:rsidR="009A45EA" w:rsidRPr="00427146" w:rsidRDefault="009A45EA" w:rsidP="009A45EA">
      <w:pPr>
        <w:jc w:val="both"/>
        <w:rPr>
          <w:color w:val="000000"/>
          <w:sz w:val="28"/>
          <w:szCs w:val="28"/>
        </w:rPr>
      </w:pPr>
      <w:r w:rsidRPr="00427146">
        <w:rPr>
          <w:color w:val="000000"/>
          <w:sz w:val="28"/>
          <w:szCs w:val="28"/>
        </w:rPr>
        <w:t xml:space="preserve">Vizē: </w:t>
      </w:r>
    </w:p>
    <w:p w:rsidR="00385A38" w:rsidRPr="0034750B" w:rsidRDefault="009A45EA" w:rsidP="0052135E">
      <w:pPr>
        <w:jc w:val="both"/>
        <w:rPr>
          <w:color w:val="000000"/>
          <w:sz w:val="28"/>
          <w:szCs w:val="28"/>
        </w:rPr>
      </w:pPr>
      <w:r w:rsidRPr="00427146">
        <w:rPr>
          <w:color w:val="000000"/>
          <w:sz w:val="28"/>
          <w:szCs w:val="28"/>
        </w:rPr>
        <w:t>Valsts sekretār</w:t>
      </w:r>
      <w:r w:rsidR="0034750B">
        <w:rPr>
          <w:color w:val="000000"/>
          <w:sz w:val="28"/>
          <w:szCs w:val="28"/>
        </w:rPr>
        <w:t>s</w:t>
      </w:r>
      <w:r w:rsidR="0034750B">
        <w:rPr>
          <w:color w:val="000000"/>
          <w:sz w:val="28"/>
          <w:szCs w:val="28"/>
        </w:rPr>
        <w:tab/>
      </w:r>
      <w:r w:rsidR="0034750B">
        <w:rPr>
          <w:color w:val="000000"/>
          <w:sz w:val="28"/>
          <w:szCs w:val="28"/>
        </w:rPr>
        <w:tab/>
      </w:r>
      <w:r w:rsidR="0034750B">
        <w:rPr>
          <w:color w:val="000000"/>
          <w:sz w:val="28"/>
          <w:szCs w:val="28"/>
        </w:rPr>
        <w:tab/>
      </w:r>
      <w:r w:rsidR="0034750B">
        <w:rPr>
          <w:color w:val="000000"/>
          <w:sz w:val="28"/>
          <w:szCs w:val="28"/>
        </w:rPr>
        <w:tab/>
      </w:r>
      <w:r w:rsidR="0034750B">
        <w:rPr>
          <w:color w:val="000000"/>
          <w:sz w:val="28"/>
          <w:szCs w:val="28"/>
        </w:rPr>
        <w:tab/>
      </w:r>
      <w:r w:rsidR="0034750B">
        <w:rPr>
          <w:color w:val="000000"/>
          <w:sz w:val="28"/>
          <w:szCs w:val="28"/>
        </w:rPr>
        <w:tab/>
      </w:r>
      <w:r w:rsidR="0034750B">
        <w:rPr>
          <w:color w:val="000000"/>
          <w:sz w:val="28"/>
          <w:szCs w:val="28"/>
        </w:rPr>
        <w:tab/>
      </w:r>
      <w:r w:rsidR="0034750B">
        <w:rPr>
          <w:color w:val="000000"/>
          <w:sz w:val="28"/>
          <w:szCs w:val="28"/>
        </w:rPr>
        <w:tab/>
      </w:r>
      <w:r w:rsidR="0034750B">
        <w:rPr>
          <w:color w:val="000000"/>
          <w:sz w:val="28"/>
          <w:szCs w:val="28"/>
        </w:rPr>
        <w:tab/>
        <w:t>G. Puķītis</w:t>
      </w:r>
    </w:p>
    <w:p w:rsidR="00A15D97" w:rsidRDefault="00A15D97" w:rsidP="009A45EA">
      <w:pPr>
        <w:rPr>
          <w:noProof/>
          <w:color w:val="000000"/>
        </w:rPr>
      </w:pPr>
    </w:p>
    <w:p w:rsidR="002E479A" w:rsidRDefault="002E479A" w:rsidP="009A45EA">
      <w:pPr>
        <w:rPr>
          <w:noProof/>
          <w:color w:val="000000"/>
        </w:rPr>
      </w:pPr>
    </w:p>
    <w:p w:rsidR="0057693B" w:rsidRPr="00A15D97" w:rsidRDefault="00FC7DFC" w:rsidP="0057693B">
      <w:pPr>
        <w:tabs>
          <w:tab w:val="right" w:pos="9354"/>
        </w:tabs>
        <w:rPr>
          <w:sz w:val="20"/>
        </w:rPr>
      </w:pPr>
      <w:r>
        <w:rPr>
          <w:sz w:val="20"/>
        </w:rPr>
        <w:t>11</w:t>
      </w:r>
      <w:r w:rsidR="0057693B" w:rsidRPr="00A15D97">
        <w:rPr>
          <w:sz w:val="20"/>
        </w:rPr>
        <w:t>.</w:t>
      </w:r>
      <w:r w:rsidR="006A5260">
        <w:rPr>
          <w:sz w:val="20"/>
        </w:rPr>
        <w:t>1</w:t>
      </w:r>
      <w:r w:rsidR="002E0227">
        <w:rPr>
          <w:sz w:val="20"/>
        </w:rPr>
        <w:t>2</w:t>
      </w:r>
      <w:r w:rsidR="0057693B" w:rsidRPr="00A15D97">
        <w:rPr>
          <w:sz w:val="20"/>
        </w:rPr>
        <w:t xml:space="preserve">.2015. </w:t>
      </w:r>
      <w:r w:rsidR="00B274FB">
        <w:rPr>
          <w:sz w:val="20"/>
        </w:rPr>
        <w:t>12</w:t>
      </w:r>
      <w:r w:rsidR="0057693B" w:rsidRPr="00A15D97">
        <w:rPr>
          <w:sz w:val="20"/>
        </w:rPr>
        <w:t>:</w:t>
      </w:r>
      <w:r w:rsidR="00B274FB">
        <w:rPr>
          <w:sz w:val="20"/>
        </w:rPr>
        <w:t>04</w:t>
      </w:r>
    </w:p>
    <w:p w:rsidR="0057693B" w:rsidRPr="009F3A8A" w:rsidRDefault="009E1B55" w:rsidP="0057693B">
      <w:pPr>
        <w:rPr>
          <w:sz w:val="20"/>
        </w:rPr>
      </w:pPr>
      <w:r>
        <w:rPr>
          <w:sz w:val="20"/>
        </w:rPr>
        <w:t>2986</w:t>
      </w:r>
    </w:p>
    <w:p w:rsidR="004D1F0F" w:rsidRDefault="00FC7DFC" w:rsidP="004D1F0F">
      <w:pPr>
        <w:rPr>
          <w:sz w:val="20"/>
        </w:rPr>
      </w:pPr>
      <w:r>
        <w:rPr>
          <w:sz w:val="20"/>
        </w:rPr>
        <w:t>Dana Heiberga, 66016759</w:t>
      </w:r>
    </w:p>
    <w:p w:rsidR="0057693B" w:rsidRDefault="0057693B" w:rsidP="0057693B">
      <w:pPr>
        <w:rPr>
          <w:sz w:val="20"/>
        </w:rPr>
      </w:pPr>
      <w:r>
        <w:rPr>
          <w:sz w:val="20"/>
        </w:rPr>
        <w:t>VARAM Investīciju politikas departamenta</w:t>
      </w:r>
    </w:p>
    <w:p w:rsidR="0057693B" w:rsidRDefault="0057693B" w:rsidP="0057693B">
      <w:pPr>
        <w:rPr>
          <w:sz w:val="20"/>
        </w:rPr>
      </w:pPr>
      <w:r>
        <w:rPr>
          <w:sz w:val="20"/>
        </w:rPr>
        <w:t xml:space="preserve">Programmu vadības nodaļas </w:t>
      </w:r>
      <w:r w:rsidR="00FC7DFC">
        <w:rPr>
          <w:sz w:val="20"/>
        </w:rPr>
        <w:t>vadītāja</w:t>
      </w:r>
    </w:p>
    <w:p w:rsidR="004D1F0F" w:rsidRPr="00461DE1" w:rsidRDefault="00FC7DFC" w:rsidP="004D1F0F">
      <w:hyperlink r:id="rId8" w:history="1">
        <w:r w:rsidRPr="003575D3">
          <w:rPr>
            <w:rStyle w:val="Hyperlink"/>
            <w:sz w:val="20"/>
          </w:rPr>
          <w:t>Dana.Heiberga@v</w:t>
        </w:r>
        <w:bookmarkStart w:id="1" w:name="_GoBack"/>
        <w:bookmarkEnd w:id="1"/>
        <w:r w:rsidRPr="003575D3">
          <w:rPr>
            <w:rStyle w:val="Hyperlink"/>
            <w:sz w:val="20"/>
          </w:rPr>
          <w:t>aram.gov.lv</w:t>
        </w:r>
      </w:hyperlink>
    </w:p>
    <w:sectPr w:rsidR="004D1F0F" w:rsidRPr="00461DE1" w:rsidSect="00E94AC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A1" w:rsidRDefault="00666BA1">
      <w:r>
        <w:separator/>
      </w:r>
    </w:p>
  </w:endnote>
  <w:endnote w:type="continuationSeparator" w:id="0">
    <w:p w:rsidR="00666BA1" w:rsidRDefault="0066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F9" w:rsidRDefault="00A23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A8" w:rsidRPr="005A7740" w:rsidRDefault="005A7740" w:rsidP="00E94AC2">
    <w:pPr>
      <w:pStyle w:val="Footer"/>
      <w:ind w:left="-426"/>
      <w:jc w:val="both"/>
    </w:pPr>
    <w:r>
      <w:rPr>
        <w:sz w:val="20"/>
        <w:szCs w:val="20"/>
      </w:rPr>
      <w:t>VARAMAnot</w:t>
    </w:r>
    <w:r w:rsidRPr="008A1087">
      <w:rPr>
        <w:sz w:val="20"/>
      </w:rPr>
      <w:t>_</w:t>
    </w:r>
    <w:r w:rsidR="00A23EF9">
      <w:rPr>
        <w:sz w:val="20"/>
      </w:rPr>
      <w:t>11</w:t>
    </w:r>
    <w:r w:rsidR="002E0227">
      <w:rPr>
        <w:sz w:val="20"/>
      </w:rPr>
      <w:t>12</w:t>
    </w:r>
    <w:r>
      <w:rPr>
        <w:sz w:val="20"/>
      </w:rPr>
      <w:t>15_groz817</w:t>
    </w:r>
    <w:r w:rsidRPr="008A1087">
      <w:rPr>
        <w:sz w:val="20"/>
      </w:rPr>
      <w:t xml:space="preserve">; </w:t>
    </w:r>
    <w:r w:rsidRPr="00572572">
      <w:rPr>
        <w:bCs/>
        <w:color w:val="000000"/>
        <w:sz w:val="20"/>
        <w:szCs w:val="20"/>
      </w:rPr>
      <w:t>Ministru kabineta noteikumu projekta</w:t>
    </w:r>
    <w:r>
      <w:rPr>
        <w:bCs/>
        <w:color w:val="000000"/>
        <w:sz w:val="20"/>
        <w:szCs w:val="20"/>
      </w:rPr>
      <w:t xml:space="preserve"> “</w:t>
    </w:r>
    <w:r>
      <w:rPr>
        <w:bCs/>
        <w:sz w:val="20"/>
      </w:rPr>
      <w:t>Grozījumi</w:t>
    </w:r>
    <w:r w:rsidRPr="008A1087">
      <w:rPr>
        <w:bCs/>
        <w:sz w:val="20"/>
      </w:rPr>
      <w:t xml:space="preserve"> Ministru kabineta </w:t>
    </w:r>
    <w:r w:rsidRPr="00151978">
      <w:rPr>
        <w:sz w:val="20"/>
      </w:rPr>
      <w:t>2008.gada 30.</w:t>
    </w:r>
    <w:r>
      <w:rPr>
        <w:sz w:val="20"/>
      </w:rPr>
      <w:t>septembra</w:t>
    </w:r>
    <w:r w:rsidRPr="00151978">
      <w:rPr>
        <w:sz w:val="20"/>
      </w:rPr>
      <w:t xml:space="preserve"> noteikumos Nr.</w:t>
    </w:r>
    <w:r>
      <w:rPr>
        <w:sz w:val="20"/>
      </w:rPr>
      <w:t>817 “</w:t>
    </w:r>
    <w:r w:rsidRPr="00151978">
      <w:rPr>
        <w:sz w:val="20"/>
      </w:rPr>
      <w:t>Noteikumi par darbības programma</w:t>
    </w:r>
    <w:r>
      <w:rPr>
        <w:sz w:val="20"/>
      </w:rPr>
      <w:t>s “</w:t>
    </w:r>
    <w:r w:rsidRPr="00151978">
      <w:rPr>
        <w:sz w:val="20"/>
      </w:rPr>
      <w:t xml:space="preserve">Infrastruktūra un pakalpojumi” papildinājuma </w:t>
    </w:r>
    <w:r>
      <w:rPr>
        <w:sz w:val="20"/>
      </w:rPr>
      <w:t xml:space="preserve">3.4.1.4.aktivitāti “Vēsturiski piesārņoto vietu sanācija”” </w:t>
    </w:r>
    <w:r w:rsidRPr="00572572">
      <w:rPr>
        <w:color w:val="000000"/>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A8" w:rsidRPr="0057693B" w:rsidRDefault="00363AA8" w:rsidP="00E94AC2">
    <w:pPr>
      <w:ind w:left="-426"/>
      <w:jc w:val="both"/>
      <w:rPr>
        <w:sz w:val="20"/>
      </w:rPr>
    </w:pPr>
    <w:r>
      <w:rPr>
        <w:sz w:val="20"/>
        <w:szCs w:val="20"/>
      </w:rPr>
      <w:t>VARAMAnot</w:t>
    </w:r>
    <w:r w:rsidR="0057693B" w:rsidRPr="008A1087">
      <w:rPr>
        <w:sz w:val="20"/>
      </w:rPr>
      <w:t>_</w:t>
    </w:r>
    <w:r w:rsidR="00A23EF9">
      <w:rPr>
        <w:sz w:val="20"/>
      </w:rPr>
      <w:t>11</w:t>
    </w:r>
    <w:r w:rsidR="002E0227">
      <w:rPr>
        <w:sz w:val="20"/>
      </w:rPr>
      <w:t>12</w:t>
    </w:r>
    <w:r w:rsidR="005A7740">
      <w:rPr>
        <w:sz w:val="20"/>
      </w:rPr>
      <w:t>15</w:t>
    </w:r>
    <w:r w:rsidR="00572572">
      <w:rPr>
        <w:sz w:val="20"/>
      </w:rPr>
      <w:t>_groz</w:t>
    </w:r>
    <w:r w:rsidR="005A7740">
      <w:rPr>
        <w:sz w:val="20"/>
      </w:rPr>
      <w:t>817</w:t>
    </w:r>
    <w:r w:rsidR="0057693B" w:rsidRPr="008A1087">
      <w:rPr>
        <w:sz w:val="20"/>
      </w:rPr>
      <w:t xml:space="preserve">; </w:t>
    </w:r>
    <w:r w:rsidR="00572572" w:rsidRPr="00572572">
      <w:rPr>
        <w:bCs/>
        <w:color w:val="000000"/>
        <w:sz w:val="20"/>
        <w:szCs w:val="20"/>
      </w:rPr>
      <w:t>Ministru kabineta noteikumu projekta</w:t>
    </w:r>
    <w:r w:rsidR="005A7740">
      <w:rPr>
        <w:bCs/>
        <w:color w:val="000000"/>
        <w:sz w:val="20"/>
        <w:szCs w:val="20"/>
      </w:rPr>
      <w:t xml:space="preserve"> “</w:t>
    </w:r>
    <w:r w:rsidR="005A7740">
      <w:rPr>
        <w:bCs/>
        <w:sz w:val="20"/>
      </w:rPr>
      <w:t>Grozījumi</w:t>
    </w:r>
    <w:r w:rsidR="005A7740" w:rsidRPr="008A1087">
      <w:rPr>
        <w:bCs/>
        <w:sz w:val="20"/>
      </w:rPr>
      <w:t xml:space="preserve"> Ministru kabineta </w:t>
    </w:r>
    <w:r w:rsidR="005A7740" w:rsidRPr="00151978">
      <w:rPr>
        <w:sz w:val="20"/>
      </w:rPr>
      <w:t>2008.gada 30.</w:t>
    </w:r>
    <w:r w:rsidR="005A7740">
      <w:rPr>
        <w:sz w:val="20"/>
      </w:rPr>
      <w:t>septembra</w:t>
    </w:r>
    <w:r w:rsidR="005A7740" w:rsidRPr="00151978">
      <w:rPr>
        <w:sz w:val="20"/>
      </w:rPr>
      <w:t xml:space="preserve"> noteikumos Nr.</w:t>
    </w:r>
    <w:r w:rsidR="005A7740">
      <w:rPr>
        <w:sz w:val="20"/>
      </w:rPr>
      <w:t>817 “</w:t>
    </w:r>
    <w:r w:rsidR="005A7740" w:rsidRPr="00151978">
      <w:rPr>
        <w:sz w:val="20"/>
      </w:rPr>
      <w:t>Noteikumi par darbības programma</w:t>
    </w:r>
    <w:r w:rsidR="005A7740">
      <w:rPr>
        <w:sz w:val="20"/>
      </w:rPr>
      <w:t>s “</w:t>
    </w:r>
    <w:r w:rsidR="005A7740" w:rsidRPr="00151978">
      <w:rPr>
        <w:sz w:val="20"/>
      </w:rPr>
      <w:t xml:space="preserve">Infrastruktūra un pakalpojumi” papildinājuma </w:t>
    </w:r>
    <w:r w:rsidR="005A7740">
      <w:rPr>
        <w:sz w:val="20"/>
      </w:rPr>
      <w:t xml:space="preserve">3.4.1.4.aktivitāti “Vēsturiski piesārņoto vietu sanācija”” </w:t>
    </w:r>
    <w:r w:rsidR="00572572" w:rsidRPr="00572572">
      <w:rPr>
        <w:color w:val="000000"/>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A1" w:rsidRDefault="00666BA1">
      <w:r>
        <w:separator/>
      </w:r>
    </w:p>
  </w:footnote>
  <w:footnote w:type="continuationSeparator" w:id="0">
    <w:p w:rsidR="00666BA1" w:rsidRDefault="00666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A8" w:rsidRDefault="00ED6F9B"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end"/>
    </w:r>
  </w:p>
  <w:p w:rsidR="00363AA8" w:rsidRDefault="0036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A8" w:rsidRDefault="00ED6F9B"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separate"/>
    </w:r>
    <w:r w:rsidR="009E1B55">
      <w:rPr>
        <w:rStyle w:val="PageNumber"/>
        <w:noProof/>
      </w:rPr>
      <w:t>8</w:t>
    </w:r>
    <w:r>
      <w:rPr>
        <w:rStyle w:val="PageNumber"/>
      </w:rPr>
      <w:fldChar w:fldCharType="end"/>
    </w:r>
  </w:p>
  <w:p w:rsidR="00363AA8" w:rsidRDefault="00363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F9" w:rsidRDefault="00A23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6" w15:restartNumberingAfterBreak="0">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15:restartNumberingAfterBreak="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9" w15:restartNumberingAfterBreak="0">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2" w15:restartNumberingAfterBreak="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4" w15:restartNumberingAfterBreak="0">
    <w:nsid w:val="2A041314"/>
    <w:multiLevelType w:val="hybridMultilevel"/>
    <w:tmpl w:val="38C67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9" w15:restartNumberingAfterBreak="0">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1" w15:restartNumberingAfterBreak="0">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4" w15:restartNumberingAfterBreak="0">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5" w15:restartNumberingAfterBreak="0">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8" w15:restartNumberingAfterBreak="0">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9" w15:restartNumberingAfterBreak="0">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2" w15:restartNumberingAfterBreak="0">
    <w:nsid w:val="594B4D03"/>
    <w:multiLevelType w:val="hybridMultilevel"/>
    <w:tmpl w:val="492A6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36" w15:restartNumberingAfterBreak="0">
    <w:nsid w:val="6AB7365A"/>
    <w:multiLevelType w:val="hybridMultilevel"/>
    <w:tmpl w:val="9C0AD1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15:restartNumberingAfterBreak="0">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0"/>
  </w:num>
  <w:num w:numId="2">
    <w:abstractNumId w:val="12"/>
  </w:num>
  <w:num w:numId="3">
    <w:abstractNumId w:val="6"/>
  </w:num>
  <w:num w:numId="4">
    <w:abstractNumId w:val="23"/>
  </w:num>
  <w:num w:numId="5">
    <w:abstractNumId w:val="7"/>
  </w:num>
  <w:num w:numId="6">
    <w:abstractNumId w:val="17"/>
  </w:num>
  <w:num w:numId="7">
    <w:abstractNumId w:val="26"/>
  </w:num>
  <w:num w:numId="8">
    <w:abstractNumId w:val="30"/>
  </w:num>
  <w:num w:numId="9">
    <w:abstractNumId w:val="15"/>
  </w:num>
  <w:num w:numId="10">
    <w:abstractNumId w:val="34"/>
  </w:num>
  <w:num w:numId="11">
    <w:abstractNumId w:val="16"/>
  </w:num>
  <w:num w:numId="12">
    <w:abstractNumId w:val="27"/>
  </w:num>
  <w:num w:numId="13">
    <w:abstractNumId w:val="4"/>
  </w:num>
  <w:num w:numId="14">
    <w:abstractNumId w:val="20"/>
  </w:num>
  <w:num w:numId="15">
    <w:abstractNumId w:val="28"/>
  </w:num>
  <w:num w:numId="16">
    <w:abstractNumId w:val="13"/>
  </w:num>
  <w:num w:numId="17">
    <w:abstractNumId w:val="9"/>
  </w:num>
  <w:num w:numId="18">
    <w:abstractNumId w:val="0"/>
  </w:num>
  <w:num w:numId="19">
    <w:abstractNumId w:val="11"/>
  </w:num>
  <w:num w:numId="20">
    <w:abstractNumId w:val="22"/>
  </w:num>
  <w:num w:numId="21">
    <w:abstractNumId w:val="1"/>
  </w:num>
  <w:num w:numId="22">
    <w:abstractNumId w:val="21"/>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8"/>
  </w:num>
  <w:num w:numId="26">
    <w:abstractNumId w:val="2"/>
  </w:num>
  <w:num w:numId="27">
    <w:abstractNumId w:val="31"/>
  </w:num>
  <w:num w:numId="28">
    <w:abstractNumId w:val="33"/>
  </w:num>
  <w:num w:numId="29">
    <w:abstractNumId w:val="35"/>
  </w:num>
  <w:num w:numId="30">
    <w:abstractNumId w:val="18"/>
  </w:num>
  <w:num w:numId="31">
    <w:abstractNumId w:val="5"/>
  </w:num>
  <w:num w:numId="32">
    <w:abstractNumId w:val="8"/>
  </w:num>
  <w:num w:numId="33">
    <w:abstractNumId w:val="25"/>
  </w:num>
  <w:num w:numId="34">
    <w:abstractNumId w:val="24"/>
  </w:num>
  <w:num w:numId="35">
    <w:abstractNumId w:val="19"/>
  </w:num>
  <w:num w:numId="36">
    <w:abstractNumId w:val="29"/>
  </w:num>
  <w:num w:numId="37">
    <w:abstractNumId w:val="3"/>
  </w:num>
  <w:num w:numId="38">
    <w:abstractNumId w:val="32"/>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F1E"/>
    <w:rsid w:val="0000228D"/>
    <w:rsid w:val="00002571"/>
    <w:rsid w:val="00002ED1"/>
    <w:rsid w:val="00003293"/>
    <w:rsid w:val="00003C0E"/>
    <w:rsid w:val="00005285"/>
    <w:rsid w:val="0000586E"/>
    <w:rsid w:val="00005DFA"/>
    <w:rsid w:val="000065DC"/>
    <w:rsid w:val="00006EA8"/>
    <w:rsid w:val="00010B2E"/>
    <w:rsid w:val="00010F8D"/>
    <w:rsid w:val="00011FC2"/>
    <w:rsid w:val="00013173"/>
    <w:rsid w:val="000138F8"/>
    <w:rsid w:val="00014EFF"/>
    <w:rsid w:val="0001504A"/>
    <w:rsid w:val="00015BE4"/>
    <w:rsid w:val="00015EF9"/>
    <w:rsid w:val="00016057"/>
    <w:rsid w:val="0001649B"/>
    <w:rsid w:val="00016FEA"/>
    <w:rsid w:val="00017C6B"/>
    <w:rsid w:val="00020845"/>
    <w:rsid w:val="00022724"/>
    <w:rsid w:val="0002305A"/>
    <w:rsid w:val="00023621"/>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4064A"/>
    <w:rsid w:val="00040CB0"/>
    <w:rsid w:val="00041D4B"/>
    <w:rsid w:val="0004275D"/>
    <w:rsid w:val="000433F8"/>
    <w:rsid w:val="000433F9"/>
    <w:rsid w:val="000434BF"/>
    <w:rsid w:val="00044274"/>
    <w:rsid w:val="00044482"/>
    <w:rsid w:val="0004470C"/>
    <w:rsid w:val="00045656"/>
    <w:rsid w:val="00045910"/>
    <w:rsid w:val="0004660D"/>
    <w:rsid w:val="000473CC"/>
    <w:rsid w:val="00047AF1"/>
    <w:rsid w:val="00047F28"/>
    <w:rsid w:val="0005008C"/>
    <w:rsid w:val="00050917"/>
    <w:rsid w:val="00051FC0"/>
    <w:rsid w:val="00053DC3"/>
    <w:rsid w:val="000543E3"/>
    <w:rsid w:val="00054A79"/>
    <w:rsid w:val="00054ABA"/>
    <w:rsid w:val="00055287"/>
    <w:rsid w:val="00055A2E"/>
    <w:rsid w:val="0005783D"/>
    <w:rsid w:val="00057A45"/>
    <w:rsid w:val="00057DC2"/>
    <w:rsid w:val="00060185"/>
    <w:rsid w:val="00060333"/>
    <w:rsid w:val="00060BC0"/>
    <w:rsid w:val="00061310"/>
    <w:rsid w:val="0006142A"/>
    <w:rsid w:val="00061741"/>
    <w:rsid w:val="00061EF7"/>
    <w:rsid w:val="00061F9A"/>
    <w:rsid w:val="0006259D"/>
    <w:rsid w:val="0006279B"/>
    <w:rsid w:val="00062D16"/>
    <w:rsid w:val="000638F0"/>
    <w:rsid w:val="00063AC1"/>
    <w:rsid w:val="00063EA7"/>
    <w:rsid w:val="00064202"/>
    <w:rsid w:val="000651DD"/>
    <w:rsid w:val="00066FF1"/>
    <w:rsid w:val="000700FE"/>
    <w:rsid w:val="00070C29"/>
    <w:rsid w:val="00071786"/>
    <w:rsid w:val="00072B7C"/>
    <w:rsid w:val="0007368C"/>
    <w:rsid w:val="000743A2"/>
    <w:rsid w:val="000755A1"/>
    <w:rsid w:val="000764DA"/>
    <w:rsid w:val="00076EF5"/>
    <w:rsid w:val="000778B6"/>
    <w:rsid w:val="00081692"/>
    <w:rsid w:val="00081BF2"/>
    <w:rsid w:val="000821FE"/>
    <w:rsid w:val="000831F6"/>
    <w:rsid w:val="00083DCD"/>
    <w:rsid w:val="00084EB5"/>
    <w:rsid w:val="000857C2"/>
    <w:rsid w:val="00086ED6"/>
    <w:rsid w:val="00087466"/>
    <w:rsid w:val="00087CCB"/>
    <w:rsid w:val="00091895"/>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01DB"/>
    <w:rsid w:val="000A1568"/>
    <w:rsid w:val="000A2217"/>
    <w:rsid w:val="000A2A93"/>
    <w:rsid w:val="000A3B85"/>
    <w:rsid w:val="000A48C5"/>
    <w:rsid w:val="000A5BE0"/>
    <w:rsid w:val="000A68BF"/>
    <w:rsid w:val="000A6FA4"/>
    <w:rsid w:val="000A70A6"/>
    <w:rsid w:val="000A7140"/>
    <w:rsid w:val="000B03CD"/>
    <w:rsid w:val="000B2399"/>
    <w:rsid w:val="000B2E5D"/>
    <w:rsid w:val="000B42D2"/>
    <w:rsid w:val="000B447B"/>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29E"/>
    <w:rsid w:val="000D5969"/>
    <w:rsid w:val="000D6357"/>
    <w:rsid w:val="000D7089"/>
    <w:rsid w:val="000D709F"/>
    <w:rsid w:val="000E075C"/>
    <w:rsid w:val="000E0DDB"/>
    <w:rsid w:val="000E14E9"/>
    <w:rsid w:val="000E3990"/>
    <w:rsid w:val="000E5026"/>
    <w:rsid w:val="000E52AF"/>
    <w:rsid w:val="000E581B"/>
    <w:rsid w:val="000E64C6"/>
    <w:rsid w:val="000E6631"/>
    <w:rsid w:val="000E6CA2"/>
    <w:rsid w:val="000F1878"/>
    <w:rsid w:val="000F1E99"/>
    <w:rsid w:val="000F30B0"/>
    <w:rsid w:val="000F338A"/>
    <w:rsid w:val="000F386A"/>
    <w:rsid w:val="000F39E7"/>
    <w:rsid w:val="000F4452"/>
    <w:rsid w:val="000F4760"/>
    <w:rsid w:val="000F5AEB"/>
    <w:rsid w:val="000F5C65"/>
    <w:rsid w:val="000F5DFB"/>
    <w:rsid w:val="000F6083"/>
    <w:rsid w:val="000F77FE"/>
    <w:rsid w:val="000F7EEE"/>
    <w:rsid w:val="00102BD7"/>
    <w:rsid w:val="001035BD"/>
    <w:rsid w:val="00104374"/>
    <w:rsid w:val="00105667"/>
    <w:rsid w:val="00105CC0"/>
    <w:rsid w:val="00106273"/>
    <w:rsid w:val="00106A76"/>
    <w:rsid w:val="00107CE4"/>
    <w:rsid w:val="001116A8"/>
    <w:rsid w:val="0011195C"/>
    <w:rsid w:val="001134EF"/>
    <w:rsid w:val="00113B2D"/>
    <w:rsid w:val="0011411C"/>
    <w:rsid w:val="00114E39"/>
    <w:rsid w:val="00116396"/>
    <w:rsid w:val="00117E8F"/>
    <w:rsid w:val="00120DC4"/>
    <w:rsid w:val="00121016"/>
    <w:rsid w:val="00122EC4"/>
    <w:rsid w:val="0012348D"/>
    <w:rsid w:val="00123BFA"/>
    <w:rsid w:val="0012473C"/>
    <w:rsid w:val="00124882"/>
    <w:rsid w:val="00124BC0"/>
    <w:rsid w:val="001256C9"/>
    <w:rsid w:val="00125F63"/>
    <w:rsid w:val="00126108"/>
    <w:rsid w:val="00127CEC"/>
    <w:rsid w:val="00127E66"/>
    <w:rsid w:val="001300D5"/>
    <w:rsid w:val="001308AE"/>
    <w:rsid w:val="00130F08"/>
    <w:rsid w:val="001312F0"/>
    <w:rsid w:val="00131685"/>
    <w:rsid w:val="0013207A"/>
    <w:rsid w:val="0013270F"/>
    <w:rsid w:val="00133868"/>
    <w:rsid w:val="00134842"/>
    <w:rsid w:val="001351F7"/>
    <w:rsid w:val="00135360"/>
    <w:rsid w:val="00135B04"/>
    <w:rsid w:val="00135B78"/>
    <w:rsid w:val="00136194"/>
    <w:rsid w:val="00140AEE"/>
    <w:rsid w:val="00140E02"/>
    <w:rsid w:val="001412DE"/>
    <w:rsid w:val="001413BD"/>
    <w:rsid w:val="00142097"/>
    <w:rsid w:val="001420F4"/>
    <w:rsid w:val="00142A71"/>
    <w:rsid w:val="00142BB8"/>
    <w:rsid w:val="001435B4"/>
    <w:rsid w:val="00143676"/>
    <w:rsid w:val="001443D2"/>
    <w:rsid w:val="00144C7D"/>
    <w:rsid w:val="001459C7"/>
    <w:rsid w:val="00145E48"/>
    <w:rsid w:val="00146EE7"/>
    <w:rsid w:val="00147B63"/>
    <w:rsid w:val="00147FAC"/>
    <w:rsid w:val="0015122B"/>
    <w:rsid w:val="001512CC"/>
    <w:rsid w:val="00151E87"/>
    <w:rsid w:val="001529F6"/>
    <w:rsid w:val="0015395C"/>
    <w:rsid w:val="00154AD6"/>
    <w:rsid w:val="00154B2F"/>
    <w:rsid w:val="00155D56"/>
    <w:rsid w:val="0015629B"/>
    <w:rsid w:val="0015656B"/>
    <w:rsid w:val="001574BE"/>
    <w:rsid w:val="0016187F"/>
    <w:rsid w:val="00165557"/>
    <w:rsid w:val="001659AD"/>
    <w:rsid w:val="001659F0"/>
    <w:rsid w:val="00165E97"/>
    <w:rsid w:val="00166683"/>
    <w:rsid w:val="001666A0"/>
    <w:rsid w:val="001706B3"/>
    <w:rsid w:val="00171EBB"/>
    <w:rsid w:val="00172023"/>
    <w:rsid w:val="00173A11"/>
    <w:rsid w:val="00173CD0"/>
    <w:rsid w:val="00173D08"/>
    <w:rsid w:val="001749B8"/>
    <w:rsid w:val="001755A9"/>
    <w:rsid w:val="001758BA"/>
    <w:rsid w:val="00176455"/>
    <w:rsid w:val="0017664E"/>
    <w:rsid w:val="00176719"/>
    <w:rsid w:val="00177B2B"/>
    <w:rsid w:val="001805C4"/>
    <w:rsid w:val="00183013"/>
    <w:rsid w:val="001845DE"/>
    <w:rsid w:val="00185A3E"/>
    <w:rsid w:val="00186CCD"/>
    <w:rsid w:val="00190603"/>
    <w:rsid w:val="0019194A"/>
    <w:rsid w:val="00193AF2"/>
    <w:rsid w:val="001948E9"/>
    <w:rsid w:val="00194BE7"/>
    <w:rsid w:val="00194C17"/>
    <w:rsid w:val="00196092"/>
    <w:rsid w:val="00196280"/>
    <w:rsid w:val="001966C0"/>
    <w:rsid w:val="001967AE"/>
    <w:rsid w:val="001978A2"/>
    <w:rsid w:val="001A0661"/>
    <w:rsid w:val="001A15B7"/>
    <w:rsid w:val="001A3E16"/>
    <w:rsid w:val="001A40E1"/>
    <w:rsid w:val="001A425D"/>
    <w:rsid w:val="001A495C"/>
    <w:rsid w:val="001A6633"/>
    <w:rsid w:val="001A677D"/>
    <w:rsid w:val="001A6C2B"/>
    <w:rsid w:val="001A6C9B"/>
    <w:rsid w:val="001A711E"/>
    <w:rsid w:val="001A7560"/>
    <w:rsid w:val="001B1662"/>
    <w:rsid w:val="001B16CE"/>
    <w:rsid w:val="001B1945"/>
    <w:rsid w:val="001B19F8"/>
    <w:rsid w:val="001B1EDE"/>
    <w:rsid w:val="001B25AF"/>
    <w:rsid w:val="001B463D"/>
    <w:rsid w:val="001B6BE8"/>
    <w:rsid w:val="001C1363"/>
    <w:rsid w:val="001C1EE0"/>
    <w:rsid w:val="001C24CF"/>
    <w:rsid w:val="001C2582"/>
    <w:rsid w:val="001C3131"/>
    <w:rsid w:val="001C38ED"/>
    <w:rsid w:val="001C3946"/>
    <w:rsid w:val="001C3BF7"/>
    <w:rsid w:val="001C3E04"/>
    <w:rsid w:val="001C48FA"/>
    <w:rsid w:val="001C5104"/>
    <w:rsid w:val="001C5849"/>
    <w:rsid w:val="001C5A1A"/>
    <w:rsid w:val="001C5EF1"/>
    <w:rsid w:val="001C69DF"/>
    <w:rsid w:val="001D0707"/>
    <w:rsid w:val="001D11D4"/>
    <w:rsid w:val="001D1494"/>
    <w:rsid w:val="001D1664"/>
    <w:rsid w:val="001D1CB4"/>
    <w:rsid w:val="001D2100"/>
    <w:rsid w:val="001D273F"/>
    <w:rsid w:val="001D35CF"/>
    <w:rsid w:val="001D399A"/>
    <w:rsid w:val="001D5887"/>
    <w:rsid w:val="001D5B2E"/>
    <w:rsid w:val="001D5F9A"/>
    <w:rsid w:val="001D6C05"/>
    <w:rsid w:val="001D6D8B"/>
    <w:rsid w:val="001D77BE"/>
    <w:rsid w:val="001E0126"/>
    <w:rsid w:val="001E21D1"/>
    <w:rsid w:val="001E2237"/>
    <w:rsid w:val="001E297E"/>
    <w:rsid w:val="001E3ACD"/>
    <w:rsid w:val="001E455A"/>
    <w:rsid w:val="001E6E6A"/>
    <w:rsid w:val="001E7ECF"/>
    <w:rsid w:val="001F0D19"/>
    <w:rsid w:val="001F194B"/>
    <w:rsid w:val="001F1CD3"/>
    <w:rsid w:val="001F1D8B"/>
    <w:rsid w:val="001F218A"/>
    <w:rsid w:val="001F30CC"/>
    <w:rsid w:val="001F4193"/>
    <w:rsid w:val="001F4341"/>
    <w:rsid w:val="001F523F"/>
    <w:rsid w:val="001F554E"/>
    <w:rsid w:val="001F56B9"/>
    <w:rsid w:val="001F63D7"/>
    <w:rsid w:val="001F7760"/>
    <w:rsid w:val="001F7CC8"/>
    <w:rsid w:val="002008EB"/>
    <w:rsid w:val="00201278"/>
    <w:rsid w:val="002017C9"/>
    <w:rsid w:val="002019CB"/>
    <w:rsid w:val="00201D24"/>
    <w:rsid w:val="00201FAC"/>
    <w:rsid w:val="002031A2"/>
    <w:rsid w:val="002031B6"/>
    <w:rsid w:val="00204C30"/>
    <w:rsid w:val="00204E76"/>
    <w:rsid w:val="002078DB"/>
    <w:rsid w:val="00211735"/>
    <w:rsid w:val="002120B6"/>
    <w:rsid w:val="00214299"/>
    <w:rsid w:val="00214C14"/>
    <w:rsid w:val="00216DFB"/>
    <w:rsid w:val="00217BB8"/>
    <w:rsid w:val="00217C26"/>
    <w:rsid w:val="0022065F"/>
    <w:rsid w:val="00220756"/>
    <w:rsid w:val="00220D7E"/>
    <w:rsid w:val="00221ADE"/>
    <w:rsid w:val="002220C7"/>
    <w:rsid w:val="0022214D"/>
    <w:rsid w:val="00222714"/>
    <w:rsid w:val="0022301E"/>
    <w:rsid w:val="00223169"/>
    <w:rsid w:val="0022346E"/>
    <w:rsid w:val="00223B41"/>
    <w:rsid w:val="00224DD8"/>
    <w:rsid w:val="00225E9A"/>
    <w:rsid w:val="002262EF"/>
    <w:rsid w:val="002267D6"/>
    <w:rsid w:val="00226E63"/>
    <w:rsid w:val="00233204"/>
    <w:rsid w:val="00233263"/>
    <w:rsid w:val="0023355E"/>
    <w:rsid w:val="00236FFC"/>
    <w:rsid w:val="002372B8"/>
    <w:rsid w:val="00237477"/>
    <w:rsid w:val="002412BB"/>
    <w:rsid w:val="0024151D"/>
    <w:rsid w:val="002417DD"/>
    <w:rsid w:val="0024256E"/>
    <w:rsid w:val="002434D6"/>
    <w:rsid w:val="0024392F"/>
    <w:rsid w:val="002452A5"/>
    <w:rsid w:val="00246C24"/>
    <w:rsid w:val="00247189"/>
    <w:rsid w:val="00247D3A"/>
    <w:rsid w:val="00250912"/>
    <w:rsid w:val="00250C87"/>
    <w:rsid w:val="00251E53"/>
    <w:rsid w:val="00253B7F"/>
    <w:rsid w:val="002543F7"/>
    <w:rsid w:val="00255B7E"/>
    <w:rsid w:val="002570E0"/>
    <w:rsid w:val="002572C6"/>
    <w:rsid w:val="00257806"/>
    <w:rsid w:val="002578A4"/>
    <w:rsid w:val="002603DE"/>
    <w:rsid w:val="002619AC"/>
    <w:rsid w:val="00262B8E"/>
    <w:rsid w:val="0026408E"/>
    <w:rsid w:val="00264888"/>
    <w:rsid w:val="00264B84"/>
    <w:rsid w:val="0026535F"/>
    <w:rsid w:val="00265C31"/>
    <w:rsid w:val="0026630A"/>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6A5F"/>
    <w:rsid w:val="00287276"/>
    <w:rsid w:val="0028743D"/>
    <w:rsid w:val="002878B7"/>
    <w:rsid w:val="00287B3F"/>
    <w:rsid w:val="00287BEF"/>
    <w:rsid w:val="0029092A"/>
    <w:rsid w:val="00290B2D"/>
    <w:rsid w:val="00291C9A"/>
    <w:rsid w:val="002920DF"/>
    <w:rsid w:val="00292E26"/>
    <w:rsid w:val="002935F0"/>
    <w:rsid w:val="00295590"/>
    <w:rsid w:val="00295837"/>
    <w:rsid w:val="00296378"/>
    <w:rsid w:val="0029648B"/>
    <w:rsid w:val="002964D0"/>
    <w:rsid w:val="002969A7"/>
    <w:rsid w:val="00296B9D"/>
    <w:rsid w:val="00297F81"/>
    <w:rsid w:val="002A0938"/>
    <w:rsid w:val="002A179C"/>
    <w:rsid w:val="002A3159"/>
    <w:rsid w:val="002A33C2"/>
    <w:rsid w:val="002A3CA8"/>
    <w:rsid w:val="002A3E04"/>
    <w:rsid w:val="002A42B3"/>
    <w:rsid w:val="002A4AD6"/>
    <w:rsid w:val="002A4CF3"/>
    <w:rsid w:val="002A523D"/>
    <w:rsid w:val="002A60C7"/>
    <w:rsid w:val="002B0A39"/>
    <w:rsid w:val="002B1874"/>
    <w:rsid w:val="002B3F8F"/>
    <w:rsid w:val="002B5960"/>
    <w:rsid w:val="002B6EB8"/>
    <w:rsid w:val="002B7B9C"/>
    <w:rsid w:val="002C0FE8"/>
    <w:rsid w:val="002C2C45"/>
    <w:rsid w:val="002C3184"/>
    <w:rsid w:val="002C3604"/>
    <w:rsid w:val="002C3A19"/>
    <w:rsid w:val="002C3C06"/>
    <w:rsid w:val="002C458D"/>
    <w:rsid w:val="002C5C78"/>
    <w:rsid w:val="002C6C0C"/>
    <w:rsid w:val="002C7A05"/>
    <w:rsid w:val="002D019D"/>
    <w:rsid w:val="002D03B9"/>
    <w:rsid w:val="002D0FC2"/>
    <w:rsid w:val="002D1AB6"/>
    <w:rsid w:val="002D2599"/>
    <w:rsid w:val="002D2BB5"/>
    <w:rsid w:val="002D45F6"/>
    <w:rsid w:val="002D567B"/>
    <w:rsid w:val="002D7F76"/>
    <w:rsid w:val="002E0227"/>
    <w:rsid w:val="002E0AC0"/>
    <w:rsid w:val="002E176A"/>
    <w:rsid w:val="002E1DF3"/>
    <w:rsid w:val="002E2318"/>
    <w:rsid w:val="002E2319"/>
    <w:rsid w:val="002E29C3"/>
    <w:rsid w:val="002E2EF1"/>
    <w:rsid w:val="002E479A"/>
    <w:rsid w:val="002E4AD9"/>
    <w:rsid w:val="002E5D99"/>
    <w:rsid w:val="002E5EB4"/>
    <w:rsid w:val="002E68B5"/>
    <w:rsid w:val="002E752F"/>
    <w:rsid w:val="002E7BB3"/>
    <w:rsid w:val="002E7C61"/>
    <w:rsid w:val="002F0719"/>
    <w:rsid w:val="002F0745"/>
    <w:rsid w:val="002F0E9F"/>
    <w:rsid w:val="002F1514"/>
    <w:rsid w:val="002F2521"/>
    <w:rsid w:val="002F2604"/>
    <w:rsid w:val="002F3D81"/>
    <w:rsid w:val="002F41F3"/>
    <w:rsid w:val="002F47A4"/>
    <w:rsid w:val="002F47BA"/>
    <w:rsid w:val="002F4C97"/>
    <w:rsid w:val="002F608C"/>
    <w:rsid w:val="002F633E"/>
    <w:rsid w:val="002F6FE9"/>
    <w:rsid w:val="00300781"/>
    <w:rsid w:val="00300890"/>
    <w:rsid w:val="00301648"/>
    <w:rsid w:val="00301948"/>
    <w:rsid w:val="00301D6E"/>
    <w:rsid w:val="003028D9"/>
    <w:rsid w:val="003036B1"/>
    <w:rsid w:val="00303B31"/>
    <w:rsid w:val="00310936"/>
    <w:rsid w:val="00310E53"/>
    <w:rsid w:val="003119A3"/>
    <w:rsid w:val="00313142"/>
    <w:rsid w:val="003146A8"/>
    <w:rsid w:val="00314E4E"/>
    <w:rsid w:val="003154C9"/>
    <w:rsid w:val="00316096"/>
    <w:rsid w:val="0031684F"/>
    <w:rsid w:val="00316933"/>
    <w:rsid w:val="00316A16"/>
    <w:rsid w:val="003179DE"/>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6E97"/>
    <w:rsid w:val="003472FC"/>
    <w:rsid w:val="00347398"/>
    <w:rsid w:val="0034750B"/>
    <w:rsid w:val="00350322"/>
    <w:rsid w:val="00351A2C"/>
    <w:rsid w:val="00351EEA"/>
    <w:rsid w:val="00351EF6"/>
    <w:rsid w:val="00352CB6"/>
    <w:rsid w:val="00353BC0"/>
    <w:rsid w:val="00354310"/>
    <w:rsid w:val="00355B62"/>
    <w:rsid w:val="00355DAF"/>
    <w:rsid w:val="0035690D"/>
    <w:rsid w:val="003575FB"/>
    <w:rsid w:val="00360BB3"/>
    <w:rsid w:val="003623DB"/>
    <w:rsid w:val="00362B79"/>
    <w:rsid w:val="003630A9"/>
    <w:rsid w:val="003633FB"/>
    <w:rsid w:val="003636DA"/>
    <w:rsid w:val="00363AA8"/>
    <w:rsid w:val="00365EF3"/>
    <w:rsid w:val="00366C87"/>
    <w:rsid w:val="00367367"/>
    <w:rsid w:val="00370949"/>
    <w:rsid w:val="0037102C"/>
    <w:rsid w:val="00371078"/>
    <w:rsid w:val="00371BEE"/>
    <w:rsid w:val="00371EAD"/>
    <w:rsid w:val="003721BC"/>
    <w:rsid w:val="00372694"/>
    <w:rsid w:val="00372B71"/>
    <w:rsid w:val="0037305E"/>
    <w:rsid w:val="00373A9B"/>
    <w:rsid w:val="00373E17"/>
    <w:rsid w:val="00373E80"/>
    <w:rsid w:val="003747BF"/>
    <w:rsid w:val="003758EC"/>
    <w:rsid w:val="0037697F"/>
    <w:rsid w:val="00377076"/>
    <w:rsid w:val="00377098"/>
    <w:rsid w:val="00377C24"/>
    <w:rsid w:val="00380C1F"/>
    <w:rsid w:val="00381E19"/>
    <w:rsid w:val="00382559"/>
    <w:rsid w:val="00383F73"/>
    <w:rsid w:val="0038492D"/>
    <w:rsid w:val="00385163"/>
    <w:rsid w:val="00385A38"/>
    <w:rsid w:val="00385F0D"/>
    <w:rsid w:val="003866E7"/>
    <w:rsid w:val="00391168"/>
    <w:rsid w:val="00391A41"/>
    <w:rsid w:val="00391DDE"/>
    <w:rsid w:val="003929C9"/>
    <w:rsid w:val="00392FC9"/>
    <w:rsid w:val="003933AA"/>
    <w:rsid w:val="00393424"/>
    <w:rsid w:val="0039373A"/>
    <w:rsid w:val="00393781"/>
    <w:rsid w:val="00394A3E"/>
    <w:rsid w:val="00396A47"/>
    <w:rsid w:val="00397334"/>
    <w:rsid w:val="0039757C"/>
    <w:rsid w:val="003979C6"/>
    <w:rsid w:val="003A0287"/>
    <w:rsid w:val="003A0EF8"/>
    <w:rsid w:val="003A1092"/>
    <w:rsid w:val="003A3766"/>
    <w:rsid w:val="003A4617"/>
    <w:rsid w:val="003A59D4"/>
    <w:rsid w:val="003A5CB7"/>
    <w:rsid w:val="003A73E0"/>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D06D8"/>
    <w:rsid w:val="003D0DB2"/>
    <w:rsid w:val="003D4948"/>
    <w:rsid w:val="003D6037"/>
    <w:rsid w:val="003D60FD"/>
    <w:rsid w:val="003D6B5E"/>
    <w:rsid w:val="003D79A3"/>
    <w:rsid w:val="003D7A77"/>
    <w:rsid w:val="003D7B83"/>
    <w:rsid w:val="003D7CBC"/>
    <w:rsid w:val="003E0241"/>
    <w:rsid w:val="003E0526"/>
    <w:rsid w:val="003E2A4C"/>
    <w:rsid w:val="003E2B9F"/>
    <w:rsid w:val="003E2DA5"/>
    <w:rsid w:val="003E370C"/>
    <w:rsid w:val="003E52B6"/>
    <w:rsid w:val="003E559A"/>
    <w:rsid w:val="003E657B"/>
    <w:rsid w:val="003E7159"/>
    <w:rsid w:val="003E79DE"/>
    <w:rsid w:val="003F1F1E"/>
    <w:rsid w:val="003F2FB6"/>
    <w:rsid w:val="003F3652"/>
    <w:rsid w:val="003F3B6A"/>
    <w:rsid w:val="003F3E66"/>
    <w:rsid w:val="003F46D8"/>
    <w:rsid w:val="003F47A5"/>
    <w:rsid w:val="003F671B"/>
    <w:rsid w:val="003F7204"/>
    <w:rsid w:val="003F779B"/>
    <w:rsid w:val="003F7FE3"/>
    <w:rsid w:val="00400152"/>
    <w:rsid w:val="00400DD1"/>
    <w:rsid w:val="00400EA0"/>
    <w:rsid w:val="00402ED5"/>
    <w:rsid w:val="00403183"/>
    <w:rsid w:val="00403225"/>
    <w:rsid w:val="004032FD"/>
    <w:rsid w:val="00403A5D"/>
    <w:rsid w:val="00404748"/>
    <w:rsid w:val="00405968"/>
    <w:rsid w:val="00405D1B"/>
    <w:rsid w:val="004063D1"/>
    <w:rsid w:val="00406AAB"/>
    <w:rsid w:val="00407053"/>
    <w:rsid w:val="00407513"/>
    <w:rsid w:val="00407591"/>
    <w:rsid w:val="004112B0"/>
    <w:rsid w:val="00411ECA"/>
    <w:rsid w:val="0041222E"/>
    <w:rsid w:val="00412B57"/>
    <w:rsid w:val="004139EB"/>
    <w:rsid w:val="004149B3"/>
    <w:rsid w:val="004150AB"/>
    <w:rsid w:val="00415B3D"/>
    <w:rsid w:val="00415C56"/>
    <w:rsid w:val="00415F0C"/>
    <w:rsid w:val="0041648C"/>
    <w:rsid w:val="00416E07"/>
    <w:rsid w:val="00416E96"/>
    <w:rsid w:val="00417088"/>
    <w:rsid w:val="00417229"/>
    <w:rsid w:val="004173F7"/>
    <w:rsid w:val="0041795F"/>
    <w:rsid w:val="00421411"/>
    <w:rsid w:val="004230B8"/>
    <w:rsid w:val="00423B3F"/>
    <w:rsid w:val="004247AB"/>
    <w:rsid w:val="004249A6"/>
    <w:rsid w:val="00424B13"/>
    <w:rsid w:val="004266A0"/>
    <w:rsid w:val="00426858"/>
    <w:rsid w:val="00426EC6"/>
    <w:rsid w:val="00427146"/>
    <w:rsid w:val="00427F5E"/>
    <w:rsid w:val="004304AA"/>
    <w:rsid w:val="00430C70"/>
    <w:rsid w:val="0043117C"/>
    <w:rsid w:val="00431381"/>
    <w:rsid w:val="00431666"/>
    <w:rsid w:val="00432B1F"/>
    <w:rsid w:val="00432E7A"/>
    <w:rsid w:val="00433876"/>
    <w:rsid w:val="0043606D"/>
    <w:rsid w:val="004408D5"/>
    <w:rsid w:val="00440F4A"/>
    <w:rsid w:val="00443205"/>
    <w:rsid w:val="00443880"/>
    <w:rsid w:val="0044472C"/>
    <w:rsid w:val="004455EB"/>
    <w:rsid w:val="00445853"/>
    <w:rsid w:val="00446565"/>
    <w:rsid w:val="00450B9F"/>
    <w:rsid w:val="00451EFC"/>
    <w:rsid w:val="00452422"/>
    <w:rsid w:val="00452A12"/>
    <w:rsid w:val="00453B00"/>
    <w:rsid w:val="0045427B"/>
    <w:rsid w:val="00454B96"/>
    <w:rsid w:val="0045534E"/>
    <w:rsid w:val="00456D3E"/>
    <w:rsid w:val="004600CF"/>
    <w:rsid w:val="00460803"/>
    <w:rsid w:val="00460AC8"/>
    <w:rsid w:val="00461408"/>
    <w:rsid w:val="0046143E"/>
    <w:rsid w:val="00461C4C"/>
    <w:rsid w:val="004624F7"/>
    <w:rsid w:val="00462DBD"/>
    <w:rsid w:val="00462EC3"/>
    <w:rsid w:val="00463CB8"/>
    <w:rsid w:val="00465521"/>
    <w:rsid w:val="0046567C"/>
    <w:rsid w:val="00466AC2"/>
    <w:rsid w:val="00466C97"/>
    <w:rsid w:val="00466D0C"/>
    <w:rsid w:val="00467343"/>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570"/>
    <w:rsid w:val="00495B49"/>
    <w:rsid w:val="004973F4"/>
    <w:rsid w:val="004974AB"/>
    <w:rsid w:val="00497868"/>
    <w:rsid w:val="004A00FE"/>
    <w:rsid w:val="004A0B1A"/>
    <w:rsid w:val="004A0B26"/>
    <w:rsid w:val="004A0BBC"/>
    <w:rsid w:val="004A11E6"/>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2DF"/>
    <w:rsid w:val="004C0C8E"/>
    <w:rsid w:val="004C18DF"/>
    <w:rsid w:val="004C4E0E"/>
    <w:rsid w:val="004C55B1"/>
    <w:rsid w:val="004C69B4"/>
    <w:rsid w:val="004C7131"/>
    <w:rsid w:val="004D004B"/>
    <w:rsid w:val="004D0540"/>
    <w:rsid w:val="004D1B63"/>
    <w:rsid w:val="004D1F0F"/>
    <w:rsid w:val="004D279A"/>
    <w:rsid w:val="004D3156"/>
    <w:rsid w:val="004D3906"/>
    <w:rsid w:val="004D4D2A"/>
    <w:rsid w:val="004D659D"/>
    <w:rsid w:val="004D677D"/>
    <w:rsid w:val="004D7360"/>
    <w:rsid w:val="004D7566"/>
    <w:rsid w:val="004E1AAD"/>
    <w:rsid w:val="004E35B5"/>
    <w:rsid w:val="004E3F23"/>
    <w:rsid w:val="004E54CB"/>
    <w:rsid w:val="004E6D36"/>
    <w:rsid w:val="004E791C"/>
    <w:rsid w:val="004F1BC0"/>
    <w:rsid w:val="004F1C1B"/>
    <w:rsid w:val="004F20D0"/>
    <w:rsid w:val="004F2D4D"/>
    <w:rsid w:val="004F34C2"/>
    <w:rsid w:val="004F419B"/>
    <w:rsid w:val="004F44C8"/>
    <w:rsid w:val="004F476B"/>
    <w:rsid w:val="004F56BF"/>
    <w:rsid w:val="004F5A60"/>
    <w:rsid w:val="004F7B38"/>
    <w:rsid w:val="0050085D"/>
    <w:rsid w:val="00501A7D"/>
    <w:rsid w:val="00501D6B"/>
    <w:rsid w:val="00501E3D"/>
    <w:rsid w:val="00503330"/>
    <w:rsid w:val="005034B3"/>
    <w:rsid w:val="00503730"/>
    <w:rsid w:val="00503D5F"/>
    <w:rsid w:val="00503FCB"/>
    <w:rsid w:val="00504C11"/>
    <w:rsid w:val="005051CD"/>
    <w:rsid w:val="00505776"/>
    <w:rsid w:val="00507697"/>
    <w:rsid w:val="0050793D"/>
    <w:rsid w:val="00507DCA"/>
    <w:rsid w:val="00507EF4"/>
    <w:rsid w:val="0051018D"/>
    <w:rsid w:val="005106F4"/>
    <w:rsid w:val="00512B4B"/>
    <w:rsid w:val="005137AE"/>
    <w:rsid w:val="005140DE"/>
    <w:rsid w:val="0051494F"/>
    <w:rsid w:val="005150B1"/>
    <w:rsid w:val="0051523F"/>
    <w:rsid w:val="00515F68"/>
    <w:rsid w:val="00516079"/>
    <w:rsid w:val="00516354"/>
    <w:rsid w:val="005177D9"/>
    <w:rsid w:val="0052135E"/>
    <w:rsid w:val="00521B2E"/>
    <w:rsid w:val="00523325"/>
    <w:rsid w:val="005236E8"/>
    <w:rsid w:val="00523EAC"/>
    <w:rsid w:val="00524429"/>
    <w:rsid w:val="00524DED"/>
    <w:rsid w:val="00524FAB"/>
    <w:rsid w:val="005256A8"/>
    <w:rsid w:val="00525913"/>
    <w:rsid w:val="00526CA3"/>
    <w:rsid w:val="00527A79"/>
    <w:rsid w:val="00527D06"/>
    <w:rsid w:val="00527D3E"/>
    <w:rsid w:val="00527E44"/>
    <w:rsid w:val="005305CB"/>
    <w:rsid w:val="00530901"/>
    <w:rsid w:val="00530C60"/>
    <w:rsid w:val="00530DDA"/>
    <w:rsid w:val="00530E55"/>
    <w:rsid w:val="0053110F"/>
    <w:rsid w:val="005316F0"/>
    <w:rsid w:val="0053290E"/>
    <w:rsid w:val="00532EA0"/>
    <w:rsid w:val="005331E3"/>
    <w:rsid w:val="005333D0"/>
    <w:rsid w:val="00533FAB"/>
    <w:rsid w:val="0053445A"/>
    <w:rsid w:val="00534946"/>
    <w:rsid w:val="00535390"/>
    <w:rsid w:val="005355B0"/>
    <w:rsid w:val="00536AB5"/>
    <w:rsid w:val="00540EBF"/>
    <w:rsid w:val="005417C1"/>
    <w:rsid w:val="005417D0"/>
    <w:rsid w:val="005419CC"/>
    <w:rsid w:val="00541F62"/>
    <w:rsid w:val="00543119"/>
    <w:rsid w:val="005450C1"/>
    <w:rsid w:val="005454DA"/>
    <w:rsid w:val="00546C82"/>
    <w:rsid w:val="0054723B"/>
    <w:rsid w:val="005525F5"/>
    <w:rsid w:val="005539AA"/>
    <w:rsid w:val="00553E6B"/>
    <w:rsid w:val="00555137"/>
    <w:rsid w:val="00555427"/>
    <w:rsid w:val="0055774D"/>
    <w:rsid w:val="0055778A"/>
    <w:rsid w:val="00560215"/>
    <w:rsid w:val="00560D19"/>
    <w:rsid w:val="005615FD"/>
    <w:rsid w:val="005621A7"/>
    <w:rsid w:val="00562F1A"/>
    <w:rsid w:val="0056326B"/>
    <w:rsid w:val="005635FF"/>
    <w:rsid w:val="005640A5"/>
    <w:rsid w:val="005645CC"/>
    <w:rsid w:val="00564EDB"/>
    <w:rsid w:val="00566F9A"/>
    <w:rsid w:val="0056714C"/>
    <w:rsid w:val="00567C46"/>
    <w:rsid w:val="00572572"/>
    <w:rsid w:val="00573363"/>
    <w:rsid w:val="00573AE4"/>
    <w:rsid w:val="00573C15"/>
    <w:rsid w:val="00573D35"/>
    <w:rsid w:val="0057459A"/>
    <w:rsid w:val="00575D83"/>
    <w:rsid w:val="005766B0"/>
    <w:rsid w:val="0057693B"/>
    <w:rsid w:val="00576D6D"/>
    <w:rsid w:val="005810A5"/>
    <w:rsid w:val="00581146"/>
    <w:rsid w:val="00581426"/>
    <w:rsid w:val="005819A8"/>
    <w:rsid w:val="00583266"/>
    <w:rsid w:val="00583E50"/>
    <w:rsid w:val="005842E6"/>
    <w:rsid w:val="0058438D"/>
    <w:rsid w:val="005844C6"/>
    <w:rsid w:val="0058469A"/>
    <w:rsid w:val="005869FB"/>
    <w:rsid w:val="00586AA1"/>
    <w:rsid w:val="00586C5F"/>
    <w:rsid w:val="00587A95"/>
    <w:rsid w:val="005916D7"/>
    <w:rsid w:val="005935E3"/>
    <w:rsid w:val="00593C53"/>
    <w:rsid w:val="005973B6"/>
    <w:rsid w:val="005975AC"/>
    <w:rsid w:val="00597DA1"/>
    <w:rsid w:val="005A0EEA"/>
    <w:rsid w:val="005A15CD"/>
    <w:rsid w:val="005A16C1"/>
    <w:rsid w:val="005A2BB4"/>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D34"/>
    <w:rsid w:val="005B3146"/>
    <w:rsid w:val="005B3AAA"/>
    <w:rsid w:val="005B443E"/>
    <w:rsid w:val="005B67B4"/>
    <w:rsid w:val="005B71D1"/>
    <w:rsid w:val="005B7836"/>
    <w:rsid w:val="005C0283"/>
    <w:rsid w:val="005C1B7D"/>
    <w:rsid w:val="005C1E25"/>
    <w:rsid w:val="005C2ECF"/>
    <w:rsid w:val="005C3255"/>
    <w:rsid w:val="005C3707"/>
    <w:rsid w:val="005C3EFA"/>
    <w:rsid w:val="005C62ED"/>
    <w:rsid w:val="005C6885"/>
    <w:rsid w:val="005D1A9D"/>
    <w:rsid w:val="005D2C3C"/>
    <w:rsid w:val="005D2F2A"/>
    <w:rsid w:val="005D3635"/>
    <w:rsid w:val="005D51A6"/>
    <w:rsid w:val="005D57DF"/>
    <w:rsid w:val="005D59C3"/>
    <w:rsid w:val="005D7DA3"/>
    <w:rsid w:val="005E0609"/>
    <w:rsid w:val="005E0A9B"/>
    <w:rsid w:val="005E3060"/>
    <w:rsid w:val="005E3D15"/>
    <w:rsid w:val="005E479D"/>
    <w:rsid w:val="005E648B"/>
    <w:rsid w:val="005E6FA1"/>
    <w:rsid w:val="005E703F"/>
    <w:rsid w:val="005F01B4"/>
    <w:rsid w:val="005F0BB3"/>
    <w:rsid w:val="005F1BE8"/>
    <w:rsid w:val="005F2DC1"/>
    <w:rsid w:val="005F3D74"/>
    <w:rsid w:val="005F5499"/>
    <w:rsid w:val="005F5E9E"/>
    <w:rsid w:val="005F65A7"/>
    <w:rsid w:val="005F68B6"/>
    <w:rsid w:val="005F6D77"/>
    <w:rsid w:val="005F7225"/>
    <w:rsid w:val="005F7C62"/>
    <w:rsid w:val="005F7CE1"/>
    <w:rsid w:val="0060040F"/>
    <w:rsid w:val="00601BE1"/>
    <w:rsid w:val="00602102"/>
    <w:rsid w:val="00603288"/>
    <w:rsid w:val="00603309"/>
    <w:rsid w:val="00603D8A"/>
    <w:rsid w:val="00603E03"/>
    <w:rsid w:val="00605F9B"/>
    <w:rsid w:val="00606A6A"/>
    <w:rsid w:val="00606CAB"/>
    <w:rsid w:val="00606DBB"/>
    <w:rsid w:val="00607F6E"/>
    <w:rsid w:val="00610087"/>
    <w:rsid w:val="006103B7"/>
    <w:rsid w:val="00610A65"/>
    <w:rsid w:val="00610A84"/>
    <w:rsid w:val="00611050"/>
    <w:rsid w:val="00612EA9"/>
    <w:rsid w:val="006146D3"/>
    <w:rsid w:val="00615D57"/>
    <w:rsid w:val="00616AFD"/>
    <w:rsid w:val="00617064"/>
    <w:rsid w:val="00617251"/>
    <w:rsid w:val="0062036A"/>
    <w:rsid w:val="00620ED1"/>
    <w:rsid w:val="006221D1"/>
    <w:rsid w:val="00622403"/>
    <w:rsid w:val="00622D8D"/>
    <w:rsid w:val="006242DA"/>
    <w:rsid w:val="00624432"/>
    <w:rsid w:val="00624A7D"/>
    <w:rsid w:val="00624FA4"/>
    <w:rsid w:val="00625C32"/>
    <w:rsid w:val="006266F1"/>
    <w:rsid w:val="00626B4C"/>
    <w:rsid w:val="0062716A"/>
    <w:rsid w:val="00627E1A"/>
    <w:rsid w:val="00630160"/>
    <w:rsid w:val="006317C3"/>
    <w:rsid w:val="00632205"/>
    <w:rsid w:val="00632608"/>
    <w:rsid w:val="006328BE"/>
    <w:rsid w:val="006330A8"/>
    <w:rsid w:val="00633261"/>
    <w:rsid w:val="00633F12"/>
    <w:rsid w:val="0063432D"/>
    <w:rsid w:val="00634E2E"/>
    <w:rsid w:val="00635C36"/>
    <w:rsid w:val="0063613B"/>
    <w:rsid w:val="006364CF"/>
    <w:rsid w:val="00640890"/>
    <w:rsid w:val="00641AC8"/>
    <w:rsid w:val="00642D2D"/>
    <w:rsid w:val="00642E5E"/>
    <w:rsid w:val="00643550"/>
    <w:rsid w:val="006438EC"/>
    <w:rsid w:val="00644556"/>
    <w:rsid w:val="00644C7A"/>
    <w:rsid w:val="00646174"/>
    <w:rsid w:val="00646358"/>
    <w:rsid w:val="00646708"/>
    <w:rsid w:val="00647610"/>
    <w:rsid w:val="00647C5B"/>
    <w:rsid w:val="00647F7B"/>
    <w:rsid w:val="00650535"/>
    <w:rsid w:val="006508B7"/>
    <w:rsid w:val="00653074"/>
    <w:rsid w:val="0065378F"/>
    <w:rsid w:val="00653A79"/>
    <w:rsid w:val="00654B71"/>
    <w:rsid w:val="00657209"/>
    <w:rsid w:val="006613DE"/>
    <w:rsid w:val="00662A68"/>
    <w:rsid w:val="00662C14"/>
    <w:rsid w:val="0066300C"/>
    <w:rsid w:val="006630AE"/>
    <w:rsid w:val="006635F3"/>
    <w:rsid w:val="00664D0E"/>
    <w:rsid w:val="00664E30"/>
    <w:rsid w:val="0066534C"/>
    <w:rsid w:val="006668C0"/>
    <w:rsid w:val="00666BA1"/>
    <w:rsid w:val="006679CF"/>
    <w:rsid w:val="00667EF5"/>
    <w:rsid w:val="0067038D"/>
    <w:rsid w:val="0067125B"/>
    <w:rsid w:val="00671D41"/>
    <w:rsid w:val="00672E35"/>
    <w:rsid w:val="006734E7"/>
    <w:rsid w:val="00673859"/>
    <w:rsid w:val="0067509B"/>
    <w:rsid w:val="00676E95"/>
    <w:rsid w:val="006773BB"/>
    <w:rsid w:val="00677543"/>
    <w:rsid w:val="006778CD"/>
    <w:rsid w:val="00680A5B"/>
    <w:rsid w:val="00681CE4"/>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260"/>
    <w:rsid w:val="006A5694"/>
    <w:rsid w:val="006A59C0"/>
    <w:rsid w:val="006A5C27"/>
    <w:rsid w:val="006B044B"/>
    <w:rsid w:val="006B0B81"/>
    <w:rsid w:val="006B0E8C"/>
    <w:rsid w:val="006B0FFD"/>
    <w:rsid w:val="006B14DA"/>
    <w:rsid w:val="006B1B47"/>
    <w:rsid w:val="006B2722"/>
    <w:rsid w:val="006B3AA3"/>
    <w:rsid w:val="006B7549"/>
    <w:rsid w:val="006C0F84"/>
    <w:rsid w:val="006C0FEE"/>
    <w:rsid w:val="006C2222"/>
    <w:rsid w:val="006C22C7"/>
    <w:rsid w:val="006C27E6"/>
    <w:rsid w:val="006C5847"/>
    <w:rsid w:val="006C739F"/>
    <w:rsid w:val="006D1793"/>
    <w:rsid w:val="006D17CE"/>
    <w:rsid w:val="006D1EDE"/>
    <w:rsid w:val="006D1F71"/>
    <w:rsid w:val="006D20FF"/>
    <w:rsid w:val="006D29EB"/>
    <w:rsid w:val="006D2EB2"/>
    <w:rsid w:val="006D2FBC"/>
    <w:rsid w:val="006D3CDB"/>
    <w:rsid w:val="006D4928"/>
    <w:rsid w:val="006D53CE"/>
    <w:rsid w:val="006D5B27"/>
    <w:rsid w:val="006D7C56"/>
    <w:rsid w:val="006D7CB0"/>
    <w:rsid w:val="006E0689"/>
    <w:rsid w:val="006E0702"/>
    <w:rsid w:val="006E0829"/>
    <w:rsid w:val="006E0A07"/>
    <w:rsid w:val="006E2110"/>
    <w:rsid w:val="006E2B18"/>
    <w:rsid w:val="006E39BF"/>
    <w:rsid w:val="006E61AD"/>
    <w:rsid w:val="006F05CC"/>
    <w:rsid w:val="006F1DC3"/>
    <w:rsid w:val="006F2671"/>
    <w:rsid w:val="006F3B14"/>
    <w:rsid w:val="006F3FC1"/>
    <w:rsid w:val="006F40E8"/>
    <w:rsid w:val="006F51D1"/>
    <w:rsid w:val="006F674F"/>
    <w:rsid w:val="006F6BAF"/>
    <w:rsid w:val="006F78E5"/>
    <w:rsid w:val="00700459"/>
    <w:rsid w:val="00702362"/>
    <w:rsid w:val="00704C14"/>
    <w:rsid w:val="00705FE8"/>
    <w:rsid w:val="00705FFB"/>
    <w:rsid w:val="0070655C"/>
    <w:rsid w:val="0070717E"/>
    <w:rsid w:val="00711147"/>
    <w:rsid w:val="0071190F"/>
    <w:rsid w:val="00712798"/>
    <w:rsid w:val="007128C4"/>
    <w:rsid w:val="00712A56"/>
    <w:rsid w:val="00712DC2"/>
    <w:rsid w:val="00713776"/>
    <w:rsid w:val="00713DEE"/>
    <w:rsid w:val="007142AD"/>
    <w:rsid w:val="00714A19"/>
    <w:rsid w:val="00714B47"/>
    <w:rsid w:val="00714EF7"/>
    <w:rsid w:val="007155A2"/>
    <w:rsid w:val="00715E63"/>
    <w:rsid w:val="0072125D"/>
    <w:rsid w:val="007214D5"/>
    <w:rsid w:val="00722D0E"/>
    <w:rsid w:val="00722ED7"/>
    <w:rsid w:val="00722F0B"/>
    <w:rsid w:val="00723328"/>
    <w:rsid w:val="00724A61"/>
    <w:rsid w:val="00724F4C"/>
    <w:rsid w:val="00727541"/>
    <w:rsid w:val="00730062"/>
    <w:rsid w:val="007312E6"/>
    <w:rsid w:val="007313F9"/>
    <w:rsid w:val="00733D02"/>
    <w:rsid w:val="007343FF"/>
    <w:rsid w:val="00734853"/>
    <w:rsid w:val="007373FB"/>
    <w:rsid w:val="00737498"/>
    <w:rsid w:val="007376A3"/>
    <w:rsid w:val="0074071B"/>
    <w:rsid w:val="00740801"/>
    <w:rsid w:val="00740ED2"/>
    <w:rsid w:val="007417E2"/>
    <w:rsid w:val="00741C8D"/>
    <w:rsid w:val="00741FC8"/>
    <w:rsid w:val="00743111"/>
    <w:rsid w:val="00744121"/>
    <w:rsid w:val="007442C6"/>
    <w:rsid w:val="00744AC4"/>
    <w:rsid w:val="007457FB"/>
    <w:rsid w:val="00745DBD"/>
    <w:rsid w:val="007461F7"/>
    <w:rsid w:val="007469B8"/>
    <w:rsid w:val="00746A69"/>
    <w:rsid w:val="00746D3D"/>
    <w:rsid w:val="00747827"/>
    <w:rsid w:val="007478E1"/>
    <w:rsid w:val="00750158"/>
    <w:rsid w:val="00751DA0"/>
    <w:rsid w:val="00752676"/>
    <w:rsid w:val="00752B1D"/>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0AE6"/>
    <w:rsid w:val="00771779"/>
    <w:rsid w:val="00772101"/>
    <w:rsid w:val="00772EC9"/>
    <w:rsid w:val="00773E7F"/>
    <w:rsid w:val="007754A9"/>
    <w:rsid w:val="00776264"/>
    <w:rsid w:val="0078006C"/>
    <w:rsid w:val="0078204B"/>
    <w:rsid w:val="007823E5"/>
    <w:rsid w:val="00783474"/>
    <w:rsid w:val="0078366C"/>
    <w:rsid w:val="0078415D"/>
    <w:rsid w:val="007843B5"/>
    <w:rsid w:val="00784919"/>
    <w:rsid w:val="00784C05"/>
    <w:rsid w:val="007857FC"/>
    <w:rsid w:val="00785AB3"/>
    <w:rsid w:val="007909E8"/>
    <w:rsid w:val="00790E8F"/>
    <w:rsid w:val="00791001"/>
    <w:rsid w:val="007929F2"/>
    <w:rsid w:val="00792DAA"/>
    <w:rsid w:val="00794184"/>
    <w:rsid w:val="00794C2D"/>
    <w:rsid w:val="00794F34"/>
    <w:rsid w:val="007950B1"/>
    <w:rsid w:val="0079534B"/>
    <w:rsid w:val="007956B3"/>
    <w:rsid w:val="0079601D"/>
    <w:rsid w:val="00797783"/>
    <w:rsid w:val="007A066B"/>
    <w:rsid w:val="007A0A8F"/>
    <w:rsid w:val="007A14AD"/>
    <w:rsid w:val="007A1581"/>
    <w:rsid w:val="007A16AF"/>
    <w:rsid w:val="007A18B0"/>
    <w:rsid w:val="007A2A37"/>
    <w:rsid w:val="007A33A2"/>
    <w:rsid w:val="007A34D5"/>
    <w:rsid w:val="007A5A4F"/>
    <w:rsid w:val="007A610C"/>
    <w:rsid w:val="007A7525"/>
    <w:rsid w:val="007B003F"/>
    <w:rsid w:val="007B0A33"/>
    <w:rsid w:val="007B21B8"/>
    <w:rsid w:val="007B25FE"/>
    <w:rsid w:val="007B28F4"/>
    <w:rsid w:val="007B2938"/>
    <w:rsid w:val="007B32DA"/>
    <w:rsid w:val="007B4601"/>
    <w:rsid w:val="007B51E6"/>
    <w:rsid w:val="007B568F"/>
    <w:rsid w:val="007B5A00"/>
    <w:rsid w:val="007B66A6"/>
    <w:rsid w:val="007B6B72"/>
    <w:rsid w:val="007B6DE6"/>
    <w:rsid w:val="007B7D9D"/>
    <w:rsid w:val="007C08EA"/>
    <w:rsid w:val="007C135A"/>
    <w:rsid w:val="007C1943"/>
    <w:rsid w:val="007C1DD1"/>
    <w:rsid w:val="007C23FC"/>
    <w:rsid w:val="007C3269"/>
    <w:rsid w:val="007C3B68"/>
    <w:rsid w:val="007C4091"/>
    <w:rsid w:val="007C5288"/>
    <w:rsid w:val="007C5D0F"/>
    <w:rsid w:val="007C68B0"/>
    <w:rsid w:val="007C6E84"/>
    <w:rsid w:val="007D0086"/>
    <w:rsid w:val="007D145C"/>
    <w:rsid w:val="007D2589"/>
    <w:rsid w:val="007D35AD"/>
    <w:rsid w:val="007D433E"/>
    <w:rsid w:val="007D5814"/>
    <w:rsid w:val="007D6A73"/>
    <w:rsid w:val="007D7DDA"/>
    <w:rsid w:val="007E0B03"/>
    <w:rsid w:val="007E14C6"/>
    <w:rsid w:val="007E1737"/>
    <w:rsid w:val="007E2D6E"/>
    <w:rsid w:val="007E3403"/>
    <w:rsid w:val="007E3871"/>
    <w:rsid w:val="007E4109"/>
    <w:rsid w:val="007E5E62"/>
    <w:rsid w:val="007E69C2"/>
    <w:rsid w:val="007F1688"/>
    <w:rsid w:val="007F1E3D"/>
    <w:rsid w:val="007F22BA"/>
    <w:rsid w:val="007F22E6"/>
    <w:rsid w:val="007F270A"/>
    <w:rsid w:val="007F2ED7"/>
    <w:rsid w:val="007F3826"/>
    <w:rsid w:val="007F3B73"/>
    <w:rsid w:val="007F4187"/>
    <w:rsid w:val="007F459B"/>
    <w:rsid w:val="007F4AC9"/>
    <w:rsid w:val="007F61E3"/>
    <w:rsid w:val="007F6C0F"/>
    <w:rsid w:val="007F7480"/>
    <w:rsid w:val="00800DF7"/>
    <w:rsid w:val="0080197A"/>
    <w:rsid w:val="00802288"/>
    <w:rsid w:val="008026C9"/>
    <w:rsid w:val="008028C3"/>
    <w:rsid w:val="008044A7"/>
    <w:rsid w:val="008046B2"/>
    <w:rsid w:val="008047B2"/>
    <w:rsid w:val="00805158"/>
    <w:rsid w:val="0080598C"/>
    <w:rsid w:val="0080641F"/>
    <w:rsid w:val="008064B4"/>
    <w:rsid w:val="0080702E"/>
    <w:rsid w:val="00807FD7"/>
    <w:rsid w:val="00811173"/>
    <w:rsid w:val="00811992"/>
    <w:rsid w:val="00812B18"/>
    <w:rsid w:val="00813BFA"/>
    <w:rsid w:val="00813F1C"/>
    <w:rsid w:val="008141EE"/>
    <w:rsid w:val="00814B3C"/>
    <w:rsid w:val="00814E18"/>
    <w:rsid w:val="00816510"/>
    <w:rsid w:val="0081680D"/>
    <w:rsid w:val="00816AC0"/>
    <w:rsid w:val="00820628"/>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0FE5"/>
    <w:rsid w:val="00831B68"/>
    <w:rsid w:val="00831EA8"/>
    <w:rsid w:val="00832487"/>
    <w:rsid w:val="0083293B"/>
    <w:rsid w:val="008331F4"/>
    <w:rsid w:val="0083336E"/>
    <w:rsid w:val="0083349B"/>
    <w:rsid w:val="008340D0"/>
    <w:rsid w:val="00835514"/>
    <w:rsid w:val="008364C7"/>
    <w:rsid w:val="00836C42"/>
    <w:rsid w:val="008408E8"/>
    <w:rsid w:val="00841B37"/>
    <w:rsid w:val="008425D1"/>
    <w:rsid w:val="00842C2F"/>
    <w:rsid w:val="00842DC3"/>
    <w:rsid w:val="00843346"/>
    <w:rsid w:val="00843464"/>
    <w:rsid w:val="00843817"/>
    <w:rsid w:val="00843BCD"/>
    <w:rsid w:val="0084404D"/>
    <w:rsid w:val="008446C0"/>
    <w:rsid w:val="008461CA"/>
    <w:rsid w:val="0084652D"/>
    <w:rsid w:val="00846E53"/>
    <w:rsid w:val="00847D78"/>
    <w:rsid w:val="008539C0"/>
    <w:rsid w:val="00853F9F"/>
    <w:rsid w:val="0085417B"/>
    <w:rsid w:val="00854F44"/>
    <w:rsid w:val="00855105"/>
    <w:rsid w:val="00856058"/>
    <w:rsid w:val="008568FE"/>
    <w:rsid w:val="00856CB1"/>
    <w:rsid w:val="00857D3F"/>
    <w:rsid w:val="008612C3"/>
    <w:rsid w:val="0086144B"/>
    <w:rsid w:val="00861E99"/>
    <w:rsid w:val="008621EB"/>
    <w:rsid w:val="0086289C"/>
    <w:rsid w:val="00863672"/>
    <w:rsid w:val="00864610"/>
    <w:rsid w:val="0086498E"/>
    <w:rsid w:val="008650F6"/>
    <w:rsid w:val="008653C2"/>
    <w:rsid w:val="00865793"/>
    <w:rsid w:val="00865EB6"/>
    <w:rsid w:val="0086609D"/>
    <w:rsid w:val="00866431"/>
    <w:rsid w:val="00866445"/>
    <w:rsid w:val="00870D5B"/>
    <w:rsid w:val="008725D2"/>
    <w:rsid w:val="00872730"/>
    <w:rsid w:val="008728D9"/>
    <w:rsid w:val="00874123"/>
    <w:rsid w:val="00874477"/>
    <w:rsid w:val="0087467A"/>
    <w:rsid w:val="00874B76"/>
    <w:rsid w:val="00875CD1"/>
    <w:rsid w:val="00877603"/>
    <w:rsid w:val="00877784"/>
    <w:rsid w:val="00880DFE"/>
    <w:rsid w:val="008834D1"/>
    <w:rsid w:val="008841C6"/>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2946"/>
    <w:rsid w:val="0089342E"/>
    <w:rsid w:val="00894A54"/>
    <w:rsid w:val="00894E64"/>
    <w:rsid w:val="00894F6E"/>
    <w:rsid w:val="00895B0C"/>
    <w:rsid w:val="00897203"/>
    <w:rsid w:val="008A0247"/>
    <w:rsid w:val="008A0CA2"/>
    <w:rsid w:val="008A1F46"/>
    <w:rsid w:val="008A36F0"/>
    <w:rsid w:val="008A37A5"/>
    <w:rsid w:val="008A381B"/>
    <w:rsid w:val="008A3927"/>
    <w:rsid w:val="008A407D"/>
    <w:rsid w:val="008A506A"/>
    <w:rsid w:val="008A556A"/>
    <w:rsid w:val="008A5DBB"/>
    <w:rsid w:val="008A64CE"/>
    <w:rsid w:val="008A780C"/>
    <w:rsid w:val="008B1233"/>
    <w:rsid w:val="008B149A"/>
    <w:rsid w:val="008B1E9C"/>
    <w:rsid w:val="008B26BC"/>
    <w:rsid w:val="008B29AF"/>
    <w:rsid w:val="008B423F"/>
    <w:rsid w:val="008B4D46"/>
    <w:rsid w:val="008B4E1C"/>
    <w:rsid w:val="008B56E6"/>
    <w:rsid w:val="008B642C"/>
    <w:rsid w:val="008B6431"/>
    <w:rsid w:val="008B6F2D"/>
    <w:rsid w:val="008B72C5"/>
    <w:rsid w:val="008B7490"/>
    <w:rsid w:val="008C0108"/>
    <w:rsid w:val="008C1628"/>
    <w:rsid w:val="008C18B6"/>
    <w:rsid w:val="008C5E5D"/>
    <w:rsid w:val="008C7223"/>
    <w:rsid w:val="008C7550"/>
    <w:rsid w:val="008C782C"/>
    <w:rsid w:val="008D1432"/>
    <w:rsid w:val="008D324E"/>
    <w:rsid w:val="008D35BC"/>
    <w:rsid w:val="008D35FC"/>
    <w:rsid w:val="008D3828"/>
    <w:rsid w:val="008D4845"/>
    <w:rsid w:val="008D4D07"/>
    <w:rsid w:val="008D58F8"/>
    <w:rsid w:val="008D5A3A"/>
    <w:rsid w:val="008D6004"/>
    <w:rsid w:val="008D62AE"/>
    <w:rsid w:val="008D730D"/>
    <w:rsid w:val="008D7883"/>
    <w:rsid w:val="008D7E51"/>
    <w:rsid w:val="008D7EAA"/>
    <w:rsid w:val="008E02F2"/>
    <w:rsid w:val="008E0918"/>
    <w:rsid w:val="008E0D9B"/>
    <w:rsid w:val="008E2129"/>
    <w:rsid w:val="008E3144"/>
    <w:rsid w:val="008E5575"/>
    <w:rsid w:val="008E55CF"/>
    <w:rsid w:val="008E5B68"/>
    <w:rsid w:val="008E5FAC"/>
    <w:rsid w:val="008E68F0"/>
    <w:rsid w:val="008F068B"/>
    <w:rsid w:val="008F2882"/>
    <w:rsid w:val="008F34D9"/>
    <w:rsid w:val="008F3A9C"/>
    <w:rsid w:val="008F3F2D"/>
    <w:rsid w:val="008F4BD4"/>
    <w:rsid w:val="008F6BBA"/>
    <w:rsid w:val="008F71C7"/>
    <w:rsid w:val="008F7C1F"/>
    <w:rsid w:val="009005A7"/>
    <w:rsid w:val="00901A03"/>
    <w:rsid w:val="00902655"/>
    <w:rsid w:val="0090568D"/>
    <w:rsid w:val="00905C16"/>
    <w:rsid w:val="00905F0F"/>
    <w:rsid w:val="00907316"/>
    <w:rsid w:val="009074DB"/>
    <w:rsid w:val="009077DF"/>
    <w:rsid w:val="00911108"/>
    <w:rsid w:val="009113D0"/>
    <w:rsid w:val="00911740"/>
    <w:rsid w:val="00911C37"/>
    <w:rsid w:val="0091273E"/>
    <w:rsid w:val="00913434"/>
    <w:rsid w:val="009134C6"/>
    <w:rsid w:val="009140C4"/>
    <w:rsid w:val="00916D86"/>
    <w:rsid w:val="00916ECC"/>
    <w:rsid w:val="009170B8"/>
    <w:rsid w:val="00917782"/>
    <w:rsid w:val="00920D0B"/>
    <w:rsid w:val="00921375"/>
    <w:rsid w:val="00921376"/>
    <w:rsid w:val="00923EA6"/>
    <w:rsid w:val="009244A7"/>
    <w:rsid w:val="0093134E"/>
    <w:rsid w:val="009322C4"/>
    <w:rsid w:val="009323DA"/>
    <w:rsid w:val="0093274C"/>
    <w:rsid w:val="00933172"/>
    <w:rsid w:val="0093455F"/>
    <w:rsid w:val="0093484B"/>
    <w:rsid w:val="00934B3E"/>
    <w:rsid w:val="009356B5"/>
    <w:rsid w:val="009363C3"/>
    <w:rsid w:val="00936F2D"/>
    <w:rsid w:val="00937C0C"/>
    <w:rsid w:val="009413AE"/>
    <w:rsid w:val="009419D6"/>
    <w:rsid w:val="00941D11"/>
    <w:rsid w:val="00942222"/>
    <w:rsid w:val="00942CBC"/>
    <w:rsid w:val="00943216"/>
    <w:rsid w:val="0094321D"/>
    <w:rsid w:val="00943A5B"/>
    <w:rsid w:val="00943C82"/>
    <w:rsid w:val="00950138"/>
    <w:rsid w:val="00950E90"/>
    <w:rsid w:val="0095240A"/>
    <w:rsid w:val="009529CA"/>
    <w:rsid w:val="009534B6"/>
    <w:rsid w:val="00953739"/>
    <w:rsid w:val="00954D81"/>
    <w:rsid w:val="00954F7B"/>
    <w:rsid w:val="00955321"/>
    <w:rsid w:val="00955F6D"/>
    <w:rsid w:val="00955FB6"/>
    <w:rsid w:val="00956121"/>
    <w:rsid w:val="0095646B"/>
    <w:rsid w:val="00957DE7"/>
    <w:rsid w:val="00960BDA"/>
    <w:rsid w:val="00960C1A"/>
    <w:rsid w:val="009633D8"/>
    <w:rsid w:val="009635B7"/>
    <w:rsid w:val="00963AAB"/>
    <w:rsid w:val="00963F0D"/>
    <w:rsid w:val="00964D08"/>
    <w:rsid w:val="0096515E"/>
    <w:rsid w:val="009665DD"/>
    <w:rsid w:val="0096682A"/>
    <w:rsid w:val="00967076"/>
    <w:rsid w:val="009672B1"/>
    <w:rsid w:val="00970402"/>
    <w:rsid w:val="00971180"/>
    <w:rsid w:val="009720B1"/>
    <w:rsid w:val="00972578"/>
    <w:rsid w:val="00972601"/>
    <w:rsid w:val="00974066"/>
    <w:rsid w:val="009765BD"/>
    <w:rsid w:val="00976784"/>
    <w:rsid w:val="00977526"/>
    <w:rsid w:val="00980383"/>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F47"/>
    <w:rsid w:val="00993514"/>
    <w:rsid w:val="00993A72"/>
    <w:rsid w:val="00994106"/>
    <w:rsid w:val="00994A1E"/>
    <w:rsid w:val="00994D91"/>
    <w:rsid w:val="0099629F"/>
    <w:rsid w:val="0099701E"/>
    <w:rsid w:val="009A0212"/>
    <w:rsid w:val="009A069B"/>
    <w:rsid w:val="009A1739"/>
    <w:rsid w:val="009A1DD7"/>
    <w:rsid w:val="009A2B40"/>
    <w:rsid w:val="009A3C20"/>
    <w:rsid w:val="009A42F3"/>
    <w:rsid w:val="009A45EA"/>
    <w:rsid w:val="009A4622"/>
    <w:rsid w:val="009A5481"/>
    <w:rsid w:val="009A6EAC"/>
    <w:rsid w:val="009A750C"/>
    <w:rsid w:val="009A7C3F"/>
    <w:rsid w:val="009B003B"/>
    <w:rsid w:val="009B011C"/>
    <w:rsid w:val="009B06CC"/>
    <w:rsid w:val="009B1523"/>
    <w:rsid w:val="009B35B2"/>
    <w:rsid w:val="009B3FD5"/>
    <w:rsid w:val="009B526C"/>
    <w:rsid w:val="009B55A0"/>
    <w:rsid w:val="009B598B"/>
    <w:rsid w:val="009B5AFA"/>
    <w:rsid w:val="009B642C"/>
    <w:rsid w:val="009B649E"/>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24C"/>
    <w:rsid w:val="009D62BA"/>
    <w:rsid w:val="009D657B"/>
    <w:rsid w:val="009D6D24"/>
    <w:rsid w:val="009D6EF1"/>
    <w:rsid w:val="009D72B1"/>
    <w:rsid w:val="009D7477"/>
    <w:rsid w:val="009E1961"/>
    <w:rsid w:val="009E1B55"/>
    <w:rsid w:val="009E22E4"/>
    <w:rsid w:val="009E276A"/>
    <w:rsid w:val="009E3037"/>
    <w:rsid w:val="009E32B5"/>
    <w:rsid w:val="009E37E4"/>
    <w:rsid w:val="009E3AEB"/>
    <w:rsid w:val="009E41BA"/>
    <w:rsid w:val="009E5704"/>
    <w:rsid w:val="009E616D"/>
    <w:rsid w:val="009E66D5"/>
    <w:rsid w:val="009E7870"/>
    <w:rsid w:val="009F00FD"/>
    <w:rsid w:val="009F202B"/>
    <w:rsid w:val="009F34FF"/>
    <w:rsid w:val="009F3B8D"/>
    <w:rsid w:val="009F473E"/>
    <w:rsid w:val="009F703C"/>
    <w:rsid w:val="009F7598"/>
    <w:rsid w:val="009F788F"/>
    <w:rsid w:val="009F7AB6"/>
    <w:rsid w:val="009F7BD5"/>
    <w:rsid w:val="00A01AA1"/>
    <w:rsid w:val="00A0387C"/>
    <w:rsid w:val="00A0416C"/>
    <w:rsid w:val="00A04539"/>
    <w:rsid w:val="00A05683"/>
    <w:rsid w:val="00A06749"/>
    <w:rsid w:val="00A100BB"/>
    <w:rsid w:val="00A1027C"/>
    <w:rsid w:val="00A11407"/>
    <w:rsid w:val="00A11859"/>
    <w:rsid w:val="00A12D3A"/>
    <w:rsid w:val="00A14182"/>
    <w:rsid w:val="00A145F0"/>
    <w:rsid w:val="00A149CC"/>
    <w:rsid w:val="00A14B4B"/>
    <w:rsid w:val="00A14D41"/>
    <w:rsid w:val="00A15150"/>
    <w:rsid w:val="00A15D97"/>
    <w:rsid w:val="00A15E79"/>
    <w:rsid w:val="00A1601B"/>
    <w:rsid w:val="00A167C4"/>
    <w:rsid w:val="00A179DF"/>
    <w:rsid w:val="00A17AB6"/>
    <w:rsid w:val="00A20426"/>
    <w:rsid w:val="00A205B9"/>
    <w:rsid w:val="00A216F9"/>
    <w:rsid w:val="00A22227"/>
    <w:rsid w:val="00A22CD5"/>
    <w:rsid w:val="00A23EF9"/>
    <w:rsid w:val="00A24607"/>
    <w:rsid w:val="00A27954"/>
    <w:rsid w:val="00A279B7"/>
    <w:rsid w:val="00A3055A"/>
    <w:rsid w:val="00A30C35"/>
    <w:rsid w:val="00A319D4"/>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0AD"/>
    <w:rsid w:val="00A477E0"/>
    <w:rsid w:val="00A500FE"/>
    <w:rsid w:val="00A50281"/>
    <w:rsid w:val="00A525EA"/>
    <w:rsid w:val="00A53DA4"/>
    <w:rsid w:val="00A5410F"/>
    <w:rsid w:val="00A541BF"/>
    <w:rsid w:val="00A547B7"/>
    <w:rsid w:val="00A55CED"/>
    <w:rsid w:val="00A55DCB"/>
    <w:rsid w:val="00A5717C"/>
    <w:rsid w:val="00A572CB"/>
    <w:rsid w:val="00A57316"/>
    <w:rsid w:val="00A5747C"/>
    <w:rsid w:val="00A5748B"/>
    <w:rsid w:val="00A579CC"/>
    <w:rsid w:val="00A60479"/>
    <w:rsid w:val="00A618DB"/>
    <w:rsid w:val="00A63761"/>
    <w:rsid w:val="00A64491"/>
    <w:rsid w:val="00A64DF5"/>
    <w:rsid w:val="00A65475"/>
    <w:rsid w:val="00A65810"/>
    <w:rsid w:val="00A65C36"/>
    <w:rsid w:val="00A663AD"/>
    <w:rsid w:val="00A66C4C"/>
    <w:rsid w:val="00A674F4"/>
    <w:rsid w:val="00A67842"/>
    <w:rsid w:val="00A711CD"/>
    <w:rsid w:val="00A71CED"/>
    <w:rsid w:val="00A72845"/>
    <w:rsid w:val="00A7293A"/>
    <w:rsid w:val="00A72B6B"/>
    <w:rsid w:val="00A7338B"/>
    <w:rsid w:val="00A737E5"/>
    <w:rsid w:val="00A738E0"/>
    <w:rsid w:val="00A74FEB"/>
    <w:rsid w:val="00A76AF4"/>
    <w:rsid w:val="00A77016"/>
    <w:rsid w:val="00A7741F"/>
    <w:rsid w:val="00A818B2"/>
    <w:rsid w:val="00A82509"/>
    <w:rsid w:val="00A82671"/>
    <w:rsid w:val="00A82E89"/>
    <w:rsid w:val="00A8555A"/>
    <w:rsid w:val="00A8581E"/>
    <w:rsid w:val="00A85CDC"/>
    <w:rsid w:val="00A86D11"/>
    <w:rsid w:val="00A87387"/>
    <w:rsid w:val="00A878F6"/>
    <w:rsid w:val="00A91632"/>
    <w:rsid w:val="00A92393"/>
    <w:rsid w:val="00A92A39"/>
    <w:rsid w:val="00A933CF"/>
    <w:rsid w:val="00A9344C"/>
    <w:rsid w:val="00A94643"/>
    <w:rsid w:val="00A947A6"/>
    <w:rsid w:val="00A96183"/>
    <w:rsid w:val="00A963D4"/>
    <w:rsid w:val="00A979E7"/>
    <w:rsid w:val="00AA00A2"/>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3F3"/>
    <w:rsid w:val="00AB2BFB"/>
    <w:rsid w:val="00AB2C02"/>
    <w:rsid w:val="00AB32BC"/>
    <w:rsid w:val="00AB4D5B"/>
    <w:rsid w:val="00AB5155"/>
    <w:rsid w:val="00AB55F1"/>
    <w:rsid w:val="00AB5EDC"/>
    <w:rsid w:val="00AB6C1A"/>
    <w:rsid w:val="00AB7622"/>
    <w:rsid w:val="00AB79EA"/>
    <w:rsid w:val="00AC0809"/>
    <w:rsid w:val="00AC1338"/>
    <w:rsid w:val="00AC162C"/>
    <w:rsid w:val="00AC16A6"/>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812"/>
    <w:rsid w:val="00AD3A88"/>
    <w:rsid w:val="00AD49CC"/>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763"/>
    <w:rsid w:val="00AF1F6D"/>
    <w:rsid w:val="00AF3453"/>
    <w:rsid w:val="00AF35B4"/>
    <w:rsid w:val="00AF4210"/>
    <w:rsid w:val="00AF6250"/>
    <w:rsid w:val="00B0093E"/>
    <w:rsid w:val="00B00B0B"/>
    <w:rsid w:val="00B01BAF"/>
    <w:rsid w:val="00B0219F"/>
    <w:rsid w:val="00B02555"/>
    <w:rsid w:val="00B02C00"/>
    <w:rsid w:val="00B035C4"/>
    <w:rsid w:val="00B036D3"/>
    <w:rsid w:val="00B066B8"/>
    <w:rsid w:val="00B074D0"/>
    <w:rsid w:val="00B076DB"/>
    <w:rsid w:val="00B07E3C"/>
    <w:rsid w:val="00B10671"/>
    <w:rsid w:val="00B12645"/>
    <w:rsid w:val="00B12C65"/>
    <w:rsid w:val="00B134F6"/>
    <w:rsid w:val="00B1441D"/>
    <w:rsid w:val="00B14AE8"/>
    <w:rsid w:val="00B1524C"/>
    <w:rsid w:val="00B156A5"/>
    <w:rsid w:val="00B16481"/>
    <w:rsid w:val="00B167D0"/>
    <w:rsid w:val="00B16D95"/>
    <w:rsid w:val="00B172CE"/>
    <w:rsid w:val="00B20C91"/>
    <w:rsid w:val="00B2136B"/>
    <w:rsid w:val="00B2148C"/>
    <w:rsid w:val="00B21C89"/>
    <w:rsid w:val="00B21D9C"/>
    <w:rsid w:val="00B224BC"/>
    <w:rsid w:val="00B22A60"/>
    <w:rsid w:val="00B22DCB"/>
    <w:rsid w:val="00B22FEF"/>
    <w:rsid w:val="00B239CC"/>
    <w:rsid w:val="00B24590"/>
    <w:rsid w:val="00B249F5"/>
    <w:rsid w:val="00B25B2F"/>
    <w:rsid w:val="00B26B0F"/>
    <w:rsid w:val="00B274FB"/>
    <w:rsid w:val="00B30EA9"/>
    <w:rsid w:val="00B30EB3"/>
    <w:rsid w:val="00B31329"/>
    <w:rsid w:val="00B31E22"/>
    <w:rsid w:val="00B32411"/>
    <w:rsid w:val="00B32D2D"/>
    <w:rsid w:val="00B34951"/>
    <w:rsid w:val="00B357EA"/>
    <w:rsid w:val="00B358D1"/>
    <w:rsid w:val="00B36B79"/>
    <w:rsid w:val="00B36E6B"/>
    <w:rsid w:val="00B36FD6"/>
    <w:rsid w:val="00B3719A"/>
    <w:rsid w:val="00B3762F"/>
    <w:rsid w:val="00B40F79"/>
    <w:rsid w:val="00B42F89"/>
    <w:rsid w:val="00B436BE"/>
    <w:rsid w:val="00B4435F"/>
    <w:rsid w:val="00B4513E"/>
    <w:rsid w:val="00B4543A"/>
    <w:rsid w:val="00B4720D"/>
    <w:rsid w:val="00B479F5"/>
    <w:rsid w:val="00B51A00"/>
    <w:rsid w:val="00B53986"/>
    <w:rsid w:val="00B53B2C"/>
    <w:rsid w:val="00B53CDD"/>
    <w:rsid w:val="00B57027"/>
    <w:rsid w:val="00B570E4"/>
    <w:rsid w:val="00B61AA8"/>
    <w:rsid w:val="00B61CB6"/>
    <w:rsid w:val="00B628F4"/>
    <w:rsid w:val="00B631C8"/>
    <w:rsid w:val="00B63FD8"/>
    <w:rsid w:val="00B64970"/>
    <w:rsid w:val="00B64F9A"/>
    <w:rsid w:val="00B657F2"/>
    <w:rsid w:val="00B65F6D"/>
    <w:rsid w:val="00B664B0"/>
    <w:rsid w:val="00B665D6"/>
    <w:rsid w:val="00B66A5F"/>
    <w:rsid w:val="00B67B39"/>
    <w:rsid w:val="00B67CDB"/>
    <w:rsid w:val="00B67E18"/>
    <w:rsid w:val="00B70139"/>
    <w:rsid w:val="00B702F0"/>
    <w:rsid w:val="00B7219C"/>
    <w:rsid w:val="00B72891"/>
    <w:rsid w:val="00B72FE7"/>
    <w:rsid w:val="00B73122"/>
    <w:rsid w:val="00B73B0B"/>
    <w:rsid w:val="00B73E6F"/>
    <w:rsid w:val="00B744E3"/>
    <w:rsid w:val="00B761E0"/>
    <w:rsid w:val="00B769EB"/>
    <w:rsid w:val="00B82DD9"/>
    <w:rsid w:val="00B82EB3"/>
    <w:rsid w:val="00B8315F"/>
    <w:rsid w:val="00B85CE0"/>
    <w:rsid w:val="00B8619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0AD0"/>
    <w:rsid w:val="00BA1D5B"/>
    <w:rsid w:val="00BA1E7C"/>
    <w:rsid w:val="00BA3DA3"/>
    <w:rsid w:val="00BA5559"/>
    <w:rsid w:val="00BA5A7C"/>
    <w:rsid w:val="00BA5A92"/>
    <w:rsid w:val="00BA63B9"/>
    <w:rsid w:val="00BA77EC"/>
    <w:rsid w:val="00BA7B14"/>
    <w:rsid w:val="00BB01BD"/>
    <w:rsid w:val="00BB07F0"/>
    <w:rsid w:val="00BB114E"/>
    <w:rsid w:val="00BB145C"/>
    <w:rsid w:val="00BB1B46"/>
    <w:rsid w:val="00BB252A"/>
    <w:rsid w:val="00BB2DB8"/>
    <w:rsid w:val="00BB3AC9"/>
    <w:rsid w:val="00BB44FA"/>
    <w:rsid w:val="00BB48F8"/>
    <w:rsid w:val="00BB5A25"/>
    <w:rsid w:val="00BB7ACB"/>
    <w:rsid w:val="00BB7B9F"/>
    <w:rsid w:val="00BC0B67"/>
    <w:rsid w:val="00BC1328"/>
    <w:rsid w:val="00BC253A"/>
    <w:rsid w:val="00BC263B"/>
    <w:rsid w:val="00BC2AAF"/>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EBB"/>
    <w:rsid w:val="00BD482C"/>
    <w:rsid w:val="00BD7AA4"/>
    <w:rsid w:val="00BD7F4E"/>
    <w:rsid w:val="00BE04B4"/>
    <w:rsid w:val="00BE0A96"/>
    <w:rsid w:val="00BE10FE"/>
    <w:rsid w:val="00BE1501"/>
    <w:rsid w:val="00BE17DE"/>
    <w:rsid w:val="00BE2A6E"/>
    <w:rsid w:val="00BE4D75"/>
    <w:rsid w:val="00BE5015"/>
    <w:rsid w:val="00BE5825"/>
    <w:rsid w:val="00BE5CE7"/>
    <w:rsid w:val="00BE6BCE"/>
    <w:rsid w:val="00BE7109"/>
    <w:rsid w:val="00BE75D8"/>
    <w:rsid w:val="00BE793D"/>
    <w:rsid w:val="00BF00E5"/>
    <w:rsid w:val="00BF0A6F"/>
    <w:rsid w:val="00BF11F5"/>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51B"/>
    <w:rsid w:val="00C10C11"/>
    <w:rsid w:val="00C1116E"/>
    <w:rsid w:val="00C13423"/>
    <w:rsid w:val="00C13E28"/>
    <w:rsid w:val="00C14BDE"/>
    <w:rsid w:val="00C14C40"/>
    <w:rsid w:val="00C14DCB"/>
    <w:rsid w:val="00C1502A"/>
    <w:rsid w:val="00C21AA0"/>
    <w:rsid w:val="00C21F5C"/>
    <w:rsid w:val="00C21F62"/>
    <w:rsid w:val="00C22F3D"/>
    <w:rsid w:val="00C2354E"/>
    <w:rsid w:val="00C23C8F"/>
    <w:rsid w:val="00C248B6"/>
    <w:rsid w:val="00C263DE"/>
    <w:rsid w:val="00C26A7C"/>
    <w:rsid w:val="00C30C36"/>
    <w:rsid w:val="00C31D15"/>
    <w:rsid w:val="00C3214E"/>
    <w:rsid w:val="00C32913"/>
    <w:rsid w:val="00C350A3"/>
    <w:rsid w:val="00C35EDC"/>
    <w:rsid w:val="00C36068"/>
    <w:rsid w:val="00C361F1"/>
    <w:rsid w:val="00C36591"/>
    <w:rsid w:val="00C412A3"/>
    <w:rsid w:val="00C413CB"/>
    <w:rsid w:val="00C42955"/>
    <w:rsid w:val="00C42969"/>
    <w:rsid w:val="00C42C75"/>
    <w:rsid w:val="00C43516"/>
    <w:rsid w:val="00C43542"/>
    <w:rsid w:val="00C438E8"/>
    <w:rsid w:val="00C4427E"/>
    <w:rsid w:val="00C44385"/>
    <w:rsid w:val="00C44811"/>
    <w:rsid w:val="00C46494"/>
    <w:rsid w:val="00C46E3E"/>
    <w:rsid w:val="00C47256"/>
    <w:rsid w:val="00C47FE5"/>
    <w:rsid w:val="00C50198"/>
    <w:rsid w:val="00C509EB"/>
    <w:rsid w:val="00C518F2"/>
    <w:rsid w:val="00C51B80"/>
    <w:rsid w:val="00C51CDD"/>
    <w:rsid w:val="00C5263E"/>
    <w:rsid w:val="00C527B4"/>
    <w:rsid w:val="00C527E5"/>
    <w:rsid w:val="00C54ACB"/>
    <w:rsid w:val="00C55A90"/>
    <w:rsid w:val="00C55E7D"/>
    <w:rsid w:val="00C60199"/>
    <w:rsid w:val="00C606DE"/>
    <w:rsid w:val="00C60F64"/>
    <w:rsid w:val="00C62F7C"/>
    <w:rsid w:val="00C63343"/>
    <w:rsid w:val="00C63AC6"/>
    <w:rsid w:val="00C65C59"/>
    <w:rsid w:val="00C6644F"/>
    <w:rsid w:val="00C66CBF"/>
    <w:rsid w:val="00C67243"/>
    <w:rsid w:val="00C71FB4"/>
    <w:rsid w:val="00C72167"/>
    <w:rsid w:val="00C735D1"/>
    <w:rsid w:val="00C73AFF"/>
    <w:rsid w:val="00C73C88"/>
    <w:rsid w:val="00C75AB4"/>
    <w:rsid w:val="00C75BAB"/>
    <w:rsid w:val="00C762DB"/>
    <w:rsid w:val="00C77E10"/>
    <w:rsid w:val="00C807AC"/>
    <w:rsid w:val="00C809BE"/>
    <w:rsid w:val="00C80F19"/>
    <w:rsid w:val="00C8150D"/>
    <w:rsid w:val="00C81572"/>
    <w:rsid w:val="00C81781"/>
    <w:rsid w:val="00C8260E"/>
    <w:rsid w:val="00C830F9"/>
    <w:rsid w:val="00C83293"/>
    <w:rsid w:val="00C83C8B"/>
    <w:rsid w:val="00C83EDF"/>
    <w:rsid w:val="00C85C04"/>
    <w:rsid w:val="00C85DFA"/>
    <w:rsid w:val="00C86446"/>
    <w:rsid w:val="00C8644F"/>
    <w:rsid w:val="00C877B0"/>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5057"/>
    <w:rsid w:val="00CA65F3"/>
    <w:rsid w:val="00CA68B5"/>
    <w:rsid w:val="00CA7F62"/>
    <w:rsid w:val="00CB04E2"/>
    <w:rsid w:val="00CB27A1"/>
    <w:rsid w:val="00CB3564"/>
    <w:rsid w:val="00CB5496"/>
    <w:rsid w:val="00CB5738"/>
    <w:rsid w:val="00CB7BC9"/>
    <w:rsid w:val="00CB7E35"/>
    <w:rsid w:val="00CC086A"/>
    <w:rsid w:val="00CC0C1F"/>
    <w:rsid w:val="00CC1040"/>
    <w:rsid w:val="00CC2A75"/>
    <w:rsid w:val="00CC425D"/>
    <w:rsid w:val="00CC44DE"/>
    <w:rsid w:val="00CC49FC"/>
    <w:rsid w:val="00CC4ED4"/>
    <w:rsid w:val="00CC58A2"/>
    <w:rsid w:val="00CC5F70"/>
    <w:rsid w:val="00CC5F83"/>
    <w:rsid w:val="00CC637B"/>
    <w:rsid w:val="00CC6BA5"/>
    <w:rsid w:val="00CC7EE1"/>
    <w:rsid w:val="00CD062E"/>
    <w:rsid w:val="00CD0B16"/>
    <w:rsid w:val="00CD1192"/>
    <w:rsid w:val="00CD2F15"/>
    <w:rsid w:val="00CD3118"/>
    <w:rsid w:val="00CD3817"/>
    <w:rsid w:val="00CD4742"/>
    <w:rsid w:val="00CD4AA4"/>
    <w:rsid w:val="00CD54A3"/>
    <w:rsid w:val="00CD567F"/>
    <w:rsid w:val="00CD5C68"/>
    <w:rsid w:val="00CD6194"/>
    <w:rsid w:val="00CD647D"/>
    <w:rsid w:val="00CD6705"/>
    <w:rsid w:val="00CE0D5B"/>
    <w:rsid w:val="00CE17B7"/>
    <w:rsid w:val="00CE1CFF"/>
    <w:rsid w:val="00CE2101"/>
    <w:rsid w:val="00CE43AE"/>
    <w:rsid w:val="00CE4B2A"/>
    <w:rsid w:val="00CE5805"/>
    <w:rsid w:val="00CE5B3E"/>
    <w:rsid w:val="00CE67A8"/>
    <w:rsid w:val="00CE6AD3"/>
    <w:rsid w:val="00CE73BB"/>
    <w:rsid w:val="00CE7A88"/>
    <w:rsid w:val="00CE7AF6"/>
    <w:rsid w:val="00CF011A"/>
    <w:rsid w:val="00CF0988"/>
    <w:rsid w:val="00CF4FFF"/>
    <w:rsid w:val="00CF526C"/>
    <w:rsid w:val="00CF535E"/>
    <w:rsid w:val="00CF5CF5"/>
    <w:rsid w:val="00CF72B4"/>
    <w:rsid w:val="00CF73DB"/>
    <w:rsid w:val="00CF7491"/>
    <w:rsid w:val="00D006A0"/>
    <w:rsid w:val="00D00DCD"/>
    <w:rsid w:val="00D01CC8"/>
    <w:rsid w:val="00D029C2"/>
    <w:rsid w:val="00D03AE8"/>
    <w:rsid w:val="00D0475C"/>
    <w:rsid w:val="00D0731D"/>
    <w:rsid w:val="00D1073B"/>
    <w:rsid w:val="00D11AC8"/>
    <w:rsid w:val="00D121A9"/>
    <w:rsid w:val="00D12C32"/>
    <w:rsid w:val="00D13DC6"/>
    <w:rsid w:val="00D15713"/>
    <w:rsid w:val="00D162E4"/>
    <w:rsid w:val="00D16346"/>
    <w:rsid w:val="00D167A3"/>
    <w:rsid w:val="00D16E78"/>
    <w:rsid w:val="00D1788F"/>
    <w:rsid w:val="00D17C4D"/>
    <w:rsid w:val="00D20386"/>
    <w:rsid w:val="00D2056A"/>
    <w:rsid w:val="00D21FE8"/>
    <w:rsid w:val="00D220D7"/>
    <w:rsid w:val="00D222FA"/>
    <w:rsid w:val="00D22BD1"/>
    <w:rsid w:val="00D23862"/>
    <w:rsid w:val="00D24555"/>
    <w:rsid w:val="00D25F65"/>
    <w:rsid w:val="00D2612C"/>
    <w:rsid w:val="00D30BA5"/>
    <w:rsid w:val="00D31706"/>
    <w:rsid w:val="00D327A0"/>
    <w:rsid w:val="00D328C6"/>
    <w:rsid w:val="00D33792"/>
    <w:rsid w:val="00D3489F"/>
    <w:rsid w:val="00D34D1A"/>
    <w:rsid w:val="00D35607"/>
    <w:rsid w:val="00D3616D"/>
    <w:rsid w:val="00D36862"/>
    <w:rsid w:val="00D37C65"/>
    <w:rsid w:val="00D42F4A"/>
    <w:rsid w:val="00D43A28"/>
    <w:rsid w:val="00D43F77"/>
    <w:rsid w:val="00D44187"/>
    <w:rsid w:val="00D4564D"/>
    <w:rsid w:val="00D457C4"/>
    <w:rsid w:val="00D45AB8"/>
    <w:rsid w:val="00D474C0"/>
    <w:rsid w:val="00D4760A"/>
    <w:rsid w:val="00D47BD6"/>
    <w:rsid w:val="00D507C7"/>
    <w:rsid w:val="00D50B30"/>
    <w:rsid w:val="00D51B2F"/>
    <w:rsid w:val="00D5219F"/>
    <w:rsid w:val="00D52515"/>
    <w:rsid w:val="00D52F87"/>
    <w:rsid w:val="00D54687"/>
    <w:rsid w:val="00D552BB"/>
    <w:rsid w:val="00D55444"/>
    <w:rsid w:val="00D569FD"/>
    <w:rsid w:val="00D575D1"/>
    <w:rsid w:val="00D57EDA"/>
    <w:rsid w:val="00D60B47"/>
    <w:rsid w:val="00D62154"/>
    <w:rsid w:val="00D621BD"/>
    <w:rsid w:val="00D63D04"/>
    <w:rsid w:val="00D641CC"/>
    <w:rsid w:val="00D646D2"/>
    <w:rsid w:val="00D6478D"/>
    <w:rsid w:val="00D650C0"/>
    <w:rsid w:val="00D6520D"/>
    <w:rsid w:val="00D65B59"/>
    <w:rsid w:val="00D66BDD"/>
    <w:rsid w:val="00D66C21"/>
    <w:rsid w:val="00D67525"/>
    <w:rsid w:val="00D67FB2"/>
    <w:rsid w:val="00D7090D"/>
    <w:rsid w:val="00D70C29"/>
    <w:rsid w:val="00D70E11"/>
    <w:rsid w:val="00D70E51"/>
    <w:rsid w:val="00D71875"/>
    <w:rsid w:val="00D71DFC"/>
    <w:rsid w:val="00D73109"/>
    <w:rsid w:val="00D7316B"/>
    <w:rsid w:val="00D73F7F"/>
    <w:rsid w:val="00D7406D"/>
    <w:rsid w:val="00D7628C"/>
    <w:rsid w:val="00D767AF"/>
    <w:rsid w:val="00D77148"/>
    <w:rsid w:val="00D8282B"/>
    <w:rsid w:val="00D82A1F"/>
    <w:rsid w:val="00D83D05"/>
    <w:rsid w:val="00D8438C"/>
    <w:rsid w:val="00D84B39"/>
    <w:rsid w:val="00D86BD3"/>
    <w:rsid w:val="00D86E55"/>
    <w:rsid w:val="00D87D3E"/>
    <w:rsid w:val="00D901D7"/>
    <w:rsid w:val="00D9027B"/>
    <w:rsid w:val="00D904A1"/>
    <w:rsid w:val="00D91742"/>
    <w:rsid w:val="00D92014"/>
    <w:rsid w:val="00D9462B"/>
    <w:rsid w:val="00D95B79"/>
    <w:rsid w:val="00D9755F"/>
    <w:rsid w:val="00DA0A87"/>
    <w:rsid w:val="00DA15BC"/>
    <w:rsid w:val="00DA2194"/>
    <w:rsid w:val="00DA35EE"/>
    <w:rsid w:val="00DA4198"/>
    <w:rsid w:val="00DA4DDB"/>
    <w:rsid w:val="00DA565B"/>
    <w:rsid w:val="00DA56BF"/>
    <w:rsid w:val="00DA7B19"/>
    <w:rsid w:val="00DB024B"/>
    <w:rsid w:val="00DB053A"/>
    <w:rsid w:val="00DB082D"/>
    <w:rsid w:val="00DB23F4"/>
    <w:rsid w:val="00DB37C4"/>
    <w:rsid w:val="00DB4131"/>
    <w:rsid w:val="00DB4ECD"/>
    <w:rsid w:val="00DB6086"/>
    <w:rsid w:val="00DB78BB"/>
    <w:rsid w:val="00DB7D80"/>
    <w:rsid w:val="00DB7FA6"/>
    <w:rsid w:val="00DC1B67"/>
    <w:rsid w:val="00DC1F0F"/>
    <w:rsid w:val="00DC23C0"/>
    <w:rsid w:val="00DC2C36"/>
    <w:rsid w:val="00DC3136"/>
    <w:rsid w:val="00DC3191"/>
    <w:rsid w:val="00DC3252"/>
    <w:rsid w:val="00DC337E"/>
    <w:rsid w:val="00DC39C7"/>
    <w:rsid w:val="00DC4327"/>
    <w:rsid w:val="00DC4F20"/>
    <w:rsid w:val="00DC5828"/>
    <w:rsid w:val="00DC6515"/>
    <w:rsid w:val="00DC6C01"/>
    <w:rsid w:val="00DC6C46"/>
    <w:rsid w:val="00DC7799"/>
    <w:rsid w:val="00DD0F99"/>
    <w:rsid w:val="00DD156A"/>
    <w:rsid w:val="00DD3174"/>
    <w:rsid w:val="00DD32B2"/>
    <w:rsid w:val="00DD3D7B"/>
    <w:rsid w:val="00DD453D"/>
    <w:rsid w:val="00DD4AE6"/>
    <w:rsid w:val="00DD4E99"/>
    <w:rsid w:val="00DD4FE7"/>
    <w:rsid w:val="00DD5156"/>
    <w:rsid w:val="00DD5EB2"/>
    <w:rsid w:val="00DD6182"/>
    <w:rsid w:val="00DD62C3"/>
    <w:rsid w:val="00DD7094"/>
    <w:rsid w:val="00DE08B4"/>
    <w:rsid w:val="00DE183E"/>
    <w:rsid w:val="00DE1B6B"/>
    <w:rsid w:val="00DE2A72"/>
    <w:rsid w:val="00DE2AA1"/>
    <w:rsid w:val="00DE3C50"/>
    <w:rsid w:val="00DE4AC6"/>
    <w:rsid w:val="00DE4EF6"/>
    <w:rsid w:val="00DE5F08"/>
    <w:rsid w:val="00DE715D"/>
    <w:rsid w:val="00DE736F"/>
    <w:rsid w:val="00DE7BD5"/>
    <w:rsid w:val="00DE7C44"/>
    <w:rsid w:val="00DF208D"/>
    <w:rsid w:val="00DF2585"/>
    <w:rsid w:val="00DF295A"/>
    <w:rsid w:val="00DF2A59"/>
    <w:rsid w:val="00DF2C6A"/>
    <w:rsid w:val="00DF2EE1"/>
    <w:rsid w:val="00DF36D8"/>
    <w:rsid w:val="00DF3B2D"/>
    <w:rsid w:val="00DF5207"/>
    <w:rsid w:val="00DF60D0"/>
    <w:rsid w:val="00DF6293"/>
    <w:rsid w:val="00DF647D"/>
    <w:rsid w:val="00E0019D"/>
    <w:rsid w:val="00E004AE"/>
    <w:rsid w:val="00E00BBE"/>
    <w:rsid w:val="00E01583"/>
    <w:rsid w:val="00E0183D"/>
    <w:rsid w:val="00E01969"/>
    <w:rsid w:val="00E01A67"/>
    <w:rsid w:val="00E01AE4"/>
    <w:rsid w:val="00E02090"/>
    <w:rsid w:val="00E02570"/>
    <w:rsid w:val="00E02A8D"/>
    <w:rsid w:val="00E03C22"/>
    <w:rsid w:val="00E03F9E"/>
    <w:rsid w:val="00E06602"/>
    <w:rsid w:val="00E07B54"/>
    <w:rsid w:val="00E107A6"/>
    <w:rsid w:val="00E1221A"/>
    <w:rsid w:val="00E1243F"/>
    <w:rsid w:val="00E12A5E"/>
    <w:rsid w:val="00E13550"/>
    <w:rsid w:val="00E1370C"/>
    <w:rsid w:val="00E13FED"/>
    <w:rsid w:val="00E14705"/>
    <w:rsid w:val="00E14872"/>
    <w:rsid w:val="00E149F4"/>
    <w:rsid w:val="00E14A44"/>
    <w:rsid w:val="00E14FDA"/>
    <w:rsid w:val="00E15F96"/>
    <w:rsid w:val="00E1600B"/>
    <w:rsid w:val="00E165BE"/>
    <w:rsid w:val="00E1681B"/>
    <w:rsid w:val="00E16CD7"/>
    <w:rsid w:val="00E16F89"/>
    <w:rsid w:val="00E20981"/>
    <w:rsid w:val="00E218DD"/>
    <w:rsid w:val="00E21D03"/>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30B90"/>
    <w:rsid w:val="00E30D02"/>
    <w:rsid w:val="00E333DF"/>
    <w:rsid w:val="00E337D5"/>
    <w:rsid w:val="00E35FFA"/>
    <w:rsid w:val="00E36CCD"/>
    <w:rsid w:val="00E374BA"/>
    <w:rsid w:val="00E3778A"/>
    <w:rsid w:val="00E37A1B"/>
    <w:rsid w:val="00E37A27"/>
    <w:rsid w:val="00E37E85"/>
    <w:rsid w:val="00E40430"/>
    <w:rsid w:val="00E41321"/>
    <w:rsid w:val="00E42153"/>
    <w:rsid w:val="00E44340"/>
    <w:rsid w:val="00E44B75"/>
    <w:rsid w:val="00E44CD2"/>
    <w:rsid w:val="00E4530A"/>
    <w:rsid w:val="00E45D63"/>
    <w:rsid w:val="00E46850"/>
    <w:rsid w:val="00E47163"/>
    <w:rsid w:val="00E4790E"/>
    <w:rsid w:val="00E50DF3"/>
    <w:rsid w:val="00E51DD3"/>
    <w:rsid w:val="00E54AE9"/>
    <w:rsid w:val="00E568E2"/>
    <w:rsid w:val="00E6085B"/>
    <w:rsid w:val="00E61E9B"/>
    <w:rsid w:val="00E62028"/>
    <w:rsid w:val="00E635D2"/>
    <w:rsid w:val="00E63B6A"/>
    <w:rsid w:val="00E646EE"/>
    <w:rsid w:val="00E64E73"/>
    <w:rsid w:val="00E6597E"/>
    <w:rsid w:val="00E66418"/>
    <w:rsid w:val="00E70CA3"/>
    <w:rsid w:val="00E711A2"/>
    <w:rsid w:val="00E721F4"/>
    <w:rsid w:val="00E7258F"/>
    <w:rsid w:val="00E74048"/>
    <w:rsid w:val="00E749AE"/>
    <w:rsid w:val="00E7687A"/>
    <w:rsid w:val="00E76A9F"/>
    <w:rsid w:val="00E76D23"/>
    <w:rsid w:val="00E777AA"/>
    <w:rsid w:val="00E778BB"/>
    <w:rsid w:val="00E778C4"/>
    <w:rsid w:val="00E77FBF"/>
    <w:rsid w:val="00E800B4"/>
    <w:rsid w:val="00E800EF"/>
    <w:rsid w:val="00E8140D"/>
    <w:rsid w:val="00E82ED3"/>
    <w:rsid w:val="00E832CD"/>
    <w:rsid w:val="00E84517"/>
    <w:rsid w:val="00E855F7"/>
    <w:rsid w:val="00E91FFC"/>
    <w:rsid w:val="00E94AC2"/>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3DCC"/>
    <w:rsid w:val="00EA588C"/>
    <w:rsid w:val="00EA5A4A"/>
    <w:rsid w:val="00EA5AB7"/>
    <w:rsid w:val="00EA6B96"/>
    <w:rsid w:val="00EB059E"/>
    <w:rsid w:val="00EB0EE3"/>
    <w:rsid w:val="00EB32FD"/>
    <w:rsid w:val="00EB3ADE"/>
    <w:rsid w:val="00EB475C"/>
    <w:rsid w:val="00EB50D5"/>
    <w:rsid w:val="00EB51F3"/>
    <w:rsid w:val="00EB54A3"/>
    <w:rsid w:val="00EB66EF"/>
    <w:rsid w:val="00EB7156"/>
    <w:rsid w:val="00EB7F58"/>
    <w:rsid w:val="00EC10B4"/>
    <w:rsid w:val="00EC11DC"/>
    <w:rsid w:val="00EC1902"/>
    <w:rsid w:val="00EC1A2E"/>
    <w:rsid w:val="00EC1AB0"/>
    <w:rsid w:val="00EC1FE4"/>
    <w:rsid w:val="00EC2217"/>
    <w:rsid w:val="00EC32B8"/>
    <w:rsid w:val="00EC36F4"/>
    <w:rsid w:val="00EC3C71"/>
    <w:rsid w:val="00EC4701"/>
    <w:rsid w:val="00EC4A79"/>
    <w:rsid w:val="00EC60FA"/>
    <w:rsid w:val="00EC6FB5"/>
    <w:rsid w:val="00EC7A72"/>
    <w:rsid w:val="00ED186C"/>
    <w:rsid w:val="00ED1C49"/>
    <w:rsid w:val="00ED1F08"/>
    <w:rsid w:val="00ED2067"/>
    <w:rsid w:val="00ED2D7A"/>
    <w:rsid w:val="00ED47C6"/>
    <w:rsid w:val="00ED47DC"/>
    <w:rsid w:val="00ED4CAF"/>
    <w:rsid w:val="00ED6460"/>
    <w:rsid w:val="00ED6F9B"/>
    <w:rsid w:val="00ED7714"/>
    <w:rsid w:val="00EE02EB"/>
    <w:rsid w:val="00EE0CAC"/>
    <w:rsid w:val="00EE21B0"/>
    <w:rsid w:val="00EE5BCE"/>
    <w:rsid w:val="00EE606B"/>
    <w:rsid w:val="00EE66FE"/>
    <w:rsid w:val="00EE788C"/>
    <w:rsid w:val="00EE7B3B"/>
    <w:rsid w:val="00EF0898"/>
    <w:rsid w:val="00EF24D9"/>
    <w:rsid w:val="00EF287C"/>
    <w:rsid w:val="00EF311A"/>
    <w:rsid w:val="00EF338B"/>
    <w:rsid w:val="00EF40F4"/>
    <w:rsid w:val="00EF42D0"/>
    <w:rsid w:val="00EF453D"/>
    <w:rsid w:val="00EF4FF8"/>
    <w:rsid w:val="00EF64C4"/>
    <w:rsid w:val="00EF6A54"/>
    <w:rsid w:val="00F01454"/>
    <w:rsid w:val="00F01D9C"/>
    <w:rsid w:val="00F03A69"/>
    <w:rsid w:val="00F06ED7"/>
    <w:rsid w:val="00F077FB"/>
    <w:rsid w:val="00F106CF"/>
    <w:rsid w:val="00F120A1"/>
    <w:rsid w:val="00F125D3"/>
    <w:rsid w:val="00F13D2E"/>
    <w:rsid w:val="00F162B2"/>
    <w:rsid w:val="00F17D86"/>
    <w:rsid w:val="00F202F0"/>
    <w:rsid w:val="00F241D3"/>
    <w:rsid w:val="00F26CD9"/>
    <w:rsid w:val="00F27664"/>
    <w:rsid w:val="00F27761"/>
    <w:rsid w:val="00F313C4"/>
    <w:rsid w:val="00F31F7E"/>
    <w:rsid w:val="00F32BB0"/>
    <w:rsid w:val="00F32C94"/>
    <w:rsid w:val="00F32E9D"/>
    <w:rsid w:val="00F34C18"/>
    <w:rsid w:val="00F34E0C"/>
    <w:rsid w:val="00F3590D"/>
    <w:rsid w:val="00F35E0C"/>
    <w:rsid w:val="00F36230"/>
    <w:rsid w:val="00F36AE6"/>
    <w:rsid w:val="00F37D5A"/>
    <w:rsid w:val="00F40850"/>
    <w:rsid w:val="00F41A48"/>
    <w:rsid w:val="00F41B55"/>
    <w:rsid w:val="00F41F4C"/>
    <w:rsid w:val="00F42F35"/>
    <w:rsid w:val="00F43922"/>
    <w:rsid w:val="00F443B0"/>
    <w:rsid w:val="00F444A6"/>
    <w:rsid w:val="00F44EB1"/>
    <w:rsid w:val="00F45376"/>
    <w:rsid w:val="00F47281"/>
    <w:rsid w:val="00F50128"/>
    <w:rsid w:val="00F52EA7"/>
    <w:rsid w:val="00F52F11"/>
    <w:rsid w:val="00F52FAF"/>
    <w:rsid w:val="00F5498A"/>
    <w:rsid w:val="00F55522"/>
    <w:rsid w:val="00F5568D"/>
    <w:rsid w:val="00F56608"/>
    <w:rsid w:val="00F56903"/>
    <w:rsid w:val="00F56DA3"/>
    <w:rsid w:val="00F578CE"/>
    <w:rsid w:val="00F57B67"/>
    <w:rsid w:val="00F611AC"/>
    <w:rsid w:val="00F626FA"/>
    <w:rsid w:val="00F62712"/>
    <w:rsid w:val="00F62EBA"/>
    <w:rsid w:val="00F63B25"/>
    <w:rsid w:val="00F6490A"/>
    <w:rsid w:val="00F65F01"/>
    <w:rsid w:val="00F66072"/>
    <w:rsid w:val="00F712FF"/>
    <w:rsid w:val="00F715DF"/>
    <w:rsid w:val="00F722CE"/>
    <w:rsid w:val="00F72D30"/>
    <w:rsid w:val="00F72E36"/>
    <w:rsid w:val="00F73042"/>
    <w:rsid w:val="00F73F7E"/>
    <w:rsid w:val="00F745E5"/>
    <w:rsid w:val="00F7498F"/>
    <w:rsid w:val="00F75FC1"/>
    <w:rsid w:val="00F76914"/>
    <w:rsid w:val="00F77587"/>
    <w:rsid w:val="00F7767A"/>
    <w:rsid w:val="00F776D2"/>
    <w:rsid w:val="00F80916"/>
    <w:rsid w:val="00F81F8F"/>
    <w:rsid w:val="00F824F3"/>
    <w:rsid w:val="00F8285A"/>
    <w:rsid w:val="00F83515"/>
    <w:rsid w:val="00F85A6D"/>
    <w:rsid w:val="00F85BDA"/>
    <w:rsid w:val="00F860A9"/>
    <w:rsid w:val="00F876D9"/>
    <w:rsid w:val="00F902FD"/>
    <w:rsid w:val="00F90CF5"/>
    <w:rsid w:val="00F90E2B"/>
    <w:rsid w:val="00F9124F"/>
    <w:rsid w:val="00F915A5"/>
    <w:rsid w:val="00F91CAC"/>
    <w:rsid w:val="00F923D2"/>
    <w:rsid w:val="00F925D3"/>
    <w:rsid w:val="00F928E9"/>
    <w:rsid w:val="00F928F0"/>
    <w:rsid w:val="00F92F38"/>
    <w:rsid w:val="00F931C1"/>
    <w:rsid w:val="00F93984"/>
    <w:rsid w:val="00F93BC3"/>
    <w:rsid w:val="00F94C0D"/>
    <w:rsid w:val="00F94DF5"/>
    <w:rsid w:val="00F96356"/>
    <w:rsid w:val="00F96FEC"/>
    <w:rsid w:val="00F970AD"/>
    <w:rsid w:val="00FA0BB1"/>
    <w:rsid w:val="00FA623A"/>
    <w:rsid w:val="00FB07A8"/>
    <w:rsid w:val="00FB10BB"/>
    <w:rsid w:val="00FB1C87"/>
    <w:rsid w:val="00FB1FED"/>
    <w:rsid w:val="00FB26DA"/>
    <w:rsid w:val="00FB319B"/>
    <w:rsid w:val="00FB32E1"/>
    <w:rsid w:val="00FB3D69"/>
    <w:rsid w:val="00FB58BC"/>
    <w:rsid w:val="00FB6109"/>
    <w:rsid w:val="00FB7BE3"/>
    <w:rsid w:val="00FC0C49"/>
    <w:rsid w:val="00FC174D"/>
    <w:rsid w:val="00FC17F6"/>
    <w:rsid w:val="00FC1F7B"/>
    <w:rsid w:val="00FC49C8"/>
    <w:rsid w:val="00FC54B9"/>
    <w:rsid w:val="00FC7287"/>
    <w:rsid w:val="00FC7DFC"/>
    <w:rsid w:val="00FD1220"/>
    <w:rsid w:val="00FD1DB6"/>
    <w:rsid w:val="00FD1E39"/>
    <w:rsid w:val="00FD1FF3"/>
    <w:rsid w:val="00FD2233"/>
    <w:rsid w:val="00FD33C4"/>
    <w:rsid w:val="00FD4A56"/>
    <w:rsid w:val="00FD5CB7"/>
    <w:rsid w:val="00FD5D9B"/>
    <w:rsid w:val="00FD62CD"/>
    <w:rsid w:val="00FD64B3"/>
    <w:rsid w:val="00FD6937"/>
    <w:rsid w:val="00FD7DEB"/>
    <w:rsid w:val="00FD7E77"/>
    <w:rsid w:val="00FE14D3"/>
    <w:rsid w:val="00FE3955"/>
    <w:rsid w:val="00FE3B6D"/>
    <w:rsid w:val="00FE4B3E"/>
    <w:rsid w:val="00FE4EDF"/>
    <w:rsid w:val="00FE5198"/>
    <w:rsid w:val="00FE6368"/>
    <w:rsid w:val="00FE63AE"/>
    <w:rsid w:val="00FE7564"/>
    <w:rsid w:val="00FE7CBD"/>
    <w:rsid w:val="00FF08A8"/>
    <w:rsid w:val="00FF2474"/>
    <w:rsid w:val="00FF3B69"/>
    <w:rsid w:val="00FF3D88"/>
    <w:rsid w:val="00FF4992"/>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B332675-4650-44E2-B0F6-F41390C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
    <w:link w:val="ListParagraph"/>
    <w:uiPriority w:val="34"/>
    <w:rsid w:val="00072B7C"/>
    <w:rPr>
      <w:sz w:val="24"/>
      <w:szCs w:val="24"/>
    </w:rPr>
  </w:style>
  <w:style w:type="character" w:styleId="Emphasis">
    <w:name w:val="Emphasis"/>
    <w:basedOn w:val="DefaultParagraphFont"/>
    <w:uiPriority w:val="20"/>
    <w:qFormat/>
    <w:rsid w:val="00B70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50876897">
      <w:bodyDiv w:val="1"/>
      <w:marLeft w:val="0"/>
      <w:marRight w:val="0"/>
      <w:marTop w:val="0"/>
      <w:marBottom w:val="0"/>
      <w:divBdr>
        <w:top w:val="none" w:sz="0" w:space="0" w:color="auto"/>
        <w:left w:val="none" w:sz="0" w:space="0" w:color="auto"/>
        <w:bottom w:val="none" w:sz="0" w:space="0" w:color="auto"/>
        <w:right w:val="none" w:sz="0" w:space="0" w:color="auto"/>
      </w:divBdr>
      <w:divsChild>
        <w:div w:id="1463380747">
          <w:marLeft w:val="0"/>
          <w:marRight w:val="0"/>
          <w:marTop w:val="480"/>
          <w:marBottom w:val="240"/>
          <w:divBdr>
            <w:top w:val="none" w:sz="0" w:space="0" w:color="auto"/>
            <w:left w:val="none" w:sz="0" w:space="0" w:color="auto"/>
            <w:bottom w:val="none" w:sz="0" w:space="0" w:color="auto"/>
            <w:right w:val="none" w:sz="0" w:space="0" w:color="auto"/>
          </w:divBdr>
        </w:div>
        <w:div w:id="1072585107">
          <w:marLeft w:val="0"/>
          <w:marRight w:val="0"/>
          <w:marTop w:val="0"/>
          <w:marBottom w:val="567"/>
          <w:divBdr>
            <w:top w:val="none" w:sz="0" w:space="0" w:color="auto"/>
            <w:left w:val="none" w:sz="0" w:space="0" w:color="auto"/>
            <w:bottom w:val="none" w:sz="0" w:space="0" w:color="auto"/>
            <w:right w:val="none" w:sz="0" w:space="0" w:color="auto"/>
          </w:divBdr>
        </w:div>
      </w:divsChild>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8092670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12988392">
      <w:bodyDiv w:val="1"/>
      <w:marLeft w:val="0"/>
      <w:marRight w:val="0"/>
      <w:marTop w:val="0"/>
      <w:marBottom w:val="0"/>
      <w:divBdr>
        <w:top w:val="none" w:sz="0" w:space="0" w:color="auto"/>
        <w:left w:val="none" w:sz="0" w:space="0" w:color="auto"/>
        <w:bottom w:val="none" w:sz="0" w:space="0" w:color="auto"/>
        <w:right w:val="none" w:sz="0" w:space="0" w:color="auto"/>
      </w:divBdr>
      <w:divsChild>
        <w:div w:id="67117175">
          <w:marLeft w:val="0"/>
          <w:marRight w:val="0"/>
          <w:marTop w:val="480"/>
          <w:marBottom w:val="240"/>
          <w:divBdr>
            <w:top w:val="none" w:sz="0" w:space="0" w:color="auto"/>
            <w:left w:val="none" w:sz="0" w:space="0" w:color="auto"/>
            <w:bottom w:val="none" w:sz="0" w:space="0" w:color="auto"/>
            <w:right w:val="none" w:sz="0" w:space="0" w:color="auto"/>
          </w:divBdr>
        </w:div>
        <w:div w:id="193278509">
          <w:marLeft w:val="0"/>
          <w:marRight w:val="0"/>
          <w:marTop w:val="0"/>
          <w:marBottom w:val="567"/>
          <w:divBdr>
            <w:top w:val="none" w:sz="0" w:space="0" w:color="auto"/>
            <w:left w:val="none" w:sz="0" w:space="0" w:color="auto"/>
            <w:bottom w:val="none" w:sz="0" w:space="0" w:color="auto"/>
            <w:right w:val="none" w:sz="0" w:space="0" w:color="auto"/>
          </w:divBdr>
        </w:div>
        <w:div w:id="118229562">
          <w:marLeft w:val="0"/>
          <w:marRight w:val="0"/>
          <w:marTop w:val="0"/>
          <w:marBottom w:val="567"/>
          <w:divBdr>
            <w:top w:val="none" w:sz="0" w:space="0" w:color="auto"/>
            <w:left w:val="none" w:sz="0" w:space="0" w:color="auto"/>
            <w:bottom w:val="none" w:sz="0" w:space="0" w:color="auto"/>
            <w:right w:val="none" w:sz="0" w:space="0" w:color="auto"/>
          </w:divBdr>
        </w:div>
        <w:div w:id="1581522720">
          <w:marLeft w:val="0"/>
          <w:marRight w:val="0"/>
          <w:marTop w:val="400"/>
          <w:marBottom w:val="0"/>
          <w:divBdr>
            <w:top w:val="none" w:sz="0" w:space="0" w:color="auto"/>
            <w:left w:val="none" w:sz="0" w:space="0" w:color="auto"/>
            <w:bottom w:val="none" w:sz="0" w:space="0" w:color="auto"/>
            <w:right w:val="none" w:sz="0" w:space="0" w:color="auto"/>
          </w:divBdr>
        </w:div>
        <w:div w:id="224027153">
          <w:marLeft w:val="0"/>
          <w:marRight w:val="0"/>
          <w:marTop w:val="0"/>
          <w:marBottom w:val="0"/>
          <w:divBdr>
            <w:top w:val="none" w:sz="0" w:space="0" w:color="auto"/>
            <w:left w:val="none" w:sz="0" w:space="0" w:color="auto"/>
            <w:bottom w:val="none" w:sz="0" w:space="0" w:color="auto"/>
            <w:right w:val="none" w:sz="0" w:space="0" w:color="auto"/>
          </w:divBdr>
        </w:div>
      </w:divsChild>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69697617">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Heiberg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F4BB-E6FB-4929-AB41-A7A63B28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2986</Words>
  <Characters>21615</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24552</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Austra Auzina</dc:creator>
  <cp:lastModifiedBy>Dana Heiberga</cp:lastModifiedBy>
  <cp:revision>10</cp:revision>
  <cp:lastPrinted>2015-10-21T12:40:00Z</cp:lastPrinted>
  <dcterms:created xsi:type="dcterms:W3CDTF">2015-12-02T07:21:00Z</dcterms:created>
  <dcterms:modified xsi:type="dcterms:W3CDTF">2015-12-11T10:11:00Z</dcterms:modified>
</cp:coreProperties>
</file>