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CD6" w:rsidRDefault="00613CD6" w:rsidP="00613CD6">
      <w:pPr>
        <w:jc w:val="center"/>
      </w:pPr>
      <w:r>
        <w:rPr>
          <w:b/>
        </w:rPr>
        <w:t>Likumprojekta ”</w:t>
      </w:r>
      <w:r w:rsidR="00374B86">
        <w:rPr>
          <w:b/>
          <w:bCs/>
        </w:rPr>
        <w:t>Latgales speciālā</w:t>
      </w:r>
      <w:r w:rsidR="009602B6">
        <w:rPr>
          <w:b/>
          <w:bCs/>
        </w:rPr>
        <w:t>s</w:t>
      </w:r>
      <w:r w:rsidR="00374B86">
        <w:rPr>
          <w:b/>
          <w:bCs/>
        </w:rPr>
        <w:t xml:space="preserve"> ekonomiskā</w:t>
      </w:r>
      <w:r w:rsidR="009602B6">
        <w:rPr>
          <w:b/>
          <w:bCs/>
        </w:rPr>
        <w:t>s</w:t>
      </w:r>
      <w:r w:rsidR="00374B86">
        <w:rPr>
          <w:b/>
          <w:bCs/>
        </w:rPr>
        <w:t xml:space="preserve"> zona</w:t>
      </w:r>
      <w:r w:rsidR="009602B6">
        <w:rPr>
          <w:b/>
          <w:bCs/>
        </w:rPr>
        <w:t>s likums</w:t>
      </w:r>
      <w:r>
        <w:rPr>
          <w:b/>
        </w:rPr>
        <w:t>” sākotnējās ietekmes novērtējuma ziņojums (anotācija)</w:t>
      </w:r>
    </w:p>
    <w:p w:rsidR="00613CD6" w:rsidRDefault="00613CD6" w:rsidP="00613CD6">
      <w:pPr>
        <w:jc w:val="center"/>
        <w:rPr>
          <w:b/>
        </w:rPr>
      </w:pPr>
    </w:p>
    <w:tbl>
      <w:tblPr>
        <w:tblW w:w="9640" w:type="dxa"/>
        <w:tblInd w:w="-289" w:type="dxa"/>
        <w:tblCellMar>
          <w:left w:w="10" w:type="dxa"/>
          <w:right w:w="10" w:type="dxa"/>
        </w:tblCellMar>
        <w:tblLook w:val="0000"/>
      </w:tblPr>
      <w:tblGrid>
        <w:gridCol w:w="303"/>
        <w:gridCol w:w="1380"/>
        <w:gridCol w:w="7957"/>
      </w:tblGrid>
      <w:tr w:rsidR="00613CD6" w:rsidTr="001A14C7">
        <w:trPr>
          <w:trHeight w:val="558"/>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vAlign w:val="center"/>
          </w:tcPr>
          <w:p w:rsidR="00613CD6" w:rsidRDefault="00613CD6" w:rsidP="001A14C7">
            <w:pPr>
              <w:pStyle w:val="naisnod"/>
              <w:spacing w:before="0" w:after="0"/>
            </w:pPr>
            <w:r>
              <w:t>I. Tiesību akta projekta izstrādes nepieciešamība</w:t>
            </w:r>
          </w:p>
        </w:tc>
      </w:tr>
      <w:tr w:rsidR="00613CD6" w:rsidTr="001A14C7">
        <w:trPr>
          <w:trHeight w:val="630"/>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hanging="10"/>
            </w:pPr>
            <w:r>
              <w:t>Pamatojums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ED530F" w:rsidRDefault="00ED530F" w:rsidP="00ED530F">
            <w:pPr>
              <w:jc w:val="both"/>
            </w:pPr>
            <w:r>
              <w:t xml:space="preserve">Vides aizsardzības un reģionālās attīstības ministrijas (turpmāk – VARAM) izstrādātajā </w:t>
            </w:r>
            <w:bookmarkStart w:id="0" w:name="OLE_LINK1"/>
            <w:bookmarkStart w:id="1" w:name="OLE_LINK2"/>
            <w:r w:rsidRPr="00ED530F">
              <w:t>Rīcības plānā Latgales reģiona izaugsmei 2015.-2017.gadam</w:t>
            </w:r>
            <w:r>
              <w:rPr>
                <w:b/>
              </w:rPr>
              <w:t xml:space="preserve"> </w:t>
            </w:r>
            <w:bookmarkEnd w:id="0"/>
            <w:bookmarkEnd w:id="1"/>
            <w:r w:rsidRPr="004434B7">
              <w:t>(turpmāk – plāns),</w:t>
            </w:r>
            <w:r>
              <w:t xml:space="preserve"> kas 2015.gada 29.aprīlī apstiprināts ar Ministru kabineta rīkojumu Nr.230, ietverts 2.1.pasākums “</w:t>
            </w:r>
            <w:r w:rsidRPr="00031CAA">
              <w:t>Paplašināt Rēzeknes speciālās ekonomiskās zonas teritoriju uz rūpnieciskās apbūves teritorijām Latgales plānošanas reģionā, priekšroku dodot pašvaldību īpašumā esošām teritorijām, saskaņojot izmaiņas ar Eiropas Komisiju”</w:t>
            </w:r>
            <w:r>
              <w:t xml:space="preserve"> (turpmāk – uzdevums). </w:t>
            </w:r>
          </w:p>
          <w:p w:rsidR="00ED530F" w:rsidRDefault="00ED530F" w:rsidP="00ED530F">
            <w:pPr>
              <w:tabs>
                <w:tab w:val="left" w:pos="1134"/>
              </w:tabs>
              <w:jc w:val="both"/>
            </w:pPr>
            <w:r>
              <w:t>Šī uzdevuma mērķis ir piešķirt speciālās ekonomiskās zonas statusu papildus teritorijām Latgales reģionā.</w:t>
            </w:r>
          </w:p>
        </w:tc>
      </w:tr>
      <w:tr w:rsidR="00613CD6" w:rsidTr="001A14C7">
        <w:trPr>
          <w:trHeight w:val="472"/>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tabs>
                <w:tab w:val="left" w:pos="170"/>
              </w:tabs>
              <w:spacing w:before="0" w:after="0"/>
              <w:ind w:right="147"/>
            </w:pPr>
            <w:r>
              <w:t>Pašreizējā situācija un problēmas, kuru risināšanai tiesību akta projekts izstrādāts, tiesiskā regulējuma mērķis un būtība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7B6902" w:rsidRDefault="007B6902" w:rsidP="003B78E5">
            <w:pPr>
              <w:spacing w:after="120" w:line="293" w:lineRule="atLeast"/>
              <w:jc w:val="both"/>
            </w:pPr>
            <w:r>
              <w:rPr>
                <w:b/>
              </w:rPr>
              <w:t>Likuma mērķis:</w:t>
            </w:r>
            <w:r w:rsidR="003B0B26">
              <w:rPr>
                <w:b/>
              </w:rPr>
              <w:t xml:space="preserve"> </w:t>
            </w:r>
            <w:r w:rsidR="003B0B26">
              <w:t>Latgales speciālā</w:t>
            </w:r>
            <w:r w:rsidR="00877411">
              <w:t>s</w:t>
            </w:r>
            <w:r w:rsidR="003B0B26">
              <w:t xml:space="preserve"> ekonomiskā</w:t>
            </w:r>
            <w:r w:rsidR="00F074AE">
              <w:t>s</w:t>
            </w:r>
            <w:r w:rsidR="003B0B26">
              <w:t xml:space="preserve"> zona</w:t>
            </w:r>
            <w:r w:rsidR="00F074AE">
              <w:t>s</w:t>
            </w:r>
            <w:r w:rsidR="00CF17AE">
              <w:t xml:space="preserve"> (turpmāk – Latgales SEZ)</w:t>
            </w:r>
            <w:r w:rsidR="003B0B26">
              <w:t xml:space="preserve"> </w:t>
            </w:r>
            <w:r w:rsidR="001D0BA6">
              <w:t>izveidošanas mērķis ir</w:t>
            </w:r>
            <w:r w:rsidR="003B0B26">
              <w:t xml:space="preserve"> veicināt Latgales reģiona attīstību, piesaistot ieguldījumus ražošanas un infrastruktūras attīstībai un jaunu darba vietu radīšanai.</w:t>
            </w:r>
          </w:p>
          <w:p w:rsidR="00C9047C" w:rsidRDefault="00B447E4" w:rsidP="003B78E5">
            <w:pPr>
              <w:pStyle w:val="naiskr"/>
              <w:spacing w:before="0" w:after="120"/>
              <w:jc w:val="both"/>
            </w:pPr>
            <w:r>
              <w:t>Ņemot vērā Latgales reģiona nelabvēlīgo sociālekonomisko attīstību, paplašināt</w:t>
            </w:r>
            <w:r w:rsidR="009C3212">
              <w:t>ā</w:t>
            </w:r>
            <w:r>
              <w:t xml:space="preserve"> speciālā ekonomiskā zona Latgalē ir atbilstošs risinājums reģiona ekonomiskās situācijas uzlabošanai.</w:t>
            </w:r>
          </w:p>
          <w:p w:rsidR="006541A0" w:rsidRDefault="00D26E36" w:rsidP="003B78E5">
            <w:pPr>
              <w:pStyle w:val="naiskr"/>
              <w:spacing w:before="0" w:after="120"/>
              <w:jc w:val="both"/>
              <w:rPr>
                <w:b/>
              </w:rPr>
            </w:pPr>
            <w:r w:rsidRPr="0098118B">
              <w:rPr>
                <w:b/>
              </w:rPr>
              <w:t>1</w:t>
            </w:r>
            <w:r w:rsidR="006541A0" w:rsidRPr="0098118B">
              <w:rPr>
                <w:b/>
              </w:rPr>
              <w:t>.</w:t>
            </w:r>
            <w:r w:rsidR="006541A0">
              <w:rPr>
                <w:b/>
              </w:rPr>
              <w:t xml:space="preserve"> Latgales speciālās ekonomiskās zonas likuma saturs.</w:t>
            </w:r>
          </w:p>
          <w:p w:rsidR="006541A0" w:rsidRDefault="006541A0" w:rsidP="003B78E5">
            <w:pPr>
              <w:pStyle w:val="naiskr"/>
              <w:spacing w:before="0" w:after="120"/>
              <w:jc w:val="both"/>
              <w:rPr>
                <w:i/>
              </w:rPr>
            </w:pPr>
            <w:r w:rsidRPr="00CF17AE">
              <w:rPr>
                <w:i/>
              </w:rPr>
              <w:t>Likuma I nodaļa</w:t>
            </w:r>
            <w:r>
              <w:rPr>
                <w:i/>
              </w:rPr>
              <w:t xml:space="preserve"> “Vispārīgie noteikumi”</w:t>
            </w:r>
            <w:r w:rsidRPr="00CF17AE">
              <w:rPr>
                <w:i/>
              </w:rPr>
              <w:t>.</w:t>
            </w:r>
          </w:p>
          <w:p w:rsidR="006541A0" w:rsidRDefault="003766E0" w:rsidP="006541A0">
            <w:pPr>
              <w:pStyle w:val="naiskr"/>
              <w:spacing w:before="0" w:after="120"/>
              <w:jc w:val="both"/>
            </w:pPr>
            <w:r w:rsidRPr="00F436C5">
              <w:t>Līgums ar Latgales SEZ uzraudzības padomi</w:t>
            </w:r>
            <w:r w:rsidR="00F436C5">
              <w:t xml:space="preserve"> (tās nolikumā noteiktu pilnvarotu personu)</w:t>
            </w:r>
            <w:r w:rsidR="002447B9" w:rsidRPr="007548C3">
              <w:t xml:space="preserve"> jāslēdz gadījumā, kad komersants vēlas pretendēt uz tiešo nodokļu atvieglojumiem saskaņā ar likumu “Par nodokļu piemērošanu brīvostās un specializētajās ekonomiskajās zonās”. Gadījumā, ja komersants jau darbojas Latgales SEZ teritorijā, pirms tai noteikts SEZ statuss, līgumu ar Latgales SEZ uzraudzības padomi</w:t>
            </w:r>
            <w:r w:rsidR="00F436C5">
              <w:t xml:space="preserve"> (tās nolikumā noteiktu pilnvarotu personu)</w:t>
            </w:r>
            <w:r w:rsidR="002447B9" w:rsidRPr="007548C3">
              <w:t xml:space="preserve"> var slēgt, ja plānots veikt jaunus ieguldījumus, tādējādi pretendējot saņemt tiešo nodokļu atvieglojumus</w:t>
            </w:r>
            <w:r w:rsidR="002447B9">
              <w:t>. Pārējos gadījumos komersantam nav jāslēdz līgums</w:t>
            </w:r>
            <w:r w:rsidR="007B7863">
              <w:t>, lai veiktu komercdarbību Latgales speciālajā ekonomiskajā zonā</w:t>
            </w:r>
            <w:r w:rsidR="00F436C5">
              <w:t>.</w:t>
            </w:r>
            <w:r w:rsidR="002447B9">
              <w:t xml:space="preserve">. </w:t>
            </w:r>
            <w:r w:rsidR="00572238">
              <w:t>Noteikts</w:t>
            </w:r>
            <w:r w:rsidR="002447B9">
              <w:t xml:space="preserve"> arī</w:t>
            </w:r>
            <w:r w:rsidR="00572238">
              <w:t>, ka Latgales SEZ komersantiem jāatrodas un jāveic komercdarbība Latgales SEZ teritorijā, taču tas neizslēdz iespēju, ka komersanta juridiskā adrese atrodas citviet.</w:t>
            </w:r>
          </w:p>
          <w:p w:rsidR="006541A0" w:rsidRDefault="006541A0" w:rsidP="006541A0">
            <w:pPr>
              <w:pStyle w:val="naiskr"/>
              <w:spacing w:before="0" w:after="120"/>
              <w:jc w:val="both"/>
            </w:pPr>
            <w:r>
              <w:t xml:space="preserve">Latgales SEZ teritoriju veido </w:t>
            </w:r>
            <w:r w:rsidR="00572238">
              <w:t xml:space="preserve">publisku personu </w:t>
            </w:r>
            <w:r>
              <w:t>un privātīpašumā esošas teritorijas</w:t>
            </w:r>
            <w:r w:rsidR="00C17A3C">
              <w:t>.</w:t>
            </w:r>
          </w:p>
          <w:p w:rsidR="00CC31F8" w:rsidRDefault="00E265BD" w:rsidP="00E265BD">
            <w:pPr>
              <w:jc w:val="both"/>
              <w:rPr>
                <w:bCs/>
                <w:shd w:val="clear" w:color="auto" w:fill="FFFFFF"/>
              </w:rPr>
            </w:pPr>
            <w:r w:rsidRPr="00EE200A">
              <w:t xml:space="preserve">Latgales speciālās ekonomiskās zonas </w:t>
            </w:r>
            <w:r>
              <w:t>uzraudzības padome</w:t>
            </w:r>
            <w:r w:rsidRPr="00EE200A">
              <w:t>,</w:t>
            </w:r>
            <w:r w:rsidRPr="00845C5E">
              <w:t xml:space="preserve"> ja tas nepieciešams, iznomā </w:t>
            </w:r>
            <w:r>
              <w:t>Latgales</w:t>
            </w:r>
            <w:r w:rsidRPr="00845C5E" w:rsidDel="00322793">
              <w:t xml:space="preserve"> </w:t>
            </w:r>
            <w:r w:rsidRPr="00845C5E">
              <w:t xml:space="preserve">speciālās ekonomiskās zonas </w:t>
            </w:r>
            <w:r>
              <w:t>kapitālsabiedrībām un citiem komersantiem</w:t>
            </w:r>
            <w:r w:rsidRPr="00845C5E">
              <w:t xml:space="preserve"> </w:t>
            </w:r>
            <w:r>
              <w:t>Latgales</w:t>
            </w:r>
            <w:r w:rsidRPr="00845C5E">
              <w:t xml:space="preserve"> speciālās ekonomiskās zonas teritorijā esošo zemi </w:t>
            </w:r>
            <w:r>
              <w:t>un citu nekustamo īpašumu. Attiecībā uz situāciju, kad Latgales SEZ uzraudzības padome iznomā zemi – tiks piemērota  nomas maksa atbilstoši Ministru kabineta 2007.gada 30.oktobra noteikumos</w:t>
            </w:r>
            <w:r w:rsidR="00525FCA">
              <w:t xml:space="preserve"> Nr.735</w:t>
            </w:r>
            <w:r>
              <w:t xml:space="preserve"> “</w:t>
            </w:r>
            <w:r w:rsidRPr="007547F7">
              <w:t>Noteikumi par publiskas personas zemes nomu</w:t>
            </w:r>
            <w:r>
              <w:t xml:space="preserve">” noteiktajam. Šāds modelis nodrošina arī to, ka uz nomātas zemes var tikt veiktas ražošanas aktivitātes. Noma nebūs kā šķērslis, lai veiktu komercdarbību. Kā piemēru var minēt </w:t>
            </w:r>
            <w:r>
              <w:rPr>
                <w:rFonts w:eastAsia="Calibri"/>
              </w:rPr>
              <w:t>Ministru kabineta</w:t>
            </w:r>
            <w:r w:rsidR="00AC2EE2">
              <w:rPr>
                <w:rFonts w:eastAsia="Calibri"/>
              </w:rPr>
              <w:t xml:space="preserve"> 2015.gada 13.oktobra</w:t>
            </w:r>
            <w:r>
              <w:rPr>
                <w:rFonts w:eastAsia="Calibri"/>
              </w:rPr>
              <w:t xml:space="preserve"> </w:t>
            </w:r>
            <w:r>
              <w:rPr>
                <w:rFonts w:eastAsia="Calibri"/>
                <w:bCs/>
              </w:rPr>
              <w:t>noteikumu</w:t>
            </w:r>
            <w:r w:rsidR="00AC2EE2">
              <w:rPr>
                <w:rFonts w:eastAsia="Calibri"/>
                <w:bCs/>
              </w:rPr>
              <w:t>s</w:t>
            </w:r>
            <w:r w:rsidR="007B7863">
              <w:rPr>
                <w:rFonts w:eastAsia="Calibri"/>
                <w:bCs/>
              </w:rPr>
              <w:t xml:space="preserve"> Nr.593 </w:t>
            </w:r>
            <w:r w:rsidRPr="00492DE0">
              <w:rPr>
                <w:rFonts w:eastAsia="Calibri"/>
                <w:bCs/>
              </w:rPr>
              <w:t xml:space="preserve">"Darbības programmas "Izaugsme un nodarbinātība" 3.3.1.specifiskā atbalsta mērķa "Palielināt privāto investīciju apjomu reģionos, veicot ieguldījumus uzņēmējdarbības attīstībai atbilstoši pašvaldību attīstības programmās noteiktajai teritoriju ekonomiskajai specializācijai un balstoties uz </w:t>
            </w:r>
            <w:r w:rsidRPr="00492DE0">
              <w:rPr>
                <w:rFonts w:eastAsia="Calibri"/>
                <w:bCs/>
              </w:rPr>
              <w:lastRenderedPageBreak/>
              <w:t>vietējo uzņēmēju vajadzībām" īstenošanas noteikumi"</w:t>
            </w:r>
            <w:r>
              <w:rPr>
                <w:rFonts w:eastAsia="Calibri"/>
                <w:bCs/>
              </w:rPr>
              <w:t xml:space="preserve"> īstenošanas nosacījumus. Kā arī Ministru kabineta</w:t>
            </w:r>
            <w:r w:rsidR="00AC2EE2">
              <w:rPr>
                <w:rFonts w:eastAsia="Calibri"/>
                <w:bCs/>
              </w:rPr>
              <w:t xml:space="preserve"> 2015.gada 10.novembra </w:t>
            </w:r>
            <w:r>
              <w:rPr>
                <w:rFonts w:eastAsia="Calibri"/>
                <w:bCs/>
              </w:rPr>
              <w:t xml:space="preserve"> noteikumu</w:t>
            </w:r>
            <w:r w:rsidR="00AC2EE2">
              <w:rPr>
                <w:rFonts w:eastAsia="Calibri"/>
                <w:bCs/>
              </w:rPr>
              <w:t>s</w:t>
            </w:r>
            <w:r w:rsidR="007B7863">
              <w:rPr>
                <w:rFonts w:eastAsia="Calibri"/>
                <w:bCs/>
              </w:rPr>
              <w:t xml:space="preserve"> Nr.645</w:t>
            </w:r>
            <w:r w:rsidRPr="00CC1C76">
              <w:rPr>
                <w:rFonts w:eastAsia="Calibri"/>
                <w:bCs/>
              </w:rPr>
              <w:t xml:space="preserve"> "Darbības programmas "Izaugsme un nodarbinātība" 5.6.2.specifiskā atbalsta mērķa "Teritoriju </w:t>
            </w:r>
            <w:proofErr w:type="spellStart"/>
            <w:r w:rsidRPr="00CC1C76">
              <w:rPr>
                <w:rFonts w:eastAsia="Calibri"/>
                <w:bCs/>
              </w:rPr>
              <w:t>revitalizācija</w:t>
            </w:r>
            <w:proofErr w:type="spellEnd"/>
            <w:r w:rsidRPr="00CC1C76">
              <w:rPr>
                <w:rFonts w:eastAsia="Calibri"/>
                <w:bCs/>
              </w:rPr>
              <w:t>, reģenerējot degradētās teritorijas atbilstoši pašvaldību integrētajām attīstības programmām" īstenošanas noteikumi"</w:t>
            </w:r>
            <w:r>
              <w:rPr>
                <w:rFonts w:eastAsia="Calibri"/>
                <w:bCs/>
              </w:rPr>
              <w:t xml:space="preserve"> īstenošanas nosacījumus.</w:t>
            </w:r>
            <w:r w:rsidR="00505391">
              <w:rPr>
                <w:rFonts w:eastAsia="Calibri"/>
                <w:bCs/>
              </w:rPr>
              <w:t xml:space="preserve"> Attiecībā uz citu nekustamo īpašumu nomaksa maksa tiks noteikta atbilstoši </w:t>
            </w:r>
            <w:r w:rsidR="00505391" w:rsidRPr="00F34EEC">
              <w:rPr>
                <w:lang w:eastAsia="ar-SA"/>
              </w:rPr>
              <w:t>Ministru kabineta 2010.gada 8.jūnija noteikumos</w:t>
            </w:r>
            <w:r w:rsidR="00F436C5">
              <w:rPr>
                <w:lang w:eastAsia="ar-SA"/>
              </w:rPr>
              <w:t xml:space="preserve"> </w:t>
            </w:r>
            <w:r w:rsidR="00F436C5">
              <w:t xml:space="preserve">Nr. 515 </w:t>
            </w:r>
            <w:r w:rsidR="00CC31F8" w:rsidRPr="00CC31F8">
              <w:rPr>
                <w:bCs/>
                <w:shd w:val="clear" w:color="auto" w:fill="FFFFFF"/>
              </w:rPr>
              <w:t>“Noteikumi par publiskas personas mantas iznomāšanas kārtību, nomas maksas noteikšanas metodiku un nomas līguma tipveida nosacījumiem”</w:t>
            </w:r>
            <w:r w:rsidR="00CC31F8">
              <w:rPr>
                <w:bCs/>
                <w:shd w:val="clear" w:color="auto" w:fill="FFFFFF"/>
              </w:rPr>
              <w:t>.</w:t>
            </w:r>
          </w:p>
          <w:p w:rsidR="00CC31F8" w:rsidRPr="00CC31F8" w:rsidRDefault="00CC31F8" w:rsidP="00E265BD">
            <w:pPr>
              <w:jc w:val="both"/>
              <w:rPr>
                <w:bCs/>
                <w:lang w:eastAsia="ar-SA"/>
              </w:rPr>
            </w:pPr>
          </w:p>
          <w:p w:rsidR="0004466A" w:rsidRDefault="006541A0" w:rsidP="006541A0">
            <w:pPr>
              <w:pStyle w:val="naiskr"/>
              <w:spacing w:before="0" w:after="120"/>
              <w:jc w:val="both"/>
            </w:pPr>
            <w:r>
              <w:t>Likuma ietvaros noteikti pamatkritēriji</w:t>
            </w:r>
            <w:r w:rsidR="009C3212">
              <w:t>,</w:t>
            </w:r>
            <w:r>
              <w:t xml:space="preserve"> pēc kādiem tiek vērtētas teritorijas, k</w:t>
            </w:r>
            <w:r w:rsidR="009C3212">
              <w:t>urām</w:t>
            </w:r>
            <w:r>
              <w:t xml:space="preserve"> varētu piešķirt SEZ statusu. </w:t>
            </w:r>
            <w:r w:rsidR="0004466A">
              <w:t xml:space="preserve">Galvenie izvirzītie kritēriji ir sekojoši – teritorijas piederība, teritorijas infrastruktūras stāvoklis, </w:t>
            </w:r>
            <w:r w:rsidR="0004466A" w:rsidRPr="005209A4">
              <w:t xml:space="preserve">plānotās investīcijas teritorijas infrastruktūras </w:t>
            </w:r>
            <w:r w:rsidR="0004466A">
              <w:t xml:space="preserve">stāvokļa </w:t>
            </w:r>
            <w:r w:rsidR="0004466A" w:rsidRPr="005209A4">
              <w:t>uzlabošanai</w:t>
            </w:r>
            <w:r w:rsidR="0004466A">
              <w:t>, plānotie rezultāti, teritorijai piešķirot speciālās ekonomiskās zonas statusu. Vienlaikus paredzēts, ka Ministru kabinetam ir tiesības noteikt papildu plānotos rezultātus, teritorijai piešķirot speciālās ekonomiskās zonas statusu.</w:t>
            </w:r>
          </w:p>
          <w:p w:rsidR="00C11C7E" w:rsidRDefault="00505391">
            <w:pPr>
              <w:jc w:val="both"/>
            </w:pPr>
            <w:r>
              <w:t>Likumprojekts nosaka arī, ka Latgales speciālās ekonomiskās zonas komersanti var pretendēt uz tiem paredzētajiem nodokļu atvieglojumiem saistībā ar ieguldījumu veikšanu arī gadījumos, ja attiecīgā Latgales SEZ teritorija pēc izveidošanas zaudē SEZ statusu.</w:t>
            </w:r>
          </w:p>
          <w:p w:rsidR="00C11C7E" w:rsidRDefault="00C11C7E">
            <w:pPr>
              <w:jc w:val="both"/>
            </w:pPr>
          </w:p>
          <w:p w:rsidR="00BE2447" w:rsidRDefault="00BE2447" w:rsidP="006541A0">
            <w:pPr>
              <w:pStyle w:val="naiskr"/>
              <w:spacing w:before="0" w:after="120"/>
              <w:jc w:val="both"/>
            </w:pPr>
            <w:r>
              <w:t xml:space="preserve">Tostarp noteikts, ka šis likums neattiecas uz Rēzeknes SEZ pārvaldīšanas, izmantošanas kārtību, kā arī uz Rēzeknes SEZ teritoriju. Tādējādi Rēzeknes speciālās ekonomiskās zonas likums un </w:t>
            </w:r>
            <w:r w:rsidR="00C605ED">
              <w:t>Latgales SEZ</w:t>
            </w:r>
            <w:r>
              <w:t xml:space="preserve"> likums savstarpēji nerada pretrunas, jo katrs no tiem regulē konkrētās SEZ zonas darbību, u.c. jautājumus.</w:t>
            </w:r>
          </w:p>
          <w:p w:rsidR="006541A0" w:rsidRDefault="006541A0" w:rsidP="002E7511">
            <w:pPr>
              <w:pStyle w:val="naiskr"/>
              <w:spacing w:before="0" w:after="0"/>
              <w:jc w:val="both"/>
              <w:rPr>
                <w:i/>
              </w:rPr>
            </w:pPr>
            <w:r w:rsidRPr="00CF17AE">
              <w:rPr>
                <w:i/>
              </w:rPr>
              <w:t>Likuma II nodaļa</w:t>
            </w:r>
            <w:r w:rsidR="004B1BD2">
              <w:rPr>
                <w:i/>
              </w:rPr>
              <w:t xml:space="preserve"> “Latgales speciālās ekonomiskās zonas pārvalde”</w:t>
            </w:r>
            <w:r w:rsidRPr="00CF17AE">
              <w:rPr>
                <w:i/>
              </w:rPr>
              <w:t>.</w:t>
            </w:r>
          </w:p>
          <w:p w:rsidR="009865A6" w:rsidRDefault="009865A6" w:rsidP="009865A6">
            <w:pPr>
              <w:pStyle w:val="naiskr"/>
              <w:spacing w:before="0" w:after="120"/>
              <w:jc w:val="both"/>
            </w:pPr>
            <w:r>
              <w:t>Latgales SEZ pārvaldība notiek centralizēti ar Latgales plānošanas reģiona starpniecību</w:t>
            </w:r>
            <w:r w:rsidR="00E7413B">
              <w:t>, tas nozīmē, ka Latgales plānošanas reģiona attīstības padome apstiprina Latgales SEZ uzraudzības padomes nolikumu, kas izstrādāts saskaņā ar likumā noteiktajām pārvaldes funkcijām, apstiprina, atceļ un veic izmaiņas uzraudzības padomes sastāvā</w:t>
            </w:r>
            <w:r>
              <w:t>.</w:t>
            </w:r>
            <w:r w:rsidR="009A1CC6">
              <w:t xml:space="preserve"> Uzraudzības padome var uzdot </w:t>
            </w:r>
            <w:r w:rsidR="00DE44BC">
              <w:t>izpildaparātam</w:t>
            </w:r>
            <w:r w:rsidR="008E64E6">
              <w:t xml:space="preserve"> </w:t>
            </w:r>
            <w:r w:rsidR="00D811BB">
              <w:t>un pārvaldniekam</w:t>
            </w:r>
            <w:r w:rsidR="00DE44BC">
              <w:t xml:space="preserve"> veikt citus šajā likumā neminētos uzdevumus.</w:t>
            </w:r>
          </w:p>
          <w:p w:rsidR="00E7413B" w:rsidRDefault="002B044B" w:rsidP="009865A6">
            <w:pPr>
              <w:pStyle w:val="naiskr"/>
              <w:spacing w:before="0" w:after="120"/>
              <w:jc w:val="both"/>
            </w:pPr>
            <w:r>
              <w:t>Latgales SEZ pārvaldes struktūra:</w:t>
            </w:r>
          </w:p>
          <w:p w:rsidR="002B044B" w:rsidRDefault="008E7189" w:rsidP="009865A6">
            <w:pPr>
              <w:pStyle w:val="naiskr"/>
              <w:spacing w:before="0" w:after="120"/>
              <w:jc w:val="both"/>
            </w:pPr>
            <w:r w:rsidRPr="008E7189">
              <w:rPr>
                <w:noProof/>
              </w:rPr>
              <w:pict>
                <v:group id="Group 3" o:spid="_x0000_s1026" style="position:absolute;left:0;text-align:left;margin-left:36.6pt;margin-top:.25pt;width:296.4pt;height:144.05pt;z-index:251659264;mso-height-relative:margin" coordsize="36957,18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">
                  <v:shapetype id="_x0000_t202" coordsize="21600,21600" o:spt="202" path="m,l,21600r21600,l21600,xe">
                    <v:stroke joinstyle="miter"/>
                    <v:path gradientshapeok="t" o:connecttype="rect"/>
                  </v:shapetype>
                  <v:shape id="Text Box 5" o:spid="_x0000_s1027" type="#_x0000_t202" style="position:absolute;left:7633;width:29324;height:27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ghsEA&#10;AADaAAAADwAAAGRycy9kb3ducmV2LnhtbESPQWsCMRSE74X+h/AKvdVsC5V1NYotthQ8VcXzY/NM&#10;gpuXJUnX7b9vBKHHYWa+YRar0XdioJhcYAXPkwoEcRu0Y6PgsP94qkGkjKyxC0wKfinBanl/t8BG&#10;hwt/07DLRhQIpwYV2Jz7RsrUWvKYJqEnLt4pRI+5yGikjngpcN/Jl6qaSo+Oy4LFnt4ttefdj1ew&#10;eTMz09YY7abWzg3j8bQ1n0o9PozrOYhMY/4P39pfWsErXK+UG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xIIbBAAAA2gAAAA8AAAAAAAAAAAAAAAAAmAIAAGRycy9kb3du&#10;cmV2LnhtbFBLBQYAAAAABAAEAPUAAACGAwAAAAA=&#10;" fillcolor="white [3201]" strokeweight=".5pt">
                    <v:textbox>
                      <w:txbxContent>
                        <w:p w:rsidR="00F54855" w:rsidRPr="00E270BE" w:rsidRDefault="00F54855" w:rsidP="002B044B">
                          <w:pPr>
                            <w:jc w:val="center"/>
                          </w:pPr>
                          <w:r w:rsidRPr="00E270BE">
                            <w:rPr>
                              <w:sz w:val="22"/>
                              <w:szCs w:val="22"/>
                            </w:rPr>
                            <w:t>Latgales plānošanas reģiona attīstības padome</w:t>
                          </w:r>
                        </w:p>
                      </w:txbxContent>
                    </v:textbox>
                  </v:shape>
                  <v:shape id="Text Box 6" o:spid="_x0000_s1028" type="#_x0000_t202" style="position:absolute;top:5245;width:12078;height:81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8cAA&#10;AADaAAAADwAAAGRycy9kb3ducmV2LnhtbESPQWsCMRSE74X+h/AEbzVrD7JdjaLFlkJP1dLzY/NM&#10;gpuXJUnX9d83BcHjMDPfMKvN6DsxUEwusIL5rAJB3Abt2Cj4Pr491SBSRtbYBSYFV0qwWT8+rLDR&#10;4cJfNByyEQXCqUEFNue+kTK1ljymWeiJi3cK0WMuMhqpI14K3HfyuaoW0qPjsmCxp1dL7fnw6xXs&#10;d+bFtDVGu6+1c8P4c/o070pNJ+N2CSLTmO/hW/tDK1jA/5VyA+T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SO+8cAAAADaAAAADwAAAAAAAAAAAAAAAACYAgAAZHJzL2Rvd25y&#10;ZXYueG1sUEsFBgAAAAAEAAQA9QAAAIUDAAAAAA==&#10;" fillcolor="white [3201]" strokeweight=".5pt">
                    <v:textbox>
                      <w:txbxContent>
                        <w:p w:rsidR="00F54855" w:rsidRPr="002B044B" w:rsidRDefault="00F54855" w:rsidP="002B044B">
                          <w:pPr>
                            <w:jc w:val="center"/>
                          </w:pPr>
                          <w:r w:rsidRPr="002B044B">
                            <w:rPr>
                              <w:sz w:val="22"/>
                              <w:szCs w:val="22"/>
                            </w:rPr>
                            <w:t>Apstiprina, atceļ, veic izmaiņas uzraudzības padomes sastāvā</w:t>
                          </w:r>
                        </w:p>
                        <w:p w:rsidR="00F54855" w:rsidRDefault="00F54855" w:rsidP="002B044B"/>
                      </w:txbxContent>
                    </v:textbox>
                  </v:shape>
                  <v:shape id="Text Box 9" o:spid="_x0000_s1029" type="#_x0000_t202" style="position:absolute;left:13517;top:5247;width:16300;height:4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8basEA&#10;AADaAAAADwAAAGRycy9kb3ducmV2LnhtbESPQWsCMRSE74X+h/AKvdVse6jrahRbbCl4qornx+aZ&#10;BDcvS5Ku23/fCEKPw8x8wyxWo+/EQDG5wAqeJxUI4jZox0bBYf/xVINIGVljF5gU/FKC1fL+boGN&#10;Dhf+pmGXjSgQTg0qsDn3jZSpteQxTUJPXLxTiB5zkdFIHfFS4L6TL1X1Kj06LgsWe3q31J53P17B&#10;5s3MTFtjtJtaOzeMx9PWfCr1+DCu5yAyjfk/fGt/aQVTuF4pN0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vG2rBAAAA2gAAAA8AAAAAAAAAAAAAAAAAmAIAAGRycy9kb3du&#10;cmV2LnhtbFBLBQYAAAAABAAEAPUAAACGAwAAAAA=&#10;" fillcolor="white [3201]" strokeweight=".5pt">
                    <v:textbox>
                      <w:txbxContent>
                        <w:p w:rsidR="00F54855" w:rsidRPr="002B044B" w:rsidRDefault="00F54855" w:rsidP="002B044B">
                          <w:pPr>
                            <w:jc w:val="center"/>
                          </w:pPr>
                          <w:r w:rsidRPr="002B044B">
                            <w:rPr>
                              <w:sz w:val="22"/>
                              <w:szCs w:val="22"/>
                            </w:rPr>
                            <w:t xml:space="preserve">Apstiprina </w:t>
                          </w:r>
                          <w:r w:rsidRPr="002B044B">
                            <w:rPr>
                              <w:b/>
                              <w:sz w:val="22"/>
                              <w:szCs w:val="22"/>
                            </w:rPr>
                            <w:t>uzraudzības padomes</w:t>
                          </w:r>
                          <w:r w:rsidRPr="002B044B">
                            <w:rPr>
                              <w:sz w:val="22"/>
                              <w:szCs w:val="22"/>
                            </w:rPr>
                            <w:t xml:space="preserve"> nolikumu</w:t>
                          </w:r>
                        </w:p>
                        <w:p w:rsidR="00F54855" w:rsidRDefault="00F54855" w:rsidP="002B044B"/>
                      </w:txbxContent>
                    </v:textbox>
                  </v:shape>
                  <v:shape id="Text Box 10" o:spid="_x0000_s1030" type="#_x0000_t202" style="position:absolute;left:13596;top:12324;width:16213;height:619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F54855" w:rsidRPr="00E270BE" w:rsidRDefault="00F54855" w:rsidP="002B044B">
                          <w:pPr>
                            <w:jc w:val="center"/>
                          </w:pPr>
                          <w:r w:rsidRPr="002B044B">
                            <w:rPr>
                              <w:sz w:val="22"/>
                              <w:szCs w:val="22"/>
                            </w:rPr>
                            <w:t>Uzraudzības padome kontrolē izpildaparāta un pārvaldnieka darbību</w:t>
                          </w:r>
                        </w:p>
                        <w:p w:rsidR="00F54855" w:rsidRDefault="00F54855" w:rsidP="002B044B"/>
                      </w:txbxContent>
                    </v:textbox>
                  </v:shape>
                  <v:shapetype id="_x0000_t32" coordsize="21600,21600" o:spt="32" o:oned="t" path="m,l21600,21600e" filled="f">
                    <v:path arrowok="t" fillok="f" o:connecttype="none"/>
                    <o:lock v:ext="edit" shapetype="t"/>
                  </v:shapetype>
                  <v:shape id="Straight Arrow Connector 11" o:spid="_x0000_s1031" type="#_x0000_t32" style="position:absolute;left:21627;top:2782;width:0;height:270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ZQ1cUAAADaAAAADwAAAGRycy9kb3ducmV2LnhtbESPT2vCQBTE74V+h+UVvJS6qdZo02xE&#10;BPFfL9oKPT6yr0lo9m3Irhq/vSsIPQ4z8xsmnXamFidqXWVZwWs/AkGcW11xoeD7a/EyAeE8ssba&#10;Mim4kINp9viQYqLtmXd02vtCBAi7BBWU3jeJlC4vyaDr24Y4eL+2NeiDbAupWzwHuKnlIIpiabDi&#10;sFBiQ/OS8r/90SiYD8ebw/P6bRnjJ/stD1br0eZHqd5TN/sA4anz/+F7e6UVvMPtSrgBMrs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ZQ1cUAAADaAAAADwAAAAAAAAAA&#10;AAAAAAChAgAAZHJzL2Rvd25yZXYueG1sUEsFBgAAAAAEAAQA+QAAAJMDAAAAAA==&#10;" strokecolor="#4579b8 [3044]">
                    <v:stroke endarrow="block"/>
                  </v:shape>
                  <v:shape id="Straight Arrow Connector 12" o:spid="_x0000_s1032" type="#_x0000_t32" style="position:absolute;left:9700;top:2703;width:11689;height:238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8hMQAAADbAAAADwAAAGRycy9kb3ducmV2LnhtbESPQU/DMAyF70j8h8hI3FgK0zpUlk0I&#10;iQnttnXibBrTVDROSbKt26+fD0jcbL3n9z4vVqPv1ZFi6gIbeJwUoIibYDtuDezr94dnUCkjW+wD&#10;k4EzJVgtb28WWNlw4i0dd7lVEsKpQgMu56HSOjWOPKZJGIhF+w7RY5Y1ttpGPEm47/VTUZTaY8fS&#10;4HCgN0fNz+7gDXzVv3bmytpu4jSU5fnyOd8c1sbc342vL6Ayjfnf/Hf9YQVf6OUXGUAv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jyExAAAANsAAAAPAAAAAAAAAAAA&#10;AAAAAKECAABkcnMvZG93bnJldi54bWxQSwUGAAAAAAQABAD5AAAAkgMAAAAA&#10;" strokecolor="#4579b8 [3044]">
                    <v:stroke endarrow="block"/>
                  </v:shape>
                  <v:shape id="Straight Arrow Connector 14" o:spid="_x0000_s1033" type="#_x0000_t32" style="position:absolute;left:21707;top:10336;width:0;height:198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UnZsEAAADbAAAADwAAAGRycy9kb3ducmV2LnhtbERPS4vCMBC+C/sfwix4EU11fSzVKIsg&#10;Pi++YI9DM7Zlm0lponb/vREEb/PxPWcyq00hblS53LKCbicCQZxYnXOq4HRctL9BOI+ssbBMCv7J&#10;wWz60ZhgrO2d93Q7+FSEEHYxKsi8L2MpXZKRQdexJXHgLrYy6AOsUqkrvIdwU8heFA2lwZxDQ4Yl&#10;zTNK/g5Xo2D+NdqcW+v+cog79lvurdaDza9Szc/6ZwzCU+3f4pd7pcP8Ljx/CQfI6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SdmwQAAANsAAAAPAAAAAAAAAAAAAAAA&#10;AKECAABkcnMvZG93bnJldi54bWxQSwUGAAAAAAQABAD5AAAAjwMAAAAA&#10;" strokecolor="#4579b8 [3044]">
                    <v:stroke endarrow="block"/>
                  </v:shape>
                </v:group>
              </w:pict>
            </w:r>
          </w:p>
          <w:p w:rsidR="002B044B" w:rsidRDefault="002B044B" w:rsidP="009865A6">
            <w:pPr>
              <w:pStyle w:val="naiskr"/>
              <w:spacing w:before="0" w:after="120"/>
              <w:jc w:val="both"/>
            </w:pPr>
          </w:p>
          <w:p w:rsidR="002B044B" w:rsidRDefault="002B044B" w:rsidP="009865A6">
            <w:pPr>
              <w:pStyle w:val="naiskr"/>
              <w:spacing w:before="0" w:after="120"/>
              <w:jc w:val="both"/>
            </w:pPr>
          </w:p>
          <w:p w:rsidR="002B044B" w:rsidRDefault="002B044B" w:rsidP="009865A6">
            <w:pPr>
              <w:pStyle w:val="naiskr"/>
              <w:spacing w:before="0" w:after="120"/>
              <w:jc w:val="both"/>
            </w:pPr>
          </w:p>
          <w:p w:rsidR="002B044B" w:rsidRDefault="002B044B" w:rsidP="009865A6">
            <w:pPr>
              <w:pStyle w:val="naiskr"/>
              <w:spacing w:before="0" w:after="120"/>
              <w:jc w:val="both"/>
            </w:pPr>
          </w:p>
          <w:p w:rsidR="002B044B" w:rsidRDefault="002B044B" w:rsidP="009865A6">
            <w:pPr>
              <w:pStyle w:val="naiskr"/>
              <w:spacing w:before="0" w:after="120"/>
              <w:jc w:val="both"/>
            </w:pPr>
          </w:p>
          <w:p w:rsidR="002B044B" w:rsidRDefault="002B044B" w:rsidP="009865A6">
            <w:pPr>
              <w:pStyle w:val="naiskr"/>
              <w:spacing w:before="0" w:after="120"/>
              <w:jc w:val="both"/>
            </w:pPr>
          </w:p>
          <w:p w:rsidR="0079669A" w:rsidRDefault="0079669A" w:rsidP="00C86A78">
            <w:pPr>
              <w:pStyle w:val="naiskr"/>
              <w:spacing w:before="0" w:after="120"/>
              <w:jc w:val="both"/>
            </w:pPr>
          </w:p>
          <w:p w:rsidR="004F468E" w:rsidRDefault="001D6613" w:rsidP="00C86A78">
            <w:pPr>
              <w:pStyle w:val="naiskr"/>
              <w:spacing w:before="0" w:after="120"/>
              <w:jc w:val="both"/>
            </w:pPr>
            <w:r>
              <w:t>Noteikts, ka Latgales SEZ izpildaparāts (administratīvie darbinieki, speciālisti, piemēram, jurists, tehniskie darbinieki, u.c. pēc nepieciešamības) nodrošina pakalpojumu kompleksu Latgales SEZ ieguldītājiem un komercsabiedrībām.</w:t>
            </w:r>
            <w:r w:rsidR="00AB136F">
              <w:t xml:space="preserve"> </w:t>
            </w:r>
          </w:p>
          <w:p w:rsidR="000C7902" w:rsidRDefault="000C7902" w:rsidP="000C7902">
            <w:pPr>
              <w:spacing w:before="120"/>
              <w:jc w:val="both"/>
            </w:pPr>
            <w:r w:rsidRPr="00DD1893">
              <w:t xml:space="preserve">SEZ komersanti var saņemt likumā “Par nodokļu piemērošanu brīvostās un </w:t>
            </w:r>
            <w:r w:rsidRPr="00DD1893">
              <w:lastRenderedPageBreak/>
              <w:t>speciālajās ekonomiskajās zonās” paredzētos tiešo nodokļu atvieglojumus, kā arī Latgales SEZ uzraudzības padome var noteikt brīvās zonas un to robežas, saskaņojot ar Valsts ieņēmumu dienestu.</w:t>
            </w:r>
          </w:p>
          <w:p w:rsidR="00262AA2" w:rsidRDefault="00262AA2" w:rsidP="000C7902">
            <w:pPr>
              <w:spacing w:before="120"/>
              <w:jc w:val="both"/>
            </w:pPr>
            <w:r>
              <w:t>Viena no Latgales SEZ uzraudzības funkcijām nosaka, ka uzraudzības padome, ja nepieciešams var veidot un pārvaldīt Latgales SEZ komercdarbības atbalsta fondu. Taču sākotnēji Latgales SEZ izveidē nav paredzēts, ka obligāti šāds fon</w:t>
            </w:r>
            <w:r w:rsidR="00D97FBA">
              <w:t>d</w:t>
            </w:r>
            <w:r>
              <w:t>s ir jāizveido.</w:t>
            </w:r>
          </w:p>
          <w:p w:rsidR="000C7902" w:rsidRDefault="00262AA2" w:rsidP="00E11F42">
            <w:pPr>
              <w:spacing w:before="120" w:after="120"/>
              <w:jc w:val="both"/>
            </w:pPr>
            <w:r>
              <w:t>Latgales SEZ budžetu var</w:t>
            </w:r>
            <w:r w:rsidR="00C605ED">
              <w:t xml:space="preserve"> veidot</w:t>
            </w:r>
            <w:r>
              <w:t xml:space="preserve"> ieņēmumi no valsts un pašvaldību budžetiem, </w:t>
            </w:r>
            <w:r w:rsidR="00E11F42">
              <w:t xml:space="preserve">iemaksas no dažādiem fondiem, piemēram, no Komercdarbības atbalsta fonda, ja tāds tiek izveidots, kā arī ieņēmumi, kas gūti Latgales SEZ pārvaldības rezultātā, piemēram, nodrošinot konsultatīvos pakalpojumus, ja tiem tiek noteikta maksa. </w:t>
            </w:r>
          </w:p>
          <w:p w:rsidR="00CD71E6" w:rsidRDefault="00CD71E6" w:rsidP="00E11F42">
            <w:pPr>
              <w:pStyle w:val="naiskr"/>
              <w:spacing w:before="0" w:after="120"/>
              <w:jc w:val="both"/>
            </w:pPr>
            <w:r w:rsidRPr="00F2616E">
              <w:t xml:space="preserve">Attiecībā </w:t>
            </w:r>
            <w:r>
              <w:t xml:space="preserve">uz nomas līgumu slēgšanu par </w:t>
            </w:r>
            <w:r w:rsidR="009A1CC6">
              <w:t xml:space="preserve">publiskas personas īpašumā </w:t>
            </w:r>
            <w:r>
              <w:t xml:space="preserve">esošajiem īpašumiem, noteikts, ka Latgales SEZ </w:t>
            </w:r>
            <w:r w:rsidR="00A77C9C" w:rsidRPr="00DD1893">
              <w:t xml:space="preserve">uzraudzības padome </w:t>
            </w:r>
            <w:r w:rsidR="009A1CC6">
              <w:t>ar attiecīgās personas deleģējumu,</w:t>
            </w:r>
            <w:r>
              <w:t xml:space="preserve"> nomas līgumu nekustamajiem īpašumiem var slēgt </w:t>
            </w:r>
            <w:r w:rsidR="002F6834">
              <w:t>uz laiku, kas nepārsniedz</w:t>
            </w:r>
            <w:r>
              <w:t xml:space="preserve"> 30 gad</w:t>
            </w:r>
            <w:r w:rsidR="002F6834">
              <w:t>us</w:t>
            </w:r>
            <w:r>
              <w:t>. Savukārt pārējo</w:t>
            </w:r>
            <w:r w:rsidR="009A1CC6">
              <w:t>, proti, privātīpašumā esošo</w:t>
            </w:r>
            <w:r>
              <w:t xml:space="preserve"> nekustamo īpašumu noma notiek atbilstoši normatīvajos aktos noteiktajai kārtībai. </w:t>
            </w:r>
          </w:p>
          <w:p w:rsidR="001D0BA6" w:rsidRDefault="001D0BA6" w:rsidP="001D0BA6">
            <w:pPr>
              <w:pStyle w:val="naiskr"/>
              <w:spacing w:before="0" w:after="0"/>
              <w:jc w:val="both"/>
              <w:rPr>
                <w:i/>
              </w:rPr>
            </w:pPr>
            <w:r w:rsidRPr="00CF17AE">
              <w:rPr>
                <w:i/>
              </w:rPr>
              <w:t>Likuma I</w:t>
            </w:r>
            <w:r w:rsidR="009865A6">
              <w:rPr>
                <w:i/>
              </w:rPr>
              <w:t>II</w:t>
            </w:r>
            <w:r w:rsidRPr="00CF17AE">
              <w:rPr>
                <w:i/>
              </w:rPr>
              <w:t xml:space="preserve"> nodaļa</w:t>
            </w:r>
            <w:r>
              <w:rPr>
                <w:i/>
              </w:rPr>
              <w:t xml:space="preserve"> “komercdarbība Latgales speciālās ekonomiskās zonas teritorijā”</w:t>
            </w:r>
            <w:r w:rsidRPr="00CF17AE">
              <w:rPr>
                <w:i/>
              </w:rPr>
              <w:t>.</w:t>
            </w:r>
          </w:p>
          <w:p w:rsidR="009865A6" w:rsidRPr="009865A6" w:rsidRDefault="009865A6" w:rsidP="001D0BA6">
            <w:pPr>
              <w:pStyle w:val="naiskr"/>
              <w:spacing w:before="0" w:after="0"/>
              <w:jc w:val="both"/>
            </w:pPr>
            <w:r w:rsidRPr="009865A6">
              <w:t xml:space="preserve">Nodaļā </w:t>
            </w:r>
            <w:r>
              <w:t xml:space="preserve">ietverts regulējums, ka Latgales SEZ </w:t>
            </w:r>
            <w:r w:rsidR="00A77C9C" w:rsidRPr="00DD1893">
              <w:t>uzraudzības padome</w:t>
            </w:r>
            <w:r>
              <w:t xml:space="preserve"> izsniedz atļauju, kas apliecina, ka komersantam ir tiesības piemērot tiešo nodokļu atvieglojumus, vienlaikus </w:t>
            </w:r>
            <w:r w:rsidR="00A77C9C" w:rsidRPr="00DD1893">
              <w:t>uzraudzības padome</w:t>
            </w:r>
            <w:r>
              <w:t xml:space="preserve"> par atļaujas izsniegšanu informē Valsts ieņēmumu dienestu un attiecīgo pašvaldību. </w:t>
            </w:r>
          </w:p>
          <w:p w:rsidR="006541A0" w:rsidRDefault="006541A0" w:rsidP="00374B86">
            <w:pPr>
              <w:pStyle w:val="naiskr"/>
              <w:spacing w:before="0" w:after="0"/>
              <w:jc w:val="both"/>
              <w:rPr>
                <w:b/>
              </w:rPr>
            </w:pPr>
          </w:p>
          <w:p w:rsidR="00623621" w:rsidRDefault="00623621" w:rsidP="00374B86">
            <w:pPr>
              <w:pStyle w:val="naiskr"/>
              <w:spacing w:before="0" w:after="0"/>
              <w:jc w:val="both"/>
              <w:rPr>
                <w:b/>
              </w:rPr>
            </w:pPr>
            <w:r>
              <w:rPr>
                <w:b/>
              </w:rPr>
              <w:t>2. Potenciālās Latgales reģiona teritorijas, kurās būtu nosakāms SEZ statuss.</w:t>
            </w:r>
          </w:p>
          <w:p w:rsidR="00D10D22" w:rsidRDefault="009865A6" w:rsidP="009865A6">
            <w:pPr>
              <w:spacing w:after="120"/>
              <w:jc w:val="both"/>
            </w:pPr>
            <w:r w:rsidRPr="009865A6">
              <w:t>Likumā nav ietverts pašvaldību saraksts, kuru atsevišķām teritorijām būtu nosakāms SEZ statuss, jo ir paredzēts Ministru kabinetam dot deleģējumu noteikt Latgales SEZ teritoriju. Vienlaikus</w:t>
            </w:r>
            <w:r w:rsidR="00C605ED">
              <w:t xml:space="preserve"> anotācijas</w:t>
            </w:r>
            <w:r w:rsidRPr="009865A6">
              <w:t xml:space="preserve"> </w:t>
            </w:r>
            <w:r w:rsidR="00D10D22">
              <w:t>1</w:t>
            </w:r>
            <w:r w:rsidR="00D10D22" w:rsidRPr="00504631">
              <w:t>.pielikum</w:t>
            </w:r>
            <w:r w:rsidR="00D10D22">
              <w:t>ā</w:t>
            </w:r>
            <w:r w:rsidR="00D10D22" w:rsidRPr="00504631">
              <w:t xml:space="preserve"> </w:t>
            </w:r>
            <w:r w:rsidR="00D10D22">
              <w:t>ietverta informācija par provizorisko pašvaldību sarakstu, kurās varētu atrasties speciālās ekonomiskās zonas teritorija un provizoriskā Latgales SEZ teritorijas platība.</w:t>
            </w:r>
          </w:p>
          <w:p w:rsidR="00026AF8" w:rsidRPr="00DE090A" w:rsidRDefault="009865A6" w:rsidP="00DE090A">
            <w:pPr>
              <w:pStyle w:val="naiskr"/>
              <w:spacing w:before="0" w:after="120"/>
              <w:jc w:val="both"/>
            </w:pPr>
            <w:r>
              <w:t xml:space="preserve">Kā nozīmīgs aspekts likuma ietvaros ir noteikta Latgales SEZ maksimālā teritorijas platība, proti, teritorijas ar SEZ statusu Latgalē nepārsniedz 5% no Latgales reģiona (NUTS 3) teritorijas. </w:t>
            </w:r>
            <w:r w:rsidRPr="0015408D">
              <w:t>Latgales reģiona kopējā platība ir 14 549 km²</w:t>
            </w:r>
            <w:r>
              <w:t>, attiecīgi 5% ir 727,45</w:t>
            </w:r>
            <w:r w:rsidRPr="0015408D">
              <w:t xml:space="preserve"> km²</w:t>
            </w:r>
            <w:r>
              <w:t>.</w:t>
            </w:r>
          </w:p>
          <w:p w:rsidR="002A742E" w:rsidRDefault="00623621" w:rsidP="00374B86">
            <w:pPr>
              <w:pStyle w:val="naiskr"/>
              <w:spacing w:before="0" w:after="0"/>
              <w:jc w:val="both"/>
              <w:rPr>
                <w:b/>
              </w:rPr>
            </w:pPr>
            <w:r>
              <w:rPr>
                <w:b/>
              </w:rPr>
              <w:t>3</w:t>
            </w:r>
            <w:r w:rsidR="00B57716">
              <w:rPr>
                <w:b/>
              </w:rPr>
              <w:t xml:space="preserve">. </w:t>
            </w:r>
            <w:r w:rsidR="003B0B26">
              <w:rPr>
                <w:b/>
              </w:rPr>
              <w:t>S</w:t>
            </w:r>
            <w:r w:rsidR="00D26E36" w:rsidRPr="0098118B">
              <w:rPr>
                <w:b/>
              </w:rPr>
              <w:t>tatistika par</w:t>
            </w:r>
            <w:r w:rsidR="00DE090A">
              <w:rPr>
                <w:b/>
              </w:rPr>
              <w:t xml:space="preserve"> Latgales plānošanas</w:t>
            </w:r>
            <w:r w:rsidR="00D26E36" w:rsidRPr="0098118B">
              <w:rPr>
                <w:b/>
              </w:rPr>
              <w:t xml:space="preserve"> reģionu</w:t>
            </w:r>
            <w:r w:rsidR="00DE090A">
              <w:rPr>
                <w:b/>
              </w:rPr>
              <w:t>.</w:t>
            </w:r>
          </w:p>
          <w:p w:rsidR="00E444AF" w:rsidRDefault="00F14710" w:rsidP="002A742E">
            <w:pPr>
              <w:jc w:val="both"/>
            </w:pPr>
            <w:r>
              <w:t>Iekšzemes kopprodukta</w:t>
            </w:r>
            <w:r w:rsidR="00DE090A">
              <w:t xml:space="preserve"> (IKP)</w:t>
            </w:r>
            <w:r>
              <w:t xml:space="preserve"> dati rāda, ka kopumā Latgales reģionā ir saglabājies izteikti zemāks sociālekonomiskās attīstības līmenis, salīdzinot ar Latvijas vidējiem rādītājiem – IKP uz vienu iedzīvotāju Rīgā ir gandrīz trīs reizes lielāks, bet vidēji Latvijā</w:t>
            </w:r>
            <w:r w:rsidR="00D8214F">
              <w:t xml:space="preserve"> -</w:t>
            </w:r>
            <w:r>
              <w:t xml:space="preserve"> gandrīz divas reizes lielāks</w:t>
            </w:r>
            <w:r w:rsidR="004B1E7B">
              <w:t xml:space="preserve"> nekā Latgales reģionā.</w:t>
            </w:r>
            <w:r>
              <w:t xml:space="preserve"> </w:t>
            </w:r>
          </w:p>
          <w:p w:rsidR="00026AF8" w:rsidRDefault="00026AF8" w:rsidP="002A742E">
            <w:pPr>
              <w:jc w:val="both"/>
            </w:pPr>
          </w:p>
          <w:p w:rsidR="00A80B81" w:rsidRDefault="00A80B81" w:rsidP="002A742E">
            <w:pPr>
              <w:jc w:val="both"/>
            </w:pPr>
          </w:p>
          <w:tbl>
            <w:tblPr>
              <w:tblStyle w:val="LightShading-Accent3"/>
              <w:tblW w:w="5000" w:type="pct"/>
              <w:tblLook w:val="04A0"/>
            </w:tblPr>
            <w:tblGrid>
              <w:gridCol w:w="2308"/>
              <w:gridCol w:w="826"/>
              <w:gridCol w:w="827"/>
              <w:gridCol w:w="827"/>
              <w:gridCol w:w="827"/>
              <w:gridCol w:w="827"/>
              <w:gridCol w:w="1401"/>
            </w:tblGrid>
            <w:tr w:rsidR="00026AF8" w:rsidRPr="00026AF8" w:rsidTr="005249A3">
              <w:trPr>
                <w:cnfStyle w:val="100000000000"/>
                <w:trHeight w:val="300"/>
              </w:trPr>
              <w:tc>
                <w:tcPr>
                  <w:cnfStyle w:val="001000000000"/>
                  <w:tcW w:w="1472" w:type="pct"/>
                  <w:noWrap/>
                  <w:hideMark/>
                </w:tcPr>
                <w:p w:rsidR="00026AF8" w:rsidRPr="00D60344" w:rsidRDefault="00026AF8" w:rsidP="00026AF8">
                  <w:pPr>
                    <w:suppressAutoHyphens w:val="0"/>
                    <w:autoSpaceDN/>
                    <w:textAlignment w:val="auto"/>
                    <w:rPr>
                      <w:color w:val="000000"/>
                      <w:lang w:eastAsia="en-US"/>
                    </w:rPr>
                  </w:pPr>
                </w:p>
              </w:tc>
              <w:tc>
                <w:tcPr>
                  <w:tcW w:w="527" w:type="pct"/>
                  <w:noWrap/>
                  <w:hideMark/>
                </w:tcPr>
                <w:p w:rsidR="00026AF8" w:rsidRPr="00B14F11" w:rsidRDefault="00026AF8" w:rsidP="00026AF8">
                  <w:pPr>
                    <w:suppressAutoHyphens w:val="0"/>
                    <w:autoSpaceDN/>
                    <w:jc w:val="right"/>
                    <w:textAlignment w:val="auto"/>
                    <w:cnfStyle w:val="100000000000"/>
                    <w:rPr>
                      <w:color w:val="000000"/>
                      <w:lang w:eastAsia="en-US"/>
                    </w:rPr>
                  </w:pPr>
                  <w:r w:rsidRPr="00B14F11">
                    <w:rPr>
                      <w:color w:val="000000"/>
                      <w:lang w:eastAsia="en-US"/>
                    </w:rPr>
                    <w:t>2007</w:t>
                  </w:r>
                </w:p>
              </w:tc>
              <w:tc>
                <w:tcPr>
                  <w:tcW w:w="527" w:type="pct"/>
                  <w:noWrap/>
                  <w:hideMark/>
                </w:tcPr>
                <w:p w:rsidR="00026AF8" w:rsidRPr="00B14F11" w:rsidRDefault="00026AF8" w:rsidP="00026AF8">
                  <w:pPr>
                    <w:suppressAutoHyphens w:val="0"/>
                    <w:autoSpaceDN/>
                    <w:jc w:val="right"/>
                    <w:textAlignment w:val="auto"/>
                    <w:cnfStyle w:val="100000000000"/>
                    <w:rPr>
                      <w:color w:val="000000"/>
                      <w:lang w:eastAsia="en-US"/>
                    </w:rPr>
                  </w:pPr>
                  <w:r w:rsidRPr="00B14F11">
                    <w:rPr>
                      <w:color w:val="000000"/>
                      <w:lang w:eastAsia="en-US"/>
                    </w:rPr>
                    <w:t>2008</w:t>
                  </w:r>
                </w:p>
              </w:tc>
              <w:tc>
                <w:tcPr>
                  <w:tcW w:w="527" w:type="pct"/>
                  <w:noWrap/>
                  <w:hideMark/>
                </w:tcPr>
                <w:p w:rsidR="00026AF8" w:rsidRPr="00B14F11" w:rsidRDefault="00026AF8" w:rsidP="00026AF8">
                  <w:pPr>
                    <w:suppressAutoHyphens w:val="0"/>
                    <w:autoSpaceDN/>
                    <w:jc w:val="right"/>
                    <w:textAlignment w:val="auto"/>
                    <w:cnfStyle w:val="100000000000"/>
                    <w:rPr>
                      <w:color w:val="000000"/>
                      <w:lang w:eastAsia="en-US"/>
                    </w:rPr>
                  </w:pPr>
                  <w:r w:rsidRPr="00B14F11">
                    <w:rPr>
                      <w:color w:val="000000"/>
                      <w:lang w:eastAsia="en-US"/>
                    </w:rPr>
                    <w:t>2009</w:t>
                  </w:r>
                </w:p>
              </w:tc>
              <w:tc>
                <w:tcPr>
                  <w:tcW w:w="527" w:type="pct"/>
                  <w:noWrap/>
                  <w:hideMark/>
                </w:tcPr>
                <w:p w:rsidR="00026AF8" w:rsidRPr="00B14F11" w:rsidRDefault="00026AF8" w:rsidP="00026AF8">
                  <w:pPr>
                    <w:suppressAutoHyphens w:val="0"/>
                    <w:autoSpaceDN/>
                    <w:jc w:val="right"/>
                    <w:textAlignment w:val="auto"/>
                    <w:cnfStyle w:val="100000000000"/>
                    <w:rPr>
                      <w:color w:val="000000"/>
                      <w:lang w:eastAsia="en-US"/>
                    </w:rPr>
                  </w:pPr>
                  <w:r w:rsidRPr="00B14F11">
                    <w:rPr>
                      <w:color w:val="000000"/>
                      <w:lang w:eastAsia="en-US"/>
                    </w:rPr>
                    <w:t>2010</w:t>
                  </w:r>
                </w:p>
              </w:tc>
              <w:tc>
                <w:tcPr>
                  <w:tcW w:w="527" w:type="pct"/>
                  <w:noWrap/>
                  <w:hideMark/>
                </w:tcPr>
                <w:p w:rsidR="00026AF8" w:rsidRPr="00B14F11" w:rsidRDefault="00026AF8" w:rsidP="00026AF8">
                  <w:pPr>
                    <w:suppressAutoHyphens w:val="0"/>
                    <w:autoSpaceDN/>
                    <w:jc w:val="right"/>
                    <w:textAlignment w:val="auto"/>
                    <w:cnfStyle w:val="100000000000"/>
                    <w:rPr>
                      <w:color w:val="000000"/>
                      <w:lang w:eastAsia="en-US"/>
                    </w:rPr>
                  </w:pPr>
                  <w:r w:rsidRPr="00B14F11">
                    <w:rPr>
                      <w:color w:val="000000"/>
                      <w:lang w:eastAsia="en-US"/>
                    </w:rPr>
                    <w:t>2011</w:t>
                  </w:r>
                </w:p>
              </w:tc>
              <w:tc>
                <w:tcPr>
                  <w:tcW w:w="893" w:type="pct"/>
                  <w:noWrap/>
                  <w:hideMark/>
                </w:tcPr>
                <w:p w:rsidR="00026AF8" w:rsidRPr="00B14F11" w:rsidRDefault="00026AF8" w:rsidP="00D255B1">
                  <w:pPr>
                    <w:suppressAutoHyphens w:val="0"/>
                    <w:autoSpaceDN/>
                    <w:textAlignment w:val="auto"/>
                    <w:cnfStyle w:val="100000000000"/>
                    <w:rPr>
                      <w:color w:val="000000"/>
                      <w:lang w:eastAsia="en-US"/>
                    </w:rPr>
                  </w:pPr>
                  <w:r w:rsidRPr="00B14F11">
                    <w:rPr>
                      <w:color w:val="000000"/>
                      <w:lang w:eastAsia="en-US"/>
                    </w:rPr>
                    <w:t>2012</w:t>
                  </w:r>
                </w:p>
              </w:tc>
            </w:tr>
            <w:tr w:rsidR="00026AF8" w:rsidRPr="00026AF8" w:rsidTr="005249A3">
              <w:trPr>
                <w:cnfStyle w:val="000000100000"/>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Latvija</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10 239</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11 204</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8 821</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8 662</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9 859</w:t>
                  </w:r>
                </w:p>
              </w:tc>
              <w:tc>
                <w:tcPr>
                  <w:tcW w:w="893"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10 839</w:t>
                  </w:r>
                </w:p>
              </w:tc>
            </w:tr>
            <w:tr w:rsidR="00026AF8" w:rsidRPr="00026AF8" w:rsidTr="005249A3">
              <w:trPr>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Rīga</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17 342</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18 927</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14 612</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14 343</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15 775</w:t>
                  </w:r>
                </w:p>
              </w:tc>
              <w:tc>
                <w:tcPr>
                  <w:tcW w:w="893"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17 790</w:t>
                  </w:r>
                </w:p>
              </w:tc>
            </w:tr>
            <w:tr w:rsidR="00026AF8" w:rsidRPr="00026AF8" w:rsidTr="005249A3">
              <w:trPr>
                <w:cnfStyle w:val="000000100000"/>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Pierīgas reģions</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8 018</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8 658</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6 714</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6 817</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8 078</w:t>
                  </w:r>
                </w:p>
              </w:tc>
              <w:tc>
                <w:tcPr>
                  <w:tcW w:w="893"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8 711</w:t>
                  </w:r>
                </w:p>
              </w:tc>
            </w:tr>
            <w:tr w:rsidR="00026AF8" w:rsidRPr="00026AF8" w:rsidTr="005249A3">
              <w:trPr>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Kurzemes reģions</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8 083</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8 904</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7 057</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6 789</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8 504</w:t>
                  </w:r>
                </w:p>
              </w:tc>
              <w:tc>
                <w:tcPr>
                  <w:tcW w:w="893"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8 586</w:t>
                  </w:r>
                </w:p>
              </w:tc>
            </w:tr>
            <w:tr w:rsidR="00026AF8" w:rsidRPr="00026AF8" w:rsidTr="005249A3">
              <w:trPr>
                <w:cnfStyle w:val="000000100000"/>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Zemgales reģions</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6 328</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7 124</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5 784</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5 840</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6 554</w:t>
                  </w:r>
                </w:p>
              </w:tc>
              <w:tc>
                <w:tcPr>
                  <w:tcW w:w="893"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7 338</w:t>
                  </w:r>
                </w:p>
              </w:tc>
            </w:tr>
            <w:tr w:rsidR="00026AF8" w:rsidRPr="00026AF8" w:rsidTr="005249A3">
              <w:trPr>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t>Vidzemes reģions</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6 676</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6 872</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5 830</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5 651</w:t>
                  </w:r>
                </w:p>
              </w:tc>
              <w:tc>
                <w:tcPr>
                  <w:tcW w:w="527"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6 259</w:t>
                  </w:r>
                </w:p>
              </w:tc>
              <w:tc>
                <w:tcPr>
                  <w:tcW w:w="893" w:type="pct"/>
                  <w:noWrap/>
                  <w:hideMark/>
                </w:tcPr>
                <w:p w:rsidR="00026AF8" w:rsidRPr="00B14F11" w:rsidRDefault="00026AF8" w:rsidP="00026AF8">
                  <w:pPr>
                    <w:suppressAutoHyphens w:val="0"/>
                    <w:autoSpaceDN/>
                    <w:textAlignment w:val="auto"/>
                    <w:cnfStyle w:val="000000000000"/>
                    <w:rPr>
                      <w:color w:val="000000"/>
                      <w:lang w:eastAsia="en-US"/>
                    </w:rPr>
                  </w:pPr>
                  <w:r w:rsidRPr="00B14F11">
                    <w:rPr>
                      <w:color w:val="000000"/>
                      <w:lang w:eastAsia="en-US"/>
                    </w:rPr>
                    <w:t>6 540</w:t>
                  </w:r>
                </w:p>
              </w:tc>
            </w:tr>
            <w:tr w:rsidR="00026AF8" w:rsidRPr="00026AF8" w:rsidTr="005249A3">
              <w:trPr>
                <w:cnfStyle w:val="000000100000"/>
                <w:trHeight w:val="300"/>
              </w:trPr>
              <w:tc>
                <w:tcPr>
                  <w:cnfStyle w:val="001000000000"/>
                  <w:tcW w:w="1472" w:type="pct"/>
                  <w:noWrap/>
                  <w:hideMark/>
                </w:tcPr>
                <w:p w:rsidR="00026AF8" w:rsidRPr="00DE090A" w:rsidRDefault="00026AF8" w:rsidP="00026AF8">
                  <w:pPr>
                    <w:suppressAutoHyphens w:val="0"/>
                    <w:autoSpaceDN/>
                    <w:textAlignment w:val="auto"/>
                    <w:rPr>
                      <w:color w:val="000000"/>
                      <w:lang w:eastAsia="en-US"/>
                    </w:rPr>
                  </w:pPr>
                  <w:r w:rsidRPr="00DE090A">
                    <w:rPr>
                      <w:color w:val="000000"/>
                      <w:lang w:eastAsia="en-US"/>
                    </w:rPr>
                    <w:lastRenderedPageBreak/>
                    <w:t>Latgales reģions</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5 288</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6 014</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4 973</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4 668</w:t>
                  </w:r>
                </w:p>
              </w:tc>
              <w:tc>
                <w:tcPr>
                  <w:tcW w:w="527" w:type="pct"/>
                  <w:noWrap/>
                  <w:hideMark/>
                </w:tcPr>
                <w:p w:rsidR="00026AF8" w:rsidRPr="00B14F11" w:rsidRDefault="00026AF8" w:rsidP="00026AF8">
                  <w:pPr>
                    <w:suppressAutoHyphens w:val="0"/>
                    <w:autoSpaceDN/>
                    <w:textAlignment w:val="auto"/>
                    <w:cnfStyle w:val="000000100000"/>
                    <w:rPr>
                      <w:color w:val="000000"/>
                      <w:lang w:eastAsia="en-US"/>
                    </w:rPr>
                  </w:pPr>
                  <w:r w:rsidRPr="00B14F11">
                    <w:rPr>
                      <w:color w:val="000000"/>
                      <w:lang w:eastAsia="en-US"/>
                    </w:rPr>
                    <w:t>5 599</w:t>
                  </w:r>
                </w:p>
              </w:tc>
              <w:tc>
                <w:tcPr>
                  <w:tcW w:w="893" w:type="pct"/>
                  <w:noWrap/>
                  <w:hideMark/>
                </w:tcPr>
                <w:p w:rsidR="00026AF8" w:rsidRPr="00B14F11" w:rsidRDefault="00D255B1" w:rsidP="00D255B1">
                  <w:pPr>
                    <w:suppressAutoHyphens w:val="0"/>
                    <w:autoSpaceDN/>
                    <w:textAlignment w:val="auto"/>
                    <w:cnfStyle w:val="000000100000"/>
                    <w:rPr>
                      <w:color w:val="000000"/>
                      <w:lang w:eastAsia="en-US"/>
                    </w:rPr>
                  </w:pPr>
                  <w:r w:rsidRPr="00B14F11">
                    <w:rPr>
                      <w:color w:val="000000"/>
                      <w:lang w:eastAsia="en-US"/>
                    </w:rPr>
                    <w:t>6 176</w:t>
                  </w:r>
                </w:p>
              </w:tc>
            </w:tr>
          </w:tbl>
          <w:p w:rsidR="00026AF8" w:rsidRPr="00DE090A" w:rsidRDefault="00026AF8" w:rsidP="00DE090A">
            <w:pPr>
              <w:pStyle w:val="NoSpacing"/>
              <w:rPr>
                <w:i/>
                <w:sz w:val="22"/>
                <w:szCs w:val="22"/>
              </w:rPr>
            </w:pPr>
            <w:r w:rsidRPr="00DE090A">
              <w:rPr>
                <w:i/>
                <w:sz w:val="22"/>
                <w:szCs w:val="22"/>
              </w:rPr>
              <w:t xml:space="preserve">IKP uz vienu iedzīvotāju, EUR. </w:t>
            </w:r>
            <w:r w:rsidR="00DE090A" w:rsidRPr="00DE090A">
              <w:rPr>
                <w:i/>
                <w:sz w:val="22"/>
                <w:szCs w:val="22"/>
              </w:rPr>
              <w:t>Centrālās statistikas pārvaldes</w:t>
            </w:r>
            <w:r w:rsidR="00DE090A">
              <w:rPr>
                <w:i/>
                <w:sz w:val="22"/>
                <w:szCs w:val="22"/>
              </w:rPr>
              <w:t xml:space="preserve"> (CSP)</w:t>
            </w:r>
            <w:r w:rsidRPr="00DE090A">
              <w:rPr>
                <w:i/>
                <w:sz w:val="22"/>
                <w:szCs w:val="22"/>
              </w:rPr>
              <w:t xml:space="preserve"> dati.</w:t>
            </w:r>
          </w:p>
          <w:p w:rsidR="00E444AF" w:rsidRDefault="00E444AF" w:rsidP="002A742E">
            <w:pPr>
              <w:jc w:val="both"/>
            </w:pPr>
          </w:p>
          <w:p w:rsidR="007A582F" w:rsidRDefault="005249A3" w:rsidP="002A742E">
            <w:pPr>
              <w:jc w:val="both"/>
            </w:pPr>
            <w:r>
              <w:t xml:space="preserve">Līdzīga situācija ir novērojama arī </w:t>
            </w:r>
            <w:r w:rsidR="00690DED">
              <w:t xml:space="preserve">attiecībā uz </w:t>
            </w:r>
            <w:r>
              <w:t>bezdarba līmeņ</w:t>
            </w:r>
            <w:r w:rsidR="00690DED">
              <w:t>a rādītājiem</w:t>
            </w:r>
            <w:r>
              <w:t xml:space="preserve">. Ja ekonomiskās krīzes periodā Latgales reģionā bija zemāks bezdarba līmenis nekā </w:t>
            </w:r>
            <w:r w:rsidR="00690DED">
              <w:t xml:space="preserve">vidēji </w:t>
            </w:r>
            <w:r>
              <w:t>Latvijā</w:t>
            </w:r>
            <w:r w:rsidR="00D8214F">
              <w:t>,</w:t>
            </w:r>
            <w:r>
              <w:t xml:space="preserve"> un situācija nodarbinātības ziņā bija labāka nekā atsevišķos reģionos, tad</w:t>
            </w:r>
            <w:r w:rsidR="00690DED">
              <w:t>,</w:t>
            </w:r>
            <w:r>
              <w:t xml:space="preserve"> ekonomiskajai situācijai uzlabojoties</w:t>
            </w:r>
            <w:r w:rsidR="00690DED">
              <w:t>,</w:t>
            </w:r>
            <w:r>
              <w:t xml:space="preserve"> turpmākajos gados Latgales reģionā ekonomiskā attīstība ir bijusi lēnāka nekā pārējos reģionos</w:t>
            </w:r>
            <w:r w:rsidR="00D8214F">
              <w:t>,</w:t>
            </w:r>
            <w:r>
              <w:t xml:space="preserve"> un bezdarba līmenis nav būtiski samazinājies</w:t>
            </w:r>
            <w:r w:rsidR="00D8214F">
              <w:t>.</w:t>
            </w:r>
            <w:r>
              <w:t xml:space="preserve"> 2014 gadā tas bija 12,1 %, kamēr Latvijā vidēji</w:t>
            </w:r>
            <w:r w:rsidR="00690DED">
              <w:t xml:space="preserve"> ir</w:t>
            </w:r>
            <w:r>
              <w:t xml:space="preserve"> 8,3%.</w:t>
            </w:r>
          </w:p>
          <w:p w:rsidR="00DE090A" w:rsidRDefault="00DE090A" w:rsidP="002A742E">
            <w:pPr>
              <w:jc w:val="both"/>
            </w:pPr>
          </w:p>
          <w:tbl>
            <w:tblPr>
              <w:tblStyle w:val="LightShading-Accent6"/>
              <w:tblW w:w="5000" w:type="pct"/>
              <w:tblLook w:val="04A0"/>
            </w:tblPr>
            <w:tblGrid>
              <w:gridCol w:w="1909"/>
              <w:gridCol w:w="656"/>
              <w:gridCol w:w="754"/>
              <w:gridCol w:w="754"/>
              <w:gridCol w:w="754"/>
              <w:gridCol w:w="754"/>
              <w:gridCol w:w="754"/>
              <w:gridCol w:w="755"/>
              <w:gridCol w:w="753"/>
            </w:tblGrid>
            <w:tr w:rsidR="00D255B1" w:rsidRPr="005249A3" w:rsidTr="005249A3">
              <w:trPr>
                <w:cnfStyle w:val="100000000000"/>
                <w:trHeight w:val="300"/>
              </w:trPr>
              <w:tc>
                <w:tcPr>
                  <w:cnfStyle w:val="001000000000"/>
                  <w:tcW w:w="1073" w:type="pct"/>
                  <w:noWrap/>
                  <w:hideMark/>
                </w:tcPr>
                <w:p w:rsidR="005249A3" w:rsidRPr="00D60344" w:rsidRDefault="005249A3" w:rsidP="005249A3">
                  <w:pPr>
                    <w:suppressAutoHyphens w:val="0"/>
                    <w:autoSpaceDN/>
                    <w:textAlignment w:val="auto"/>
                    <w:rPr>
                      <w:color w:val="000000"/>
                      <w:lang w:eastAsia="en-US"/>
                    </w:rPr>
                  </w:pPr>
                </w:p>
              </w:tc>
              <w:tc>
                <w:tcPr>
                  <w:tcW w:w="372"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2007</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2008</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2009</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2010</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2011</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2012</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2013</w:t>
                  </w:r>
                </w:p>
              </w:tc>
              <w:tc>
                <w:tcPr>
                  <w:tcW w:w="508" w:type="pct"/>
                  <w:noWrap/>
                  <w:hideMark/>
                </w:tcPr>
                <w:p w:rsidR="005249A3" w:rsidRPr="00DE090A" w:rsidRDefault="005249A3" w:rsidP="005249A3">
                  <w:pPr>
                    <w:suppressAutoHyphens w:val="0"/>
                    <w:autoSpaceDN/>
                    <w:jc w:val="right"/>
                    <w:textAlignment w:val="auto"/>
                    <w:cnfStyle w:val="100000000000"/>
                    <w:rPr>
                      <w:color w:val="000000"/>
                      <w:lang w:eastAsia="en-US"/>
                    </w:rPr>
                  </w:pPr>
                  <w:r w:rsidRPr="00DE090A">
                    <w:rPr>
                      <w:color w:val="000000"/>
                      <w:lang w:eastAsia="en-US"/>
                    </w:rPr>
                    <w:t>2014</w:t>
                  </w:r>
                </w:p>
              </w:tc>
            </w:tr>
            <w:tr w:rsidR="005249A3" w:rsidRPr="00D255B1" w:rsidTr="005249A3">
              <w:trPr>
                <w:cnfStyle w:val="000000100000"/>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Latvija</w:t>
                  </w:r>
                </w:p>
              </w:tc>
              <w:tc>
                <w:tcPr>
                  <w:tcW w:w="372"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4.5</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6</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13.2</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14.5</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12</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11.4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9</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8.3</w:t>
                  </w:r>
                </w:p>
              </w:tc>
            </w:tr>
            <w:tr w:rsidR="00D255B1" w:rsidRPr="005249A3" w:rsidTr="005249A3">
              <w:trPr>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Pierīgas reģions</w:t>
                  </w:r>
                </w:p>
              </w:tc>
              <w:tc>
                <w:tcPr>
                  <w:tcW w:w="372"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3.6</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4.3</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11.2</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13.1</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10.7</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9.3</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6.4</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6</w:t>
                  </w:r>
                </w:p>
              </w:tc>
            </w:tr>
            <w:tr w:rsidR="005249A3" w:rsidRPr="00D255B1" w:rsidTr="005249A3">
              <w:trPr>
                <w:cnfStyle w:val="000000100000"/>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Rīga</w:t>
                  </w:r>
                </w:p>
              </w:tc>
              <w:tc>
                <w:tcPr>
                  <w:tcW w:w="372"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4.4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6.5</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14.9</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17.3</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13.1</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11.1</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8.4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6.5</w:t>
                  </w:r>
                </w:p>
              </w:tc>
            </w:tr>
            <w:tr w:rsidR="00D255B1" w:rsidRPr="005249A3" w:rsidTr="005249A3">
              <w:trPr>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Kurzemes reģions</w:t>
                  </w:r>
                </w:p>
              </w:tc>
              <w:tc>
                <w:tcPr>
                  <w:tcW w:w="372"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4.1</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4.9</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11</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11.6</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10.7</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9.6</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7.5</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9.4</w:t>
                  </w:r>
                </w:p>
              </w:tc>
            </w:tr>
            <w:tr w:rsidR="005249A3" w:rsidRPr="00D255B1" w:rsidTr="005249A3">
              <w:trPr>
                <w:cnfStyle w:val="000000100000"/>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Zemgales reģions</w:t>
                  </w:r>
                </w:p>
              </w:tc>
              <w:tc>
                <w:tcPr>
                  <w:tcW w:w="372"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4.6</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6</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14.7</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16.4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13.8</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13.2</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11.6</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9.6</w:t>
                  </w:r>
                </w:p>
              </w:tc>
            </w:tr>
            <w:tr w:rsidR="00D255B1" w:rsidRPr="005249A3" w:rsidTr="005249A3">
              <w:trPr>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Vidzemes reģions</w:t>
                  </w:r>
                </w:p>
              </w:tc>
              <w:tc>
                <w:tcPr>
                  <w:tcW w:w="372"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4.8</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7.1</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13.7</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10.8</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8.9</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11.3</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9.5</w:t>
                  </w:r>
                </w:p>
              </w:tc>
              <w:tc>
                <w:tcPr>
                  <w:tcW w:w="508" w:type="pct"/>
                  <w:noWrap/>
                  <w:hideMark/>
                </w:tcPr>
                <w:p w:rsidR="005249A3" w:rsidRPr="00DE090A" w:rsidRDefault="005249A3" w:rsidP="005249A3">
                  <w:pPr>
                    <w:suppressAutoHyphens w:val="0"/>
                    <w:autoSpaceDN/>
                    <w:jc w:val="right"/>
                    <w:textAlignment w:val="auto"/>
                    <w:cnfStyle w:val="000000000000"/>
                    <w:rPr>
                      <w:color w:val="000000"/>
                      <w:lang w:eastAsia="en-US"/>
                    </w:rPr>
                  </w:pPr>
                  <w:r w:rsidRPr="00DE090A">
                    <w:rPr>
                      <w:color w:val="000000"/>
                      <w:lang w:eastAsia="en-US"/>
                    </w:rPr>
                    <w:t>9.8</w:t>
                  </w:r>
                </w:p>
              </w:tc>
            </w:tr>
            <w:tr w:rsidR="005249A3" w:rsidRPr="00D255B1" w:rsidTr="005249A3">
              <w:trPr>
                <w:cnfStyle w:val="000000100000"/>
                <w:trHeight w:val="300"/>
              </w:trPr>
              <w:tc>
                <w:tcPr>
                  <w:cnfStyle w:val="001000000000"/>
                  <w:tcW w:w="1073" w:type="pct"/>
                  <w:noWrap/>
                  <w:hideMark/>
                </w:tcPr>
                <w:p w:rsidR="005249A3" w:rsidRPr="00DE090A" w:rsidRDefault="005249A3" w:rsidP="005249A3">
                  <w:pPr>
                    <w:suppressAutoHyphens w:val="0"/>
                    <w:autoSpaceDN/>
                    <w:textAlignment w:val="auto"/>
                    <w:rPr>
                      <w:color w:val="000000"/>
                      <w:lang w:eastAsia="en-US"/>
                    </w:rPr>
                  </w:pPr>
                  <w:r w:rsidRPr="00DE090A">
                    <w:rPr>
                      <w:color w:val="000000"/>
                      <w:lang w:eastAsia="en-US"/>
                    </w:rPr>
                    <w:t>Latgales reģions</w:t>
                  </w:r>
                </w:p>
              </w:tc>
              <w:tc>
                <w:tcPr>
                  <w:tcW w:w="372"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5.9</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6.8</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12.4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13.4</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13</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14.8</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12.1</w:t>
                  </w:r>
                </w:p>
              </w:tc>
              <w:tc>
                <w:tcPr>
                  <w:tcW w:w="508" w:type="pct"/>
                  <w:noWrap/>
                  <w:hideMark/>
                </w:tcPr>
                <w:p w:rsidR="005249A3" w:rsidRPr="00DE090A" w:rsidRDefault="005249A3" w:rsidP="005249A3">
                  <w:pPr>
                    <w:suppressAutoHyphens w:val="0"/>
                    <w:autoSpaceDN/>
                    <w:jc w:val="right"/>
                    <w:textAlignment w:val="auto"/>
                    <w:cnfStyle w:val="000000100000"/>
                    <w:rPr>
                      <w:color w:val="000000"/>
                      <w:lang w:eastAsia="en-US"/>
                    </w:rPr>
                  </w:pPr>
                  <w:r w:rsidRPr="00DE090A">
                    <w:rPr>
                      <w:color w:val="000000"/>
                      <w:lang w:eastAsia="en-US"/>
                    </w:rPr>
                    <w:t>12.1</w:t>
                  </w:r>
                </w:p>
              </w:tc>
            </w:tr>
          </w:tbl>
          <w:p w:rsidR="005249A3" w:rsidRPr="00DE090A" w:rsidRDefault="005249A3" w:rsidP="00DE090A">
            <w:pPr>
              <w:jc w:val="both"/>
              <w:rPr>
                <w:i/>
              </w:rPr>
            </w:pPr>
            <w:r w:rsidRPr="00DE090A">
              <w:rPr>
                <w:i/>
              </w:rPr>
              <w:t>Bezdarba līmenis, %, 15-64 iedzīvotāju</w:t>
            </w:r>
            <w:r w:rsidR="00690DED">
              <w:rPr>
                <w:i/>
              </w:rPr>
              <w:t xml:space="preserve"> vecuma</w:t>
            </w:r>
            <w:r w:rsidRPr="00DE090A">
              <w:rPr>
                <w:i/>
              </w:rPr>
              <w:t xml:space="preserve"> grupā. </w:t>
            </w:r>
            <w:r w:rsidR="00DE090A">
              <w:rPr>
                <w:i/>
                <w:sz w:val="22"/>
                <w:szCs w:val="22"/>
              </w:rPr>
              <w:t>CSP</w:t>
            </w:r>
            <w:r w:rsidR="00DE090A" w:rsidRPr="00DE090A">
              <w:rPr>
                <w:i/>
                <w:sz w:val="22"/>
                <w:szCs w:val="22"/>
              </w:rPr>
              <w:t xml:space="preserve"> dati.</w:t>
            </w:r>
          </w:p>
          <w:p w:rsidR="005249A3" w:rsidRDefault="005249A3" w:rsidP="002A742E">
            <w:pPr>
              <w:jc w:val="both"/>
            </w:pPr>
          </w:p>
          <w:p w:rsidR="00D255B1" w:rsidRDefault="00D255B1" w:rsidP="002A742E">
            <w:pPr>
              <w:jc w:val="both"/>
              <w:rPr>
                <w:u w:val="single"/>
              </w:rPr>
            </w:pPr>
            <w:r w:rsidRPr="00DE090A">
              <w:rPr>
                <w:u w:val="single"/>
              </w:rPr>
              <w:t>Tajā pašā laikā uzņēmējdarbības rādītāji liecina, ka Latgales reģionā ir potenciāls ekonomiskajai attīstībai, uzņēmējdarbības rādītāji norāda uz ekonomiska izrāviena iespējām, kuru varētu veicināt speciālo ekonomisko zonu noteikšana Latgalē.</w:t>
            </w:r>
          </w:p>
          <w:p w:rsidR="008E722E" w:rsidRDefault="008E722E" w:rsidP="002A742E">
            <w:pPr>
              <w:jc w:val="both"/>
              <w:rPr>
                <w:u w:val="single"/>
              </w:rPr>
            </w:pPr>
          </w:p>
          <w:p w:rsidR="002A742E" w:rsidRDefault="00DE090A" w:rsidP="002A742E">
            <w:pPr>
              <w:jc w:val="both"/>
            </w:pPr>
            <w:r>
              <w:t>CSP</w:t>
            </w:r>
            <w:r w:rsidR="002A742E">
              <w:t xml:space="preserve"> dati</w:t>
            </w:r>
            <w:r w:rsidR="002A742E" w:rsidRPr="00385EBF">
              <w:t xml:space="preserve"> rāda,</w:t>
            </w:r>
            <w:r w:rsidR="002A742E">
              <w:t xml:space="preserve"> ka nefinanšu investīcijas (2013.g.salīdzināmās cenās) 2013</w:t>
            </w:r>
            <w:r w:rsidR="002A742E" w:rsidRPr="00385EBF">
              <w:t>.g</w:t>
            </w:r>
            <w:r w:rsidR="00AA66F6">
              <w:t>adā,</w:t>
            </w:r>
            <w:r w:rsidR="002A742E" w:rsidRPr="00385EBF">
              <w:t xml:space="preserve"> salīdzinot ar</w:t>
            </w:r>
            <w:r w:rsidR="002A742E">
              <w:t xml:space="preserve"> 2012</w:t>
            </w:r>
            <w:r w:rsidR="002A742E" w:rsidRPr="00385EBF">
              <w:t>.g</w:t>
            </w:r>
            <w:r w:rsidR="00AA66F6">
              <w:t>adu,</w:t>
            </w:r>
            <w:r w:rsidR="002A742E">
              <w:t xml:space="preserve"> pieauga tikai Zemgales reģionā (4%) un Latgales reģionā (33%). Lai arī Latgales reģions atpaliek no pārējiem reģioniem, nefinanšu investīcijas pēckrīzes periodā stabili pieaug (skat. 1.attēlu).</w:t>
            </w:r>
          </w:p>
          <w:p w:rsidR="002A742E" w:rsidRPr="00385EBF" w:rsidRDefault="002A742E" w:rsidP="002A742E">
            <w:pPr>
              <w:jc w:val="both"/>
            </w:pPr>
          </w:p>
          <w:p w:rsidR="002A742E" w:rsidRPr="00385EBF" w:rsidRDefault="002A742E" w:rsidP="002A742E">
            <w:pPr>
              <w:widowControl w:val="0"/>
              <w:rPr>
                <w:sz w:val="28"/>
                <w:szCs w:val="28"/>
              </w:rPr>
            </w:pPr>
            <w:r w:rsidRPr="00881F6B">
              <w:rPr>
                <w:noProof/>
                <w:sz w:val="28"/>
                <w:szCs w:val="28"/>
                <w:lang w:val="en-US" w:eastAsia="en-US"/>
              </w:rPr>
              <w:drawing>
                <wp:inline distT="0" distB="0" distL="0" distR="0">
                  <wp:extent cx="4921440" cy="2763671"/>
                  <wp:effectExtent l="19050" t="0" r="1251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A742E" w:rsidRPr="00DE090A" w:rsidRDefault="002A742E" w:rsidP="00DE090A">
            <w:pPr>
              <w:jc w:val="both"/>
            </w:pPr>
            <w:r w:rsidRPr="00DE090A">
              <w:rPr>
                <w:i/>
                <w:iCs/>
                <w:sz w:val="22"/>
                <w:szCs w:val="22"/>
              </w:rPr>
              <w:t xml:space="preserve">Nefinanšu investīcijas uz 1 iedz. EUR (2013.g. salīdzināmās cenās). </w:t>
            </w:r>
            <w:r w:rsidR="00DE090A">
              <w:rPr>
                <w:i/>
                <w:sz w:val="22"/>
                <w:szCs w:val="22"/>
              </w:rPr>
              <w:t>CSP</w:t>
            </w:r>
            <w:r w:rsidR="00DE090A" w:rsidRPr="00DE090A">
              <w:rPr>
                <w:i/>
                <w:sz w:val="22"/>
                <w:szCs w:val="22"/>
              </w:rPr>
              <w:t xml:space="preserve"> dati, </w:t>
            </w:r>
            <w:r w:rsidRPr="00DE090A">
              <w:rPr>
                <w:i/>
                <w:iCs/>
                <w:sz w:val="22"/>
                <w:szCs w:val="22"/>
              </w:rPr>
              <w:t>VARAM aprēķins</w:t>
            </w:r>
          </w:p>
          <w:p w:rsidR="002A742E" w:rsidRDefault="002A742E" w:rsidP="00374B86">
            <w:pPr>
              <w:pStyle w:val="naiskr"/>
              <w:spacing w:before="0" w:after="0"/>
              <w:jc w:val="both"/>
              <w:rPr>
                <w:b/>
              </w:rPr>
            </w:pPr>
          </w:p>
          <w:p w:rsidR="00D255B1" w:rsidRDefault="00D255B1" w:rsidP="00D255B1">
            <w:pPr>
              <w:jc w:val="both"/>
            </w:pPr>
            <w:r>
              <w:t xml:space="preserve">CSP dati rāda, ka </w:t>
            </w:r>
            <w:r w:rsidR="00690DED">
              <w:t xml:space="preserve">ir </w:t>
            </w:r>
            <w:r>
              <w:t xml:space="preserve">pieaudzis arī ekonomiski aktīvo individuālo komersantu un </w:t>
            </w:r>
            <w:r>
              <w:lastRenderedPageBreak/>
              <w:t xml:space="preserve">komercsabiedrību skaits, kas liecina par uzņēmējdarbības vides uzlabošanos (2013.gadā </w:t>
            </w:r>
            <w:r w:rsidRPr="00E127DE">
              <w:t>6296</w:t>
            </w:r>
            <w:r>
              <w:t xml:space="preserve"> uzņēmumi, 2012.gadā 6051 uzņēmums). </w:t>
            </w:r>
            <w:r w:rsidR="00DE090A">
              <w:t>S</w:t>
            </w:r>
            <w:r>
              <w:t>tatistikas dati laika dinamikā norāda uz pakāpenisku uzņēmējdarbības aktivitātes palielināšanos Latgales reģionā</w:t>
            </w:r>
            <w:r w:rsidR="00DE090A">
              <w:t>.</w:t>
            </w:r>
          </w:p>
          <w:p w:rsidR="00D255B1" w:rsidRPr="00E127DE" w:rsidRDefault="00D255B1" w:rsidP="00D255B1">
            <w:pPr>
              <w:jc w:val="both"/>
            </w:pPr>
          </w:p>
          <w:p w:rsidR="00D255B1" w:rsidRPr="00E127DE" w:rsidRDefault="00D255B1" w:rsidP="00D255B1">
            <w:pPr>
              <w:jc w:val="center"/>
            </w:pPr>
            <w:r w:rsidRPr="00E127DE">
              <w:rPr>
                <w:noProof/>
                <w:lang w:val="en-US" w:eastAsia="en-US"/>
              </w:rPr>
              <w:drawing>
                <wp:inline distT="0" distB="0" distL="0" distR="0">
                  <wp:extent cx="4600717" cy="2183481"/>
                  <wp:effectExtent l="19050" t="0" r="28433" b="7269"/>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5B1" w:rsidRPr="00DE090A" w:rsidRDefault="00D255B1" w:rsidP="00DE090A">
            <w:pPr>
              <w:rPr>
                <w:i/>
                <w:vertAlign w:val="superscript"/>
              </w:rPr>
            </w:pPr>
            <w:r w:rsidRPr="00DE090A">
              <w:rPr>
                <w:i/>
                <w:sz w:val="22"/>
                <w:szCs w:val="22"/>
              </w:rPr>
              <w:t>Ekonomiski aktīvo uzņēmumu skaita uz 1000 iedz. dinamika Latgales reģionā. CSP dati, VARAM aprēķins</w:t>
            </w:r>
          </w:p>
          <w:p w:rsidR="00AC744F" w:rsidRDefault="00AC744F" w:rsidP="00AC744F">
            <w:pPr>
              <w:jc w:val="both"/>
            </w:pPr>
          </w:p>
          <w:p w:rsidR="005F13EC" w:rsidRDefault="00A515DD" w:rsidP="005F13EC">
            <w:pPr>
              <w:pStyle w:val="naiskr"/>
              <w:spacing w:before="0" w:after="0"/>
              <w:jc w:val="both"/>
              <w:rPr>
                <w:b/>
              </w:rPr>
            </w:pPr>
            <w:r>
              <w:rPr>
                <w:b/>
              </w:rPr>
              <w:t>4</w:t>
            </w:r>
            <w:r w:rsidR="005F13EC">
              <w:rPr>
                <w:b/>
              </w:rPr>
              <w:t xml:space="preserve">. </w:t>
            </w:r>
            <w:r w:rsidR="003B0B26">
              <w:rPr>
                <w:b/>
              </w:rPr>
              <w:t>C</w:t>
            </w:r>
            <w:r w:rsidR="0098118B" w:rsidRPr="0098118B">
              <w:rPr>
                <w:b/>
              </w:rPr>
              <w:t>itu valstu</w:t>
            </w:r>
            <w:r w:rsidR="005F13EC">
              <w:rPr>
                <w:b/>
              </w:rPr>
              <w:t xml:space="preserve"> pieredze</w:t>
            </w:r>
            <w:r w:rsidR="0098118B" w:rsidRPr="0098118B">
              <w:rPr>
                <w:b/>
              </w:rPr>
              <w:t xml:space="preserve"> </w:t>
            </w:r>
            <w:r w:rsidR="008E722E">
              <w:rPr>
                <w:b/>
              </w:rPr>
              <w:t>speciālo ekonomisko zonu izveidē.</w:t>
            </w:r>
          </w:p>
          <w:p w:rsidR="005F13EC" w:rsidRDefault="0014576B" w:rsidP="005F13EC">
            <w:pPr>
              <w:pStyle w:val="naiskr"/>
              <w:spacing w:before="0" w:after="0"/>
              <w:jc w:val="both"/>
            </w:pPr>
            <w:r>
              <w:t>Pasaulē speciālo ekonomisko zonu attīstība pēdējos gados ir notikusi ļoti strauji, šobrīd vairāk nekā 130 valstīs ir dažāda veida ekonomisk</w:t>
            </w:r>
            <w:r w:rsidR="00501348">
              <w:t>ās zonas</w:t>
            </w:r>
            <w:r w:rsidR="003F565C">
              <w:rPr>
                <w:rStyle w:val="FootnoteReference"/>
              </w:rPr>
              <w:footnoteReference w:id="1"/>
            </w:r>
            <w:r w:rsidR="00501348">
              <w:t>, ir izveidota pasaules speciālo ekonomisko zonu asociācija</w:t>
            </w:r>
            <w:r w:rsidR="003F565C">
              <w:rPr>
                <w:rStyle w:val="FootnoteReference"/>
              </w:rPr>
              <w:footnoteReference w:id="2"/>
            </w:r>
            <w:r w:rsidR="00EE7A00">
              <w:t xml:space="preserve">, katru gadu </w:t>
            </w:r>
            <w:proofErr w:type="spellStart"/>
            <w:r w:rsidR="00EE7A00">
              <w:t>Financial</w:t>
            </w:r>
            <w:proofErr w:type="spellEnd"/>
            <w:r w:rsidR="00EE7A00">
              <w:t xml:space="preserve"> </w:t>
            </w:r>
            <w:proofErr w:type="spellStart"/>
            <w:r w:rsidR="00EE7A00">
              <w:t>Times</w:t>
            </w:r>
            <w:proofErr w:type="spellEnd"/>
            <w:r w:rsidR="00EE7A00">
              <w:t xml:space="preserve"> paziņo labākās speciālās ekonomiskās zonas pasaulē dažādās kategorijās</w:t>
            </w:r>
            <w:r w:rsidR="00EE7A00">
              <w:rPr>
                <w:rStyle w:val="FootnoteReference"/>
              </w:rPr>
              <w:footnoteReference w:id="3"/>
            </w:r>
            <w:r>
              <w:t xml:space="preserve"> Ņemot vērā SEZ ekspansīvo attīstību mūsdienās</w:t>
            </w:r>
            <w:r w:rsidR="008E722E">
              <w:t>,</w:t>
            </w:r>
            <w:r>
              <w:t xml:space="preserve"> var izšķirt vairākus ekonomisko zonu veidus, termini „speciālā ekonomiskās zona”, „brīvā ekonomiskās zona”, u.c. tiek lietoti brīvi, daudzviet neakcentējot atšķirības</w:t>
            </w:r>
            <w:r w:rsidR="00501348">
              <w:t>,</w:t>
            </w:r>
            <w:r>
              <w:t xml:space="preserve"> tādejādi radot priekšstatu, ka runa ir par vienu un to pašu. Var izšķirt šādus ekonomisko zonu veidus</w:t>
            </w:r>
            <w:r w:rsidR="003F565C">
              <w:rPr>
                <w:rStyle w:val="FootnoteReference"/>
              </w:rPr>
              <w:footnoteReference w:id="4"/>
            </w:r>
            <w:r>
              <w:t>:</w:t>
            </w:r>
          </w:p>
          <w:p w:rsidR="0014576B" w:rsidRPr="008E722E" w:rsidRDefault="008E722E" w:rsidP="008E722E">
            <w:pPr>
              <w:pStyle w:val="naiskr"/>
              <w:numPr>
                <w:ilvl w:val="0"/>
                <w:numId w:val="7"/>
              </w:numPr>
              <w:spacing w:before="0" w:after="0"/>
              <w:ind w:left="317" w:hanging="284"/>
              <w:jc w:val="both"/>
            </w:pPr>
            <w:r>
              <w:t>b</w:t>
            </w:r>
            <w:r w:rsidR="0014576B" w:rsidRPr="008E722E">
              <w:t>rīvās tirdzniecības zonas</w:t>
            </w:r>
            <w:r>
              <w:t xml:space="preserve"> - n</w:t>
            </w:r>
            <w:r w:rsidR="0014576B" w:rsidRPr="008E722E">
              <w:t>orobežotas teritorijas, kas izveidotas ar mēr</w:t>
            </w:r>
            <w:r w:rsidR="00B86011" w:rsidRPr="008E722E">
              <w:t>ķi, lai veicinātu tirdzniecību, piemērojot atvieglotus muitas noteikumus preču ievešanai un glabāša</w:t>
            </w:r>
            <w:r w:rsidR="00553A01" w:rsidRPr="008E722E">
              <w:t>nai. Piemēram, Rēzeknes speciālajā ekonomiskajā</w:t>
            </w:r>
            <w:r w:rsidR="00B86011" w:rsidRPr="008E722E">
              <w:t xml:space="preserve"> zonā</w:t>
            </w:r>
            <w:r w:rsidR="00501348" w:rsidRPr="008E722E">
              <w:t xml:space="preserve"> 2014.gadā bija</w:t>
            </w:r>
            <w:r w:rsidR="00B86011" w:rsidRPr="008E722E">
              <w:t xml:space="preserve"> viena šāda zona</w:t>
            </w:r>
            <w:r w:rsidR="00B86011" w:rsidRPr="008E722E">
              <w:rPr>
                <w:rStyle w:val="FootnoteReference"/>
              </w:rPr>
              <w:footnoteReference w:id="5"/>
            </w:r>
            <w:r>
              <w:t>;</w:t>
            </w:r>
            <w:r w:rsidR="00501348" w:rsidRPr="008E722E">
              <w:t xml:space="preserve"> </w:t>
            </w:r>
          </w:p>
          <w:p w:rsidR="00501348" w:rsidRPr="008E722E" w:rsidRDefault="008E722E" w:rsidP="008E722E">
            <w:pPr>
              <w:pStyle w:val="naiskr"/>
              <w:numPr>
                <w:ilvl w:val="0"/>
                <w:numId w:val="7"/>
              </w:numPr>
              <w:spacing w:before="0" w:after="0"/>
              <w:ind w:left="317" w:hanging="284"/>
              <w:jc w:val="both"/>
            </w:pPr>
            <w:r>
              <w:t>e</w:t>
            </w:r>
            <w:r w:rsidR="00501348" w:rsidRPr="008E722E">
              <w:t>ksporta zonas</w:t>
            </w:r>
            <w:r>
              <w:t xml:space="preserve"> -</w:t>
            </w:r>
            <w:r w:rsidR="00501348" w:rsidRPr="008E722E">
              <w:t xml:space="preserve"> industriālas zonas, kuras ir izveidotas ar specifisku mērķi, lai piesaistītu investīcijas uz eksporta orientētu preču ražošanai</w:t>
            </w:r>
            <w:r>
              <w:t>;</w:t>
            </w:r>
          </w:p>
          <w:p w:rsidR="009072F3" w:rsidRPr="008E722E" w:rsidRDefault="008E722E" w:rsidP="008E722E">
            <w:pPr>
              <w:pStyle w:val="naiskr"/>
              <w:numPr>
                <w:ilvl w:val="0"/>
                <w:numId w:val="7"/>
              </w:numPr>
              <w:spacing w:before="0" w:after="0"/>
              <w:ind w:left="317" w:hanging="284"/>
              <w:jc w:val="both"/>
            </w:pPr>
            <w:r>
              <w:t>s</w:t>
            </w:r>
            <w:r w:rsidR="00501348" w:rsidRPr="008E722E">
              <w:t>peciālās investīciju zonas</w:t>
            </w:r>
            <w:r>
              <w:t xml:space="preserve"> -</w:t>
            </w:r>
            <w:r w:rsidR="00501348" w:rsidRPr="008E722E">
              <w:t xml:space="preserve"> šādas zonas ir izveidotas atsevišķiem ekonomikas sektoriem, lai veicināt</w:t>
            </w:r>
            <w:r>
              <w:t>u</w:t>
            </w:r>
            <w:r w:rsidR="00501348" w:rsidRPr="008E722E">
              <w:t xml:space="preserve"> to attīstību, tajās ietilpst, piemēram, tehnoloģiju un industriālie parki, loģistikas parki un lidostu teritorijas</w:t>
            </w:r>
            <w:r>
              <w:t>;</w:t>
            </w:r>
          </w:p>
          <w:p w:rsidR="001F4A17" w:rsidRDefault="008E722E" w:rsidP="00AC744F">
            <w:pPr>
              <w:pStyle w:val="naiskr"/>
              <w:numPr>
                <w:ilvl w:val="0"/>
                <w:numId w:val="7"/>
              </w:numPr>
              <w:spacing w:before="0" w:after="120"/>
              <w:ind w:left="317" w:hanging="284"/>
              <w:jc w:val="both"/>
            </w:pPr>
            <w:r>
              <w:t>s</w:t>
            </w:r>
            <w:r w:rsidR="009072F3" w:rsidRPr="008E722E">
              <w:t>peciālās ekonomiskās zonas</w:t>
            </w:r>
            <w:r>
              <w:t xml:space="preserve"> -</w:t>
            </w:r>
            <w:r w:rsidR="009072F3" w:rsidRPr="008E722E">
              <w:t xml:space="preserve"> plašākas</w:t>
            </w:r>
            <w:r w:rsidR="009072F3">
              <w:t xml:space="preserve"> teritorijas, kuras aptver vairākus ekonomikas sektorus un nav noteikts uzsvars uz iekšējo vai ārējo tirgu, to teritorija var ietvert atsevišķas pilsētas vai pat vairākas administratīvās teritorijas vienlaicīgi, šajās zonās tiek piedāvāts plašs atbalsta klāsts komersantiem, zonās tiek pieļauta iedzīvotāju patstāvīga uzturēšanās </w:t>
            </w:r>
            <w:r w:rsidR="009072F3" w:rsidRPr="00F12D68">
              <w:rPr>
                <w:i/>
              </w:rPr>
              <w:t>(</w:t>
            </w:r>
            <w:proofErr w:type="spellStart"/>
            <w:r w:rsidR="009072F3" w:rsidRPr="00F12D68">
              <w:rPr>
                <w:i/>
              </w:rPr>
              <w:t>on-site</w:t>
            </w:r>
            <w:proofErr w:type="spellEnd"/>
            <w:r w:rsidR="009072F3" w:rsidRPr="00F12D68">
              <w:rPr>
                <w:i/>
              </w:rPr>
              <w:t xml:space="preserve"> </w:t>
            </w:r>
            <w:proofErr w:type="spellStart"/>
            <w:r w:rsidR="009072F3" w:rsidRPr="00F12D68">
              <w:rPr>
                <w:i/>
              </w:rPr>
              <w:lastRenderedPageBreak/>
              <w:t>residence</w:t>
            </w:r>
            <w:proofErr w:type="spellEnd"/>
            <w:r w:rsidR="009072F3" w:rsidRPr="00F12D68">
              <w:rPr>
                <w:i/>
              </w:rPr>
              <w:t>)</w:t>
            </w:r>
            <w:r w:rsidR="009072F3">
              <w:t>.</w:t>
            </w:r>
            <w:r w:rsidR="00501348">
              <w:t xml:space="preserve"> </w:t>
            </w:r>
            <w:r w:rsidR="001A14C7">
              <w:t>Speciālās ekonomiskās zonas var iekļaut vairākas no augstākminētajām zonām.</w:t>
            </w:r>
          </w:p>
          <w:p w:rsidR="00FD6162" w:rsidRDefault="00553A01" w:rsidP="00AC744F">
            <w:pPr>
              <w:pStyle w:val="naiskr"/>
              <w:spacing w:before="0" w:after="120"/>
              <w:jc w:val="both"/>
            </w:pPr>
            <w:r>
              <w:t>Speciālajām zonām identiskas zonas Latvijas kaimiņvalstīs ir</w:t>
            </w:r>
            <w:r w:rsidR="001F4A17">
              <w:t xml:space="preserve"> veiksmīgi</w:t>
            </w:r>
            <w:r>
              <w:t xml:space="preserve"> attīstījušās Polijā, kur pašlaik ir 14 speciālās ekonomiskās zonas</w:t>
            </w:r>
            <w:r w:rsidR="001F4A17">
              <w:t xml:space="preserve">, </w:t>
            </w:r>
            <w:r w:rsidR="00AC744F">
              <w:t>tās</w:t>
            </w:r>
            <w:r w:rsidR="001F4A17">
              <w:t xml:space="preserve"> ir piesaistījušas</w:t>
            </w:r>
            <w:r w:rsidR="00704161">
              <w:t xml:space="preserve"> vairāk kā</w:t>
            </w:r>
            <w:r w:rsidR="001F4A17">
              <w:t xml:space="preserve"> 20 miljardu </w:t>
            </w:r>
            <w:proofErr w:type="spellStart"/>
            <w:r w:rsidR="001F4A17" w:rsidRPr="00F12D68">
              <w:rPr>
                <w:i/>
              </w:rPr>
              <w:t>euro</w:t>
            </w:r>
            <w:proofErr w:type="spellEnd"/>
            <w:r w:rsidR="001F4A17">
              <w:t xml:space="preserve"> lielas investīcijas un radījušas 186 000 jaunu darba vietu, Polija ir pagarināju</w:t>
            </w:r>
            <w:r w:rsidR="00AC744F">
              <w:t>si</w:t>
            </w:r>
            <w:r w:rsidR="001F4A17">
              <w:t xml:space="preserve"> SEZ darbības termiņu līdz 2026.gadam</w:t>
            </w:r>
            <w:r w:rsidR="00704161">
              <w:t>.</w:t>
            </w:r>
            <w:r w:rsidR="003F565C">
              <w:rPr>
                <w:rStyle w:val="FootnoteReference"/>
              </w:rPr>
              <w:footnoteReference w:id="6"/>
            </w:r>
            <w:r w:rsidR="00704161">
              <w:t xml:space="preserve"> </w:t>
            </w:r>
            <w:r w:rsidR="009602B6" w:rsidRPr="00F12D68">
              <w:rPr>
                <w:i/>
              </w:rPr>
              <w:t xml:space="preserve">KPMG </w:t>
            </w:r>
            <w:proofErr w:type="spellStart"/>
            <w:r w:rsidR="009602B6" w:rsidRPr="00F12D68">
              <w:rPr>
                <w:i/>
              </w:rPr>
              <w:t>Poland</w:t>
            </w:r>
            <w:proofErr w:type="spellEnd"/>
            <w:r w:rsidR="009602B6">
              <w:t xml:space="preserve"> 2014.gadā veiktā</w:t>
            </w:r>
            <w:r w:rsidR="00704161" w:rsidRPr="009C58E4">
              <w:t xml:space="preserve"> pētījumā ir noskaidrots, ka 86% no komersantiem, kas darbojas SEZ</w:t>
            </w:r>
            <w:r w:rsidR="0009108E">
              <w:t>,</w:t>
            </w:r>
            <w:r w:rsidR="00704161" w:rsidRPr="009C58E4">
              <w:t xml:space="preserve"> tās apstākļus novērtējuš</w:t>
            </w:r>
            <w:r w:rsidR="0009108E">
              <w:t>i</w:t>
            </w:r>
            <w:r w:rsidR="00704161" w:rsidRPr="009C58E4">
              <w:t xml:space="preserve"> kā labus vai ļoti labus, bet 95% rekomendētu citiem uzņēmumiem darboties SEZ</w:t>
            </w:r>
            <w:r w:rsidR="007719CF" w:rsidRPr="009C58E4">
              <w:rPr>
                <w:rStyle w:val="FootnoteReference"/>
              </w:rPr>
              <w:footnoteReference w:id="7"/>
            </w:r>
            <w:r w:rsidR="00704161" w:rsidRPr="009C58E4">
              <w:t>.</w:t>
            </w:r>
            <w:r>
              <w:t xml:space="preserve"> </w:t>
            </w:r>
            <w:r w:rsidR="0044048D">
              <w:t>Centrālā un Austrumeiropas reģionā speciāl</w:t>
            </w:r>
            <w:r w:rsidR="0009108E">
              <w:t>ajām</w:t>
            </w:r>
            <w:r w:rsidR="0044048D">
              <w:t xml:space="preserve"> ekonomisk</w:t>
            </w:r>
            <w:r w:rsidR="0009108E">
              <w:t>ajām</w:t>
            </w:r>
            <w:r w:rsidR="0044048D">
              <w:t xml:space="preserve"> zonām līdzīgas zonas darbojas tikai Latvijā, Lietuvā un Polijā, pārējās valstīs funkcionē brīvās tirdzniecības zonas</w:t>
            </w:r>
            <w:r w:rsidR="004B4C9B">
              <w:t xml:space="preserve"> (</w:t>
            </w:r>
            <w:proofErr w:type="spellStart"/>
            <w:r w:rsidR="004B4C9B">
              <w:t>skat.tabulu</w:t>
            </w:r>
            <w:proofErr w:type="spellEnd"/>
            <w:r w:rsidR="004B4C9B">
              <w:t>)</w:t>
            </w:r>
            <w:r w:rsidR="0044048D">
              <w:t>.</w:t>
            </w:r>
            <w:r w:rsidR="00A55E36">
              <w:rPr>
                <w:rStyle w:val="FootnoteReference"/>
              </w:rPr>
              <w:footnoteReference w:id="8"/>
            </w:r>
            <w:r w:rsidR="0044048D">
              <w:t xml:space="preserve"> Līdz ar to speciālai ekonomiskajai zonai Latgales reģionā ir būtiskas priekšrocības</w:t>
            </w:r>
            <w:r w:rsidR="00A55E36">
              <w:t xml:space="preserve"> piesaistīt investorus arī reģionālā mērogā.</w:t>
            </w:r>
          </w:p>
          <w:p w:rsidR="001077D6" w:rsidRDefault="001077D6" w:rsidP="00AC744F">
            <w:pPr>
              <w:pStyle w:val="naiskr"/>
              <w:spacing w:before="0" w:after="120"/>
              <w:jc w:val="both"/>
            </w:pPr>
          </w:p>
          <w:tbl>
            <w:tblPr>
              <w:tblStyle w:val="LightList-Accent11"/>
              <w:tblW w:w="0" w:type="auto"/>
              <w:tblLook w:val="04A0"/>
            </w:tblPr>
            <w:tblGrid>
              <w:gridCol w:w="1048"/>
              <w:gridCol w:w="1365"/>
              <w:gridCol w:w="1340"/>
              <w:gridCol w:w="1365"/>
              <w:gridCol w:w="1365"/>
              <w:gridCol w:w="1340"/>
            </w:tblGrid>
            <w:tr w:rsidR="0044048D" w:rsidTr="0044048D">
              <w:trPr>
                <w:cnfStyle w:val="100000000000"/>
              </w:trPr>
              <w:tc>
                <w:tcPr>
                  <w:cnfStyle w:val="001000000000"/>
                  <w:tcW w:w="1319" w:type="dxa"/>
                </w:tcPr>
                <w:p w:rsidR="0044048D" w:rsidRDefault="0044048D" w:rsidP="00A91A8F"/>
              </w:tc>
              <w:tc>
                <w:tcPr>
                  <w:tcW w:w="1460" w:type="dxa"/>
                </w:tcPr>
                <w:p w:rsidR="0044048D" w:rsidRDefault="0044048D" w:rsidP="00A91A8F">
                  <w:pPr>
                    <w:cnfStyle w:val="100000000000"/>
                  </w:pPr>
                  <w:r>
                    <w:t>Polija</w:t>
                  </w:r>
                </w:p>
              </w:tc>
              <w:tc>
                <w:tcPr>
                  <w:tcW w:w="1562" w:type="dxa"/>
                </w:tcPr>
                <w:p w:rsidR="0044048D" w:rsidRDefault="0044048D" w:rsidP="00A91A8F">
                  <w:pPr>
                    <w:cnfStyle w:val="100000000000"/>
                  </w:pPr>
                  <w:r>
                    <w:t>Rumānija</w:t>
                  </w:r>
                </w:p>
              </w:tc>
              <w:tc>
                <w:tcPr>
                  <w:tcW w:w="1506" w:type="dxa"/>
                </w:tcPr>
                <w:p w:rsidR="0044048D" w:rsidRDefault="0044048D" w:rsidP="00A91A8F">
                  <w:pPr>
                    <w:cnfStyle w:val="100000000000"/>
                  </w:pPr>
                  <w:r>
                    <w:t>Lietuva</w:t>
                  </w:r>
                </w:p>
              </w:tc>
              <w:tc>
                <w:tcPr>
                  <w:tcW w:w="1486" w:type="dxa"/>
                </w:tcPr>
                <w:p w:rsidR="0044048D" w:rsidRDefault="0044048D" w:rsidP="00A91A8F">
                  <w:pPr>
                    <w:cnfStyle w:val="100000000000"/>
                  </w:pPr>
                  <w:r>
                    <w:t>Latvija</w:t>
                  </w:r>
                </w:p>
              </w:tc>
              <w:tc>
                <w:tcPr>
                  <w:tcW w:w="1523" w:type="dxa"/>
                </w:tcPr>
                <w:p w:rsidR="0044048D" w:rsidRDefault="0044048D" w:rsidP="00A91A8F">
                  <w:pPr>
                    <w:cnfStyle w:val="100000000000"/>
                  </w:pPr>
                  <w:r>
                    <w:t>Igaunija</w:t>
                  </w:r>
                </w:p>
              </w:tc>
            </w:tr>
            <w:tr w:rsidR="0044048D" w:rsidTr="0044048D">
              <w:trPr>
                <w:cnfStyle w:val="000000100000"/>
                <w:trHeight w:val="971"/>
              </w:trPr>
              <w:tc>
                <w:tcPr>
                  <w:cnfStyle w:val="001000000000"/>
                  <w:tcW w:w="1319" w:type="dxa"/>
                </w:tcPr>
                <w:p w:rsidR="0044048D" w:rsidRDefault="0044048D" w:rsidP="00A91A8F">
                  <w:r>
                    <w:t>Zonu skaits</w:t>
                  </w:r>
                </w:p>
              </w:tc>
              <w:tc>
                <w:tcPr>
                  <w:tcW w:w="1460" w:type="dxa"/>
                </w:tcPr>
                <w:p w:rsidR="0044048D" w:rsidRDefault="0044048D" w:rsidP="00A91A8F">
                  <w:pPr>
                    <w:cnfStyle w:val="000000100000"/>
                  </w:pPr>
                  <w:r>
                    <w:t>14 speciālās ekonomiskās zonas</w:t>
                  </w:r>
                </w:p>
              </w:tc>
              <w:tc>
                <w:tcPr>
                  <w:tcW w:w="1562" w:type="dxa"/>
                </w:tcPr>
                <w:p w:rsidR="0044048D" w:rsidRDefault="0044048D" w:rsidP="00A91A8F">
                  <w:pPr>
                    <w:cnfStyle w:val="000000100000"/>
                  </w:pPr>
                  <w:r>
                    <w:t>6 brīvās tirdzniecības zonas</w:t>
                  </w:r>
                </w:p>
              </w:tc>
              <w:tc>
                <w:tcPr>
                  <w:tcW w:w="1506" w:type="dxa"/>
                </w:tcPr>
                <w:p w:rsidR="0044048D" w:rsidRDefault="0044048D" w:rsidP="00A91A8F">
                  <w:pPr>
                    <w:cnfStyle w:val="000000100000"/>
                  </w:pPr>
                  <w:r>
                    <w:t>7 speciālās ekonomiskās zonas</w:t>
                  </w:r>
                </w:p>
              </w:tc>
              <w:tc>
                <w:tcPr>
                  <w:tcW w:w="1486" w:type="dxa"/>
                </w:tcPr>
                <w:p w:rsidR="0044048D" w:rsidRDefault="0044048D" w:rsidP="00A91A8F">
                  <w:pPr>
                    <w:cnfStyle w:val="000000100000"/>
                  </w:pPr>
                  <w:r>
                    <w:t>4 speciālās ekonomiskās zonas</w:t>
                  </w:r>
                </w:p>
              </w:tc>
              <w:tc>
                <w:tcPr>
                  <w:tcW w:w="1523" w:type="dxa"/>
                </w:tcPr>
                <w:p w:rsidR="0044048D" w:rsidRDefault="0044048D" w:rsidP="00A91A8F">
                  <w:pPr>
                    <w:cnfStyle w:val="000000100000"/>
                  </w:pPr>
                  <w:r>
                    <w:t>4 brīvās tirdzniecības zonas</w:t>
                  </w:r>
                </w:p>
              </w:tc>
            </w:tr>
            <w:tr w:rsidR="0044048D" w:rsidTr="0044048D">
              <w:tc>
                <w:tcPr>
                  <w:cnfStyle w:val="001000000000"/>
                  <w:tcW w:w="1319" w:type="dxa"/>
                </w:tcPr>
                <w:p w:rsidR="0044048D" w:rsidRDefault="0044048D" w:rsidP="00A91A8F">
                  <w:r>
                    <w:t>Platība ha</w:t>
                  </w:r>
                </w:p>
              </w:tc>
              <w:tc>
                <w:tcPr>
                  <w:tcW w:w="1460" w:type="dxa"/>
                </w:tcPr>
                <w:p w:rsidR="0044048D" w:rsidRDefault="0044048D" w:rsidP="00A91A8F">
                  <w:pPr>
                    <w:cnfStyle w:val="000000000000"/>
                  </w:pPr>
                  <w:r>
                    <w:t>15.045</w:t>
                  </w:r>
                </w:p>
              </w:tc>
              <w:tc>
                <w:tcPr>
                  <w:tcW w:w="1562" w:type="dxa"/>
                </w:tcPr>
                <w:p w:rsidR="0044048D" w:rsidRDefault="0044048D" w:rsidP="00A91A8F">
                  <w:pPr>
                    <w:cnfStyle w:val="000000000000"/>
                  </w:pPr>
                  <w:r>
                    <w:t>801.8</w:t>
                  </w:r>
                </w:p>
              </w:tc>
              <w:tc>
                <w:tcPr>
                  <w:tcW w:w="1506" w:type="dxa"/>
                </w:tcPr>
                <w:p w:rsidR="0044048D" w:rsidRDefault="0044048D" w:rsidP="00A91A8F">
                  <w:pPr>
                    <w:cnfStyle w:val="000000000000"/>
                  </w:pPr>
                  <w:r>
                    <w:t>1.519</w:t>
                  </w:r>
                </w:p>
              </w:tc>
              <w:tc>
                <w:tcPr>
                  <w:tcW w:w="1486" w:type="dxa"/>
                </w:tcPr>
                <w:p w:rsidR="0044048D" w:rsidRDefault="0044048D" w:rsidP="00A91A8F">
                  <w:pPr>
                    <w:cnfStyle w:val="000000000000"/>
                  </w:pPr>
                  <w:r>
                    <w:t>13.693</w:t>
                  </w:r>
                </w:p>
              </w:tc>
              <w:tc>
                <w:tcPr>
                  <w:tcW w:w="1523" w:type="dxa"/>
                </w:tcPr>
                <w:p w:rsidR="0044048D" w:rsidRDefault="0044048D" w:rsidP="00A91A8F">
                  <w:pPr>
                    <w:cnfStyle w:val="000000000000"/>
                  </w:pPr>
                  <w:r>
                    <w:t>750</w:t>
                  </w:r>
                </w:p>
              </w:tc>
            </w:tr>
            <w:tr w:rsidR="0044048D" w:rsidTr="0044048D">
              <w:trPr>
                <w:cnfStyle w:val="000000100000"/>
              </w:trPr>
              <w:tc>
                <w:tcPr>
                  <w:cnfStyle w:val="001000000000"/>
                  <w:tcW w:w="1319" w:type="dxa"/>
                </w:tcPr>
                <w:p w:rsidR="0044048D" w:rsidRDefault="0044048D" w:rsidP="00A91A8F">
                  <w:r>
                    <w:t>Pirmās zonas darbības sākums</w:t>
                  </w:r>
                </w:p>
              </w:tc>
              <w:tc>
                <w:tcPr>
                  <w:tcW w:w="1460" w:type="dxa"/>
                </w:tcPr>
                <w:p w:rsidR="0044048D" w:rsidRDefault="0044048D" w:rsidP="00A91A8F">
                  <w:pPr>
                    <w:cnfStyle w:val="000000100000"/>
                  </w:pPr>
                  <w:r>
                    <w:t>1995.g.</w:t>
                  </w:r>
                </w:p>
              </w:tc>
              <w:tc>
                <w:tcPr>
                  <w:tcW w:w="1562" w:type="dxa"/>
                </w:tcPr>
                <w:p w:rsidR="0044048D" w:rsidRDefault="0044048D" w:rsidP="00A91A8F">
                  <w:pPr>
                    <w:cnfStyle w:val="000000100000"/>
                  </w:pPr>
                  <w:r>
                    <w:t>1993.g.</w:t>
                  </w:r>
                </w:p>
              </w:tc>
              <w:tc>
                <w:tcPr>
                  <w:tcW w:w="1506" w:type="dxa"/>
                </w:tcPr>
                <w:p w:rsidR="0044048D" w:rsidRDefault="0044048D" w:rsidP="00A91A8F">
                  <w:pPr>
                    <w:cnfStyle w:val="000000100000"/>
                  </w:pPr>
                  <w:r>
                    <w:t>2002.g.</w:t>
                  </w:r>
                </w:p>
              </w:tc>
              <w:tc>
                <w:tcPr>
                  <w:tcW w:w="1486" w:type="dxa"/>
                </w:tcPr>
                <w:p w:rsidR="0044048D" w:rsidRDefault="0044048D" w:rsidP="00A91A8F">
                  <w:pPr>
                    <w:cnfStyle w:val="000000100000"/>
                  </w:pPr>
                  <w:r>
                    <w:t>1997.g.</w:t>
                  </w:r>
                </w:p>
              </w:tc>
              <w:tc>
                <w:tcPr>
                  <w:tcW w:w="1523" w:type="dxa"/>
                </w:tcPr>
                <w:p w:rsidR="0044048D" w:rsidRDefault="0044048D" w:rsidP="00A91A8F">
                  <w:pPr>
                    <w:cnfStyle w:val="000000100000"/>
                  </w:pPr>
                  <w:r>
                    <w:t>1997.g.</w:t>
                  </w:r>
                </w:p>
              </w:tc>
            </w:tr>
          </w:tbl>
          <w:p w:rsidR="0044048D" w:rsidRPr="009B163F" w:rsidRDefault="009B163F" w:rsidP="00AC744F">
            <w:pPr>
              <w:pStyle w:val="naiskr"/>
              <w:spacing w:before="0" w:after="120"/>
              <w:jc w:val="both"/>
              <w:rPr>
                <w:i/>
              </w:rPr>
            </w:pPr>
            <w:r w:rsidRPr="009B163F">
              <w:rPr>
                <w:i/>
                <w:sz w:val="22"/>
                <w:szCs w:val="22"/>
              </w:rPr>
              <w:t xml:space="preserve">SEZ salīdzinājums Centrālā un Austrumeiropas reģionā. Datu avots: KPMG </w:t>
            </w:r>
            <w:proofErr w:type="spellStart"/>
            <w:r w:rsidRPr="009B163F">
              <w:rPr>
                <w:i/>
                <w:sz w:val="22"/>
                <w:szCs w:val="22"/>
              </w:rPr>
              <w:t>Poland</w:t>
            </w:r>
            <w:proofErr w:type="spellEnd"/>
            <w:r w:rsidRPr="009B163F">
              <w:rPr>
                <w:i/>
                <w:sz w:val="22"/>
                <w:szCs w:val="22"/>
              </w:rPr>
              <w:t>. „</w:t>
            </w:r>
            <w:proofErr w:type="spellStart"/>
            <w:r w:rsidRPr="009B163F">
              <w:rPr>
                <w:i/>
                <w:sz w:val="22"/>
                <w:szCs w:val="22"/>
              </w:rPr>
              <w:t>Special</w:t>
            </w:r>
            <w:proofErr w:type="spellEnd"/>
            <w:r w:rsidRPr="009B163F">
              <w:rPr>
                <w:i/>
                <w:sz w:val="22"/>
                <w:szCs w:val="22"/>
              </w:rPr>
              <w:t xml:space="preserve"> </w:t>
            </w:r>
            <w:proofErr w:type="spellStart"/>
            <w:r w:rsidRPr="009B163F">
              <w:rPr>
                <w:i/>
                <w:sz w:val="22"/>
                <w:szCs w:val="22"/>
              </w:rPr>
              <w:t>Economic</w:t>
            </w:r>
            <w:proofErr w:type="spellEnd"/>
            <w:r w:rsidRPr="009B163F">
              <w:rPr>
                <w:i/>
                <w:sz w:val="22"/>
                <w:szCs w:val="22"/>
              </w:rPr>
              <w:t xml:space="preserve"> </w:t>
            </w:r>
            <w:proofErr w:type="spellStart"/>
            <w:r w:rsidRPr="009B163F">
              <w:rPr>
                <w:i/>
                <w:sz w:val="22"/>
                <w:szCs w:val="22"/>
              </w:rPr>
              <w:t>Zones</w:t>
            </w:r>
            <w:proofErr w:type="spellEnd"/>
            <w:r w:rsidRPr="009B163F">
              <w:rPr>
                <w:i/>
                <w:sz w:val="22"/>
                <w:szCs w:val="22"/>
              </w:rPr>
              <w:t xml:space="preserve">. 2012 </w:t>
            </w:r>
            <w:proofErr w:type="spellStart"/>
            <w:r w:rsidRPr="009B163F">
              <w:rPr>
                <w:i/>
                <w:sz w:val="22"/>
                <w:szCs w:val="22"/>
              </w:rPr>
              <w:t>Edition</w:t>
            </w:r>
            <w:proofErr w:type="spellEnd"/>
            <w:r w:rsidRPr="009B163F">
              <w:rPr>
                <w:i/>
                <w:sz w:val="22"/>
                <w:szCs w:val="22"/>
              </w:rPr>
              <w:t>”, 2012.</w:t>
            </w:r>
          </w:p>
          <w:p w:rsidR="007719CF" w:rsidRDefault="00AC744F" w:rsidP="005F13EC">
            <w:pPr>
              <w:pStyle w:val="naiskr"/>
              <w:spacing w:before="0" w:after="0"/>
              <w:jc w:val="both"/>
            </w:pPr>
            <w:r>
              <w:t>Analizējot citu valstu normatīvo regulējumu,</w:t>
            </w:r>
            <w:r w:rsidR="00FD6162">
              <w:t xml:space="preserve"> var secināt, ka tikai dažas valstis izvirza oficiālus kritērijus, pēc kuriem nosaka SEZ atrašanās</w:t>
            </w:r>
            <w:r w:rsidR="005B51A2">
              <w:t xml:space="preserve"> </w:t>
            </w:r>
            <w:r w:rsidR="00FD6162">
              <w:t>vietu un lielumu, vairumā gadījumā</w:t>
            </w:r>
            <w:r w:rsidR="00400DD7">
              <w:t>,</w:t>
            </w:r>
            <w:r w:rsidR="00FD6162">
              <w:t xml:space="preserve"> kā tas pašlaik </w:t>
            </w:r>
            <w:r w:rsidR="00400DD7">
              <w:t xml:space="preserve">ir </w:t>
            </w:r>
            <w:r w:rsidR="00FD6162">
              <w:t>Latvijā un arī Polijā, SEZ tiek izveidota ar atsevišķu parlamenta, izpildvaras vai prezidenta lēmumu, nespecif</w:t>
            </w:r>
            <w:r w:rsidR="00400DD7">
              <w:t>ic</w:t>
            </w:r>
            <w:r w:rsidR="00FD6162">
              <w:t>ējot konkrētus kritērijus, taču vienlaikus uzsverot atsevišķu kritēriju būtisku nozīmi, piemēram, zemes īpašnieks ir valsts vai pašvaldība</w:t>
            </w:r>
            <w:r w:rsidR="00A80B81">
              <w:t>,</w:t>
            </w:r>
            <w:r w:rsidR="00FD6162">
              <w:t xml:space="preserve"> un tikai īpašos gadījumos arī privātā īpašumā esoš</w:t>
            </w:r>
            <w:r w:rsidR="00400DD7">
              <w:t>ā</w:t>
            </w:r>
            <w:r w:rsidR="00FD6162">
              <w:t xml:space="preserve"> zeme var būt kā SEZ teritorija. Piemēram,</w:t>
            </w:r>
            <w:r w:rsidR="00015172">
              <w:t xml:space="preserve"> Indonēzijā, kur speciālās ekonomiskās zonas iegūst no to tuvuma Singapūrai, likums par speciālām ekonomiskām zonām</w:t>
            </w:r>
            <w:r w:rsidR="007719CF">
              <w:rPr>
                <w:rStyle w:val="FootnoteReference"/>
              </w:rPr>
              <w:footnoteReference w:id="9"/>
            </w:r>
            <w:r w:rsidR="00015172">
              <w:t xml:space="preserve"> nosaka, ka:</w:t>
            </w:r>
          </w:p>
          <w:p w:rsidR="00015172" w:rsidRDefault="00AC744F" w:rsidP="00AC744F">
            <w:pPr>
              <w:pStyle w:val="naiskr"/>
              <w:numPr>
                <w:ilvl w:val="0"/>
                <w:numId w:val="8"/>
              </w:numPr>
              <w:spacing w:before="0" w:after="0"/>
              <w:ind w:left="317" w:hanging="142"/>
              <w:jc w:val="both"/>
            </w:pPr>
            <w:r>
              <w:t>SEZ</w:t>
            </w:r>
            <w:r w:rsidR="00015172">
              <w:t xml:space="preserve"> izveidošana ir noteikta ar reģionālās plānošanas dokumentiem</w:t>
            </w:r>
            <w:r w:rsidR="005B51A2">
              <w:t>;</w:t>
            </w:r>
          </w:p>
          <w:p w:rsidR="005B51A2" w:rsidRDefault="00CE1D74" w:rsidP="00AC744F">
            <w:pPr>
              <w:pStyle w:val="naiskr"/>
              <w:numPr>
                <w:ilvl w:val="0"/>
                <w:numId w:val="8"/>
              </w:numPr>
              <w:spacing w:before="0" w:after="0"/>
              <w:ind w:left="317" w:hanging="142"/>
              <w:jc w:val="both"/>
            </w:pPr>
            <w:r>
              <w:t>a</w:t>
            </w:r>
            <w:r w:rsidR="00015172">
              <w:t>ttiecīgā</w:t>
            </w:r>
            <w:r w:rsidR="00F03F52">
              <w:t>s</w:t>
            </w:r>
            <w:r w:rsidR="00015172">
              <w:t xml:space="preserve"> administratīvā</w:t>
            </w:r>
            <w:r w:rsidR="00F03F52">
              <w:t>s</w:t>
            </w:r>
            <w:r w:rsidR="00015172">
              <w:t xml:space="preserve"> teritorija</w:t>
            </w:r>
            <w:r w:rsidR="005B51A2">
              <w:t>s pārvalde atbalsta SEZ izveidošanu;</w:t>
            </w:r>
          </w:p>
          <w:p w:rsidR="005B51A2" w:rsidRDefault="005B51A2" w:rsidP="00AC744F">
            <w:pPr>
              <w:pStyle w:val="naiskr"/>
              <w:numPr>
                <w:ilvl w:val="0"/>
                <w:numId w:val="8"/>
              </w:numPr>
              <w:spacing w:before="0" w:after="0"/>
              <w:ind w:left="317" w:hanging="142"/>
              <w:jc w:val="both"/>
            </w:pPr>
            <w:r>
              <w:t>SEZ ir novietota tuvumā starptautiskiem transporta un tirdzniecības tīkliem, kā arī teritorijā ir potenciāls izmantot daba</w:t>
            </w:r>
            <w:r w:rsidR="00AC744F">
              <w:t>s resursus.</w:t>
            </w:r>
          </w:p>
          <w:p w:rsidR="0014576B" w:rsidRDefault="0014576B" w:rsidP="005F13EC">
            <w:pPr>
              <w:pStyle w:val="naiskr"/>
              <w:spacing w:before="0" w:after="0"/>
              <w:jc w:val="both"/>
            </w:pPr>
          </w:p>
          <w:p w:rsidR="0098118B" w:rsidRDefault="00623621" w:rsidP="00374B86">
            <w:pPr>
              <w:pStyle w:val="naiskr"/>
              <w:spacing w:before="0" w:after="0"/>
              <w:jc w:val="both"/>
              <w:rPr>
                <w:b/>
              </w:rPr>
            </w:pPr>
            <w:r>
              <w:rPr>
                <w:b/>
              </w:rPr>
              <w:lastRenderedPageBreak/>
              <w:t>5</w:t>
            </w:r>
            <w:r w:rsidR="0098118B" w:rsidRPr="0098118B">
              <w:rPr>
                <w:b/>
              </w:rPr>
              <w:t>.</w:t>
            </w:r>
            <w:r w:rsidR="0098118B">
              <w:rPr>
                <w:b/>
              </w:rPr>
              <w:t xml:space="preserve"> </w:t>
            </w:r>
            <w:r w:rsidR="008A6D42">
              <w:rPr>
                <w:b/>
              </w:rPr>
              <w:t>Deleģējums Ministru kabinetam.</w:t>
            </w:r>
          </w:p>
          <w:p w:rsidR="00DE17A0" w:rsidRPr="00DE17A0" w:rsidRDefault="00DE17A0" w:rsidP="00374B86">
            <w:pPr>
              <w:pStyle w:val="naiskr"/>
              <w:spacing w:before="0" w:after="0"/>
              <w:jc w:val="both"/>
              <w:rPr>
                <w:i/>
              </w:rPr>
            </w:pPr>
            <w:r w:rsidRPr="00DE17A0">
              <w:rPr>
                <w:i/>
              </w:rPr>
              <w:t>Ministru kabinets nosaka Latgales speciālās ekonomiskās zonas teritoriju, kuras kopējā platība nepārsniedz 5% no Latgales reģiona (NUTS 3) teritorijas, un kārtību, kādā tiek noteikts un aktualizēts tās teritoriju saraksts.</w:t>
            </w:r>
          </w:p>
          <w:p w:rsidR="00CF4D58" w:rsidRDefault="009C58E4" w:rsidP="00CF4D58">
            <w:pPr>
              <w:pStyle w:val="naiskr"/>
              <w:spacing w:before="0" w:after="120"/>
              <w:jc w:val="both"/>
            </w:pPr>
            <w:r>
              <w:t>Saskaņā ar minēto deleģējumu Latgales SEZ teritorijas var tikt aktualizētas</w:t>
            </w:r>
            <w:r w:rsidR="00400DD7">
              <w:t>,</w:t>
            </w:r>
            <w:r>
              <w:t xml:space="preserve"> ņemot vērā sociālekonomisko situāciju, potenciālo komersantu pieprasījumu u.c. </w:t>
            </w:r>
            <w:r w:rsidR="00400DD7">
              <w:t xml:space="preserve">būtiskus </w:t>
            </w:r>
            <w:r>
              <w:t>faktor</w:t>
            </w:r>
            <w:r w:rsidR="00400DD7">
              <w:t>us</w:t>
            </w:r>
            <w:r>
              <w:t>.</w:t>
            </w:r>
            <w:r w:rsidR="00CF4D58">
              <w:t xml:space="preserve"> Tādējādi laicīgi varēs reaģēt uz nepieciešamajām izmaiņām Latgales SEZ teritoriju sastāvā. Ministru kabineta </w:t>
            </w:r>
            <w:r w:rsidR="00F36EB5">
              <w:t xml:space="preserve">noteikumu </w:t>
            </w:r>
            <w:r w:rsidR="00CF4D58">
              <w:t xml:space="preserve">ietvaros nosakāms, ka lēmumu par speciālās ekonomiskās zonas statusa piešķiršanu konkrētai teritorijai pieņem vadošā valsts pārvaldes iestāde reģionālās attīstības plānošanas un koordinācijas jautājumos pēc atbilstoša Latgales SEZ </w:t>
            </w:r>
            <w:r w:rsidR="00910BF8">
              <w:t xml:space="preserve">uzraudzības padomes </w:t>
            </w:r>
            <w:r w:rsidR="00CF4D58">
              <w:t>lūguma.</w:t>
            </w:r>
          </w:p>
          <w:p w:rsidR="00096653" w:rsidRDefault="0079206C" w:rsidP="00CF4D58">
            <w:pPr>
              <w:pStyle w:val="naiskr"/>
              <w:spacing w:before="0" w:after="120"/>
              <w:jc w:val="both"/>
            </w:pPr>
            <w:r>
              <w:t>Atbilstoši iepriekš minētajam</w:t>
            </w:r>
            <w:r w:rsidR="00546EAC">
              <w:t xml:space="preserve"> un pēc likumprojekta “Latgales speciālās ekonomiskās zonas likums” apstiprināšanas Saeimā</w:t>
            </w:r>
            <w:r>
              <w:t>, VARAM sadarbībā ar darba grupas locekļiem un ekspertiem</w:t>
            </w:r>
            <w:r w:rsidR="00096653">
              <w:t xml:space="preserve"> plāno</w:t>
            </w:r>
            <w:r w:rsidR="00175EDC">
              <w:t xml:space="preserve"> līdz 2016. gada </w:t>
            </w:r>
            <w:r w:rsidR="00F37483">
              <w:t>1.</w:t>
            </w:r>
            <w:r w:rsidR="00CE4D64">
              <w:t>februārim</w:t>
            </w:r>
            <w:r w:rsidR="00175EDC">
              <w:t xml:space="preserve"> izstrādā</w:t>
            </w:r>
            <w:r w:rsidR="00096653">
              <w:t>t</w:t>
            </w:r>
            <w:r w:rsidR="00175EDC">
              <w:t xml:space="preserve"> Ministru kabineta noteikum</w:t>
            </w:r>
            <w:r w:rsidR="00096653">
              <w:t>us</w:t>
            </w:r>
            <w:r w:rsidR="00175EDC">
              <w:t xml:space="preserve"> un vides aizsardzības un reģionālās attīstības ministr</w:t>
            </w:r>
            <w:r w:rsidR="00096653">
              <w:t>s</w:t>
            </w:r>
            <w:r w:rsidR="00175EDC">
              <w:t xml:space="preserve"> Ministru kabinetā iesniedz noteikumu projekt</w:t>
            </w:r>
            <w:r w:rsidR="00096653">
              <w:t>u</w:t>
            </w:r>
            <w:r w:rsidR="00175EDC">
              <w:t>, kas nosaka Latgales SES teritoriju un kārtību, kādā tiek noteikts un aktualizēts tās teritoriju saraksts.</w:t>
            </w:r>
          </w:p>
          <w:p w:rsidR="00870D75" w:rsidRPr="00817967" w:rsidRDefault="00870D75" w:rsidP="00AB2C7C">
            <w:pPr>
              <w:pStyle w:val="naiskr"/>
              <w:spacing w:before="0" w:after="0"/>
              <w:jc w:val="both"/>
              <w:rPr>
                <w:i/>
              </w:rPr>
            </w:pPr>
            <w:r w:rsidRPr="00817967">
              <w:rPr>
                <w:i/>
              </w:rPr>
              <w:t xml:space="preserve">Ministru kabinetam </w:t>
            </w:r>
            <w:r w:rsidR="008029C1">
              <w:rPr>
                <w:i/>
              </w:rPr>
              <w:t>tiek deleģētas</w:t>
            </w:r>
            <w:r w:rsidRPr="00817967">
              <w:rPr>
                <w:i/>
              </w:rPr>
              <w:t xml:space="preserve"> tiesības noteikt papildu kritērijus speciālo ekonomisko </w:t>
            </w:r>
            <w:r w:rsidR="008029C1">
              <w:rPr>
                <w:i/>
              </w:rPr>
              <w:t>zonu teritoriju noteikšanai, kā arī noteikt papildu plānotos rezultātus, teritorijai piešķirot speciālās ekonomiskās zonas statusu.</w:t>
            </w:r>
          </w:p>
          <w:p w:rsidR="00D26E36" w:rsidRDefault="00AB2C7C" w:rsidP="00374B86">
            <w:pPr>
              <w:pStyle w:val="naiskr"/>
              <w:spacing w:before="0" w:after="0"/>
              <w:jc w:val="both"/>
            </w:pPr>
            <w:r>
              <w:t>Ar šādu deleģējumu Ministru kabinets var noteikt papildu kritērijus, piemēram, izvērtējot sociālekonomisko situāciju, par papildu kritēriju var noteikt bezdarba līmeni, iedzīvotāju skaitu, u.tml. rādītājus, kas varētu dod ieguldījumu izvērtējumā, vai attiecīgajai teritorijai nosakāms SEZ statuss.</w:t>
            </w:r>
            <w:r w:rsidR="008029C1">
              <w:t xml:space="preserve"> </w:t>
            </w:r>
          </w:p>
          <w:p w:rsidR="008029C1" w:rsidRDefault="008029C1" w:rsidP="00374B86">
            <w:pPr>
              <w:pStyle w:val="naiskr"/>
              <w:spacing w:before="0" w:after="0"/>
              <w:jc w:val="both"/>
            </w:pPr>
            <w:r>
              <w:t>Vienlaikus Ministru kabinets var noteikt papildu plānotos rezultātus, piemēram, iedzīvotāju skaits attiecīgajā pašvaldībā, bezdarba līmenis, u.tml.</w:t>
            </w:r>
          </w:p>
          <w:p w:rsidR="008029C1" w:rsidRPr="00817967" w:rsidRDefault="008029C1" w:rsidP="008029C1">
            <w:pPr>
              <w:pStyle w:val="naiskr"/>
              <w:spacing w:before="0" w:after="0"/>
              <w:jc w:val="both"/>
              <w:rPr>
                <w:i/>
              </w:rPr>
            </w:pPr>
            <w:r w:rsidRPr="00817967">
              <w:rPr>
                <w:i/>
              </w:rPr>
              <w:t xml:space="preserve">Ministru kabinetam </w:t>
            </w:r>
            <w:r>
              <w:rPr>
                <w:i/>
              </w:rPr>
              <w:t>tiek deleģētas</w:t>
            </w:r>
            <w:r w:rsidRPr="00817967">
              <w:rPr>
                <w:i/>
              </w:rPr>
              <w:t xml:space="preserve"> tiesības noteikt </w:t>
            </w:r>
            <w:r>
              <w:rPr>
                <w:i/>
              </w:rPr>
              <w:t>privātīpašumā esošās teritorijas īpatsvaru no kopējās speciālās ekonomiskās zonas teritorijas.</w:t>
            </w:r>
          </w:p>
          <w:p w:rsidR="00C17A3C" w:rsidRDefault="008029C1" w:rsidP="008029C1">
            <w:pPr>
              <w:jc w:val="both"/>
            </w:pPr>
            <w:r>
              <w:t xml:space="preserve">Pēc VARAM ierosinājuma, privātīpašumā esošā teritorija no Latgales SEZ nepārsniedz 30%. </w:t>
            </w:r>
            <w:r w:rsidR="00C17A3C">
              <w:t xml:space="preserve">Jautājums par privātīpašumā esošās teritorijas īpatsvaru būtu skatāms Ministru kabineta deleģējuma kontekstā. </w:t>
            </w:r>
          </w:p>
          <w:p w:rsidR="00F60163" w:rsidRDefault="00F60163" w:rsidP="008029C1">
            <w:pPr>
              <w:jc w:val="both"/>
            </w:pPr>
            <w:r>
              <w:t>Atbilstoši iepriekš minētajam, Ministru kabinetam ir tiesības izstrādāt normatīvo regulējumu, ja tāda nepieciešamība tiek konstatēta, tādējādi nav nepieciešams noteikt konkrētu normatīvo aktu izstrādes termiņu par iepriekš minētajiem deleģējumiem.</w:t>
            </w:r>
          </w:p>
        </w:tc>
      </w:tr>
      <w:tr w:rsidR="00613CD6" w:rsidTr="001A14C7">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584F3B" w:rsidP="001A14C7">
            <w:pPr>
              <w:pStyle w:val="naiskr"/>
              <w:spacing w:before="0" w:after="0"/>
              <w:jc w:val="center"/>
            </w:pPr>
            <w:r>
              <w:lastRenderedPageBreak/>
              <w:t>5.</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pPr>
            <w:r>
              <w:t>Projekta izstrādē iesaistītās institūcijas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EC1FB4" w:rsidP="00374B86">
            <w:pPr>
              <w:pStyle w:val="naiskr"/>
              <w:jc w:val="both"/>
            </w:pPr>
            <w:r>
              <w:t>Lai izpildītu iepriekš minēto uzdevumu, VARAM sadarbosies ar Finanšu ministriju, Satiksmes ministriju, Ekonomikas ministriju, Latgales plānošanas reģionu un Latgales plānošanas reģiona pašvaldībām, kā arī citām iesaistītajām institūcijām.</w:t>
            </w:r>
          </w:p>
        </w:tc>
      </w:tr>
      <w:tr w:rsidR="00613CD6" w:rsidTr="001A14C7">
        <w:trPr>
          <w:trHeight w:val="61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9602B6" w:rsidP="00FE120D">
            <w:pPr>
              <w:jc w:val="both"/>
            </w:pPr>
            <w:r>
              <w:t>Nav.</w:t>
            </w:r>
          </w:p>
        </w:tc>
      </w:tr>
    </w:tbl>
    <w:p w:rsidR="005B59F6" w:rsidRDefault="005B59F6" w:rsidP="00613CD6">
      <w:pPr>
        <w:pStyle w:val="naiskr"/>
        <w:tabs>
          <w:tab w:val="left" w:pos="2628"/>
        </w:tabs>
        <w:spacing w:before="0" w:after="120"/>
      </w:pPr>
    </w:p>
    <w:tbl>
      <w:tblPr>
        <w:tblW w:w="9640" w:type="dxa"/>
        <w:tblInd w:w="-289" w:type="dxa"/>
        <w:tblCellMar>
          <w:left w:w="10" w:type="dxa"/>
          <w:right w:w="10" w:type="dxa"/>
        </w:tblCellMar>
        <w:tblLook w:val="0000"/>
      </w:tblPr>
      <w:tblGrid>
        <w:gridCol w:w="550"/>
        <w:gridCol w:w="2484"/>
        <w:gridCol w:w="6606"/>
      </w:tblGrid>
      <w:tr w:rsidR="00613CD6" w:rsidTr="00A01BAA">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firstLine="420"/>
              <w:jc w:val="center"/>
              <w:rPr>
                <w:b/>
              </w:rPr>
            </w:pPr>
            <w:r>
              <w:rPr>
                <w:b/>
              </w:rPr>
              <w:t>II. Tiesību akta projekta ietekme uz sabiedrību, tautsaimniecības attīstību un administratīvo slogu</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1.</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 xml:space="preserve">Sabiedrības mērķgrupas, kuras tiesiskais regulējums ietekmē vai varētu </w:t>
            </w:r>
            <w:r>
              <w:lastRenderedPageBreak/>
              <w:t>ietekmēt</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374B86">
            <w:pPr>
              <w:pStyle w:val="naiskr"/>
              <w:jc w:val="both"/>
            </w:pPr>
            <w:r>
              <w:lastRenderedPageBreak/>
              <w:t>Latgales plānošanas reģiona pašvaldības, Latgales plānošanas reģiona attīstības padome, komersanti.</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lastRenderedPageBreak/>
              <w:t>2.</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Tiesiskā regulējuma ietekme uz tautsaimniecību un administratīvo slogu</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Pr="0049506D" w:rsidRDefault="0049506D" w:rsidP="00374B86">
            <w:pPr>
              <w:pStyle w:val="naiskr"/>
              <w:jc w:val="both"/>
            </w:pPr>
            <w:r>
              <w:rPr>
                <w:shd w:val="clear" w:color="auto" w:fill="FFFFFF"/>
              </w:rPr>
              <w:t>S</w:t>
            </w:r>
            <w:r w:rsidRPr="0049506D">
              <w:rPr>
                <w:shd w:val="clear" w:color="auto" w:fill="FFFFFF"/>
              </w:rPr>
              <w:t>abiedrības grupām un institūcijām projekta tiesiskais regulējums nemaina tiesības un pienākumus, kā arī veicamās darbības</w:t>
            </w:r>
            <w:r>
              <w:rPr>
                <w:shd w:val="clear" w:color="auto" w:fill="FFFFFF"/>
              </w:rPr>
              <w:t>.</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3.</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Administratīvo izmaksu monetārs novērtējums</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49506D">
            <w:pPr>
              <w:pStyle w:val="naiskr"/>
              <w:jc w:val="both"/>
            </w:pPr>
            <w:r>
              <w:t>Likumprojekta</w:t>
            </w:r>
            <w:r w:rsidRPr="00631569">
              <w:t xml:space="preserve"> īstenošanai papildus līdzekļi no valsts budžeta nav nepieciešami.</w:t>
            </w:r>
          </w:p>
        </w:tc>
      </w:tr>
      <w:tr w:rsidR="005B59F6" w:rsidTr="00A01BAA">
        <w:trPr>
          <w:trHeight w:val="476"/>
        </w:trPr>
        <w:tc>
          <w:tcPr>
            <w:tcW w:w="55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jc w:val="center"/>
            </w:pPr>
            <w:r>
              <w:t>4.</w:t>
            </w:r>
          </w:p>
        </w:tc>
        <w:tc>
          <w:tcPr>
            <w:tcW w:w="248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5B59F6" w:rsidP="001A14C7">
            <w:pPr>
              <w:pStyle w:val="naiskr"/>
              <w:spacing w:before="0" w:after="0"/>
            </w:pPr>
            <w:r>
              <w:t>Cita informācija</w:t>
            </w:r>
          </w:p>
        </w:tc>
        <w:tc>
          <w:tcPr>
            <w:tcW w:w="6606"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5B59F6" w:rsidRDefault="0049506D" w:rsidP="00374B86">
            <w:pPr>
              <w:pStyle w:val="naiskr"/>
              <w:jc w:val="both"/>
            </w:pPr>
            <w:r>
              <w:t>Nav.</w:t>
            </w:r>
          </w:p>
        </w:tc>
      </w:tr>
    </w:tbl>
    <w:p w:rsidR="00504631" w:rsidRDefault="00504631" w:rsidP="00613CD6">
      <w:pPr>
        <w:pStyle w:val="naiskr"/>
        <w:tabs>
          <w:tab w:val="left" w:pos="2628"/>
        </w:tabs>
        <w:spacing w:before="0" w:after="120"/>
      </w:pPr>
    </w:p>
    <w:p w:rsidR="00613CD6" w:rsidRDefault="00613CD6" w:rsidP="00613CD6">
      <w:pPr>
        <w:pStyle w:val="naiskr"/>
        <w:tabs>
          <w:tab w:val="left" w:pos="2628"/>
        </w:tabs>
        <w:spacing w:before="0" w:after="120"/>
      </w:pPr>
    </w:p>
    <w:tbl>
      <w:tblPr>
        <w:tblW w:w="9641" w:type="dxa"/>
        <w:jc w:val="center"/>
        <w:tblCellMar>
          <w:left w:w="10" w:type="dxa"/>
          <w:right w:w="10" w:type="dxa"/>
        </w:tblCellMar>
        <w:tblLook w:val="0000"/>
      </w:tblPr>
      <w:tblGrid>
        <w:gridCol w:w="3039"/>
        <w:gridCol w:w="1273"/>
        <w:gridCol w:w="1311"/>
        <w:gridCol w:w="1339"/>
        <w:gridCol w:w="1339"/>
        <w:gridCol w:w="1340"/>
      </w:tblGrid>
      <w:tr w:rsidR="00E66EAE" w:rsidTr="003F4FD1">
        <w:trPr>
          <w:trHeight w:val="556"/>
          <w:jc w:val="center"/>
        </w:trPr>
        <w:tc>
          <w:tcPr>
            <w:tcW w:w="964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66EAE" w:rsidRDefault="00E66EAE" w:rsidP="003F4FD1">
            <w:pPr>
              <w:pStyle w:val="naisnod"/>
              <w:spacing w:before="0" w:after="0"/>
            </w:pPr>
            <w:r>
              <w:t>III. Tiesību akta projekta ietekme uz valsts budžetu un pašvaldību budžetiem</w:t>
            </w:r>
          </w:p>
        </w:tc>
      </w:tr>
      <w:tr w:rsidR="00AC5B4A" w:rsidTr="003F4FD1">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
              </w:rPr>
            </w:pPr>
            <w:r>
              <w:rPr>
                <w:b/>
              </w:rPr>
              <w:t>Rādītāji</w:t>
            </w:r>
          </w:p>
        </w:tc>
        <w:tc>
          <w:tcPr>
            <w:tcW w:w="258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
              </w:rPr>
            </w:pPr>
            <w:r>
              <w:rPr>
                <w:b/>
              </w:rPr>
              <w:t>2015. gads</w:t>
            </w:r>
          </w:p>
        </w:tc>
        <w:tc>
          <w:tcPr>
            <w:tcW w:w="4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Turpmākie trīs gadi (</w:t>
            </w:r>
            <w:proofErr w:type="spellStart"/>
            <w:r>
              <w:t>euro</w:t>
            </w:r>
            <w:proofErr w:type="spellEnd"/>
            <w:r>
              <w:t>)</w:t>
            </w:r>
          </w:p>
        </w:tc>
      </w:tr>
      <w:tr w:rsidR="00AC5B4A" w:rsidTr="003F4FD1">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
                <w:i/>
              </w:rPr>
            </w:pPr>
          </w:p>
        </w:tc>
        <w:tc>
          <w:tcPr>
            <w:tcW w:w="2584"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
                <w:i/>
              </w:rPr>
            </w:pP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rPr>
                <w:b/>
                <w:bCs/>
              </w:rPr>
              <w:t>2016</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rPr>
                <w:b/>
                <w:bCs/>
              </w:rPr>
              <w:t>2017</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rPr>
                <w:b/>
                <w:bCs/>
              </w:rPr>
              <w:t>2018</w:t>
            </w:r>
          </w:p>
        </w:tc>
      </w:tr>
      <w:tr w:rsidR="00AC5B4A" w:rsidTr="003F4FD1">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
                <w:i/>
              </w:rPr>
            </w:pP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Saskaņā ar valsts budžetu kārtējam gadam</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Izmaiņas kārtējā gadā, salīdzinot ar budžetu kārtējam gadam</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Izmaiņas, salīdzinot ar kārtējo 2015.gadu</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Izmaiņas, salīdzinot ar kārtējo 2015.gadu</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pPr>
            <w:r>
              <w:t>Izmaiņas, salīdzinot ar kārtējo 2015.gadu</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1</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2</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3</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4</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5</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center"/>
              <w:rPr>
                <w:bCs/>
              </w:rPr>
            </w:pPr>
            <w:r>
              <w:rPr>
                <w:bCs/>
              </w:rPr>
              <w:t>6</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1. Budžeta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+447720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+464880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1.1. valsts pamatbudžets, tai skaitā ieņēmumi no maksas pakalpojumiem un citi pašu ieņēmumi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+89544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+92976</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1.2.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1.3. pašvaldību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+358176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+371904</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2. Budžeta izdevumi:</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144000</w:t>
            </w:r>
          </w:p>
        </w:tc>
      </w:tr>
      <w:tr w:rsidR="00AC5B4A" w:rsidTr="003F4FD1">
        <w:trPr>
          <w:trHeight w:val="645"/>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2.1.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2.2. valsts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 xml:space="preserve">2.3.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144000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p w:rsidR="00AC5B4A" w:rsidRDefault="00AC5B4A" w:rsidP="00AC5B4A">
            <w:pPr>
              <w:pStyle w:val="naisf"/>
              <w:spacing w:before="0" w:after="0"/>
              <w:ind w:firstLine="0"/>
            </w:pPr>
            <w:r>
              <w:t>144000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3. Finansiālā ietekme:</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Default="00AC5B4A" w:rsidP="00AC5B4A">
            <w:pPr>
              <w:pStyle w:val="naisf"/>
              <w:spacing w:before="0" w:after="0"/>
              <w:ind w:firstLine="0"/>
              <w:jc w:val="left"/>
            </w:pPr>
          </w:p>
          <w:p w:rsidR="00AC5B4A" w:rsidRDefault="00AC5B4A" w:rsidP="00AC5B4A">
            <w:pPr>
              <w:pStyle w:val="naisf"/>
              <w:spacing w:before="0" w:after="0"/>
              <w:ind w:firstLine="0"/>
              <w:jc w:val="left"/>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+303720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+320880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3.1. valsts pamatbudžets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+89544</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p>
          <w:p w:rsidR="00AC5B4A" w:rsidRDefault="00AC5B4A" w:rsidP="00AC5B4A">
            <w:pPr>
              <w:pStyle w:val="naisf"/>
              <w:spacing w:before="0" w:after="0"/>
              <w:ind w:firstLine="0"/>
            </w:pPr>
            <w:r>
              <w:t>+92976</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3.2. speciālais budžets</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 xml:space="preserve">3.3. pašvaldību budžets </w:t>
            </w:r>
          </w:p>
        </w:tc>
        <w:tc>
          <w:tcPr>
            <w:tcW w:w="12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+214176</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p>
          <w:p w:rsidR="00AC5B4A" w:rsidRDefault="00AC5B4A" w:rsidP="00AC5B4A">
            <w:pPr>
              <w:pStyle w:val="naisf"/>
              <w:spacing w:before="0" w:after="0"/>
              <w:ind w:firstLine="0"/>
            </w:pPr>
            <w:r>
              <w:t>+227904</w:t>
            </w:r>
          </w:p>
        </w:tc>
      </w:tr>
      <w:tr w:rsidR="00AC5B4A" w:rsidTr="003F4FD1">
        <w:trPr>
          <w:jc w:val="center"/>
        </w:trPr>
        <w:tc>
          <w:tcPr>
            <w:tcW w:w="303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lastRenderedPageBreak/>
              <w:t>4. Finanšu līdzekļi papildu izde</w:t>
            </w:r>
            <w:r>
              <w:softHyphen/>
              <w:t>vumu finansēšanai (kompensējošu izdevumu samazinājumu norāda ar "+" zīmi)</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pPr>
            <w: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5. Precizēta finansiālā ietekme:</w:t>
            </w:r>
          </w:p>
        </w:tc>
        <w:tc>
          <w:tcPr>
            <w:tcW w:w="127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pPr>
            <w:r>
              <w:t>X</w:t>
            </w: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5.1. valsts pamatbudžets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5.2. speciālais budžets</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 xml:space="preserve">5.3. pašvaldību budžets </w:t>
            </w:r>
          </w:p>
        </w:tc>
        <w:tc>
          <w:tcPr>
            <w:tcW w:w="127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jc w:val="center"/>
              <w:rPr>
                <w:i/>
              </w:rPr>
            </w:pPr>
          </w:p>
        </w:tc>
        <w:tc>
          <w:tcPr>
            <w:tcW w:w="13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rPr>
                <w:b/>
                <w:i/>
              </w:rPr>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0"/>
            </w:pPr>
            <w:r>
              <w:t>0</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6. Detalizēts ieņēmumu un izdevu</w:t>
            </w:r>
            <w:r>
              <w:softHyphen/>
              <w:t>mu aprēķins (ja nepieciešams, detalizētu ieņēmumu un izdevumu aprēķinu var pievienot anotācijas pielikumā):</w:t>
            </w:r>
          </w:p>
        </w:tc>
        <w:tc>
          <w:tcPr>
            <w:tcW w:w="6602"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Finansiālā bilance (atšķiras no finansiālās ietekmes, jo tiek ierēķināta iespējamā piemērotā tiešo nodokļu atlaižu summa, kas nav uzskatāma kā valsts budžeta izdevumu sastāvdaļa, jo tiks kompensēta ar Latgales SEZ komercsabiedrību radītajiem ieguldījumiem):</w:t>
            </w:r>
          </w:p>
          <w:p w:rsidR="00AC5B4A" w:rsidRDefault="00AC5B4A" w:rsidP="00AC5B4A">
            <w:pPr>
              <w:jc w:val="both"/>
            </w:pPr>
            <w:r>
              <w:t xml:space="preserve">2017.gadā -144000 </w:t>
            </w:r>
            <w:proofErr w:type="spellStart"/>
            <w:r>
              <w:t>euro</w:t>
            </w:r>
            <w:proofErr w:type="spellEnd"/>
            <w:r>
              <w:t xml:space="preserve"> (2017.gadā finansiālo bilanci ietekmē Latgales SEZ pārvaldības izdevumi, kas tiks segti no to pašvaldību budžetiem, kas būs Latgales SEZ sastāvā) ;</w:t>
            </w:r>
          </w:p>
          <w:p w:rsidR="00AC5B4A" w:rsidRDefault="00AC5B4A" w:rsidP="00AC5B4A">
            <w:pPr>
              <w:jc w:val="both"/>
            </w:pPr>
            <w:r>
              <w:t xml:space="preserve">2018.gadā 3720 </w:t>
            </w:r>
            <w:proofErr w:type="spellStart"/>
            <w:r>
              <w:t>euro</w:t>
            </w:r>
            <w:proofErr w:type="spellEnd"/>
            <w:r>
              <w:t xml:space="preserve"> (2018.gadā finansiālo bilanci ietekmē Latgales SEZ pārvaldības izdevumi, kas tiks segti no to pašvaldību budžetiem, kas būs Latgales SEZ sastāvā, piemērotā tiešo nodokļu atlaižu summa aptuveni 300 000 </w:t>
            </w:r>
            <w:proofErr w:type="spellStart"/>
            <w:r>
              <w:t>euro</w:t>
            </w:r>
            <w:proofErr w:type="spellEnd"/>
            <w:r>
              <w:t xml:space="preserve"> apmērā, kā arī nodokļu ieņēmumi budžetā no strādājošo darba samaksas (ja no prognozes izpildās 65%) 447720, ja SEZ komercsabiedrībās tiek nodarbināti 200 strādājošie).</w:t>
            </w: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6.1. detalizēts ieņēmumu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399"/>
              <w:rPr>
                <w:b/>
                <w:i/>
              </w:rPr>
            </w:pPr>
          </w:p>
        </w:tc>
      </w:tr>
      <w:tr w:rsidR="00AC5B4A" w:rsidTr="003F4FD1">
        <w:trPr>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6.2. detalizēts izdevumu aprēķins</w:t>
            </w:r>
          </w:p>
        </w:tc>
        <w:tc>
          <w:tcPr>
            <w:tcW w:w="6602"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pStyle w:val="naisf"/>
              <w:spacing w:before="0" w:after="0"/>
              <w:ind w:firstLine="356"/>
            </w:pPr>
          </w:p>
        </w:tc>
      </w:tr>
      <w:tr w:rsidR="00AC5B4A" w:rsidTr="003F4FD1">
        <w:trPr>
          <w:trHeight w:val="490"/>
          <w:jc w:val="center"/>
        </w:trPr>
        <w:tc>
          <w:tcPr>
            <w:tcW w:w="30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5B4A" w:rsidRDefault="00AC5B4A" w:rsidP="00AC5B4A">
            <w:pPr>
              <w:jc w:val="both"/>
            </w:pPr>
            <w:r>
              <w:t>7. Cita informācija</w:t>
            </w:r>
          </w:p>
        </w:tc>
        <w:tc>
          <w:tcPr>
            <w:tcW w:w="660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C5B4A" w:rsidRPr="005D4212" w:rsidRDefault="00AC5B4A" w:rsidP="00AC5B4A">
            <w:pPr>
              <w:pStyle w:val="naiskr"/>
              <w:spacing w:before="0" w:after="0"/>
              <w:jc w:val="both"/>
            </w:pPr>
            <w:r>
              <w:t>Nav.</w:t>
            </w:r>
          </w:p>
        </w:tc>
      </w:tr>
    </w:tbl>
    <w:p w:rsidR="00E66EAE" w:rsidRDefault="00E66EAE" w:rsidP="00613CD6">
      <w:pPr>
        <w:pStyle w:val="naiskr"/>
        <w:tabs>
          <w:tab w:val="left" w:pos="2628"/>
        </w:tabs>
        <w:spacing w:before="0" w:after="120"/>
      </w:pPr>
    </w:p>
    <w:p w:rsidR="00E66EAE" w:rsidRDefault="00E66EAE" w:rsidP="00613CD6">
      <w:pPr>
        <w:pStyle w:val="naiskr"/>
        <w:tabs>
          <w:tab w:val="left" w:pos="2628"/>
        </w:tabs>
        <w:spacing w:before="0" w:after="120"/>
      </w:pPr>
    </w:p>
    <w:tbl>
      <w:tblPr>
        <w:tblW w:w="9640" w:type="dxa"/>
        <w:tblInd w:w="-289" w:type="dxa"/>
        <w:tblCellMar>
          <w:left w:w="10" w:type="dxa"/>
          <w:right w:w="10" w:type="dxa"/>
        </w:tblCellMar>
        <w:tblLook w:val="0000"/>
      </w:tblPr>
      <w:tblGrid>
        <w:gridCol w:w="568"/>
        <w:gridCol w:w="2410"/>
        <w:gridCol w:w="6662"/>
      </w:tblGrid>
      <w:tr w:rsidR="00613CD6" w:rsidTr="001A14C7">
        <w:trPr>
          <w:trHeight w:val="616"/>
        </w:trPr>
        <w:tc>
          <w:tcPr>
            <w:tcW w:w="96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ind w:firstLine="420"/>
              <w:jc w:val="center"/>
              <w:rPr>
                <w:b/>
              </w:rPr>
            </w:pPr>
          </w:p>
          <w:p w:rsidR="00613CD6" w:rsidRDefault="00613CD6" w:rsidP="001A14C7">
            <w:pPr>
              <w:pStyle w:val="naiskr"/>
              <w:spacing w:before="0" w:after="0"/>
              <w:ind w:firstLine="420"/>
              <w:jc w:val="center"/>
              <w:rPr>
                <w:b/>
              </w:rPr>
            </w:pPr>
            <w:r>
              <w:rPr>
                <w:b/>
              </w:rPr>
              <w:t>IV. Tiesību akta projekta ietekme uz spēkā esošo tiesību normu sistēmu</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Nepieciešamie saistītie tiesību aktu projekti</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441A7F" w:rsidP="0049506D">
            <w:pPr>
              <w:pStyle w:val="naiskr"/>
              <w:spacing w:before="0" w:after="0"/>
              <w:ind w:right="132"/>
              <w:jc w:val="both"/>
            </w:pPr>
            <w:r w:rsidRPr="00821AFA">
              <w:t xml:space="preserve">Likumprojekts </w:t>
            </w:r>
            <w:r w:rsidR="0049506D">
              <w:t>izskatāms vienlaicīgi</w:t>
            </w:r>
            <w:r>
              <w:t xml:space="preserve"> ar likumprojektu </w:t>
            </w:r>
            <w:r w:rsidR="0049506D">
              <w:t>“</w:t>
            </w:r>
            <w:r>
              <w:t>Grozījum</w:t>
            </w:r>
            <w:r w:rsidR="00C605ED">
              <w:t>i</w:t>
            </w:r>
            <w:r w:rsidRPr="00821AFA">
              <w:t xml:space="preserve"> </w:t>
            </w:r>
            <w:r w:rsidR="0049506D">
              <w:t>likumā “</w:t>
            </w:r>
            <w:bookmarkStart w:id="2" w:name="OLE_LINK3"/>
            <w:r w:rsidR="0049506D">
              <w:t>Par nodokļu piemērošanu brīvostās un speciālajās ekonomiskajās zonās</w:t>
            </w:r>
            <w:bookmarkEnd w:id="2"/>
            <w:r w:rsidR="0049506D">
              <w:t>””</w:t>
            </w:r>
            <w:r w:rsidR="00607329">
              <w:t>, kurā kā viena no speciālajām ekonomiskajām zonām</w:t>
            </w:r>
            <w:r w:rsidR="0074153F">
              <w:t>, uz kuru attiecas likuma nosacījumi,</w:t>
            </w:r>
            <w:r w:rsidR="00607329">
              <w:t xml:space="preserve"> tiks iekļauta arī Latgales SEZ teritorija</w:t>
            </w:r>
            <w:r w:rsidR="004D7643">
              <w:t>.</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Atbildīgā institūcija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613CD6" w:rsidP="0049506D">
            <w:pPr>
              <w:pStyle w:val="naiskr"/>
              <w:spacing w:before="0" w:after="0"/>
              <w:jc w:val="both"/>
            </w:pPr>
            <w:r>
              <w:t xml:space="preserve">Vides aizsardzības un reģionālās attīstības ministrija. </w:t>
            </w:r>
          </w:p>
        </w:tc>
      </w:tr>
      <w:tr w:rsidR="00613CD6" w:rsidTr="001A14C7">
        <w:trPr>
          <w:trHeight w:val="616"/>
        </w:trPr>
        <w:tc>
          <w:tcPr>
            <w:tcW w:w="56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jc w:val="center"/>
              <w:rPr>
                <w:color w:val="000000"/>
              </w:rPr>
            </w:pPr>
            <w:r>
              <w:rPr>
                <w:color w:val="000000"/>
              </w:rPr>
              <w:t>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rsidR="00613CD6" w:rsidRDefault="00613CD6" w:rsidP="001A14C7">
            <w:pPr>
              <w:pStyle w:val="naiskr"/>
              <w:spacing w:before="0" w:after="0"/>
              <w:rPr>
                <w:color w:val="000000"/>
              </w:rPr>
            </w:pPr>
            <w:r>
              <w:rPr>
                <w:color w:val="000000"/>
              </w:rPr>
              <w:t>Cita informācija</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613CD6" w:rsidRDefault="00BE07C2" w:rsidP="00F54855">
            <w:pPr>
              <w:pStyle w:val="naiskr"/>
              <w:spacing w:before="0" w:after="0"/>
              <w:jc w:val="both"/>
            </w:pPr>
            <w:r>
              <w:t>Nav.</w:t>
            </w:r>
            <w:r w:rsidR="00F54855">
              <w:t xml:space="preserve"> </w:t>
            </w:r>
          </w:p>
        </w:tc>
      </w:tr>
    </w:tbl>
    <w:p w:rsidR="005B4448" w:rsidRDefault="005B4448" w:rsidP="00613CD6">
      <w:pPr>
        <w:pStyle w:val="naiskr"/>
        <w:tabs>
          <w:tab w:val="left" w:pos="2628"/>
        </w:tabs>
        <w:spacing w:before="0" w:after="120"/>
      </w:pPr>
    </w:p>
    <w:tbl>
      <w:tblPr>
        <w:tblW w:w="5252" w:type="pct"/>
        <w:tblInd w:w="-292"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727"/>
        <w:gridCol w:w="2204"/>
        <w:gridCol w:w="6661"/>
      </w:tblGrid>
      <w:tr w:rsidR="0049506D" w:rsidRPr="00631569" w:rsidTr="004B234D">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tcPr>
          <w:p w:rsidR="0049506D" w:rsidRPr="00631569" w:rsidRDefault="0049506D" w:rsidP="0049506D">
            <w:pPr>
              <w:spacing w:after="120"/>
              <w:jc w:val="center"/>
            </w:pPr>
            <w:r w:rsidRPr="00631569">
              <w:rPr>
                <w:b/>
                <w:bCs/>
                <w:bdr w:val="none" w:sz="0" w:space="0" w:color="auto" w:frame="1"/>
              </w:rPr>
              <w:t>V. Tiesību akta projekta atbilstība Latvijas Republikas starptautiskajām saistībām</w:t>
            </w:r>
          </w:p>
        </w:tc>
      </w:tr>
      <w:tr w:rsidR="00BE07C2" w:rsidRPr="004B234D" w:rsidTr="00BE07C2">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rPr>
                <w:lang w:val="en-US"/>
              </w:rPr>
            </w:pPr>
            <w:r w:rsidRPr="004B234D">
              <w:rPr>
                <w:lang w:val="en-US"/>
              </w:rPr>
              <w:t>1.</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ind w:firstLine="15"/>
              <w:rPr>
                <w:lang w:val="en-US"/>
              </w:rPr>
            </w:pPr>
            <w:proofErr w:type="spellStart"/>
            <w:r w:rsidRPr="004B234D">
              <w:rPr>
                <w:lang w:val="en-US"/>
              </w:rPr>
              <w:t>Saistības</w:t>
            </w:r>
            <w:proofErr w:type="spellEnd"/>
            <w:r w:rsidRPr="004B234D">
              <w:rPr>
                <w:lang w:val="en-US"/>
              </w:rPr>
              <w:t xml:space="preserve"> </w:t>
            </w:r>
            <w:proofErr w:type="spellStart"/>
            <w:r w:rsidRPr="004B234D">
              <w:rPr>
                <w:lang w:val="en-US"/>
              </w:rPr>
              <w:t>pret</w:t>
            </w:r>
            <w:proofErr w:type="spellEnd"/>
            <w:r w:rsidRPr="004B234D">
              <w:rPr>
                <w:lang w:val="en-US"/>
              </w:rPr>
              <w:t xml:space="preserve"> </w:t>
            </w:r>
            <w:proofErr w:type="spellStart"/>
            <w:r w:rsidRPr="004B234D">
              <w:rPr>
                <w:lang w:val="en-US"/>
              </w:rPr>
              <w:t>Eiropas</w:t>
            </w:r>
            <w:proofErr w:type="spellEnd"/>
            <w:r w:rsidRPr="004B234D">
              <w:rPr>
                <w:lang w:val="en-US"/>
              </w:rPr>
              <w:t xml:space="preserve"> </w:t>
            </w:r>
            <w:proofErr w:type="spellStart"/>
            <w:r w:rsidRPr="004B234D">
              <w:rPr>
                <w:lang w:val="en-US"/>
              </w:rPr>
              <w:t>Savienību</w:t>
            </w:r>
            <w:proofErr w:type="spellEnd"/>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3766E0" w:rsidRDefault="004B234D">
            <w:pPr>
              <w:pStyle w:val="naisf"/>
              <w:ind w:firstLine="0"/>
              <w:rPr>
                <w:lang w:val="en-US"/>
              </w:rPr>
            </w:pPr>
            <w:proofErr w:type="spellStart"/>
            <w:r>
              <w:rPr>
                <w:lang w:val="en-US"/>
              </w:rPr>
              <w:t>Nav</w:t>
            </w:r>
            <w:proofErr w:type="spellEnd"/>
            <w:r>
              <w:rPr>
                <w:lang w:val="en-US"/>
              </w:rPr>
              <w:t xml:space="preserve"> </w:t>
            </w:r>
            <w:proofErr w:type="spellStart"/>
            <w:r>
              <w:rPr>
                <w:lang w:val="en-US"/>
              </w:rPr>
              <w:t>attiecināms</w:t>
            </w:r>
            <w:proofErr w:type="spellEnd"/>
            <w:r w:rsidR="00BE07C2">
              <w:rPr>
                <w:lang w:val="en-US"/>
              </w:rPr>
              <w:t>.</w:t>
            </w:r>
          </w:p>
        </w:tc>
      </w:tr>
      <w:tr w:rsidR="00BE07C2" w:rsidRPr="004B234D" w:rsidTr="00BE07C2">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rPr>
                <w:lang w:val="en-US"/>
              </w:rPr>
            </w:pPr>
            <w:r w:rsidRPr="004B234D">
              <w:rPr>
                <w:lang w:val="en-US"/>
              </w:rPr>
              <w:t>2.</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ind w:firstLine="0"/>
              <w:rPr>
                <w:lang w:val="en-US"/>
              </w:rPr>
            </w:pPr>
            <w:proofErr w:type="spellStart"/>
            <w:r w:rsidRPr="004B234D">
              <w:rPr>
                <w:lang w:val="en-US"/>
              </w:rPr>
              <w:t>Citas</w:t>
            </w:r>
            <w:proofErr w:type="spellEnd"/>
            <w:r w:rsidRPr="004B234D">
              <w:rPr>
                <w:lang w:val="en-US"/>
              </w:rPr>
              <w:t xml:space="preserve"> </w:t>
            </w:r>
            <w:proofErr w:type="spellStart"/>
            <w:r w:rsidRPr="004B234D">
              <w:rPr>
                <w:lang w:val="en-US"/>
              </w:rPr>
              <w:t>starptautiskās</w:t>
            </w:r>
            <w:proofErr w:type="spellEnd"/>
            <w:r w:rsidRPr="004B234D">
              <w:rPr>
                <w:lang w:val="en-US"/>
              </w:rPr>
              <w:t xml:space="preserve"> </w:t>
            </w:r>
            <w:proofErr w:type="spellStart"/>
            <w:r w:rsidRPr="004B234D">
              <w:rPr>
                <w:lang w:val="en-US"/>
              </w:rPr>
              <w:t>saistības</w:t>
            </w:r>
            <w:proofErr w:type="spellEnd"/>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3766E0" w:rsidRDefault="00BE07C2">
            <w:pPr>
              <w:pStyle w:val="naisf"/>
              <w:ind w:firstLine="0"/>
              <w:rPr>
                <w:lang w:val="en-US"/>
              </w:rPr>
            </w:pPr>
            <w:proofErr w:type="spellStart"/>
            <w:r>
              <w:rPr>
                <w:lang w:val="en-US"/>
              </w:rPr>
              <w:t>Nav</w:t>
            </w:r>
            <w:proofErr w:type="spellEnd"/>
            <w:r>
              <w:rPr>
                <w:lang w:val="en-US"/>
              </w:rPr>
              <w:t xml:space="preserve"> </w:t>
            </w:r>
            <w:proofErr w:type="spellStart"/>
            <w:r>
              <w:rPr>
                <w:lang w:val="en-US"/>
              </w:rPr>
              <w:t>attiecināms</w:t>
            </w:r>
            <w:proofErr w:type="spellEnd"/>
            <w:r>
              <w:rPr>
                <w:lang w:val="en-US"/>
              </w:rPr>
              <w:t>.</w:t>
            </w:r>
          </w:p>
        </w:tc>
      </w:tr>
      <w:tr w:rsidR="00BE07C2" w:rsidRPr="004B234D" w:rsidTr="00BE07C2">
        <w:tc>
          <w:tcPr>
            <w:tcW w:w="37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rPr>
                <w:lang w:val="en-US"/>
              </w:rPr>
            </w:pPr>
            <w:r w:rsidRPr="004B234D">
              <w:rPr>
                <w:lang w:val="en-US"/>
              </w:rPr>
              <w:lastRenderedPageBreak/>
              <w:t>3.</w:t>
            </w:r>
          </w:p>
        </w:tc>
        <w:tc>
          <w:tcPr>
            <w:tcW w:w="1149" w:type="pct"/>
            <w:tcBorders>
              <w:top w:val="outset" w:sz="6" w:space="0" w:color="414142"/>
              <w:left w:val="outset" w:sz="6" w:space="0" w:color="414142"/>
              <w:bottom w:val="outset" w:sz="6" w:space="0" w:color="414142"/>
              <w:right w:val="outset" w:sz="6" w:space="0" w:color="414142"/>
            </w:tcBorders>
            <w:shd w:val="clear" w:color="auto" w:fill="FFFFFF"/>
            <w:hideMark/>
          </w:tcPr>
          <w:p w:rsidR="004B234D" w:rsidRPr="004B234D" w:rsidRDefault="004B234D" w:rsidP="004B234D">
            <w:pPr>
              <w:pStyle w:val="naisf"/>
              <w:ind w:firstLine="15"/>
              <w:rPr>
                <w:lang w:val="en-US"/>
              </w:rPr>
            </w:pPr>
            <w:proofErr w:type="spellStart"/>
            <w:r w:rsidRPr="004B234D">
              <w:rPr>
                <w:lang w:val="en-US"/>
              </w:rPr>
              <w:t>Cita</w:t>
            </w:r>
            <w:proofErr w:type="spellEnd"/>
            <w:r w:rsidRPr="004B234D">
              <w:rPr>
                <w:lang w:val="en-US"/>
              </w:rPr>
              <w:t xml:space="preserve"> </w:t>
            </w:r>
            <w:proofErr w:type="spellStart"/>
            <w:r w:rsidRPr="004B234D">
              <w:rPr>
                <w:lang w:val="en-US"/>
              </w:rPr>
              <w:t>informācija</w:t>
            </w:r>
            <w:proofErr w:type="spellEnd"/>
          </w:p>
        </w:tc>
        <w:tc>
          <w:tcPr>
            <w:tcW w:w="3472" w:type="pct"/>
            <w:tcBorders>
              <w:top w:val="outset" w:sz="6" w:space="0" w:color="414142"/>
              <w:left w:val="outset" w:sz="6" w:space="0" w:color="414142"/>
              <w:bottom w:val="outset" w:sz="6" w:space="0" w:color="414142"/>
              <w:right w:val="outset" w:sz="6" w:space="0" w:color="414142"/>
            </w:tcBorders>
            <w:shd w:val="clear" w:color="auto" w:fill="FFFFFF"/>
            <w:hideMark/>
          </w:tcPr>
          <w:p w:rsidR="00BE07C2" w:rsidRDefault="00BE07C2" w:rsidP="00BE07C2">
            <w:pPr>
              <w:jc w:val="both"/>
            </w:pPr>
            <w:r>
              <w:t>Likums “Par nodokļu piemērošanu brīvostās un speciālajās ekonomiskajās zonās”</w:t>
            </w:r>
            <w:r w:rsidRPr="00607329">
              <w:t xml:space="preserve"> ir valsts atbalsta programma, kas ir ieviesta saskaņā ar Komisijas regulu Nr.651/2014 (2014.gada 17.jūnijs), ar ko noteiktas atbalsta kategorijas atzīst par saderīgām ar iekšējo tirgu, piemērojot L</w:t>
            </w:r>
            <w:r>
              <w:t xml:space="preserve">īguma 107. un 108.pantu, </w:t>
            </w:r>
            <w:r w:rsidRPr="00607329">
              <w:t xml:space="preserve">un tai piešķirts valsts atbalsta lietas Nr. </w:t>
            </w:r>
            <w:r w:rsidRPr="00F436C5">
              <w:t>SA.39142</w:t>
            </w:r>
            <w:r>
              <w:rPr>
                <w:rStyle w:val="FootnoteReference"/>
              </w:rPr>
              <w:footnoteReference w:id="10"/>
            </w:r>
            <w:r>
              <w:t xml:space="preserve">. </w:t>
            </w:r>
          </w:p>
          <w:p w:rsidR="00BE07C2" w:rsidRDefault="00BE07C2" w:rsidP="00BE07C2">
            <w:pPr>
              <w:jc w:val="both"/>
            </w:pPr>
            <w:r>
              <w:t>Ņemot vērā, ka likumprojekts paredz Latgales SEZ izveidi, nepieciešams veikt grozījumus likumā “Par nodokļu piemērošanu brīvostās un speciālajās ekonomiskajās zonās”, lai nodokļu atvieglojumi būtu piemērojami arī tām kapitālsabiedrībām, kuras darbosies Latgales SEZ.</w:t>
            </w:r>
          </w:p>
          <w:p w:rsidR="00BE07C2" w:rsidRDefault="00BE07C2" w:rsidP="00BE07C2">
            <w:pPr>
              <w:jc w:val="both"/>
            </w:pPr>
          </w:p>
          <w:p w:rsidR="00BE07C2" w:rsidRPr="00F60163" w:rsidRDefault="00BE07C2" w:rsidP="00BE07C2">
            <w:pPr>
              <w:jc w:val="both"/>
              <w:rPr>
                <w:bCs/>
              </w:rPr>
            </w:pPr>
            <w:r>
              <w:t>Saskaņā ar Padomes regulas</w:t>
            </w:r>
            <w:r w:rsidRPr="00D92D0A">
              <w:t xml:space="preserve"> (EK) Nr. </w:t>
            </w:r>
            <w:r>
              <w:t>659/1999 (1999. gada 22. marts) 1.panta c) punktu jauns valsts atbalsts ir arī esošā atbalsta grozījumi līdz ar to atbilstoši Komisijas regulas</w:t>
            </w:r>
            <w:r w:rsidRPr="00607329">
              <w:t xml:space="preserve"> Nr.651/2014</w:t>
            </w:r>
            <w:r>
              <w:t xml:space="preserve"> </w:t>
            </w:r>
            <w:r w:rsidRPr="00607329">
              <w:t>(2014.gada 17.jūnijs)</w:t>
            </w:r>
            <w:r>
              <w:t xml:space="preserve"> 11.pantam 20 darbdienu laikā no “Grozījumi</w:t>
            </w:r>
            <w:r w:rsidRPr="00821AFA">
              <w:t xml:space="preserve"> </w:t>
            </w:r>
            <w:r>
              <w:t>likumā “Par nodokļu piemērošanu brīvostās un speciālajās ekonomiskajās zonās”” stāšanās spēkā Eiropas Komisijai ir jāiesniedz kopsavilkuma informācija atbilstoši regulā noteiktajai formai. VARAM sagatavos nepieciešamo kopsavilkuma informāciju un iesniegs to Eiropas Komisijai saskaņā ar Ministru Kabineta 2014.gada 16.decembra noteikumiem Nr.759 „</w:t>
            </w:r>
            <w:r w:rsidRPr="00021BFD">
              <w:rPr>
                <w:bCs/>
              </w:rPr>
              <w:t>Kārtība, kādā Eiropas Komisijā iesniedz atbalsta programmu un individuālo atbalsta projektu paziņojumus un kopsavilkuma informāciju, un kārtība, kādā piešķir un anulē elektroniskās sistēmas lietošanas tiesības</w:t>
            </w:r>
            <w:r>
              <w:rPr>
                <w:bCs/>
              </w:rPr>
              <w:t>”.</w:t>
            </w:r>
          </w:p>
          <w:p w:rsidR="003766E0" w:rsidRDefault="00BE07C2">
            <w:pPr>
              <w:pStyle w:val="naisf"/>
              <w:ind w:firstLine="0"/>
              <w:rPr>
                <w:lang w:val="en-US"/>
              </w:rPr>
            </w:pPr>
            <w:r>
              <w:t>Saskaņā ar atbalsta shēmu ikgadējais ieplānotais budžets nepārsniedz EUR 7 100 000 un tās ilgums ir no 11.07.2014 līdz</w:t>
            </w:r>
            <w:r w:rsidRPr="00576B62">
              <w:t xml:space="preserve"> 31.12.2020</w:t>
            </w:r>
            <w:r>
              <w:t>. Ņemot vērā, ka Latgales SEZ izveides rezultātā palielināsies to uzņēmumu skaits, kas pretendēs uz nodokļu atvieglojumiem likuma “Par nodokļu piemērošanu brīvostās un speciālajās ekonomiskajās zonās” grozījumu rezultātā, var palielināties kopējais Latvijas paziņotais atbalsta shēmas budžets. Ja grozījumu rezultātā atbilstoši Komisijas regulai Nr. 794/2004 (2004. gada 21. aprīlis) atbalsta shēmas budžets nepārsniedz 20% no kopējā sākotnēji paziņotā (apmēram EUR 35 500 000 līdz 2020. gadam), tad jauna kopsavilkuma informācija par shēmas budžetu Eiropas Komisijai nav jāiesniedz. Pēc VARAM prognozēm, kas tiks iekļautas likumprojekta “Grozījumi</w:t>
            </w:r>
            <w:r w:rsidRPr="00821AFA">
              <w:t xml:space="preserve"> </w:t>
            </w:r>
            <w:r>
              <w:t xml:space="preserve">likumā “Par nodokļu piemērošanu brīvostās un speciālajās ekonomiskajās zonās”” anotācijā, šāds pieaugums (apmēram EUR 7 000 000 līdz 2020.gadam) netiks sasniegts Latgales SEZ izveides rezultātā. Rezultātā jauna kopsavilkuma informācija nebūs jāiesniedz.   </w:t>
            </w:r>
          </w:p>
        </w:tc>
      </w:tr>
    </w:tbl>
    <w:p w:rsidR="00613CD6" w:rsidRDefault="00613CD6" w:rsidP="00613CD6">
      <w:pPr>
        <w:pStyle w:val="naisf"/>
        <w:ind w:firstLine="0"/>
      </w:pPr>
    </w:p>
    <w:tbl>
      <w:tblPr>
        <w:tblW w:w="9762" w:type="dxa"/>
        <w:jc w:val="center"/>
        <w:tblCellMar>
          <w:left w:w="10" w:type="dxa"/>
          <w:right w:w="10" w:type="dxa"/>
        </w:tblCellMar>
        <w:tblLook w:val="0000"/>
      </w:tblPr>
      <w:tblGrid>
        <w:gridCol w:w="498"/>
        <w:gridCol w:w="2474"/>
        <w:gridCol w:w="6790"/>
      </w:tblGrid>
      <w:tr w:rsidR="00EF642A" w:rsidTr="001A14C7">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EF642A" w:rsidRDefault="00EF642A" w:rsidP="001A14C7">
            <w:pPr>
              <w:pStyle w:val="naisnod"/>
              <w:spacing w:before="0" w:after="0"/>
              <w:ind w:left="57" w:right="57"/>
            </w:pPr>
            <w:r w:rsidRPr="00631569">
              <w:t>VI</w:t>
            </w:r>
            <w:r>
              <w:t>.</w:t>
            </w:r>
            <w:r w:rsidRPr="00631569">
              <w:t xml:space="preserve"> </w:t>
            </w:r>
            <w:r w:rsidRPr="00F0172E">
              <w:rPr>
                <w:bCs w:val="0"/>
                <w:shd w:val="clear" w:color="auto" w:fill="FFFFFF"/>
              </w:rPr>
              <w:t>Sabiedrības līdzdalība un komunikācijas aktivitātes</w:t>
            </w:r>
          </w:p>
        </w:tc>
      </w:tr>
      <w:tr w:rsidR="00EF642A" w:rsidTr="001A14C7">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f"/>
              <w:spacing w:before="0" w:after="0"/>
              <w:ind w:left="57" w:right="57" w:firstLine="0"/>
              <w:jc w:val="left"/>
            </w:pPr>
            <w:r w:rsidRPr="00FA3933">
              <w:t xml:space="preserve">Plānotās sabiedrības </w:t>
            </w:r>
            <w:r w:rsidRPr="00FA3933">
              <w:lastRenderedPageBreak/>
              <w:t>līdzdalības un komunikācijas aktivitātes saistībā ar projektu</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Pr="0039006D" w:rsidRDefault="007F44DD" w:rsidP="002F1EF5">
            <w:pPr>
              <w:pStyle w:val="naisnod"/>
              <w:spacing w:before="0" w:after="0"/>
              <w:ind w:right="57"/>
              <w:jc w:val="both"/>
              <w:rPr>
                <w:b w:val="0"/>
                <w:color w:val="000000" w:themeColor="text1"/>
              </w:rPr>
            </w:pPr>
            <w:r w:rsidRPr="007F44DD">
              <w:rPr>
                <w:b w:val="0"/>
              </w:rPr>
              <w:lastRenderedPageBreak/>
              <w:t xml:space="preserve">Vides aizsardzības un reģionālās attīstības ministrija saskaņā ar </w:t>
            </w:r>
            <w:r w:rsidRPr="007F44DD">
              <w:rPr>
                <w:b w:val="0"/>
                <w:color w:val="000000" w:themeColor="text1"/>
              </w:rPr>
              <w:lastRenderedPageBreak/>
              <w:t>ministrijas 2015.gada 19.jūnija rīkojumu Nr.167 ir izveidojusi darba grupu “Par darba grupas izveidi speciālās ekonomiskās zonas statusa piešķiršanai papildus teritorijām Latgales</w:t>
            </w:r>
            <w:r>
              <w:rPr>
                <w:b w:val="0"/>
                <w:color w:val="000000" w:themeColor="text1"/>
              </w:rPr>
              <w:t xml:space="preserve"> plānošanas reģiona teritorijā”, kurā</w:t>
            </w:r>
            <w:r w:rsidR="009602B6">
              <w:rPr>
                <w:b w:val="0"/>
                <w:color w:val="000000" w:themeColor="text1"/>
              </w:rPr>
              <w:t xml:space="preserve"> ir iekļauti pārstāvji no Finanšu ministrijas, Ekonomikas ministrijas, Satiksmes ministrijas un Latgales plānošanas reģiona, turklāt</w:t>
            </w:r>
            <w:r>
              <w:rPr>
                <w:b w:val="0"/>
                <w:color w:val="000000" w:themeColor="text1"/>
              </w:rPr>
              <w:t xml:space="preserve"> bez darba grupas locekļiem</w:t>
            </w:r>
            <w:r w:rsidR="009602B6">
              <w:rPr>
                <w:b w:val="0"/>
                <w:color w:val="000000" w:themeColor="text1"/>
              </w:rPr>
              <w:t xml:space="preserve"> </w:t>
            </w:r>
            <w:r>
              <w:rPr>
                <w:b w:val="0"/>
                <w:color w:val="000000" w:themeColor="text1"/>
              </w:rPr>
              <w:t>piesaistīti citi speciālisti vai eksperti, piemēram, Latgales plānošanas reģiona Attīstības padomes vadība,  u.c.</w:t>
            </w:r>
          </w:p>
        </w:tc>
      </w:tr>
      <w:tr w:rsidR="00EF642A" w:rsidTr="001A14C7">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nod"/>
              <w:spacing w:before="0" w:after="0"/>
              <w:ind w:left="57" w:right="57"/>
              <w:jc w:val="left"/>
              <w:rPr>
                <w:b w:val="0"/>
              </w:rPr>
            </w:pPr>
            <w:r>
              <w:rPr>
                <w:b w:val="0"/>
              </w:rPr>
              <w:lastRenderedPageBreak/>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f"/>
              <w:spacing w:before="0" w:after="0"/>
              <w:ind w:left="36" w:right="57" w:firstLine="0"/>
              <w:jc w:val="left"/>
            </w:pPr>
            <w:r w:rsidRPr="00FA3933">
              <w:t>Sabiedrības līdzdalība projekta izstrādē</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9602B6" w:rsidP="00752676">
            <w:pPr>
              <w:pStyle w:val="naisnod"/>
              <w:spacing w:before="0" w:after="120"/>
              <w:ind w:right="57"/>
              <w:jc w:val="both"/>
              <w:rPr>
                <w:b w:val="0"/>
              </w:rPr>
            </w:pPr>
            <w:r>
              <w:rPr>
                <w:b w:val="0"/>
              </w:rPr>
              <w:t>Vides aizsardzības un reģionālās attīstības ministrija papildus augstākminēto darba grupas locekļu viedokļiem ir apkopojusi Rēzeknes speciālās ekonomiskās zonas pārvaldes viedokli, kā arī visu Latgales plānošanas reģiona pašvaldības viedokļus par SEZ izveidi Latgalē.</w:t>
            </w:r>
          </w:p>
          <w:p w:rsidR="00752676" w:rsidRPr="007F44DD" w:rsidRDefault="00752676" w:rsidP="00752676">
            <w:pPr>
              <w:pStyle w:val="naisnod"/>
              <w:spacing w:before="0" w:after="120"/>
              <w:ind w:right="57"/>
              <w:jc w:val="both"/>
              <w:rPr>
                <w:b w:val="0"/>
              </w:rPr>
            </w:pPr>
            <w:r>
              <w:rPr>
                <w:b w:val="0"/>
              </w:rPr>
              <w:t>Atsauce uz likumprojekta izstrādi publicēta VARAM mājas lapā.</w:t>
            </w:r>
          </w:p>
        </w:tc>
      </w:tr>
      <w:tr w:rsidR="00EF642A"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t>3.</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rsidRPr="00FA3933">
              <w:t>Sabiedrības līdzdalības rezultāti</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752676" w:rsidRDefault="009602B6" w:rsidP="00752676">
            <w:pPr>
              <w:pStyle w:val="naiskr"/>
              <w:spacing w:before="0" w:after="120"/>
              <w:ind w:right="57"/>
            </w:pPr>
            <w:r>
              <w:t>Augstākminētā darba grupa un citas institūcijas atbalsta likumprojekta virzību apstiprināšanai Saeimā.</w:t>
            </w:r>
          </w:p>
          <w:p w:rsidR="00752676" w:rsidRDefault="00752676" w:rsidP="00752676">
            <w:pPr>
              <w:pStyle w:val="naiskr"/>
              <w:spacing w:before="0" w:after="120"/>
              <w:ind w:right="57"/>
            </w:pPr>
            <w:r w:rsidRPr="00631569">
              <w:t>Sabiedrības priekšlikumi vai iebildumi nav saņemti.</w:t>
            </w:r>
          </w:p>
        </w:tc>
      </w:tr>
      <w:tr w:rsidR="00EF642A"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EF642A" w:rsidP="001A14C7">
            <w:pPr>
              <w:pStyle w:val="naiskr"/>
              <w:spacing w:before="0" w:after="0"/>
              <w:ind w:left="57" w:right="57"/>
            </w:pPr>
            <w:r>
              <w:t>4.</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Pr="00FA3933" w:rsidRDefault="00EF642A" w:rsidP="001A14C7">
            <w:pPr>
              <w:pStyle w:val="naiskr"/>
              <w:spacing w:before="0" w:after="0"/>
              <w:ind w:left="57" w:right="57"/>
            </w:pPr>
            <w:r w:rsidRPr="00631569">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EF642A" w:rsidRDefault="007F44DD" w:rsidP="007F44DD">
            <w:pPr>
              <w:pStyle w:val="naiskr"/>
              <w:spacing w:before="0" w:after="0"/>
              <w:ind w:right="57"/>
            </w:pPr>
            <w:r>
              <w:t>Nav.</w:t>
            </w:r>
          </w:p>
        </w:tc>
      </w:tr>
    </w:tbl>
    <w:p w:rsidR="00613CD6" w:rsidRDefault="00613CD6" w:rsidP="00A80B81">
      <w:pPr>
        <w:pStyle w:val="naisf"/>
        <w:ind w:firstLine="0"/>
      </w:pPr>
    </w:p>
    <w:tbl>
      <w:tblPr>
        <w:tblW w:w="9762" w:type="dxa"/>
        <w:jc w:val="center"/>
        <w:tblCellMar>
          <w:left w:w="10" w:type="dxa"/>
          <w:right w:w="10" w:type="dxa"/>
        </w:tblCellMar>
        <w:tblLook w:val="0000"/>
      </w:tblPr>
      <w:tblGrid>
        <w:gridCol w:w="498"/>
        <w:gridCol w:w="2474"/>
        <w:gridCol w:w="6790"/>
      </w:tblGrid>
      <w:tr w:rsidR="00613CD6" w:rsidTr="001A14C7">
        <w:trPr>
          <w:trHeight w:val="556"/>
          <w:jc w:val="center"/>
        </w:trPr>
        <w:tc>
          <w:tcPr>
            <w:tcW w:w="9762" w:type="dxa"/>
            <w:gridSpan w:val="3"/>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vAlign w:val="center"/>
          </w:tcPr>
          <w:p w:rsidR="00613CD6" w:rsidRDefault="00613CD6" w:rsidP="001A14C7">
            <w:pPr>
              <w:pStyle w:val="naisnod"/>
              <w:spacing w:before="0" w:after="0"/>
              <w:ind w:left="57" w:right="57"/>
            </w:pPr>
            <w:r>
              <w:t>VII. Tiesību akta projekta izpildes nodrošināšana un tās ietekme uz institūcijām</w:t>
            </w:r>
          </w:p>
        </w:tc>
      </w:tr>
      <w:tr w:rsidR="00613CD6" w:rsidTr="001A14C7">
        <w:trPr>
          <w:trHeight w:val="427"/>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nod"/>
              <w:spacing w:before="0" w:after="0"/>
              <w:ind w:left="57" w:right="57"/>
              <w:jc w:val="left"/>
              <w:rPr>
                <w:b w:val="0"/>
              </w:rPr>
            </w:pPr>
            <w:r>
              <w:rPr>
                <w:b w:val="0"/>
              </w:rPr>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f"/>
              <w:spacing w:before="0" w:after="0"/>
              <w:ind w:left="57" w:right="57" w:firstLine="0"/>
              <w:jc w:val="left"/>
            </w:pPr>
            <w:r>
              <w:t xml:space="preserve">Projekta izpildē iesaistītās institūcijas </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Pr="0022015D" w:rsidRDefault="0022015D" w:rsidP="0022015D">
            <w:pPr>
              <w:pStyle w:val="naisnod"/>
              <w:spacing w:before="0" w:after="0"/>
              <w:ind w:right="57"/>
              <w:jc w:val="both"/>
              <w:rPr>
                <w:b w:val="0"/>
              </w:rPr>
            </w:pPr>
            <w:r w:rsidRPr="0022015D">
              <w:rPr>
                <w:b w:val="0"/>
              </w:rPr>
              <w:t>Vides aizsardzības un reģionālās attīstības ministrija, Latgales plānošanas reģions.</w:t>
            </w:r>
          </w:p>
        </w:tc>
      </w:tr>
      <w:tr w:rsidR="00613CD6" w:rsidTr="001A14C7">
        <w:trPr>
          <w:trHeight w:val="463"/>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nod"/>
              <w:spacing w:before="0" w:after="0"/>
              <w:ind w:left="57" w:right="57"/>
              <w:jc w:val="left"/>
              <w:rPr>
                <w:b w:val="0"/>
              </w:rPr>
            </w:pPr>
            <w:r>
              <w:rPr>
                <w:b w:val="0"/>
              </w:rPr>
              <w:t>2.</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suppressAutoHyphens w:val="0"/>
              <w:ind w:left="36"/>
              <w:textAlignment w:val="auto"/>
            </w:pPr>
            <w:r>
              <w:t>Projekta izpildes ietekme uz pārvaldes funkcijām un institucionālo struktūru</w:t>
            </w:r>
          </w:p>
          <w:p w:rsidR="00613CD6" w:rsidRDefault="00613CD6" w:rsidP="001A14C7">
            <w:pPr>
              <w:suppressAutoHyphens w:val="0"/>
              <w:ind w:left="36"/>
              <w:textAlignment w:val="auto"/>
            </w:pPr>
          </w:p>
          <w:p w:rsidR="00613CD6" w:rsidRDefault="00613CD6" w:rsidP="001A14C7">
            <w:pPr>
              <w:pStyle w:val="naisf"/>
              <w:spacing w:before="0" w:after="0"/>
              <w:ind w:left="36" w:right="57" w:firstLine="0"/>
              <w:jc w:val="left"/>
            </w:pPr>
            <w:r>
              <w:t>Jaunu institūciju izveide, esošu institūciju likvidācija vai reorganizācija, to ietekme uz institūcijas cilvēkresursiem</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Pr="0022015D" w:rsidRDefault="00E66EAE" w:rsidP="0022015D">
            <w:pPr>
              <w:pStyle w:val="naisnod"/>
              <w:spacing w:before="0" w:after="0"/>
              <w:ind w:right="57"/>
              <w:jc w:val="both"/>
              <w:rPr>
                <w:b w:val="0"/>
              </w:rPr>
            </w:pPr>
            <w:r>
              <w:rPr>
                <w:b w:val="0"/>
              </w:rPr>
              <w:t>Tiks izvērtēts atbilstoši Latgales SEZ uzraudzības padomes nolikumā noteiktajam.</w:t>
            </w:r>
          </w:p>
        </w:tc>
      </w:tr>
      <w:tr w:rsidR="00613CD6" w:rsidTr="001A14C7">
        <w:trPr>
          <w:trHeight w:val="476"/>
          <w:jc w:val="center"/>
        </w:trPr>
        <w:tc>
          <w:tcPr>
            <w:tcW w:w="498"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EF642A" w:rsidP="001A14C7">
            <w:pPr>
              <w:pStyle w:val="naiskr"/>
              <w:spacing w:before="0" w:after="0"/>
              <w:ind w:left="57" w:right="57"/>
            </w:pPr>
            <w:r>
              <w:t>3</w:t>
            </w:r>
            <w:r w:rsidR="00613CD6">
              <w:t>.</w:t>
            </w:r>
          </w:p>
        </w:tc>
        <w:tc>
          <w:tcPr>
            <w:tcW w:w="2474"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613CD6" w:rsidP="001A14C7">
            <w:pPr>
              <w:pStyle w:val="naiskr"/>
              <w:spacing w:before="0" w:after="0"/>
              <w:ind w:left="57" w:right="57"/>
            </w:pPr>
            <w:r>
              <w:t>Cita informācija</w:t>
            </w:r>
          </w:p>
        </w:tc>
        <w:tc>
          <w:tcPr>
            <w:tcW w:w="6790" w:type="dxa"/>
            <w:tcBorders>
              <w:top w:val="single" w:sz="4" w:space="0" w:color="000000"/>
              <w:left w:val="single" w:sz="4" w:space="0" w:color="000000"/>
              <w:bottom w:val="single" w:sz="4" w:space="0" w:color="000000"/>
              <w:right w:val="single" w:sz="4" w:space="0" w:color="000000"/>
            </w:tcBorders>
            <w:shd w:val="clear" w:color="auto" w:fill="auto"/>
            <w:tcMar>
              <w:top w:w="28" w:type="dxa"/>
              <w:left w:w="28" w:type="dxa"/>
              <w:bottom w:w="28" w:type="dxa"/>
              <w:right w:w="28" w:type="dxa"/>
            </w:tcMar>
          </w:tcPr>
          <w:p w:rsidR="00613CD6" w:rsidRDefault="0022015D" w:rsidP="0022015D">
            <w:pPr>
              <w:pStyle w:val="naiskr"/>
              <w:spacing w:before="0" w:after="0"/>
              <w:ind w:right="57"/>
            </w:pPr>
            <w:r>
              <w:t>Nav</w:t>
            </w:r>
            <w:r w:rsidR="009602B6">
              <w:t>.</w:t>
            </w:r>
          </w:p>
        </w:tc>
      </w:tr>
    </w:tbl>
    <w:p w:rsidR="005B4448" w:rsidRDefault="005B4448" w:rsidP="00613CD6"/>
    <w:p w:rsidR="005B4448" w:rsidRDefault="005B4448" w:rsidP="00613CD6"/>
    <w:p w:rsidR="003F1304" w:rsidRDefault="003F1304" w:rsidP="00613CD6"/>
    <w:p w:rsidR="00613CD6" w:rsidRDefault="009602B6" w:rsidP="00613CD6">
      <w:r>
        <w:t>V</w:t>
      </w:r>
      <w:r w:rsidR="00613CD6">
        <w:t>ides aizsardzības un</w:t>
      </w:r>
      <w:r w:rsidR="0022015D">
        <w:t xml:space="preserve"> reģionālās attīstības ministrs </w:t>
      </w:r>
      <w:r w:rsidR="0022015D">
        <w:tab/>
      </w:r>
      <w:r w:rsidR="0022015D">
        <w:tab/>
      </w:r>
      <w:r w:rsidR="0022015D">
        <w:tab/>
      </w:r>
      <w:r w:rsidR="0022015D">
        <w:tab/>
      </w:r>
      <w:r w:rsidR="0022015D">
        <w:tab/>
      </w:r>
      <w:r w:rsidR="00286747">
        <w:t>K.Gerhards</w:t>
      </w:r>
    </w:p>
    <w:p w:rsidR="00613CD6" w:rsidRDefault="00613CD6" w:rsidP="00613CD6">
      <w:pPr>
        <w:tabs>
          <w:tab w:val="right" w:pos="9214"/>
        </w:tabs>
      </w:pPr>
    </w:p>
    <w:p w:rsidR="00613CD6" w:rsidRDefault="00613CD6" w:rsidP="00613CD6">
      <w:pPr>
        <w:tabs>
          <w:tab w:val="right" w:pos="9214"/>
        </w:tabs>
      </w:pPr>
    </w:p>
    <w:p w:rsidR="00613CD6" w:rsidRDefault="00A4247E" w:rsidP="00613CD6">
      <w:pPr>
        <w:tabs>
          <w:tab w:val="right" w:pos="9214"/>
        </w:tabs>
      </w:pPr>
      <w:r>
        <w:t>Vīza: v</w:t>
      </w:r>
      <w:r w:rsidR="00613CD6">
        <w:t xml:space="preserve">ides aizsardzības un reģionālās attīstības </w:t>
      </w:r>
    </w:p>
    <w:p w:rsidR="00A01BAA" w:rsidRDefault="00613CD6" w:rsidP="00613CD6">
      <w:pPr>
        <w:rPr>
          <w:sz w:val="20"/>
          <w:szCs w:val="20"/>
        </w:rPr>
      </w:pPr>
      <w:r>
        <w:t xml:space="preserve">          ministrijas valsts sekretārs</w:t>
      </w:r>
      <w:r w:rsidR="00EF642A">
        <w:t xml:space="preserve"> </w:t>
      </w:r>
      <w:r w:rsidR="00EF642A">
        <w:tab/>
      </w:r>
      <w:r w:rsidR="00EF642A">
        <w:tab/>
      </w:r>
      <w:r w:rsidR="00EF642A">
        <w:tab/>
      </w:r>
      <w:r w:rsidR="00EF642A">
        <w:tab/>
      </w:r>
      <w:r w:rsidR="00EF642A">
        <w:tab/>
      </w:r>
      <w:r w:rsidR="00EF642A">
        <w:tab/>
      </w:r>
      <w:r w:rsidR="00EF642A">
        <w:tab/>
      </w:r>
      <w:r>
        <w:t>G.Puķītis</w:t>
      </w:r>
    </w:p>
    <w:p w:rsidR="00BB5482" w:rsidRDefault="00BB5482" w:rsidP="00613CD6">
      <w:pPr>
        <w:rPr>
          <w:sz w:val="20"/>
          <w:szCs w:val="20"/>
        </w:rPr>
      </w:pPr>
    </w:p>
    <w:p w:rsidR="00BB5482" w:rsidRDefault="00BB5482" w:rsidP="00613CD6">
      <w:pPr>
        <w:rPr>
          <w:sz w:val="20"/>
          <w:szCs w:val="20"/>
        </w:rPr>
      </w:pPr>
    </w:p>
    <w:p w:rsidR="00BB5482" w:rsidRDefault="00BB5482" w:rsidP="00613CD6">
      <w:pPr>
        <w:rPr>
          <w:sz w:val="20"/>
          <w:szCs w:val="20"/>
        </w:rPr>
      </w:pPr>
    </w:p>
    <w:p w:rsidR="00A01BAA" w:rsidRDefault="00A01BAA" w:rsidP="00613CD6">
      <w:pPr>
        <w:rPr>
          <w:sz w:val="20"/>
          <w:szCs w:val="20"/>
        </w:rPr>
      </w:pPr>
    </w:p>
    <w:p w:rsidR="0022015D" w:rsidRPr="009602B6" w:rsidRDefault="008E7189" w:rsidP="0022015D">
      <w:pPr>
        <w:pStyle w:val="NormalWeb"/>
        <w:spacing w:before="0" w:beforeAutospacing="0" w:after="120" w:afterAutospacing="0"/>
        <w:jc w:val="both"/>
        <w:rPr>
          <w:sz w:val="20"/>
          <w:szCs w:val="20"/>
        </w:rPr>
      </w:pPr>
      <w:r w:rsidRPr="009602B6">
        <w:rPr>
          <w:sz w:val="20"/>
          <w:szCs w:val="20"/>
        </w:rPr>
        <w:lastRenderedPageBreak/>
        <w:fldChar w:fldCharType="begin"/>
      </w:r>
      <w:r w:rsidR="0022015D" w:rsidRPr="009602B6">
        <w:rPr>
          <w:sz w:val="20"/>
          <w:szCs w:val="20"/>
        </w:rPr>
        <w:instrText xml:space="preserve"> DATE  \@ "yyyy.MM.dd."  \* MERGEFORMAT </w:instrText>
      </w:r>
      <w:r w:rsidRPr="009602B6">
        <w:rPr>
          <w:sz w:val="20"/>
          <w:szCs w:val="20"/>
        </w:rPr>
        <w:fldChar w:fldCharType="separate"/>
      </w:r>
      <w:r w:rsidR="007878C6">
        <w:rPr>
          <w:noProof/>
          <w:sz w:val="20"/>
          <w:szCs w:val="20"/>
        </w:rPr>
        <w:t>2015.12.11.</w:t>
      </w:r>
      <w:r w:rsidRPr="009602B6">
        <w:rPr>
          <w:sz w:val="20"/>
          <w:szCs w:val="20"/>
        </w:rPr>
        <w:fldChar w:fldCharType="end"/>
      </w:r>
    </w:p>
    <w:p w:rsidR="0022015D" w:rsidRPr="009602B6" w:rsidRDefault="00E66EAE" w:rsidP="0022015D">
      <w:pPr>
        <w:pStyle w:val="NormalWeb"/>
        <w:spacing w:before="0" w:beforeAutospacing="0" w:after="120" w:afterAutospacing="0"/>
        <w:jc w:val="both"/>
        <w:rPr>
          <w:sz w:val="20"/>
          <w:szCs w:val="20"/>
        </w:rPr>
      </w:pPr>
      <w:r>
        <w:rPr>
          <w:sz w:val="20"/>
          <w:szCs w:val="20"/>
        </w:rPr>
        <w:t>3</w:t>
      </w:r>
      <w:r w:rsidR="00CC31F8">
        <w:rPr>
          <w:sz w:val="20"/>
          <w:szCs w:val="20"/>
        </w:rPr>
        <w:t>484</w:t>
      </w:r>
    </w:p>
    <w:p w:rsidR="0022015D" w:rsidRPr="00813874" w:rsidRDefault="0022015D" w:rsidP="0022015D">
      <w:pPr>
        <w:pStyle w:val="NormalWeb"/>
        <w:spacing w:before="0" w:beforeAutospacing="0" w:after="0" w:afterAutospacing="0"/>
        <w:jc w:val="both"/>
        <w:rPr>
          <w:sz w:val="20"/>
          <w:szCs w:val="20"/>
        </w:rPr>
      </w:pPr>
      <w:bookmarkStart w:id="3" w:name="_GoBack"/>
      <w:bookmarkEnd w:id="3"/>
    </w:p>
    <w:p w:rsidR="0022015D" w:rsidRPr="00813874" w:rsidRDefault="0022015D" w:rsidP="0022015D">
      <w:pPr>
        <w:pStyle w:val="NormalWeb"/>
        <w:spacing w:before="0" w:beforeAutospacing="0" w:after="0" w:afterAutospacing="0"/>
        <w:jc w:val="both"/>
        <w:rPr>
          <w:sz w:val="20"/>
          <w:szCs w:val="20"/>
        </w:rPr>
      </w:pPr>
      <w:r w:rsidRPr="00813874">
        <w:rPr>
          <w:sz w:val="20"/>
          <w:szCs w:val="20"/>
        </w:rPr>
        <w:t>D.Ziediņa</w:t>
      </w:r>
    </w:p>
    <w:p w:rsidR="0022015D" w:rsidRPr="009602B6" w:rsidRDefault="0022015D" w:rsidP="009602B6">
      <w:pPr>
        <w:pStyle w:val="NormalWeb"/>
        <w:spacing w:before="0" w:beforeAutospacing="0" w:after="0" w:afterAutospacing="0"/>
        <w:jc w:val="both"/>
        <w:rPr>
          <w:sz w:val="20"/>
          <w:szCs w:val="20"/>
        </w:rPr>
      </w:pPr>
      <w:r w:rsidRPr="00813874">
        <w:rPr>
          <w:sz w:val="20"/>
          <w:szCs w:val="20"/>
        </w:rPr>
        <w:t xml:space="preserve">66016725, </w:t>
      </w:r>
      <w:hyperlink r:id="rId10" w:history="1">
        <w:r w:rsidRPr="00813874">
          <w:rPr>
            <w:rStyle w:val="Hyperlink"/>
            <w:sz w:val="20"/>
            <w:szCs w:val="20"/>
          </w:rPr>
          <w:t>Dace.Ziedina@varam.gov.lv</w:t>
        </w:r>
      </w:hyperlink>
    </w:p>
    <w:p w:rsidR="0022015D" w:rsidRPr="00813874" w:rsidRDefault="0022015D" w:rsidP="0022015D">
      <w:pPr>
        <w:pStyle w:val="NormalWeb"/>
        <w:spacing w:before="0" w:beforeAutospacing="0" w:after="0" w:afterAutospacing="0"/>
        <w:jc w:val="both"/>
        <w:rPr>
          <w:sz w:val="20"/>
          <w:szCs w:val="20"/>
        </w:rPr>
      </w:pPr>
      <w:r>
        <w:rPr>
          <w:sz w:val="20"/>
          <w:szCs w:val="20"/>
        </w:rPr>
        <w:t>Z.Hermansons</w:t>
      </w:r>
    </w:p>
    <w:p w:rsidR="0022015D" w:rsidRPr="00813874" w:rsidRDefault="0022015D" w:rsidP="0022015D">
      <w:pPr>
        <w:pStyle w:val="NormalWeb"/>
        <w:spacing w:before="0" w:beforeAutospacing="0" w:after="0" w:afterAutospacing="0"/>
        <w:jc w:val="both"/>
        <w:rPr>
          <w:sz w:val="20"/>
          <w:szCs w:val="20"/>
        </w:rPr>
      </w:pPr>
      <w:r w:rsidRPr="00813874">
        <w:rPr>
          <w:sz w:val="20"/>
          <w:szCs w:val="20"/>
        </w:rPr>
        <w:t>6</w:t>
      </w:r>
      <w:r w:rsidR="00C27955">
        <w:rPr>
          <w:sz w:val="20"/>
          <w:szCs w:val="20"/>
        </w:rPr>
        <w:t>7026</w:t>
      </w:r>
      <w:r w:rsidR="009602B6">
        <w:rPr>
          <w:sz w:val="20"/>
          <w:szCs w:val="20"/>
        </w:rPr>
        <w:t>597</w:t>
      </w:r>
      <w:r w:rsidRPr="00813874">
        <w:rPr>
          <w:sz w:val="20"/>
          <w:szCs w:val="20"/>
        </w:rPr>
        <w:t xml:space="preserve">, </w:t>
      </w:r>
      <w:hyperlink r:id="rId11" w:history="1">
        <w:r w:rsidRPr="009D44EE">
          <w:rPr>
            <w:rStyle w:val="Hyperlink"/>
            <w:sz w:val="20"/>
            <w:szCs w:val="20"/>
          </w:rPr>
          <w:t>Zintis.Hermansons@varam.gov.lv</w:t>
        </w:r>
      </w:hyperlink>
    </w:p>
    <w:p w:rsidR="009C58E4" w:rsidRDefault="009C58E4" w:rsidP="00A80B81">
      <w:pPr>
        <w:suppressAutoHyphens w:val="0"/>
        <w:autoSpaceDN/>
        <w:spacing w:after="200" w:line="276" w:lineRule="auto"/>
        <w:textAlignment w:val="auto"/>
      </w:pPr>
    </w:p>
    <w:sectPr w:rsidR="009C58E4" w:rsidSect="006D0AEF">
      <w:headerReference w:type="default" r:id="rId12"/>
      <w:footerReference w:type="default" r:id="rId13"/>
      <w:footerReference w:type="first" r:id="rId14"/>
      <w:pgSz w:w="11906" w:h="16838"/>
      <w:pgMar w:top="1134" w:right="1133" w:bottom="1134" w:left="1701" w:header="709" w:footer="506"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68E" w:rsidRDefault="00C9068E" w:rsidP="00613CD6">
      <w:r>
        <w:separator/>
      </w:r>
    </w:p>
  </w:endnote>
  <w:endnote w:type="continuationSeparator" w:id="0">
    <w:p w:rsidR="00C9068E" w:rsidRDefault="00C9068E" w:rsidP="00613CD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55" w:rsidRPr="00B14F11" w:rsidRDefault="00F54855" w:rsidP="00B14F11">
    <w:pPr>
      <w:jc w:val="both"/>
      <w:rPr>
        <w:sz w:val="20"/>
        <w:szCs w:val="20"/>
      </w:rPr>
    </w:pPr>
    <w:r w:rsidRPr="00B14F11">
      <w:rPr>
        <w:sz w:val="20"/>
        <w:szCs w:val="20"/>
      </w:rPr>
      <w:t>VARAM</w:t>
    </w:r>
    <w:r w:rsidR="00B772B4">
      <w:rPr>
        <w:sz w:val="20"/>
        <w:szCs w:val="20"/>
      </w:rPr>
      <w:t>anot</w:t>
    </w:r>
    <w:r w:rsidRPr="00B14F11">
      <w:rPr>
        <w:sz w:val="20"/>
        <w:szCs w:val="20"/>
      </w:rPr>
      <w:t>_LatgalesSEZ_</w:t>
    </w:r>
    <w:r w:rsidR="007B7863">
      <w:rPr>
        <w:sz w:val="20"/>
        <w:szCs w:val="20"/>
      </w:rPr>
      <w:t>11</w:t>
    </w:r>
    <w:r w:rsidR="00096653">
      <w:rPr>
        <w:sz w:val="20"/>
        <w:szCs w:val="20"/>
      </w:rPr>
      <w:t>1</w:t>
    </w:r>
    <w:r w:rsidR="00C27955">
      <w:rPr>
        <w:sz w:val="20"/>
        <w:szCs w:val="20"/>
      </w:rPr>
      <w:t>2</w:t>
    </w:r>
    <w:r w:rsidRPr="00B14F11">
      <w:rPr>
        <w:sz w:val="20"/>
        <w:szCs w:val="20"/>
      </w:rPr>
      <w:t>15; Likumprojekta ”</w:t>
    </w:r>
    <w:r w:rsidRPr="00B14F11">
      <w:rPr>
        <w:bCs/>
        <w:sz w:val="20"/>
        <w:szCs w:val="20"/>
      </w:rPr>
      <w:t>Latgales speciālās ekonomiskās zonas likums</w:t>
    </w:r>
    <w:r w:rsidRPr="00B14F11">
      <w:rPr>
        <w:sz w:val="20"/>
        <w:szCs w:val="20"/>
      </w:rPr>
      <w:t xml:space="preserve">” sākotnējās ietekmes novērtējuma ziņojums (anotācija)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55" w:rsidRPr="00B14F11" w:rsidRDefault="00F54855" w:rsidP="00B14F11">
    <w:pPr>
      <w:jc w:val="both"/>
      <w:rPr>
        <w:sz w:val="20"/>
        <w:szCs w:val="20"/>
      </w:rPr>
    </w:pPr>
    <w:r w:rsidRPr="00B14F11">
      <w:rPr>
        <w:sz w:val="20"/>
        <w:szCs w:val="20"/>
      </w:rPr>
      <w:t>VARAM</w:t>
    </w:r>
    <w:r w:rsidR="00B772B4">
      <w:rPr>
        <w:sz w:val="20"/>
        <w:szCs w:val="20"/>
      </w:rPr>
      <w:t>anot</w:t>
    </w:r>
    <w:r w:rsidRPr="00B14F11">
      <w:rPr>
        <w:sz w:val="20"/>
        <w:szCs w:val="20"/>
      </w:rPr>
      <w:t>_LatgalesSEZ_</w:t>
    </w:r>
    <w:r w:rsidR="007B7863">
      <w:rPr>
        <w:sz w:val="20"/>
        <w:szCs w:val="20"/>
      </w:rPr>
      <w:t>11</w:t>
    </w:r>
    <w:r w:rsidR="00096653">
      <w:rPr>
        <w:sz w:val="20"/>
        <w:szCs w:val="20"/>
      </w:rPr>
      <w:t>1</w:t>
    </w:r>
    <w:r w:rsidR="00C27955">
      <w:rPr>
        <w:sz w:val="20"/>
        <w:szCs w:val="20"/>
      </w:rPr>
      <w:t>2</w:t>
    </w:r>
    <w:r w:rsidRPr="00B14F11">
      <w:rPr>
        <w:sz w:val="20"/>
        <w:szCs w:val="20"/>
      </w:rPr>
      <w:t>15; Likumprojekta ”</w:t>
    </w:r>
    <w:r w:rsidRPr="00B14F11">
      <w:rPr>
        <w:bCs/>
        <w:sz w:val="20"/>
        <w:szCs w:val="20"/>
      </w:rPr>
      <w:t>Latgales speciālās ekonomiskās zonas likums</w:t>
    </w:r>
    <w:r w:rsidRPr="00B14F11">
      <w:rPr>
        <w:sz w:val="20"/>
        <w:szCs w:val="20"/>
      </w:rPr>
      <w:t xml:space="preserve">” sākotnējās ietekmes novērtējuma ziņojums (anotācija)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68E" w:rsidRDefault="00C9068E" w:rsidP="00613CD6">
      <w:r>
        <w:separator/>
      </w:r>
    </w:p>
  </w:footnote>
  <w:footnote w:type="continuationSeparator" w:id="0">
    <w:p w:rsidR="00C9068E" w:rsidRDefault="00C9068E" w:rsidP="00613CD6">
      <w:r>
        <w:continuationSeparator/>
      </w:r>
    </w:p>
  </w:footnote>
  <w:footnote w:id="1">
    <w:p w:rsidR="00F54855" w:rsidRPr="009602B6" w:rsidRDefault="00F54855" w:rsidP="00AC744F">
      <w:pPr>
        <w:pStyle w:val="FootnoteText"/>
        <w:jc w:val="both"/>
        <w:rPr>
          <w:lang w:val="en-US"/>
        </w:rPr>
      </w:pPr>
      <w:r w:rsidRPr="009602B6">
        <w:rPr>
          <w:rStyle w:val="FootnoteReference"/>
          <w:lang w:val="en-US"/>
        </w:rPr>
        <w:footnoteRef/>
      </w:r>
      <w:r w:rsidRPr="009602B6">
        <w:rPr>
          <w:lang w:val="en-US"/>
        </w:rPr>
        <w:t xml:space="preserve"> </w:t>
      </w:r>
      <w:proofErr w:type="spellStart"/>
      <w:r w:rsidRPr="009602B6">
        <w:rPr>
          <w:lang w:val="en-US"/>
        </w:rPr>
        <w:t>Akinci</w:t>
      </w:r>
      <w:proofErr w:type="spellEnd"/>
      <w:r w:rsidRPr="009602B6">
        <w:rPr>
          <w:lang w:val="en-US"/>
        </w:rPr>
        <w:t xml:space="preserve">, </w:t>
      </w:r>
      <w:proofErr w:type="spellStart"/>
      <w:r w:rsidRPr="009602B6">
        <w:rPr>
          <w:lang w:val="en-US"/>
        </w:rPr>
        <w:t>Gokhan</w:t>
      </w:r>
      <w:proofErr w:type="spellEnd"/>
      <w:r w:rsidRPr="009602B6">
        <w:rPr>
          <w:lang w:val="en-US"/>
        </w:rPr>
        <w:t xml:space="preserve">, and Thomas </w:t>
      </w:r>
      <w:proofErr w:type="spellStart"/>
      <w:r w:rsidRPr="009602B6">
        <w:rPr>
          <w:lang w:val="en-US"/>
        </w:rPr>
        <w:t>Farole</w:t>
      </w:r>
      <w:proofErr w:type="spellEnd"/>
      <w:r w:rsidRPr="009602B6">
        <w:rPr>
          <w:lang w:val="en-US"/>
        </w:rPr>
        <w:t>. 2011. “Special Economic Zones : Progress, Emerging Challenges, and Future Directions.” The World Bank.</w:t>
      </w:r>
    </w:p>
  </w:footnote>
  <w:footnote w:id="2">
    <w:p w:rsidR="00F54855" w:rsidRPr="009602B6" w:rsidRDefault="00F54855" w:rsidP="00AC744F">
      <w:pPr>
        <w:pStyle w:val="FootnoteText"/>
        <w:jc w:val="both"/>
        <w:rPr>
          <w:lang w:val="en-US"/>
        </w:rPr>
      </w:pPr>
      <w:r w:rsidRPr="009602B6">
        <w:rPr>
          <w:rStyle w:val="FootnoteReference"/>
          <w:lang w:val="en-US"/>
        </w:rPr>
        <w:footnoteRef/>
      </w:r>
      <w:r w:rsidRPr="009602B6">
        <w:rPr>
          <w:lang w:val="en-US"/>
        </w:rPr>
        <w:t xml:space="preserve"> </w:t>
      </w:r>
      <w:proofErr w:type="spellStart"/>
      <w:r w:rsidRPr="009602B6">
        <w:rPr>
          <w:lang w:val="en-US"/>
        </w:rPr>
        <w:t>Pasaules</w:t>
      </w:r>
      <w:proofErr w:type="spellEnd"/>
      <w:r w:rsidRPr="009602B6">
        <w:rPr>
          <w:lang w:val="en-US"/>
        </w:rPr>
        <w:t xml:space="preserve"> </w:t>
      </w:r>
      <w:proofErr w:type="spellStart"/>
      <w:r w:rsidRPr="009602B6">
        <w:rPr>
          <w:lang w:val="en-US"/>
        </w:rPr>
        <w:t>Speciālo</w:t>
      </w:r>
      <w:proofErr w:type="spellEnd"/>
      <w:r w:rsidRPr="009602B6">
        <w:rPr>
          <w:lang w:val="en-US"/>
        </w:rPr>
        <w:t xml:space="preserve"> </w:t>
      </w:r>
      <w:proofErr w:type="spellStart"/>
      <w:r w:rsidRPr="009602B6">
        <w:rPr>
          <w:lang w:val="en-US"/>
        </w:rPr>
        <w:t>Ekonomisko</w:t>
      </w:r>
      <w:proofErr w:type="spellEnd"/>
      <w:r w:rsidRPr="009602B6">
        <w:rPr>
          <w:lang w:val="en-US"/>
        </w:rPr>
        <w:t xml:space="preserve"> </w:t>
      </w:r>
      <w:proofErr w:type="spellStart"/>
      <w:r w:rsidRPr="009602B6">
        <w:rPr>
          <w:lang w:val="en-US"/>
        </w:rPr>
        <w:t>Zonu</w:t>
      </w:r>
      <w:proofErr w:type="spellEnd"/>
      <w:r w:rsidRPr="009602B6">
        <w:rPr>
          <w:lang w:val="en-US"/>
        </w:rPr>
        <w:t xml:space="preserve"> </w:t>
      </w:r>
      <w:proofErr w:type="spellStart"/>
      <w:r w:rsidRPr="009602B6">
        <w:rPr>
          <w:lang w:val="en-US"/>
        </w:rPr>
        <w:t>Asociācija</w:t>
      </w:r>
      <w:proofErr w:type="spellEnd"/>
      <w:r w:rsidRPr="009602B6">
        <w:rPr>
          <w:lang w:val="en-US"/>
        </w:rPr>
        <w:t xml:space="preserve">: </w:t>
      </w:r>
      <w:hyperlink r:id="rId1" w:history="1">
        <w:r w:rsidRPr="009602B6">
          <w:rPr>
            <w:rStyle w:val="Hyperlink"/>
            <w:lang w:val="en-US"/>
          </w:rPr>
          <w:t>www.wepza.org</w:t>
        </w:r>
      </w:hyperlink>
      <w:r w:rsidRPr="009602B6">
        <w:rPr>
          <w:lang w:val="en-US"/>
        </w:rPr>
        <w:t xml:space="preserve">  </w:t>
      </w:r>
    </w:p>
  </w:footnote>
  <w:footnote w:id="3">
    <w:p w:rsidR="00EE7A00" w:rsidRPr="00EE7A00" w:rsidRDefault="00EE7A00">
      <w:pPr>
        <w:pStyle w:val="FootnoteText"/>
        <w:rPr>
          <w:lang w:val="en-US"/>
        </w:rPr>
      </w:pPr>
      <w:r>
        <w:rPr>
          <w:rStyle w:val="FootnoteReference"/>
        </w:rPr>
        <w:footnoteRef/>
      </w:r>
      <w:r>
        <w:t xml:space="preserve"> Skat., piemēram, „</w:t>
      </w:r>
      <w:proofErr w:type="spellStart"/>
      <w:r w:rsidRPr="00EE7A00">
        <w:t>Global</w:t>
      </w:r>
      <w:proofErr w:type="spellEnd"/>
      <w:r w:rsidRPr="00EE7A00">
        <w:t xml:space="preserve"> </w:t>
      </w:r>
      <w:proofErr w:type="spellStart"/>
      <w:r w:rsidRPr="00EE7A00">
        <w:t>Free</w:t>
      </w:r>
      <w:proofErr w:type="spellEnd"/>
      <w:r w:rsidRPr="00EE7A00">
        <w:t xml:space="preserve"> </w:t>
      </w:r>
      <w:proofErr w:type="spellStart"/>
      <w:r w:rsidRPr="00EE7A00">
        <w:t>Zones</w:t>
      </w:r>
      <w:proofErr w:type="spellEnd"/>
      <w:r w:rsidRPr="00EE7A00">
        <w:t xml:space="preserve"> </w:t>
      </w:r>
      <w:proofErr w:type="spellStart"/>
      <w:r w:rsidRPr="00EE7A00">
        <w:t>of</w:t>
      </w:r>
      <w:proofErr w:type="spellEnd"/>
      <w:r w:rsidRPr="00EE7A00">
        <w:t xml:space="preserve"> </w:t>
      </w:r>
      <w:proofErr w:type="spellStart"/>
      <w:r w:rsidRPr="00EE7A00">
        <w:t>the</w:t>
      </w:r>
      <w:proofErr w:type="spellEnd"/>
      <w:r w:rsidRPr="00EE7A00">
        <w:t xml:space="preserve"> </w:t>
      </w:r>
      <w:proofErr w:type="spellStart"/>
      <w:r w:rsidRPr="00EE7A00">
        <w:t>Year</w:t>
      </w:r>
      <w:proofErr w:type="spellEnd"/>
      <w:r w:rsidRPr="00EE7A00">
        <w:t xml:space="preserve"> 2015</w:t>
      </w:r>
      <w:r>
        <w:t xml:space="preserve"> – </w:t>
      </w:r>
      <w:proofErr w:type="spellStart"/>
      <w:r>
        <w:t>Winners</w:t>
      </w:r>
      <w:proofErr w:type="spellEnd"/>
      <w:r>
        <w:t xml:space="preserve">. </w:t>
      </w:r>
      <w:proofErr w:type="spellStart"/>
      <w:r>
        <w:t>Financial</w:t>
      </w:r>
      <w:proofErr w:type="spellEnd"/>
      <w:r>
        <w:t xml:space="preserve"> </w:t>
      </w:r>
      <w:proofErr w:type="spellStart"/>
      <w:r>
        <w:t>Times</w:t>
      </w:r>
      <w:proofErr w:type="spellEnd"/>
      <w:r>
        <w:t xml:space="preserve">”: </w:t>
      </w:r>
      <w:r w:rsidRPr="00EE7A00">
        <w:t>http://www.fdiintelligence.com/Locations/fDi-Global-Free-Zones-of-the-Year-2015-Winners</w:t>
      </w:r>
      <w:proofErr w:type="gramStart"/>
      <w:r>
        <w:t xml:space="preserve"> </w:t>
      </w:r>
      <w:r w:rsidRPr="00EE7A00">
        <w:t xml:space="preserve"> </w:t>
      </w:r>
      <w:proofErr w:type="gramEnd"/>
      <w:r w:rsidRPr="00EE7A00">
        <w:t>–</w:t>
      </w:r>
    </w:p>
  </w:footnote>
  <w:footnote w:id="4">
    <w:p w:rsidR="00F54855" w:rsidRPr="009602B6" w:rsidRDefault="00F54855" w:rsidP="00AC744F">
      <w:pPr>
        <w:pStyle w:val="FootnoteText"/>
        <w:jc w:val="both"/>
        <w:rPr>
          <w:lang w:val="en-US"/>
        </w:rPr>
      </w:pPr>
      <w:r w:rsidRPr="009602B6">
        <w:rPr>
          <w:rStyle w:val="FootnoteReference"/>
          <w:lang w:val="en-US"/>
        </w:rPr>
        <w:footnoteRef/>
      </w:r>
      <w:r w:rsidRPr="009602B6">
        <w:rPr>
          <w:lang w:val="en-US"/>
        </w:rPr>
        <w:t xml:space="preserve"> </w:t>
      </w:r>
      <w:proofErr w:type="spellStart"/>
      <w:r w:rsidRPr="009602B6">
        <w:rPr>
          <w:lang w:val="en-US"/>
        </w:rPr>
        <w:t>Akinci</w:t>
      </w:r>
      <w:proofErr w:type="spellEnd"/>
      <w:r w:rsidRPr="009602B6">
        <w:rPr>
          <w:lang w:val="en-US"/>
        </w:rPr>
        <w:t xml:space="preserve">, </w:t>
      </w:r>
      <w:proofErr w:type="spellStart"/>
      <w:r w:rsidRPr="009602B6">
        <w:rPr>
          <w:lang w:val="en-US"/>
        </w:rPr>
        <w:t>Gokhan</w:t>
      </w:r>
      <w:proofErr w:type="spellEnd"/>
      <w:r w:rsidRPr="009602B6">
        <w:rPr>
          <w:lang w:val="en-US"/>
        </w:rPr>
        <w:t xml:space="preserve">, and James </w:t>
      </w:r>
      <w:proofErr w:type="spellStart"/>
      <w:r w:rsidRPr="009602B6">
        <w:rPr>
          <w:lang w:val="en-US"/>
        </w:rPr>
        <w:t>Crittle</w:t>
      </w:r>
      <w:proofErr w:type="spellEnd"/>
      <w:r w:rsidRPr="009602B6">
        <w:rPr>
          <w:lang w:val="en-US"/>
        </w:rPr>
        <w:t>. 2008. “Special Economic Zone : Performance, Lessons Learned, and Implication for Zone Development.” The World Bank.</w:t>
      </w:r>
    </w:p>
  </w:footnote>
  <w:footnote w:id="5">
    <w:p w:rsidR="00F54855" w:rsidRPr="00B86011" w:rsidRDefault="00F54855" w:rsidP="009602B6">
      <w:pPr>
        <w:pStyle w:val="FootnoteText"/>
        <w:rPr>
          <w:lang w:val="en-US"/>
        </w:rPr>
      </w:pPr>
      <w:r w:rsidRPr="009602B6">
        <w:rPr>
          <w:rStyle w:val="FootnoteReference"/>
          <w:lang w:val="en-US"/>
        </w:rPr>
        <w:footnoteRef/>
      </w:r>
      <w:r w:rsidRPr="009602B6">
        <w:rPr>
          <w:lang w:val="en-US"/>
        </w:rPr>
        <w:t xml:space="preserve"> </w:t>
      </w:r>
      <w:proofErr w:type="spellStart"/>
      <w:r w:rsidRPr="009602B6">
        <w:rPr>
          <w:lang w:val="en-US"/>
        </w:rPr>
        <w:t>Brīvās</w:t>
      </w:r>
      <w:proofErr w:type="spellEnd"/>
      <w:r w:rsidRPr="009602B6">
        <w:rPr>
          <w:lang w:val="en-US"/>
        </w:rPr>
        <w:t xml:space="preserve"> </w:t>
      </w:r>
      <w:proofErr w:type="spellStart"/>
      <w:r w:rsidRPr="009602B6">
        <w:rPr>
          <w:lang w:val="en-US"/>
        </w:rPr>
        <w:t>zonas</w:t>
      </w:r>
      <w:proofErr w:type="spellEnd"/>
      <w:r w:rsidRPr="009602B6">
        <w:rPr>
          <w:lang w:val="en-US"/>
        </w:rPr>
        <w:t xml:space="preserve">. </w:t>
      </w:r>
      <w:proofErr w:type="spellStart"/>
      <w:r w:rsidRPr="009602B6">
        <w:rPr>
          <w:lang w:val="en-US"/>
        </w:rPr>
        <w:t>Valsts</w:t>
      </w:r>
      <w:proofErr w:type="spellEnd"/>
      <w:r w:rsidRPr="009602B6">
        <w:rPr>
          <w:lang w:val="en-US"/>
        </w:rPr>
        <w:t xml:space="preserve"> </w:t>
      </w:r>
      <w:proofErr w:type="spellStart"/>
      <w:r w:rsidRPr="009602B6">
        <w:rPr>
          <w:lang w:val="en-US"/>
        </w:rPr>
        <w:t>ieņēmumu</w:t>
      </w:r>
      <w:proofErr w:type="spellEnd"/>
      <w:r w:rsidRPr="009602B6">
        <w:rPr>
          <w:lang w:val="en-US"/>
        </w:rPr>
        <w:t xml:space="preserve"> </w:t>
      </w:r>
      <w:proofErr w:type="spellStart"/>
      <w:r w:rsidRPr="009602B6">
        <w:rPr>
          <w:lang w:val="en-US"/>
        </w:rPr>
        <w:t>dienesta</w:t>
      </w:r>
      <w:proofErr w:type="spellEnd"/>
      <w:r w:rsidRPr="009602B6">
        <w:rPr>
          <w:lang w:val="en-US"/>
        </w:rPr>
        <w:t xml:space="preserve"> </w:t>
      </w:r>
      <w:proofErr w:type="spellStart"/>
      <w:r w:rsidRPr="009602B6">
        <w:rPr>
          <w:lang w:val="en-US"/>
        </w:rPr>
        <w:t>informācija</w:t>
      </w:r>
      <w:proofErr w:type="spellEnd"/>
      <w:r w:rsidRPr="009602B6">
        <w:rPr>
          <w:lang w:val="en-US"/>
        </w:rPr>
        <w:t xml:space="preserve">: </w:t>
      </w:r>
      <w:hyperlink r:id="rId2" w:history="1">
        <w:r w:rsidRPr="009602B6">
          <w:rPr>
            <w:rStyle w:val="Hyperlink"/>
            <w:lang w:val="en-US"/>
          </w:rPr>
          <w:t>https://www.vid.gov.lv/default.aspx?tabid=9&amp;id=1016&amp;hl=1</w:t>
        </w:r>
      </w:hyperlink>
      <w:r>
        <w:rPr>
          <w:sz w:val="16"/>
          <w:szCs w:val="16"/>
          <w:lang w:val="en-US"/>
        </w:rPr>
        <w:t xml:space="preserve"> </w:t>
      </w:r>
      <w:r>
        <w:rPr>
          <w:lang w:val="en-US"/>
        </w:rPr>
        <w:t xml:space="preserve"> </w:t>
      </w:r>
    </w:p>
  </w:footnote>
  <w:footnote w:id="6">
    <w:p w:rsidR="00F54855" w:rsidRPr="007719CF" w:rsidRDefault="00F54855">
      <w:pPr>
        <w:pStyle w:val="FootnoteText"/>
        <w:rPr>
          <w:bCs/>
          <w:lang w:val="en-US"/>
        </w:rPr>
      </w:pPr>
      <w:r w:rsidRPr="003F565C">
        <w:rPr>
          <w:rStyle w:val="FootnoteReference"/>
        </w:rPr>
        <w:footnoteRef/>
      </w:r>
      <w:r w:rsidRPr="003F565C">
        <w:t xml:space="preserve"> </w:t>
      </w:r>
      <w:r>
        <w:t>2013. „</w:t>
      </w:r>
      <w:proofErr w:type="spellStart"/>
      <w:r>
        <w:t>Poland</w:t>
      </w:r>
      <w:proofErr w:type="spellEnd"/>
      <w:r>
        <w:t xml:space="preserve"> – a </w:t>
      </w:r>
      <w:proofErr w:type="spellStart"/>
      <w:r>
        <w:t>True</w:t>
      </w:r>
      <w:proofErr w:type="spellEnd"/>
      <w:r>
        <w:t xml:space="preserve"> </w:t>
      </w:r>
      <w:proofErr w:type="spellStart"/>
      <w:r>
        <w:t>Special</w:t>
      </w:r>
      <w:proofErr w:type="spellEnd"/>
      <w:r>
        <w:t xml:space="preserve"> </w:t>
      </w:r>
      <w:proofErr w:type="spellStart"/>
      <w:r>
        <w:t>Economic</w:t>
      </w:r>
      <w:proofErr w:type="spellEnd"/>
      <w:r>
        <w:t xml:space="preserve"> </w:t>
      </w:r>
      <w:proofErr w:type="spellStart"/>
      <w:r>
        <w:t>Zone</w:t>
      </w:r>
      <w:proofErr w:type="spellEnd"/>
      <w:r>
        <w:t xml:space="preserve">”. </w:t>
      </w:r>
      <w:proofErr w:type="spellStart"/>
      <w:r>
        <w:t>Ernst&amp;Young</w:t>
      </w:r>
      <w:proofErr w:type="spellEnd"/>
      <w:r>
        <w:t xml:space="preserve"> </w:t>
      </w:r>
      <w:proofErr w:type="spellStart"/>
      <w:r>
        <w:t>Poland</w:t>
      </w:r>
      <w:proofErr w:type="spellEnd"/>
      <w:r>
        <w:t xml:space="preserve">: </w:t>
      </w:r>
      <w:hyperlink r:id="rId3" w:history="1">
        <w:r w:rsidRPr="00F03FD0">
          <w:rPr>
            <w:rStyle w:val="Hyperlink"/>
          </w:rPr>
          <w:t>http://www.ey.com/Publication/vwLUAssets/Raport_EY_Poland_-_a_true_special_economic_zone/$FILE/Raport-Poland-a-true-special-economic-zone.pdf</w:t>
        </w:r>
      </w:hyperlink>
      <w:r>
        <w:t xml:space="preserve"> </w:t>
      </w:r>
    </w:p>
  </w:footnote>
  <w:footnote w:id="7">
    <w:p w:rsidR="00F54855" w:rsidRPr="007719CF" w:rsidRDefault="00F54855">
      <w:pPr>
        <w:pStyle w:val="FootnoteText"/>
        <w:rPr>
          <w:lang w:val="en-US"/>
        </w:rPr>
      </w:pPr>
      <w:r>
        <w:rPr>
          <w:rStyle w:val="FootnoteReference"/>
        </w:rPr>
        <w:footnoteRef/>
      </w:r>
      <w:r>
        <w:t xml:space="preserve"> </w:t>
      </w:r>
      <w:r w:rsidRPr="003F565C">
        <w:rPr>
          <w:lang w:val="en-US"/>
        </w:rPr>
        <w:t>2014. “</w:t>
      </w:r>
      <w:r w:rsidRPr="003F565C">
        <w:rPr>
          <w:bCs/>
          <w:lang w:val="en-US"/>
        </w:rPr>
        <w:t xml:space="preserve">A Guide to SEZs. 20 years of Special Economic Zones”. KPMG Poland, </w:t>
      </w:r>
      <w:hyperlink r:id="rId4" w:history="1">
        <w:r w:rsidRPr="003F565C">
          <w:rPr>
            <w:rStyle w:val="Hyperlink"/>
            <w:bCs/>
            <w:lang w:val="en-US"/>
          </w:rPr>
          <w:t>http://www.kpmg.com/PL/en/IssuesAndInsights/ArticlesPublications/Documents/2014/A-Guide-toSEZs-in-Poland-2014.pdf</w:t>
        </w:r>
      </w:hyperlink>
      <w:r w:rsidRPr="003F565C">
        <w:rPr>
          <w:bCs/>
          <w:lang w:val="en-US"/>
        </w:rPr>
        <w:t xml:space="preserve">  </w:t>
      </w:r>
    </w:p>
  </w:footnote>
  <w:footnote w:id="8">
    <w:p w:rsidR="00F54855" w:rsidRPr="00A55E36" w:rsidRDefault="00F54855">
      <w:pPr>
        <w:pStyle w:val="FootnoteText"/>
        <w:rPr>
          <w:lang w:val="en-US"/>
        </w:rPr>
      </w:pPr>
      <w:r>
        <w:rPr>
          <w:rStyle w:val="FootnoteReference"/>
        </w:rPr>
        <w:footnoteRef/>
      </w:r>
      <w:r>
        <w:t xml:space="preserve"> 2012. „</w:t>
      </w:r>
      <w:proofErr w:type="spellStart"/>
      <w:r>
        <w:t>Special</w:t>
      </w:r>
      <w:proofErr w:type="spellEnd"/>
      <w:r>
        <w:t xml:space="preserve"> </w:t>
      </w:r>
      <w:proofErr w:type="spellStart"/>
      <w:r>
        <w:t>Economic</w:t>
      </w:r>
      <w:proofErr w:type="spellEnd"/>
      <w:r>
        <w:t xml:space="preserve"> </w:t>
      </w:r>
      <w:proofErr w:type="spellStart"/>
      <w:r>
        <w:t>Zones</w:t>
      </w:r>
      <w:proofErr w:type="spellEnd"/>
      <w:r>
        <w:t xml:space="preserve">. 2012 </w:t>
      </w:r>
      <w:proofErr w:type="spellStart"/>
      <w:r>
        <w:t>Edition</w:t>
      </w:r>
      <w:proofErr w:type="spellEnd"/>
      <w:r>
        <w:t xml:space="preserve">”. KPMG </w:t>
      </w:r>
      <w:proofErr w:type="spellStart"/>
      <w:r>
        <w:t>Poland</w:t>
      </w:r>
      <w:proofErr w:type="spellEnd"/>
      <w:r>
        <w:t xml:space="preserve">: </w:t>
      </w:r>
      <w:hyperlink r:id="rId5" w:history="1">
        <w:r w:rsidRPr="007C42CD">
          <w:rPr>
            <w:rStyle w:val="Hyperlink"/>
          </w:rPr>
          <w:t>http://www.paiz.gov.pl/files/?id_plik=20342</w:t>
        </w:r>
      </w:hyperlink>
      <w:r>
        <w:t xml:space="preserve"> </w:t>
      </w:r>
    </w:p>
  </w:footnote>
  <w:footnote w:id="9">
    <w:p w:rsidR="00F54855" w:rsidRPr="007719CF" w:rsidRDefault="00F54855">
      <w:pPr>
        <w:pStyle w:val="FootnoteText"/>
        <w:rPr>
          <w:lang w:val="en-US"/>
        </w:rPr>
      </w:pPr>
      <w:r>
        <w:rPr>
          <w:rStyle w:val="FootnoteReference"/>
        </w:rPr>
        <w:footnoteRef/>
      </w:r>
      <w:r>
        <w:t xml:space="preserve"> </w:t>
      </w:r>
      <w:proofErr w:type="spellStart"/>
      <w:r>
        <w:rPr>
          <w:lang w:val="en-US"/>
        </w:rPr>
        <w:t>Indonēzijas</w:t>
      </w:r>
      <w:proofErr w:type="spellEnd"/>
      <w:r>
        <w:rPr>
          <w:lang w:val="en-US"/>
        </w:rPr>
        <w:t xml:space="preserve"> </w:t>
      </w:r>
      <w:proofErr w:type="spellStart"/>
      <w:r>
        <w:rPr>
          <w:lang w:val="en-US"/>
        </w:rPr>
        <w:t>Speciālās</w:t>
      </w:r>
      <w:proofErr w:type="spellEnd"/>
      <w:r>
        <w:rPr>
          <w:lang w:val="en-US"/>
        </w:rPr>
        <w:t xml:space="preserve"> </w:t>
      </w:r>
      <w:proofErr w:type="spellStart"/>
      <w:r>
        <w:rPr>
          <w:lang w:val="en-US"/>
        </w:rPr>
        <w:t>ekonomiskās</w:t>
      </w:r>
      <w:proofErr w:type="spellEnd"/>
      <w:r>
        <w:rPr>
          <w:lang w:val="en-US"/>
        </w:rPr>
        <w:t xml:space="preserve"> </w:t>
      </w:r>
      <w:proofErr w:type="spellStart"/>
      <w:r>
        <w:rPr>
          <w:lang w:val="en-US"/>
        </w:rPr>
        <w:t>zonas</w:t>
      </w:r>
      <w:proofErr w:type="spellEnd"/>
      <w:r>
        <w:rPr>
          <w:lang w:val="en-US"/>
        </w:rPr>
        <w:t xml:space="preserve"> </w:t>
      </w:r>
      <w:proofErr w:type="spellStart"/>
      <w:r>
        <w:rPr>
          <w:lang w:val="en-US"/>
        </w:rPr>
        <w:t>likums</w:t>
      </w:r>
      <w:proofErr w:type="spellEnd"/>
      <w:r>
        <w:rPr>
          <w:lang w:val="en-US"/>
        </w:rPr>
        <w:t xml:space="preserve">: </w:t>
      </w:r>
      <w:hyperlink r:id="rId6" w:history="1">
        <w:r w:rsidRPr="00F03FD0">
          <w:rPr>
            <w:rStyle w:val="Hyperlink"/>
            <w:lang w:val="en-US"/>
          </w:rPr>
          <w:t>http://www.kemlu.go.id/sanfrancisco/Documents/Ekonomi/Peraturan/Special%20Economic%20Zone.pdf</w:t>
        </w:r>
      </w:hyperlink>
      <w:r>
        <w:rPr>
          <w:lang w:val="en-US"/>
        </w:rPr>
        <w:t xml:space="preserve"> </w:t>
      </w:r>
    </w:p>
  </w:footnote>
  <w:footnote w:id="10">
    <w:p w:rsidR="00BE07C2" w:rsidRPr="001077D6" w:rsidRDefault="00BE07C2" w:rsidP="00BE07C2">
      <w:pPr>
        <w:pStyle w:val="FootnoteText"/>
        <w:rPr>
          <w:rFonts w:eastAsiaTheme="minorHAnsi"/>
          <w:lang w:eastAsia="en-US"/>
        </w:rPr>
      </w:pPr>
      <w:r w:rsidRPr="007702EE">
        <w:rPr>
          <w:rStyle w:val="FootnoteReference"/>
        </w:rPr>
        <w:footnoteRef/>
      </w:r>
      <w:r w:rsidRPr="007702EE">
        <w:t xml:space="preserve"> Valsts atbalsta shēma</w:t>
      </w:r>
      <w:r>
        <w:t xml:space="preserve"> </w:t>
      </w:r>
      <w:r w:rsidRPr="007702EE">
        <w:t xml:space="preserve">Nr. </w:t>
      </w:r>
      <w:r w:rsidRPr="00F436C5">
        <w:t>SA.39142</w:t>
      </w:r>
      <w:r w:rsidRPr="007702EE">
        <w:t xml:space="preserve"> </w:t>
      </w:r>
      <w:r>
        <w:t>„L</w:t>
      </w:r>
      <w:r w:rsidRPr="007702EE">
        <w:t>ikums „Par nodokļu piemērošanu brīvostās un speciālajās ekonomiskajās zonās”</w:t>
      </w:r>
      <w:r>
        <w:t>”</w:t>
      </w:r>
      <w:r w:rsidRPr="007702EE">
        <w:t xml:space="preserve"> ir pieejama: </w:t>
      </w:r>
      <w:hyperlink r:id="rId7" w:history="1">
        <w:r w:rsidRPr="001077D6">
          <w:rPr>
            <w:rStyle w:val="Hyperlink"/>
            <w:rFonts w:eastAsiaTheme="minorHAnsi"/>
            <w:lang w:eastAsia="en-US"/>
          </w:rPr>
          <w:t>http://ec.europa.eu/competition/state_aid/cases/253773/253773_1565296_3_1.pdf</w:t>
        </w:r>
      </w:hyperlink>
      <w:r w:rsidRPr="001077D6">
        <w:rPr>
          <w:rFonts w:eastAsiaTheme="minorHAnsi"/>
          <w:lang w:eastAsia="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855" w:rsidRDefault="008E7189">
    <w:pPr>
      <w:pStyle w:val="Header"/>
    </w:pPr>
    <w:r w:rsidRPr="008E7189">
      <w:rPr>
        <w:noProof/>
      </w:rPr>
      <w:pict>
        <v:shapetype id="_x0000_t202" coordsize="21600,21600" o:spt="202" path="m,l,21600r21600,l21600,xe">
          <v:stroke joinstyle="miter"/>
          <v:path gradientshapeok="t" o:connecttype="rect"/>
        </v:shapetype>
        <v:shape id="Text Box 1" o:spid="_x0000_s4097" type="#_x0000_t202" style="position:absolute;margin-left:0;margin-top:.05pt;width:5.45pt;height:25.3pt;z-index:251659264;visibility:visible;mso-wrap-style:none;mso-wrap-distance-left:3.17497mm;mso-wrap-distance-top:-3e-5mm;mso-wrap-distance-right:3.17497mm;mso-wrap-distance-bottom:-3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" filled="f" stroked="f">
          <v:path arrowok="t"/>
          <v:textbox style="mso-fit-shape-to-text:t" inset="0,0,0,0">
            <w:txbxContent>
              <w:p w:rsidR="00F54855" w:rsidRDefault="00F54855">
                <w:pPr>
                  <w:pStyle w:val="Header"/>
                  <w:rPr>
                    <w:rStyle w:val="PageNumber"/>
                  </w:rPr>
                </w:pPr>
              </w:p>
              <w:p w:rsidR="00F54855" w:rsidRPr="00B772B4" w:rsidRDefault="008E7189">
                <w:pPr>
                  <w:pStyle w:val="Header"/>
                  <w:rPr>
                    <w:sz w:val="20"/>
                    <w:szCs w:val="20"/>
                  </w:rPr>
                </w:pPr>
                <w:r w:rsidRPr="00B772B4">
                  <w:rPr>
                    <w:rStyle w:val="PageNumber"/>
                    <w:sz w:val="20"/>
                    <w:szCs w:val="20"/>
                  </w:rPr>
                  <w:fldChar w:fldCharType="begin"/>
                </w:r>
                <w:r w:rsidR="00F54855" w:rsidRPr="00B772B4">
                  <w:rPr>
                    <w:rStyle w:val="PageNumber"/>
                    <w:sz w:val="20"/>
                    <w:szCs w:val="20"/>
                  </w:rPr>
                  <w:instrText xml:space="preserve"> PAGE </w:instrText>
                </w:r>
                <w:r w:rsidRPr="00B772B4">
                  <w:rPr>
                    <w:rStyle w:val="PageNumber"/>
                    <w:sz w:val="20"/>
                    <w:szCs w:val="20"/>
                  </w:rPr>
                  <w:fldChar w:fldCharType="separate"/>
                </w:r>
                <w:r w:rsidR="007878C6">
                  <w:rPr>
                    <w:rStyle w:val="PageNumber"/>
                    <w:noProof/>
                    <w:sz w:val="20"/>
                    <w:szCs w:val="20"/>
                  </w:rPr>
                  <w:t>2</w:t>
                </w:r>
                <w:r w:rsidRPr="00B772B4">
                  <w:rPr>
                    <w:rStyle w:val="PageNumber"/>
                    <w:sz w:val="20"/>
                    <w:szCs w:val="20"/>
                  </w:rPr>
                  <w:fldChar w:fldCharType="end"/>
                </w:r>
              </w:p>
            </w:txbxContent>
          </v:textbox>
          <w10:wrap type="square" anchorx="margin"/>
        </v:shape>
      </w:pict>
    </w:r>
  </w:p>
  <w:p w:rsidR="00F54855" w:rsidRDefault="00F5485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549"/>
    <w:multiLevelType w:val="hybridMultilevel"/>
    <w:tmpl w:val="E3D28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076"/>
    <w:multiLevelType w:val="hybridMultilevel"/>
    <w:tmpl w:val="C354F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872B8E"/>
    <w:multiLevelType w:val="hybridMultilevel"/>
    <w:tmpl w:val="41B05C24"/>
    <w:lvl w:ilvl="0" w:tplc="DA06D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E663B5"/>
    <w:multiLevelType w:val="multilevel"/>
    <w:tmpl w:val="EAD808E4"/>
    <w:lvl w:ilvl="0">
      <w:start w:val="1"/>
      <w:numFmt w:val="decimal"/>
      <w:lvlText w:val="%1)"/>
      <w:lvlJc w:val="left"/>
      <w:pPr>
        <w:ind w:left="780" w:hanging="360"/>
      </w:p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4">
    <w:nsid w:val="34F13BA1"/>
    <w:multiLevelType w:val="hybridMultilevel"/>
    <w:tmpl w:val="9006AC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4AAA2FF8"/>
    <w:multiLevelType w:val="hybridMultilevel"/>
    <w:tmpl w:val="8AAC8130"/>
    <w:lvl w:ilvl="0" w:tplc="AD32E164">
      <w:start w:val="1"/>
      <w:numFmt w:val="decimal"/>
      <w:lvlText w:val="%1."/>
      <w:lvlJc w:val="left"/>
      <w:pPr>
        <w:ind w:left="720" w:hanging="360"/>
      </w:pPr>
      <w:rPr>
        <w:rFonts w:hint="default"/>
        <w:i/>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4D38A8"/>
    <w:multiLevelType w:val="hybridMultilevel"/>
    <w:tmpl w:val="2BD85252"/>
    <w:lvl w:ilvl="0" w:tplc="0ABADA1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BA4947"/>
    <w:multiLevelType w:val="hybridMultilevel"/>
    <w:tmpl w:val="BA840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A841C3"/>
    <w:multiLevelType w:val="hybridMultilevel"/>
    <w:tmpl w:val="ABCA1194"/>
    <w:lvl w:ilvl="0" w:tplc="49A001F6">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613CD6"/>
    <w:rsid w:val="00007015"/>
    <w:rsid w:val="000074D1"/>
    <w:rsid w:val="000078F7"/>
    <w:rsid w:val="00015172"/>
    <w:rsid w:val="00026AF8"/>
    <w:rsid w:val="000410A8"/>
    <w:rsid w:val="0004466A"/>
    <w:rsid w:val="000514A4"/>
    <w:rsid w:val="00067AA8"/>
    <w:rsid w:val="00074275"/>
    <w:rsid w:val="0009108E"/>
    <w:rsid w:val="00096653"/>
    <w:rsid w:val="00097DA2"/>
    <w:rsid w:val="000A159E"/>
    <w:rsid w:val="000A46CB"/>
    <w:rsid w:val="000A5D1B"/>
    <w:rsid w:val="000B1E3B"/>
    <w:rsid w:val="000C7902"/>
    <w:rsid w:val="000D18F6"/>
    <w:rsid w:val="000E6027"/>
    <w:rsid w:val="000F5B74"/>
    <w:rsid w:val="00101D9D"/>
    <w:rsid w:val="00104733"/>
    <w:rsid w:val="001077D6"/>
    <w:rsid w:val="00110CEA"/>
    <w:rsid w:val="0014576B"/>
    <w:rsid w:val="00145E73"/>
    <w:rsid w:val="001510BA"/>
    <w:rsid w:val="0015408D"/>
    <w:rsid w:val="001723D0"/>
    <w:rsid w:val="00173CED"/>
    <w:rsid w:val="00175EDC"/>
    <w:rsid w:val="00177E08"/>
    <w:rsid w:val="001908A8"/>
    <w:rsid w:val="00191D4E"/>
    <w:rsid w:val="001A14C7"/>
    <w:rsid w:val="001A4B02"/>
    <w:rsid w:val="001C627E"/>
    <w:rsid w:val="001D049E"/>
    <w:rsid w:val="001D0BA6"/>
    <w:rsid w:val="001D0F25"/>
    <w:rsid w:val="001D6613"/>
    <w:rsid w:val="001F4A17"/>
    <w:rsid w:val="002051B5"/>
    <w:rsid w:val="00212339"/>
    <w:rsid w:val="0022015D"/>
    <w:rsid w:val="00231015"/>
    <w:rsid w:val="002418B2"/>
    <w:rsid w:val="00243F21"/>
    <w:rsid w:val="002447B9"/>
    <w:rsid w:val="0025304C"/>
    <w:rsid w:val="00254DFE"/>
    <w:rsid w:val="00262AA2"/>
    <w:rsid w:val="00284ED2"/>
    <w:rsid w:val="00286747"/>
    <w:rsid w:val="002A742E"/>
    <w:rsid w:val="002B044B"/>
    <w:rsid w:val="002B5669"/>
    <w:rsid w:val="002B6965"/>
    <w:rsid w:val="002C3A3D"/>
    <w:rsid w:val="002D05D1"/>
    <w:rsid w:val="002E7511"/>
    <w:rsid w:val="002F1EF5"/>
    <w:rsid w:val="002F6834"/>
    <w:rsid w:val="002F7B5F"/>
    <w:rsid w:val="003049C8"/>
    <w:rsid w:val="003140A7"/>
    <w:rsid w:val="00327099"/>
    <w:rsid w:val="00331C27"/>
    <w:rsid w:val="0033730F"/>
    <w:rsid w:val="00341261"/>
    <w:rsid w:val="00357ABF"/>
    <w:rsid w:val="00367E8C"/>
    <w:rsid w:val="00374B86"/>
    <w:rsid w:val="003766E0"/>
    <w:rsid w:val="00387D5C"/>
    <w:rsid w:val="0039006D"/>
    <w:rsid w:val="003B0B26"/>
    <w:rsid w:val="003B78E5"/>
    <w:rsid w:val="003D54F0"/>
    <w:rsid w:val="003E7D31"/>
    <w:rsid w:val="003F1304"/>
    <w:rsid w:val="003F565C"/>
    <w:rsid w:val="00400DD7"/>
    <w:rsid w:val="00402C40"/>
    <w:rsid w:val="00407B80"/>
    <w:rsid w:val="004375A1"/>
    <w:rsid w:val="00437697"/>
    <w:rsid w:val="0044048D"/>
    <w:rsid w:val="00441A7F"/>
    <w:rsid w:val="00466D5D"/>
    <w:rsid w:val="0049506D"/>
    <w:rsid w:val="004A7EEB"/>
    <w:rsid w:val="004B1BD2"/>
    <w:rsid w:val="004B1E7B"/>
    <w:rsid w:val="004B234D"/>
    <w:rsid w:val="004B4C9B"/>
    <w:rsid w:val="004D7643"/>
    <w:rsid w:val="004E4F37"/>
    <w:rsid w:val="004E7C7E"/>
    <w:rsid w:val="004F468E"/>
    <w:rsid w:val="00501348"/>
    <w:rsid w:val="00504631"/>
    <w:rsid w:val="00505391"/>
    <w:rsid w:val="0050566E"/>
    <w:rsid w:val="00511AFE"/>
    <w:rsid w:val="005249A3"/>
    <w:rsid w:val="00525FCA"/>
    <w:rsid w:val="00546EAC"/>
    <w:rsid w:val="00553A01"/>
    <w:rsid w:val="005560EA"/>
    <w:rsid w:val="0056467E"/>
    <w:rsid w:val="00565B5A"/>
    <w:rsid w:val="0057109A"/>
    <w:rsid w:val="00572238"/>
    <w:rsid w:val="00576846"/>
    <w:rsid w:val="00576B62"/>
    <w:rsid w:val="00582843"/>
    <w:rsid w:val="00584F3B"/>
    <w:rsid w:val="00586401"/>
    <w:rsid w:val="0059366A"/>
    <w:rsid w:val="00594DB2"/>
    <w:rsid w:val="005A6684"/>
    <w:rsid w:val="005B1489"/>
    <w:rsid w:val="005B4448"/>
    <w:rsid w:val="005B51A2"/>
    <w:rsid w:val="005B59F6"/>
    <w:rsid w:val="005C1F7B"/>
    <w:rsid w:val="005D4212"/>
    <w:rsid w:val="005E06B3"/>
    <w:rsid w:val="005F0B1A"/>
    <w:rsid w:val="005F13EC"/>
    <w:rsid w:val="005F50F4"/>
    <w:rsid w:val="00600EDD"/>
    <w:rsid w:val="006049AE"/>
    <w:rsid w:val="00605BFD"/>
    <w:rsid w:val="00607329"/>
    <w:rsid w:val="00613CD6"/>
    <w:rsid w:val="00623621"/>
    <w:rsid w:val="00624D6B"/>
    <w:rsid w:val="0063588A"/>
    <w:rsid w:val="006541A0"/>
    <w:rsid w:val="00671B67"/>
    <w:rsid w:val="00690DED"/>
    <w:rsid w:val="00692BBD"/>
    <w:rsid w:val="00695F25"/>
    <w:rsid w:val="006A049F"/>
    <w:rsid w:val="006B3900"/>
    <w:rsid w:val="006C2667"/>
    <w:rsid w:val="006D0AEF"/>
    <w:rsid w:val="006D4AAC"/>
    <w:rsid w:val="006E54DA"/>
    <w:rsid w:val="006E5B85"/>
    <w:rsid w:val="006E741A"/>
    <w:rsid w:val="006F7D44"/>
    <w:rsid w:val="00701A5E"/>
    <w:rsid w:val="007029D2"/>
    <w:rsid w:val="00704161"/>
    <w:rsid w:val="007245FE"/>
    <w:rsid w:val="00731A81"/>
    <w:rsid w:val="00740FA8"/>
    <w:rsid w:val="0074153F"/>
    <w:rsid w:val="007449C7"/>
    <w:rsid w:val="00752676"/>
    <w:rsid w:val="0075590B"/>
    <w:rsid w:val="00756C0A"/>
    <w:rsid w:val="007578F7"/>
    <w:rsid w:val="007640E7"/>
    <w:rsid w:val="007702EE"/>
    <w:rsid w:val="007719CF"/>
    <w:rsid w:val="00782EB4"/>
    <w:rsid w:val="007878C6"/>
    <w:rsid w:val="0079206C"/>
    <w:rsid w:val="0079669A"/>
    <w:rsid w:val="007A582F"/>
    <w:rsid w:val="007A7535"/>
    <w:rsid w:val="007B464A"/>
    <w:rsid w:val="007B6902"/>
    <w:rsid w:val="007B7863"/>
    <w:rsid w:val="007C2681"/>
    <w:rsid w:val="007D612C"/>
    <w:rsid w:val="007E4DAF"/>
    <w:rsid w:val="007F29C1"/>
    <w:rsid w:val="007F44DD"/>
    <w:rsid w:val="008029C1"/>
    <w:rsid w:val="00813D24"/>
    <w:rsid w:val="00817967"/>
    <w:rsid w:val="00852AD3"/>
    <w:rsid w:val="00870D75"/>
    <w:rsid w:val="00877411"/>
    <w:rsid w:val="0088754B"/>
    <w:rsid w:val="00891FFE"/>
    <w:rsid w:val="00892925"/>
    <w:rsid w:val="008A07F4"/>
    <w:rsid w:val="008A0FB7"/>
    <w:rsid w:val="008A6D42"/>
    <w:rsid w:val="008D18E9"/>
    <w:rsid w:val="008D27D2"/>
    <w:rsid w:val="008E2942"/>
    <w:rsid w:val="008E3D25"/>
    <w:rsid w:val="008E4DA1"/>
    <w:rsid w:val="008E64E6"/>
    <w:rsid w:val="008E7189"/>
    <w:rsid w:val="008E722E"/>
    <w:rsid w:val="008F5FB1"/>
    <w:rsid w:val="008F76F0"/>
    <w:rsid w:val="00905AED"/>
    <w:rsid w:val="009072F3"/>
    <w:rsid w:val="00910BF8"/>
    <w:rsid w:val="009602B6"/>
    <w:rsid w:val="00970BC0"/>
    <w:rsid w:val="00980A86"/>
    <w:rsid w:val="0098118B"/>
    <w:rsid w:val="009865A6"/>
    <w:rsid w:val="009A0AD8"/>
    <w:rsid w:val="009A1CC6"/>
    <w:rsid w:val="009A53E3"/>
    <w:rsid w:val="009A5DA3"/>
    <w:rsid w:val="009B163F"/>
    <w:rsid w:val="009B5B25"/>
    <w:rsid w:val="009C3212"/>
    <w:rsid w:val="009C58E4"/>
    <w:rsid w:val="009C5B8B"/>
    <w:rsid w:val="009E0BD0"/>
    <w:rsid w:val="009F307A"/>
    <w:rsid w:val="00A01BAA"/>
    <w:rsid w:val="00A11A09"/>
    <w:rsid w:val="00A136FD"/>
    <w:rsid w:val="00A14B9F"/>
    <w:rsid w:val="00A2683B"/>
    <w:rsid w:val="00A32627"/>
    <w:rsid w:val="00A3622B"/>
    <w:rsid w:val="00A36D39"/>
    <w:rsid w:val="00A37BCA"/>
    <w:rsid w:val="00A4247E"/>
    <w:rsid w:val="00A459B2"/>
    <w:rsid w:val="00A515DD"/>
    <w:rsid w:val="00A52FC5"/>
    <w:rsid w:val="00A55E36"/>
    <w:rsid w:val="00A73411"/>
    <w:rsid w:val="00A73ECF"/>
    <w:rsid w:val="00A77C9C"/>
    <w:rsid w:val="00A80B81"/>
    <w:rsid w:val="00A919B6"/>
    <w:rsid w:val="00A91A8F"/>
    <w:rsid w:val="00A93A4F"/>
    <w:rsid w:val="00AA66F6"/>
    <w:rsid w:val="00AB136F"/>
    <w:rsid w:val="00AB2C7C"/>
    <w:rsid w:val="00AC1A2A"/>
    <w:rsid w:val="00AC2EE2"/>
    <w:rsid w:val="00AC5B4A"/>
    <w:rsid w:val="00AC7029"/>
    <w:rsid w:val="00AC744F"/>
    <w:rsid w:val="00AD07AA"/>
    <w:rsid w:val="00AD4EC8"/>
    <w:rsid w:val="00AF182F"/>
    <w:rsid w:val="00B02806"/>
    <w:rsid w:val="00B121CD"/>
    <w:rsid w:val="00B12D18"/>
    <w:rsid w:val="00B14F11"/>
    <w:rsid w:val="00B177E4"/>
    <w:rsid w:val="00B34CF1"/>
    <w:rsid w:val="00B447E4"/>
    <w:rsid w:val="00B57716"/>
    <w:rsid w:val="00B60143"/>
    <w:rsid w:val="00B620BA"/>
    <w:rsid w:val="00B772B4"/>
    <w:rsid w:val="00B854FD"/>
    <w:rsid w:val="00B86011"/>
    <w:rsid w:val="00B90337"/>
    <w:rsid w:val="00B91269"/>
    <w:rsid w:val="00B95A38"/>
    <w:rsid w:val="00B95F97"/>
    <w:rsid w:val="00B97CAD"/>
    <w:rsid w:val="00BA5703"/>
    <w:rsid w:val="00BB24A3"/>
    <w:rsid w:val="00BB304A"/>
    <w:rsid w:val="00BB5482"/>
    <w:rsid w:val="00BE07C2"/>
    <w:rsid w:val="00BE2447"/>
    <w:rsid w:val="00C0721B"/>
    <w:rsid w:val="00C1143C"/>
    <w:rsid w:val="00C11C7E"/>
    <w:rsid w:val="00C1438C"/>
    <w:rsid w:val="00C17A3C"/>
    <w:rsid w:val="00C17CDF"/>
    <w:rsid w:val="00C21695"/>
    <w:rsid w:val="00C27955"/>
    <w:rsid w:val="00C43DC6"/>
    <w:rsid w:val="00C605ED"/>
    <w:rsid w:val="00C7436B"/>
    <w:rsid w:val="00C806AC"/>
    <w:rsid w:val="00C86A78"/>
    <w:rsid w:val="00C9047C"/>
    <w:rsid w:val="00C9068E"/>
    <w:rsid w:val="00CA1812"/>
    <w:rsid w:val="00CB51BE"/>
    <w:rsid w:val="00CC31F8"/>
    <w:rsid w:val="00CD141B"/>
    <w:rsid w:val="00CD2A44"/>
    <w:rsid w:val="00CD3F40"/>
    <w:rsid w:val="00CD71E6"/>
    <w:rsid w:val="00CE192F"/>
    <w:rsid w:val="00CE1D74"/>
    <w:rsid w:val="00CE4D64"/>
    <w:rsid w:val="00CE7C13"/>
    <w:rsid w:val="00CF17AE"/>
    <w:rsid w:val="00CF4D58"/>
    <w:rsid w:val="00D06DD8"/>
    <w:rsid w:val="00D10D22"/>
    <w:rsid w:val="00D15299"/>
    <w:rsid w:val="00D255B1"/>
    <w:rsid w:val="00D26E36"/>
    <w:rsid w:val="00D4448E"/>
    <w:rsid w:val="00D60344"/>
    <w:rsid w:val="00D65148"/>
    <w:rsid w:val="00D80B82"/>
    <w:rsid w:val="00D811BB"/>
    <w:rsid w:val="00D8126D"/>
    <w:rsid w:val="00D8214F"/>
    <w:rsid w:val="00D878F0"/>
    <w:rsid w:val="00D97FBA"/>
    <w:rsid w:val="00DB5EBB"/>
    <w:rsid w:val="00DC1C92"/>
    <w:rsid w:val="00DC2333"/>
    <w:rsid w:val="00DC6C7F"/>
    <w:rsid w:val="00DD1893"/>
    <w:rsid w:val="00DE090A"/>
    <w:rsid w:val="00DE17A0"/>
    <w:rsid w:val="00DE44BC"/>
    <w:rsid w:val="00E00F35"/>
    <w:rsid w:val="00E01916"/>
    <w:rsid w:val="00E031EE"/>
    <w:rsid w:val="00E11F42"/>
    <w:rsid w:val="00E265BD"/>
    <w:rsid w:val="00E444AF"/>
    <w:rsid w:val="00E50E4D"/>
    <w:rsid w:val="00E51A80"/>
    <w:rsid w:val="00E57D7B"/>
    <w:rsid w:val="00E66EAE"/>
    <w:rsid w:val="00E712F4"/>
    <w:rsid w:val="00E7413B"/>
    <w:rsid w:val="00E74436"/>
    <w:rsid w:val="00E931B4"/>
    <w:rsid w:val="00EA50D4"/>
    <w:rsid w:val="00EC1FB4"/>
    <w:rsid w:val="00EC3C60"/>
    <w:rsid w:val="00ED0160"/>
    <w:rsid w:val="00ED271D"/>
    <w:rsid w:val="00ED2C01"/>
    <w:rsid w:val="00ED530F"/>
    <w:rsid w:val="00EE7329"/>
    <w:rsid w:val="00EE7A00"/>
    <w:rsid w:val="00EF642A"/>
    <w:rsid w:val="00F03F52"/>
    <w:rsid w:val="00F074AE"/>
    <w:rsid w:val="00F07FC5"/>
    <w:rsid w:val="00F12152"/>
    <w:rsid w:val="00F12BAB"/>
    <w:rsid w:val="00F12C43"/>
    <w:rsid w:val="00F12D68"/>
    <w:rsid w:val="00F14710"/>
    <w:rsid w:val="00F2616E"/>
    <w:rsid w:val="00F36EB5"/>
    <w:rsid w:val="00F37483"/>
    <w:rsid w:val="00F42C09"/>
    <w:rsid w:val="00F436C5"/>
    <w:rsid w:val="00F44B26"/>
    <w:rsid w:val="00F45C3D"/>
    <w:rsid w:val="00F47063"/>
    <w:rsid w:val="00F54855"/>
    <w:rsid w:val="00F60163"/>
    <w:rsid w:val="00F806B4"/>
    <w:rsid w:val="00F83080"/>
    <w:rsid w:val="00F95FEA"/>
    <w:rsid w:val="00FA0BF0"/>
    <w:rsid w:val="00FA1618"/>
    <w:rsid w:val="00FB2EEE"/>
    <w:rsid w:val="00FC596F"/>
    <w:rsid w:val="00FC78AE"/>
    <w:rsid w:val="00FD6162"/>
    <w:rsid w:val="00FE120D"/>
    <w:rsid w:val="00FE7ECB"/>
    <w:rsid w:val="00FF27F3"/>
    <w:rsid w:val="00FF42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Straight Arrow Connector 11"/>
        <o:r id="V:Rule2" type="connector" idref="#Straight Arrow Connector 12"/>
        <o:r id="V:Rule3" type="connector" idref="#Straight Arrow Connector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13CD6"/>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3F565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3CD6"/>
    <w:pPr>
      <w:tabs>
        <w:tab w:val="center" w:pos="4153"/>
        <w:tab w:val="right" w:pos="8306"/>
      </w:tabs>
    </w:pPr>
  </w:style>
  <w:style w:type="character" w:customStyle="1" w:styleId="HeaderChar">
    <w:name w:val="Header Char"/>
    <w:basedOn w:val="DefaultParagraphFont"/>
    <w:link w:val="Header"/>
    <w:rsid w:val="00613CD6"/>
    <w:rPr>
      <w:rFonts w:ascii="Times New Roman" w:eastAsia="Times New Roman" w:hAnsi="Times New Roman" w:cs="Times New Roman"/>
      <w:sz w:val="24"/>
      <w:szCs w:val="24"/>
      <w:lang w:eastAsia="lv-LV"/>
    </w:rPr>
  </w:style>
  <w:style w:type="character" w:styleId="PageNumber">
    <w:name w:val="page number"/>
    <w:basedOn w:val="DefaultParagraphFont"/>
    <w:rsid w:val="00613CD6"/>
  </w:style>
  <w:style w:type="paragraph" w:customStyle="1" w:styleId="naisf">
    <w:name w:val="naisf"/>
    <w:basedOn w:val="Normal"/>
    <w:rsid w:val="00613CD6"/>
    <w:pPr>
      <w:spacing w:before="75" w:after="75"/>
      <w:ind w:firstLine="375"/>
      <w:jc w:val="both"/>
    </w:pPr>
  </w:style>
  <w:style w:type="paragraph" w:customStyle="1" w:styleId="naisnod">
    <w:name w:val="naisnod"/>
    <w:basedOn w:val="Normal"/>
    <w:rsid w:val="00613CD6"/>
    <w:pPr>
      <w:spacing w:before="150" w:after="150"/>
      <w:jc w:val="center"/>
    </w:pPr>
    <w:rPr>
      <w:b/>
      <w:bCs/>
    </w:rPr>
  </w:style>
  <w:style w:type="paragraph" w:customStyle="1" w:styleId="naiskr">
    <w:name w:val="naiskr"/>
    <w:basedOn w:val="Normal"/>
    <w:rsid w:val="00613CD6"/>
    <w:pPr>
      <w:spacing w:before="75" w:after="75"/>
    </w:pPr>
  </w:style>
  <w:style w:type="paragraph" w:styleId="Footer">
    <w:name w:val="footer"/>
    <w:basedOn w:val="Normal"/>
    <w:link w:val="FooterChar"/>
    <w:uiPriority w:val="99"/>
    <w:rsid w:val="00613CD6"/>
    <w:pPr>
      <w:tabs>
        <w:tab w:val="center" w:pos="4153"/>
        <w:tab w:val="right" w:pos="8306"/>
      </w:tabs>
    </w:pPr>
  </w:style>
  <w:style w:type="character" w:customStyle="1" w:styleId="FooterChar">
    <w:name w:val="Footer Char"/>
    <w:basedOn w:val="DefaultParagraphFont"/>
    <w:link w:val="Footer"/>
    <w:uiPriority w:val="99"/>
    <w:rsid w:val="00613CD6"/>
    <w:rPr>
      <w:rFonts w:ascii="Times New Roman" w:eastAsia="Times New Roman" w:hAnsi="Times New Roman" w:cs="Times New Roman"/>
      <w:sz w:val="24"/>
      <w:szCs w:val="24"/>
      <w:lang w:eastAsia="lv-LV"/>
    </w:rPr>
  </w:style>
  <w:style w:type="character" w:styleId="Hyperlink">
    <w:name w:val="Hyperlink"/>
    <w:rsid w:val="00613CD6"/>
    <w:rPr>
      <w:color w:val="0000FF"/>
      <w:u w:val="single"/>
    </w:rPr>
  </w:style>
  <w:style w:type="paragraph" w:styleId="BalloonText">
    <w:name w:val="Balloon Text"/>
    <w:basedOn w:val="Normal"/>
    <w:link w:val="BalloonTextChar"/>
    <w:uiPriority w:val="99"/>
    <w:semiHidden/>
    <w:unhideWhenUsed/>
    <w:rsid w:val="00ED2C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01"/>
    <w:rPr>
      <w:rFonts w:ascii="Segoe UI" w:eastAsia="Times New Roman" w:hAnsi="Segoe UI" w:cs="Segoe UI"/>
      <w:sz w:val="18"/>
      <w:szCs w:val="18"/>
      <w:lang w:eastAsia="lv-LV"/>
    </w:rPr>
  </w:style>
  <w:style w:type="paragraph" w:styleId="NoSpacing">
    <w:name w:val="No Spacing"/>
    <w:uiPriority w:val="1"/>
    <w:qFormat/>
    <w:rsid w:val="008F5FB1"/>
    <w:pPr>
      <w:spacing w:after="0"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2B6965"/>
    <w:pPr>
      <w:suppressAutoHyphens w:val="0"/>
      <w:autoSpaceDN/>
      <w:spacing w:before="100" w:beforeAutospacing="1" w:after="100" w:afterAutospacing="1"/>
      <w:textAlignment w:val="auto"/>
    </w:pPr>
  </w:style>
  <w:style w:type="character" w:styleId="CommentReference">
    <w:name w:val="annotation reference"/>
    <w:basedOn w:val="DefaultParagraphFont"/>
    <w:uiPriority w:val="99"/>
    <w:semiHidden/>
    <w:unhideWhenUsed/>
    <w:rsid w:val="00EF642A"/>
    <w:rPr>
      <w:sz w:val="16"/>
      <w:szCs w:val="16"/>
    </w:rPr>
  </w:style>
  <w:style w:type="paragraph" w:styleId="CommentText">
    <w:name w:val="annotation text"/>
    <w:basedOn w:val="Normal"/>
    <w:link w:val="CommentTextChar"/>
    <w:uiPriority w:val="99"/>
    <w:semiHidden/>
    <w:unhideWhenUsed/>
    <w:rsid w:val="00EF642A"/>
    <w:rPr>
      <w:sz w:val="20"/>
      <w:szCs w:val="20"/>
    </w:rPr>
  </w:style>
  <w:style w:type="character" w:customStyle="1" w:styleId="CommentTextChar">
    <w:name w:val="Comment Text Char"/>
    <w:basedOn w:val="DefaultParagraphFont"/>
    <w:link w:val="CommentText"/>
    <w:uiPriority w:val="99"/>
    <w:semiHidden/>
    <w:rsid w:val="00EF642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F642A"/>
    <w:rPr>
      <w:b/>
      <w:bCs/>
    </w:rPr>
  </w:style>
  <w:style w:type="character" w:customStyle="1" w:styleId="CommentSubjectChar">
    <w:name w:val="Comment Subject Char"/>
    <w:basedOn w:val="CommentTextChar"/>
    <w:link w:val="CommentSubject"/>
    <w:uiPriority w:val="99"/>
    <w:semiHidden/>
    <w:rsid w:val="00EF642A"/>
    <w:rPr>
      <w:rFonts w:ascii="Times New Roman" w:eastAsia="Times New Roman" w:hAnsi="Times New Roman" w:cs="Times New Roman"/>
      <w:b/>
      <w:bCs/>
      <w:sz w:val="20"/>
      <w:szCs w:val="20"/>
      <w:lang w:eastAsia="lv-LV"/>
    </w:rPr>
  </w:style>
  <w:style w:type="character" w:customStyle="1" w:styleId="apple-converted-space">
    <w:name w:val="apple-converted-space"/>
    <w:basedOn w:val="DefaultParagraphFont"/>
    <w:rsid w:val="00C806AC"/>
  </w:style>
  <w:style w:type="table" w:styleId="LightShading-Accent3">
    <w:name w:val="Light Shading Accent 3"/>
    <w:basedOn w:val="TableNormal"/>
    <w:uiPriority w:val="60"/>
    <w:rsid w:val="00026AF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5249A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5249A3"/>
    <w:pPr>
      <w:ind w:left="720"/>
      <w:contextualSpacing/>
    </w:pPr>
  </w:style>
  <w:style w:type="table" w:styleId="TableGrid">
    <w:name w:val="Table Grid"/>
    <w:basedOn w:val="TableNormal"/>
    <w:uiPriority w:val="59"/>
    <w:rsid w:val="001457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86011"/>
    <w:rPr>
      <w:sz w:val="20"/>
      <w:szCs w:val="20"/>
    </w:rPr>
  </w:style>
  <w:style w:type="character" w:customStyle="1" w:styleId="FootnoteTextChar">
    <w:name w:val="Footnote Text Char"/>
    <w:basedOn w:val="DefaultParagraphFont"/>
    <w:link w:val="FootnoteText"/>
    <w:uiPriority w:val="99"/>
    <w:semiHidden/>
    <w:rsid w:val="00B86011"/>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B86011"/>
    <w:rPr>
      <w:vertAlign w:val="superscript"/>
    </w:rPr>
  </w:style>
  <w:style w:type="character" w:customStyle="1" w:styleId="Heading1Char">
    <w:name w:val="Heading 1 Char"/>
    <w:basedOn w:val="DefaultParagraphFont"/>
    <w:link w:val="Heading1"/>
    <w:uiPriority w:val="9"/>
    <w:rsid w:val="003F565C"/>
    <w:rPr>
      <w:rFonts w:asciiTheme="majorHAnsi" w:eastAsiaTheme="majorEastAsia" w:hAnsiTheme="majorHAnsi" w:cstheme="majorBidi"/>
      <w:b/>
      <w:bCs/>
      <w:color w:val="365F91" w:themeColor="accent1" w:themeShade="BF"/>
      <w:sz w:val="28"/>
      <w:szCs w:val="28"/>
      <w:lang w:eastAsia="lv-LV"/>
    </w:rPr>
  </w:style>
  <w:style w:type="character" w:styleId="FollowedHyperlink">
    <w:name w:val="FollowedHyperlink"/>
    <w:basedOn w:val="DefaultParagraphFont"/>
    <w:uiPriority w:val="99"/>
    <w:semiHidden/>
    <w:unhideWhenUsed/>
    <w:rsid w:val="00D4448E"/>
    <w:rPr>
      <w:color w:val="800080" w:themeColor="followedHyperlink"/>
      <w:u w:val="single"/>
    </w:rPr>
  </w:style>
  <w:style w:type="paragraph" w:styleId="NormalWeb">
    <w:name w:val="Normal (Web)"/>
    <w:basedOn w:val="Normal"/>
    <w:link w:val="NormalWebChar"/>
    <w:uiPriority w:val="99"/>
    <w:unhideWhenUsed/>
    <w:rsid w:val="0022015D"/>
    <w:pPr>
      <w:suppressAutoHyphens w:val="0"/>
      <w:autoSpaceDN/>
      <w:spacing w:before="100" w:beforeAutospacing="1" w:after="100" w:afterAutospacing="1"/>
      <w:textAlignment w:val="auto"/>
    </w:pPr>
    <w:rPr>
      <w:lang w:eastAsia="en-US"/>
    </w:rPr>
  </w:style>
  <w:style w:type="character" w:customStyle="1" w:styleId="NormalWebChar">
    <w:name w:val="Normal (Web) Char"/>
    <w:link w:val="NormalWeb"/>
    <w:uiPriority w:val="99"/>
    <w:locked/>
    <w:rsid w:val="0022015D"/>
    <w:rPr>
      <w:rFonts w:ascii="Times New Roman" w:eastAsia="Times New Roman" w:hAnsi="Times New Roman" w:cs="Times New Roman"/>
      <w:sz w:val="24"/>
      <w:szCs w:val="24"/>
    </w:rPr>
  </w:style>
  <w:style w:type="table" w:customStyle="1" w:styleId="LightList-Accent11">
    <w:name w:val="Light List - Accent 11"/>
    <w:basedOn w:val="TableNormal"/>
    <w:uiPriority w:val="61"/>
    <w:rsid w:val="0044048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r="http://schemas.openxmlformats.org/officeDocument/2006/relationships" xmlns:w="http://schemas.openxmlformats.org/wordprocessingml/2006/main">
  <w:divs>
    <w:div w:id="425662519">
      <w:bodyDiv w:val="1"/>
      <w:marLeft w:val="0"/>
      <w:marRight w:val="0"/>
      <w:marTop w:val="0"/>
      <w:marBottom w:val="0"/>
      <w:divBdr>
        <w:top w:val="none" w:sz="0" w:space="0" w:color="auto"/>
        <w:left w:val="none" w:sz="0" w:space="0" w:color="auto"/>
        <w:bottom w:val="none" w:sz="0" w:space="0" w:color="auto"/>
        <w:right w:val="none" w:sz="0" w:space="0" w:color="auto"/>
      </w:divBdr>
    </w:div>
    <w:div w:id="851334893">
      <w:bodyDiv w:val="1"/>
      <w:marLeft w:val="0"/>
      <w:marRight w:val="0"/>
      <w:marTop w:val="0"/>
      <w:marBottom w:val="0"/>
      <w:divBdr>
        <w:top w:val="none" w:sz="0" w:space="0" w:color="auto"/>
        <w:left w:val="none" w:sz="0" w:space="0" w:color="auto"/>
        <w:bottom w:val="none" w:sz="0" w:space="0" w:color="auto"/>
        <w:right w:val="none" w:sz="0" w:space="0" w:color="auto"/>
      </w:divBdr>
    </w:div>
    <w:div w:id="1050958295">
      <w:bodyDiv w:val="1"/>
      <w:marLeft w:val="0"/>
      <w:marRight w:val="0"/>
      <w:marTop w:val="0"/>
      <w:marBottom w:val="0"/>
      <w:divBdr>
        <w:top w:val="none" w:sz="0" w:space="0" w:color="auto"/>
        <w:left w:val="none" w:sz="0" w:space="0" w:color="auto"/>
        <w:bottom w:val="none" w:sz="0" w:space="0" w:color="auto"/>
        <w:right w:val="none" w:sz="0" w:space="0" w:color="auto"/>
      </w:divBdr>
    </w:div>
    <w:div w:id="1060641201">
      <w:bodyDiv w:val="1"/>
      <w:marLeft w:val="0"/>
      <w:marRight w:val="0"/>
      <w:marTop w:val="0"/>
      <w:marBottom w:val="0"/>
      <w:divBdr>
        <w:top w:val="none" w:sz="0" w:space="0" w:color="auto"/>
        <w:left w:val="none" w:sz="0" w:space="0" w:color="auto"/>
        <w:bottom w:val="none" w:sz="0" w:space="0" w:color="auto"/>
        <w:right w:val="none" w:sz="0" w:space="0" w:color="auto"/>
      </w:divBdr>
    </w:div>
    <w:div w:id="1628582737">
      <w:bodyDiv w:val="1"/>
      <w:marLeft w:val="0"/>
      <w:marRight w:val="0"/>
      <w:marTop w:val="0"/>
      <w:marBottom w:val="0"/>
      <w:divBdr>
        <w:top w:val="none" w:sz="0" w:space="0" w:color="auto"/>
        <w:left w:val="none" w:sz="0" w:space="0" w:color="auto"/>
        <w:bottom w:val="none" w:sz="0" w:space="0" w:color="auto"/>
        <w:right w:val="none" w:sz="0" w:space="0" w:color="auto"/>
      </w:divBdr>
    </w:div>
    <w:div w:id="1694263897">
      <w:bodyDiv w:val="1"/>
      <w:marLeft w:val="0"/>
      <w:marRight w:val="0"/>
      <w:marTop w:val="0"/>
      <w:marBottom w:val="0"/>
      <w:divBdr>
        <w:top w:val="none" w:sz="0" w:space="0" w:color="auto"/>
        <w:left w:val="none" w:sz="0" w:space="0" w:color="auto"/>
        <w:bottom w:val="none" w:sz="0" w:space="0" w:color="auto"/>
        <w:right w:val="none" w:sz="0" w:space="0" w:color="auto"/>
      </w:divBdr>
    </w:div>
    <w:div w:id="1729838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intis.Hermansons@vara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ace.Ziedina@varam.gov.lv"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ey.com/Publication/vwLUAssets/Raport_EY_Poland_-_a_true_special_economic_zone/$FILE/Raport-Poland-a-true-special-economic-zone.pdf" TargetMode="External"/><Relationship Id="rId7" Type="http://schemas.openxmlformats.org/officeDocument/2006/relationships/hyperlink" Target="http://ec.europa.eu/competition/state_aid/cases/253773/253773_1565296_3_1.pdf" TargetMode="External"/><Relationship Id="rId2" Type="http://schemas.openxmlformats.org/officeDocument/2006/relationships/hyperlink" Target="https://www.vid.gov.lv/default.aspx?tabid=9&amp;id=1016&amp;hl=1" TargetMode="External"/><Relationship Id="rId1" Type="http://schemas.openxmlformats.org/officeDocument/2006/relationships/hyperlink" Target="http://www.wepza.org" TargetMode="External"/><Relationship Id="rId6" Type="http://schemas.openxmlformats.org/officeDocument/2006/relationships/hyperlink" Target="http://www.kemlu.go.id/sanfrancisco/Documents/Ekonomi/Peraturan/Special%20Economic%20Zone.pdf" TargetMode="External"/><Relationship Id="rId5" Type="http://schemas.openxmlformats.org/officeDocument/2006/relationships/hyperlink" Target="http://www.paiz.gov.pl/files/?id_plik=20342" TargetMode="External"/><Relationship Id="rId4" Type="http://schemas.openxmlformats.org/officeDocument/2006/relationships/hyperlink" Target="http://www.kpmg.com/PL/en/IssuesAndInsights/ArticlesPublications/Documents/2014/A-Guide-toSEZs-in-Poland-2014.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Zintishermansons\Desktop\IVG0040E.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Zintishermansons\My%20Documents\Downloads\SRG001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plotArea>
      <c:layout/>
      <c:lineChart>
        <c:grouping val="standard"/>
        <c:ser>
          <c:idx val="0"/>
          <c:order val="0"/>
          <c:tx>
            <c:strRef>
              <c:f>IVG0040E!$B$49</c:f>
              <c:strCache>
                <c:ptCount val="1"/>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IVG0040E!$C$49:$I$49</c:f>
              <c:numCache>
                <c:formatCode>General</c:formatCode>
                <c:ptCount val="7"/>
              </c:numCache>
            </c:numRef>
          </c:val>
        </c:ser>
        <c:ser>
          <c:idx val="1"/>
          <c:order val="1"/>
          <c:tx>
            <c:strRef>
              <c:f>IVG0040E!$B$50</c:f>
              <c:strCache>
                <c:ptCount val="1"/>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IVG0040E!$C$50:$I$50</c:f>
              <c:numCache>
                <c:formatCode>General</c:formatCode>
                <c:ptCount val="7"/>
              </c:numCache>
            </c:numRef>
          </c:val>
        </c:ser>
        <c:ser>
          <c:idx val="2"/>
          <c:order val="2"/>
          <c:tx>
            <c:strRef>
              <c:f>IVG0040E!$B$51</c:f>
              <c:strCache>
                <c:ptCount val="1"/>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IVG0040E!$C$51:$I$51</c:f>
              <c:numCache>
                <c:formatCode>General</c:formatCode>
                <c:ptCount val="7"/>
              </c:numCache>
            </c:numRef>
          </c:val>
        </c:ser>
        <c:ser>
          <c:idx val="3"/>
          <c:order val="3"/>
          <c:tx>
            <c:strRef>
              <c:f>IVG0040E!$B$52</c:f>
              <c:strCache>
                <c:ptCount val="1"/>
                <c:pt idx="0">
                  <c:v>Rīgas reģions</c:v>
                </c:pt>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IVG0040E!$C$52:$I$52</c:f>
              <c:numCache>
                <c:formatCode>General</c:formatCode>
                <c:ptCount val="7"/>
                <c:pt idx="0">
                  <c:v>4506.3980590871934</c:v>
                </c:pt>
                <c:pt idx="1">
                  <c:v>4467.6066735846343</c:v>
                </c:pt>
                <c:pt idx="2">
                  <c:v>2566.9522442810512</c:v>
                </c:pt>
                <c:pt idx="3">
                  <c:v>1903.4875941708601</c:v>
                </c:pt>
                <c:pt idx="4">
                  <c:v>2348.4751186541998</c:v>
                </c:pt>
                <c:pt idx="5">
                  <c:v>2802.9739483544822</c:v>
                </c:pt>
                <c:pt idx="6">
                  <c:v>2760.7714126796741</c:v>
                </c:pt>
              </c:numCache>
            </c:numRef>
          </c:val>
        </c:ser>
        <c:ser>
          <c:idx val="4"/>
          <c:order val="4"/>
          <c:tx>
            <c:strRef>
              <c:f>IVG0040E!$B$53</c:f>
              <c:strCache>
                <c:ptCount val="1"/>
                <c:pt idx="0">
                  <c:v>Vidzemes reģions</c:v>
                </c:pt>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IVG0040E!$C$53:$I$53</c:f>
              <c:numCache>
                <c:formatCode>General</c:formatCode>
                <c:ptCount val="7"/>
                <c:pt idx="0">
                  <c:v>1936.7492032360872</c:v>
                </c:pt>
                <c:pt idx="1">
                  <c:v>2076.7621248555652</c:v>
                </c:pt>
                <c:pt idx="2">
                  <c:v>1328.5489074644381</c:v>
                </c:pt>
                <c:pt idx="3">
                  <c:v>1481.1670086558538</c:v>
                </c:pt>
                <c:pt idx="4">
                  <c:v>1968.1116093672151</c:v>
                </c:pt>
                <c:pt idx="5">
                  <c:v>2024.7731234431831</c:v>
                </c:pt>
                <c:pt idx="6">
                  <c:v>1689.819973751331</c:v>
                </c:pt>
              </c:numCache>
            </c:numRef>
          </c:val>
        </c:ser>
        <c:ser>
          <c:idx val="5"/>
          <c:order val="5"/>
          <c:tx>
            <c:strRef>
              <c:f>IVG0040E!$B$54</c:f>
              <c:strCache>
                <c:ptCount val="1"/>
                <c:pt idx="0">
                  <c:v>Kurzemes reģions</c:v>
                </c:pt>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IVG0040E!$C$54:$I$54</c:f>
              <c:numCache>
                <c:formatCode>General</c:formatCode>
                <c:ptCount val="7"/>
                <c:pt idx="0">
                  <c:v>2507.2513134941728</c:v>
                </c:pt>
                <c:pt idx="1">
                  <c:v>2937.3915962625601</c:v>
                </c:pt>
                <c:pt idx="2">
                  <c:v>2004.0316949947551</c:v>
                </c:pt>
                <c:pt idx="3">
                  <c:v>1956.1633529170845</c:v>
                </c:pt>
                <c:pt idx="4">
                  <c:v>2529.3413353451183</c:v>
                </c:pt>
                <c:pt idx="5">
                  <c:v>2892.0477250670747</c:v>
                </c:pt>
                <c:pt idx="6">
                  <c:v>2116.7753086802522</c:v>
                </c:pt>
              </c:numCache>
            </c:numRef>
          </c:val>
        </c:ser>
        <c:ser>
          <c:idx val="6"/>
          <c:order val="6"/>
          <c:tx>
            <c:strRef>
              <c:f>IVG0040E!$B$55</c:f>
              <c:strCache>
                <c:ptCount val="1"/>
                <c:pt idx="0">
                  <c:v>Zemgales reģions</c:v>
                </c:pt>
              </c:strCache>
            </c:strRef>
          </c:tx>
          <c:cat>
            <c:strRef>
              <c:f>IVG0040E!$C$48:$I$48</c:f>
              <c:strCache>
                <c:ptCount val="7"/>
                <c:pt idx="0">
                  <c:v>2007</c:v>
                </c:pt>
                <c:pt idx="1">
                  <c:v>2008</c:v>
                </c:pt>
                <c:pt idx="2">
                  <c:v>2009</c:v>
                </c:pt>
                <c:pt idx="3">
                  <c:v>2010</c:v>
                </c:pt>
                <c:pt idx="4">
                  <c:v>2011</c:v>
                </c:pt>
                <c:pt idx="5">
                  <c:v>2012</c:v>
                </c:pt>
                <c:pt idx="6">
                  <c:v>2013</c:v>
                </c:pt>
              </c:strCache>
            </c:strRef>
          </c:cat>
          <c:val>
            <c:numRef>
              <c:f>IVG0040E!$C$55:$I$55</c:f>
              <c:numCache>
                <c:formatCode>General</c:formatCode>
                <c:ptCount val="7"/>
                <c:pt idx="0">
                  <c:v>2141.8323048948469</c:v>
                </c:pt>
                <c:pt idx="1">
                  <c:v>1862.3587636567381</c:v>
                </c:pt>
                <c:pt idx="2">
                  <c:v>1304.7434093828358</c:v>
                </c:pt>
                <c:pt idx="3">
                  <c:v>1218.6851997757851</c:v>
                </c:pt>
                <c:pt idx="4">
                  <c:v>1699.0397423408008</c:v>
                </c:pt>
                <c:pt idx="5">
                  <c:v>1942.5746950913208</c:v>
                </c:pt>
                <c:pt idx="6">
                  <c:v>2025.5232261357828</c:v>
                </c:pt>
              </c:numCache>
            </c:numRef>
          </c:val>
        </c:ser>
        <c:ser>
          <c:idx val="7"/>
          <c:order val="7"/>
          <c:tx>
            <c:strRef>
              <c:f>IVG0040E!$B$56</c:f>
              <c:strCache>
                <c:ptCount val="1"/>
                <c:pt idx="0">
                  <c:v>Latgales reģions</c:v>
                </c:pt>
              </c:strCache>
            </c:strRef>
          </c:tx>
          <c:spPr>
            <a:ln w="53975">
              <a:solidFill>
                <a:schemeClr val="accent3"/>
              </a:solidFill>
            </a:ln>
          </c:spPr>
          <c:marker>
            <c:symbol val="star"/>
            <c:size val="11"/>
            <c:spPr>
              <a:solidFill>
                <a:srgbClr val="C00000"/>
              </a:solidFill>
            </c:spPr>
          </c:marker>
          <c:dLbls>
            <c:numFmt formatCode="#,##0_);\(#,##0\)" sourceLinked="0"/>
            <c:spPr>
              <a:noFill/>
              <a:ln>
                <a:noFill/>
              </a:ln>
              <a:effectLst/>
            </c:spPr>
            <c:txPr>
              <a:bodyPr/>
              <a:lstStyle/>
              <a:p>
                <a:pPr>
                  <a:defRPr b="1"/>
                </a:pPr>
                <a:endParaRPr lang="en-US"/>
              </a:p>
            </c:txPr>
            <c:dLblPos val="b"/>
            <c:showVal val="1"/>
            <c:extLst>
              <c:ext xmlns:c15="http://schemas.microsoft.com/office/drawing/2012/chart" uri="{CE6537A1-D6FC-4f65-9D91-7224C49458BB}">
                <c15:showLeaderLines val="0"/>
              </c:ext>
            </c:extLst>
          </c:dLbls>
          <c:cat>
            <c:strRef>
              <c:f>IVG0040E!$C$48:$I$48</c:f>
              <c:strCache>
                <c:ptCount val="7"/>
                <c:pt idx="0">
                  <c:v>2007</c:v>
                </c:pt>
                <c:pt idx="1">
                  <c:v>2008</c:v>
                </c:pt>
                <c:pt idx="2">
                  <c:v>2009</c:v>
                </c:pt>
                <c:pt idx="3">
                  <c:v>2010</c:v>
                </c:pt>
                <c:pt idx="4">
                  <c:v>2011</c:v>
                </c:pt>
                <c:pt idx="5">
                  <c:v>2012</c:v>
                </c:pt>
                <c:pt idx="6">
                  <c:v>2013</c:v>
                </c:pt>
              </c:strCache>
            </c:strRef>
          </c:cat>
          <c:val>
            <c:numRef>
              <c:f>IVG0040E!$C$56:$I$56</c:f>
              <c:numCache>
                <c:formatCode>General</c:formatCode>
                <c:ptCount val="7"/>
                <c:pt idx="0">
                  <c:v>1324.7329726730475</c:v>
                </c:pt>
                <c:pt idx="1">
                  <c:v>1325.0117641231411</c:v>
                </c:pt>
                <c:pt idx="2">
                  <c:v>936.08512643517133</c:v>
                </c:pt>
                <c:pt idx="3">
                  <c:v>926.59990950404301</c:v>
                </c:pt>
                <c:pt idx="4">
                  <c:v>1140.9368963296861</c:v>
                </c:pt>
                <c:pt idx="5">
                  <c:v>1135.3929628186893</c:v>
                </c:pt>
                <c:pt idx="6">
                  <c:v>1517.6182058287159</c:v>
                </c:pt>
              </c:numCache>
            </c:numRef>
          </c:val>
        </c:ser>
        <c:marker val="1"/>
        <c:axId val="79699968"/>
        <c:axId val="79701120"/>
      </c:lineChart>
      <c:catAx>
        <c:axId val="79699968"/>
        <c:scaling>
          <c:orientation val="minMax"/>
        </c:scaling>
        <c:axPos val="b"/>
        <c:numFmt formatCode="General" sourceLinked="0"/>
        <c:tickLblPos val="nextTo"/>
        <c:crossAx val="79701120"/>
        <c:crosses val="autoZero"/>
        <c:auto val="1"/>
        <c:lblAlgn val="ctr"/>
        <c:lblOffset val="100"/>
      </c:catAx>
      <c:valAx>
        <c:axId val="79701120"/>
        <c:scaling>
          <c:orientation val="minMax"/>
        </c:scaling>
        <c:axPos val="l"/>
        <c:majorGridlines/>
        <c:numFmt formatCode="General" sourceLinked="1"/>
        <c:tickLblPos val="nextTo"/>
        <c:crossAx val="79699968"/>
        <c:crosses val="autoZero"/>
        <c:crossBetween val="between"/>
      </c:valAx>
    </c:plotArea>
    <c:legend>
      <c:legendPos val="r"/>
      <c:legendEntry>
        <c:idx val="0"/>
        <c:delete val="1"/>
      </c:legendEntry>
      <c:legendEntry>
        <c:idx val="1"/>
        <c:delete val="1"/>
      </c:legendEntry>
      <c:legendEntry>
        <c:idx val="2"/>
        <c:delete val="1"/>
      </c:legendEntry>
    </c:legend>
    <c:plotVisOnly val="1"/>
    <c:dispBlanksAs val="gap"/>
  </c:chart>
  <c:spPr>
    <a:noFill/>
    <a:ln>
      <a:solidFill>
        <a:schemeClr val="accent1"/>
      </a:solid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autoTitleDeleted val="1"/>
    <c:plotArea>
      <c:layout/>
      <c:lineChart>
        <c:grouping val="standard"/>
        <c:ser>
          <c:idx val="0"/>
          <c:order val="0"/>
          <c:tx>
            <c:strRef>
              <c:f>'SRG0011'!$A$23</c:f>
              <c:strCache>
                <c:ptCount val="1"/>
                <c:pt idx="0">
                  <c:v>Latgales reģions</c:v>
                </c:pt>
              </c:strCache>
            </c:strRef>
          </c:tx>
          <c:dLbls>
            <c:numFmt formatCode="#,##0.00" sourceLinked="0"/>
            <c:spPr>
              <a:noFill/>
              <a:ln>
                <a:noFill/>
              </a:ln>
              <a:effectLst/>
            </c:spPr>
            <c:dLblPos val="t"/>
            <c:showVal val="1"/>
            <c:extLst>
              <c:ext xmlns:c15="http://schemas.microsoft.com/office/drawing/2012/chart" uri="{CE6537A1-D6FC-4f65-9D91-7224C49458BB}">
                <c15:showLeaderLines val="0"/>
              </c:ext>
            </c:extLst>
          </c:dLbls>
          <c:cat>
            <c:numRef>
              <c:f>'SRG0011'!$G$22:$K$22</c:f>
              <c:numCache>
                <c:formatCode>General</c:formatCode>
                <c:ptCount val="5"/>
                <c:pt idx="0">
                  <c:v>2009</c:v>
                </c:pt>
                <c:pt idx="1">
                  <c:v>2010</c:v>
                </c:pt>
                <c:pt idx="2">
                  <c:v>2011</c:v>
                </c:pt>
                <c:pt idx="3">
                  <c:v>2012</c:v>
                </c:pt>
                <c:pt idx="4">
                  <c:v>2013</c:v>
                </c:pt>
              </c:numCache>
            </c:numRef>
          </c:cat>
          <c:val>
            <c:numRef>
              <c:f>'SRG0011'!$G$23:$K$23</c:f>
              <c:numCache>
                <c:formatCode>General</c:formatCode>
                <c:ptCount val="5"/>
                <c:pt idx="0">
                  <c:v>16.875003979953689</c:v>
                </c:pt>
                <c:pt idx="1">
                  <c:v>17.558182998563655</c:v>
                </c:pt>
                <c:pt idx="2">
                  <c:v>18.985431423052159</c:v>
                </c:pt>
                <c:pt idx="3">
                  <c:v>20.674880583857831</c:v>
                </c:pt>
                <c:pt idx="4">
                  <c:v>21.995681915049712</c:v>
                </c:pt>
              </c:numCache>
            </c:numRef>
          </c:val>
        </c:ser>
        <c:marker val="1"/>
        <c:axId val="79753984"/>
        <c:axId val="79755520"/>
      </c:lineChart>
      <c:catAx>
        <c:axId val="79753984"/>
        <c:scaling>
          <c:orientation val="minMax"/>
        </c:scaling>
        <c:axPos val="b"/>
        <c:numFmt formatCode="General" sourceLinked="1"/>
        <c:tickLblPos val="nextTo"/>
        <c:crossAx val="79755520"/>
        <c:crosses val="autoZero"/>
        <c:auto val="1"/>
        <c:lblAlgn val="ctr"/>
        <c:lblOffset val="100"/>
      </c:catAx>
      <c:valAx>
        <c:axId val="79755520"/>
        <c:scaling>
          <c:orientation val="minMax"/>
          <c:min val="12"/>
        </c:scaling>
        <c:axPos val="l"/>
        <c:majorGridlines/>
        <c:numFmt formatCode="General" sourceLinked="1"/>
        <c:tickLblPos val="nextTo"/>
        <c:crossAx val="79753984"/>
        <c:crosses val="autoZero"/>
        <c:crossBetween val="between"/>
      </c:valAx>
    </c:plotArea>
    <c:plotVisOnly val="1"/>
    <c:dispBlanksAs val="gap"/>
  </c:chart>
  <c:spPr>
    <a:ln>
      <a:solidFill>
        <a:srgbClr val="4F81BD"/>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2E9A5-26C6-473A-A0E6-F7C47C072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3925</Words>
  <Characters>22377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projekts 14.09.2015.</vt:lpstr>
    </vt:vector>
  </TitlesOfParts>
  <Company>VARAM</Company>
  <LinksUpToDate>false</LinksUpToDate>
  <CharactersWithSpaces>26250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 14.09.2015.</dc:title>
  <dc:creator>Ilze Logina</dc:creator>
  <cp:lastModifiedBy>ZintisHermansons</cp:lastModifiedBy>
  <cp:revision>2</cp:revision>
  <cp:lastPrinted>2015-09-02T08:22:00Z</cp:lastPrinted>
  <dcterms:created xsi:type="dcterms:W3CDTF">2015-12-11T13:25:00Z</dcterms:created>
  <dcterms:modified xsi:type="dcterms:W3CDTF">2015-12-11T13:25:00Z</dcterms:modified>
</cp:coreProperties>
</file>