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73" w:rsidRPr="00234064" w:rsidRDefault="009F0273" w:rsidP="00D07576">
      <w:pPr>
        <w:spacing w:before="120" w:after="120"/>
        <w:jc w:val="center"/>
        <w:rPr>
          <w:bCs/>
          <w:sz w:val="28"/>
          <w:szCs w:val="28"/>
        </w:rPr>
      </w:pPr>
      <w:r w:rsidRPr="00234064">
        <w:rPr>
          <w:bCs/>
          <w:sz w:val="28"/>
          <w:szCs w:val="28"/>
        </w:rPr>
        <w:t xml:space="preserve">Ministru kabineta noteikumu projekta </w:t>
      </w:r>
    </w:p>
    <w:p w:rsidR="009F0273" w:rsidRPr="00234064" w:rsidRDefault="009F0273" w:rsidP="009F0273">
      <w:pPr>
        <w:pStyle w:val="naisc"/>
        <w:spacing w:before="0" w:beforeAutospacing="0" w:after="120" w:afterAutospacing="0"/>
        <w:jc w:val="center"/>
        <w:rPr>
          <w:b/>
          <w:sz w:val="28"/>
          <w:szCs w:val="28"/>
        </w:rPr>
      </w:pPr>
      <w:r w:rsidRPr="00234064">
        <w:rPr>
          <w:b/>
          <w:bCs/>
          <w:sz w:val="28"/>
          <w:szCs w:val="28"/>
        </w:rPr>
        <w:t>”Grozījum</w:t>
      </w:r>
      <w:r w:rsidR="00A52955">
        <w:rPr>
          <w:b/>
          <w:bCs/>
          <w:sz w:val="28"/>
          <w:szCs w:val="28"/>
        </w:rPr>
        <w:t>s</w:t>
      </w:r>
      <w:r w:rsidRPr="00234064">
        <w:rPr>
          <w:b/>
          <w:bCs/>
          <w:sz w:val="28"/>
          <w:szCs w:val="28"/>
        </w:rPr>
        <w:t xml:space="preserve"> Ministru kabineta 2006.gada 31.oktobra noteikumos Nr. 899 ”Ambulatorajai ārstēšanai paredzēto zāļu un medicīnisko ierīču iegādes izdevumu kompensācijas kārtība””</w:t>
      </w:r>
    </w:p>
    <w:p w:rsidR="00A51F1F" w:rsidRPr="00234064" w:rsidRDefault="009F0273" w:rsidP="00A51F1F">
      <w:pPr>
        <w:spacing w:before="150" w:after="150"/>
        <w:jc w:val="center"/>
        <w:rPr>
          <w:sz w:val="28"/>
          <w:szCs w:val="28"/>
        </w:rPr>
      </w:pPr>
      <w:r w:rsidRPr="00234064">
        <w:rPr>
          <w:bCs/>
          <w:sz w:val="28"/>
          <w:szCs w:val="28"/>
        </w:rPr>
        <w:t>sākotnējās ietekmes novērtējuma ziņojums (anotācija)</w:t>
      </w:r>
      <w:r w:rsidRPr="00234064">
        <w:rPr>
          <w:sz w:val="28"/>
          <w:szCs w:val="28"/>
        </w:rPr>
        <w:t>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30"/>
        <w:gridCol w:w="2252"/>
        <w:gridCol w:w="6549"/>
      </w:tblGrid>
      <w:tr w:rsidR="00D07F03" w:rsidRPr="00234064" w:rsidTr="007512D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I. Tiesību akta projekta izstrādes nepieciešamība</w:t>
            </w:r>
          </w:p>
        </w:tc>
      </w:tr>
      <w:tr w:rsidR="00D07F03" w:rsidRPr="00234064" w:rsidTr="007512D2">
        <w:trPr>
          <w:trHeight w:val="405"/>
        </w:trPr>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1.</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Pamatojums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234064" w:rsidRDefault="006A12E9" w:rsidP="0002548F">
            <w:pPr>
              <w:spacing w:after="120"/>
              <w:ind w:left="113" w:right="142"/>
              <w:jc w:val="both"/>
            </w:pPr>
            <w:r w:rsidRPr="00234064">
              <w:t xml:space="preserve">1. </w:t>
            </w:r>
            <w:r w:rsidR="00B6097D" w:rsidRPr="00234064">
              <w:t>Farmācijas likuma 5.panta 20.punkts</w:t>
            </w:r>
            <w:r w:rsidR="00243343" w:rsidRPr="00234064">
              <w:t>.</w:t>
            </w:r>
          </w:p>
          <w:p w:rsidR="006A12E9" w:rsidRPr="00234064" w:rsidRDefault="006A12E9" w:rsidP="0002548F">
            <w:pPr>
              <w:spacing w:after="120"/>
              <w:ind w:left="113" w:right="142"/>
              <w:jc w:val="both"/>
              <w:rPr>
                <w:rFonts w:eastAsia="Calibri"/>
                <w:lang w:bidi="gu-IN"/>
              </w:rPr>
            </w:pPr>
            <w:r w:rsidRPr="00234064">
              <w:t xml:space="preserve">2. </w:t>
            </w:r>
            <w:r w:rsidR="004C3EDB" w:rsidRPr="00234064">
              <w:rPr>
                <w:rFonts w:eastAsia="Calibri"/>
                <w:lang w:bidi="gu-IN"/>
              </w:rPr>
              <w:t>Deklarācijas par Laimdotas Straujumas vadītā Ministru kabineta iecerēto darbību</w:t>
            </w:r>
            <w:r w:rsidR="00434AF8" w:rsidRPr="00234064">
              <w:rPr>
                <w:rFonts w:eastAsia="Calibri"/>
                <w:lang w:bidi="gu-IN"/>
              </w:rPr>
              <w:t xml:space="preserve"> (turpmāk – Deklarācija)</w:t>
            </w:r>
            <w:r w:rsidR="004C3EDB" w:rsidRPr="00234064">
              <w:rPr>
                <w:rFonts w:eastAsia="Calibri"/>
                <w:lang w:bidi="gu-IN"/>
              </w:rPr>
              <w:t xml:space="preserve"> 102.punkts, kas paredz pakāpeniski palielināt valsts budžeta finansējumu veselības aprūpes vajadzībām, vienlaikus efektīvāk izmantojot veselības nozarei jau piešķirto finansējumu, lai mazinātu nevienlīdzību veselības pakalpojumu pieejamībā cilvēkiem ar zemiem ienākumiem, samazinātu pacientu tiešmaksājumus par veselības aprūpes pakalpojumiem un paplašinātu pierādījumos balstītu nepieciešamo zāļu un medicīnas ierīču kompensēšanu.</w:t>
            </w:r>
          </w:p>
          <w:p w:rsidR="005E36B8" w:rsidRDefault="00C221F0" w:rsidP="00DB7DD4">
            <w:pPr>
              <w:spacing w:after="120"/>
              <w:ind w:left="113" w:right="142"/>
              <w:jc w:val="both"/>
            </w:pPr>
            <w:r w:rsidRPr="00234064">
              <w:t>3.</w:t>
            </w:r>
            <w:r w:rsidRPr="00234064">
              <w:rPr>
                <w:rFonts w:eastAsia="Calibri"/>
                <w:lang w:bidi="gu-IN"/>
              </w:rPr>
              <w:t xml:space="preserve"> </w:t>
            </w:r>
            <w:r w:rsidRPr="00234064">
              <w:t>Sabiedrības veselības pamatn</w:t>
            </w:r>
            <w:r w:rsidR="003439F5" w:rsidRPr="00234064">
              <w:t>ostādnēs 2014.-2020.gadam, kas ir</w:t>
            </w:r>
            <w:r w:rsidRPr="00234064">
              <w:t xml:space="preserve"> apstiprinātas ar Ministru kabineta 2014.gada 14.oktobra rīkojumu Nr.589 ”Par Sabiedrības veselības pamatnostādnēm 2014.-2020.gadam”, iekļautie </w:t>
            </w:r>
            <w:r w:rsidR="00A52955">
              <w:t>infekciju slimības ierobežojošie</w:t>
            </w:r>
            <w:r w:rsidRPr="00234064">
              <w:t xml:space="preserve"> pasākumi.</w:t>
            </w:r>
          </w:p>
          <w:p w:rsidR="0069761A" w:rsidRPr="00DB7DD4" w:rsidRDefault="0069761A" w:rsidP="0087496B">
            <w:pPr>
              <w:spacing w:after="120"/>
              <w:ind w:left="113" w:right="142"/>
              <w:jc w:val="both"/>
            </w:pPr>
            <w:r>
              <w:t xml:space="preserve">4. </w:t>
            </w:r>
            <w:r w:rsidR="0087496B">
              <w:t xml:space="preserve">Saeimas 2015.gada 30.novembra sēdē pieņemtais </w:t>
            </w:r>
            <w:r w:rsidR="00A52955" w:rsidRPr="00A52955">
              <w:t>likum</w:t>
            </w:r>
            <w:r w:rsidR="0087496B">
              <w:t>s</w:t>
            </w:r>
            <w:r w:rsidR="00A52955" w:rsidRPr="00A52955">
              <w:t xml:space="preserve"> </w:t>
            </w:r>
            <w:r w:rsidR="0087496B">
              <w:t>”</w:t>
            </w:r>
            <w:r w:rsidR="00A52955" w:rsidRPr="00A52955">
              <w:t>Par valsts budžetu 2016.gadam” un likum</w:t>
            </w:r>
            <w:r w:rsidR="0087496B">
              <w:t>s ”</w:t>
            </w:r>
            <w:r w:rsidR="00A52955" w:rsidRPr="00A52955">
              <w:t>Par vidēja termiņa budžeta ietvaru 2016., 2017. un 2018.gadam”</w:t>
            </w:r>
            <w:r w:rsidR="0087496B">
              <w:t>, un s</w:t>
            </w:r>
            <w:r w:rsidR="00E6318B">
              <w:t xml:space="preserve">askaņā ar </w:t>
            </w:r>
            <w:r>
              <w:t xml:space="preserve">Ministru kabineta 2015.gada 27.augusta sēdes </w:t>
            </w:r>
            <w:proofErr w:type="spellStart"/>
            <w:r w:rsidRPr="00E6318B">
              <w:t>protokollēmuma</w:t>
            </w:r>
            <w:proofErr w:type="spellEnd"/>
            <w:r w:rsidRPr="00E6318B">
              <w:t xml:space="preserve"> (prot. Nr.42 3.§) </w:t>
            </w:r>
            <w:r w:rsidR="00E6318B" w:rsidRPr="00E6318B">
              <w:t>6.15.1.apakšpunktā noteikto atbalstītais papildus finansējums apakšprogrammā 33.03.00 “Kompensējamo medikamentu un materiālu apmaksāšana” 2016.gadam 4 217 280 EUR apmērā, 2017.gadam 3 994 280 EUR apmērā, 2018.gadam 3 756 417 EUR apmērā, lai nodrošinātu kompensējamo medikamentu apmaksu C hepatīta un HIV/AIDS pacientiem</w:t>
            </w:r>
            <w:r w:rsidR="00E6318B">
              <w:t>.</w:t>
            </w:r>
          </w:p>
        </w:tc>
      </w:tr>
      <w:tr w:rsidR="00D07F03" w:rsidRPr="00234064"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2.</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Pašreizējā situācija un problēmas, kuru risināšanai tiesību akta projekts izstrādāts, tiesiskā regulējuma mērķis un būtība</w:t>
            </w:r>
          </w:p>
        </w:tc>
        <w:tc>
          <w:tcPr>
            <w:tcW w:w="3586" w:type="pct"/>
            <w:tcBorders>
              <w:top w:val="outset" w:sz="6" w:space="0" w:color="414142"/>
              <w:left w:val="outset" w:sz="6" w:space="0" w:color="414142"/>
              <w:bottom w:val="outset" w:sz="6" w:space="0" w:color="414142"/>
              <w:right w:val="outset" w:sz="6" w:space="0" w:color="414142"/>
            </w:tcBorders>
            <w:hideMark/>
          </w:tcPr>
          <w:p w:rsidR="00E56C69" w:rsidRDefault="001914C2" w:rsidP="00E56C69">
            <w:pPr>
              <w:autoSpaceDE w:val="0"/>
              <w:autoSpaceDN w:val="0"/>
              <w:adjustRightInd w:val="0"/>
              <w:spacing w:after="120"/>
              <w:ind w:left="113" w:right="142"/>
              <w:jc w:val="both"/>
            </w:pPr>
            <w:r>
              <w:rPr>
                <w:rFonts w:eastAsia="Calibri"/>
              </w:rPr>
              <w:t xml:space="preserve">1. </w:t>
            </w:r>
            <w:r w:rsidR="00E56C69" w:rsidRPr="00234064">
              <w:rPr>
                <w:rFonts w:eastAsia="Calibri"/>
              </w:rPr>
              <w:t>Ambulatorajai ārstēšanai paredzēto zāļu un medicīnisko ierīču iegādes izdevumu kompensācijas kārtība</w:t>
            </w:r>
            <w:r w:rsidR="00357258" w:rsidRPr="00234064">
              <w:rPr>
                <w:rFonts w:eastAsia="Calibri"/>
              </w:rPr>
              <w:t xml:space="preserve"> (turpmāk – kompensācijas kārtība)</w:t>
            </w:r>
            <w:r w:rsidR="0069761A">
              <w:rPr>
                <w:rFonts w:eastAsia="Calibri"/>
              </w:rPr>
              <w:t xml:space="preserve">, kas ir noteikta ar </w:t>
            </w:r>
            <w:r w:rsidR="00E56C69" w:rsidRPr="00234064">
              <w:rPr>
                <w:rFonts w:eastAsia="Calibri"/>
              </w:rPr>
              <w:t xml:space="preserve"> </w:t>
            </w:r>
            <w:r w:rsidR="0069761A" w:rsidRPr="00234064">
              <w:t>Ministru kabineta 2006.gada 31.oktobra noteikum</w:t>
            </w:r>
            <w:r w:rsidR="0069761A">
              <w:t>iem</w:t>
            </w:r>
            <w:r w:rsidR="0069761A" w:rsidRPr="00234064">
              <w:t xml:space="preserve"> Nr.899 ”Ambulatorajai ārstēšanai paredzēto zāļu un medicīnisko ierīču iegādes izdevumu kompensācijas kārtība”</w:t>
            </w:r>
            <w:r w:rsidR="00B11522">
              <w:t xml:space="preserve"> (turpmāk – Noteikumi Nr.899)</w:t>
            </w:r>
            <w:r w:rsidR="0069761A">
              <w:t xml:space="preserve">, </w:t>
            </w:r>
            <w:r w:rsidR="00E56C69" w:rsidRPr="00234064">
              <w:rPr>
                <w:rFonts w:eastAsia="Calibri"/>
              </w:rPr>
              <w:t xml:space="preserve">paredz pasākumu kopumu </w:t>
            </w:r>
            <w:r w:rsidR="00015D64">
              <w:rPr>
                <w:rFonts w:eastAsia="Calibri"/>
              </w:rPr>
              <w:t xml:space="preserve">pilnai vai </w:t>
            </w:r>
            <w:r w:rsidR="00E56C69" w:rsidRPr="00234064">
              <w:rPr>
                <w:rFonts w:eastAsia="Calibri"/>
              </w:rPr>
              <w:t xml:space="preserve">daļējai zāļu un medicīnisko ierīču iegādes izdevumu kompensācijai pacientiem ar smagām un hroniskām slimībām, kā arī visu ārsta izrakstīto recepšu zāļu iegādes izdevumu kompensāciju 50% apmērā </w:t>
            </w:r>
            <w:r w:rsidR="00E56C69" w:rsidRPr="00234064">
              <w:t xml:space="preserve">bērniem līdz 24 mēnešu vecumam, kuriem nav noteikta </w:t>
            </w:r>
            <w:r w:rsidR="00E56C69" w:rsidRPr="00234064">
              <w:lastRenderedPageBreak/>
              <w:t>diagnoze ar citu kompensācijas apmēru, un 25 % apmērā – grūtniecēm un sievietēm pēcdzemdību periodā līdz 42 dienām, kurām nav noteikta diagnoze ar citu kompensācijas apmēru.</w:t>
            </w:r>
          </w:p>
          <w:p w:rsidR="0069761A" w:rsidRDefault="00015D64" w:rsidP="00015D64">
            <w:pPr>
              <w:autoSpaceDE w:val="0"/>
              <w:autoSpaceDN w:val="0"/>
              <w:adjustRightInd w:val="0"/>
              <w:spacing w:after="120"/>
              <w:ind w:left="113" w:right="142"/>
              <w:jc w:val="both"/>
            </w:pPr>
            <w:r>
              <w:t xml:space="preserve">Smago infekcijas slimību ārstēšanā īpaši atzīmējamas </w:t>
            </w:r>
            <w:r w:rsidRPr="00E6318B">
              <w:t>C hepatīt</w:t>
            </w:r>
            <w:r>
              <w:t>s</w:t>
            </w:r>
            <w:r w:rsidRPr="00E6318B">
              <w:t xml:space="preserve"> un HIV/AIDS</w:t>
            </w:r>
            <w:r>
              <w:t>.</w:t>
            </w:r>
            <w:r w:rsidRPr="00234064">
              <w:t xml:space="preserve"> </w:t>
            </w:r>
            <w:r>
              <w:t>A</w:t>
            </w:r>
            <w:r w:rsidRPr="00234064">
              <w:t>r 2011.gada 1.martu, atbilstoši Ministru kabineta 2011.gada 1.marta noteikumiem Nr.158 ”Grozījumi Ministru kabineta 2006.gada 31.oktobra noteikumos Nr.899 ”Ambulatorajai ārstēšanai paredzēto zāļu un medicīnisko ierīču iegādes izdevumu kompensācijas kārtība””, tika atjaunota 75% kompensācija dia</w:t>
            </w:r>
            <w:r>
              <w:t>gnožu grupai ”</w:t>
            </w:r>
            <w:proofErr w:type="spellStart"/>
            <w:r>
              <w:t>Vīrushepatīti</w:t>
            </w:r>
            <w:proofErr w:type="spellEnd"/>
            <w:r>
              <w:t>”. Tomēr pacienta līdzmaksājuma apmērs arī pie 75% kompensācijas saglabājas augsts, kā arī jaunās paaudzes terapijas medikamentu cenas ievērojami pārsniedz iepriekšējās paaudzes</w:t>
            </w:r>
            <w:r w:rsidR="00C83D02">
              <w:t xml:space="preserve"> zāļu</w:t>
            </w:r>
            <w:r>
              <w:t xml:space="preserve"> izmaksas. Līdz ar to nepieciešams rast iespēju palielināt valsts finansiālo atbalstu efektīvākai pacientu ārstēšanai.</w:t>
            </w:r>
          </w:p>
          <w:p w:rsidR="0069761A" w:rsidRPr="00234064" w:rsidRDefault="0069761A" w:rsidP="0069761A">
            <w:pPr>
              <w:spacing w:after="120"/>
              <w:ind w:left="142" w:right="142"/>
              <w:jc w:val="both"/>
            </w:pPr>
            <w:r w:rsidRPr="00234064">
              <w:t>2009.gada pētījuma dati liecina, ka 1,7% Latvijas iedzīvotāju (1714 uz 100 000 iedzīvotāju) ir inficēti ar C hepatīta vīrusu (HCV)</w:t>
            </w:r>
            <w:r w:rsidRPr="00234064">
              <w:rPr>
                <w:rStyle w:val="FootnoteReference"/>
              </w:rPr>
              <w:footnoteReference w:id="1"/>
            </w:r>
            <w:r w:rsidRPr="00234064">
              <w:t xml:space="preserve">, un jaunatklāto gadījumu skaits pēdējos gados turpina pieaugt (skat. </w:t>
            </w:r>
            <w:r w:rsidR="00015D64">
              <w:t>1</w:t>
            </w:r>
            <w:r w:rsidRPr="00234064">
              <w:t xml:space="preserve">.att.). </w:t>
            </w:r>
          </w:p>
          <w:p w:rsidR="0069761A" w:rsidRPr="00234064" w:rsidRDefault="0069761A" w:rsidP="0069761A">
            <w:pPr>
              <w:spacing w:after="120"/>
              <w:ind w:left="142" w:right="142"/>
              <w:jc w:val="both"/>
            </w:pPr>
            <w:r w:rsidRPr="00234064">
              <w:rPr>
                <w:noProof/>
                <w:lang w:bidi="gu-IN"/>
              </w:rPr>
              <w:drawing>
                <wp:inline distT="0" distB="0" distL="0" distR="0">
                  <wp:extent cx="3800475" cy="2743200"/>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761A" w:rsidRPr="00234064" w:rsidRDefault="00015D64" w:rsidP="0069761A">
            <w:pPr>
              <w:autoSpaceDE w:val="0"/>
              <w:autoSpaceDN w:val="0"/>
              <w:adjustRightInd w:val="0"/>
              <w:spacing w:after="120"/>
              <w:ind w:left="113" w:right="142"/>
              <w:jc w:val="both"/>
              <w:rPr>
                <w:rFonts w:eastAsia="Calibri"/>
                <w:sz w:val="20"/>
                <w:szCs w:val="20"/>
              </w:rPr>
            </w:pPr>
            <w:r>
              <w:rPr>
                <w:rFonts w:eastAsia="Calibri"/>
                <w:sz w:val="20"/>
                <w:szCs w:val="20"/>
              </w:rPr>
              <w:t>1</w:t>
            </w:r>
            <w:r w:rsidR="0069761A" w:rsidRPr="00234064">
              <w:rPr>
                <w:rFonts w:eastAsia="Calibri"/>
                <w:sz w:val="20"/>
                <w:szCs w:val="20"/>
              </w:rPr>
              <w:t>.att. Jaunatklāto hroniskā C hepatīta gadījumu skaits un HIV/AIDS reģistrēto jauno gadījumu skaits Latvijā 2009.-2014.gadā (datu avots: Slimību profilakses un kontroles centra dati</w:t>
            </w:r>
            <w:r w:rsidR="0069761A" w:rsidRPr="00234064">
              <w:rPr>
                <w:rStyle w:val="FootnoteReference"/>
                <w:rFonts w:eastAsia="Calibri"/>
                <w:sz w:val="20"/>
                <w:szCs w:val="20"/>
              </w:rPr>
              <w:footnoteReference w:id="2"/>
            </w:r>
            <w:r w:rsidR="0069761A" w:rsidRPr="00234064">
              <w:rPr>
                <w:rFonts w:eastAsia="Calibri"/>
                <w:sz w:val="20"/>
                <w:szCs w:val="20"/>
              </w:rPr>
              <w:t>,</w:t>
            </w:r>
            <w:r w:rsidR="0069761A" w:rsidRPr="00234064">
              <w:rPr>
                <w:rStyle w:val="FootnoteReference"/>
                <w:rFonts w:eastAsia="Calibri"/>
                <w:sz w:val="20"/>
                <w:szCs w:val="20"/>
              </w:rPr>
              <w:footnoteReference w:id="3"/>
            </w:r>
            <w:r w:rsidR="0069761A" w:rsidRPr="00234064">
              <w:rPr>
                <w:rFonts w:eastAsia="Calibri"/>
                <w:sz w:val="20"/>
                <w:szCs w:val="20"/>
              </w:rPr>
              <w:t>).</w:t>
            </w:r>
          </w:p>
          <w:p w:rsidR="0069761A" w:rsidRPr="00234064" w:rsidRDefault="0069761A" w:rsidP="0069761A">
            <w:pPr>
              <w:spacing w:after="120"/>
              <w:ind w:left="142" w:right="142"/>
              <w:jc w:val="both"/>
            </w:pPr>
            <w:r w:rsidRPr="00234064">
              <w:t xml:space="preserve">HCV ir nopietns apdraudējums sabiedrības veselībai un bīstamākais no </w:t>
            </w:r>
            <w:proofErr w:type="spellStart"/>
            <w:r w:rsidRPr="00234064">
              <w:t>vīrushepatītiem</w:t>
            </w:r>
            <w:proofErr w:type="spellEnd"/>
            <w:r w:rsidRPr="00234064">
              <w:t xml:space="preserve">, jo 80% gadījumu tas kļūst hronisks, ievērojami palielinot aknu cirozes un/vai aknu vēža gadījumu skaitu. </w:t>
            </w:r>
          </w:p>
          <w:p w:rsidR="0069761A" w:rsidRPr="008F2907" w:rsidRDefault="00AC5EAF" w:rsidP="0069761A">
            <w:pPr>
              <w:tabs>
                <w:tab w:val="left" w:pos="2760"/>
                <w:tab w:val="left" w:pos="3469"/>
              </w:tabs>
              <w:autoSpaceDE w:val="0"/>
              <w:autoSpaceDN w:val="0"/>
              <w:adjustRightInd w:val="0"/>
              <w:spacing w:after="120"/>
              <w:ind w:left="112" w:right="140"/>
              <w:jc w:val="both"/>
              <w:rPr>
                <w:color w:val="000000"/>
                <w:lang w:bidi="gu-IN"/>
              </w:rPr>
            </w:pPr>
            <w:r>
              <w:rPr>
                <w:bCs/>
              </w:rPr>
              <w:t>J</w:t>
            </w:r>
            <w:r w:rsidR="0069761A" w:rsidRPr="00234064">
              <w:rPr>
                <w:bCs/>
              </w:rPr>
              <w:t xml:space="preserve">āatzīmē, ka kaut arī ar </w:t>
            </w:r>
            <w:r w:rsidR="0069761A" w:rsidRPr="00234064">
              <w:t>2011.gada 1.martu tika atjaunota 75% kompensācija diagnožu grupai ”</w:t>
            </w:r>
            <w:proofErr w:type="spellStart"/>
            <w:r w:rsidR="0069761A" w:rsidRPr="00234064">
              <w:t>Vīrushepatīti</w:t>
            </w:r>
            <w:proofErr w:type="spellEnd"/>
            <w:r w:rsidR="0069761A" w:rsidRPr="00234064">
              <w:t xml:space="preserve">”, pacientu </w:t>
            </w:r>
            <w:r w:rsidR="0069761A" w:rsidRPr="00234064">
              <w:lastRenderedPageBreak/>
              <w:t xml:space="preserve">ārstēšanas </w:t>
            </w:r>
            <w:proofErr w:type="spellStart"/>
            <w:r w:rsidR="0069761A" w:rsidRPr="00234064">
              <w:t>līdzmaksājums</w:t>
            </w:r>
            <w:proofErr w:type="spellEnd"/>
            <w:r w:rsidR="0069761A" w:rsidRPr="00234064">
              <w:t xml:space="preserve"> šajā diagnožu grupā ir viens no augstākajiem. </w:t>
            </w:r>
            <w:r w:rsidR="0069761A" w:rsidRPr="008F2907">
              <w:rPr>
                <w:color w:val="000000"/>
                <w:lang w:bidi="gu-IN"/>
              </w:rPr>
              <w:t xml:space="preserve">Pacienta līdzmaksājums C hepatīta gadījumā ar 75% kompensāciju sastāda vidēji 300 EUR mēnesī, un līdzmaksājuma apmērs ir nozīmīgs šķērslis, kā dēļ pacienti neiesaistās terapijā. Turklāt slimības simptomi neizpaužas uzreiz, bet sekas ir grūti ārstējamas, līdz pat aknu transplantācijai, kas izmaksā daudz vairāk nekā medikamentozā ārstēšana, un Latvijā praktiski netiek veikta. Līdz ar to  savlaicīga ārstēšanas uzsākšana ievērojami paildzina cilvēka kvalitatīvas dzīves ilgumu, kura laikā tiek pienests labums tautsaimniecībai. </w:t>
            </w:r>
            <w:r w:rsidR="0069761A">
              <w:rPr>
                <w:color w:val="000000"/>
                <w:lang w:bidi="gu-IN"/>
              </w:rPr>
              <w:t>Ņemot vērā iepriekš minēto,</w:t>
            </w:r>
            <w:r w:rsidR="0069761A" w:rsidRPr="00234064">
              <w:t xml:space="preserve"> Noteikumu projekts </w:t>
            </w:r>
            <w:r>
              <w:t xml:space="preserve">”Grozījumi </w:t>
            </w:r>
            <w:r w:rsidRPr="00234064">
              <w:t>Ministru kabineta 2006.gada 31.oktobra noteikum</w:t>
            </w:r>
            <w:r>
              <w:t>os</w:t>
            </w:r>
            <w:r w:rsidRPr="00234064">
              <w:t xml:space="preserve"> Nr.899 ”Ambulatorajai ārstēšanai paredzēto zāļu un medicīnisko ierīču iegādes izdevumu kompensācijas kārtība”</w:t>
            </w:r>
            <w:r>
              <w:t xml:space="preserve">” (turpmāk – Noteikumu projekts) </w:t>
            </w:r>
            <w:r w:rsidR="0069761A" w:rsidRPr="00234064">
              <w:t>paredz ar 201</w:t>
            </w:r>
            <w:r>
              <w:t>6</w:t>
            </w:r>
            <w:r w:rsidR="0069761A" w:rsidRPr="00234064">
              <w:t>.gada 1.</w:t>
            </w:r>
            <w:r>
              <w:t>janvāri</w:t>
            </w:r>
            <w:r w:rsidR="0069761A" w:rsidRPr="00234064">
              <w:t xml:space="preserve"> paaugstināt kompensācijas apmēru diagnožu grupai ”</w:t>
            </w:r>
            <w:proofErr w:type="spellStart"/>
            <w:r w:rsidR="0069761A" w:rsidRPr="00234064">
              <w:t>Vīrushepatīti</w:t>
            </w:r>
            <w:proofErr w:type="spellEnd"/>
            <w:r w:rsidR="0069761A" w:rsidRPr="00234064">
              <w:t xml:space="preserve">” no 75% uz </w:t>
            </w:r>
            <w:r w:rsidR="00C83D02">
              <w:t>10</w:t>
            </w:r>
            <w:r w:rsidR="0069761A" w:rsidRPr="00234064">
              <w:t>0% (Noteikumu projekta 1.</w:t>
            </w:r>
            <w:r w:rsidR="001914C2">
              <w:t xml:space="preserve"> Un 2.</w:t>
            </w:r>
            <w:r w:rsidR="0069761A" w:rsidRPr="00234064">
              <w:t>punkts).</w:t>
            </w:r>
          </w:p>
          <w:p w:rsidR="0069761A" w:rsidRPr="00234064" w:rsidRDefault="001914C2" w:rsidP="0069761A">
            <w:pPr>
              <w:spacing w:after="120"/>
              <w:ind w:left="142" w:right="142"/>
              <w:jc w:val="both"/>
            </w:pPr>
            <w:r>
              <w:t xml:space="preserve">2. </w:t>
            </w:r>
            <w:r w:rsidR="0069761A" w:rsidRPr="00234064">
              <w:t>Turklāt Latvija joprojām ir to Eiropas Savienības (ES) valstu vidū, kur HIV infekcijas (hroniska, lēni progresējoša infekcijas slimība, kuru izraisa imūndeficīta vīruss) izplatības rādītāji ir augsti: 2011.gadā incidences (jauno gadījumu skaits) rādītājs bija 14,4 uz 100 000  iedzīvotāju (2012.gadā – 16,6)  jeb otrs augstākais, pārsniedzot Eiropas vidējo rādītāju (5,7) vairāk kā divas reizes.</w:t>
            </w:r>
            <w:r w:rsidR="0069761A" w:rsidRPr="00234064">
              <w:rPr>
                <w:rStyle w:val="FootnoteReference"/>
              </w:rPr>
              <w:footnoteReference w:id="4"/>
            </w:r>
            <w:r w:rsidR="0069761A" w:rsidRPr="00234064">
              <w:t xml:space="preserve"> HIV un AIDS stadijas reģistrēto jauno gadījumu skaits turpina pieaugt (skat. </w:t>
            </w:r>
            <w:r>
              <w:t>1</w:t>
            </w:r>
            <w:r w:rsidR="0069761A" w:rsidRPr="00234064">
              <w:t>.att.).</w:t>
            </w:r>
          </w:p>
          <w:p w:rsidR="0069761A" w:rsidRPr="008F2907" w:rsidRDefault="0069761A" w:rsidP="0069761A">
            <w:pPr>
              <w:spacing w:after="120"/>
              <w:ind w:left="142" w:right="142"/>
              <w:jc w:val="both"/>
              <w:rPr>
                <w:bCs/>
              </w:rPr>
            </w:pPr>
            <w:r w:rsidRPr="00234064">
              <w:t>Saskaņā ar Slimību profilakses un kontroles centra rīcībā esošiem datiem ir</w:t>
            </w:r>
            <w:r w:rsidRPr="00234064">
              <w:rPr>
                <w:bCs/>
              </w:rPr>
              <w:t xml:space="preserve"> nepieciešami konkrēti pasākumi šo infekcijas slimību saslimstības mazināšanai, īpašu uzmanību pievēršot šo slimību profilakses pasākumiem, šo infekciju diagnostikas, ārstēšanas un epidemioloģiskās izmeklēšanas uzlabošanai, tai skaitā ģimenes ārstu informēšanai par HIV un hepatītu C agrīnas diagnostikas jautājumiem un riska grupām, lai veicinātu </w:t>
            </w:r>
            <w:r w:rsidRPr="008F2907">
              <w:rPr>
                <w:bCs/>
              </w:rPr>
              <w:t xml:space="preserve">šo slimību agrīnu diagnostiku. </w:t>
            </w:r>
          </w:p>
          <w:p w:rsidR="0069761A" w:rsidRPr="008F2907" w:rsidRDefault="0069761A" w:rsidP="0069761A">
            <w:pPr>
              <w:tabs>
                <w:tab w:val="left" w:pos="2760"/>
                <w:tab w:val="left" w:pos="3469"/>
              </w:tabs>
              <w:autoSpaceDE w:val="0"/>
              <w:autoSpaceDN w:val="0"/>
              <w:adjustRightInd w:val="0"/>
              <w:spacing w:after="120"/>
              <w:ind w:left="142" w:right="142"/>
              <w:jc w:val="both"/>
              <w:rPr>
                <w:rFonts w:ascii="AvenirNext-Regular" w:hAnsi="AvenirNext-Regular" w:cs="AvenirNext-Regular"/>
                <w:lang w:bidi="gu-IN"/>
              </w:rPr>
            </w:pPr>
            <w:r w:rsidRPr="008F2907">
              <w:rPr>
                <w:lang w:bidi="gu-IN"/>
              </w:rPr>
              <w:t xml:space="preserve">Pētījumi pierāda, ka, savukārt, bez </w:t>
            </w:r>
            <w:proofErr w:type="spellStart"/>
            <w:r w:rsidRPr="008F2907">
              <w:rPr>
                <w:lang w:bidi="gu-IN"/>
              </w:rPr>
              <w:t>antiretrovirālās</w:t>
            </w:r>
            <w:proofErr w:type="spellEnd"/>
            <w:r w:rsidRPr="008F2907">
              <w:rPr>
                <w:lang w:bidi="gu-IN"/>
              </w:rPr>
              <w:t xml:space="preserve"> terapijas HIV infekcijas tālākas nodošanas iespējamība seksuālā</w:t>
            </w:r>
            <w:r w:rsidRPr="008F2907">
              <w:rPr>
                <w:rFonts w:ascii="AvenirNext-Regular" w:hAnsi="AvenirNext-Regular" w:cs="AvenirNext-Regular"/>
                <w:lang w:bidi="gu-IN"/>
              </w:rPr>
              <w:t xml:space="preserve"> ceļā ir 12 uz 100 </w:t>
            </w:r>
            <w:proofErr w:type="spellStart"/>
            <w:r w:rsidRPr="008F2907">
              <w:rPr>
                <w:rFonts w:ascii="AvenirNext-Regular" w:hAnsi="AvenirNext-Regular" w:cs="AvenirNext-Regular"/>
                <w:lang w:bidi="gu-IN"/>
              </w:rPr>
              <w:t>persongadiem</w:t>
            </w:r>
            <w:proofErr w:type="spellEnd"/>
            <w:r w:rsidRPr="008F2907">
              <w:rPr>
                <w:rFonts w:ascii="AvenirNext-Regular" w:hAnsi="AvenirNext-Regular" w:cs="AvenirNext-Regular"/>
                <w:lang w:bidi="gu-IN"/>
              </w:rPr>
              <w:t xml:space="preserve">, kas nozīmē, ka 100 neārstēti inficēti cilvēki gada laikā var tālāk inficēt vēl 12 personas. Sekmīgi ārstējot HIV inficētos, iespēju nodot infekciju tālāk var samazināt līdz nullei. Proti, sekmīgas ārstēšanas rezultātā var panākt tik mazu vīrusa koncentrāciju bioloģiskajos šķidrumos, ka persona nespēj inficēt apkārtējos. To dēvē par </w:t>
            </w:r>
            <w:r>
              <w:rPr>
                <w:rFonts w:ascii="AvenirNext-Regular" w:hAnsi="AvenirNext-Regular" w:cs="AvenirNext-Regular"/>
                <w:lang w:bidi="gu-IN"/>
              </w:rPr>
              <w:t>”</w:t>
            </w:r>
            <w:r w:rsidRPr="008F2907">
              <w:rPr>
                <w:rFonts w:ascii="AvenirNext-Regular" w:hAnsi="AvenirNext-Regular" w:cs="AvenirNext-Regular"/>
                <w:i/>
                <w:iCs/>
                <w:lang w:bidi="gu-IN"/>
              </w:rPr>
              <w:t>T as P</w:t>
            </w:r>
            <w:r>
              <w:rPr>
                <w:rFonts w:ascii="AvenirNext-Regular" w:hAnsi="AvenirNext-Regular" w:cs="AvenirNext-Regular"/>
                <w:lang w:bidi="gu-IN"/>
              </w:rPr>
              <w:t>” jeb ”</w:t>
            </w:r>
            <w:r w:rsidRPr="008F2907">
              <w:rPr>
                <w:rFonts w:ascii="AvenirNext-Regular" w:hAnsi="AvenirNext-Regular" w:cs="AvenirNext-Regular"/>
                <w:lang w:bidi="gu-IN"/>
              </w:rPr>
              <w:t>ārstēšana kā profilakse” principu</w:t>
            </w:r>
            <w:r w:rsidRPr="008F2907">
              <w:rPr>
                <w:rStyle w:val="FootnoteReference"/>
                <w:rFonts w:ascii="AvenirNext-Regular" w:hAnsi="AvenirNext-Regular" w:cs="AvenirNext-Regular"/>
                <w:lang w:bidi="gu-IN"/>
              </w:rPr>
              <w:footnoteReference w:id="5"/>
            </w:r>
            <w:r w:rsidRPr="008F2907">
              <w:rPr>
                <w:rFonts w:ascii="AvenirNext-Regular" w:hAnsi="AvenirNext-Regular" w:cs="AvenirNext-Regular"/>
                <w:lang w:bidi="gu-IN"/>
              </w:rPr>
              <w:t>.</w:t>
            </w:r>
          </w:p>
          <w:p w:rsidR="0069761A" w:rsidRPr="008F2907" w:rsidRDefault="0069761A" w:rsidP="0069761A">
            <w:pPr>
              <w:tabs>
                <w:tab w:val="left" w:pos="2760"/>
                <w:tab w:val="left" w:pos="3469"/>
              </w:tabs>
              <w:autoSpaceDE w:val="0"/>
              <w:autoSpaceDN w:val="0"/>
              <w:adjustRightInd w:val="0"/>
              <w:spacing w:after="120"/>
              <w:ind w:left="142" w:right="142"/>
              <w:jc w:val="both"/>
              <w:rPr>
                <w:rFonts w:ascii="AvenirNext-Regular" w:hAnsi="AvenirNext-Regular" w:cs="AvenirNext-Regular"/>
                <w:lang w:bidi="gu-IN"/>
              </w:rPr>
            </w:pPr>
            <w:r w:rsidRPr="008F2907">
              <w:rPr>
                <w:rFonts w:ascii="AvenirNext-Regular" w:hAnsi="AvenirNext-Regular" w:cs="AvenirNext-Regular"/>
                <w:lang w:bidi="gu-IN"/>
              </w:rPr>
              <w:t xml:space="preserve">Terciārā profilakse jeb </w:t>
            </w:r>
            <w:proofErr w:type="spellStart"/>
            <w:r w:rsidRPr="008F2907">
              <w:rPr>
                <w:rFonts w:ascii="AvenirNext-Regular" w:hAnsi="AvenirNext-Regular" w:cs="AvenirNext-Regular"/>
                <w:lang w:bidi="gu-IN"/>
              </w:rPr>
              <w:t>antiretrovirālā</w:t>
            </w:r>
            <w:proofErr w:type="spellEnd"/>
            <w:r w:rsidRPr="008F2907">
              <w:rPr>
                <w:rFonts w:ascii="AvenirNext-Regular" w:hAnsi="AvenirNext-Regular" w:cs="AvenirNext-Regular"/>
                <w:lang w:bidi="gu-IN"/>
              </w:rPr>
              <w:t xml:space="preserve"> terapija Latvijā tiek </w:t>
            </w:r>
            <w:r w:rsidRPr="008F2907">
              <w:rPr>
                <w:rFonts w:ascii="AvenirNext-Regular" w:hAnsi="AvenirNext-Regular" w:cs="AvenirNext-Regular"/>
                <w:lang w:bidi="gu-IN"/>
              </w:rPr>
              <w:lastRenderedPageBreak/>
              <w:t>nodrošināta tikai 18% HIV pacientu (Lietuvā − 27%, Igaunijā − 34%), kas ir teju zemākais aptveres radītājs Eiropā un pat zemāks nekā atsevišķās nabadzīgās Āfrikas valstīs</w:t>
            </w:r>
            <w:r w:rsidRPr="008F2907">
              <w:rPr>
                <w:rStyle w:val="FootnoteReference"/>
                <w:rFonts w:ascii="AvenirNext-Regular" w:hAnsi="AvenirNext-Regular" w:cs="AvenirNext-Regular"/>
                <w:lang w:bidi="gu-IN"/>
              </w:rPr>
              <w:footnoteReference w:id="6"/>
            </w:r>
            <w:r w:rsidRPr="008F2907">
              <w:rPr>
                <w:rFonts w:ascii="AvenirNext-Regular" w:hAnsi="AvenirNext-Regular" w:cs="AvenirNext-Regular"/>
                <w:lang w:bidi="gu-IN"/>
              </w:rPr>
              <w:t>.</w:t>
            </w:r>
          </w:p>
          <w:p w:rsidR="0069761A" w:rsidRPr="00234064" w:rsidRDefault="0069761A" w:rsidP="0069761A">
            <w:pPr>
              <w:spacing w:after="120"/>
              <w:ind w:left="142" w:right="142"/>
              <w:jc w:val="both"/>
            </w:pPr>
            <w:r w:rsidRPr="008F2907">
              <w:rPr>
                <w:rFonts w:ascii="AvenirNext-Regular" w:hAnsi="AvenirNext-Regular" w:cs="AvenirNext-Regular"/>
                <w:lang w:bidi="gu-IN"/>
              </w:rPr>
              <w:t>HIV ir lipīga, uz mūžu iemantojama slimība, kas savlaicīgi neārstēta, ievērojami pasliktina inficētās personas dzīves kvalitāti un saīsina mūža ilgumu, kā arī apdraud apkārtējo</w:t>
            </w:r>
            <w:r w:rsidRPr="00D02503">
              <w:rPr>
                <w:rFonts w:ascii="AvenirNext-Regular" w:hAnsi="AvenirNext-Regular" w:cs="AvenirNext-Regular"/>
                <w:sz w:val="22"/>
                <w:szCs w:val="22"/>
                <w:lang w:bidi="gu-IN"/>
              </w:rPr>
              <w:t xml:space="preserve"> sabiedrību.</w:t>
            </w:r>
            <w:r>
              <w:rPr>
                <w:rFonts w:ascii="AvenirNext-Regular" w:hAnsi="AvenirNext-Regular" w:cs="AvenirNext-Regular"/>
                <w:sz w:val="22"/>
                <w:szCs w:val="22"/>
                <w:lang w:bidi="gu-IN"/>
              </w:rPr>
              <w:t xml:space="preserve"> </w:t>
            </w:r>
            <w:r w:rsidRPr="00D02503">
              <w:rPr>
                <w:rFonts w:ascii="AvenirNext-Regular" w:hAnsi="AvenirNext-Regular" w:cs="AvenirNext-Regular"/>
                <w:sz w:val="22"/>
                <w:szCs w:val="22"/>
                <w:lang w:bidi="gu-IN"/>
              </w:rPr>
              <w:t>P</w:t>
            </w:r>
            <w:r>
              <w:rPr>
                <w:rFonts w:ascii="AvenirNext-Regular" w:hAnsi="AvenirNext-Regular" w:cs="AvenirNext-Regular"/>
                <w:sz w:val="22"/>
                <w:szCs w:val="22"/>
                <w:lang w:bidi="gu-IN"/>
              </w:rPr>
              <w:t>asaules Veselības organizācijas</w:t>
            </w:r>
            <w:r w:rsidRPr="00D02503">
              <w:rPr>
                <w:rFonts w:ascii="AvenirNext-Regular" w:hAnsi="AvenirNext-Regular" w:cs="AvenirNext-Regular"/>
                <w:sz w:val="22"/>
                <w:szCs w:val="22"/>
                <w:lang w:bidi="gu-IN"/>
              </w:rPr>
              <w:t xml:space="preserve"> </w:t>
            </w:r>
            <w:r>
              <w:rPr>
                <w:rFonts w:ascii="AvenirNext-Regular" w:hAnsi="AvenirNext-Regular" w:cs="AvenirNext-Regular"/>
                <w:sz w:val="22"/>
                <w:szCs w:val="22"/>
                <w:lang w:bidi="gu-IN"/>
              </w:rPr>
              <w:t>norāda</w:t>
            </w:r>
            <w:r w:rsidRPr="00D02503">
              <w:rPr>
                <w:rFonts w:ascii="AvenirNext-Regular" w:hAnsi="AvenirNext-Regular" w:cs="AvenirNext-Regular"/>
                <w:sz w:val="22"/>
                <w:szCs w:val="22"/>
                <w:lang w:bidi="gu-IN"/>
              </w:rPr>
              <w:t xml:space="preserve"> − jo agrāk tiek uzsākta HIV</w:t>
            </w:r>
            <w:r>
              <w:rPr>
                <w:rFonts w:ascii="AvenirNext-Regular" w:hAnsi="AvenirNext-Regular" w:cs="AvenirNext-Regular"/>
                <w:sz w:val="22"/>
                <w:szCs w:val="22"/>
                <w:lang w:bidi="gu-IN"/>
              </w:rPr>
              <w:t xml:space="preserve"> </w:t>
            </w:r>
            <w:r w:rsidRPr="00D02503">
              <w:rPr>
                <w:rFonts w:ascii="AvenirNext-Regular" w:hAnsi="AvenirNext-Regular" w:cs="AvenirNext-Regular"/>
                <w:sz w:val="22"/>
                <w:szCs w:val="22"/>
                <w:lang w:bidi="gu-IN"/>
              </w:rPr>
              <w:t>pacientu terapija, jo tā ir izmaksu efektīvāka. Lai</w:t>
            </w:r>
            <w:r>
              <w:rPr>
                <w:rFonts w:ascii="AvenirNext-Regular" w:hAnsi="AvenirNext-Regular" w:cs="AvenirNext-Regular"/>
                <w:sz w:val="22"/>
                <w:szCs w:val="22"/>
                <w:lang w:bidi="gu-IN"/>
              </w:rPr>
              <w:t xml:space="preserve"> </w:t>
            </w:r>
            <w:r w:rsidRPr="00D02503">
              <w:rPr>
                <w:rFonts w:ascii="AvenirNext-Regular" w:hAnsi="AvenirNext-Regular" w:cs="AvenirNext-Regular"/>
                <w:sz w:val="22"/>
                <w:szCs w:val="22"/>
                <w:lang w:bidi="gu-IN"/>
              </w:rPr>
              <w:t>gan šāda pieeja palielina ārstēšanās izmaksas</w:t>
            </w:r>
            <w:r>
              <w:rPr>
                <w:rFonts w:ascii="AvenirNext-Regular" w:hAnsi="AvenirNext-Regular" w:cs="AvenirNext-Regular"/>
                <w:sz w:val="22"/>
                <w:szCs w:val="22"/>
                <w:lang w:bidi="gu-IN"/>
              </w:rPr>
              <w:t xml:space="preserve"> </w:t>
            </w:r>
            <w:r w:rsidRPr="00D02503">
              <w:rPr>
                <w:rFonts w:ascii="AvenirNext-Regular" w:hAnsi="AvenirNext-Regular" w:cs="AvenirNext-Regular"/>
                <w:sz w:val="22"/>
                <w:szCs w:val="22"/>
                <w:lang w:bidi="gu-IN"/>
              </w:rPr>
              <w:t>īstermiņā, pētījumi apliecina, ka 10 gadu laikā</w:t>
            </w:r>
            <w:r>
              <w:rPr>
                <w:rFonts w:ascii="AvenirNext-Regular" w:hAnsi="AvenirNext-Regular" w:cs="AvenirNext-Regular"/>
                <w:sz w:val="22"/>
                <w:szCs w:val="22"/>
                <w:lang w:bidi="gu-IN"/>
              </w:rPr>
              <w:t xml:space="preserve"> </w:t>
            </w:r>
            <w:r w:rsidRPr="00D02503">
              <w:rPr>
                <w:rFonts w:ascii="AvenirNext-Regular" w:hAnsi="AvenirNext-Regular" w:cs="AvenirNext-Regular"/>
                <w:sz w:val="22"/>
                <w:szCs w:val="22"/>
                <w:lang w:bidi="gu-IN"/>
              </w:rPr>
              <w:t>ieguvumi no agrī</w:t>
            </w:r>
            <w:r>
              <w:rPr>
                <w:rFonts w:ascii="AvenirNext-Regular" w:hAnsi="AvenirNext-Regular" w:cs="AvenirNext-Regular"/>
                <w:sz w:val="22"/>
                <w:szCs w:val="22"/>
                <w:lang w:bidi="gu-IN"/>
              </w:rPr>
              <w:t xml:space="preserve">nas/profilaktiskas </w:t>
            </w:r>
            <w:r w:rsidRPr="00D02503">
              <w:rPr>
                <w:rFonts w:ascii="AvenirNext-Regular" w:hAnsi="AvenirNext-Regular" w:cs="AvenirNext-Regular"/>
                <w:sz w:val="22"/>
                <w:szCs w:val="22"/>
                <w:lang w:bidi="gu-IN"/>
              </w:rPr>
              <w:t>ārstniecības</w:t>
            </w:r>
            <w:r>
              <w:rPr>
                <w:rFonts w:ascii="AvenirNext-Regular" w:hAnsi="AvenirNext-Regular" w:cs="AvenirNext-Regular"/>
                <w:sz w:val="22"/>
                <w:szCs w:val="22"/>
                <w:lang w:bidi="gu-IN"/>
              </w:rPr>
              <w:t xml:space="preserve"> </w:t>
            </w:r>
            <w:r w:rsidRPr="00D02503">
              <w:rPr>
                <w:rFonts w:ascii="AvenirNext-Regular" w:hAnsi="AvenirNext-Regular" w:cs="AvenirNext-Regular"/>
                <w:lang w:bidi="gu-IN"/>
              </w:rPr>
              <w:t>sedz vai pat pārsniedz izmaksas.</w:t>
            </w:r>
          </w:p>
          <w:p w:rsidR="008A402F" w:rsidRPr="001914C2" w:rsidRDefault="0069761A" w:rsidP="001914C2">
            <w:pPr>
              <w:spacing w:after="120"/>
              <w:ind w:left="142" w:right="142"/>
              <w:jc w:val="both"/>
            </w:pPr>
            <w:r w:rsidRPr="00234064">
              <w:t xml:space="preserve">Pašreiz Racionālas </w:t>
            </w:r>
            <w:proofErr w:type="spellStart"/>
            <w:r w:rsidRPr="00234064">
              <w:t>farmakoterapijas</w:t>
            </w:r>
            <w:proofErr w:type="spellEnd"/>
            <w:r w:rsidRPr="00234064">
              <w:t xml:space="preserve"> rekomendācijas no valsts budžeta līdzekļiem apmaksātai </w:t>
            </w:r>
            <w:proofErr w:type="spellStart"/>
            <w:r w:rsidRPr="00234064">
              <w:t>antiretrovirālai</w:t>
            </w:r>
            <w:proofErr w:type="spellEnd"/>
            <w:r w:rsidRPr="00234064">
              <w:t xml:space="preserve"> terapijai  HIV/AIDS infekcijas ārstēšanai</w:t>
            </w:r>
            <w:r w:rsidRPr="00234064">
              <w:rPr>
                <w:rStyle w:val="FootnoteReference"/>
              </w:rPr>
              <w:footnoteReference w:id="7"/>
            </w:r>
            <w:r w:rsidRPr="00234064">
              <w:t xml:space="preserve"> paredz kā vienu no HIV infekcijas terapijas (ART) uzsākšanas indikācijām CD4˂200 šūnas/m</w:t>
            </w:r>
            <w:r w:rsidRPr="00234064">
              <w:rPr>
                <w:vertAlign w:val="superscript"/>
              </w:rPr>
              <w:t>3</w:t>
            </w:r>
            <w:r w:rsidRPr="00234064">
              <w:t xml:space="preserve"> (rādītājs noteikts ierobežota veselības aprūpes budžeta apstākļos), savukārt Pasaules veselības organizācija rekomendē terapijas uzsākšanu, ja CD4≤350 šūnas/m</w:t>
            </w:r>
            <w:r w:rsidRPr="00234064">
              <w:rPr>
                <w:vertAlign w:val="superscript"/>
              </w:rPr>
              <w:t>3</w:t>
            </w:r>
            <w:r w:rsidRPr="00234064">
              <w:t>. Līdz ar to, ņemot vērā saslimstības rādītājus un slimības bīstamību apkārtējiem, būtu nepieciešams paaugstināt ārstēšanas uzsākšanai piemērojamo CD4 imunitātes šūnu rādītāju atbilstoši Pasaules veselības rekomendācijām</w:t>
            </w:r>
            <w:r w:rsidRPr="00234064">
              <w:rPr>
                <w:rStyle w:val="FootnoteReference"/>
              </w:rPr>
              <w:footnoteReference w:id="8"/>
            </w:r>
            <w:r w:rsidRPr="00234064">
              <w:t xml:space="preserve"> (CD4 šūnu skaits </w:t>
            </w:r>
            <w:r>
              <w:t xml:space="preserve">terapijas izdevumu kompensācijas uzsākšanai </w:t>
            </w:r>
            <w:r w:rsidRPr="00234064">
              <w:t xml:space="preserve">netiek noteikts ar Noteikumiem Nr.899, tomēr CD4 šūnu rādītāja palielināšana terapijas uzsākšanai izraisīs ietekmi uz valsts budžetu, līdz ar to informācija tiek iekļauta anotācijas III sadaļā). Vienlaikus Nacionālajam veselības dienestam ir uzdots (anotācijas VII sadaļa) līdz </w:t>
            </w:r>
            <w:r w:rsidRPr="005C602B">
              <w:t>201</w:t>
            </w:r>
            <w:r w:rsidR="00AC5EAF" w:rsidRPr="005C602B">
              <w:t>6</w:t>
            </w:r>
            <w:r w:rsidRPr="005C602B">
              <w:t>.gada 1.</w:t>
            </w:r>
            <w:r w:rsidR="00AC5EAF" w:rsidRPr="005C602B">
              <w:t>janvārim</w:t>
            </w:r>
            <w:r w:rsidRPr="005C602B">
              <w:t xml:space="preserve"> aktualizēt Racionālas </w:t>
            </w:r>
            <w:proofErr w:type="spellStart"/>
            <w:r w:rsidRPr="005C602B">
              <w:t>farmakoterapijas</w:t>
            </w:r>
            <w:proofErr w:type="spellEnd"/>
            <w:r w:rsidRPr="005C602B">
              <w:t xml:space="preserve"> rekomendācijas no valsts budžeta līdzekļiem apmaksātai </w:t>
            </w:r>
            <w:proofErr w:type="spellStart"/>
            <w:r w:rsidRPr="005C602B">
              <w:t>antiretrovirālai</w:t>
            </w:r>
            <w:proofErr w:type="spellEnd"/>
            <w:r w:rsidRPr="005C602B">
              <w:t xml:space="preserve"> terapijai  HIV/AIDS infekcijas ārstēšanai un ievietot aktualizētās rekomendācijas Nacionālā veselības dienesta interneta vietnē sadaļā ”Racionālās </w:t>
            </w:r>
            <w:proofErr w:type="spellStart"/>
            <w:r w:rsidRPr="005C602B">
              <w:t>farmakoterapijas</w:t>
            </w:r>
            <w:proofErr w:type="spellEnd"/>
            <w:r w:rsidRPr="005C602B">
              <w:t xml:space="preserve"> rekomendācijas”, uzsākot agrīnāko ārstēšanu ar 201</w:t>
            </w:r>
            <w:r w:rsidR="00AC5EAF" w:rsidRPr="005C602B">
              <w:t>6</w:t>
            </w:r>
            <w:r w:rsidRPr="005C602B">
              <w:t>.gada 1.</w:t>
            </w:r>
            <w:r w:rsidR="00AC5EAF" w:rsidRPr="005C602B">
              <w:t>janvāri</w:t>
            </w:r>
            <w:r w:rsidRPr="005C602B">
              <w:t>.</w:t>
            </w:r>
            <w:r w:rsidR="00212E92" w:rsidRPr="00234064">
              <w:rPr>
                <w:vanish/>
              </w:rPr>
              <w:t>5</w:t>
            </w:r>
            <w:r w:rsidR="002E7799" w:rsidRPr="00234064">
              <w:rPr>
                <w:vanish/>
              </w:rPr>
              <w:t xml:space="preserve"> </w:t>
            </w:r>
          </w:p>
        </w:tc>
      </w:tr>
      <w:tr w:rsidR="00D07F03" w:rsidRPr="00234064" w:rsidTr="007512D2">
        <w:trPr>
          <w:trHeight w:val="465"/>
        </w:trPr>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Projekta izstrādē iesaistītās institūcijas</w:t>
            </w:r>
          </w:p>
        </w:tc>
        <w:tc>
          <w:tcPr>
            <w:tcW w:w="3586" w:type="pct"/>
            <w:tcBorders>
              <w:top w:val="outset" w:sz="6" w:space="0" w:color="414142"/>
              <w:left w:val="outset" w:sz="6" w:space="0" w:color="414142"/>
              <w:bottom w:val="outset" w:sz="6" w:space="0" w:color="414142"/>
              <w:right w:val="outset" w:sz="6" w:space="0" w:color="414142"/>
            </w:tcBorders>
            <w:hideMark/>
          </w:tcPr>
          <w:p w:rsidR="00D07F03" w:rsidRPr="00234064" w:rsidRDefault="00BD175D" w:rsidP="00243343">
            <w:pPr>
              <w:ind w:left="115" w:right="140"/>
            </w:pPr>
            <w:r w:rsidRPr="00234064">
              <w:t>Nacionālais veselības dienests</w:t>
            </w:r>
          </w:p>
        </w:tc>
      </w:tr>
      <w:tr w:rsidR="00D07F03" w:rsidRPr="00234064" w:rsidTr="007512D2">
        <w:tc>
          <w:tcPr>
            <w:tcW w:w="181"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621BF">
            <w:pPr>
              <w:spacing w:before="100" w:beforeAutospacing="1" w:after="100" w:afterAutospacing="1" w:line="360" w:lineRule="auto"/>
              <w:jc w:val="center"/>
            </w:pPr>
            <w:r w:rsidRPr="00234064">
              <w:t>4.</w:t>
            </w:r>
          </w:p>
        </w:tc>
        <w:tc>
          <w:tcPr>
            <w:tcW w:w="123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CC4E8E" w:rsidRPr="00234064" w:rsidRDefault="00694B1E" w:rsidP="00383B09">
            <w:pPr>
              <w:spacing w:after="120"/>
              <w:ind w:left="142" w:right="142"/>
              <w:jc w:val="both"/>
            </w:pPr>
            <w:r w:rsidRPr="00234064">
              <w:t>Nav</w:t>
            </w:r>
          </w:p>
        </w:tc>
      </w:tr>
    </w:tbl>
    <w:p w:rsidR="00136B00" w:rsidRPr="00234064" w:rsidRDefault="00136B00" w:rsidP="00A51F1F">
      <w:pPr>
        <w:pStyle w:val="naisf"/>
        <w:spacing w:before="0" w:after="0"/>
        <w:rPr>
          <w:sz w:val="4"/>
          <w:szCs w:val="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409"/>
        <w:gridCol w:w="6266"/>
      </w:tblGrid>
      <w:tr w:rsidR="00D07F03" w:rsidRPr="00234064" w:rsidTr="00D07F03">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871F6C">
            <w:pPr>
              <w:spacing w:before="120" w:after="120"/>
              <w:ind w:firstLine="301"/>
              <w:jc w:val="center"/>
              <w:rPr>
                <w:b/>
                <w:bCs/>
              </w:rPr>
            </w:pPr>
            <w:r w:rsidRPr="00234064">
              <w:rPr>
                <w:b/>
                <w:bCs/>
              </w:rPr>
              <w:t>II. Tiesību akta projekta ietekme uz sabiedrību, tautsaimniecības attīstību un administratīvo slogu</w:t>
            </w:r>
          </w:p>
        </w:tc>
      </w:tr>
      <w:tr w:rsidR="00D07F03" w:rsidRPr="00234064" w:rsidTr="00B719C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1319"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Sabiedrības mērķgrupas, kuras tiesiskais regulējums ietekmē vai varētu ietekmēt</w:t>
            </w:r>
          </w:p>
        </w:tc>
        <w:tc>
          <w:tcPr>
            <w:tcW w:w="3431" w:type="pct"/>
            <w:tcBorders>
              <w:top w:val="outset" w:sz="6" w:space="0" w:color="414142"/>
              <w:left w:val="outset" w:sz="6" w:space="0" w:color="414142"/>
              <w:bottom w:val="outset" w:sz="6" w:space="0" w:color="414142"/>
              <w:right w:val="outset" w:sz="6" w:space="0" w:color="414142"/>
            </w:tcBorders>
            <w:hideMark/>
          </w:tcPr>
          <w:p w:rsidR="006A7F20" w:rsidRPr="0061680B" w:rsidRDefault="00CF5264" w:rsidP="00B719CE">
            <w:pPr>
              <w:spacing w:after="120"/>
              <w:ind w:left="115" w:right="142"/>
              <w:contextualSpacing/>
              <w:jc w:val="both"/>
            </w:pPr>
            <w:r w:rsidRPr="00234064">
              <w:t xml:space="preserve">Pacienti, </w:t>
            </w:r>
            <w:r w:rsidR="00023D9D" w:rsidRPr="0061680B">
              <w:t>kuriem paredzēts ievērojami paaugstināt kompensācijas apmēru:</w:t>
            </w:r>
          </w:p>
          <w:p w:rsidR="00C17116" w:rsidRPr="0061680B" w:rsidRDefault="00C17116" w:rsidP="00B719CE">
            <w:pPr>
              <w:pStyle w:val="ListParagraph"/>
              <w:numPr>
                <w:ilvl w:val="0"/>
                <w:numId w:val="3"/>
              </w:numPr>
              <w:spacing w:after="120" w:line="240" w:lineRule="auto"/>
              <w:ind w:left="399" w:right="142" w:hanging="284"/>
              <w:jc w:val="both"/>
              <w:rPr>
                <w:rFonts w:ascii="Times New Roman" w:hAnsi="Times New Roman"/>
                <w:sz w:val="24"/>
                <w:szCs w:val="24"/>
                <w:lang w:val="lv-LV"/>
              </w:rPr>
            </w:pPr>
            <w:r w:rsidRPr="0061680B">
              <w:rPr>
                <w:rFonts w:ascii="Times New Roman" w:hAnsi="Times New Roman"/>
                <w:sz w:val="24"/>
                <w:szCs w:val="24"/>
                <w:lang w:val="lv-LV"/>
              </w:rPr>
              <w:t>diagnožu grupai ”</w:t>
            </w:r>
            <w:proofErr w:type="spellStart"/>
            <w:r w:rsidRPr="0061680B">
              <w:rPr>
                <w:rFonts w:ascii="Times New Roman" w:hAnsi="Times New Roman"/>
                <w:sz w:val="24"/>
                <w:szCs w:val="24"/>
                <w:lang w:val="lv-LV"/>
              </w:rPr>
              <w:t>Vīrushepatīti</w:t>
            </w:r>
            <w:proofErr w:type="spellEnd"/>
            <w:r w:rsidRPr="0061680B">
              <w:rPr>
                <w:rFonts w:ascii="Times New Roman" w:hAnsi="Times New Roman"/>
                <w:sz w:val="24"/>
                <w:szCs w:val="24"/>
                <w:lang w:val="lv-LV"/>
              </w:rPr>
              <w:t xml:space="preserve">” – esošais pacientu skaits </w:t>
            </w:r>
            <w:r w:rsidRPr="0061680B">
              <w:rPr>
                <w:rFonts w:ascii="Times New Roman" w:hAnsi="Times New Roman"/>
                <w:noProof/>
                <w:sz w:val="24"/>
                <w:szCs w:val="24"/>
                <w:lang w:val="lv-LV" w:bidi="gu-IN"/>
              </w:rPr>
              <w:t>789 pacienti; paredzēts, ka pacientu skaits pieaugs, sasniedzot 1000 gadā;</w:t>
            </w:r>
          </w:p>
          <w:p w:rsidR="0061680B" w:rsidRPr="001914C2" w:rsidRDefault="00C17116" w:rsidP="00B719CE">
            <w:pPr>
              <w:pStyle w:val="ListParagraph"/>
              <w:numPr>
                <w:ilvl w:val="0"/>
                <w:numId w:val="3"/>
              </w:numPr>
              <w:spacing w:after="120" w:line="240" w:lineRule="auto"/>
              <w:ind w:left="399" w:right="142" w:hanging="284"/>
              <w:jc w:val="both"/>
              <w:rPr>
                <w:rFonts w:ascii="Times New Roman" w:hAnsi="Times New Roman"/>
                <w:sz w:val="24"/>
                <w:szCs w:val="24"/>
                <w:lang w:val="lv-LV"/>
              </w:rPr>
            </w:pPr>
            <w:r w:rsidRPr="0061680B">
              <w:rPr>
                <w:rFonts w:ascii="Times New Roman" w:hAnsi="Times New Roman"/>
                <w:noProof/>
                <w:sz w:val="24"/>
                <w:szCs w:val="24"/>
                <w:lang w:val="lv-LV"/>
              </w:rPr>
              <w:t xml:space="preserve">HIV/AIDS terapijas uzsākšana </w:t>
            </w:r>
            <w:r w:rsidRPr="0061680B">
              <w:rPr>
                <w:rFonts w:ascii="Times New Roman" w:hAnsi="Times New Roman"/>
                <w:noProof/>
                <w:color w:val="000000" w:themeColor="text1"/>
                <w:sz w:val="24"/>
                <w:szCs w:val="24"/>
                <w:lang w:val="lv-LV"/>
              </w:rPr>
              <w:t>ar 201</w:t>
            </w:r>
            <w:r w:rsidR="001914C2">
              <w:rPr>
                <w:rFonts w:ascii="Times New Roman" w:hAnsi="Times New Roman"/>
                <w:noProof/>
                <w:color w:val="000000" w:themeColor="text1"/>
                <w:sz w:val="24"/>
                <w:szCs w:val="24"/>
                <w:lang w:val="lv-LV"/>
              </w:rPr>
              <w:t>6</w:t>
            </w:r>
            <w:r w:rsidRPr="0061680B">
              <w:rPr>
                <w:rFonts w:ascii="Times New Roman" w:hAnsi="Times New Roman"/>
                <w:noProof/>
                <w:color w:val="000000" w:themeColor="text1"/>
                <w:sz w:val="24"/>
                <w:szCs w:val="24"/>
                <w:lang w:val="lv-LV"/>
              </w:rPr>
              <w:t>.gada 1.</w:t>
            </w:r>
            <w:r w:rsidR="001914C2">
              <w:rPr>
                <w:rFonts w:ascii="Times New Roman" w:hAnsi="Times New Roman"/>
                <w:noProof/>
                <w:color w:val="000000" w:themeColor="text1"/>
                <w:sz w:val="24"/>
                <w:szCs w:val="24"/>
                <w:lang w:val="lv-LV"/>
              </w:rPr>
              <w:t>janvāri</w:t>
            </w:r>
            <w:r w:rsidRPr="0061680B">
              <w:rPr>
                <w:rFonts w:ascii="Times New Roman" w:hAnsi="Times New Roman"/>
                <w:noProof/>
                <w:color w:val="000000" w:themeColor="text1"/>
                <w:sz w:val="24"/>
                <w:szCs w:val="24"/>
                <w:lang w:val="lv-LV"/>
              </w:rPr>
              <w:t xml:space="preserve"> </w:t>
            </w:r>
            <w:r w:rsidRPr="0061680B">
              <w:rPr>
                <w:rFonts w:ascii="Times New Roman" w:hAnsi="Times New Roman"/>
                <w:noProof/>
                <w:sz w:val="24"/>
                <w:szCs w:val="24"/>
                <w:lang w:val="lv-LV"/>
              </w:rPr>
              <w:t>pie 350 CD4 šūnām: katru mēnesi terapiju paredzēts uzsākt 17 jauniem pacientiem, t.i., gada noslēgumā būs jauni</w:t>
            </w:r>
            <w:r w:rsidR="001914C2">
              <w:rPr>
                <w:rFonts w:ascii="Times New Roman" w:hAnsi="Times New Roman"/>
                <w:noProof/>
                <w:sz w:val="24"/>
                <w:szCs w:val="24"/>
                <w:lang w:val="lv-LV"/>
              </w:rPr>
              <w:t xml:space="preserve"> 204 pacienti.</w:t>
            </w:r>
          </w:p>
        </w:tc>
      </w:tr>
      <w:tr w:rsidR="0061680B" w:rsidRPr="00234064" w:rsidTr="00B719C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61680B" w:rsidRPr="00234064" w:rsidRDefault="0061680B" w:rsidP="00871F6C">
            <w:pPr>
              <w:jc w:val="center"/>
            </w:pPr>
            <w:r w:rsidRPr="00234064">
              <w:t>2.</w:t>
            </w:r>
          </w:p>
        </w:tc>
        <w:tc>
          <w:tcPr>
            <w:tcW w:w="1319" w:type="pct"/>
            <w:tcBorders>
              <w:top w:val="outset" w:sz="6" w:space="0" w:color="414142"/>
              <w:left w:val="outset" w:sz="6" w:space="0" w:color="414142"/>
              <w:bottom w:val="outset" w:sz="6" w:space="0" w:color="414142"/>
              <w:right w:val="outset" w:sz="6" w:space="0" w:color="414142"/>
            </w:tcBorders>
            <w:hideMark/>
          </w:tcPr>
          <w:p w:rsidR="0061680B" w:rsidRPr="00234064" w:rsidRDefault="0061680B" w:rsidP="00D07F03">
            <w:r w:rsidRPr="00234064">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rsidR="0061680B" w:rsidRPr="00234064" w:rsidRDefault="0061680B" w:rsidP="00B719CE">
            <w:pPr>
              <w:ind w:left="115" w:right="140"/>
              <w:jc w:val="both"/>
            </w:pPr>
            <w:r w:rsidRPr="00234064">
              <w:t>Noteikumu projekts šo jomu neskar.</w:t>
            </w:r>
          </w:p>
        </w:tc>
      </w:tr>
      <w:tr w:rsidR="0061680B" w:rsidRPr="00234064" w:rsidTr="00B719CE">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61680B" w:rsidRPr="00234064" w:rsidRDefault="0061680B" w:rsidP="00871F6C">
            <w:pPr>
              <w:jc w:val="center"/>
            </w:pPr>
            <w:r w:rsidRPr="00234064">
              <w:t>3.</w:t>
            </w:r>
          </w:p>
        </w:tc>
        <w:tc>
          <w:tcPr>
            <w:tcW w:w="1319" w:type="pct"/>
            <w:tcBorders>
              <w:top w:val="outset" w:sz="6" w:space="0" w:color="414142"/>
              <w:left w:val="outset" w:sz="6" w:space="0" w:color="414142"/>
              <w:bottom w:val="outset" w:sz="6" w:space="0" w:color="414142"/>
              <w:right w:val="outset" w:sz="6" w:space="0" w:color="414142"/>
            </w:tcBorders>
            <w:hideMark/>
          </w:tcPr>
          <w:p w:rsidR="0061680B" w:rsidRPr="00234064" w:rsidRDefault="0061680B" w:rsidP="00D07F03">
            <w:r w:rsidRPr="00234064">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rsidR="0061680B" w:rsidRPr="00234064" w:rsidRDefault="0061680B" w:rsidP="00B719CE">
            <w:pPr>
              <w:ind w:left="115" w:right="140"/>
              <w:jc w:val="both"/>
            </w:pPr>
            <w:r w:rsidRPr="00234064">
              <w:t>Noteikumu projekts šo jomu neskar.</w:t>
            </w:r>
          </w:p>
        </w:tc>
      </w:tr>
      <w:tr w:rsidR="0061680B" w:rsidRPr="00234064" w:rsidTr="00B719CE">
        <w:trPr>
          <w:trHeight w:val="309"/>
        </w:trPr>
        <w:tc>
          <w:tcPr>
            <w:tcW w:w="250" w:type="pct"/>
            <w:tcBorders>
              <w:top w:val="outset" w:sz="6" w:space="0" w:color="414142"/>
              <w:left w:val="outset" w:sz="6" w:space="0" w:color="414142"/>
              <w:bottom w:val="outset" w:sz="6" w:space="0" w:color="414142"/>
              <w:right w:val="outset" w:sz="6" w:space="0" w:color="414142"/>
            </w:tcBorders>
            <w:hideMark/>
          </w:tcPr>
          <w:p w:rsidR="0061680B" w:rsidRPr="00234064" w:rsidRDefault="0061680B" w:rsidP="00871F6C">
            <w:pPr>
              <w:jc w:val="center"/>
            </w:pPr>
            <w:r w:rsidRPr="00234064">
              <w:t>4.</w:t>
            </w:r>
          </w:p>
        </w:tc>
        <w:tc>
          <w:tcPr>
            <w:tcW w:w="1319" w:type="pct"/>
            <w:tcBorders>
              <w:top w:val="outset" w:sz="6" w:space="0" w:color="414142"/>
              <w:left w:val="outset" w:sz="6" w:space="0" w:color="414142"/>
              <w:bottom w:val="outset" w:sz="6" w:space="0" w:color="414142"/>
              <w:right w:val="outset" w:sz="6" w:space="0" w:color="414142"/>
            </w:tcBorders>
            <w:hideMark/>
          </w:tcPr>
          <w:p w:rsidR="0061680B" w:rsidRPr="00234064" w:rsidRDefault="0061680B" w:rsidP="00D07F03">
            <w:r w:rsidRPr="00234064">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61680B" w:rsidRPr="00234064" w:rsidRDefault="0061680B" w:rsidP="00B719CE">
            <w:pPr>
              <w:spacing w:before="100" w:beforeAutospacing="1" w:after="100" w:afterAutospacing="1" w:line="360" w:lineRule="auto"/>
              <w:ind w:left="115" w:right="140"/>
              <w:jc w:val="both"/>
            </w:pPr>
            <w:r w:rsidRPr="00234064">
              <w:t>Nav</w:t>
            </w:r>
          </w:p>
        </w:tc>
      </w:tr>
    </w:tbl>
    <w:p w:rsidR="00B719CE" w:rsidRPr="002A701C" w:rsidRDefault="00B719CE" w:rsidP="00B719CE">
      <w:pPr>
        <w:pStyle w:val="naisf"/>
        <w:spacing w:before="0" w:beforeAutospacing="0" w:after="0" w:afterAutospacing="0"/>
        <w:rPr>
          <w:noProof/>
          <w:color w:val="000000" w:themeColor="text1"/>
          <w:sz w:val="28"/>
          <w:szCs w:val="28"/>
        </w:rPr>
      </w:pPr>
    </w:p>
    <w:tbl>
      <w:tblPr>
        <w:tblStyle w:val="TableGrid"/>
        <w:tblW w:w="4970" w:type="pct"/>
        <w:tblInd w:w="57" w:type="dxa"/>
        <w:tblLayout w:type="fixed"/>
        <w:tblCellMar>
          <w:left w:w="57" w:type="dxa"/>
          <w:right w:w="57" w:type="dxa"/>
        </w:tblCellMar>
        <w:tblLook w:val="04A0"/>
      </w:tblPr>
      <w:tblGrid>
        <w:gridCol w:w="2127"/>
        <w:gridCol w:w="1711"/>
        <w:gridCol w:w="1267"/>
        <w:gridCol w:w="1350"/>
        <w:gridCol w:w="1344"/>
        <w:gridCol w:w="1331"/>
      </w:tblGrid>
      <w:tr w:rsidR="00B719CE" w:rsidRPr="0020136C" w:rsidTr="00B719CE">
        <w:trPr>
          <w:trHeight w:val="360"/>
        </w:trPr>
        <w:tc>
          <w:tcPr>
            <w:tcW w:w="9130" w:type="dxa"/>
            <w:gridSpan w:val="6"/>
            <w:hideMark/>
          </w:tcPr>
          <w:p w:rsidR="00B719CE" w:rsidRPr="0020136C" w:rsidRDefault="00B719CE" w:rsidP="00B719CE">
            <w:pPr>
              <w:spacing w:before="100" w:beforeAutospacing="1"/>
              <w:ind w:firstLine="301"/>
              <w:jc w:val="center"/>
              <w:rPr>
                <w:b/>
                <w:bCs/>
                <w:noProof/>
                <w:color w:val="000000" w:themeColor="text1"/>
                <w:lang w:bidi="gu-IN"/>
              </w:rPr>
            </w:pPr>
            <w:r w:rsidRPr="0020136C">
              <w:rPr>
                <w:b/>
                <w:bCs/>
                <w:noProof/>
                <w:color w:val="000000" w:themeColor="text1"/>
                <w:lang w:bidi="gu-IN"/>
              </w:rPr>
              <w:t>III. Tiesību akta projekta ietekme uz valsts budžetu un pašvaldību budžetiem</w:t>
            </w:r>
          </w:p>
        </w:tc>
      </w:tr>
      <w:tr w:rsidR="00B719CE" w:rsidRPr="0020136C" w:rsidTr="00B719CE">
        <w:tc>
          <w:tcPr>
            <w:tcW w:w="2127" w:type="dxa"/>
            <w:vMerge w:val="restart"/>
            <w:vAlign w:val="center"/>
            <w:hideMark/>
          </w:tcPr>
          <w:p w:rsidR="00B719CE" w:rsidRPr="0020136C" w:rsidRDefault="00B719CE" w:rsidP="00B719CE">
            <w:pPr>
              <w:ind w:firstLine="300"/>
              <w:jc w:val="center"/>
              <w:rPr>
                <w:b/>
                <w:bCs/>
                <w:noProof/>
                <w:color w:val="000000" w:themeColor="text1"/>
                <w:sz w:val="20"/>
                <w:szCs w:val="20"/>
                <w:lang w:bidi="gu-IN"/>
              </w:rPr>
            </w:pPr>
            <w:r w:rsidRPr="0020136C">
              <w:rPr>
                <w:b/>
                <w:bCs/>
                <w:noProof/>
                <w:color w:val="000000" w:themeColor="text1"/>
                <w:sz w:val="20"/>
                <w:szCs w:val="20"/>
                <w:lang w:bidi="gu-IN"/>
              </w:rPr>
              <w:t>Rādītāji</w:t>
            </w:r>
          </w:p>
        </w:tc>
        <w:tc>
          <w:tcPr>
            <w:tcW w:w="2978" w:type="dxa"/>
            <w:gridSpan w:val="2"/>
            <w:vMerge w:val="restart"/>
            <w:vAlign w:val="center"/>
            <w:hideMark/>
          </w:tcPr>
          <w:p w:rsidR="00B719CE" w:rsidRPr="0020136C" w:rsidRDefault="00B719CE" w:rsidP="00B719CE">
            <w:pPr>
              <w:ind w:firstLine="4"/>
              <w:jc w:val="center"/>
              <w:rPr>
                <w:b/>
                <w:bCs/>
                <w:noProof/>
                <w:color w:val="000000" w:themeColor="text1"/>
                <w:lang w:bidi="gu-IN"/>
              </w:rPr>
            </w:pPr>
            <w:r w:rsidRPr="0020136C">
              <w:rPr>
                <w:b/>
                <w:bCs/>
                <w:noProof/>
                <w:color w:val="000000" w:themeColor="text1"/>
                <w:lang w:bidi="gu-IN"/>
              </w:rPr>
              <w:t>2015</w:t>
            </w:r>
          </w:p>
        </w:tc>
        <w:tc>
          <w:tcPr>
            <w:tcW w:w="4025" w:type="dxa"/>
            <w:gridSpan w:val="3"/>
            <w:vAlign w:val="center"/>
            <w:hideMark/>
          </w:tcPr>
          <w:p w:rsidR="00B719CE" w:rsidRPr="0020136C" w:rsidRDefault="00B719CE" w:rsidP="00B719CE">
            <w:pPr>
              <w:jc w:val="center"/>
              <w:rPr>
                <w:noProof/>
                <w:color w:val="000000" w:themeColor="text1"/>
                <w:lang w:bidi="gu-IN"/>
              </w:rPr>
            </w:pPr>
            <w:r w:rsidRPr="0020136C">
              <w:rPr>
                <w:noProof/>
                <w:color w:val="000000" w:themeColor="text1"/>
                <w:lang w:bidi="gu-IN"/>
              </w:rPr>
              <w:t>Turpmākie trīs gadi (</w:t>
            </w:r>
            <w:r w:rsidRPr="0020136C">
              <w:rPr>
                <w:i/>
                <w:iCs/>
                <w:noProof/>
                <w:color w:val="000000" w:themeColor="text1"/>
                <w:lang w:bidi="gu-IN"/>
              </w:rPr>
              <w:t>euro</w:t>
            </w:r>
            <w:r w:rsidRPr="0020136C">
              <w:rPr>
                <w:noProof/>
                <w:color w:val="000000" w:themeColor="text1"/>
                <w:lang w:bidi="gu-IN"/>
              </w:rPr>
              <w:t>)</w:t>
            </w:r>
          </w:p>
        </w:tc>
      </w:tr>
      <w:tr w:rsidR="00B719CE" w:rsidRPr="0020136C" w:rsidTr="00B719CE">
        <w:tc>
          <w:tcPr>
            <w:tcW w:w="2127" w:type="dxa"/>
            <w:vMerge/>
            <w:hideMark/>
          </w:tcPr>
          <w:p w:rsidR="00B719CE" w:rsidRPr="0020136C" w:rsidRDefault="00B719CE" w:rsidP="00B719CE">
            <w:pPr>
              <w:rPr>
                <w:b/>
                <w:bCs/>
                <w:noProof/>
                <w:color w:val="000000" w:themeColor="text1"/>
                <w:sz w:val="20"/>
                <w:szCs w:val="20"/>
                <w:lang w:bidi="gu-IN"/>
              </w:rPr>
            </w:pPr>
          </w:p>
        </w:tc>
        <w:tc>
          <w:tcPr>
            <w:tcW w:w="2978" w:type="dxa"/>
            <w:gridSpan w:val="2"/>
            <w:vMerge/>
            <w:hideMark/>
          </w:tcPr>
          <w:p w:rsidR="00B719CE" w:rsidRPr="0020136C" w:rsidRDefault="00B719CE" w:rsidP="00B719CE">
            <w:pPr>
              <w:rPr>
                <w:b/>
                <w:bCs/>
                <w:noProof/>
                <w:color w:val="000000" w:themeColor="text1"/>
                <w:lang w:bidi="gu-IN"/>
              </w:rPr>
            </w:pPr>
          </w:p>
        </w:tc>
        <w:tc>
          <w:tcPr>
            <w:tcW w:w="1350" w:type="dxa"/>
            <w:vAlign w:val="center"/>
            <w:hideMark/>
          </w:tcPr>
          <w:p w:rsidR="00B719CE" w:rsidRPr="0020136C" w:rsidRDefault="00B719CE" w:rsidP="00B719CE">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6</w:t>
            </w:r>
          </w:p>
        </w:tc>
        <w:tc>
          <w:tcPr>
            <w:tcW w:w="1344" w:type="dxa"/>
            <w:vAlign w:val="center"/>
            <w:hideMark/>
          </w:tcPr>
          <w:p w:rsidR="00B719CE" w:rsidRPr="0020136C" w:rsidRDefault="00B719CE" w:rsidP="00B719CE">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7</w:t>
            </w:r>
          </w:p>
        </w:tc>
        <w:tc>
          <w:tcPr>
            <w:tcW w:w="1331" w:type="dxa"/>
            <w:vAlign w:val="center"/>
            <w:hideMark/>
          </w:tcPr>
          <w:p w:rsidR="00B719CE" w:rsidRPr="0020136C" w:rsidRDefault="00B719CE" w:rsidP="00B719CE">
            <w:pPr>
              <w:jc w:val="center"/>
              <w:rPr>
                <w:b/>
                <w:bCs/>
                <w:noProof/>
                <w:color w:val="000000" w:themeColor="text1"/>
                <w:lang w:bidi="gu-IN"/>
              </w:rPr>
            </w:pPr>
            <w:r w:rsidRPr="0020136C">
              <w:rPr>
                <w:b/>
                <w:bCs/>
                <w:noProof/>
                <w:color w:val="000000" w:themeColor="text1"/>
                <w:lang w:bidi="gu-IN"/>
              </w:rPr>
              <w:t>201</w:t>
            </w:r>
            <w:r>
              <w:rPr>
                <w:b/>
                <w:bCs/>
                <w:noProof/>
                <w:color w:val="000000" w:themeColor="text1"/>
                <w:lang w:bidi="gu-IN"/>
              </w:rPr>
              <w:t>8</w:t>
            </w:r>
          </w:p>
        </w:tc>
      </w:tr>
      <w:tr w:rsidR="00B719CE" w:rsidRPr="0020136C" w:rsidTr="00B719CE">
        <w:tc>
          <w:tcPr>
            <w:tcW w:w="2127" w:type="dxa"/>
            <w:vMerge/>
            <w:hideMark/>
          </w:tcPr>
          <w:p w:rsidR="00B719CE" w:rsidRPr="0020136C" w:rsidRDefault="00B719CE" w:rsidP="00B719CE">
            <w:pPr>
              <w:rPr>
                <w:b/>
                <w:bCs/>
                <w:noProof/>
                <w:color w:val="000000" w:themeColor="text1"/>
                <w:sz w:val="20"/>
                <w:szCs w:val="20"/>
                <w:lang w:bidi="gu-IN"/>
              </w:rPr>
            </w:pPr>
          </w:p>
        </w:tc>
        <w:tc>
          <w:tcPr>
            <w:tcW w:w="1711" w:type="dxa"/>
            <w:vAlign w:val="center"/>
            <w:hideMark/>
          </w:tcPr>
          <w:p w:rsidR="00B719CE" w:rsidRPr="0020136C" w:rsidRDefault="00B719CE" w:rsidP="00B719CE">
            <w:pPr>
              <w:jc w:val="center"/>
              <w:rPr>
                <w:noProof/>
                <w:color w:val="000000" w:themeColor="text1"/>
                <w:lang w:bidi="gu-IN"/>
              </w:rPr>
            </w:pPr>
            <w:r w:rsidRPr="0020136C">
              <w:rPr>
                <w:noProof/>
                <w:color w:val="000000" w:themeColor="text1"/>
                <w:lang w:bidi="gu-IN"/>
              </w:rPr>
              <w:t>saskaņā ar valsts budžetu kārtējam gadam</w:t>
            </w:r>
          </w:p>
        </w:tc>
        <w:tc>
          <w:tcPr>
            <w:tcW w:w="1267" w:type="dxa"/>
            <w:vAlign w:val="center"/>
            <w:hideMark/>
          </w:tcPr>
          <w:p w:rsidR="00B719CE" w:rsidRPr="0020136C" w:rsidRDefault="00B719CE" w:rsidP="00B719CE">
            <w:pPr>
              <w:jc w:val="center"/>
              <w:rPr>
                <w:noProof/>
                <w:color w:val="000000" w:themeColor="text1"/>
                <w:lang w:bidi="gu-IN"/>
              </w:rPr>
            </w:pPr>
            <w:r w:rsidRPr="0020136C">
              <w:rPr>
                <w:noProof/>
                <w:color w:val="000000" w:themeColor="text1"/>
                <w:lang w:bidi="gu-IN"/>
              </w:rPr>
              <w:t>izmaiņas kārtējā gadā, salīdzinot ar valsts budžetu kārtējam gadam</w:t>
            </w:r>
          </w:p>
        </w:tc>
        <w:tc>
          <w:tcPr>
            <w:tcW w:w="1350" w:type="dxa"/>
            <w:vAlign w:val="center"/>
            <w:hideMark/>
          </w:tcPr>
          <w:p w:rsidR="00B719CE" w:rsidRPr="0020136C" w:rsidRDefault="00B719CE" w:rsidP="00B719CE">
            <w:pPr>
              <w:jc w:val="center"/>
              <w:rPr>
                <w:noProof/>
                <w:color w:val="000000" w:themeColor="text1"/>
                <w:lang w:bidi="gu-IN"/>
              </w:rPr>
            </w:pPr>
            <w:r w:rsidRPr="0020136C">
              <w:rPr>
                <w:noProof/>
                <w:color w:val="000000" w:themeColor="text1"/>
                <w:lang w:bidi="gu-IN"/>
              </w:rPr>
              <w:t>izmaiņas, salīdzinot ar kārtējo (n) gadu</w:t>
            </w:r>
          </w:p>
        </w:tc>
        <w:tc>
          <w:tcPr>
            <w:tcW w:w="1344" w:type="dxa"/>
            <w:vAlign w:val="center"/>
            <w:hideMark/>
          </w:tcPr>
          <w:p w:rsidR="00B719CE" w:rsidRPr="0020136C" w:rsidRDefault="00B719CE" w:rsidP="00B719CE">
            <w:pPr>
              <w:jc w:val="center"/>
              <w:rPr>
                <w:noProof/>
                <w:color w:val="000000" w:themeColor="text1"/>
                <w:lang w:bidi="gu-IN"/>
              </w:rPr>
            </w:pPr>
            <w:r w:rsidRPr="0020136C">
              <w:rPr>
                <w:noProof/>
                <w:color w:val="000000" w:themeColor="text1"/>
                <w:lang w:bidi="gu-IN"/>
              </w:rPr>
              <w:t>izmaiņas, salīdzinot ar kārtējo (n) gadu</w:t>
            </w:r>
          </w:p>
        </w:tc>
        <w:tc>
          <w:tcPr>
            <w:tcW w:w="1331" w:type="dxa"/>
            <w:vAlign w:val="center"/>
            <w:hideMark/>
          </w:tcPr>
          <w:p w:rsidR="00B719CE" w:rsidRPr="0020136C" w:rsidRDefault="00B719CE" w:rsidP="00B719CE">
            <w:pPr>
              <w:jc w:val="center"/>
              <w:rPr>
                <w:noProof/>
                <w:color w:val="000000" w:themeColor="text1"/>
                <w:lang w:bidi="gu-IN"/>
              </w:rPr>
            </w:pPr>
            <w:r w:rsidRPr="0020136C">
              <w:rPr>
                <w:noProof/>
                <w:color w:val="000000" w:themeColor="text1"/>
                <w:lang w:bidi="gu-IN"/>
              </w:rPr>
              <w:t>izmaiņas, salīdzinot ar kārtējo (n)</w:t>
            </w:r>
          </w:p>
          <w:p w:rsidR="00B719CE" w:rsidRPr="0020136C" w:rsidRDefault="00B719CE" w:rsidP="00B719CE">
            <w:pPr>
              <w:jc w:val="center"/>
              <w:rPr>
                <w:noProof/>
                <w:color w:val="000000" w:themeColor="text1"/>
                <w:lang w:bidi="gu-IN"/>
              </w:rPr>
            </w:pPr>
            <w:r w:rsidRPr="0020136C">
              <w:rPr>
                <w:noProof/>
                <w:color w:val="000000" w:themeColor="text1"/>
                <w:lang w:bidi="gu-IN"/>
              </w:rPr>
              <w:t>gadu</w:t>
            </w:r>
          </w:p>
        </w:tc>
      </w:tr>
      <w:tr w:rsidR="00B719CE" w:rsidRPr="0020136C" w:rsidTr="00B719CE">
        <w:trPr>
          <w:trHeight w:val="170"/>
        </w:trPr>
        <w:tc>
          <w:tcPr>
            <w:tcW w:w="2127" w:type="dxa"/>
            <w:hideMark/>
          </w:tcPr>
          <w:p w:rsidR="00B719CE" w:rsidRPr="0020136C" w:rsidRDefault="00B719CE" w:rsidP="00B719CE">
            <w:pPr>
              <w:jc w:val="center"/>
              <w:rPr>
                <w:noProof/>
                <w:color w:val="000000" w:themeColor="text1"/>
                <w:sz w:val="20"/>
                <w:szCs w:val="20"/>
                <w:lang w:bidi="gu-IN"/>
              </w:rPr>
            </w:pPr>
            <w:r w:rsidRPr="0020136C">
              <w:rPr>
                <w:noProof/>
                <w:color w:val="000000" w:themeColor="text1"/>
                <w:sz w:val="20"/>
                <w:szCs w:val="20"/>
                <w:lang w:bidi="gu-IN"/>
              </w:rPr>
              <w:t>1</w:t>
            </w:r>
          </w:p>
        </w:tc>
        <w:tc>
          <w:tcPr>
            <w:tcW w:w="1711" w:type="dxa"/>
            <w:hideMark/>
          </w:tcPr>
          <w:p w:rsidR="00B719CE" w:rsidRPr="0020136C" w:rsidRDefault="00B719CE" w:rsidP="00B719CE">
            <w:pPr>
              <w:jc w:val="center"/>
              <w:rPr>
                <w:noProof/>
                <w:color w:val="000000" w:themeColor="text1"/>
                <w:sz w:val="20"/>
                <w:szCs w:val="20"/>
                <w:lang w:bidi="gu-IN"/>
              </w:rPr>
            </w:pPr>
            <w:r w:rsidRPr="0020136C">
              <w:rPr>
                <w:noProof/>
                <w:color w:val="000000" w:themeColor="text1"/>
                <w:sz w:val="20"/>
                <w:szCs w:val="20"/>
                <w:lang w:bidi="gu-IN"/>
              </w:rPr>
              <w:t>2</w:t>
            </w:r>
          </w:p>
        </w:tc>
        <w:tc>
          <w:tcPr>
            <w:tcW w:w="1267" w:type="dxa"/>
            <w:hideMark/>
          </w:tcPr>
          <w:p w:rsidR="00B719CE" w:rsidRPr="0020136C" w:rsidRDefault="00B719CE" w:rsidP="00B719CE">
            <w:pPr>
              <w:jc w:val="center"/>
              <w:rPr>
                <w:noProof/>
                <w:color w:val="000000" w:themeColor="text1"/>
                <w:sz w:val="20"/>
                <w:szCs w:val="20"/>
                <w:lang w:bidi="gu-IN"/>
              </w:rPr>
            </w:pPr>
            <w:r w:rsidRPr="0020136C">
              <w:rPr>
                <w:noProof/>
                <w:color w:val="000000" w:themeColor="text1"/>
                <w:sz w:val="20"/>
                <w:szCs w:val="20"/>
                <w:lang w:bidi="gu-IN"/>
              </w:rPr>
              <w:t>3</w:t>
            </w:r>
          </w:p>
        </w:tc>
        <w:tc>
          <w:tcPr>
            <w:tcW w:w="1350" w:type="dxa"/>
            <w:hideMark/>
          </w:tcPr>
          <w:p w:rsidR="00B719CE" w:rsidRPr="0020136C" w:rsidRDefault="00B719CE" w:rsidP="00B719CE">
            <w:pPr>
              <w:jc w:val="center"/>
              <w:rPr>
                <w:noProof/>
                <w:color w:val="000000" w:themeColor="text1"/>
                <w:sz w:val="20"/>
                <w:szCs w:val="20"/>
                <w:lang w:bidi="gu-IN"/>
              </w:rPr>
            </w:pPr>
            <w:r w:rsidRPr="0020136C">
              <w:rPr>
                <w:noProof/>
                <w:color w:val="000000" w:themeColor="text1"/>
                <w:sz w:val="20"/>
                <w:szCs w:val="20"/>
                <w:lang w:bidi="gu-IN"/>
              </w:rPr>
              <w:t>4</w:t>
            </w:r>
          </w:p>
        </w:tc>
        <w:tc>
          <w:tcPr>
            <w:tcW w:w="1344" w:type="dxa"/>
            <w:hideMark/>
          </w:tcPr>
          <w:p w:rsidR="00B719CE" w:rsidRPr="0020136C" w:rsidRDefault="00B719CE" w:rsidP="00B719CE">
            <w:pPr>
              <w:jc w:val="center"/>
              <w:rPr>
                <w:noProof/>
                <w:color w:val="000000" w:themeColor="text1"/>
                <w:sz w:val="20"/>
                <w:szCs w:val="20"/>
                <w:lang w:bidi="gu-IN"/>
              </w:rPr>
            </w:pPr>
            <w:r w:rsidRPr="0020136C">
              <w:rPr>
                <w:noProof/>
                <w:color w:val="000000" w:themeColor="text1"/>
                <w:sz w:val="20"/>
                <w:szCs w:val="20"/>
                <w:lang w:bidi="gu-IN"/>
              </w:rPr>
              <w:t>5</w:t>
            </w:r>
          </w:p>
        </w:tc>
        <w:tc>
          <w:tcPr>
            <w:tcW w:w="1331" w:type="dxa"/>
            <w:hideMark/>
          </w:tcPr>
          <w:p w:rsidR="00B719CE" w:rsidRPr="0020136C" w:rsidRDefault="00B719CE" w:rsidP="00B719CE">
            <w:pPr>
              <w:jc w:val="center"/>
              <w:rPr>
                <w:noProof/>
                <w:color w:val="000000" w:themeColor="text1"/>
                <w:sz w:val="20"/>
                <w:szCs w:val="20"/>
                <w:lang w:bidi="gu-IN"/>
              </w:rPr>
            </w:pPr>
            <w:r w:rsidRPr="0020136C">
              <w:rPr>
                <w:noProof/>
                <w:color w:val="000000" w:themeColor="text1"/>
                <w:sz w:val="20"/>
                <w:szCs w:val="20"/>
                <w:lang w:bidi="gu-IN"/>
              </w:rPr>
              <w:t>6</w:t>
            </w:r>
          </w:p>
        </w:tc>
      </w:tr>
      <w:tr w:rsidR="00B719CE" w:rsidRPr="0020136C" w:rsidTr="00B719CE">
        <w:tc>
          <w:tcPr>
            <w:tcW w:w="2127" w:type="dxa"/>
            <w:hideMark/>
          </w:tcPr>
          <w:p w:rsidR="00B719CE" w:rsidRPr="0020136C" w:rsidRDefault="00B719CE" w:rsidP="00B719CE">
            <w:pPr>
              <w:rPr>
                <w:b/>
                <w:bCs/>
                <w:noProof/>
                <w:color w:val="000000" w:themeColor="text1"/>
                <w:lang w:bidi="gu-IN"/>
              </w:rPr>
            </w:pPr>
            <w:r w:rsidRPr="0020136C">
              <w:rPr>
                <w:b/>
                <w:bCs/>
                <w:noProof/>
                <w:color w:val="000000" w:themeColor="text1"/>
                <w:lang w:bidi="gu-IN"/>
              </w:rPr>
              <w:t>1. Budžeta ieņēmumi:</w:t>
            </w:r>
          </w:p>
        </w:tc>
        <w:tc>
          <w:tcPr>
            <w:tcW w:w="1711" w:type="dxa"/>
            <w:vAlign w:val="center"/>
            <w:hideMark/>
          </w:tcPr>
          <w:p w:rsidR="00B719CE" w:rsidRPr="0020136C" w:rsidRDefault="00B719CE" w:rsidP="00B719CE">
            <w:pPr>
              <w:jc w:val="center"/>
              <w:rPr>
                <w:b/>
                <w:bCs/>
                <w:noProof/>
                <w:lang w:bidi="gu-IN"/>
              </w:rPr>
            </w:pPr>
            <w:r>
              <w:rPr>
                <w:b/>
                <w:bCs/>
                <w:noProof/>
                <w:lang w:bidi="gu-IN"/>
              </w:rPr>
              <w:t>120 827 024</w:t>
            </w:r>
          </w:p>
        </w:tc>
        <w:tc>
          <w:tcPr>
            <w:tcW w:w="1267" w:type="dxa"/>
            <w:vAlign w:val="center"/>
            <w:hideMark/>
          </w:tcPr>
          <w:p w:rsidR="00B719CE" w:rsidRPr="0020136C" w:rsidRDefault="00B719CE" w:rsidP="00B719CE">
            <w:pPr>
              <w:jc w:val="center"/>
              <w:rPr>
                <w:b/>
                <w:bCs/>
                <w:noProof/>
                <w:color w:val="000000" w:themeColor="text1"/>
              </w:rPr>
            </w:pPr>
            <w:r>
              <w:rPr>
                <w:b/>
                <w:bCs/>
                <w:noProof/>
                <w:color w:val="000000" w:themeColor="text1"/>
              </w:rPr>
              <w:t>0</w:t>
            </w:r>
          </w:p>
        </w:tc>
        <w:tc>
          <w:tcPr>
            <w:tcW w:w="1350" w:type="dxa"/>
            <w:vAlign w:val="center"/>
            <w:hideMark/>
          </w:tcPr>
          <w:p w:rsidR="00B719CE" w:rsidRPr="0020136C" w:rsidRDefault="002A701C" w:rsidP="00B719CE">
            <w:pPr>
              <w:jc w:val="center"/>
              <w:rPr>
                <w:b/>
                <w:bCs/>
                <w:noProof/>
                <w:color w:val="000000" w:themeColor="text1"/>
              </w:rPr>
            </w:pPr>
            <w:r>
              <w:rPr>
                <w:b/>
                <w:bCs/>
                <w:noProof/>
                <w:color w:val="000000" w:themeColor="text1"/>
              </w:rPr>
              <w:t>3 960 143</w:t>
            </w:r>
          </w:p>
        </w:tc>
        <w:tc>
          <w:tcPr>
            <w:tcW w:w="1344" w:type="dxa"/>
            <w:vAlign w:val="center"/>
            <w:hideMark/>
          </w:tcPr>
          <w:p w:rsidR="00B719CE" w:rsidRPr="0020136C" w:rsidRDefault="002A701C" w:rsidP="00B719CE">
            <w:pPr>
              <w:jc w:val="center"/>
              <w:rPr>
                <w:b/>
                <w:bCs/>
                <w:noProof/>
                <w:color w:val="000000" w:themeColor="text1"/>
              </w:rPr>
            </w:pPr>
            <w:r>
              <w:rPr>
                <w:b/>
                <w:bCs/>
                <w:noProof/>
                <w:color w:val="000000" w:themeColor="text1"/>
              </w:rPr>
              <w:t>1 694 225</w:t>
            </w:r>
          </w:p>
        </w:tc>
        <w:tc>
          <w:tcPr>
            <w:tcW w:w="1331" w:type="dxa"/>
            <w:vAlign w:val="center"/>
            <w:hideMark/>
          </w:tcPr>
          <w:p w:rsidR="00B719CE" w:rsidRPr="0020136C" w:rsidRDefault="002A701C" w:rsidP="00B719CE">
            <w:pPr>
              <w:jc w:val="center"/>
              <w:rPr>
                <w:b/>
                <w:bCs/>
                <w:noProof/>
                <w:color w:val="000000" w:themeColor="text1"/>
              </w:rPr>
            </w:pPr>
            <w:r>
              <w:rPr>
                <w:b/>
                <w:bCs/>
                <w:noProof/>
                <w:color w:val="000000" w:themeColor="text1"/>
              </w:rPr>
              <w:t>1 456 362</w:t>
            </w:r>
          </w:p>
        </w:tc>
      </w:tr>
      <w:tr w:rsidR="002A701C" w:rsidRPr="0020136C" w:rsidTr="00B719CE">
        <w:tc>
          <w:tcPr>
            <w:tcW w:w="2127" w:type="dxa"/>
            <w:hideMark/>
          </w:tcPr>
          <w:p w:rsidR="002A701C" w:rsidRPr="0020136C" w:rsidRDefault="002A701C" w:rsidP="00B719CE">
            <w:pPr>
              <w:rPr>
                <w:noProof/>
                <w:color w:val="000000" w:themeColor="text1"/>
                <w:lang w:bidi="gu-IN"/>
              </w:rPr>
            </w:pPr>
            <w:r w:rsidRPr="0020136C">
              <w:rPr>
                <w:noProof/>
                <w:color w:val="000000" w:themeColor="text1"/>
                <w:lang w:bidi="gu-IN"/>
              </w:rPr>
              <w:t>1.1. valsts pamatbudžets, tai skaitā ieņēmumi no maksas pakalpojumiem un citi pašu ieņēmumi</w:t>
            </w:r>
          </w:p>
        </w:tc>
        <w:tc>
          <w:tcPr>
            <w:tcW w:w="1711" w:type="dxa"/>
            <w:vAlign w:val="center"/>
            <w:hideMark/>
          </w:tcPr>
          <w:p w:rsidR="002A701C" w:rsidRDefault="002A701C" w:rsidP="00B719CE">
            <w:pPr>
              <w:jc w:val="center"/>
              <w:rPr>
                <w:noProof/>
                <w:lang w:bidi="gu-IN"/>
              </w:rPr>
            </w:pPr>
            <w:r>
              <w:rPr>
                <w:noProof/>
                <w:lang w:bidi="gu-IN"/>
              </w:rPr>
              <w:t>120 827 024</w:t>
            </w:r>
          </w:p>
          <w:p w:rsidR="002A701C" w:rsidRPr="0020136C" w:rsidRDefault="002A701C" w:rsidP="00B719CE">
            <w:pPr>
              <w:jc w:val="center"/>
              <w:rPr>
                <w:noProof/>
                <w:lang w:bidi="gu-IN"/>
              </w:rPr>
            </w:pPr>
            <w:r>
              <w:rPr>
                <w:noProof/>
                <w:lang w:bidi="gu-IN"/>
              </w:rPr>
              <w:t>2 322 109</w:t>
            </w:r>
          </w:p>
        </w:tc>
        <w:tc>
          <w:tcPr>
            <w:tcW w:w="1267" w:type="dxa"/>
            <w:vAlign w:val="center"/>
            <w:hideMark/>
          </w:tcPr>
          <w:p w:rsidR="002A701C" w:rsidRPr="0020136C" w:rsidRDefault="002A701C" w:rsidP="00B719CE">
            <w:pPr>
              <w:jc w:val="center"/>
              <w:rPr>
                <w:noProof/>
                <w:color w:val="000000" w:themeColor="text1"/>
              </w:rPr>
            </w:pPr>
            <w:r>
              <w:rPr>
                <w:noProof/>
                <w:color w:val="000000" w:themeColor="text1"/>
              </w:rPr>
              <w:t>0</w:t>
            </w:r>
          </w:p>
        </w:tc>
        <w:tc>
          <w:tcPr>
            <w:tcW w:w="1350" w:type="dxa"/>
            <w:vAlign w:val="center"/>
            <w:hideMark/>
          </w:tcPr>
          <w:p w:rsidR="002A701C" w:rsidRPr="002A701C" w:rsidRDefault="002A701C" w:rsidP="002A701C">
            <w:pPr>
              <w:jc w:val="center"/>
              <w:rPr>
                <w:bCs/>
                <w:noProof/>
                <w:color w:val="000000" w:themeColor="text1"/>
              </w:rPr>
            </w:pPr>
            <w:r w:rsidRPr="002A701C">
              <w:rPr>
                <w:bCs/>
                <w:noProof/>
                <w:color w:val="000000" w:themeColor="text1"/>
              </w:rPr>
              <w:t>3 960 143</w:t>
            </w:r>
          </w:p>
        </w:tc>
        <w:tc>
          <w:tcPr>
            <w:tcW w:w="1344" w:type="dxa"/>
            <w:vAlign w:val="center"/>
            <w:hideMark/>
          </w:tcPr>
          <w:p w:rsidR="002A701C" w:rsidRPr="002A701C" w:rsidRDefault="002A701C" w:rsidP="002A701C">
            <w:pPr>
              <w:jc w:val="center"/>
              <w:rPr>
                <w:bCs/>
                <w:noProof/>
                <w:color w:val="000000" w:themeColor="text1"/>
              </w:rPr>
            </w:pPr>
            <w:r w:rsidRPr="002A701C">
              <w:rPr>
                <w:bCs/>
                <w:noProof/>
                <w:color w:val="000000" w:themeColor="text1"/>
              </w:rPr>
              <w:t>1 694 225</w:t>
            </w:r>
          </w:p>
        </w:tc>
        <w:tc>
          <w:tcPr>
            <w:tcW w:w="1331" w:type="dxa"/>
            <w:vAlign w:val="center"/>
            <w:hideMark/>
          </w:tcPr>
          <w:p w:rsidR="002A701C" w:rsidRPr="002A701C" w:rsidRDefault="002A701C" w:rsidP="002A701C">
            <w:pPr>
              <w:jc w:val="center"/>
              <w:rPr>
                <w:bCs/>
                <w:noProof/>
                <w:color w:val="000000" w:themeColor="text1"/>
              </w:rPr>
            </w:pPr>
            <w:r w:rsidRPr="002A701C">
              <w:rPr>
                <w:bCs/>
                <w:noProof/>
                <w:color w:val="000000" w:themeColor="text1"/>
              </w:rPr>
              <w:t>1 456 362</w:t>
            </w:r>
          </w:p>
        </w:tc>
      </w:tr>
      <w:tr w:rsidR="00B719CE" w:rsidRPr="0020136C" w:rsidTr="00B719CE">
        <w:trPr>
          <w:trHeight w:val="291"/>
        </w:trPr>
        <w:tc>
          <w:tcPr>
            <w:tcW w:w="2127" w:type="dxa"/>
            <w:hideMark/>
          </w:tcPr>
          <w:p w:rsidR="00B719CE" w:rsidRPr="0020136C" w:rsidRDefault="00B719CE" w:rsidP="00B719CE">
            <w:pPr>
              <w:rPr>
                <w:noProof/>
                <w:color w:val="000000" w:themeColor="text1"/>
                <w:lang w:bidi="gu-IN"/>
              </w:rPr>
            </w:pPr>
            <w:r>
              <w:rPr>
                <w:noProof/>
                <w:color w:val="000000" w:themeColor="text1"/>
                <w:lang w:bidi="gu-IN"/>
              </w:rPr>
              <w:t>1</w:t>
            </w:r>
            <w:r w:rsidRPr="0020136C">
              <w:rPr>
                <w:noProof/>
                <w:color w:val="000000" w:themeColor="text1"/>
                <w:lang w:bidi="gu-IN"/>
              </w:rPr>
              <w:t>.2. speciālais budžets</w:t>
            </w:r>
          </w:p>
        </w:tc>
        <w:tc>
          <w:tcPr>
            <w:tcW w:w="171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267"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50"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44"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3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r>
      <w:tr w:rsidR="00B719CE" w:rsidRPr="0020136C" w:rsidTr="00B719CE">
        <w:trPr>
          <w:trHeight w:val="291"/>
        </w:trPr>
        <w:tc>
          <w:tcPr>
            <w:tcW w:w="2127" w:type="dxa"/>
            <w:hideMark/>
          </w:tcPr>
          <w:p w:rsidR="00B719CE" w:rsidRPr="0020136C" w:rsidRDefault="00B719CE" w:rsidP="00B719CE">
            <w:pPr>
              <w:rPr>
                <w:noProof/>
                <w:color w:val="000000" w:themeColor="text1"/>
                <w:lang w:bidi="gu-IN"/>
              </w:rPr>
            </w:pPr>
            <w:r>
              <w:rPr>
                <w:noProof/>
                <w:color w:val="000000" w:themeColor="text1"/>
                <w:lang w:bidi="gu-IN"/>
              </w:rPr>
              <w:t>1.3. pašvaldību budžets</w:t>
            </w:r>
          </w:p>
        </w:tc>
        <w:tc>
          <w:tcPr>
            <w:tcW w:w="171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267"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50"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44"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3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r>
      <w:tr w:rsidR="00B719CE" w:rsidRPr="0020136C" w:rsidTr="00B719CE">
        <w:tc>
          <w:tcPr>
            <w:tcW w:w="2127" w:type="dxa"/>
            <w:hideMark/>
          </w:tcPr>
          <w:p w:rsidR="00B719CE" w:rsidRPr="0020136C" w:rsidRDefault="00B719CE" w:rsidP="00B719CE">
            <w:pPr>
              <w:rPr>
                <w:b/>
                <w:bCs/>
                <w:noProof/>
                <w:color w:val="000000" w:themeColor="text1"/>
                <w:lang w:bidi="gu-IN"/>
              </w:rPr>
            </w:pPr>
          </w:p>
        </w:tc>
        <w:tc>
          <w:tcPr>
            <w:tcW w:w="1711" w:type="dxa"/>
            <w:vAlign w:val="center"/>
            <w:hideMark/>
          </w:tcPr>
          <w:p w:rsidR="00B719CE" w:rsidRPr="0020136C" w:rsidRDefault="00B719CE" w:rsidP="00B719CE">
            <w:pPr>
              <w:jc w:val="center"/>
              <w:rPr>
                <w:b/>
                <w:bCs/>
                <w:noProof/>
                <w:lang w:bidi="gu-IN"/>
              </w:rPr>
            </w:pPr>
          </w:p>
        </w:tc>
        <w:tc>
          <w:tcPr>
            <w:tcW w:w="1267" w:type="dxa"/>
            <w:vAlign w:val="center"/>
            <w:hideMark/>
          </w:tcPr>
          <w:p w:rsidR="00B719CE" w:rsidRPr="00715F0F" w:rsidRDefault="00B719CE" w:rsidP="00B719CE">
            <w:pPr>
              <w:jc w:val="center"/>
              <w:rPr>
                <w:b/>
                <w:noProof/>
              </w:rPr>
            </w:pPr>
          </w:p>
        </w:tc>
        <w:tc>
          <w:tcPr>
            <w:tcW w:w="1350" w:type="dxa"/>
            <w:vAlign w:val="center"/>
            <w:hideMark/>
          </w:tcPr>
          <w:p w:rsidR="00B719CE" w:rsidRPr="0020136C" w:rsidRDefault="00B719CE" w:rsidP="00B719CE">
            <w:pPr>
              <w:jc w:val="center"/>
              <w:rPr>
                <w:b/>
                <w:bCs/>
                <w:noProof/>
                <w:color w:val="000000" w:themeColor="text1"/>
                <w:lang w:bidi="gu-IN"/>
              </w:rPr>
            </w:pPr>
          </w:p>
        </w:tc>
        <w:tc>
          <w:tcPr>
            <w:tcW w:w="1344" w:type="dxa"/>
            <w:vAlign w:val="center"/>
            <w:hideMark/>
          </w:tcPr>
          <w:p w:rsidR="00B719CE" w:rsidRPr="0020136C" w:rsidRDefault="00B719CE" w:rsidP="00B719CE">
            <w:pPr>
              <w:jc w:val="center"/>
              <w:rPr>
                <w:b/>
                <w:bCs/>
                <w:noProof/>
                <w:color w:val="000000" w:themeColor="text1"/>
                <w:lang w:bidi="gu-IN"/>
              </w:rPr>
            </w:pPr>
          </w:p>
        </w:tc>
        <w:tc>
          <w:tcPr>
            <w:tcW w:w="1331" w:type="dxa"/>
            <w:vAlign w:val="center"/>
            <w:hideMark/>
          </w:tcPr>
          <w:p w:rsidR="00B719CE" w:rsidRPr="0020136C" w:rsidRDefault="00B719CE" w:rsidP="00B719CE">
            <w:pPr>
              <w:jc w:val="center"/>
              <w:rPr>
                <w:b/>
                <w:bCs/>
                <w:noProof/>
                <w:color w:val="000000" w:themeColor="text1"/>
                <w:lang w:bidi="gu-IN"/>
              </w:rPr>
            </w:pPr>
          </w:p>
        </w:tc>
      </w:tr>
      <w:tr w:rsidR="00B719CE" w:rsidRPr="0020136C" w:rsidTr="00B719CE">
        <w:tc>
          <w:tcPr>
            <w:tcW w:w="2127" w:type="dxa"/>
            <w:hideMark/>
          </w:tcPr>
          <w:p w:rsidR="00B719CE" w:rsidRPr="0020136C" w:rsidRDefault="00B719CE" w:rsidP="00B719CE">
            <w:pPr>
              <w:rPr>
                <w:b/>
                <w:bCs/>
                <w:noProof/>
                <w:color w:val="000000" w:themeColor="text1"/>
                <w:lang w:bidi="gu-IN"/>
              </w:rPr>
            </w:pPr>
            <w:r w:rsidRPr="0020136C">
              <w:rPr>
                <w:b/>
                <w:bCs/>
                <w:noProof/>
                <w:color w:val="000000" w:themeColor="text1"/>
                <w:lang w:bidi="gu-IN"/>
              </w:rPr>
              <w:t>2. Budžeta izdevumi:</w:t>
            </w:r>
          </w:p>
        </w:tc>
        <w:tc>
          <w:tcPr>
            <w:tcW w:w="1711" w:type="dxa"/>
            <w:vAlign w:val="center"/>
            <w:hideMark/>
          </w:tcPr>
          <w:p w:rsidR="00B719CE" w:rsidRPr="0020136C" w:rsidRDefault="00B719CE" w:rsidP="00B719CE">
            <w:pPr>
              <w:jc w:val="center"/>
              <w:rPr>
                <w:b/>
                <w:bCs/>
                <w:noProof/>
                <w:color w:val="FF0000"/>
                <w:lang w:bidi="gu-IN"/>
              </w:rPr>
            </w:pPr>
            <w:r>
              <w:rPr>
                <w:b/>
                <w:bCs/>
                <w:noProof/>
                <w:lang w:bidi="gu-IN"/>
              </w:rPr>
              <w:t>120 938 958</w:t>
            </w:r>
          </w:p>
        </w:tc>
        <w:tc>
          <w:tcPr>
            <w:tcW w:w="1267" w:type="dxa"/>
            <w:vAlign w:val="center"/>
            <w:hideMark/>
          </w:tcPr>
          <w:p w:rsidR="00B719CE" w:rsidRPr="0020136C" w:rsidRDefault="00B719CE" w:rsidP="00B719CE">
            <w:pPr>
              <w:jc w:val="center"/>
              <w:rPr>
                <w:b/>
                <w:bCs/>
                <w:noProof/>
                <w:color w:val="000000" w:themeColor="text1"/>
              </w:rPr>
            </w:pPr>
            <w:r>
              <w:rPr>
                <w:b/>
                <w:bCs/>
                <w:noProof/>
                <w:color w:val="000000" w:themeColor="text1"/>
              </w:rPr>
              <w:t>0</w:t>
            </w:r>
          </w:p>
        </w:tc>
        <w:tc>
          <w:tcPr>
            <w:tcW w:w="1350" w:type="dxa"/>
            <w:vAlign w:val="center"/>
            <w:hideMark/>
          </w:tcPr>
          <w:p w:rsidR="00B719CE" w:rsidRPr="0020136C" w:rsidRDefault="002A701C" w:rsidP="00B719CE">
            <w:pPr>
              <w:jc w:val="center"/>
              <w:rPr>
                <w:b/>
                <w:bCs/>
                <w:noProof/>
                <w:color w:val="000000" w:themeColor="text1"/>
              </w:rPr>
            </w:pPr>
            <w:r>
              <w:rPr>
                <w:b/>
                <w:bCs/>
                <w:noProof/>
                <w:color w:val="000000" w:themeColor="text1"/>
              </w:rPr>
              <w:t>3 848 209</w:t>
            </w:r>
          </w:p>
        </w:tc>
        <w:tc>
          <w:tcPr>
            <w:tcW w:w="1344" w:type="dxa"/>
            <w:vAlign w:val="center"/>
            <w:hideMark/>
          </w:tcPr>
          <w:p w:rsidR="00B719CE" w:rsidRPr="0020136C" w:rsidRDefault="002A701C" w:rsidP="00B719CE">
            <w:pPr>
              <w:jc w:val="center"/>
              <w:rPr>
                <w:b/>
                <w:bCs/>
                <w:noProof/>
                <w:color w:val="000000" w:themeColor="text1"/>
              </w:rPr>
            </w:pPr>
            <w:r>
              <w:rPr>
                <w:b/>
                <w:bCs/>
                <w:noProof/>
                <w:color w:val="000000" w:themeColor="text1"/>
              </w:rPr>
              <w:t>1 582 291</w:t>
            </w:r>
          </w:p>
        </w:tc>
        <w:tc>
          <w:tcPr>
            <w:tcW w:w="1331" w:type="dxa"/>
            <w:vAlign w:val="center"/>
            <w:hideMark/>
          </w:tcPr>
          <w:p w:rsidR="00B719CE" w:rsidRPr="0020136C" w:rsidRDefault="002A701C" w:rsidP="00B719CE">
            <w:pPr>
              <w:jc w:val="center"/>
              <w:rPr>
                <w:b/>
                <w:bCs/>
                <w:noProof/>
                <w:color w:val="000000" w:themeColor="text1"/>
              </w:rPr>
            </w:pPr>
            <w:r>
              <w:rPr>
                <w:b/>
                <w:bCs/>
                <w:noProof/>
                <w:color w:val="000000" w:themeColor="text1"/>
              </w:rPr>
              <w:t>1 344 428</w:t>
            </w:r>
          </w:p>
        </w:tc>
      </w:tr>
      <w:tr w:rsidR="002A701C" w:rsidRPr="0020136C" w:rsidTr="00B719CE">
        <w:tc>
          <w:tcPr>
            <w:tcW w:w="2127" w:type="dxa"/>
            <w:hideMark/>
          </w:tcPr>
          <w:p w:rsidR="002A701C" w:rsidRPr="0020136C" w:rsidRDefault="002A701C" w:rsidP="00B719CE">
            <w:pPr>
              <w:rPr>
                <w:noProof/>
                <w:color w:val="000000" w:themeColor="text1"/>
                <w:lang w:bidi="gu-IN"/>
              </w:rPr>
            </w:pPr>
            <w:r w:rsidRPr="0020136C">
              <w:rPr>
                <w:noProof/>
                <w:color w:val="000000" w:themeColor="text1"/>
                <w:lang w:bidi="gu-IN"/>
              </w:rPr>
              <w:lastRenderedPageBreak/>
              <w:t>2.1. valsts pamatbudžets</w:t>
            </w:r>
          </w:p>
        </w:tc>
        <w:tc>
          <w:tcPr>
            <w:tcW w:w="1711" w:type="dxa"/>
            <w:vAlign w:val="center"/>
            <w:hideMark/>
          </w:tcPr>
          <w:p w:rsidR="002A701C" w:rsidRPr="0020136C" w:rsidRDefault="002A701C" w:rsidP="00B719CE">
            <w:pPr>
              <w:jc w:val="center"/>
              <w:rPr>
                <w:noProof/>
                <w:color w:val="FF0000"/>
                <w:lang w:bidi="gu-IN"/>
              </w:rPr>
            </w:pPr>
            <w:r>
              <w:rPr>
                <w:bCs/>
                <w:noProof/>
                <w:lang w:bidi="gu-IN"/>
              </w:rPr>
              <w:t>120 938 958</w:t>
            </w:r>
          </w:p>
        </w:tc>
        <w:tc>
          <w:tcPr>
            <w:tcW w:w="1267" w:type="dxa"/>
            <w:vAlign w:val="center"/>
            <w:hideMark/>
          </w:tcPr>
          <w:p w:rsidR="002A701C" w:rsidRPr="0020136C" w:rsidRDefault="002A701C" w:rsidP="00B719CE">
            <w:pPr>
              <w:jc w:val="center"/>
              <w:rPr>
                <w:noProof/>
                <w:color w:val="000000" w:themeColor="text1"/>
              </w:rPr>
            </w:pPr>
            <w:r>
              <w:rPr>
                <w:noProof/>
                <w:color w:val="000000" w:themeColor="text1"/>
              </w:rPr>
              <w:t>0</w:t>
            </w:r>
          </w:p>
        </w:tc>
        <w:tc>
          <w:tcPr>
            <w:tcW w:w="1350" w:type="dxa"/>
            <w:vAlign w:val="center"/>
            <w:hideMark/>
          </w:tcPr>
          <w:p w:rsidR="002A701C" w:rsidRPr="002A701C" w:rsidRDefault="002A701C" w:rsidP="002A701C">
            <w:pPr>
              <w:jc w:val="center"/>
              <w:rPr>
                <w:bCs/>
                <w:noProof/>
                <w:color w:val="000000" w:themeColor="text1"/>
              </w:rPr>
            </w:pPr>
            <w:r w:rsidRPr="002A701C">
              <w:rPr>
                <w:bCs/>
                <w:noProof/>
                <w:color w:val="000000" w:themeColor="text1"/>
              </w:rPr>
              <w:t>3 848 209</w:t>
            </w:r>
          </w:p>
        </w:tc>
        <w:tc>
          <w:tcPr>
            <w:tcW w:w="1344" w:type="dxa"/>
            <w:vAlign w:val="center"/>
            <w:hideMark/>
          </w:tcPr>
          <w:p w:rsidR="002A701C" w:rsidRPr="002A701C" w:rsidRDefault="002A701C" w:rsidP="002A701C">
            <w:pPr>
              <w:jc w:val="center"/>
              <w:rPr>
                <w:bCs/>
                <w:noProof/>
                <w:color w:val="000000" w:themeColor="text1"/>
              </w:rPr>
            </w:pPr>
            <w:r w:rsidRPr="002A701C">
              <w:rPr>
                <w:bCs/>
                <w:noProof/>
                <w:color w:val="000000" w:themeColor="text1"/>
              </w:rPr>
              <w:t>1 582 291</w:t>
            </w:r>
          </w:p>
        </w:tc>
        <w:tc>
          <w:tcPr>
            <w:tcW w:w="1331" w:type="dxa"/>
            <w:vAlign w:val="center"/>
            <w:hideMark/>
          </w:tcPr>
          <w:p w:rsidR="002A701C" w:rsidRPr="002A701C" w:rsidRDefault="002A701C" w:rsidP="002A701C">
            <w:pPr>
              <w:jc w:val="center"/>
              <w:rPr>
                <w:bCs/>
                <w:noProof/>
                <w:color w:val="000000" w:themeColor="text1"/>
              </w:rPr>
            </w:pPr>
            <w:r w:rsidRPr="002A701C">
              <w:rPr>
                <w:bCs/>
                <w:noProof/>
                <w:color w:val="000000" w:themeColor="text1"/>
              </w:rPr>
              <w:t>1 344 428</w:t>
            </w:r>
          </w:p>
        </w:tc>
      </w:tr>
      <w:tr w:rsidR="00B719CE" w:rsidRPr="0020136C" w:rsidTr="00B719CE">
        <w:trPr>
          <w:trHeight w:val="292"/>
        </w:trPr>
        <w:tc>
          <w:tcPr>
            <w:tcW w:w="2127" w:type="dxa"/>
            <w:hideMark/>
          </w:tcPr>
          <w:p w:rsidR="00B719CE" w:rsidRPr="0020136C" w:rsidRDefault="00B719CE" w:rsidP="00B719CE">
            <w:pPr>
              <w:rPr>
                <w:noProof/>
                <w:color w:val="000000" w:themeColor="text1"/>
                <w:lang w:bidi="gu-IN"/>
              </w:rPr>
            </w:pPr>
            <w:r>
              <w:rPr>
                <w:noProof/>
                <w:color w:val="000000" w:themeColor="text1"/>
                <w:lang w:bidi="gu-IN"/>
              </w:rPr>
              <w:t>2</w:t>
            </w:r>
            <w:r w:rsidRPr="0020136C">
              <w:rPr>
                <w:noProof/>
                <w:color w:val="000000" w:themeColor="text1"/>
                <w:lang w:bidi="gu-IN"/>
              </w:rPr>
              <w:t>.2. speciālais budžets</w:t>
            </w:r>
          </w:p>
        </w:tc>
        <w:tc>
          <w:tcPr>
            <w:tcW w:w="171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267"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50"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44"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3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r>
      <w:tr w:rsidR="00B719CE" w:rsidRPr="0020136C" w:rsidTr="00B719CE">
        <w:tc>
          <w:tcPr>
            <w:tcW w:w="2127" w:type="dxa"/>
            <w:hideMark/>
          </w:tcPr>
          <w:p w:rsidR="00B719CE" w:rsidRPr="0020136C" w:rsidRDefault="00B719CE" w:rsidP="00B719CE">
            <w:pPr>
              <w:rPr>
                <w:noProof/>
                <w:color w:val="000000" w:themeColor="text1"/>
                <w:lang w:bidi="gu-IN"/>
              </w:rPr>
            </w:pPr>
            <w:r>
              <w:rPr>
                <w:noProof/>
                <w:color w:val="000000" w:themeColor="text1"/>
                <w:lang w:bidi="gu-IN"/>
              </w:rPr>
              <w:t>2</w:t>
            </w:r>
            <w:r w:rsidRPr="0020136C">
              <w:rPr>
                <w:noProof/>
                <w:color w:val="000000" w:themeColor="text1"/>
                <w:lang w:bidi="gu-IN"/>
              </w:rPr>
              <w:t>.3. pašvaldību budžets</w:t>
            </w:r>
          </w:p>
        </w:tc>
        <w:tc>
          <w:tcPr>
            <w:tcW w:w="171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267"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50"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44"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3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r>
      <w:tr w:rsidR="00B719CE" w:rsidRPr="0020136C" w:rsidTr="00B719CE">
        <w:tc>
          <w:tcPr>
            <w:tcW w:w="2127" w:type="dxa"/>
            <w:hideMark/>
          </w:tcPr>
          <w:p w:rsidR="00B719CE" w:rsidRDefault="00B719CE" w:rsidP="00B719CE">
            <w:pPr>
              <w:rPr>
                <w:noProof/>
                <w:color w:val="000000" w:themeColor="text1"/>
                <w:lang w:bidi="gu-IN"/>
              </w:rPr>
            </w:pPr>
          </w:p>
        </w:tc>
        <w:tc>
          <w:tcPr>
            <w:tcW w:w="1711" w:type="dxa"/>
            <w:vAlign w:val="center"/>
            <w:hideMark/>
          </w:tcPr>
          <w:p w:rsidR="00B719CE" w:rsidRPr="0020136C" w:rsidRDefault="00B719CE" w:rsidP="00B719CE">
            <w:pPr>
              <w:jc w:val="center"/>
              <w:rPr>
                <w:noProof/>
                <w:lang w:bidi="gu-IN"/>
              </w:rPr>
            </w:pPr>
          </w:p>
        </w:tc>
        <w:tc>
          <w:tcPr>
            <w:tcW w:w="1267" w:type="dxa"/>
            <w:vAlign w:val="center"/>
            <w:hideMark/>
          </w:tcPr>
          <w:p w:rsidR="00B719CE" w:rsidRPr="0020136C" w:rsidRDefault="00B719CE" w:rsidP="00B719CE">
            <w:pPr>
              <w:jc w:val="center"/>
              <w:rPr>
                <w:noProof/>
                <w:color w:val="000000" w:themeColor="text1"/>
              </w:rPr>
            </w:pPr>
          </w:p>
        </w:tc>
        <w:tc>
          <w:tcPr>
            <w:tcW w:w="1350" w:type="dxa"/>
            <w:vAlign w:val="center"/>
            <w:hideMark/>
          </w:tcPr>
          <w:p w:rsidR="00B719CE" w:rsidRPr="0020136C" w:rsidRDefault="00B719CE" w:rsidP="00B719CE">
            <w:pPr>
              <w:jc w:val="center"/>
              <w:rPr>
                <w:noProof/>
                <w:color w:val="000000" w:themeColor="text1"/>
                <w:lang w:bidi="gu-IN"/>
              </w:rPr>
            </w:pPr>
          </w:p>
        </w:tc>
        <w:tc>
          <w:tcPr>
            <w:tcW w:w="1344" w:type="dxa"/>
            <w:vAlign w:val="center"/>
            <w:hideMark/>
          </w:tcPr>
          <w:p w:rsidR="00B719CE" w:rsidRPr="0020136C" w:rsidRDefault="00B719CE" w:rsidP="00B719CE">
            <w:pPr>
              <w:jc w:val="center"/>
              <w:rPr>
                <w:noProof/>
                <w:color w:val="000000" w:themeColor="text1"/>
                <w:lang w:bidi="gu-IN"/>
              </w:rPr>
            </w:pPr>
          </w:p>
        </w:tc>
        <w:tc>
          <w:tcPr>
            <w:tcW w:w="1331" w:type="dxa"/>
            <w:vAlign w:val="center"/>
            <w:hideMark/>
          </w:tcPr>
          <w:p w:rsidR="00B719CE" w:rsidRPr="0020136C" w:rsidRDefault="00B719CE" w:rsidP="00B719CE">
            <w:pPr>
              <w:jc w:val="center"/>
              <w:rPr>
                <w:noProof/>
                <w:color w:val="000000" w:themeColor="text1"/>
                <w:lang w:bidi="gu-IN"/>
              </w:rPr>
            </w:pPr>
          </w:p>
        </w:tc>
      </w:tr>
      <w:tr w:rsidR="002A701C" w:rsidRPr="0020136C" w:rsidTr="00B719CE">
        <w:tc>
          <w:tcPr>
            <w:tcW w:w="2127" w:type="dxa"/>
            <w:hideMark/>
          </w:tcPr>
          <w:p w:rsidR="002A701C" w:rsidRPr="0020136C" w:rsidRDefault="002A701C" w:rsidP="00B719CE">
            <w:pPr>
              <w:rPr>
                <w:b/>
                <w:bCs/>
                <w:noProof/>
                <w:color w:val="000000" w:themeColor="text1"/>
                <w:lang w:bidi="gu-IN"/>
              </w:rPr>
            </w:pPr>
            <w:r w:rsidRPr="0020136C">
              <w:rPr>
                <w:b/>
                <w:bCs/>
                <w:noProof/>
                <w:color w:val="000000" w:themeColor="text1"/>
                <w:lang w:bidi="gu-IN"/>
              </w:rPr>
              <w:t>3. Finansiālā ietekme:</w:t>
            </w:r>
          </w:p>
        </w:tc>
        <w:tc>
          <w:tcPr>
            <w:tcW w:w="1711" w:type="dxa"/>
            <w:vAlign w:val="center"/>
            <w:hideMark/>
          </w:tcPr>
          <w:p w:rsidR="002A701C" w:rsidRPr="00FA24CE" w:rsidRDefault="002A701C" w:rsidP="00B719CE">
            <w:pPr>
              <w:jc w:val="center"/>
              <w:rPr>
                <w:b/>
                <w:noProof/>
                <w:color w:val="000000" w:themeColor="text1"/>
              </w:rPr>
            </w:pPr>
            <w:r w:rsidRPr="00FA24CE">
              <w:rPr>
                <w:b/>
                <w:noProof/>
                <w:color w:val="000000" w:themeColor="text1"/>
              </w:rPr>
              <w:t>- 111 934</w:t>
            </w:r>
          </w:p>
        </w:tc>
        <w:tc>
          <w:tcPr>
            <w:tcW w:w="1267" w:type="dxa"/>
            <w:vAlign w:val="center"/>
            <w:hideMark/>
          </w:tcPr>
          <w:p w:rsidR="002A701C" w:rsidRPr="00FA24CE" w:rsidRDefault="002A701C" w:rsidP="00B719CE">
            <w:pPr>
              <w:jc w:val="center"/>
              <w:rPr>
                <w:b/>
                <w:bCs/>
                <w:noProof/>
                <w:color w:val="000000" w:themeColor="text1"/>
              </w:rPr>
            </w:pPr>
            <w:r w:rsidRPr="00FA24CE">
              <w:rPr>
                <w:b/>
                <w:bCs/>
                <w:noProof/>
                <w:color w:val="000000" w:themeColor="text1"/>
              </w:rPr>
              <w:t>0</w:t>
            </w:r>
          </w:p>
        </w:tc>
        <w:tc>
          <w:tcPr>
            <w:tcW w:w="1350" w:type="dxa"/>
            <w:vAlign w:val="center"/>
            <w:hideMark/>
          </w:tcPr>
          <w:p w:rsidR="002A701C" w:rsidRPr="00FA24CE" w:rsidRDefault="002A701C" w:rsidP="00B719CE">
            <w:pPr>
              <w:jc w:val="center"/>
              <w:rPr>
                <w:b/>
                <w:noProof/>
                <w:color w:val="000000" w:themeColor="text1"/>
              </w:rPr>
            </w:pPr>
            <w:r>
              <w:rPr>
                <w:b/>
                <w:noProof/>
                <w:color w:val="000000" w:themeColor="text1"/>
              </w:rPr>
              <w:t>111 934</w:t>
            </w:r>
          </w:p>
        </w:tc>
        <w:tc>
          <w:tcPr>
            <w:tcW w:w="1344" w:type="dxa"/>
            <w:vAlign w:val="center"/>
            <w:hideMark/>
          </w:tcPr>
          <w:p w:rsidR="002A701C" w:rsidRPr="00FA24CE" w:rsidRDefault="002A701C" w:rsidP="002A701C">
            <w:pPr>
              <w:jc w:val="center"/>
              <w:rPr>
                <w:b/>
                <w:noProof/>
                <w:color w:val="000000" w:themeColor="text1"/>
              </w:rPr>
            </w:pPr>
            <w:r>
              <w:rPr>
                <w:b/>
                <w:noProof/>
                <w:color w:val="000000" w:themeColor="text1"/>
              </w:rPr>
              <w:t>111 934</w:t>
            </w:r>
          </w:p>
        </w:tc>
        <w:tc>
          <w:tcPr>
            <w:tcW w:w="1331" w:type="dxa"/>
            <w:vAlign w:val="center"/>
            <w:hideMark/>
          </w:tcPr>
          <w:p w:rsidR="002A701C" w:rsidRPr="00FA24CE" w:rsidRDefault="002A701C" w:rsidP="002A701C">
            <w:pPr>
              <w:jc w:val="center"/>
              <w:rPr>
                <w:b/>
                <w:noProof/>
                <w:color w:val="000000" w:themeColor="text1"/>
              </w:rPr>
            </w:pPr>
            <w:r>
              <w:rPr>
                <w:b/>
                <w:noProof/>
                <w:color w:val="000000" w:themeColor="text1"/>
              </w:rPr>
              <w:t>111 934</w:t>
            </w:r>
          </w:p>
        </w:tc>
      </w:tr>
      <w:tr w:rsidR="002A701C" w:rsidRPr="0020136C" w:rsidTr="00B719CE">
        <w:tc>
          <w:tcPr>
            <w:tcW w:w="2127" w:type="dxa"/>
            <w:hideMark/>
          </w:tcPr>
          <w:p w:rsidR="002A701C" w:rsidRPr="0020136C" w:rsidRDefault="002A701C" w:rsidP="00B719CE">
            <w:pPr>
              <w:rPr>
                <w:noProof/>
                <w:color w:val="000000" w:themeColor="text1"/>
                <w:lang w:bidi="gu-IN"/>
              </w:rPr>
            </w:pPr>
            <w:r w:rsidRPr="0020136C">
              <w:rPr>
                <w:noProof/>
                <w:color w:val="000000" w:themeColor="text1"/>
                <w:lang w:bidi="gu-IN"/>
              </w:rPr>
              <w:t>3.1. valsts pamatbudžets</w:t>
            </w:r>
          </w:p>
        </w:tc>
        <w:tc>
          <w:tcPr>
            <w:tcW w:w="1711" w:type="dxa"/>
            <w:vAlign w:val="center"/>
            <w:hideMark/>
          </w:tcPr>
          <w:p w:rsidR="002A701C" w:rsidRPr="0020136C" w:rsidRDefault="002A701C" w:rsidP="00B719CE">
            <w:pPr>
              <w:jc w:val="center"/>
              <w:rPr>
                <w:noProof/>
                <w:color w:val="000000" w:themeColor="text1"/>
              </w:rPr>
            </w:pPr>
            <w:r>
              <w:rPr>
                <w:noProof/>
                <w:color w:val="000000" w:themeColor="text1"/>
              </w:rPr>
              <w:t>- 111 934</w:t>
            </w:r>
          </w:p>
        </w:tc>
        <w:tc>
          <w:tcPr>
            <w:tcW w:w="1267" w:type="dxa"/>
            <w:vAlign w:val="center"/>
            <w:hideMark/>
          </w:tcPr>
          <w:p w:rsidR="002A701C" w:rsidRPr="0020136C" w:rsidRDefault="002A701C" w:rsidP="00B719CE">
            <w:pPr>
              <w:jc w:val="center"/>
              <w:rPr>
                <w:noProof/>
                <w:color w:val="000000" w:themeColor="text1"/>
              </w:rPr>
            </w:pPr>
            <w:r>
              <w:rPr>
                <w:noProof/>
                <w:color w:val="000000" w:themeColor="text1"/>
              </w:rPr>
              <w:t>0</w:t>
            </w:r>
          </w:p>
        </w:tc>
        <w:tc>
          <w:tcPr>
            <w:tcW w:w="1350" w:type="dxa"/>
            <w:vAlign w:val="center"/>
            <w:hideMark/>
          </w:tcPr>
          <w:p w:rsidR="002A701C" w:rsidRPr="0020136C" w:rsidRDefault="002A701C" w:rsidP="00B719CE">
            <w:pPr>
              <w:jc w:val="center"/>
              <w:rPr>
                <w:noProof/>
                <w:color w:val="000000" w:themeColor="text1"/>
              </w:rPr>
            </w:pPr>
            <w:r>
              <w:rPr>
                <w:noProof/>
                <w:color w:val="000000" w:themeColor="text1"/>
              </w:rPr>
              <w:t>111 934</w:t>
            </w:r>
          </w:p>
        </w:tc>
        <w:tc>
          <w:tcPr>
            <w:tcW w:w="1344" w:type="dxa"/>
            <w:vAlign w:val="center"/>
            <w:hideMark/>
          </w:tcPr>
          <w:p w:rsidR="002A701C" w:rsidRPr="0020136C" w:rsidRDefault="002A701C" w:rsidP="002A701C">
            <w:pPr>
              <w:jc w:val="center"/>
              <w:rPr>
                <w:noProof/>
                <w:color w:val="000000" w:themeColor="text1"/>
              </w:rPr>
            </w:pPr>
            <w:r>
              <w:rPr>
                <w:noProof/>
                <w:color w:val="000000" w:themeColor="text1"/>
              </w:rPr>
              <w:t>111 934</w:t>
            </w:r>
          </w:p>
        </w:tc>
        <w:tc>
          <w:tcPr>
            <w:tcW w:w="1331" w:type="dxa"/>
            <w:vAlign w:val="center"/>
            <w:hideMark/>
          </w:tcPr>
          <w:p w:rsidR="002A701C" w:rsidRPr="0020136C" w:rsidRDefault="002A701C" w:rsidP="002A701C">
            <w:pPr>
              <w:jc w:val="center"/>
              <w:rPr>
                <w:noProof/>
                <w:color w:val="000000" w:themeColor="text1"/>
              </w:rPr>
            </w:pPr>
            <w:r>
              <w:rPr>
                <w:noProof/>
                <w:color w:val="000000" w:themeColor="text1"/>
              </w:rPr>
              <w:t>111 934</w:t>
            </w:r>
          </w:p>
        </w:tc>
      </w:tr>
      <w:tr w:rsidR="00B719CE" w:rsidRPr="0020136C" w:rsidTr="00B719CE">
        <w:tc>
          <w:tcPr>
            <w:tcW w:w="2127" w:type="dxa"/>
            <w:hideMark/>
          </w:tcPr>
          <w:p w:rsidR="00B719CE" w:rsidRPr="0020136C" w:rsidRDefault="00B719CE" w:rsidP="00B719CE">
            <w:pPr>
              <w:rPr>
                <w:noProof/>
                <w:color w:val="000000" w:themeColor="text1"/>
                <w:lang w:bidi="gu-IN"/>
              </w:rPr>
            </w:pPr>
            <w:r w:rsidRPr="0020136C">
              <w:rPr>
                <w:noProof/>
                <w:color w:val="000000" w:themeColor="text1"/>
                <w:lang w:bidi="gu-IN"/>
              </w:rPr>
              <w:t>3.2. speciālais budžets</w:t>
            </w:r>
          </w:p>
        </w:tc>
        <w:tc>
          <w:tcPr>
            <w:tcW w:w="171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267"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50"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44"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3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r>
      <w:tr w:rsidR="00B719CE" w:rsidRPr="0020136C" w:rsidTr="00B719CE">
        <w:tc>
          <w:tcPr>
            <w:tcW w:w="2127" w:type="dxa"/>
            <w:hideMark/>
          </w:tcPr>
          <w:p w:rsidR="00B719CE" w:rsidRPr="0020136C" w:rsidRDefault="00B719CE" w:rsidP="00B719CE">
            <w:pPr>
              <w:rPr>
                <w:noProof/>
                <w:color w:val="000000" w:themeColor="text1"/>
                <w:lang w:bidi="gu-IN"/>
              </w:rPr>
            </w:pPr>
            <w:r w:rsidRPr="0020136C">
              <w:rPr>
                <w:noProof/>
                <w:color w:val="000000" w:themeColor="text1"/>
                <w:lang w:bidi="gu-IN"/>
              </w:rPr>
              <w:t>3.3. pašvaldību budžets</w:t>
            </w:r>
          </w:p>
        </w:tc>
        <w:tc>
          <w:tcPr>
            <w:tcW w:w="171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267"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50"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44"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3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r>
      <w:tr w:rsidR="00B719CE" w:rsidRPr="0020136C" w:rsidTr="00B719CE">
        <w:tc>
          <w:tcPr>
            <w:tcW w:w="2127" w:type="dxa"/>
            <w:hideMark/>
          </w:tcPr>
          <w:p w:rsidR="00B719CE" w:rsidRPr="0020136C" w:rsidRDefault="00B719CE" w:rsidP="00B719CE">
            <w:pPr>
              <w:rPr>
                <w:noProof/>
                <w:color w:val="000000" w:themeColor="text1"/>
                <w:lang w:bidi="gu-IN"/>
              </w:rPr>
            </w:pPr>
          </w:p>
        </w:tc>
        <w:tc>
          <w:tcPr>
            <w:tcW w:w="1711" w:type="dxa"/>
            <w:vAlign w:val="center"/>
            <w:hideMark/>
          </w:tcPr>
          <w:p w:rsidR="00B719CE" w:rsidRPr="0020136C" w:rsidRDefault="00B719CE" w:rsidP="00B719CE">
            <w:pPr>
              <w:jc w:val="right"/>
              <w:rPr>
                <w:noProof/>
                <w:lang w:bidi="gu-IN"/>
              </w:rPr>
            </w:pPr>
          </w:p>
        </w:tc>
        <w:tc>
          <w:tcPr>
            <w:tcW w:w="1267" w:type="dxa"/>
            <w:tcBorders>
              <w:bottom w:val="single" w:sz="4" w:space="0" w:color="auto"/>
            </w:tcBorders>
            <w:vAlign w:val="center"/>
            <w:hideMark/>
          </w:tcPr>
          <w:p w:rsidR="00B719CE" w:rsidRPr="0020136C" w:rsidRDefault="00B719CE" w:rsidP="00B719CE">
            <w:pPr>
              <w:jc w:val="center"/>
              <w:rPr>
                <w:noProof/>
                <w:color w:val="000000" w:themeColor="text1"/>
              </w:rPr>
            </w:pPr>
          </w:p>
        </w:tc>
        <w:tc>
          <w:tcPr>
            <w:tcW w:w="1350" w:type="dxa"/>
            <w:tcBorders>
              <w:bottom w:val="single" w:sz="4" w:space="0" w:color="auto"/>
            </w:tcBorders>
            <w:vAlign w:val="center"/>
            <w:hideMark/>
          </w:tcPr>
          <w:p w:rsidR="00B719CE" w:rsidRPr="0020136C" w:rsidRDefault="00B719CE" w:rsidP="00B719CE">
            <w:pPr>
              <w:jc w:val="center"/>
              <w:rPr>
                <w:noProof/>
                <w:color w:val="000000" w:themeColor="text1"/>
                <w:lang w:bidi="gu-IN"/>
              </w:rPr>
            </w:pPr>
          </w:p>
        </w:tc>
        <w:tc>
          <w:tcPr>
            <w:tcW w:w="1344" w:type="dxa"/>
            <w:tcBorders>
              <w:bottom w:val="single" w:sz="4" w:space="0" w:color="auto"/>
            </w:tcBorders>
            <w:vAlign w:val="center"/>
            <w:hideMark/>
          </w:tcPr>
          <w:p w:rsidR="00B719CE" w:rsidRPr="0020136C" w:rsidRDefault="00B719CE" w:rsidP="00B719CE">
            <w:pPr>
              <w:jc w:val="center"/>
              <w:rPr>
                <w:noProof/>
                <w:color w:val="000000" w:themeColor="text1"/>
                <w:lang w:bidi="gu-IN"/>
              </w:rPr>
            </w:pPr>
          </w:p>
        </w:tc>
        <w:tc>
          <w:tcPr>
            <w:tcW w:w="1331" w:type="dxa"/>
            <w:tcBorders>
              <w:bottom w:val="single" w:sz="4" w:space="0" w:color="auto"/>
            </w:tcBorders>
            <w:vAlign w:val="center"/>
            <w:hideMark/>
          </w:tcPr>
          <w:p w:rsidR="00B719CE" w:rsidRPr="0020136C" w:rsidRDefault="00B719CE" w:rsidP="00B719CE">
            <w:pPr>
              <w:jc w:val="center"/>
              <w:rPr>
                <w:noProof/>
                <w:color w:val="000000" w:themeColor="text1"/>
                <w:lang w:bidi="gu-IN"/>
              </w:rPr>
            </w:pPr>
          </w:p>
        </w:tc>
      </w:tr>
      <w:tr w:rsidR="00B719CE" w:rsidRPr="0020136C" w:rsidTr="00B719CE">
        <w:trPr>
          <w:trHeight w:val="1656"/>
        </w:trPr>
        <w:tc>
          <w:tcPr>
            <w:tcW w:w="2127" w:type="dxa"/>
            <w:hideMark/>
          </w:tcPr>
          <w:p w:rsidR="00B719CE" w:rsidRPr="0020136C" w:rsidRDefault="00B719CE" w:rsidP="00B719CE">
            <w:pPr>
              <w:rPr>
                <w:noProof/>
                <w:color w:val="000000" w:themeColor="text1"/>
                <w:lang w:bidi="gu-IN"/>
              </w:rPr>
            </w:pPr>
            <w:r w:rsidRPr="0020136C">
              <w:rPr>
                <w:b/>
                <w:noProof/>
                <w:color w:val="000000" w:themeColor="text1"/>
                <w:lang w:bidi="gu-IN"/>
              </w:rPr>
              <w:t>4. Finanšu līdzekļi papildu izdevumu finansēšanai</w:t>
            </w:r>
            <w:r w:rsidRPr="0020136C">
              <w:rPr>
                <w:noProof/>
                <w:color w:val="000000" w:themeColor="text1"/>
                <w:lang w:bidi="gu-IN"/>
              </w:rPr>
              <w:t xml:space="preserve"> (kompensējošu izdevu</w:t>
            </w:r>
            <w:r>
              <w:rPr>
                <w:noProof/>
                <w:color w:val="000000" w:themeColor="text1"/>
                <w:lang w:bidi="gu-IN"/>
              </w:rPr>
              <w:softHyphen/>
            </w:r>
            <w:r w:rsidRPr="0020136C">
              <w:rPr>
                <w:noProof/>
                <w:color w:val="000000" w:themeColor="text1"/>
                <w:lang w:bidi="gu-IN"/>
              </w:rPr>
              <w:t>mu samazinājumu norāda ar "+" zīmi)</w:t>
            </w:r>
          </w:p>
        </w:tc>
        <w:tc>
          <w:tcPr>
            <w:tcW w:w="1711" w:type="dxa"/>
            <w:vAlign w:val="center"/>
            <w:hideMark/>
          </w:tcPr>
          <w:p w:rsidR="00B719CE" w:rsidRPr="0020136C" w:rsidRDefault="00B719CE" w:rsidP="00B719CE">
            <w:pPr>
              <w:spacing w:before="100" w:beforeAutospacing="1" w:after="100" w:afterAutospacing="1" w:line="360" w:lineRule="auto"/>
              <w:ind w:hanging="2"/>
              <w:jc w:val="center"/>
              <w:rPr>
                <w:noProof/>
                <w:lang w:bidi="gu-IN"/>
              </w:rPr>
            </w:pPr>
            <w:r w:rsidRPr="0020136C">
              <w:rPr>
                <w:noProof/>
                <w:lang w:bidi="gu-IN"/>
              </w:rPr>
              <w:t>X</w:t>
            </w:r>
          </w:p>
        </w:tc>
        <w:tc>
          <w:tcPr>
            <w:tcW w:w="1267" w:type="dxa"/>
            <w:vAlign w:val="center"/>
            <w:hideMark/>
          </w:tcPr>
          <w:p w:rsidR="00B719CE" w:rsidRPr="00FA24CE" w:rsidRDefault="00B719CE" w:rsidP="00B719CE">
            <w:pPr>
              <w:jc w:val="center"/>
              <w:rPr>
                <w:noProof/>
                <w:color w:val="000000" w:themeColor="text1"/>
              </w:rPr>
            </w:pPr>
            <w:r w:rsidRPr="00FA24CE">
              <w:rPr>
                <w:noProof/>
                <w:color w:val="000000" w:themeColor="text1"/>
              </w:rPr>
              <w:t>0</w:t>
            </w:r>
          </w:p>
        </w:tc>
        <w:tc>
          <w:tcPr>
            <w:tcW w:w="1350" w:type="dxa"/>
            <w:vAlign w:val="center"/>
            <w:hideMark/>
          </w:tcPr>
          <w:p w:rsidR="00B719CE" w:rsidRPr="00FA24CE" w:rsidRDefault="00B719CE" w:rsidP="00B719CE">
            <w:pPr>
              <w:jc w:val="center"/>
              <w:rPr>
                <w:bCs/>
                <w:noProof/>
                <w:color w:val="000000" w:themeColor="text1"/>
              </w:rPr>
            </w:pPr>
            <w:r w:rsidRPr="00FA24CE">
              <w:rPr>
                <w:bCs/>
                <w:noProof/>
                <w:color w:val="000000" w:themeColor="text1"/>
              </w:rPr>
              <w:t>0</w:t>
            </w:r>
          </w:p>
        </w:tc>
        <w:tc>
          <w:tcPr>
            <w:tcW w:w="1344" w:type="dxa"/>
            <w:vAlign w:val="center"/>
            <w:hideMark/>
          </w:tcPr>
          <w:p w:rsidR="00B719CE" w:rsidRPr="00FA24CE" w:rsidRDefault="00B719CE" w:rsidP="00B719CE">
            <w:pPr>
              <w:jc w:val="center"/>
              <w:rPr>
                <w:bCs/>
                <w:noProof/>
                <w:color w:val="000000" w:themeColor="text1"/>
              </w:rPr>
            </w:pPr>
            <w:r w:rsidRPr="00FA24CE">
              <w:rPr>
                <w:bCs/>
                <w:noProof/>
                <w:color w:val="000000" w:themeColor="text1"/>
              </w:rPr>
              <w:t>0</w:t>
            </w:r>
          </w:p>
        </w:tc>
        <w:tc>
          <w:tcPr>
            <w:tcW w:w="1331" w:type="dxa"/>
            <w:vAlign w:val="center"/>
            <w:hideMark/>
          </w:tcPr>
          <w:p w:rsidR="00B719CE" w:rsidRPr="00FA24CE" w:rsidRDefault="00B719CE" w:rsidP="00B719CE">
            <w:pPr>
              <w:jc w:val="center"/>
              <w:rPr>
                <w:bCs/>
                <w:noProof/>
                <w:color w:val="000000" w:themeColor="text1"/>
              </w:rPr>
            </w:pPr>
            <w:r w:rsidRPr="00FA24CE">
              <w:rPr>
                <w:bCs/>
                <w:noProof/>
                <w:color w:val="000000" w:themeColor="text1"/>
              </w:rPr>
              <w:t>0</w:t>
            </w:r>
          </w:p>
        </w:tc>
      </w:tr>
      <w:tr w:rsidR="00B719CE" w:rsidRPr="0020136C" w:rsidTr="00B719CE">
        <w:tc>
          <w:tcPr>
            <w:tcW w:w="2127" w:type="dxa"/>
            <w:hideMark/>
          </w:tcPr>
          <w:p w:rsidR="00B719CE" w:rsidRPr="0020136C" w:rsidRDefault="00B719CE" w:rsidP="00B719CE">
            <w:pPr>
              <w:rPr>
                <w:b/>
                <w:noProof/>
                <w:color w:val="000000" w:themeColor="text1"/>
                <w:lang w:bidi="gu-IN"/>
              </w:rPr>
            </w:pPr>
            <w:r w:rsidRPr="0020136C">
              <w:rPr>
                <w:b/>
                <w:noProof/>
                <w:color w:val="000000" w:themeColor="text1"/>
                <w:lang w:bidi="gu-IN"/>
              </w:rPr>
              <w:t>5. Precizēta finansiālā ietekme:</w:t>
            </w:r>
          </w:p>
        </w:tc>
        <w:tc>
          <w:tcPr>
            <w:tcW w:w="1711" w:type="dxa"/>
            <w:vMerge w:val="restart"/>
            <w:vAlign w:val="center"/>
            <w:hideMark/>
          </w:tcPr>
          <w:p w:rsidR="00B719CE" w:rsidRPr="0020136C" w:rsidRDefault="00B719CE" w:rsidP="00B719CE">
            <w:pPr>
              <w:spacing w:before="100" w:beforeAutospacing="1" w:after="100" w:afterAutospacing="1" w:line="360" w:lineRule="auto"/>
              <w:ind w:hanging="2"/>
              <w:jc w:val="center"/>
              <w:rPr>
                <w:noProof/>
                <w:lang w:bidi="gu-IN"/>
              </w:rPr>
            </w:pPr>
            <w:r w:rsidRPr="0020136C">
              <w:rPr>
                <w:noProof/>
                <w:lang w:bidi="gu-IN"/>
              </w:rPr>
              <w:t>X</w:t>
            </w:r>
          </w:p>
        </w:tc>
        <w:tc>
          <w:tcPr>
            <w:tcW w:w="1267" w:type="dxa"/>
            <w:vAlign w:val="center"/>
            <w:hideMark/>
          </w:tcPr>
          <w:p w:rsidR="00B719CE" w:rsidRPr="00FA24CE" w:rsidRDefault="00B719CE" w:rsidP="00B719CE">
            <w:pPr>
              <w:jc w:val="center"/>
              <w:rPr>
                <w:bCs/>
                <w:noProof/>
                <w:color w:val="000000" w:themeColor="text1"/>
              </w:rPr>
            </w:pPr>
            <w:r w:rsidRPr="00FA24CE">
              <w:rPr>
                <w:bCs/>
                <w:noProof/>
                <w:color w:val="000000" w:themeColor="text1"/>
              </w:rPr>
              <w:t>0</w:t>
            </w:r>
          </w:p>
        </w:tc>
        <w:tc>
          <w:tcPr>
            <w:tcW w:w="1350" w:type="dxa"/>
            <w:vAlign w:val="center"/>
            <w:hideMark/>
          </w:tcPr>
          <w:p w:rsidR="00B719CE" w:rsidRPr="00FA24CE" w:rsidRDefault="00B719CE" w:rsidP="00B719CE">
            <w:pPr>
              <w:jc w:val="center"/>
              <w:rPr>
                <w:bCs/>
                <w:noProof/>
                <w:color w:val="000000" w:themeColor="text1"/>
              </w:rPr>
            </w:pPr>
            <w:r w:rsidRPr="00FA24CE">
              <w:rPr>
                <w:bCs/>
                <w:noProof/>
                <w:color w:val="000000" w:themeColor="text1"/>
              </w:rPr>
              <w:t>0</w:t>
            </w:r>
          </w:p>
        </w:tc>
        <w:tc>
          <w:tcPr>
            <w:tcW w:w="1344" w:type="dxa"/>
            <w:vAlign w:val="center"/>
            <w:hideMark/>
          </w:tcPr>
          <w:p w:rsidR="00B719CE" w:rsidRPr="00FA24CE" w:rsidRDefault="00B719CE" w:rsidP="00B719CE">
            <w:pPr>
              <w:jc w:val="center"/>
              <w:rPr>
                <w:bCs/>
                <w:noProof/>
                <w:color w:val="000000" w:themeColor="text1"/>
              </w:rPr>
            </w:pPr>
            <w:r w:rsidRPr="00FA24CE">
              <w:rPr>
                <w:bCs/>
                <w:noProof/>
                <w:color w:val="000000" w:themeColor="text1"/>
              </w:rPr>
              <w:t>0</w:t>
            </w:r>
          </w:p>
        </w:tc>
        <w:tc>
          <w:tcPr>
            <w:tcW w:w="1331" w:type="dxa"/>
            <w:vAlign w:val="center"/>
            <w:hideMark/>
          </w:tcPr>
          <w:p w:rsidR="00B719CE" w:rsidRPr="00FA24CE" w:rsidRDefault="00B719CE" w:rsidP="00B719CE">
            <w:pPr>
              <w:jc w:val="center"/>
              <w:rPr>
                <w:bCs/>
                <w:noProof/>
                <w:color w:val="000000" w:themeColor="text1"/>
              </w:rPr>
            </w:pPr>
            <w:r w:rsidRPr="00FA24CE">
              <w:rPr>
                <w:bCs/>
                <w:noProof/>
                <w:color w:val="000000" w:themeColor="text1"/>
              </w:rPr>
              <w:t>0</w:t>
            </w:r>
          </w:p>
        </w:tc>
      </w:tr>
      <w:tr w:rsidR="00B719CE" w:rsidRPr="0020136C" w:rsidTr="00B719CE">
        <w:tc>
          <w:tcPr>
            <w:tcW w:w="2127" w:type="dxa"/>
            <w:hideMark/>
          </w:tcPr>
          <w:p w:rsidR="00B719CE" w:rsidRPr="0020136C" w:rsidRDefault="00B719CE" w:rsidP="00B719CE">
            <w:pPr>
              <w:rPr>
                <w:noProof/>
                <w:color w:val="000000" w:themeColor="text1"/>
                <w:lang w:bidi="gu-IN"/>
              </w:rPr>
            </w:pPr>
            <w:r w:rsidRPr="0020136C">
              <w:rPr>
                <w:noProof/>
                <w:color w:val="000000" w:themeColor="text1"/>
                <w:lang w:bidi="gu-IN"/>
              </w:rPr>
              <w:t>5.1. valsts pamatbudžets</w:t>
            </w:r>
          </w:p>
        </w:tc>
        <w:tc>
          <w:tcPr>
            <w:tcW w:w="1711" w:type="dxa"/>
            <w:vMerge/>
            <w:vAlign w:val="center"/>
            <w:hideMark/>
          </w:tcPr>
          <w:p w:rsidR="00B719CE" w:rsidRPr="0020136C" w:rsidRDefault="00B719CE" w:rsidP="00B719CE">
            <w:pPr>
              <w:jc w:val="right"/>
              <w:rPr>
                <w:noProof/>
                <w:color w:val="FF0000"/>
                <w:lang w:bidi="gu-IN"/>
              </w:rPr>
            </w:pPr>
          </w:p>
        </w:tc>
        <w:tc>
          <w:tcPr>
            <w:tcW w:w="1267" w:type="dxa"/>
            <w:vAlign w:val="center"/>
            <w:hideMark/>
          </w:tcPr>
          <w:p w:rsidR="00B719CE" w:rsidRPr="0020136C" w:rsidRDefault="00B719CE" w:rsidP="00B719CE">
            <w:pPr>
              <w:jc w:val="center"/>
              <w:rPr>
                <w:noProof/>
                <w:color w:val="000000" w:themeColor="text1"/>
              </w:rPr>
            </w:pPr>
            <w:r>
              <w:rPr>
                <w:noProof/>
                <w:color w:val="000000" w:themeColor="text1"/>
              </w:rPr>
              <w:t>0</w:t>
            </w:r>
          </w:p>
        </w:tc>
        <w:tc>
          <w:tcPr>
            <w:tcW w:w="1350" w:type="dxa"/>
            <w:vAlign w:val="center"/>
            <w:hideMark/>
          </w:tcPr>
          <w:p w:rsidR="00B719CE" w:rsidRPr="0020136C" w:rsidRDefault="00B719CE" w:rsidP="00B719CE">
            <w:pPr>
              <w:jc w:val="center"/>
              <w:rPr>
                <w:noProof/>
                <w:color w:val="000000" w:themeColor="text1"/>
              </w:rPr>
            </w:pPr>
            <w:r>
              <w:rPr>
                <w:noProof/>
                <w:color w:val="000000" w:themeColor="text1"/>
              </w:rPr>
              <w:t>0</w:t>
            </w:r>
          </w:p>
        </w:tc>
        <w:tc>
          <w:tcPr>
            <w:tcW w:w="1344" w:type="dxa"/>
            <w:vAlign w:val="center"/>
            <w:hideMark/>
          </w:tcPr>
          <w:p w:rsidR="00B719CE" w:rsidRPr="0020136C" w:rsidRDefault="00B719CE" w:rsidP="00B719CE">
            <w:pPr>
              <w:jc w:val="center"/>
              <w:rPr>
                <w:noProof/>
                <w:color w:val="000000" w:themeColor="text1"/>
              </w:rPr>
            </w:pPr>
            <w:r>
              <w:rPr>
                <w:noProof/>
                <w:color w:val="000000" w:themeColor="text1"/>
              </w:rPr>
              <w:t>0</w:t>
            </w:r>
          </w:p>
        </w:tc>
        <w:tc>
          <w:tcPr>
            <w:tcW w:w="1331" w:type="dxa"/>
            <w:vAlign w:val="center"/>
            <w:hideMark/>
          </w:tcPr>
          <w:p w:rsidR="00B719CE" w:rsidRPr="0020136C" w:rsidRDefault="00B719CE" w:rsidP="00B719CE">
            <w:pPr>
              <w:jc w:val="center"/>
              <w:rPr>
                <w:noProof/>
                <w:color w:val="000000" w:themeColor="text1"/>
              </w:rPr>
            </w:pPr>
            <w:r>
              <w:rPr>
                <w:noProof/>
                <w:color w:val="000000" w:themeColor="text1"/>
              </w:rPr>
              <w:t>0</w:t>
            </w:r>
          </w:p>
        </w:tc>
      </w:tr>
      <w:tr w:rsidR="00B719CE" w:rsidRPr="0020136C" w:rsidTr="00B719CE">
        <w:tc>
          <w:tcPr>
            <w:tcW w:w="2127" w:type="dxa"/>
            <w:hideMark/>
          </w:tcPr>
          <w:p w:rsidR="00B719CE" w:rsidRPr="0020136C" w:rsidRDefault="00B719CE" w:rsidP="00B719CE">
            <w:pPr>
              <w:rPr>
                <w:noProof/>
                <w:color w:val="000000" w:themeColor="text1"/>
                <w:lang w:bidi="gu-IN"/>
              </w:rPr>
            </w:pPr>
            <w:r w:rsidRPr="0020136C">
              <w:rPr>
                <w:noProof/>
                <w:color w:val="000000" w:themeColor="text1"/>
                <w:lang w:bidi="gu-IN"/>
              </w:rPr>
              <w:t>5.2. speciālais budžets</w:t>
            </w:r>
          </w:p>
        </w:tc>
        <w:tc>
          <w:tcPr>
            <w:tcW w:w="1711" w:type="dxa"/>
            <w:vMerge/>
            <w:vAlign w:val="center"/>
            <w:hideMark/>
          </w:tcPr>
          <w:p w:rsidR="00B719CE" w:rsidRPr="0020136C" w:rsidRDefault="00B719CE" w:rsidP="00B719CE">
            <w:pPr>
              <w:jc w:val="right"/>
              <w:rPr>
                <w:noProof/>
                <w:color w:val="FF0000"/>
                <w:lang w:bidi="gu-IN"/>
              </w:rPr>
            </w:pPr>
          </w:p>
        </w:tc>
        <w:tc>
          <w:tcPr>
            <w:tcW w:w="1267"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50"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44"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3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r>
      <w:tr w:rsidR="00B719CE" w:rsidRPr="0020136C" w:rsidTr="00B719CE">
        <w:tc>
          <w:tcPr>
            <w:tcW w:w="2127" w:type="dxa"/>
            <w:hideMark/>
          </w:tcPr>
          <w:p w:rsidR="00B719CE" w:rsidRPr="0020136C" w:rsidRDefault="00B719CE" w:rsidP="00B719CE">
            <w:pPr>
              <w:rPr>
                <w:noProof/>
                <w:color w:val="000000" w:themeColor="text1"/>
                <w:lang w:bidi="gu-IN"/>
              </w:rPr>
            </w:pPr>
            <w:r w:rsidRPr="0020136C">
              <w:rPr>
                <w:noProof/>
                <w:color w:val="000000" w:themeColor="text1"/>
                <w:lang w:bidi="gu-IN"/>
              </w:rPr>
              <w:t>5.3. pašvaldību budžets</w:t>
            </w:r>
          </w:p>
        </w:tc>
        <w:tc>
          <w:tcPr>
            <w:tcW w:w="1711" w:type="dxa"/>
            <w:vMerge/>
            <w:vAlign w:val="center"/>
            <w:hideMark/>
          </w:tcPr>
          <w:p w:rsidR="00B719CE" w:rsidRPr="0020136C" w:rsidRDefault="00B719CE" w:rsidP="00B719CE">
            <w:pPr>
              <w:jc w:val="right"/>
              <w:rPr>
                <w:noProof/>
                <w:color w:val="FF0000"/>
                <w:lang w:bidi="gu-IN"/>
              </w:rPr>
            </w:pPr>
          </w:p>
        </w:tc>
        <w:tc>
          <w:tcPr>
            <w:tcW w:w="1267"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50"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44"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c>
          <w:tcPr>
            <w:tcW w:w="1331" w:type="dxa"/>
            <w:vAlign w:val="center"/>
            <w:hideMark/>
          </w:tcPr>
          <w:p w:rsidR="00B719CE" w:rsidRPr="0020136C" w:rsidRDefault="00B719CE" w:rsidP="00B719CE">
            <w:pPr>
              <w:jc w:val="center"/>
              <w:rPr>
                <w:noProof/>
                <w:color w:val="000000" w:themeColor="text1"/>
              </w:rPr>
            </w:pPr>
            <w:r w:rsidRPr="0020136C">
              <w:rPr>
                <w:noProof/>
                <w:color w:val="000000" w:themeColor="text1"/>
              </w:rPr>
              <w:t>0</w:t>
            </w:r>
          </w:p>
        </w:tc>
      </w:tr>
      <w:tr w:rsidR="00B719CE" w:rsidRPr="0020136C" w:rsidTr="00D109FB">
        <w:trPr>
          <w:trHeight w:val="5796"/>
        </w:trPr>
        <w:tc>
          <w:tcPr>
            <w:tcW w:w="2127" w:type="dxa"/>
            <w:hideMark/>
          </w:tcPr>
          <w:p w:rsidR="00B719CE" w:rsidRPr="0020136C" w:rsidRDefault="00B719CE" w:rsidP="00B719CE">
            <w:pPr>
              <w:rPr>
                <w:noProof/>
                <w:color w:val="000000" w:themeColor="text1"/>
                <w:lang w:bidi="gu-IN"/>
              </w:rPr>
            </w:pPr>
            <w:r w:rsidRPr="0020136C">
              <w:rPr>
                <w:noProof/>
                <w:color w:val="000000" w:themeColor="text1"/>
                <w:lang w:bidi="gu-IN"/>
              </w:rPr>
              <w:t>6</w:t>
            </w:r>
            <w:r w:rsidRPr="0020136C">
              <w:rPr>
                <w:b/>
                <w:noProof/>
                <w:color w:val="000000" w:themeColor="text1"/>
                <w:lang w:bidi="gu-IN"/>
              </w:rPr>
              <w:t>. Detalizēts ieņēmumu un izdevumu aprēķins</w:t>
            </w:r>
            <w:r w:rsidRPr="0020136C">
              <w:rPr>
                <w:noProof/>
                <w:color w:val="000000" w:themeColor="text1"/>
                <w:lang w:bidi="gu-IN"/>
              </w:rPr>
              <w:t xml:space="preserve"> (ja nepieciešams, detalizētu ieņēmumu un izdevumu aprēķinu var pievienot anotācijas pielikumā):</w:t>
            </w:r>
          </w:p>
        </w:tc>
        <w:tc>
          <w:tcPr>
            <w:tcW w:w="7003" w:type="dxa"/>
            <w:gridSpan w:val="5"/>
            <w:vMerge w:val="restart"/>
            <w:hideMark/>
          </w:tcPr>
          <w:p w:rsidR="00B719CE" w:rsidRPr="00B719CE" w:rsidRDefault="00B719CE" w:rsidP="00B719CE">
            <w:pPr>
              <w:ind w:left="159" w:right="140"/>
              <w:jc w:val="both"/>
              <w:rPr>
                <w:noProof/>
                <w:lang w:bidi="gu-IN"/>
              </w:rPr>
            </w:pPr>
            <w:r w:rsidRPr="00B719CE">
              <w:rPr>
                <w:noProof/>
                <w:lang w:bidi="gu-IN"/>
              </w:rPr>
              <w:t>Ambulatorajai ārstniecībai paredzēto zāļu iegādes kompensācija tiek finansēta Veselības ministrijas valsts pamatbudžeta programmas 33.00.00 „Veselības aprūpes nodrošināšana” apakš</w:t>
            </w:r>
            <w:r w:rsidRPr="00B719CE">
              <w:rPr>
                <w:noProof/>
                <w:lang w:bidi="gu-IN"/>
              </w:rPr>
              <w:softHyphen/>
              <w:t>programmas 33.03.00 „Kompensējamo medikamentu un materiālu apmaksāšana” ietvaros (adiministrē Nacionālais veselības dienests).</w:t>
            </w:r>
          </w:p>
          <w:p w:rsidR="00B719CE" w:rsidRPr="00B719CE" w:rsidRDefault="00B719CE" w:rsidP="00B719CE">
            <w:pPr>
              <w:spacing w:before="120" w:after="120"/>
              <w:ind w:left="159" w:right="142"/>
              <w:rPr>
                <w:noProof/>
                <w:lang w:bidi="gu-IN"/>
              </w:rPr>
            </w:pPr>
            <w:r w:rsidRPr="00B719CE">
              <w:rPr>
                <w:noProof/>
                <w:u w:val="single"/>
                <w:lang w:bidi="gu-IN"/>
              </w:rPr>
              <w:t>Atbilstoši likumam „Par valsts budžetu 2015.gadam</w:t>
            </w:r>
            <w:r w:rsidRPr="00B719CE">
              <w:rPr>
                <w:noProof/>
                <w:lang w:bidi="gu-IN"/>
              </w:rPr>
              <w:t>” finansējums  valsts pamatbudžeta programmas 33.00.00 „Veselības aprūpes nodrošināšana” apakš</w:t>
            </w:r>
            <w:r w:rsidRPr="00B719CE">
              <w:rPr>
                <w:noProof/>
                <w:lang w:bidi="gu-IN"/>
              </w:rPr>
              <w:softHyphen/>
              <w:t>programmā 33.03.00 „Kompensējamo medikamentu un materiālu apmaksāšana”:</w:t>
            </w:r>
          </w:p>
          <w:p w:rsidR="00B719CE" w:rsidRPr="00B719CE" w:rsidRDefault="00B719CE" w:rsidP="00B719CE">
            <w:pPr>
              <w:ind w:left="159" w:right="140"/>
              <w:jc w:val="both"/>
              <w:rPr>
                <w:noProof/>
                <w:lang w:bidi="gu-IN"/>
              </w:rPr>
            </w:pPr>
            <w:r w:rsidRPr="00B719CE">
              <w:rPr>
                <w:noProof/>
                <w:lang w:bidi="gu-IN"/>
              </w:rPr>
              <w:t>Ieņēmumi (resursi izdevumu segšanai) 118 526 969 </w:t>
            </w:r>
            <w:r w:rsidRPr="00B719CE">
              <w:rPr>
                <w:i/>
                <w:noProof/>
                <w:lang w:bidi="gu-IN"/>
              </w:rPr>
              <w:t>euro</w:t>
            </w:r>
            <w:r w:rsidRPr="00B719CE">
              <w:rPr>
                <w:noProof/>
                <w:lang w:bidi="gu-IN"/>
              </w:rPr>
              <w:t>,</w:t>
            </w:r>
          </w:p>
          <w:p w:rsidR="00B719CE" w:rsidRPr="00B719CE" w:rsidRDefault="00B719CE" w:rsidP="00B719CE">
            <w:pPr>
              <w:ind w:left="159" w:right="140"/>
              <w:jc w:val="both"/>
              <w:rPr>
                <w:noProof/>
                <w:lang w:bidi="gu-IN"/>
              </w:rPr>
            </w:pPr>
            <w:r w:rsidRPr="00B719CE">
              <w:rPr>
                <w:noProof/>
                <w:lang w:bidi="gu-IN"/>
              </w:rPr>
              <w:t>tai skaitā:</w:t>
            </w:r>
          </w:p>
          <w:p w:rsidR="00B719CE" w:rsidRPr="00B719CE" w:rsidRDefault="00B719CE" w:rsidP="00B719CE">
            <w:pPr>
              <w:ind w:left="159" w:right="140"/>
              <w:jc w:val="both"/>
              <w:rPr>
                <w:noProof/>
                <w:lang w:bidi="gu-IN"/>
              </w:rPr>
            </w:pPr>
            <w:r w:rsidRPr="00B719CE">
              <w:rPr>
                <w:noProof/>
                <w:lang w:bidi="gu-IN"/>
              </w:rPr>
              <w:t xml:space="preserve">dotācija no vispārējiem ieņēmumiem 118 504 915 </w:t>
            </w:r>
            <w:r w:rsidRPr="00B719CE">
              <w:rPr>
                <w:i/>
                <w:noProof/>
                <w:lang w:bidi="gu-IN"/>
              </w:rPr>
              <w:t>euro</w:t>
            </w:r>
            <w:r w:rsidRPr="00B719CE">
              <w:rPr>
                <w:noProof/>
                <w:lang w:bidi="gu-IN"/>
              </w:rPr>
              <w:t>,</w:t>
            </w:r>
          </w:p>
          <w:p w:rsidR="00B719CE" w:rsidRPr="00B719CE" w:rsidRDefault="00B719CE" w:rsidP="00B719CE">
            <w:pPr>
              <w:ind w:left="159" w:right="140"/>
              <w:jc w:val="both"/>
              <w:rPr>
                <w:noProof/>
                <w:lang w:bidi="gu-IN"/>
              </w:rPr>
            </w:pPr>
            <w:r w:rsidRPr="00B719CE">
              <w:rPr>
                <w:noProof/>
                <w:lang w:bidi="gu-IN"/>
              </w:rPr>
              <w:t>ieņēmumi no maksas pakalpojumiem un citi pašu ieņēmumi 22 054 </w:t>
            </w:r>
            <w:r w:rsidRPr="00B719CE">
              <w:rPr>
                <w:i/>
                <w:noProof/>
                <w:lang w:bidi="gu-IN"/>
              </w:rPr>
              <w:t>euro</w:t>
            </w:r>
          </w:p>
          <w:p w:rsidR="00B719CE" w:rsidRPr="00B719CE" w:rsidRDefault="00B719CE" w:rsidP="00B719CE">
            <w:pPr>
              <w:ind w:left="159" w:right="140"/>
              <w:jc w:val="both"/>
              <w:rPr>
                <w:noProof/>
                <w:lang w:bidi="gu-IN"/>
              </w:rPr>
            </w:pPr>
            <w:r w:rsidRPr="00B719CE">
              <w:rPr>
                <w:noProof/>
                <w:lang w:bidi="gu-IN"/>
              </w:rPr>
              <w:t xml:space="preserve">Izdevumi (subsīdijas un dotācijas) 118 526 969 </w:t>
            </w:r>
            <w:r w:rsidRPr="00B719CE">
              <w:rPr>
                <w:i/>
                <w:noProof/>
                <w:lang w:bidi="gu-IN"/>
              </w:rPr>
              <w:t>euro</w:t>
            </w:r>
            <w:r w:rsidRPr="00B719CE">
              <w:rPr>
                <w:noProof/>
                <w:lang w:bidi="gu-IN"/>
              </w:rPr>
              <w:t>.</w:t>
            </w:r>
          </w:p>
          <w:p w:rsidR="00B719CE" w:rsidRPr="00B719CE" w:rsidRDefault="00B719CE" w:rsidP="00B719CE">
            <w:pPr>
              <w:ind w:left="159" w:right="140"/>
              <w:jc w:val="both"/>
              <w:rPr>
                <w:noProof/>
                <w:lang w:bidi="gu-IN"/>
              </w:rPr>
            </w:pPr>
          </w:p>
          <w:p w:rsidR="00B719CE" w:rsidRPr="00B719CE" w:rsidRDefault="00B719CE" w:rsidP="00B719CE">
            <w:pPr>
              <w:spacing w:after="120"/>
              <w:ind w:left="159" w:right="142"/>
              <w:jc w:val="both"/>
              <w:rPr>
                <w:noProof/>
                <w:u w:val="single"/>
              </w:rPr>
            </w:pPr>
            <w:r w:rsidRPr="00B719CE">
              <w:rPr>
                <w:noProof/>
                <w:u w:val="single"/>
              </w:rPr>
              <w:t xml:space="preserve">Atbilstoši izmaiņām ar Finanšu ministrijas 2015.gada 29.maija rīkojumu Nr.227 un Finanšu ministrijas 2015.gada 17.septembra rīkojumu Nr.356 (līdz 2015.gada </w:t>
            </w:r>
            <w:r w:rsidR="00170BD4">
              <w:rPr>
                <w:noProof/>
                <w:u w:val="single"/>
              </w:rPr>
              <w:t>1.decembrim</w:t>
            </w:r>
            <w:r w:rsidRPr="00B719CE">
              <w:rPr>
                <w:noProof/>
                <w:u w:val="single"/>
              </w:rPr>
              <w:t xml:space="preserve">) </w:t>
            </w:r>
            <w:r w:rsidRPr="00B719CE">
              <w:rPr>
                <w:noProof/>
                <w:lang w:bidi="gu-IN"/>
              </w:rPr>
              <w:t xml:space="preserve">finansējums  valsts pamatbudžeta programmas 33.00.00 „Veselības aprūpes </w:t>
            </w:r>
            <w:r w:rsidRPr="00B719CE">
              <w:rPr>
                <w:noProof/>
                <w:lang w:bidi="gu-IN"/>
              </w:rPr>
              <w:lastRenderedPageBreak/>
              <w:t>nodrošināšana” apakš</w:t>
            </w:r>
            <w:r w:rsidRPr="00B719CE">
              <w:rPr>
                <w:noProof/>
                <w:lang w:bidi="gu-IN"/>
              </w:rPr>
              <w:softHyphen/>
              <w:t>programmā 33.03.00 „Kompensējamo medikamentu un materiālu apmaksāšana”</w:t>
            </w:r>
            <w:r w:rsidRPr="00B719CE">
              <w:rPr>
                <w:noProof/>
              </w:rPr>
              <w:t>:</w:t>
            </w:r>
          </w:p>
          <w:p w:rsidR="00B719CE" w:rsidRPr="00B719CE" w:rsidRDefault="00B719CE" w:rsidP="00B719CE">
            <w:pPr>
              <w:ind w:left="159" w:right="140"/>
              <w:jc w:val="both"/>
              <w:rPr>
                <w:noProof/>
                <w:lang w:bidi="gu-IN"/>
              </w:rPr>
            </w:pPr>
            <w:r w:rsidRPr="00B719CE">
              <w:rPr>
                <w:noProof/>
                <w:lang w:bidi="gu-IN"/>
              </w:rPr>
              <w:t>Ieņēmumi (resursi izdevumu segšanai) 120 827 024 </w:t>
            </w:r>
            <w:r w:rsidRPr="00B719CE">
              <w:rPr>
                <w:i/>
                <w:noProof/>
                <w:lang w:bidi="gu-IN"/>
              </w:rPr>
              <w:t>euro</w:t>
            </w:r>
            <w:r w:rsidRPr="00B719CE">
              <w:rPr>
                <w:noProof/>
                <w:lang w:bidi="gu-IN"/>
              </w:rPr>
              <w:t>,</w:t>
            </w:r>
          </w:p>
          <w:p w:rsidR="00B719CE" w:rsidRPr="00B719CE" w:rsidRDefault="00B719CE" w:rsidP="00B719CE">
            <w:pPr>
              <w:ind w:left="159" w:right="140"/>
              <w:jc w:val="both"/>
              <w:rPr>
                <w:noProof/>
                <w:lang w:bidi="gu-IN"/>
              </w:rPr>
            </w:pPr>
            <w:r w:rsidRPr="00B719CE">
              <w:rPr>
                <w:noProof/>
                <w:lang w:bidi="gu-IN"/>
              </w:rPr>
              <w:t>tai skaitā:</w:t>
            </w:r>
          </w:p>
          <w:p w:rsidR="00B719CE" w:rsidRPr="00B719CE" w:rsidRDefault="00B719CE" w:rsidP="00B719CE">
            <w:pPr>
              <w:ind w:left="159" w:right="140"/>
              <w:jc w:val="both"/>
              <w:rPr>
                <w:noProof/>
                <w:lang w:bidi="gu-IN"/>
              </w:rPr>
            </w:pPr>
            <w:r w:rsidRPr="00B719CE">
              <w:rPr>
                <w:noProof/>
                <w:lang w:bidi="gu-IN"/>
              </w:rPr>
              <w:t xml:space="preserve">dotācija no vispārējiem ieņēmumiem 118 504 915 </w:t>
            </w:r>
            <w:r w:rsidRPr="00B719CE">
              <w:rPr>
                <w:i/>
                <w:noProof/>
                <w:lang w:bidi="gu-IN"/>
              </w:rPr>
              <w:t>euro</w:t>
            </w:r>
            <w:r w:rsidRPr="00B719CE">
              <w:rPr>
                <w:noProof/>
                <w:lang w:bidi="gu-IN"/>
              </w:rPr>
              <w:t>,</w:t>
            </w:r>
          </w:p>
          <w:p w:rsidR="00B719CE" w:rsidRPr="00B719CE" w:rsidRDefault="00B719CE" w:rsidP="00B719CE">
            <w:pPr>
              <w:ind w:left="159" w:right="140"/>
              <w:jc w:val="both"/>
              <w:rPr>
                <w:noProof/>
                <w:lang w:bidi="gu-IN"/>
              </w:rPr>
            </w:pPr>
            <w:r w:rsidRPr="00B719CE">
              <w:rPr>
                <w:noProof/>
                <w:lang w:bidi="gu-IN"/>
              </w:rPr>
              <w:t>ieņēmumi no maksas pakalpojumiem un citi pašu ieņēmumi 2</w:t>
            </w:r>
            <w:r w:rsidR="003F1C74">
              <w:rPr>
                <w:noProof/>
                <w:lang w:bidi="gu-IN"/>
              </w:rPr>
              <w:t> </w:t>
            </w:r>
            <w:r w:rsidRPr="00B719CE">
              <w:rPr>
                <w:noProof/>
                <w:lang w:bidi="gu-IN"/>
              </w:rPr>
              <w:t>322</w:t>
            </w:r>
            <w:r w:rsidR="003F1C74">
              <w:rPr>
                <w:noProof/>
                <w:lang w:bidi="gu-IN"/>
              </w:rPr>
              <w:t> </w:t>
            </w:r>
            <w:r w:rsidRPr="00B719CE">
              <w:rPr>
                <w:noProof/>
                <w:lang w:bidi="gu-IN"/>
              </w:rPr>
              <w:t>109 </w:t>
            </w:r>
            <w:r w:rsidRPr="00B719CE">
              <w:rPr>
                <w:i/>
                <w:noProof/>
                <w:lang w:bidi="gu-IN"/>
              </w:rPr>
              <w:t>euro</w:t>
            </w:r>
          </w:p>
          <w:p w:rsidR="00B719CE" w:rsidRPr="00B719CE" w:rsidRDefault="00B719CE" w:rsidP="00B719CE">
            <w:pPr>
              <w:ind w:left="159" w:right="140"/>
              <w:jc w:val="both"/>
              <w:rPr>
                <w:noProof/>
                <w:lang w:bidi="gu-IN"/>
              </w:rPr>
            </w:pPr>
            <w:r w:rsidRPr="00B719CE">
              <w:rPr>
                <w:noProof/>
                <w:lang w:bidi="gu-IN"/>
              </w:rPr>
              <w:t xml:space="preserve">Izdevumi (subsīdijas un dotācijas) 120 938 958 </w:t>
            </w:r>
            <w:r w:rsidRPr="00B719CE">
              <w:rPr>
                <w:i/>
                <w:noProof/>
                <w:lang w:bidi="gu-IN"/>
              </w:rPr>
              <w:t>euro</w:t>
            </w:r>
            <w:r w:rsidRPr="00B719CE">
              <w:rPr>
                <w:noProof/>
                <w:lang w:bidi="gu-IN"/>
              </w:rPr>
              <w:t>.</w:t>
            </w:r>
          </w:p>
          <w:p w:rsidR="00B719CE" w:rsidRPr="00B719CE" w:rsidRDefault="00B719CE" w:rsidP="00B719CE">
            <w:pPr>
              <w:ind w:left="159" w:right="142"/>
              <w:jc w:val="both"/>
              <w:rPr>
                <w:i/>
                <w:noProof/>
              </w:rPr>
            </w:pPr>
            <w:r w:rsidRPr="00B719CE">
              <w:rPr>
                <w:noProof/>
              </w:rPr>
              <w:t xml:space="preserve">Finansēšana 111 934 </w:t>
            </w:r>
            <w:r w:rsidRPr="00B719CE">
              <w:rPr>
                <w:i/>
                <w:noProof/>
              </w:rPr>
              <w:t>euro</w:t>
            </w:r>
          </w:p>
          <w:p w:rsidR="00B719CE" w:rsidRPr="00B719CE" w:rsidRDefault="00B719CE" w:rsidP="00B719CE">
            <w:pPr>
              <w:ind w:left="159" w:right="142"/>
              <w:jc w:val="both"/>
              <w:rPr>
                <w:i/>
                <w:noProof/>
              </w:rPr>
            </w:pPr>
            <w:r w:rsidRPr="00B719CE">
              <w:rPr>
                <w:noProof/>
              </w:rPr>
              <w:t xml:space="preserve">  t.sk.maksas pakalpojumu naudas līdzekļu atlikums 111 934 </w:t>
            </w:r>
            <w:r w:rsidRPr="00B719CE">
              <w:rPr>
                <w:i/>
                <w:noProof/>
              </w:rPr>
              <w:t>euro</w:t>
            </w:r>
          </w:p>
          <w:p w:rsidR="00B719CE" w:rsidRPr="00B719CE" w:rsidRDefault="00B719CE" w:rsidP="00B719CE">
            <w:pPr>
              <w:ind w:right="140"/>
              <w:jc w:val="both"/>
              <w:rPr>
                <w:noProof/>
                <w:lang w:bidi="gu-IN"/>
              </w:rPr>
            </w:pPr>
          </w:p>
          <w:p w:rsidR="00B719CE" w:rsidRDefault="00B719CE" w:rsidP="00B719CE">
            <w:pPr>
              <w:spacing w:after="120"/>
              <w:ind w:left="159" w:right="142"/>
              <w:jc w:val="both"/>
              <w:rPr>
                <w:noProof/>
              </w:rPr>
            </w:pPr>
            <w:r w:rsidRPr="00B719CE">
              <w:rPr>
                <w:noProof/>
                <w:u w:val="single"/>
              </w:rPr>
              <w:t xml:space="preserve">Atbilstoši </w:t>
            </w:r>
            <w:r w:rsidR="00170BD4">
              <w:rPr>
                <w:noProof/>
                <w:u w:val="single"/>
              </w:rPr>
              <w:t>2015.gada 30.novembrī Saeim</w:t>
            </w:r>
            <w:r w:rsidR="002A701C">
              <w:rPr>
                <w:noProof/>
                <w:u w:val="single"/>
              </w:rPr>
              <w:t>ā</w:t>
            </w:r>
            <w:r w:rsidR="00170BD4">
              <w:rPr>
                <w:noProof/>
                <w:u w:val="single"/>
              </w:rPr>
              <w:t xml:space="preserve"> 2.lasījumā </w:t>
            </w:r>
            <w:r w:rsidR="002A701C">
              <w:rPr>
                <w:noProof/>
                <w:u w:val="single"/>
              </w:rPr>
              <w:t>pieņemtajam</w:t>
            </w:r>
            <w:r w:rsidR="00170BD4">
              <w:rPr>
                <w:noProof/>
                <w:u w:val="single"/>
              </w:rPr>
              <w:t xml:space="preserve"> likumam </w:t>
            </w:r>
            <w:r w:rsidR="00170BD4" w:rsidRPr="00170BD4">
              <w:rPr>
                <w:u w:val="single"/>
              </w:rPr>
              <w:t>„Par vidējā termiņa budžeta ietvaru 2016., 2017. un 2018.gadam”</w:t>
            </w:r>
            <w:r w:rsidRPr="00B719CE">
              <w:rPr>
                <w:noProof/>
                <w:lang w:bidi="gu-IN"/>
              </w:rPr>
              <w:t xml:space="preserve"> finansējums  valsts pamatbudžeta programmas 33.00.00 „Veselības aprūpes nodrošināšana” apakš</w:t>
            </w:r>
            <w:r w:rsidRPr="00B719CE">
              <w:rPr>
                <w:noProof/>
                <w:lang w:bidi="gu-IN"/>
              </w:rPr>
              <w:softHyphen/>
              <w:t>programmā 33.03.00 „Kompensējamo medikamentu un materiālu apmaksāšana”</w:t>
            </w:r>
            <w:r w:rsidRPr="00B719CE">
              <w:rPr>
                <w:noProof/>
              </w:rPr>
              <w:t>:</w:t>
            </w:r>
          </w:p>
          <w:p w:rsidR="00170BD4" w:rsidRPr="00B719CE" w:rsidRDefault="00170BD4" w:rsidP="00B719CE">
            <w:pPr>
              <w:spacing w:after="120"/>
              <w:ind w:left="159" w:right="142"/>
              <w:jc w:val="both"/>
              <w:rPr>
                <w:noProof/>
                <w:u w:val="single"/>
              </w:rPr>
            </w:pPr>
            <w:r>
              <w:rPr>
                <w:noProof/>
                <w:u w:val="single"/>
              </w:rPr>
              <w:t>2016.gadam:</w:t>
            </w:r>
          </w:p>
          <w:p w:rsidR="00B719CE" w:rsidRPr="00B719CE" w:rsidRDefault="00B719CE" w:rsidP="00B719CE">
            <w:pPr>
              <w:ind w:left="159" w:right="140"/>
              <w:jc w:val="both"/>
              <w:rPr>
                <w:noProof/>
                <w:lang w:bidi="gu-IN"/>
              </w:rPr>
            </w:pPr>
            <w:r w:rsidRPr="00B719CE">
              <w:rPr>
                <w:noProof/>
                <w:lang w:bidi="gu-IN"/>
              </w:rPr>
              <w:t>Ieņēmumi (resursi izdevumu segšanai) 12</w:t>
            </w:r>
            <w:r w:rsidR="00170BD4">
              <w:rPr>
                <w:noProof/>
                <w:lang w:bidi="gu-IN"/>
              </w:rPr>
              <w:t>4</w:t>
            </w:r>
            <w:r w:rsidRPr="00B719CE">
              <w:rPr>
                <w:noProof/>
                <w:lang w:bidi="gu-IN"/>
              </w:rPr>
              <w:t> </w:t>
            </w:r>
            <w:r w:rsidR="00170BD4">
              <w:rPr>
                <w:noProof/>
                <w:lang w:bidi="gu-IN"/>
              </w:rPr>
              <w:t>787</w:t>
            </w:r>
            <w:r w:rsidRPr="00B719CE">
              <w:rPr>
                <w:noProof/>
                <w:lang w:bidi="gu-IN"/>
              </w:rPr>
              <w:t xml:space="preserve"> </w:t>
            </w:r>
            <w:r w:rsidR="00170BD4">
              <w:rPr>
                <w:noProof/>
                <w:lang w:bidi="gu-IN"/>
              </w:rPr>
              <w:t>167</w:t>
            </w:r>
            <w:r w:rsidRPr="00B719CE">
              <w:rPr>
                <w:noProof/>
                <w:lang w:bidi="gu-IN"/>
              </w:rPr>
              <w:t> </w:t>
            </w:r>
            <w:r w:rsidRPr="00B719CE">
              <w:rPr>
                <w:i/>
                <w:noProof/>
                <w:lang w:bidi="gu-IN"/>
              </w:rPr>
              <w:t>euro</w:t>
            </w:r>
            <w:r w:rsidRPr="00B719CE">
              <w:rPr>
                <w:noProof/>
                <w:lang w:bidi="gu-IN"/>
              </w:rPr>
              <w:t>,</w:t>
            </w:r>
          </w:p>
          <w:p w:rsidR="00B719CE" w:rsidRPr="00B719CE" w:rsidRDefault="00B719CE" w:rsidP="00B719CE">
            <w:pPr>
              <w:ind w:left="159" w:right="140"/>
              <w:jc w:val="both"/>
              <w:rPr>
                <w:noProof/>
                <w:lang w:bidi="gu-IN"/>
              </w:rPr>
            </w:pPr>
            <w:r w:rsidRPr="00B719CE">
              <w:rPr>
                <w:noProof/>
                <w:lang w:bidi="gu-IN"/>
              </w:rPr>
              <w:t>tai skaitā:</w:t>
            </w:r>
          </w:p>
          <w:p w:rsidR="00B719CE" w:rsidRPr="00B719CE" w:rsidRDefault="00B719CE" w:rsidP="00B719CE">
            <w:pPr>
              <w:ind w:left="159" w:right="140"/>
              <w:jc w:val="both"/>
              <w:rPr>
                <w:noProof/>
                <w:lang w:bidi="gu-IN"/>
              </w:rPr>
            </w:pPr>
            <w:r w:rsidRPr="00B719CE">
              <w:rPr>
                <w:noProof/>
                <w:lang w:bidi="gu-IN"/>
              </w:rPr>
              <w:t>dotācija no vispārējiem ieņēmumiem 122</w:t>
            </w:r>
            <w:r w:rsidR="00170BD4">
              <w:rPr>
                <w:noProof/>
                <w:lang w:bidi="gu-IN"/>
              </w:rPr>
              <w:t> 722 195</w:t>
            </w:r>
            <w:r w:rsidRPr="00B719CE">
              <w:rPr>
                <w:noProof/>
                <w:lang w:bidi="gu-IN"/>
              </w:rPr>
              <w:t xml:space="preserve"> </w:t>
            </w:r>
            <w:r w:rsidRPr="00B719CE">
              <w:rPr>
                <w:i/>
                <w:noProof/>
                <w:lang w:bidi="gu-IN"/>
              </w:rPr>
              <w:t>euro</w:t>
            </w:r>
            <w:r w:rsidRPr="00B719CE">
              <w:rPr>
                <w:noProof/>
                <w:lang w:bidi="gu-IN"/>
              </w:rPr>
              <w:t>,</w:t>
            </w:r>
          </w:p>
          <w:p w:rsidR="00B719CE" w:rsidRPr="00B719CE" w:rsidRDefault="00B719CE" w:rsidP="00B719CE">
            <w:pPr>
              <w:ind w:left="159" w:right="140"/>
              <w:jc w:val="both"/>
              <w:rPr>
                <w:noProof/>
                <w:lang w:bidi="gu-IN"/>
              </w:rPr>
            </w:pPr>
            <w:r w:rsidRPr="00B719CE">
              <w:rPr>
                <w:noProof/>
                <w:lang w:bidi="gu-IN"/>
              </w:rPr>
              <w:t xml:space="preserve">ieņēmumi no maksas pakalpojumiem un citi pašu ieņēmumi </w:t>
            </w:r>
            <w:r w:rsidR="00170BD4">
              <w:rPr>
                <w:noProof/>
                <w:lang w:bidi="gu-IN"/>
              </w:rPr>
              <w:t>2</w:t>
            </w:r>
            <w:r w:rsidR="002A701C">
              <w:rPr>
                <w:noProof/>
                <w:lang w:bidi="gu-IN"/>
              </w:rPr>
              <w:t> </w:t>
            </w:r>
            <w:r w:rsidR="00170BD4">
              <w:rPr>
                <w:noProof/>
                <w:lang w:bidi="gu-IN"/>
              </w:rPr>
              <w:t>064</w:t>
            </w:r>
            <w:r w:rsidR="002A701C">
              <w:rPr>
                <w:noProof/>
                <w:lang w:bidi="gu-IN"/>
              </w:rPr>
              <w:t> </w:t>
            </w:r>
            <w:r w:rsidR="00170BD4">
              <w:rPr>
                <w:noProof/>
                <w:lang w:bidi="gu-IN"/>
              </w:rPr>
              <w:t>972</w:t>
            </w:r>
            <w:r w:rsidRPr="00B719CE">
              <w:rPr>
                <w:noProof/>
                <w:lang w:bidi="gu-IN"/>
              </w:rPr>
              <w:t> </w:t>
            </w:r>
            <w:r w:rsidRPr="00B719CE">
              <w:rPr>
                <w:i/>
                <w:noProof/>
                <w:lang w:bidi="gu-IN"/>
              </w:rPr>
              <w:t>euro</w:t>
            </w:r>
          </w:p>
          <w:p w:rsidR="00B719CE" w:rsidRDefault="00B719CE" w:rsidP="00B719CE">
            <w:pPr>
              <w:ind w:left="159" w:right="140"/>
              <w:jc w:val="both"/>
              <w:rPr>
                <w:noProof/>
                <w:lang w:bidi="gu-IN"/>
              </w:rPr>
            </w:pPr>
            <w:r w:rsidRPr="00B719CE">
              <w:rPr>
                <w:noProof/>
                <w:lang w:bidi="gu-IN"/>
              </w:rPr>
              <w:t xml:space="preserve">Izdevumi (subsīdijas un dotācijas) </w:t>
            </w:r>
            <w:r w:rsidR="00170BD4">
              <w:rPr>
                <w:noProof/>
                <w:lang w:bidi="gu-IN"/>
              </w:rPr>
              <w:t>124 787 167</w:t>
            </w:r>
            <w:r w:rsidRPr="00B719CE">
              <w:rPr>
                <w:noProof/>
                <w:lang w:bidi="gu-IN"/>
              </w:rPr>
              <w:t xml:space="preserve"> </w:t>
            </w:r>
            <w:r w:rsidRPr="00B719CE">
              <w:rPr>
                <w:i/>
                <w:noProof/>
                <w:lang w:bidi="gu-IN"/>
              </w:rPr>
              <w:t>euro</w:t>
            </w:r>
            <w:r w:rsidRPr="00B719CE">
              <w:rPr>
                <w:noProof/>
                <w:lang w:bidi="gu-IN"/>
              </w:rPr>
              <w:t>.</w:t>
            </w:r>
          </w:p>
          <w:p w:rsidR="00170BD4" w:rsidRPr="00B719CE" w:rsidRDefault="00170BD4" w:rsidP="00B719CE">
            <w:pPr>
              <w:ind w:left="159" w:right="140"/>
              <w:jc w:val="both"/>
              <w:rPr>
                <w:noProof/>
                <w:lang w:bidi="gu-IN"/>
              </w:rPr>
            </w:pPr>
          </w:p>
          <w:p w:rsidR="00170BD4" w:rsidRPr="00B719CE" w:rsidRDefault="00170BD4" w:rsidP="00170BD4">
            <w:pPr>
              <w:spacing w:after="120"/>
              <w:ind w:left="159" w:right="142"/>
              <w:jc w:val="both"/>
              <w:rPr>
                <w:noProof/>
                <w:u w:val="single"/>
              </w:rPr>
            </w:pPr>
            <w:r>
              <w:rPr>
                <w:noProof/>
                <w:u w:val="single"/>
              </w:rPr>
              <w:t>2017.gadam:</w:t>
            </w:r>
          </w:p>
          <w:p w:rsidR="00170BD4" w:rsidRPr="00B719CE" w:rsidRDefault="00170BD4" w:rsidP="00170BD4">
            <w:pPr>
              <w:ind w:left="159" w:right="140"/>
              <w:jc w:val="both"/>
              <w:rPr>
                <w:noProof/>
                <w:lang w:bidi="gu-IN"/>
              </w:rPr>
            </w:pPr>
            <w:r w:rsidRPr="00B719CE">
              <w:rPr>
                <w:noProof/>
                <w:lang w:bidi="gu-IN"/>
              </w:rPr>
              <w:t>Ieņēmumi (resursi izdevumu segšanai) 122</w:t>
            </w:r>
            <w:r>
              <w:rPr>
                <w:noProof/>
                <w:lang w:bidi="gu-IN"/>
              </w:rPr>
              <w:t> 521 249</w:t>
            </w:r>
            <w:r w:rsidRPr="00B719CE">
              <w:rPr>
                <w:noProof/>
                <w:lang w:bidi="gu-IN"/>
              </w:rPr>
              <w:t> </w:t>
            </w:r>
            <w:r w:rsidRPr="00B719CE">
              <w:rPr>
                <w:i/>
                <w:noProof/>
                <w:lang w:bidi="gu-IN"/>
              </w:rPr>
              <w:t>euro</w:t>
            </w:r>
            <w:r w:rsidRPr="00B719CE">
              <w:rPr>
                <w:noProof/>
                <w:lang w:bidi="gu-IN"/>
              </w:rPr>
              <w:t>,</w:t>
            </w:r>
          </w:p>
          <w:p w:rsidR="00170BD4" w:rsidRPr="00B719CE" w:rsidRDefault="00170BD4" w:rsidP="00170BD4">
            <w:pPr>
              <w:ind w:left="159" w:right="140"/>
              <w:jc w:val="both"/>
              <w:rPr>
                <w:noProof/>
                <w:lang w:bidi="gu-IN"/>
              </w:rPr>
            </w:pPr>
            <w:r w:rsidRPr="00B719CE">
              <w:rPr>
                <w:noProof/>
                <w:lang w:bidi="gu-IN"/>
              </w:rPr>
              <w:t>tai skaitā:</w:t>
            </w:r>
          </w:p>
          <w:p w:rsidR="00170BD4" w:rsidRPr="00B719CE" w:rsidRDefault="00170BD4" w:rsidP="00170BD4">
            <w:pPr>
              <w:ind w:left="159" w:right="140"/>
              <w:jc w:val="both"/>
              <w:rPr>
                <w:noProof/>
                <w:lang w:bidi="gu-IN"/>
              </w:rPr>
            </w:pPr>
            <w:r w:rsidRPr="00B719CE">
              <w:rPr>
                <w:noProof/>
                <w:lang w:bidi="gu-IN"/>
              </w:rPr>
              <w:t>dotācija no vispārējiem ieņēmumiem 122</w:t>
            </w:r>
            <w:r>
              <w:rPr>
                <w:noProof/>
                <w:lang w:bidi="gu-IN"/>
              </w:rPr>
              <w:t> 499 195</w:t>
            </w:r>
            <w:r w:rsidRPr="00B719CE">
              <w:rPr>
                <w:noProof/>
                <w:lang w:bidi="gu-IN"/>
              </w:rPr>
              <w:t xml:space="preserve"> </w:t>
            </w:r>
            <w:r w:rsidRPr="00B719CE">
              <w:rPr>
                <w:i/>
                <w:noProof/>
                <w:lang w:bidi="gu-IN"/>
              </w:rPr>
              <w:t>euro</w:t>
            </w:r>
            <w:r w:rsidRPr="00B719CE">
              <w:rPr>
                <w:noProof/>
                <w:lang w:bidi="gu-IN"/>
              </w:rPr>
              <w:t>,</w:t>
            </w:r>
          </w:p>
          <w:p w:rsidR="00170BD4" w:rsidRPr="00B719CE" w:rsidRDefault="00170BD4" w:rsidP="00170BD4">
            <w:pPr>
              <w:ind w:left="159" w:right="140"/>
              <w:jc w:val="both"/>
              <w:rPr>
                <w:noProof/>
                <w:lang w:bidi="gu-IN"/>
              </w:rPr>
            </w:pPr>
            <w:r w:rsidRPr="00B719CE">
              <w:rPr>
                <w:noProof/>
                <w:lang w:bidi="gu-IN"/>
              </w:rPr>
              <w:t>ieņēmumi no maksas pakalpojumiem un citi pašu ieņēmumi 22</w:t>
            </w:r>
            <w:r w:rsidR="003F1C74">
              <w:rPr>
                <w:noProof/>
                <w:lang w:bidi="gu-IN"/>
              </w:rPr>
              <w:t> </w:t>
            </w:r>
            <w:r w:rsidRPr="00B719CE">
              <w:rPr>
                <w:noProof/>
                <w:lang w:bidi="gu-IN"/>
              </w:rPr>
              <w:t>054 </w:t>
            </w:r>
            <w:r w:rsidRPr="00B719CE">
              <w:rPr>
                <w:i/>
                <w:noProof/>
                <w:lang w:bidi="gu-IN"/>
              </w:rPr>
              <w:t>euro</w:t>
            </w:r>
          </w:p>
          <w:p w:rsidR="00170BD4" w:rsidRDefault="00170BD4" w:rsidP="00170BD4">
            <w:pPr>
              <w:ind w:left="159" w:right="140"/>
              <w:jc w:val="both"/>
              <w:rPr>
                <w:noProof/>
                <w:lang w:bidi="gu-IN"/>
              </w:rPr>
            </w:pPr>
            <w:r w:rsidRPr="00B719CE">
              <w:rPr>
                <w:noProof/>
                <w:lang w:bidi="gu-IN"/>
              </w:rPr>
              <w:t>Izdevumi (subsīdijas un dotācijas) 122</w:t>
            </w:r>
            <w:r>
              <w:rPr>
                <w:noProof/>
                <w:lang w:bidi="gu-IN"/>
              </w:rPr>
              <w:t> 521 249</w:t>
            </w:r>
            <w:r w:rsidRPr="00B719CE">
              <w:rPr>
                <w:noProof/>
                <w:lang w:bidi="gu-IN"/>
              </w:rPr>
              <w:t xml:space="preserve"> </w:t>
            </w:r>
            <w:r w:rsidRPr="00B719CE">
              <w:rPr>
                <w:i/>
                <w:noProof/>
                <w:lang w:bidi="gu-IN"/>
              </w:rPr>
              <w:t>euro</w:t>
            </w:r>
            <w:r w:rsidRPr="00B719CE">
              <w:rPr>
                <w:noProof/>
                <w:lang w:bidi="gu-IN"/>
              </w:rPr>
              <w:t>.</w:t>
            </w:r>
          </w:p>
          <w:p w:rsidR="00B719CE" w:rsidRDefault="00B719CE" w:rsidP="00B719CE">
            <w:pPr>
              <w:ind w:left="159" w:right="142"/>
              <w:jc w:val="both"/>
              <w:rPr>
                <w:noProof/>
                <w:lang w:bidi="gu-IN"/>
              </w:rPr>
            </w:pPr>
          </w:p>
          <w:p w:rsidR="00170BD4" w:rsidRPr="00B719CE" w:rsidRDefault="00170BD4" w:rsidP="00170BD4">
            <w:pPr>
              <w:spacing w:after="120"/>
              <w:ind w:left="159" w:right="142"/>
              <w:jc w:val="both"/>
              <w:rPr>
                <w:noProof/>
                <w:u w:val="single"/>
              </w:rPr>
            </w:pPr>
            <w:r>
              <w:rPr>
                <w:noProof/>
                <w:u w:val="single"/>
              </w:rPr>
              <w:t>2018.gadam:</w:t>
            </w:r>
          </w:p>
          <w:p w:rsidR="00170BD4" w:rsidRPr="00B719CE" w:rsidRDefault="00170BD4" w:rsidP="00170BD4">
            <w:pPr>
              <w:ind w:left="159" w:right="140"/>
              <w:jc w:val="both"/>
              <w:rPr>
                <w:noProof/>
                <w:lang w:bidi="gu-IN"/>
              </w:rPr>
            </w:pPr>
            <w:r w:rsidRPr="00B719CE">
              <w:rPr>
                <w:noProof/>
                <w:lang w:bidi="gu-IN"/>
              </w:rPr>
              <w:t>Ieņēmumi (resursi izdevumu segšanai) 122 283 386 </w:t>
            </w:r>
            <w:r w:rsidRPr="00B719CE">
              <w:rPr>
                <w:i/>
                <w:noProof/>
                <w:lang w:bidi="gu-IN"/>
              </w:rPr>
              <w:t>euro</w:t>
            </w:r>
            <w:r w:rsidRPr="00B719CE">
              <w:rPr>
                <w:noProof/>
                <w:lang w:bidi="gu-IN"/>
              </w:rPr>
              <w:t>,</w:t>
            </w:r>
          </w:p>
          <w:p w:rsidR="00170BD4" w:rsidRPr="00B719CE" w:rsidRDefault="00170BD4" w:rsidP="00170BD4">
            <w:pPr>
              <w:ind w:left="159" w:right="140"/>
              <w:jc w:val="both"/>
              <w:rPr>
                <w:noProof/>
                <w:lang w:bidi="gu-IN"/>
              </w:rPr>
            </w:pPr>
            <w:r w:rsidRPr="00B719CE">
              <w:rPr>
                <w:noProof/>
                <w:lang w:bidi="gu-IN"/>
              </w:rPr>
              <w:t>tai skaitā:</w:t>
            </w:r>
          </w:p>
          <w:p w:rsidR="00170BD4" w:rsidRPr="00B719CE" w:rsidRDefault="00170BD4" w:rsidP="00170BD4">
            <w:pPr>
              <w:ind w:left="159" w:right="140"/>
              <w:jc w:val="both"/>
              <w:rPr>
                <w:noProof/>
                <w:lang w:bidi="gu-IN"/>
              </w:rPr>
            </w:pPr>
            <w:r w:rsidRPr="00B719CE">
              <w:rPr>
                <w:noProof/>
                <w:lang w:bidi="gu-IN"/>
              </w:rPr>
              <w:t xml:space="preserve">dotācija no vispārējiem ieņēmumiem 122 261 332 </w:t>
            </w:r>
            <w:r w:rsidRPr="00B719CE">
              <w:rPr>
                <w:i/>
                <w:noProof/>
                <w:lang w:bidi="gu-IN"/>
              </w:rPr>
              <w:t>euro</w:t>
            </w:r>
            <w:r w:rsidRPr="00B719CE">
              <w:rPr>
                <w:noProof/>
                <w:lang w:bidi="gu-IN"/>
              </w:rPr>
              <w:t>,</w:t>
            </w:r>
          </w:p>
          <w:p w:rsidR="00170BD4" w:rsidRPr="00B719CE" w:rsidRDefault="00170BD4" w:rsidP="00170BD4">
            <w:pPr>
              <w:ind w:left="159" w:right="140"/>
              <w:jc w:val="both"/>
              <w:rPr>
                <w:noProof/>
                <w:lang w:bidi="gu-IN"/>
              </w:rPr>
            </w:pPr>
            <w:r w:rsidRPr="00B719CE">
              <w:rPr>
                <w:noProof/>
                <w:lang w:bidi="gu-IN"/>
              </w:rPr>
              <w:t>ieņēmumi no maksas pakalpojumiem un citi pašu ieņēmumi 22</w:t>
            </w:r>
            <w:r w:rsidR="003F1C74">
              <w:rPr>
                <w:noProof/>
                <w:lang w:bidi="gu-IN"/>
              </w:rPr>
              <w:t> </w:t>
            </w:r>
            <w:r w:rsidRPr="00B719CE">
              <w:rPr>
                <w:noProof/>
                <w:lang w:bidi="gu-IN"/>
              </w:rPr>
              <w:t>054 </w:t>
            </w:r>
            <w:r w:rsidRPr="00B719CE">
              <w:rPr>
                <w:i/>
                <w:noProof/>
                <w:lang w:bidi="gu-IN"/>
              </w:rPr>
              <w:t>euro</w:t>
            </w:r>
          </w:p>
          <w:p w:rsidR="00170BD4" w:rsidRDefault="00170BD4" w:rsidP="00170BD4">
            <w:pPr>
              <w:ind w:left="159" w:right="140"/>
              <w:jc w:val="both"/>
              <w:rPr>
                <w:noProof/>
                <w:lang w:bidi="gu-IN"/>
              </w:rPr>
            </w:pPr>
            <w:r w:rsidRPr="00B719CE">
              <w:rPr>
                <w:noProof/>
                <w:lang w:bidi="gu-IN"/>
              </w:rPr>
              <w:t xml:space="preserve">Izdevumi (subsīdijas un dotācijas) 122 283 386 </w:t>
            </w:r>
            <w:r w:rsidRPr="00B719CE">
              <w:rPr>
                <w:i/>
                <w:noProof/>
                <w:lang w:bidi="gu-IN"/>
              </w:rPr>
              <w:t>euro</w:t>
            </w:r>
            <w:r w:rsidRPr="00B719CE">
              <w:rPr>
                <w:noProof/>
                <w:lang w:bidi="gu-IN"/>
              </w:rPr>
              <w:t>.</w:t>
            </w:r>
          </w:p>
          <w:p w:rsidR="00170BD4" w:rsidRPr="00B719CE" w:rsidRDefault="00170BD4" w:rsidP="00B719CE">
            <w:pPr>
              <w:ind w:left="159" w:right="142"/>
              <w:jc w:val="both"/>
              <w:rPr>
                <w:noProof/>
                <w:lang w:bidi="gu-IN"/>
              </w:rPr>
            </w:pPr>
          </w:p>
          <w:p w:rsidR="00B719CE" w:rsidRPr="00B719CE" w:rsidRDefault="00B719CE" w:rsidP="00B719CE">
            <w:pPr>
              <w:ind w:left="159" w:right="142"/>
              <w:jc w:val="both"/>
              <w:rPr>
                <w:noProof/>
                <w:u w:val="single"/>
                <w:lang w:eastAsia="en-US" w:bidi="gu-IN"/>
              </w:rPr>
            </w:pPr>
            <w:r w:rsidRPr="00B719CE">
              <w:rPr>
                <w:noProof/>
                <w:lang w:bidi="gu-IN"/>
              </w:rPr>
              <w:t xml:space="preserve">2016.-2018.gadam veselības nozarei tika piešķirts </w:t>
            </w:r>
            <w:r w:rsidRPr="00B719CE">
              <w:rPr>
                <w:b/>
                <w:noProof/>
                <w:lang w:bidi="gu-IN"/>
              </w:rPr>
              <w:t xml:space="preserve">papildus finansējums </w:t>
            </w:r>
            <w:r w:rsidRPr="00B719CE">
              <w:rPr>
                <w:noProof/>
                <w:lang w:bidi="gu-IN"/>
              </w:rPr>
              <w:t>neatliekamo pasākumu nodrošināšanai, tai skaitā kompensējamo medikamentu apmaksai C-hepatīta un HIV/AIDS pacientiem 2016.gadā</w:t>
            </w:r>
            <w:r w:rsidRPr="00B719CE">
              <w:rPr>
                <w:b/>
                <w:noProof/>
                <w:lang w:bidi="gu-IN"/>
              </w:rPr>
              <w:t xml:space="preserve"> 4 217 280 </w:t>
            </w:r>
            <w:r w:rsidRPr="00B719CE">
              <w:rPr>
                <w:b/>
                <w:i/>
                <w:noProof/>
                <w:lang w:bidi="gu-IN"/>
              </w:rPr>
              <w:t>euro</w:t>
            </w:r>
            <w:r w:rsidRPr="00B719CE">
              <w:rPr>
                <w:noProof/>
                <w:lang w:bidi="gu-IN"/>
              </w:rPr>
              <w:t>, 2017.gadā</w:t>
            </w:r>
            <w:r w:rsidRPr="00B719CE">
              <w:rPr>
                <w:b/>
                <w:noProof/>
                <w:lang w:bidi="gu-IN"/>
              </w:rPr>
              <w:t xml:space="preserve"> 3 994 280 </w:t>
            </w:r>
            <w:r w:rsidRPr="00B719CE">
              <w:rPr>
                <w:b/>
                <w:i/>
                <w:noProof/>
                <w:lang w:bidi="gu-IN"/>
              </w:rPr>
              <w:t>euro</w:t>
            </w:r>
            <w:r w:rsidRPr="00B719CE">
              <w:rPr>
                <w:noProof/>
                <w:lang w:bidi="gu-IN"/>
              </w:rPr>
              <w:t xml:space="preserve"> un 2018.gadā </w:t>
            </w:r>
            <w:r w:rsidRPr="00B719CE">
              <w:rPr>
                <w:b/>
                <w:noProof/>
                <w:lang w:bidi="gu-IN"/>
              </w:rPr>
              <w:t xml:space="preserve">3 756 417 </w:t>
            </w:r>
            <w:r w:rsidRPr="00B719CE">
              <w:rPr>
                <w:b/>
                <w:i/>
                <w:noProof/>
                <w:lang w:bidi="gu-IN"/>
              </w:rPr>
              <w:t>euro</w:t>
            </w:r>
            <w:r w:rsidRPr="00B719CE">
              <w:rPr>
                <w:noProof/>
                <w:lang w:bidi="gu-IN"/>
              </w:rPr>
              <w:t xml:space="preserve"> apmērā (27.08.2015 MK prot. Nr.42, 3.§ 6.15.p.). </w:t>
            </w:r>
          </w:p>
          <w:p w:rsidR="00B719CE" w:rsidRPr="00B719CE" w:rsidRDefault="00B719CE" w:rsidP="00B719CE">
            <w:pPr>
              <w:ind w:left="159" w:right="142"/>
              <w:jc w:val="both"/>
              <w:rPr>
                <w:b/>
                <w:noProof/>
              </w:rPr>
            </w:pPr>
          </w:p>
          <w:p w:rsidR="00B719CE" w:rsidRPr="00B719CE" w:rsidRDefault="00B719CE" w:rsidP="00B719CE">
            <w:pPr>
              <w:spacing w:after="120"/>
              <w:ind w:left="159" w:right="142"/>
              <w:jc w:val="both"/>
              <w:rPr>
                <w:noProof/>
                <w:lang w:eastAsia="en-US" w:bidi="gu-IN"/>
              </w:rPr>
            </w:pPr>
            <w:r w:rsidRPr="00B719CE">
              <w:rPr>
                <w:noProof/>
                <w:u w:val="single"/>
                <w:lang w:eastAsia="en-US" w:bidi="gu-IN"/>
              </w:rPr>
              <w:lastRenderedPageBreak/>
              <w:t>Izmaiņas, ko paredz Noteikumu projekts, kam tiek novirzīts papildus piešķirtais finansējums</w:t>
            </w:r>
            <w:r w:rsidRPr="00B719CE">
              <w:rPr>
                <w:noProof/>
                <w:lang w:eastAsia="en-US" w:bidi="gu-IN"/>
              </w:rPr>
              <w:t>:</w:t>
            </w:r>
          </w:p>
          <w:p w:rsidR="00B719CE" w:rsidRPr="00B719CE" w:rsidRDefault="00B719CE" w:rsidP="00B719CE">
            <w:pPr>
              <w:pStyle w:val="ListParagraph"/>
              <w:numPr>
                <w:ilvl w:val="0"/>
                <w:numId w:val="32"/>
              </w:numPr>
              <w:spacing w:after="60"/>
              <w:ind w:left="159" w:right="142" w:firstLine="0"/>
              <w:jc w:val="both"/>
              <w:rPr>
                <w:rFonts w:ascii="Times New Roman" w:hAnsi="Times New Roman"/>
                <w:b/>
                <w:noProof/>
                <w:color w:val="000000"/>
                <w:sz w:val="24"/>
                <w:szCs w:val="24"/>
              </w:rPr>
            </w:pPr>
            <w:r w:rsidRPr="00B719CE">
              <w:rPr>
                <w:rFonts w:ascii="Times New Roman" w:hAnsi="Times New Roman"/>
                <w:b/>
                <w:noProof/>
                <w:color w:val="000000"/>
                <w:sz w:val="24"/>
                <w:szCs w:val="24"/>
              </w:rPr>
              <w:t xml:space="preserve">HIV/AIDS terapijas uzsākšana no 350 CD4 šūnām </w:t>
            </w:r>
          </w:p>
          <w:p w:rsidR="00B719CE" w:rsidRPr="00B719CE" w:rsidRDefault="00B719CE" w:rsidP="00B719CE">
            <w:pPr>
              <w:spacing w:after="60"/>
              <w:ind w:left="159" w:right="142"/>
              <w:jc w:val="both"/>
              <w:rPr>
                <w:noProof/>
                <w:lang w:bidi="gu-IN"/>
              </w:rPr>
            </w:pPr>
            <w:r w:rsidRPr="00B719CE">
              <w:rPr>
                <w:noProof/>
                <w:lang w:bidi="gu-IN"/>
              </w:rPr>
              <w:t xml:space="preserve">Aprēķins: </w:t>
            </w:r>
          </w:p>
          <w:p w:rsidR="00B719CE" w:rsidRDefault="00B719CE" w:rsidP="00B719CE">
            <w:pPr>
              <w:ind w:left="159"/>
              <w:jc w:val="both"/>
              <w:rPr>
                <w:color w:val="000000"/>
              </w:rPr>
            </w:pPr>
            <w:r w:rsidRPr="00B719CE">
              <w:rPr>
                <w:color w:val="000000"/>
              </w:rPr>
              <w:t xml:space="preserve">1.-2.līnijas izmaksas vienam pacientam 6193 </w:t>
            </w:r>
            <w:proofErr w:type="spellStart"/>
            <w:r w:rsidRPr="00B719CE">
              <w:rPr>
                <w:i/>
                <w:color w:val="000000"/>
              </w:rPr>
              <w:t>euro</w:t>
            </w:r>
            <w:proofErr w:type="spellEnd"/>
            <w:r w:rsidRPr="00B719CE">
              <w:rPr>
                <w:color w:val="000000"/>
              </w:rPr>
              <w:t xml:space="preserve"> gadā jeb 516 </w:t>
            </w:r>
            <w:proofErr w:type="spellStart"/>
            <w:r w:rsidRPr="00B719CE">
              <w:rPr>
                <w:i/>
                <w:color w:val="000000"/>
              </w:rPr>
              <w:t>euro</w:t>
            </w:r>
            <w:proofErr w:type="spellEnd"/>
            <w:r w:rsidRPr="00B719CE">
              <w:rPr>
                <w:color w:val="000000"/>
              </w:rPr>
              <w:t xml:space="preserve"> mēnesī. No 2016.gada 1.janvāra terapiju sāk 17 pacienti un turpmāk katru mēnesi skaits palielinās par 17.</w:t>
            </w:r>
          </w:p>
          <w:p w:rsidR="00B719CE" w:rsidRPr="00B719CE" w:rsidRDefault="00B719CE" w:rsidP="00B719CE">
            <w:pPr>
              <w:ind w:left="159"/>
              <w:jc w:val="both"/>
              <w:rPr>
                <w:color w:val="000000"/>
              </w:rPr>
            </w:pPr>
          </w:p>
          <w:tbl>
            <w:tblPr>
              <w:tblW w:w="7051" w:type="dxa"/>
              <w:tblLayout w:type="fixed"/>
              <w:tblLook w:val="04A0"/>
            </w:tblPr>
            <w:tblGrid>
              <w:gridCol w:w="1638"/>
              <w:gridCol w:w="829"/>
              <w:gridCol w:w="870"/>
              <w:gridCol w:w="850"/>
              <w:gridCol w:w="709"/>
              <w:gridCol w:w="995"/>
              <w:gridCol w:w="1135"/>
              <w:gridCol w:w="25"/>
            </w:tblGrid>
            <w:tr w:rsidR="00B719CE" w:rsidRPr="00B719CE" w:rsidTr="003F1C74">
              <w:trPr>
                <w:gridAfter w:val="1"/>
                <w:wAfter w:w="25" w:type="dxa"/>
                <w:trHeight w:val="300"/>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9CE" w:rsidRPr="00B719CE" w:rsidRDefault="00B719CE" w:rsidP="00B719CE">
                  <w:pPr>
                    <w:ind w:right="54"/>
                    <w:rPr>
                      <w:color w:val="000000"/>
                      <w:sz w:val="18"/>
                      <w:szCs w:val="18"/>
                      <w:lang w:eastAsia="en-US"/>
                    </w:rPr>
                  </w:pPr>
                  <w:r w:rsidRPr="00B719CE">
                    <w:rPr>
                      <w:color w:val="000000"/>
                      <w:sz w:val="18"/>
                      <w:szCs w:val="18"/>
                      <w:lang w:eastAsia="en-US"/>
                    </w:rPr>
                    <w:t> </w:t>
                  </w:r>
                </w:p>
              </w:tc>
              <w:tc>
                <w:tcPr>
                  <w:tcW w:w="5388" w:type="dxa"/>
                  <w:gridSpan w:val="6"/>
                  <w:tcBorders>
                    <w:top w:val="single" w:sz="4" w:space="0" w:color="auto"/>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b/>
                      <w:bCs/>
                      <w:color w:val="000000"/>
                      <w:sz w:val="18"/>
                      <w:szCs w:val="18"/>
                      <w:lang w:eastAsia="en-US"/>
                    </w:rPr>
                  </w:pPr>
                  <w:r w:rsidRPr="00B719CE">
                    <w:rPr>
                      <w:b/>
                      <w:bCs/>
                      <w:color w:val="000000"/>
                      <w:sz w:val="18"/>
                      <w:szCs w:val="18"/>
                      <w:lang w:eastAsia="en-US"/>
                    </w:rPr>
                    <w:t>2016.GADS</w:t>
                  </w:r>
                </w:p>
              </w:tc>
            </w:tr>
            <w:tr w:rsidR="00B719CE" w:rsidRPr="00B719CE" w:rsidTr="003F1C7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B719CE" w:rsidRPr="00B719CE" w:rsidRDefault="00B719CE" w:rsidP="00B719CE">
                  <w:pPr>
                    <w:ind w:right="54"/>
                    <w:jc w:val="center"/>
                    <w:rPr>
                      <w:sz w:val="18"/>
                      <w:szCs w:val="18"/>
                      <w:lang w:eastAsia="en-US"/>
                    </w:rPr>
                  </w:pPr>
                  <w:r w:rsidRPr="00B719CE">
                    <w:rPr>
                      <w:sz w:val="18"/>
                      <w:szCs w:val="18"/>
                      <w:lang w:eastAsia="en-US"/>
                    </w:rPr>
                    <w:t> </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Janvāris</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Februāris</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Marts</w:t>
                  </w:r>
                </w:p>
              </w:tc>
              <w:tc>
                <w:tcPr>
                  <w:tcW w:w="70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Aprīlis</w:t>
                  </w:r>
                </w:p>
              </w:tc>
              <w:tc>
                <w:tcPr>
                  <w:tcW w:w="995"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 xml:space="preserve">Maijs </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Jūnijs</w:t>
                  </w:r>
                </w:p>
              </w:tc>
            </w:tr>
            <w:tr w:rsidR="00B719CE" w:rsidRPr="00B719CE" w:rsidTr="003F1C7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B719CE" w:rsidRPr="00B719CE" w:rsidRDefault="00B719CE" w:rsidP="00B719CE">
                  <w:pPr>
                    <w:ind w:right="54"/>
                    <w:rPr>
                      <w:b/>
                      <w:bCs/>
                      <w:sz w:val="18"/>
                      <w:szCs w:val="18"/>
                      <w:lang w:eastAsia="en-US"/>
                    </w:rPr>
                  </w:pPr>
                  <w:r w:rsidRPr="00B719CE">
                    <w:rPr>
                      <w:b/>
                      <w:bCs/>
                      <w:sz w:val="18"/>
                      <w:szCs w:val="18"/>
                      <w:lang w:eastAsia="en-US"/>
                    </w:rPr>
                    <w:t>Izmaksas kopā, EUR</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8 772</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17 544</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26 316</w:t>
                  </w:r>
                </w:p>
              </w:tc>
              <w:tc>
                <w:tcPr>
                  <w:tcW w:w="70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35 088</w:t>
                  </w:r>
                </w:p>
              </w:tc>
              <w:tc>
                <w:tcPr>
                  <w:tcW w:w="995"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43 860</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52 632</w:t>
                  </w:r>
                </w:p>
              </w:tc>
            </w:tr>
            <w:tr w:rsidR="00B719CE" w:rsidRPr="00B719CE" w:rsidTr="003F1C74">
              <w:trPr>
                <w:trHeight w:val="480"/>
              </w:trPr>
              <w:tc>
                <w:tcPr>
                  <w:tcW w:w="1638" w:type="dxa"/>
                  <w:tcBorders>
                    <w:top w:val="nil"/>
                    <w:left w:val="single" w:sz="4" w:space="0" w:color="auto"/>
                    <w:bottom w:val="single" w:sz="4" w:space="0" w:color="auto"/>
                    <w:right w:val="single" w:sz="4" w:space="0" w:color="auto"/>
                  </w:tcBorders>
                  <w:shd w:val="clear" w:color="auto" w:fill="auto"/>
                  <w:vAlign w:val="center"/>
                  <w:hideMark/>
                </w:tcPr>
                <w:p w:rsidR="00B719CE" w:rsidRPr="00B719CE" w:rsidRDefault="00B719CE" w:rsidP="00B719CE">
                  <w:pPr>
                    <w:ind w:right="54"/>
                    <w:rPr>
                      <w:sz w:val="18"/>
                      <w:szCs w:val="18"/>
                      <w:lang w:eastAsia="en-US"/>
                    </w:rPr>
                  </w:pPr>
                  <w:r w:rsidRPr="00B719CE">
                    <w:rPr>
                      <w:sz w:val="18"/>
                      <w:szCs w:val="18"/>
                      <w:lang w:eastAsia="en-US"/>
                    </w:rPr>
                    <w:t xml:space="preserve">Terapiju uzsākušo pacientu skaits </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17</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34</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51</w:t>
                  </w:r>
                </w:p>
              </w:tc>
              <w:tc>
                <w:tcPr>
                  <w:tcW w:w="70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68</w:t>
                  </w:r>
                </w:p>
              </w:tc>
              <w:tc>
                <w:tcPr>
                  <w:tcW w:w="995"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85</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102</w:t>
                  </w:r>
                </w:p>
              </w:tc>
            </w:tr>
            <w:tr w:rsidR="00B719CE" w:rsidRPr="00B719CE" w:rsidTr="003F1C7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B719CE" w:rsidRPr="00B719CE" w:rsidRDefault="00B719CE" w:rsidP="00B719CE">
                  <w:pPr>
                    <w:ind w:right="54"/>
                    <w:jc w:val="center"/>
                    <w:rPr>
                      <w:sz w:val="18"/>
                      <w:szCs w:val="18"/>
                      <w:lang w:eastAsia="en-US"/>
                    </w:rPr>
                  </w:pPr>
                  <w:r w:rsidRPr="00B719CE">
                    <w:rPr>
                      <w:sz w:val="18"/>
                      <w:szCs w:val="18"/>
                      <w:lang w:eastAsia="en-US"/>
                    </w:rPr>
                    <w:t> </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Jūlijs</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Augusts</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Septembris</w:t>
                  </w:r>
                </w:p>
              </w:tc>
              <w:tc>
                <w:tcPr>
                  <w:tcW w:w="70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Oktobris</w:t>
                  </w:r>
                </w:p>
              </w:tc>
              <w:tc>
                <w:tcPr>
                  <w:tcW w:w="995" w:type="dxa"/>
                  <w:tcBorders>
                    <w:top w:val="nil"/>
                    <w:left w:val="nil"/>
                    <w:bottom w:val="single" w:sz="4" w:space="0" w:color="auto"/>
                    <w:right w:val="single" w:sz="4" w:space="0" w:color="auto"/>
                  </w:tcBorders>
                  <w:shd w:val="clear" w:color="auto" w:fill="auto"/>
                  <w:noWrap/>
                  <w:vAlign w:val="bottom"/>
                  <w:hideMark/>
                </w:tcPr>
                <w:p w:rsidR="00B719CE" w:rsidRPr="003F1C74" w:rsidRDefault="00B719CE" w:rsidP="00B719CE">
                  <w:pPr>
                    <w:jc w:val="center"/>
                    <w:rPr>
                      <w:color w:val="000000"/>
                      <w:spacing w:val="-4"/>
                      <w:sz w:val="18"/>
                      <w:szCs w:val="18"/>
                      <w:lang w:eastAsia="en-US"/>
                    </w:rPr>
                  </w:pPr>
                  <w:r w:rsidRPr="003F1C74">
                    <w:rPr>
                      <w:color w:val="000000"/>
                      <w:spacing w:val="-4"/>
                      <w:sz w:val="18"/>
                      <w:szCs w:val="18"/>
                      <w:lang w:eastAsia="en-US"/>
                    </w:rPr>
                    <w:t>Novembris</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Decembris</w:t>
                  </w:r>
                </w:p>
              </w:tc>
            </w:tr>
            <w:tr w:rsidR="00B719CE" w:rsidRPr="00B719CE" w:rsidTr="003F1C7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B719CE" w:rsidRPr="00B719CE" w:rsidRDefault="00B719CE" w:rsidP="00B719CE">
                  <w:pPr>
                    <w:ind w:right="54"/>
                    <w:rPr>
                      <w:b/>
                      <w:bCs/>
                      <w:sz w:val="18"/>
                      <w:szCs w:val="18"/>
                      <w:lang w:eastAsia="en-US"/>
                    </w:rPr>
                  </w:pPr>
                  <w:r w:rsidRPr="00B719CE">
                    <w:rPr>
                      <w:b/>
                      <w:bCs/>
                      <w:sz w:val="18"/>
                      <w:szCs w:val="18"/>
                      <w:lang w:eastAsia="en-US"/>
                    </w:rPr>
                    <w:t>Izmaksas kopā, EUR</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61 404</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70 176</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78 948</w:t>
                  </w:r>
                </w:p>
              </w:tc>
              <w:tc>
                <w:tcPr>
                  <w:tcW w:w="70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87 720</w:t>
                  </w:r>
                </w:p>
              </w:tc>
              <w:tc>
                <w:tcPr>
                  <w:tcW w:w="995"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96 492</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105 264</w:t>
                  </w:r>
                </w:p>
              </w:tc>
            </w:tr>
            <w:tr w:rsidR="00B719CE" w:rsidRPr="00B719CE" w:rsidTr="003F1C74">
              <w:trPr>
                <w:trHeight w:val="480"/>
              </w:trPr>
              <w:tc>
                <w:tcPr>
                  <w:tcW w:w="1638" w:type="dxa"/>
                  <w:tcBorders>
                    <w:top w:val="nil"/>
                    <w:left w:val="single" w:sz="4" w:space="0" w:color="auto"/>
                    <w:bottom w:val="single" w:sz="4" w:space="0" w:color="auto"/>
                    <w:right w:val="single" w:sz="4" w:space="0" w:color="auto"/>
                  </w:tcBorders>
                  <w:shd w:val="clear" w:color="auto" w:fill="auto"/>
                  <w:vAlign w:val="center"/>
                  <w:hideMark/>
                </w:tcPr>
                <w:p w:rsidR="00B719CE" w:rsidRPr="00B719CE" w:rsidRDefault="00B719CE" w:rsidP="00B719CE">
                  <w:pPr>
                    <w:ind w:right="54"/>
                    <w:rPr>
                      <w:sz w:val="18"/>
                      <w:szCs w:val="18"/>
                      <w:lang w:eastAsia="en-US"/>
                    </w:rPr>
                  </w:pPr>
                  <w:r w:rsidRPr="00B719CE">
                    <w:rPr>
                      <w:sz w:val="18"/>
                      <w:szCs w:val="18"/>
                      <w:lang w:eastAsia="en-US"/>
                    </w:rPr>
                    <w:t xml:space="preserve">Terapiju uzsākušo pacientu skaits </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119</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136</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153</w:t>
                  </w:r>
                </w:p>
              </w:tc>
              <w:tc>
                <w:tcPr>
                  <w:tcW w:w="70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170</w:t>
                  </w:r>
                </w:p>
              </w:tc>
              <w:tc>
                <w:tcPr>
                  <w:tcW w:w="995"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187</w:t>
                  </w:r>
                </w:p>
              </w:tc>
              <w:tc>
                <w:tcPr>
                  <w:tcW w:w="1160"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204</w:t>
                  </w:r>
                </w:p>
              </w:tc>
            </w:tr>
            <w:tr w:rsidR="00B719CE" w:rsidRPr="00B719CE" w:rsidTr="003F1C74">
              <w:trPr>
                <w:gridAfter w:val="1"/>
                <w:wAfter w:w="25" w:type="dxa"/>
                <w:trHeight w:val="300"/>
              </w:trPr>
              <w:tc>
                <w:tcPr>
                  <w:tcW w:w="58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19CE" w:rsidRPr="00B719CE" w:rsidRDefault="00B719CE" w:rsidP="00B719CE">
                  <w:pPr>
                    <w:jc w:val="right"/>
                    <w:rPr>
                      <w:b/>
                      <w:bCs/>
                      <w:color w:val="000000"/>
                      <w:sz w:val="18"/>
                      <w:szCs w:val="18"/>
                      <w:lang w:eastAsia="en-US"/>
                    </w:rPr>
                  </w:pPr>
                  <w:r w:rsidRPr="00B719CE">
                    <w:rPr>
                      <w:b/>
                      <w:bCs/>
                      <w:color w:val="000000"/>
                      <w:sz w:val="18"/>
                      <w:szCs w:val="18"/>
                      <w:lang w:eastAsia="en-US"/>
                    </w:rPr>
                    <w:t>IZMAKSAS KOPĀ GADĀ, EUR:</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719CE" w:rsidRPr="00B719CE" w:rsidRDefault="00B719CE" w:rsidP="00B719CE">
                  <w:pPr>
                    <w:jc w:val="right"/>
                    <w:rPr>
                      <w:b/>
                      <w:bCs/>
                      <w:color w:val="000000"/>
                      <w:sz w:val="18"/>
                      <w:szCs w:val="18"/>
                      <w:lang w:eastAsia="en-US"/>
                    </w:rPr>
                  </w:pPr>
                  <w:r w:rsidRPr="00B719CE">
                    <w:rPr>
                      <w:b/>
                      <w:bCs/>
                      <w:color w:val="000000"/>
                      <w:sz w:val="18"/>
                      <w:szCs w:val="18"/>
                      <w:lang w:eastAsia="en-US"/>
                    </w:rPr>
                    <w:t>684 216</w:t>
                  </w:r>
                </w:p>
              </w:tc>
            </w:tr>
          </w:tbl>
          <w:p w:rsidR="00B719CE" w:rsidRPr="00B719CE" w:rsidRDefault="00B719CE" w:rsidP="00B719CE">
            <w:pPr>
              <w:ind w:right="-1"/>
              <w:jc w:val="both"/>
              <w:rPr>
                <w:noProof/>
              </w:rPr>
            </w:pPr>
          </w:p>
          <w:tbl>
            <w:tblPr>
              <w:tblW w:w="7054" w:type="dxa"/>
              <w:tblLayout w:type="fixed"/>
              <w:tblLook w:val="04A0"/>
            </w:tblPr>
            <w:tblGrid>
              <w:gridCol w:w="1638"/>
              <w:gridCol w:w="829"/>
              <w:gridCol w:w="870"/>
              <w:gridCol w:w="850"/>
              <w:gridCol w:w="712"/>
              <w:gridCol w:w="992"/>
              <w:gridCol w:w="1135"/>
              <w:gridCol w:w="28"/>
            </w:tblGrid>
            <w:tr w:rsidR="00B719CE" w:rsidRPr="00B719CE" w:rsidTr="003F1C74">
              <w:trPr>
                <w:gridAfter w:val="1"/>
                <w:wAfter w:w="28" w:type="dxa"/>
                <w:trHeight w:val="300"/>
              </w:trPr>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9CE" w:rsidRPr="00B719CE" w:rsidRDefault="00B719CE" w:rsidP="00B719CE">
                  <w:pPr>
                    <w:ind w:right="54"/>
                    <w:rPr>
                      <w:color w:val="000000"/>
                      <w:sz w:val="18"/>
                      <w:szCs w:val="18"/>
                      <w:lang w:eastAsia="en-US"/>
                    </w:rPr>
                  </w:pPr>
                  <w:r w:rsidRPr="00B719CE">
                    <w:rPr>
                      <w:color w:val="000000"/>
                      <w:sz w:val="18"/>
                      <w:szCs w:val="18"/>
                      <w:lang w:eastAsia="en-US"/>
                    </w:rPr>
                    <w:t> </w:t>
                  </w:r>
                </w:p>
              </w:tc>
              <w:tc>
                <w:tcPr>
                  <w:tcW w:w="5388" w:type="dxa"/>
                  <w:gridSpan w:val="6"/>
                  <w:tcBorders>
                    <w:top w:val="single" w:sz="4" w:space="0" w:color="auto"/>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b/>
                      <w:bCs/>
                      <w:color w:val="000000"/>
                      <w:sz w:val="18"/>
                      <w:szCs w:val="18"/>
                      <w:lang w:eastAsia="en-US"/>
                    </w:rPr>
                  </w:pPr>
                  <w:r w:rsidRPr="00B719CE">
                    <w:rPr>
                      <w:b/>
                      <w:bCs/>
                      <w:color w:val="000000"/>
                      <w:sz w:val="18"/>
                      <w:szCs w:val="18"/>
                      <w:lang w:eastAsia="en-US"/>
                    </w:rPr>
                    <w:t xml:space="preserve">2017.GADS </w:t>
                  </w:r>
                </w:p>
              </w:tc>
            </w:tr>
            <w:tr w:rsidR="00B719CE" w:rsidRPr="00B719CE" w:rsidTr="003F1C7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B719CE" w:rsidRPr="00B719CE" w:rsidRDefault="00B719CE" w:rsidP="00B719CE">
                  <w:pPr>
                    <w:ind w:right="54"/>
                    <w:jc w:val="center"/>
                    <w:rPr>
                      <w:sz w:val="18"/>
                      <w:szCs w:val="18"/>
                      <w:lang w:eastAsia="en-US"/>
                    </w:rPr>
                  </w:pPr>
                  <w:r w:rsidRPr="00B719CE">
                    <w:rPr>
                      <w:sz w:val="18"/>
                      <w:szCs w:val="18"/>
                      <w:lang w:eastAsia="en-US"/>
                    </w:rPr>
                    <w:t> </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Janvāris</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Februāris</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Marts</w:t>
                  </w:r>
                </w:p>
              </w:tc>
              <w:tc>
                <w:tcPr>
                  <w:tcW w:w="71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Aprīlis</w:t>
                  </w:r>
                </w:p>
              </w:tc>
              <w:tc>
                <w:tcPr>
                  <w:tcW w:w="99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 xml:space="preserve">Maijs </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Jūnijs</w:t>
                  </w:r>
                </w:p>
              </w:tc>
            </w:tr>
            <w:tr w:rsidR="00B719CE" w:rsidRPr="00B719CE" w:rsidTr="003F1C7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B719CE" w:rsidRPr="00B719CE" w:rsidRDefault="00B719CE" w:rsidP="00B719CE">
                  <w:pPr>
                    <w:ind w:right="54"/>
                    <w:rPr>
                      <w:b/>
                      <w:bCs/>
                      <w:sz w:val="18"/>
                      <w:szCs w:val="18"/>
                      <w:lang w:eastAsia="en-US"/>
                    </w:rPr>
                  </w:pPr>
                  <w:r w:rsidRPr="00B719CE">
                    <w:rPr>
                      <w:b/>
                      <w:bCs/>
                      <w:sz w:val="18"/>
                      <w:szCs w:val="18"/>
                      <w:lang w:eastAsia="en-US"/>
                    </w:rPr>
                    <w:t>Izmaksas kopā, EUR</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114 036</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122 808</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131 580</w:t>
                  </w:r>
                </w:p>
              </w:tc>
              <w:tc>
                <w:tcPr>
                  <w:tcW w:w="71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140 352</w:t>
                  </w:r>
                </w:p>
              </w:tc>
              <w:tc>
                <w:tcPr>
                  <w:tcW w:w="99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149 124</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157 896</w:t>
                  </w:r>
                </w:p>
              </w:tc>
            </w:tr>
            <w:tr w:rsidR="00B719CE" w:rsidRPr="00B719CE" w:rsidTr="003F1C74">
              <w:trPr>
                <w:trHeight w:val="480"/>
              </w:trPr>
              <w:tc>
                <w:tcPr>
                  <w:tcW w:w="1638" w:type="dxa"/>
                  <w:tcBorders>
                    <w:top w:val="nil"/>
                    <w:left w:val="single" w:sz="4" w:space="0" w:color="auto"/>
                    <w:bottom w:val="single" w:sz="4" w:space="0" w:color="auto"/>
                    <w:right w:val="single" w:sz="4" w:space="0" w:color="auto"/>
                  </w:tcBorders>
                  <w:shd w:val="clear" w:color="auto" w:fill="auto"/>
                  <w:vAlign w:val="center"/>
                  <w:hideMark/>
                </w:tcPr>
                <w:p w:rsidR="00B719CE" w:rsidRPr="00B719CE" w:rsidRDefault="00B719CE" w:rsidP="00B719CE">
                  <w:pPr>
                    <w:ind w:right="54"/>
                    <w:rPr>
                      <w:sz w:val="18"/>
                      <w:szCs w:val="18"/>
                      <w:lang w:eastAsia="en-US"/>
                    </w:rPr>
                  </w:pPr>
                  <w:r w:rsidRPr="00B719CE">
                    <w:rPr>
                      <w:sz w:val="18"/>
                      <w:szCs w:val="18"/>
                      <w:lang w:eastAsia="en-US"/>
                    </w:rPr>
                    <w:t xml:space="preserve">Terapiju uzsākušo pacientu skaits </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221</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238</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255</w:t>
                  </w:r>
                </w:p>
              </w:tc>
              <w:tc>
                <w:tcPr>
                  <w:tcW w:w="71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272</w:t>
                  </w:r>
                </w:p>
              </w:tc>
              <w:tc>
                <w:tcPr>
                  <w:tcW w:w="99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289</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306</w:t>
                  </w:r>
                </w:p>
              </w:tc>
            </w:tr>
            <w:tr w:rsidR="00B719CE" w:rsidRPr="00B719CE" w:rsidTr="003F1C7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B719CE" w:rsidRPr="00B719CE" w:rsidRDefault="00B719CE" w:rsidP="00B719CE">
                  <w:pPr>
                    <w:ind w:right="54"/>
                    <w:jc w:val="center"/>
                    <w:rPr>
                      <w:sz w:val="18"/>
                      <w:szCs w:val="18"/>
                      <w:lang w:eastAsia="en-US"/>
                    </w:rPr>
                  </w:pPr>
                  <w:r w:rsidRPr="00B719CE">
                    <w:rPr>
                      <w:sz w:val="18"/>
                      <w:szCs w:val="18"/>
                      <w:lang w:eastAsia="en-US"/>
                    </w:rPr>
                    <w:t> </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Jūlijs</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Augusts</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Septembris</w:t>
                  </w:r>
                </w:p>
              </w:tc>
              <w:tc>
                <w:tcPr>
                  <w:tcW w:w="71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Oktobris</w:t>
                  </w:r>
                </w:p>
              </w:tc>
              <w:tc>
                <w:tcPr>
                  <w:tcW w:w="992" w:type="dxa"/>
                  <w:tcBorders>
                    <w:top w:val="nil"/>
                    <w:left w:val="nil"/>
                    <w:bottom w:val="single" w:sz="4" w:space="0" w:color="auto"/>
                    <w:right w:val="single" w:sz="4" w:space="0" w:color="auto"/>
                  </w:tcBorders>
                  <w:shd w:val="clear" w:color="auto" w:fill="auto"/>
                  <w:noWrap/>
                  <w:vAlign w:val="bottom"/>
                  <w:hideMark/>
                </w:tcPr>
                <w:p w:rsidR="00B719CE" w:rsidRPr="003F1C74" w:rsidRDefault="00B719CE" w:rsidP="00B719CE">
                  <w:pPr>
                    <w:jc w:val="center"/>
                    <w:rPr>
                      <w:color w:val="000000"/>
                      <w:spacing w:val="-4"/>
                      <w:sz w:val="18"/>
                      <w:szCs w:val="18"/>
                      <w:lang w:eastAsia="en-US"/>
                    </w:rPr>
                  </w:pPr>
                  <w:r w:rsidRPr="003F1C74">
                    <w:rPr>
                      <w:color w:val="000000"/>
                      <w:spacing w:val="-4"/>
                      <w:sz w:val="18"/>
                      <w:szCs w:val="18"/>
                      <w:lang w:eastAsia="en-US"/>
                    </w:rPr>
                    <w:t>Novembris</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Decembris</w:t>
                  </w:r>
                </w:p>
              </w:tc>
            </w:tr>
            <w:tr w:rsidR="00B719CE" w:rsidRPr="00B719CE" w:rsidTr="003F1C74">
              <w:trPr>
                <w:trHeight w:val="300"/>
              </w:trPr>
              <w:tc>
                <w:tcPr>
                  <w:tcW w:w="1638" w:type="dxa"/>
                  <w:tcBorders>
                    <w:top w:val="nil"/>
                    <w:left w:val="single" w:sz="4" w:space="0" w:color="auto"/>
                    <w:bottom w:val="single" w:sz="4" w:space="0" w:color="auto"/>
                    <w:right w:val="single" w:sz="4" w:space="0" w:color="auto"/>
                  </w:tcBorders>
                  <w:shd w:val="clear" w:color="auto" w:fill="auto"/>
                  <w:noWrap/>
                  <w:vAlign w:val="center"/>
                  <w:hideMark/>
                </w:tcPr>
                <w:p w:rsidR="00B719CE" w:rsidRPr="00B719CE" w:rsidRDefault="00B719CE" w:rsidP="00B719CE">
                  <w:pPr>
                    <w:ind w:right="54"/>
                    <w:rPr>
                      <w:b/>
                      <w:bCs/>
                      <w:sz w:val="18"/>
                      <w:szCs w:val="18"/>
                      <w:lang w:eastAsia="en-US"/>
                    </w:rPr>
                  </w:pPr>
                  <w:r w:rsidRPr="00B719CE">
                    <w:rPr>
                      <w:b/>
                      <w:bCs/>
                      <w:sz w:val="18"/>
                      <w:szCs w:val="18"/>
                      <w:lang w:eastAsia="en-US"/>
                    </w:rPr>
                    <w:t>Izmaksas kopā, EUR</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166 668</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175 440</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184 212</w:t>
                  </w:r>
                </w:p>
              </w:tc>
              <w:tc>
                <w:tcPr>
                  <w:tcW w:w="71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192 984</w:t>
                  </w:r>
                </w:p>
              </w:tc>
              <w:tc>
                <w:tcPr>
                  <w:tcW w:w="99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201 756</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210 528</w:t>
                  </w:r>
                </w:p>
              </w:tc>
            </w:tr>
            <w:tr w:rsidR="00B719CE" w:rsidRPr="00B719CE" w:rsidTr="003F1C74">
              <w:trPr>
                <w:trHeight w:val="480"/>
              </w:trPr>
              <w:tc>
                <w:tcPr>
                  <w:tcW w:w="1638" w:type="dxa"/>
                  <w:tcBorders>
                    <w:top w:val="nil"/>
                    <w:left w:val="single" w:sz="4" w:space="0" w:color="auto"/>
                    <w:bottom w:val="single" w:sz="4" w:space="0" w:color="auto"/>
                    <w:right w:val="single" w:sz="4" w:space="0" w:color="auto"/>
                  </w:tcBorders>
                  <w:shd w:val="clear" w:color="auto" w:fill="auto"/>
                  <w:vAlign w:val="center"/>
                  <w:hideMark/>
                </w:tcPr>
                <w:p w:rsidR="00B719CE" w:rsidRPr="00B719CE" w:rsidRDefault="00B719CE" w:rsidP="00B719CE">
                  <w:pPr>
                    <w:ind w:right="54"/>
                    <w:rPr>
                      <w:sz w:val="18"/>
                      <w:szCs w:val="18"/>
                      <w:lang w:eastAsia="en-US"/>
                    </w:rPr>
                  </w:pPr>
                  <w:r w:rsidRPr="00B719CE">
                    <w:rPr>
                      <w:sz w:val="18"/>
                      <w:szCs w:val="18"/>
                      <w:lang w:eastAsia="en-US"/>
                    </w:rPr>
                    <w:t xml:space="preserve">Terapiju uzsākušo pacientu skaits </w:t>
                  </w:r>
                </w:p>
              </w:tc>
              <w:tc>
                <w:tcPr>
                  <w:tcW w:w="829"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29"/>
                    <w:jc w:val="center"/>
                    <w:rPr>
                      <w:color w:val="000000"/>
                      <w:sz w:val="18"/>
                      <w:szCs w:val="18"/>
                      <w:lang w:eastAsia="en-US"/>
                    </w:rPr>
                  </w:pPr>
                  <w:r w:rsidRPr="00B719CE">
                    <w:rPr>
                      <w:color w:val="000000"/>
                      <w:sz w:val="18"/>
                      <w:szCs w:val="18"/>
                      <w:lang w:eastAsia="en-US"/>
                    </w:rPr>
                    <w:t>323</w:t>
                  </w:r>
                </w:p>
              </w:tc>
              <w:tc>
                <w:tcPr>
                  <w:tcW w:w="87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340</w:t>
                  </w:r>
                </w:p>
              </w:tc>
              <w:tc>
                <w:tcPr>
                  <w:tcW w:w="850"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87" w:right="-108"/>
                    <w:jc w:val="center"/>
                    <w:rPr>
                      <w:color w:val="000000"/>
                      <w:sz w:val="18"/>
                      <w:szCs w:val="18"/>
                      <w:lang w:eastAsia="en-US"/>
                    </w:rPr>
                  </w:pPr>
                  <w:r w:rsidRPr="00B719CE">
                    <w:rPr>
                      <w:color w:val="000000"/>
                      <w:sz w:val="18"/>
                      <w:szCs w:val="18"/>
                      <w:lang w:eastAsia="en-US"/>
                    </w:rPr>
                    <w:t>357</w:t>
                  </w:r>
                </w:p>
              </w:tc>
              <w:tc>
                <w:tcPr>
                  <w:tcW w:w="71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right="-108"/>
                    <w:jc w:val="center"/>
                    <w:rPr>
                      <w:color w:val="000000"/>
                      <w:sz w:val="18"/>
                      <w:szCs w:val="18"/>
                      <w:lang w:eastAsia="en-US"/>
                    </w:rPr>
                  </w:pPr>
                  <w:r w:rsidRPr="00B719CE">
                    <w:rPr>
                      <w:color w:val="000000"/>
                      <w:sz w:val="18"/>
                      <w:szCs w:val="18"/>
                      <w:lang w:eastAsia="en-US"/>
                    </w:rPr>
                    <w:t>374</w:t>
                  </w:r>
                </w:p>
              </w:tc>
              <w:tc>
                <w:tcPr>
                  <w:tcW w:w="992" w:type="dxa"/>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jc w:val="center"/>
                    <w:rPr>
                      <w:color w:val="000000"/>
                      <w:sz w:val="18"/>
                      <w:szCs w:val="18"/>
                      <w:lang w:eastAsia="en-US"/>
                    </w:rPr>
                  </w:pPr>
                  <w:r w:rsidRPr="00B719CE">
                    <w:rPr>
                      <w:color w:val="000000"/>
                      <w:sz w:val="18"/>
                      <w:szCs w:val="18"/>
                      <w:lang w:eastAsia="en-US"/>
                    </w:rPr>
                    <w:t>391</w:t>
                  </w:r>
                </w:p>
              </w:tc>
              <w:tc>
                <w:tcPr>
                  <w:tcW w:w="1163" w:type="dxa"/>
                  <w:gridSpan w:val="2"/>
                  <w:tcBorders>
                    <w:top w:val="nil"/>
                    <w:left w:val="nil"/>
                    <w:bottom w:val="single" w:sz="4" w:space="0" w:color="auto"/>
                    <w:right w:val="single" w:sz="4" w:space="0" w:color="auto"/>
                  </w:tcBorders>
                  <w:shd w:val="clear" w:color="auto" w:fill="auto"/>
                  <w:noWrap/>
                  <w:vAlign w:val="bottom"/>
                  <w:hideMark/>
                </w:tcPr>
                <w:p w:rsidR="00B719CE" w:rsidRPr="00B719CE" w:rsidRDefault="00B719CE" w:rsidP="00B719CE">
                  <w:pPr>
                    <w:ind w:left="-108"/>
                    <w:jc w:val="center"/>
                    <w:rPr>
                      <w:color w:val="000000"/>
                      <w:sz w:val="18"/>
                      <w:szCs w:val="18"/>
                      <w:lang w:eastAsia="en-US"/>
                    </w:rPr>
                  </w:pPr>
                  <w:r w:rsidRPr="00B719CE">
                    <w:rPr>
                      <w:color w:val="000000"/>
                      <w:sz w:val="18"/>
                      <w:szCs w:val="18"/>
                      <w:lang w:eastAsia="en-US"/>
                    </w:rPr>
                    <w:t>408</w:t>
                  </w:r>
                </w:p>
              </w:tc>
            </w:tr>
            <w:tr w:rsidR="00B719CE" w:rsidRPr="00B719CE" w:rsidTr="003F1C74">
              <w:trPr>
                <w:gridAfter w:val="1"/>
                <w:wAfter w:w="28" w:type="dxa"/>
                <w:trHeight w:val="300"/>
              </w:trPr>
              <w:tc>
                <w:tcPr>
                  <w:tcW w:w="5891"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19CE" w:rsidRPr="00B719CE" w:rsidRDefault="00B719CE" w:rsidP="00B719CE">
                  <w:pPr>
                    <w:jc w:val="right"/>
                    <w:rPr>
                      <w:b/>
                      <w:bCs/>
                      <w:color w:val="000000"/>
                      <w:sz w:val="18"/>
                      <w:szCs w:val="18"/>
                      <w:lang w:eastAsia="en-US"/>
                    </w:rPr>
                  </w:pPr>
                  <w:r w:rsidRPr="00B719CE">
                    <w:rPr>
                      <w:b/>
                      <w:bCs/>
                      <w:color w:val="000000"/>
                      <w:sz w:val="18"/>
                      <w:szCs w:val="18"/>
                      <w:lang w:eastAsia="en-US"/>
                    </w:rPr>
                    <w:t>IZMAKSAS KOPĀ GADĀ, EUR:</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B719CE" w:rsidRPr="00B719CE" w:rsidRDefault="00B719CE" w:rsidP="00B719CE">
                  <w:pPr>
                    <w:jc w:val="right"/>
                    <w:rPr>
                      <w:b/>
                      <w:bCs/>
                      <w:color w:val="000000"/>
                      <w:sz w:val="18"/>
                      <w:szCs w:val="18"/>
                      <w:lang w:eastAsia="en-US"/>
                    </w:rPr>
                  </w:pPr>
                  <w:r w:rsidRPr="00B719CE">
                    <w:rPr>
                      <w:b/>
                      <w:bCs/>
                      <w:color w:val="000000"/>
                      <w:sz w:val="18"/>
                      <w:szCs w:val="18"/>
                      <w:lang w:eastAsia="en-US"/>
                    </w:rPr>
                    <w:t>1 947 384</w:t>
                  </w:r>
                </w:p>
              </w:tc>
            </w:tr>
          </w:tbl>
          <w:p w:rsidR="00B719CE" w:rsidRPr="00B719CE" w:rsidRDefault="00B719CE" w:rsidP="003F1C74">
            <w:pPr>
              <w:spacing w:before="120"/>
              <w:ind w:left="227"/>
              <w:jc w:val="both"/>
              <w:rPr>
                <w:noProof/>
              </w:rPr>
            </w:pPr>
            <w:r w:rsidRPr="00B719CE">
              <w:rPr>
                <w:noProof/>
              </w:rPr>
              <w:t xml:space="preserve">*Aprēķinā katru mēnesi terapiju uzšākušo pacientu skaits palielinās par 17, un terapiju uzsākušo pacientu skaits katru mēnesi tiek reizināts ar vidējām terapijas izmaksām mēnesī – 516 </w:t>
            </w:r>
            <w:r w:rsidRPr="00B719CE">
              <w:rPr>
                <w:i/>
                <w:noProof/>
              </w:rPr>
              <w:t>euro</w:t>
            </w:r>
            <w:r w:rsidRPr="00B719CE">
              <w:rPr>
                <w:noProof/>
              </w:rPr>
              <w:t>.</w:t>
            </w:r>
          </w:p>
          <w:p w:rsidR="00B719CE" w:rsidRPr="00B719CE" w:rsidRDefault="00B719CE" w:rsidP="00B719CE">
            <w:pPr>
              <w:ind w:left="227" w:right="-1"/>
              <w:jc w:val="both"/>
              <w:rPr>
                <w:noProof/>
              </w:rPr>
            </w:pPr>
          </w:p>
          <w:p w:rsidR="00B719CE" w:rsidRPr="00B719CE" w:rsidRDefault="00B719CE" w:rsidP="00B719CE">
            <w:pPr>
              <w:ind w:left="227" w:right="-1"/>
              <w:jc w:val="both"/>
              <w:rPr>
                <w:noProof/>
              </w:rPr>
            </w:pPr>
            <w:r w:rsidRPr="00B719CE">
              <w:rPr>
                <w:b/>
                <w:noProof/>
              </w:rPr>
              <w:t>2018.gadā</w:t>
            </w:r>
            <w:r w:rsidRPr="00B719CE">
              <w:rPr>
                <w:noProof/>
              </w:rPr>
              <w:t xml:space="preserve"> HIV/AIDS terapijas izmaksas tiek prognozētas un aprēķinātas 2017.gada līmenī.</w:t>
            </w:r>
          </w:p>
          <w:p w:rsidR="00B719CE" w:rsidRPr="00B719CE" w:rsidRDefault="00B719CE" w:rsidP="00B719CE">
            <w:pPr>
              <w:ind w:left="227" w:right="142"/>
              <w:jc w:val="both"/>
              <w:rPr>
                <w:noProof/>
                <w:color w:val="000000" w:themeColor="text1"/>
              </w:rPr>
            </w:pPr>
          </w:p>
          <w:p w:rsidR="00B719CE" w:rsidRPr="00B719CE" w:rsidRDefault="00B719CE" w:rsidP="00B719CE">
            <w:pPr>
              <w:spacing w:after="120"/>
              <w:ind w:left="227" w:right="142"/>
              <w:jc w:val="both"/>
              <w:rPr>
                <w:b/>
                <w:noProof/>
              </w:rPr>
            </w:pPr>
            <w:r w:rsidRPr="00B719CE">
              <w:rPr>
                <w:b/>
                <w:noProof/>
              </w:rPr>
              <w:t>2) C vīrushepatīta jaunās paaudzes terapijas uzsākšana (kompensācija 100% apmērā)</w:t>
            </w:r>
          </w:p>
          <w:p w:rsidR="00B719CE" w:rsidRPr="00B719CE" w:rsidRDefault="00B719CE" w:rsidP="00B719CE">
            <w:pPr>
              <w:spacing w:after="60"/>
              <w:ind w:left="227" w:right="142"/>
              <w:jc w:val="both"/>
              <w:rPr>
                <w:noProof/>
                <w:lang w:bidi="gu-IN"/>
              </w:rPr>
            </w:pPr>
            <w:r w:rsidRPr="00B719CE">
              <w:rPr>
                <w:noProof/>
                <w:lang w:bidi="gu-IN"/>
              </w:rPr>
              <w:t>Aprēķins:</w:t>
            </w:r>
          </w:p>
          <w:p w:rsidR="00B719CE" w:rsidRPr="00B719CE" w:rsidRDefault="00B719CE" w:rsidP="00B719CE">
            <w:pPr>
              <w:ind w:left="227" w:right="142"/>
              <w:jc w:val="both"/>
              <w:rPr>
                <w:noProof/>
              </w:rPr>
            </w:pPr>
            <w:r w:rsidRPr="00B719CE">
              <w:rPr>
                <w:noProof/>
              </w:rPr>
              <w:t xml:space="preserve">Jaunās paaudzes C vīrushepatīta 12 nedēļu terapijas izmaksas uz vienu pacientu ir 47 600 </w:t>
            </w:r>
            <w:r w:rsidRPr="00B719CE">
              <w:rPr>
                <w:i/>
                <w:noProof/>
              </w:rPr>
              <w:t>euro</w:t>
            </w:r>
            <w:r w:rsidRPr="00B719CE">
              <w:rPr>
                <w:noProof/>
              </w:rPr>
              <w:t xml:space="preserve">. </w:t>
            </w:r>
          </w:p>
          <w:p w:rsidR="00B719CE" w:rsidRPr="00B719CE" w:rsidRDefault="00B719CE" w:rsidP="00B719CE">
            <w:pPr>
              <w:ind w:left="227" w:right="142"/>
              <w:jc w:val="both"/>
              <w:rPr>
                <w:noProof/>
              </w:rPr>
            </w:pPr>
            <w:r w:rsidRPr="00B719CE">
              <w:rPr>
                <w:noProof/>
              </w:rPr>
              <w:t xml:space="preserve">Atlikušais finansējums no papildus piešķirtā </w:t>
            </w:r>
            <w:r w:rsidRPr="00B719CE">
              <w:rPr>
                <w:noProof/>
                <w:lang w:bidi="gu-IN"/>
              </w:rPr>
              <w:t>kompensējamo medikamentu apmaksai C</w:t>
            </w:r>
            <w:r w:rsidRPr="00B719CE">
              <w:rPr>
                <w:noProof/>
              </w:rPr>
              <w:t xml:space="preserve"> vīrushepatīta</w:t>
            </w:r>
            <w:r w:rsidRPr="00B719CE">
              <w:rPr>
                <w:noProof/>
                <w:lang w:bidi="gu-IN"/>
              </w:rPr>
              <w:t xml:space="preserve"> un HIV/AIDS pacientiem tiks novirzīts, lai uzsāktu jaunās paaudzes C</w:t>
            </w:r>
            <w:r w:rsidRPr="00B719CE">
              <w:rPr>
                <w:noProof/>
              </w:rPr>
              <w:t xml:space="preserve"> vīrushepatīta terapiju. Pilnā apmērā kā tas bija plānots, aprēķināts un iesniegts jaunajās politikas inicatīvās terapijas uzsākšana nav iespējama ierobežotā </w:t>
            </w:r>
            <w:r w:rsidRPr="00B719CE">
              <w:rPr>
                <w:noProof/>
              </w:rPr>
              <w:lastRenderedPageBreak/>
              <w:t xml:space="preserve">finansējuma dēļ. No šobrīd papildus piešķirtā finansējuma </w:t>
            </w:r>
            <w:r w:rsidRPr="00B719CE">
              <w:rPr>
                <w:b/>
                <w:noProof/>
              </w:rPr>
              <w:t>2016.gadā</w:t>
            </w:r>
            <w:r w:rsidRPr="00B719CE">
              <w:rPr>
                <w:noProof/>
              </w:rPr>
              <w:t xml:space="preserve"> jaunās paaudzes C vīrushepatīta terapijai iespējams novirzīt </w:t>
            </w:r>
            <w:r w:rsidRPr="00B719CE">
              <w:rPr>
                <w:b/>
                <w:noProof/>
              </w:rPr>
              <w:t xml:space="preserve">2 203 846 </w:t>
            </w:r>
            <w:r w:rsidRPr="00B719CE">
              <w:rPr>
                <w:b/>
                <w:i/>
                <w:noProof/>
              </w:rPr>
              <w:t>euro</w:t>
            </w:r>
            <w:r w:rsidRPr="00B719CE">
              <w:rPr>
                <w:noProof/>
              </w:rPr>
              <w:t xml:space="preserve"> (finansējums pietiekams ~46 pacientiem) un </w:t>
            </w:r>
            <w:r w:rsidRPr="00B719CE">
              <w:rPr>
                <w:b/>
                <w:noProof/>
              </w:rPr>
              <w:t xml:space="preserve">2017.gadā – 717 678 </w:t>
            </w:r>
            <w:r w:rsidRPr="00B719CE">
              <w:rPr>
                <w:b/>
                <w:i/>
                <w:noProof/>
              </w:rPr>
              <w:t>euro</w:t>
            </w:r>
            <w:r w:rsidRPr="00B719CE">
              <w:rPr>
                <w:noProof/>
              </w:rPr>
              <w:t xml:space="preserve"> (finansējums pietiekams ~15 pacientiem), </w:t>
            </w:r>
            <w:r w:rsidRPr="00B719CE">
              <w:rPr>
                <w:b/>
                <w:noProof/>
              </w:rPr>
              <w:t xml:space="preserve">2018.gadā – 479 815 </w:t>
            </w:r>
            <w:r w:rsidRPr="00B719CE">
              <w:rPr>
                <w:b/>
                <w:i/>
                <w:noProof/>
              </w:rPr>
              <w:t>euro</w:t>
            </w:r>
            <w:r w:rsidRPr="00B719CE">
              <w:rPr>
                <w:noProof/>
              </w:rPr>
              <w:t xml:space="preserve"> (finansējums pietiekams ~10 pacientiem). </w:t>
            </w:r>
          </w:p>
          <w:p w:rsidR="00B719CE" w:rsidRDefault="00B719CE" w:rsidP="00B719CE">
            <w:pPr>
              <w:ind w:left="227" w:right="142"/>
              <w:jc w:val="both"/>
              <w:rPr>
                <w:noProof/>
              </w:rPr>
            </w:pPr>
          </w:p>
          <w:p w:rsidR="00057E8D" w:rsidRPr="00B719CE" w:rsidRDefault="00057E8D" w:rsidP="00B719CE">
            <w:pPr>
              <w:ind w:left="227" w:right="142"/>
              <w:jc w:val="both"/>
              <w:rPr>
                <w:noProof/>
              </w:rPr>
            </w:pPr>
            <w:r w:rsidRPr="00057E8D">
              <w:rPr>
                <w:b/>
                <w:noProof/>
              </w:rPr>
              <w:t>3)</w:t>
            </w:r>
            <w:r>
              <w:rPr>
                <w:noProof/>
              </w:rPr>
              <w:t xml:space="preserve"> </w:t>
            </w:r>
            <w:r w:rsidRPr="00B719CE">
              <w:rPr>
                <w:b/>
                <w:noProof/>
              </w:rPr>
              <w:t xml:space="preserve">C vīrushepatīta </w:t>
            </w:r>
            <w:r>
              <w:rPr>
                <w:b/>
                <w:noProof/>
              </w:rPr>
              <w:t>kompensācijas apmēra palielināšana no 75% uz 100% pie esošās terapijas</w:t>
            </w:r>
          </w:p>
          <w:p w:rsidR="00057E8D" w:rsidRPr="00B719CE" w:rsidRDefault="00057E8D" w:rsidP="00057E8D">
            <w:pPr>
              <w:spacing w:before="120" w:after="60"/>
              <w:ind w:left="227" w:right="142"/>
              <w:jc w:val="both"/>
              <w:rPr>
                <w:noProof/>
                <w:lang w:bidi="gu-IN"/>
              </w:rPr>
            </w:pPr>
            <w:r w:rsidRPr="00B719CE">
              <w:rPr>
                <w:noProof/>
                <w:lang w:bidi="gu-IN"/>
              </w:rPr>
              <w:t>Aprēķins:</w:t>
            </w:r>
          </w:p>
          <w:p w:rsidR="00057E8D" w:rsidRDefault="00057E8D" w:rsidP="00051FAD">
            <w:pPr>
              <w:spacing w:after="60"/>
              <w:ind w:left="227" w:right="142"/>
              <w:jc w:val="both"/>
              <w:rPr>
                <w:noProof/>
              </w:rPr>
            </w:pPr>
            <w:r>
              <w:rPr>
                <w:noProof/>
              </w:rPr>
              <w:t xml:space="preserve">Faktiskās vidējās izmaksas </w:t>
            </w:r>
            <w:r w:rsidR="00303986">
              <w:rPr>
                <w:noProof/>
              </w:rPr>
              <w:t xml:space="preserve">gadā </w:t>
            </w:r>
            <w:r>
              <w:rPr>
                <w:noProof/>
              </w:rPr>
              <w:t xml:space="preserve">uz vienu pacientu pie 75% kompensācijas 3645 </w:t>
            </w:r>
            <w:r w:rsidRPr="00057E8D">
              <w:rPr>
                <w:i/>
                <w:noProof/>
              </w:rPr>
              <w:t>euro</w:t>
            </w:r>
            <w:r>
              <w:rPr>
                <w:noProof/>
              </w:rPr>
              <w:t xml:space="preserve"> (pēc NVD 2014.gada datiem)</w:t>
            </w:r>
          </w:p>
          <w:p w:rsidR="00057E8D" w:rsidRPr="00303986" w:rsidRDefault="00057E8D" w:rsidP="00051FAD">
            <w:pPr>
              <w:spacing w:after="60"/>
              <w:ind w:left="227" w:right="142"/>
              <w:jc w:val="both"/>
              <w:rPr>
                <w:noProof/>
              </w:rPr>
            </w:pPr>
            <w:r>
              <w:rPr>
                <w:noProof/>
              </w:rPr>
              <w:t xml:space="preserve">Faktiskās vidējās izmaksas </w:t>
            </w:r>
            <w:r w:rsidR="00303986">
              <w:rPr>
                <w:noProof/>
              </w:rPr>
              <w:t xml:space="preserve">gadā </w:t>
            </w:r>
            <w:r>
              <w:rPr>
                <w:noProof/>
              </w:rPr>
              <w:t xml:space="preserve">uz vienu pacientu pie 100% kompensācijas 4860 </w:t>
            </w:r>
            <w:r w:rsidRPr="00057E8D">
              <w:rPr>
                <w:i/>
                <w:noProof/>
              </w:rPr>
              <w:t>euro</w:t>
            </w:r>
          </w:p>
          <w:p w:rsidR="00303986" w:rsidRDefault="00303986" w:rsidP="00051FAD">
            <w:pPr>
              <w:spacing w:after="60"/>
              <w:ind w:left="227" w:right="142"/>
              <w:jc w:val="both"/>
              <w:rPr>
                <w:noProof/>
              </w:rPr>
            </w:pPr>
            <w:r>
              <w:rPr>
                <w:noProof/>
              </w:rPr>
              <w:t xml:space="preserve">Budžetā esošais finansējums 2015.gadā - 3 044 782 </w:t>
            </w:r>
            <w:r w:rsidRPr="00303986">
              <w:rPr>
                <w:i/>
                <w:noProof/>
              </w:rPr>
              <w:t>euro</w:t>
            </w:r>
          </w:p>
          <w:p w:rsidR="00051FAD" w:rsidRDefault="00051FAD" w:rsidP="00051FAD">
            <w:pPr>
              <w:spacing w:after="60"/>
              <w:ind w:left="227" w:right="142"/>
              <w:jc w:val="both"/>
              <w:rPr>
                <w:noProof/>
              </w:rPr>
            </w:pPr>
            <w:r>
              <w:rPr>
                <w:noProof/>
              </w:rPr>
              <w:t xml:space="preserve">Pacientu skaits, kuriem nepieciešama C vīrushepatīta </w:t>
            </w:r>
            <w:r w:rsidR="00B04136">
              <w:rPr>
                <w:noProof/>
              </w:rPr>
              <w:t xml:space="preserve">esošā </w:t>
            </w:r>
            <w:r>
              <w:rPr>
                <w:noProof/>
              </w:rPr>
              <w:t>terapija - 900 (tai skaitā 789 esošie un 111 jauni pacienti)</w:t>
            </w:r>
          </w:p>
          <w:p w:rsidR="00303986" w:rsidRDefault="00051FAD" w:rsidP="00B04136">
            <w:pPr>
              <w:spacing w:after="60"/>
              <w:ind w:left="227" w:right="142"/>
              <w:jc w:val="both"/>
              <w:rPr>
                <w:noProof/>
              </w:rPr>
            </w:pPr>
            <w:r>
              <w:rPr>
                <w:noProof/>
              </w:rPr>
              <w:t xml:space="preserve">Nepieciešamais finansējums gadā pie 100% kompensācijas 900 pacientiem: </w:t>
            </w:r>
            <w:r>
              <w:rPr>
                <w:noProof/>
              </w:rPr>
              <w:tab/>
              <w:t xml:space="preserve">4860 </w:t>
            </w:r>
            <w:r w:rsidRPr="00303986">
              <w:rPr>
                <w:i/>
                <w:noProof/>
              </w:rPr>
              <w:t>euro</w:t>
            </w:r>
            <w:r>
              <w:rPr>
                <w:noProof/>
              </w:rPr>
              <w:t xml:space="preserve"> × 900 = 4 374 000 </w:t>
            </w:r>
            <w:r w:rsidRPr="00303986">
              <w:rPr>
                <w:i/>
                <w:noProof/>
              </w:rPr>
              <w:t>euro</w:t>
            </w:r>
            <w:r>
              <w:rPr>
                <w:noProof/>
              </w:rPr>
              <w:t>,</w:t>
            </w:r>
          </w:p>
          <w:p w:rsidR="00051FAD" w:rsidRPr="00051FAD" w:rsidRDefault="00051FAD" w:rsidP="00051FAD">
            <w:pPr>
              <w:spacing w:after="60"/>
              <w:ind w:left="227" w:right="142"/>
              <w:jc w:val="both"/>
              <w:rPr>
                <w:noProof/>
              </w:rPr>
            </w:pPr>
            <w:r>
              <w:rPr>
                <w:noProof/>
              </w:rPr>
              <w:t>Starpība (deficīts): (4 374 000 - 3 044 782)</w:t>
            </w:r>
            <w:r w:rsidRPr="00303986">
              <w:rPr>
                <w:i/>
                <w:noProof/>
              </w:rPr>
              <w:t xml:space="preserve"> euro</w:t>
            </w:r>
            <w:r>
              <w:rPr>
                <w:noProof/>
              </w:rPr>
              <w:t xml:space="preserve"> = 1 329 218 </w:t>
            </w:r>
            <w:r w:rsidRPr="00303986">
              <w:rPr>
                <w:i/>
                <w:noProof/>
              </w:rPr>
              <w:t>euro</w:t>
            </w:r>
            <w:r>
              <w:rPr>
                <w:i/>
                <w:noProof/>
              </w:rPr>
              <w:t xml:space="preserve"> -</w:t>
            </w:r>
            <w:r>
              <w:rPr>
                <w:noProof/>
              </w:rPr>
              <w:t xml:space="preserve"> nepieciešams kompensācijas apmēra palielināšanai ik gadu.</w:t>
            </w:r>
          </w:p>
          <w:p w:rsidR="00303986" w:rsidRDefault="00303986" w:rsidP="00051FAD">
            <w:pPr>
              <w:ind w:left="227" w:right="142"/>
              <w:jc w:val="both"/>
              <w:rPr>
                <w:noProof/>
              </w:rPr>
            </w:pPr>
          </w:p>
          <w:p w:rsidR="00B719CE" w:rsidRPr="00B719CE" w:rsidRDefault="00B719CE" w:rsidP="00D109FB">
            <w:pPr>
              <w:spacing w:after="120"/>
              <w:ind w:left="227" w:right="142"/>
              <w:jc w:val="both"/>
              <w:rPr>
                <w:noProof/>
              </w:rPr>
            </w:pPr>
            <w:r w:rsidRPr="00057E8D">
              <w:rPr>
                <w:b/>
                <w:noProof/>
              </w:rPr>
              <w:t>Kopsavilkuma tabula</w:t>
            </w:r>
            <w:r w:rsidRPr="00B719CE">
              <w:rPr>
                <w:noProof/>
              </w:rPr>
              <w:t xml:space="preserve"> par papildus piešķirtā finansējuma</w:t>
            </w:r>
            <w:r w:rsidRPr="00B719CE">
              <w:rPr>
                <w:noProof/>
                <w:lang w:bidi="gu-IN"/>
              </w:rPr>
              <w:t xml:space="preserve"> kompensējamo medikamentu apmaksai C-hepatīta un HIV/AIDS pacientiem 2016.-2018.gadam izlietojumu (</w:t>
            </w:r>
            <w:r w:rsidRPr="00B719CE">
              <w:rPr>
                <w:i/>
                <w:noProof/>
                <w:lang w:bidi="gu-IN"/>
              </w:rPr>
              <w:t>euro</w:t>
            </w:r>
            <w:r w:rsidRPr="00B719CE">
              <w:rPr>
                <w:noProof/>
                <w:lang w:bidi="gu-IN"/>
              </w:rPr>
              <w:t>):</w:t>
            </w:r>
          </w:p>
          <w:tbl>
            <w:tblPr>
              <w:tblW w:w="6854" w:type="dxa"/>
              <w:tblLayout w:type="fixed"/>
              <w:tblLook w:val="04A0"/>
            </w:tblPr>
            <w:tblGrid>
              <w:gridCol w:w="3623"/>
              <w:gridCol w:w="1077"/>
              <w:gridCol w:w="1077"/>
              <w:gridCol w:w="1077"/>
            </w:tblGrid>
            <w:tr w:rsidR="00B719CE" w:rsidRPr="00B719CE" w:rsidTr="00CA3074">
              <w:trPr>
                <w:trHeight w:val="300"/>
              </w:trPr>
              <w:tc>
                <w:tcPr>
                  <w:tcW w:w="3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19CE" w:rsidRPr="00B719CE" w:rsidRDefault="00B719CE" w:rsidP="00B719CE">
                  <w:pPr>
                    <w:jc w:val="center"/>
                    <w:rPr>
                      <w:b/>
                      <w:bCs/>
                      <w:color w:val="000000"/>
                      <w:sz w:val="18"/>
                      <w:szCs w:val="18"/>
                      <w:lang w:eastAsia="en-US"/>
                    </w:rPr>
                  </w:pPr>
                  <w:r w:rsidRPr="00B719CE">
                    <w:rPr>
                      <w:b/>
                      <w:bCs/>
                      <w:color w:val="000000"/>
                      <w:sz w:val="18"/>
                      <w:szCs w:val="18"/>
                      <w:lang w:eastAsia="en-US"/>
                    </w:rPr>
                    <w:t>Pasākums</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719CE" w:rsidRPr="00B719CE" w:rsidRDefault="00B719CE" w:rsidP="00B719CE">
                  <w:pPr>
                    <w:jc w:val="center"/>
                    <w:rPr>
                      <w:b/>
                      <w:bCs/>
                      <w:color w:val="000000"/>
                      <w:sz w:val="18"/>
                      <w:szCs w:val="18"/>
                      <w:lang w:eastAsia="en-US"/>
                    </w:rPr>
                  </w:pPr>
                  <w:r w:rsidRPr="00B719CE">
                    <w:rPr>
                      <w:b/>
                      <w:bCs/>
                      <w:color w:val="000000"/>
                      <w:sz w:val="18"/>
                      <w:szCs w:val="18"/>
                      <w:lang w:eastAsia="en-US"/>
                    </w:rPr>
                    <w:t>2016.gads</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719CE" w:rsidRPr="00B719CE" w:rsidRDefault="00B719CE" w:rsidP="00B719CE">
                  <w:pPr>
                    <w:jc w:val="center"/>
                    <w:rPr>
                      <w:b/>
                      <w:bCs/>
                      <w:color w:val="000000"/>
                      <w:sz w:val="18"/>
                      <w:szCs w:val="18"/>
                      <w:lang w:eastAsia="en-US"/>
                    </w:rPr>
                  </w:pPr>
                  <w:r w:rsidRPr="00B719CE">
                    <w:rPr>
                      <w:b/>
                      <w:bCs/>
                      <w:color w:val="000000"/>
                      <w:sz w:val="18"/>
                      <w:szCs w:val="18"/>
                      <w:lang w:eastAsia="en-US"/>
                    </w:rPr>
                    <w:t>2017.gads</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rsidR="00B719CE" w:rsidRPr="00B719CE" w:rsidRDefault="00B719CE" w:rsidP="00B719CE">
                  <w:pPr>
                    <w:jc w:val="center"/>
                    <w:rPr>
                      <w:b/>
                      <w:bCs/>
                      <w:color w:val="000000"/>
                      <w:sz w:val="18"/>
                      <w:szCs w:val="18"/>
                      <w:lang w:eastAsia="en-US"/>
                    </w:rPr>
                  </w:pPr>
                  <w:r w:rsidRPr="00B719CE">
                    <w:rPr>
                      <w:b/>
                      <w:bCs/>
                      <w:color w:val="000000"/>
                      <w:sz w:val="18"/>
                      <w:szCs w:val="18"/>
                      <w:lang w:eastAsia="en-US"/>
                    </w:rPr>
                    <w:t>2018.gads</w:t>
                  </w:r>
                </w:p>
              </w:tc>
            </w:tr>
            <w:tr w:rsidR="00B719CE" w:rsidRPr="00B719CE" w:rsidTr="00CA3074">
              <w:trPr>
                <w:trHeight w:val="495"/>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9CE" w:rsidRPr="00B719CE" w:rsidRDefault="00B719CE" w:rsidP="00B719CE">
                  <w:pPr>
                    <w:rPr>
                      <w:color w:val="000000"/>
                      <w:sz w:val="18"/>
                      <w:szCs w:val="18"/>
                      <w:lang w:eastAsia="en-US"/>
                    </w:rPr>
                  </w:pPr>
                  <w:r w:rsidRPr="00B719CE">
                    <w:rPr>
                      <w:b/>
                      <w:bCs/>
                      <w:color w:val="000000"/>
                      <w:sz w:val="18"/>
                      <w:szCs w:val="18"/>
                      <w:lang w:eastAsia="en-US"/>
                    </w:rPr>
                    <w:t>Kompensējamo medikamentu apmaksai (C hepatīta un HIV/AIDS pacientiem)</w:t>
                  </w:r>
                  <w:r w:rsidRPr="00B719CE">
                    <w:rPr>
                      <w:color w:val="000000"/>
                      <w:sz w:val="18"/>
                      <w:szCs w:val="18"/>
                      <w:lang w:eastAsia="en-US"/>
                    </w:rPr>
                    <w:t>, tai skaitā:</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B719CE">
                  <w:pPr>
                    <w:jc w:val="right"/>
                    <w:rPr>
                      <w:b/>
                      <w:bCs/>
                      <w:color w:val="000000"/>
                      <w:sz w:val="18"/>
                      <w:szCs w:val="18"/>
                      <w:lang w:eastAsia="en-US"/>
                    </w:rPr>
                  </w:pPr>
                  <w:r w:rsidRPr="00B719CE">
                    <w:rPr>
                      <w:b/>
                      <w:bCs/>
                      <w:color w:val="000000"/>
                      <w:sz w:val="18"/>
                      <w:szCs w:val="18"/>
                      <w:lang w:eastAsia="en-US"/>
                    </w:rPr>
                    <w:t>4 217 280</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B719CE">
                  <w:pPr>
                    <w:jc w:val="right"/>
                    <w:rPr>
                      <w:b/>
                      <w:bCs/>
                      <w:color w:val="000000"/>
                      <w:sz w:val="18"/>
                      <w:szCs w:val="18"/>
                      <w:lang w:eastAsia="en-US"/>
                    </w:rPr>
                  </w:pPr>
                  <w:r w:rsidRPr="00B719CE">
                    <w:rPr>
                      <w:b/>
                      <w:bCs/>
                      <w:color w:val="000000"/>
                      <w:sz w:val="18"/>
                      <w:szCs w:val="18"/>
                      <w:lang w:eastAsia="en-US"/>
                    </w:rPr>
                    <w:t>3 994 280</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CA3074">
                  <w:pPr>
                    <w:jc w:val="right"/>
                    <w:rPr>
                      <w:b/>
                      <w:bCs/>
                      <w:color w:val="000000"/>
                      <w:sz w:val="18"/>
                      <w:szCs w:val="18"/>
                      <w:lang w:eastAsia="en-US"/>
                    </w:rPr>
                  </w:pPr>
                  <w:r w:rsidRPr="00B719CE">
                    <w:rPr>
                      <w:b/>
                      <w:bCs/>
                      <w:color w:val="000000"/>
                      <w:sz w:val="18"/>
                      <w:szCs w:val="18"/>
                      <w:lang w:eastAsia="en-US"/>
                    </w:rPr>
                    <w:t>3 756 417</w:t>
                  </w:r>
                </w:p>
              </w:tc>
            </w:tr>
            <w:tr w:rsidR="00B719CE" w:rsidRPr="00B719CE" w:rsidTr="00CA3074">
              <w:trPr>
                <w:trHeight w:val="300"/>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9CE" w:rsidRPr="00B719CE" w:rsidRDefault="00B719CE" w:rsidP="00B719CE">
                  <w:pPr>
                    <w:ind w:left="396"/>
                    <w:rPr>
                      <w:color w:val="000000"/>
                      <w:sz w:val="18"/>
                      <w:szCs w:val="18"/>
                      <w:lang w:eastAsia="en-US"/>
                    </w:rPr>
                  </w:pPr>
                  <w:r w:rsidRPr="00B719CE">
                    <w:rPr>
                      <w:color w:val="000000"/>
                      <w:sz w:val="18"/>
                      <w:szCs w:val="18"/>
                      <w:lang w:eastAsia="en-US"/>
                    </w:rPr>
                    <w:t xml:space="preserve">HIV/AIDS terapija </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B719CE">
                  <w:pPr>
                    <w:jc w:val="right"/>
                    <w:rPr>
                      <w:color w:val="000000"/>
                      <w:sz w:val="18"/>
                      <w:szCs w:val="18"/>
                      <w:lang w:eastAsia="en-US"/>
                    </w:rPr>
                  </w:pPr>
                  <w:r w:rsidRPr="00B719CE">
                    <w:rPr>
                      <w:color w:val="000000"/>
                      <w:sz w:val="18"/>
                      <w:szCs w:val="18"/>
                      <w:lang w:eastAsia="en-US"/>
                    </w:rPr>
                    <w:t>684 216</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B719CE">
                  <w:pPr>
                    <w:jc w:val="right"/>
                    <w:rPr>
                      <w:color w:val="000000"/>
                      <w:sz w:val="18"/>
                      <w:szCs w:val="18"/>
                      <w:lang w:eastAsia="en-US"/>
                    </w:rPr>
                  </w:pPr>
                  <w:r w:rsidRPr="00B719CE">
                    <w:rPr>
                      <w:color w:val="000000"/>
                      <w:sz w:val="18"/>
                      <w:szCs w:val="18"/>
                      <w:lang w:eastAsia="en-US"/>
                    </w:rPr>
                    <w:t>1 947 384</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CA3074">
                  <w:pPr>
                    <w:jc w:val="right"/>
                    <w:rPr>
                      <w:color w:val="000000"/>
                      <w:sz w:val="18"/>
                      <w:szCs w:val="18"/>
                      <w:lang w:eastAsia="en-US"/>
                    </w:rPr>
                  </w:pPr>
                  <w:r w:rsidRPr="00B719CE">
                    <w:rPr>
                      <w:color w:val="000000"/>
                      <w:sz w:val="18"/>
                      <w:szCs w:val="18"/>
                      <w:lang w:eastAsia="en-US"/>
                    </w:rPr>
                    <w:t>1 947 384</w:t>
                  </w:r>
                </w:p>
              </w:tc>
            </w:tr>
            <w:tr w:rsidR="00B719CE" w:rsidRPr="00B719CE" w:rsidTr="00CA3074">
              <w:trPr>
                <w:trHeight w:val="555"/>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9CE" w:rsidRPr="00B719CE" w:rsidRDefault="00B719CE" w:rsidP="00A17924">
                  <w:pPr>
                    <w:ind w:left="396"/>
                    <w:rPr>
                      <w:color w:val="000000"/>
                      <w:sz w:val="18"/>
                      <w:szCs w:val="18"/>
                      <w:lang w:eastAsia="en-US"/>
                    </w:rPr>
                  </w:pPr>
                  <w:r w:rsidRPr="00B719CE">
                    <w:rPr>
                      <w:color w:val="000000"/>
                      <w:sz w:val="18"/>
                      <w:szCs w:val="18"/>
                      <w:lang w:eastAsia="en-US"/>
                    </w:rPr>
                    <w:t xml:space="preserve">C hepatīta esošā terapija - kompensācijas apmēra palielinājums no 75% uz </w:t>
                  </w:r>
                  <w:r w:rsidR="00A17924">
                    <w:rPr>
                      <w:color w:val="000000"/>
                      <w:sz w:val="18"/>
                      <w:szCs w:val="18"/>
                      <w:lang w:eastAsia="en-US"/>
                    </w:rPr>
                    <w:t>100</w:t>
                  </w:r>
                  <w:r w:rsidRPr="00B719CE">
                    <w:rPr>
                      <w:color w:val="000000"/>
                      <w:sz w:val="18"/>
                      <w:szCs w:val="18"/>
                      <w:lang w:eastAsia="en-US"/>
                    </w:rPr>
                    <w:t>%</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B719CE">
                  <w:pPr>
                    <w:jc w:val="right"/>
                    <w:rPr>
                      <w:color w:val="000000"/>
                      <w:sz w:val="18"/>
                      <w:szCs w:val="18"/>
                      <w:lang w:eastAsia="en-US"/>
                    </w:rPr>
                  </w:pPr>
                  <w:r w:rsidRPr="00B719CE">
                    <w:rPr>
                      <w:color w:val="000000"/>
                      <w:sz w:val="18"/>
                      <w:szCs w:val="18"/>
                      <w:lang w:eastAsia="en-US"/>
                    </w:rPr>
                    <w:t>1 329 218</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B719CE">
                  <w:pPr>
                    <w:jc w:val="right"/>
                    <w:rPr>
                      <w:color w:val="000000"/>
                      <w:sz w:val="18"/>
                      <w:szCs w:val="18"/>
                      <w:lang w:eastAsia="en-US"/>
                    </w:rPr>
                  </w:pPr>
                  <w:r w:rsidRPr="00B719CE">
                    <w:rPr>
                      <w:color w:val="000000"/>
                      <w:sz w:val="18"/>
                      <w:szCs w:val="18"/>
                      <w:lang w:eastAsia="en-US"/>
                    </w:rPr>
                    <w:t>1 329 218</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CA3074">
                  <w:pPr>
                    <w:jc w:val="right"/>
                    <w:rPr>
                      <w:color w:val="000000"/>
                      <w:sz w:val="18"/>
                      <w:szCs w:val="18"/>
                      <w:lang w:eastAsia="en-US"/>
                    </w:rPr>
                  </w:pPr>
                  <w:r w:rsidRPr="00B719CE">
                    <w:rPr>
                      <w:color w:val="000000"/>
                      <w:sz w:val="18"/>
                      <w:szCs w:val="18"/>
                      <w:lang w:eastAsia="en-US"/>
                    </w:rPr>
                    <w:t>1 329 218</w:t>
                  </w:r>
                </w:p>
              </w:tc>
            </w:tr>
            <w:tr w:rsidR="00B719CE" w:rsidRPr="00B719CE" w:rsidTr="00CA3074">
              <w:trPr>
                <w:trHeight w:val="300"/>
              </w:trPr>
              <w:tc>
                <w:tcPr>
                  <w:tcW w:w="3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19CE" w:rsidRPr="00B719CE" w:rsidRDefault="00B719CE" w:rsidP="00B719CE">
                  <w:pPr>
                    <w:ind w:left="396"/>
                    <w:rPr>
                      <w:color w:val="000000"/>
                      <w:sz w:val="18"/>
                      <w:szCs w:val="18"/>
                      <w:lang w:eastAsia="en-US"/>
                    </w:rPr>
                  </w:pPr>
                  <w:r w:rsidRPr="00B719CE">
                    <w:rPr>
                      <w:color w:val="000000"/>
                      <w:sz w:val="18"/>
                      <w:szCs w:val="18"/>
                      <w:lang w:eastAsia="en-US"/>
                    </w:rPr>
                    <w:t xml:space="preserve">C hepatīta jaunās paaudzes terapija </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B719CE">
                  <w:pPr>
                    <w:jc w:val="right"/>
                    <w:rPr>
                      <w:color w:val="000000"/>
                      <w:sz w:val="18"/>
                      <w:szCs w:val="18"/>
                      <w:lang w:eastAsia="en-US"/>
                    </w:rPr>
                  </w:pPr>
                  <w:r w:rsidRPr="00B719CE">
                    <w:rPr>
                      <w:color w:val="000000"/>
                      <w:sz w:val="18"/>
                      <w:szCs w:val="18"/>
                      <w:lang w:eastAsia="en-US"/>
                    </w:rPr>
                    <w:t>2 203 846</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B719CE">
                  <w:pPr>
                    <w:jc w:val="right"/>
                    <w:rPr>
                      <w:color w:val="000000"/>
                      <w:sz w:val="18"/>
                      <w:szCs w:val="18"/>
                      <w:lang w:eastAsia="en-US"/>
                    </w:rPr>
                  </w:pPr>
                  <w:r w:rsidRPr="00B719CE">
                    <w:rPr>
                      <w:color w:val="000000"/>
                      <w:sz w:val="18"/>
                      <w:szCs w:val="18"/>
                      <w:lang w:eastAsia="en-US"/>
                    </w:rPr>
                    <w:t>717 678</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CA3074">
                  <w:pPr>
                    <w:jc w:val="right"/>
                    <w:rPr>
                      <w:color w:val="000000"/>
                      <w:sz w:val="18"/>
                      <w:szCs w:val="18"/>
                      <w:lang w:eastAsia="en-US"/>
                    </w:rPr>
                  </w:pPr>
                  <w:r w:rsidRPr="00B719CE">
                    <w:rPr>
                      <w:color w:val="000000"/>
                      <w:sz w:val="18"/>
                      <w:szCs w:val="18"/>
                      <w:lang w:eastAsia="en-US"/>
                    </w:rPr>
                    <w:t>479 815</w:t>
                  </w:r>
                </w:p>
              </w:tc>
            </w:tr>
            <w:tr w:rsidR="00B719CE" w:rsidRPr="00B719CE" w:rsidTr="00CA3074">
              <w:trPr>
                <w:trHeight w:val="340"/>
              </w:trPr>
              <w:tc>
                <w:tcPr>
                  <w:tcW w:w="362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D109FB" w:rsidRDefault="00B719CE" w:rsidP="00B719CE">
                  <w:pPr>
                    <w:rPr>
                      <w:i/>
                      <w:iCs/>
                      <w:color w:val="000000"/>
                      <w:sz w:val="18"/>
                      <w:szCs w:val="18"/>
                      <w:lang w:eastAsia="en-US"/>
                    </w:rPr>
                  </w:pPr>
                  <w:r w:rsidRPr="00B719CE">
                    <w:rPr>
                      <w:i/>
                      <w:iCs/>
                      <w:color w:val="000000"/>
                      <w:sz w:val="18"/>
                      <w:szCs w:val="18"/>
                      <w:lang w:eastAsia="en-US"/>
                    </w:rPr>
                    <w:t xml:space="preserve">C hepatīta pacientu skaits, kuriem ar papildus </w:t>
                  </w:r>
                </w:p>
                <w:p w:rsidR="00B719CE" w:rsidRPr="00B719CE" w:rsidRDefault="00B719CE" w:rsidP="00B719CE">
                  <w:pPr>
                    <w:rPr>
                      <w:i/>
                      <w:iCs/>
                      <w:color w:val="000000"/>
                      <w:sz w:val="18"/>
                      <w:szCs w:val="18"/>
                      <w:lang w:eastAsia="en-US"/>
                    </w:rPr>
                  </w:pPr>
                  <w:r w:rsidRPr="00B719CE">
                    <w:rPr>
                      <w:i/>
                      <w:iCs/>
                      <w:color w:val="000000"/>
                      <w:sz w:val="18"/>
                      <w:szCs w:val="18"/>
                      <w:lang w:eastAsia="en-US"/>
                    </w:rPr>
                    <w:t>piešķirto finansējumu būs iespējams nodrošināt jauno terapiju</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A17924">
                  <w:pPr>
                    <w:jc w:val="center"/>
                    <w:rPr>
                      <w:i/>
                      <w:iCs/>
                      <w:sz w:val="18"/>
                      <w:szCs w:val="18"/>
                      <w:lang w:eastAsia="en-US"/>
                    </w:rPr>
                  </w:pPr>
                  <w:r w:rsidRPr="00B719CE">
                    <w:rPr>
                      <w:i/>
                      <w:iCs/>
                      <w:sz w:val="18"/>
                      <w:szCs w:val="18"/>
                      <w:lang w:eastAsia="en-US"/>
                    </w:rPr>
                    <w:t>46</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A17924">
                  <w:pPr>
                    <w:jc w:val="center"/>
                    <w:rPr>
                      <w:i/>
                      <w:iCs/>
                      <w:sz w:val="18"/>
                      <w:szCs w:val="18"/>
                      <w:lang w:eastAsia="en-US"/>
                    </w:rPr>
                  </w:pPr>
                  <w:r w:rsidRPr="00B719CE">
                    <w:rPr>
                      <w:i/>
                      <w:iCs/>
                      <w:sz w:val="18"/>
                      <w:szCs w:val="18"/>
                      <w:lang w:eastAsia="en-US"/>
                    </w:rPr>
                    <w:t>15</w:t>
                  </w:r>
                </w:p>
              </w:tc>
              <w:tc>
                <w:tcPr>
                  <w:tcW w:w="1077" w:type="dxa"/>
                  <w:tcBorders>
                    <w:top w:val="nil"/>
                    <w:left w:val="nil"/>
                    <w:bottom w:val="single" w:sz="4" w:space="0" w:color="auto"/>
                    <w:right w:val="single" w:sz="4" w:space="0" w:color="auto"/>
                  </w:tcBorders>
                  <w:shd w:val="clear" w:color="auto" w:fill="auto"/>
                  <w:noWrap/>
                  <w:vAlign w:val="center"/>
                  <w:hideMark/>
                </w:tcPr>
                <w:p w:rsidR="00B719CE" w:rsidRPr="00B719CE" w:rsidRDefault="00B719CE" w:rsidP="00A17924">
                  <w:pPr>
                    <w:jc w:val="center"/>
                    <w:rPr>
                      <w:i/>
                      <w:iCs/>
                      <w:sz w:val="18"/>
                      <w:szCs w:val="18"/>
                      <w:lang w:eastAsia="en-US"/>
                    </w:rPr>
                  </w:pPr>
                  <w:r w:rsidRPr="00B719CE">
                    <w:rPr>
                      <w:i/>
                      <w:iCs/>
                      <w:sz w:val="18"/>
                      <w:szCs w:val="18"/>
                      <w:lang w:eastAsia="en-US"/>
                    </w:rPr>
                    <w:t>10</w:t>
                  </w:r>
                </w:p>
              </w:tc>
            </w:tr>
          </w:tbl>
          <w:p w:rsidR="00B04136" w:rsidRPr="004018DF" w:rsidRDefault="00B04136" w:rsidP="004018DF">
            <w:pPr>
              <w:ind w:right="142"/>
              <w:jc w:val="both"/>
              <w:rPr>
                <w:b/>
                <w:noProof/>
                <w:sz w:val="16"/>
                <w:szCs w:val="16"/>
              </w:rPr>
            </w:pPr>
          </w:p>
          <w:p w:rsidR="004018DF" w:rsidRPr="004018DF" w:rsidRDefault="004018DF" w:rsidP="004018DF">
            <w:pPr>
              <w:ind w:right="142"/>
              <w:jc w:val="both"/>
              <w:rPr>
                <w:b/>
                <w:noProof/>
                <w:sz w:val="16"/>
                <w:szCs w:val="16"/>
              </w:rPr>
            </w:pPr>
          </w:p>
        </w:tc>
      </w:tr>
      <w:tr w:rsidR="00B719CE" w:rsidRPr="0020136C" w:rsidTr="00B719CE">
        <w:tc>
          <w:tcPr>
            <w:tcW w:w="2127" w:type="dxa"/>
            <w:hideMark/>
          </w:tcPr>
          <w:p w:rsidR="00B719CE" w:rsidRPr="0020136C" w:rsidRDefault="00B719CE" w:rsidP="00B719CE">
            <w:pPr>
              <w:rPr>
                <w:noProof/>
                <w:color w:val="000000" w:themeColor="text1"/>
                <w:lang w:bidi="gu-IN"/>
              </w:rPr>
            </w:pPr>
            <w:r w:rsidRPr="0020136C">
              <w:rPr>
                <w:noProof/>
                <w:color w:val="000000" w:themeColor="text1"/>
                <w:lang w:bidi="gu-IN"/>
              </w:rPr>
              <w:lastRenderedPageBreak/>
              <w:t>6.1. detalizēts ieņēmumu aprēķins</w:t>
            </w:r>
          </w:p>
        </w:tc>
        <w:tc>
          <w:tcPr>
            <w:tcW w:w="7003" w:type="dxa"/>
            <w:gridSpan w:val="5"/>
            <w:vMerge/>
            <w:hideMark/>
          </w:tcPr>
          <w:p w:rsidR="00B719CE" w:rsidRPr="00715F0F" w:rsidRDefault="00B719CE" w:rsidP="00B719CE">
            <w:pPr>
              <w:rPr>
                <w:noProof/>
                <w:color w:val="FF0000"/>
                <w:lang w:bidi="gu-IN"/>
              </w:rPr>
            </w:pPr>
          </w:p>
        </w:tc>
      </w:tr>
      <w:tr w:rsidR="00B719CE" w:rsidRPr="0020136C" w:rsidTr="00B719CE">
        <w:tc>
          <w:tcPr>
            <w:tcW w:w="2127" w:type="dxa"/>
            <w:hideMark/>
          </w:tcPr>
          <w:p w:rsidR="00B719CE" w:rsidRPr="0020136C" w:rsidRDefault="00B719CE" w:rsidP="00B719CE">
            <w:pPr>
              <w:rPr>
                <w:noProof/>
                <w:color w:val="000000" w:themeColor="text1"/>
                <w:lang w:bidi="gu-IN"/>
              </w:rPr>
            </w:pPr>
            <w:r w:rsidRPr="0020136C">
              <w:rPr>
                <w:noProof/>
                <w:color w:val="000000" w:themeColor="text1"/>
                <w:lang w:bidi="gu-IN"/>
              </w:rPr>
              <w:lastRenderedPageBreak/>
              <w:t>6.2. detalizēts izdevumu aprēķins</w:t>
            </w:r>
          </w:p>
        </w:tc>
        <w:tc>
          <w:tcPr>
            <w:tcW w:w="7003" w:type="dxa"/>
            <w:gridSpan w:val="5"/>
            <w:vMerge/>
            <w:hideMark/>
          </w:tcPr>
          <w:p w:rsidR="00B719CE" w:rsidRPr="00715F0F" w:rsidRDefault="00B719CE" w:rsidP="00B719CE">
            <w:pPr>
              <w:rPr>
                <w:noProof/>
                <w:color w:val="FF0000"/>
                <w:lang w:bidi="gu-IN"/>
              </w:rPr>
            </w:pPr>
          </w:p>
        </w:tc>
      </w:tr>
      <w:tr w:rsidR="00B719CE" w:rsidRPr="0020136C" w:rsidTr="00D109FB">
        <w:trPr>
          <w:trHeight w:val="510"/>
        </w:trPr>
        <w:tc>
          <w:tcPr>
            <w:tcW w:w="2127" w:type="dxa"/>
            <w:hideMark/>
          </w:tcPr>
          <w:p w:rsidR="00B719CE" w:rsidRPr="0020136C" w:rsidRDefault="00B719CE" w:rsidP="00D109FB">
            <w:pPr>
              <w:spacing w:before="120"/>
              <w:rPr>
                <w:b/>
                <w:noProof/>
                <w:color w:val="000000" w:themeColor="text1"/>
                <w:lang w:bidi="gu-IN"/>
              </w:rPr>
            </w:pPr>
            <w:r w:rsidRPr="0020136C">
              <w:rPr>
                <w:b/>
                <w:noProof/>
                <w:color w:val="000000" w:themeColor="text1"/>
                <w:lang w:bidi="gu-IN"/>
              </w:rPr>
              <w:lastRenderedPageBreak/>
              <w:t>7. Cita informācija</w:t>
            </w:r>
          </w:p>
        </w:tc>
        <w:tc>
          <w:tcPr>
            <w:tcW w:w="7003" w:type="dxa"/>
            <w:gridSpan w:val="5"/>
            <w:hideMark/>
          </w:tcPr>
          <w:p w:rsidR="00B719CE" w:rsidRPr="005006CB" w:rsidRDefault="00B719CE" w:rsidP="00D109FB">
            <w:pPr>
              <w:tabs>
                <w:tab w:val="left" w:pos="5940"/>
              </w:tabs>
              <w:spacing w:before="120"/>
              <w:ind w:left="85"/>
              <w:jc w:val="both"/>
              <w:rPr>
                <w:rFonts w:eastAsiaTheme="minorEastAsia" w:cstheme="minorBidi"/>
                <w:lang w:eastAsia="zh-CN"/>
              </w:rPr>
            </w:pPr>
            <w:r w:rsidRPr="005006CB">
              <w:rPr>
                <w:rFonts w:eastAsiaTheme="minorEastAsia" w:cstheme="minorBidi"/>
                <w:lang w:eastAsia="zh-CN"/>
              </w:rPr>
              <w:t xml:space="preserve">Papildu finansējuma pieprasījums </w:t>
            </w:r>
            <w:r>
              <w:rPr>
                <w:noProof/>
                <w:lang w:bidi="gu-IN"/>
              </w:rPr>
              <w:t>k</w:t>
            </w:r>
            <w:r w:rsidRPr="00660A4C">
              <w:rPr>
                <w:noProof/>
                <w:lang w:bidi="gu-IN"/>
              </w:rPr>
              <w:t>ompensējamo medikamentu apmaksai C</w:t>
            </w:r>
            <w:r>
              <w:rPr>
                <w:noProof/>
              </w:rPr>
              <w:t xml:space="preserve"> vīrushepatīta</w:t>
            </w:r>
            <w:r w:rsidRPr="00660A4C">
              <w:rPr>
                <w:noProof/>
                <w:lang w:bidi="gu-IN"/>
              </w:rPr>
              <w:t xml:space="preserve"> un HIV/AIDS pacientiem</w:t>
            </w:r>
            <w:r w:rsidRPr="005006CB">
              <w:rPr>
                <w:rFonts w:eastAsiaTheme="minorEastAsia" w:cstheme="minorBidi"/>
                <w:lang w:eastAsia="zh-CN"/>
              </w:rPr>
              <w:t xml:space="preserve"> 2016., 2017. un 2018.gadam ir iekļauts jaunajās politikas iniciatīvās,  ko Veselības ministrija saskaņā ar Ministru kabineta 2015.gada 13.aprīļa ārkārtas sēdes protokola Nr.19 </w:t>
            </w:r>
            <w:r w:rsidR="00833A77">
              <w:rPr>
                <w:rFonts w:eastAsiaTheme="minorEastAsia" w:cstheme="minorBidi"/>
                <w:lang w:eastAsia="zh-CN"/>
              </w:rPr>
              <w:t>1.</w:t>
            </w:r>
            <w:r w:rsidR="00833A77" w:rsidRPr="005006CB">
              <w:rPr>
                <w:color w:val="000000"/>
                <w:shd w:val="clear" w:color="auto" w:fill="FFFFFF"/>
                <w:lang w:bidi="lv-LV"/>
              </w:rPr>
              <w:t>§</w:t>
            </w:r>
            <w:r w:rsidR="00833A77">
              <w:rPr>
                <w:color w:val="000000"/>
                <w:shd w:val="clear" w:color="auto" w:fill="FFFFFF"/>
                <w:lang w:bidi="lv-LV"/>
              </w:rPr>
              <w:t xml:space="preserve">, </w:t>
            </w:r>
            <w:r w:rsidRPr="005006CB">
              <w:rPr>
                <w:rFonts w:eastAsiaTheme="minorEastAsia" w:cstheme="minorBidi"/>
                <w:lang w:eastAsia="zh-CN"/>
              </w:rPr>
              <w:t>6.punktā noteikto iesniedza veselības jomas strukturālo reformu ietvaros</w:t>
            </w:r>
            <w:bookmarkStart w:id="0" w:name="_GoBack"/>
            <w:bookmarkEnd w:id="0"/>
            <w:r w:rsidRPr="005006CB">
              <w:rPr>
                <w:rFonts w:eastAsiaTheme="minorEastAsia" w:cstheme="minorBidi"/>
                <w:lang w:eastAsia="zh-CN"/>
              </w:rPr>
              <w:t>. Pieprasījums (</w:t>
            </w:r>
            <w:r>
              <w:rPr>
                <w:rFonts w:eastAsiaTheme="minorEastAsia" w:cstheme="minorBidi"/>
                <w:lang w:eastAsia="zh-CN"/>
              </w:rPr>
              <w:t>2016.gadā – 10 358 923</w:t>
            </w:r>
            <w:r w:rsidRPr="005006CB">
              <w:rPr>
                <w:rFonts w:eastAsiaTheme="minorEastAsia" w:cstheme="minorBidi"/>
                <w:lang w:eastAsia="zh-CN"/>
              </w:rPr>
              <w:t> </w:t>
            </w:r>
            <w:proofErr w:type="spellStart"/>
            <w:r w:rsidRPr="005006CB">
              <w:rPr>
                <w:rFonts w:eastAsiaTheme="minorEastAsia" w:cstheme="minorBidi"/>
                <w:i/>
                <w:lang w:eastAsia="zh-CN"/>
              </w:rPr>
              <w:t>euro</w:t>
            </w:r>
            <w:proofErr w:type="spellEnd"/>
            <w:r>
              <w:rPr>
                <w:rFonts w:eastAsiaTheme="minorEastAsia" w:cstheme="minorBidi"/>
                <w:i/>
                <w:lang w:eastAsia="zh-CN"/>
              </w:rPr>
              <w:t>,</w:t>
            </w:r>
            <w:r>
              <w:rPr>
                <w:rFonts w:eastAsiaTheme="minorEastAsia" w:cstheme="minorBidi"/>
                <w:lang w:eastAsia="zh-CN"/>
              </w:rPr>
              <w:t xml:space="preserve"> 2017.gadā – 8 305 112 </w:t>
            </w:r>
            <w:proofErr w:type="spellStart"/>
            <w:r w:rsidRPr="005006CB">
              <w:rPr>
                <w:rFonts w:eastAsiaTheme="minorEastAsia" w:cstheme="minorBidi"/>
                <w:i/>
                <w:lang w:eastAsia="zh-CN"/>
              </w:rPr>
              <w:t>euro</w:t>
            </w:r>
            <w:proofErr w:type="spellEnd"/>
            <w:r>
              <w:rPr>
                <w:rFonts w:eastAsiaTheme="minorEastAsia" w:cstheme="minorBidi"/>
                <w:lang w:eastAsia="zh-CN"/>
              </w:rPr>
              <w:t xml:space="preserve">, 2018.gadā – 8 256 916 </w:t>
            </w:r>
            <w:proofErr w:type="spellStart"/>
            <w:r w:rsidRPr="005006CB">
              <w:rPr>
                <w:rFonts w:eastAsiaTheme="minorEastAsia" w:cstheme="minorBidi"/>
                <w:i/>
                <w:lang w:eastAsia="zh-CN"/>
              </w:rPr>
              <w:t>euro</w:t>
            </w:r>
            <w:proofErr w:type="spellEnd"/>
            <w:r w:rsidRPr="005006CB">
              <w:rPr>
                <w:rFonts w:eastAsiaTheme="minorEastAsia" w:cstheme="minorBidi"/>
                <w:lang w:eastAsia="zh-CN"/>
              </w:rPr>
              <w:t xml:space="preserve"> apmērā) iekļauts Veselības ministrijas </w:t>
            </w:r>
            <w:r>
              <w:rPr>
                <w:rFonts w:eastAsiaTheme="minorEastAsia" w:cstheme="minorBidi"/>
                <w:lang w:eastAsia="zh-CN"/>
              </w:rPr>
              <w:t>j</w:t>
            </w:r>
            <w:r w:rsidRPr="005006CB">
              <w:rPr>
                <w:rFonts w:eastAsiaTheme="minorEastAsia" w:cstheme="minorBidi"/>
                <w:lang w:eastAsia="zh-CN"/>
              </w:rPr>
              <w:t>aun</w:t>
            </w:r>
            <w:r>
              <w:rPr>
                <w:rFonts w:eastAsiaTheme="minorEastAsia" w:cstheme="minorBidi"/>
                <w:lang w:eastAsia="zh-CN"/>
              </w:rPr>
              <w:t>ajā</w:t>
            </w:r>
            <w:r w:rsidRPr="005006CB">
              <w:rPr>
                <w:rFonts w:eastAsiaTheme="minorEastAsia" w:cstheme="minorBidi"/>
                <w:lang w:eastAsia="zh-CN"/>
              </w:rPr>
              <w:t xml:space="preserve"> politikas iniciatīv</w:t>
            </w:r>
            <w:r>
              <w:rPr>
                <w:rFonts w:eastAsiaTheme="minorEastAsia" w:cstheme="minorBidi"/>
                <w:lang w:eastAsia="zh-CN"/>
              </w:rPr>
              <w:t>ā</w:t>
            </w:r>
            <w:r w:rsidRPr="005006CB">
              <w:rPr>
                <w:rFonts w:eastAsiaTheme="minorEastAsia" w:cstheme="minorBidi"/>
                <w:lang w:eastAsia="zh-CN"/>
              </w:rPr>
              <w:t xml:space="preserve"> vidējam termiņam</w:t>
            </w:r>
            <w:r>
              <w:rPr>
                <w:rFonts w:eastAsiaTheme="minorEastAsia" w:cstheme="minorBidi"/>
                <w:lang w:eastAsia="zh-CN"/>
              </w:rPr>
              <w:t xml:space="preserve"> </w:t>
            </w:r>
            <w:r w:rsidRPr="005006CB">
              <w:rPr>
                <w:rFonts w:eastAsiaTheme="minorEastAsia" w:cstheme="minorBidi"/>
                <w:lang w:eastAsia="zh-CN"/>
              </w:rPr>
              <w:t xml:space="preserve">Nr. 29_01_P „Kompensējamo medikamentu un materiālu sistēmas, centralizēti iepērkamo medikamentu un materiālu sistēmas un reto slimību medikamentozās ārstēšanas sistēmas </w:t>
            </w:r>
            <w:r w:rsidRPr="005006CB">
              <w:rPr>
                <w:rFonts w:eastAsiaTheme="minorEastAsia" w:cstheme="minorBidi"/>
                <w:lang w:eastAsia="zh-CN"/>
              </w:rPr>
              <w:lastRenderedPageBreak/>
              <w:t>uzlabošana”.</w:t>
            </w:r>
          </w:p>
          <w:p w:rsidR="00B719CE" w:rsidRPr="005006CB" w:rsidRDefault="00B719CE" w:rsidP="00B719CE">
            <w:pPr>
              <w:widowControl w:val="0"/>
              <w:tabs>
                <w:tab w:val="center" w:pos="4153"/>
                <w:tab w:val="right" w:pos="8306"/>
              </w:tabs>
              <w:ind w:left="85"/>
              <w:jc w:val="both"/>
              <w:rPr>
                <w:color w:val="000000"/>
                <w:shd w:val="clear" w:color="auto" w:fill="FFFFFF"/>
                <w:lang w:bidi="lv-LV"/>
              </w:rPr>
            </w:pPr>
          </w:p>
          <w:p w:rsidR="00B719CE" w:rsidRPr="005006CB" w:rsidRDefault="00B719CE" w:rsidP="00B719CE">
            <w:pPr>
              <w:widowControl w:val="0"/>
              <w:tabs>
                <w:tab w:val="center" w:pos="4153"/>
                <w:tab w:val="right" w:pos="8306"/>
              </w:tabs>
              <w:ind w:left="85"/>
              <w:jc w:val="both"/>
              <w:rPr>
                <w:color w:val="000000"/>
                <w:shd w:val="clear" w:color="auto" w:fill="FFFFFF"/>
                <w:lang w:bidi="lv-LV"/>
              </w:rPr>
            </w:pPr>
            <w:r w:rsidRPr="005006CB">
              <w:rPr>
                <w:color w:val="000000"/>
                <w:shd w:val="clear" w:color="auto" w:fill="FFFFFF"/>
                <w:lang w:bidi="lv-LV"/>
              </w:rPr>
              <w:t>Ministru kabineta 2015.gada 6.jūlija ārkārtas sēdes lēmum</w:t>
            </w:r>
            <w:r>
              <w:rPr>
                <w:color w:val="000000"/>
                <w:shd w:val="clear" w:color="auto" w:fill="FFFFFF"/>
                <w:lang w:bidi="lv-LV"/>
              </w:rPr>
              <w:t>s</w:t>
            </w:r>
            <w:r w:rsidRPr="005006CB">
              <w:rPr>
                <w:color w:val="000000"/>
                <w:shd w:val="clear" w:color="auto" w:fill="FFFFFF"/>
                <w:lang w:bidi="lv-LV"/>
              </w:rPr>
              <w:t xml:space="preserve"> (prot. Nr.31, 2.§, 2.punkts)</w:t>
            </w:r>
            <w:r>
              <w:rPr>
                <w:color w:val="000000"/>
                <w:shd w:val="clear" w:color="auto" w:fill="FFFFFF"/>
                <w:lang w:bidi="lv-LV"/>
              </w:rPr>
              <w:t xml:space="preserve"> paredzēja</w:t>
            </w:r>
            <w:r w:rsidRPr="005006CB">
              <w:rPr>
                <w:color w:val="000000"/>
                <w:shd w:val="clear" w:color="auto" w:fill="FFFFFF"/>
                <w:lang w:bidi="lv-LV"/>
              </w:rPr>
              <w:t xml:space="preserve">, ka jaunās politikas iniciatīvas 2016.gadam netiek izskatītas, </w:t>
            </w:r>
            <w:r>
              <w:rPr>
                <w:color w:val="000000"/>
                <w:shd w:val="clear" w:color="auto" w:fill="FFFFFF"/>
                <w:lang w:bidi="lv-LV"/>
              </w:rPr>
              <w:t>un papildus finansējums 2016.-2018.gadam tika piešķirts neatliekamo pasākumu īstenošanai.</w:t>
            </w:r>
            <w:r>
              <w:rPr>
                <w:rFonts w:eastAsiaTheme="minorEastAsia" w:cstheme="minorBidi"/>
                <w:lang w:eastAsia="zh-CN"/>
              </w:rPr>
              <w:t xml:space="preserve"> Līdz ar to k</w:t>
            </w:r>
            <w:r w:rsidRPr="00660A4C">
              <w:rPr>
                <w:noProof/>
                <w:lang w:bidi="gu-IN"/>
              </w:rPr>
              <w:t>ompensējamo medikamentu apmaksa C</w:t>
            </w:r>
            <w:r w:rsidR="00793B56">
              <w:rPr>
                <w:noProof/>
                <w:lang w:bidi="gu-IN"/>
              </w:rPr>
              <w:t xml:space="preserve"> </w:t>
            </w:r>
            <w:r w:rsidRPr="00660A4C">
              <w:rPr>
                <w:noProof/>
                <w:lang w:bidi="gu-IN"/>
              </w:rPr>
              <w:t>hepatīta un HIV/AIDS pacientiem</w:t>
            </w:r>
            <w:r>
              <w:rPr>
                <w:noProof/>
                <w:lang w:bidi="gu-IN"/>
              </w:rPr>
              <w:t xml:space="preserve"> tiks īstenota mazākā apjomā kā iepriekš plānots.</w:t>
            </w:r>
          </w:p>
          <w:p w:rsidR="00B719CE" w:rsidRPr="00B719CE" w:rsidRDefault="00B719CE" w:rsidP="003F1C74">
            <w:pPr>
              <w:tabs>
                <w:tab w:val="left" w:pos="5940"/>
              </w:tabs>
              <w:ind w:left="85"/>
              <w:jc w:val="both"/>
              <w:rPr>
                <w:rFonts w:eastAsiaTheme="minorEastAsia" w:cstheme="minorBidi"/>
                <w:lang w:eastAsia="zh-CN"/>
              </w:rPr>
            </w:pPr>
          </w:p>
        </w:tc>
      </w:tr>
    </w:tbl>
    <w:p w:rsidR="00B719CE" w:rsidRDefault="00B719CE" w:rsidP="00871F6C">
      <w:pPr>
        <w:jc w:val="center"/>
        <w:rPr>
          <w:bCs/>
          <w:i/>
        </w:rPr>
      </w:pPr>
    </w:p>
    <w:p w:rsidR="0093184A" w:rsidRPr="00234064" w:rsidRDefault="0093184A" w:rsidP="00871F6C">
      <w:pPr>
        <w:jc w:val="center"/>
        <w:rPr>
          <w:bCs/>
          <w:i/>
        </w:rPr>
      </w:pPr>
      <w:r w:rsidRPr="00234064">
        <w:rPr>
          <w:bCs/>
          <w:i/>
        </w:rPr>
        <w:t>IV un V nodaļa – Noteikumu projekts šo jomu neskar</w:t>
      </w:r>
    </w:p>
    <w:p w:rsidR="00153AA1" w:rsidRPr="00234064" w:rsidRDefault="00153AA1" w:rsidP="00871F6C">
      <w:pPr>
        <w:jc w:val="center"/>
        <w:rPr>
          <w:bCs/>
          <w:i/>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57"/>
        <w:gridCol w:w="3117"/>
        <w:gridCol w:w="5557"/>
      </w:tblGrid>
      <w:tr w:rsidR="00D07F03" w:rsidRPr="00234064" w:rsidTr="0059687E">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VI. Sabiedrības līdzdalība un komunikācijas aktivitātes</w:t>
            </w:r>
          </w:p>
        </w:tc>
      </w:tr>
      <w:tr w:rsidR="00D07F03" w:rsidRPr="00234064" w:rsidTr="00DE65A7">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1707"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Plānotās sabiedrības līdzdalības un komunikācijas aktivitātes saistībā ar projektu</w:t>
            </w:r>
          </w:p>
        </w:tc>
        <w:tc>
          <w:tcPr>
            <w:tcW w:w="3043" w:type="pct"/>
            <w:tcBorders>
              <w:top w:val="outset" w:sz="6" w:space="0" w:color="414142"/>
              <w:left w:val="outset" w:sz="6" w:space="0" w:color="414142"/>
              <w:bottom w:val="outset" w:sz="6" w:space="0" w:color="414142"/>
              <w:right w:val="outset" w:sz="6" w:space="0" w:color="414142"/>
            </w:tcBorders>
            <w:hideMark/>
          </w:tcPr>
          <w:p w:rsidR="007470F5" w:rsidRPr="00234064" w:rsidRDefault="00B719CE" w:rsidP="00B719CE">
            <w:pPr>
              <w:spacing w:after="120"/>
              <w:ind w:left="113" w:right="142"/>
              <w:jc w:val="both"/>
              <w:rPr>
                <w:lang w:bidi="gu-IN"/>
              </w:rPr>
            </w:pPr>
            <w:r>
              <w:rPr>
                <w:lang w:bidi="gu-IN"/>
              </w:rPr>
              <w:t>Informācija par paredzētajām izmaiņām ir sniegta masu medijos, kā arī tika organizēta tikšanās ar pacientu organizāciju, t.sk., Hepatīta biedrības, pārstāvjiem.</w:t>
            </w:r>
          </w:p>
        </w:tc>
      </w:tr>
      <w:tr w:rsidR="00D07F03" w:rsidRPr="00234064" w:rsidTr="00DE65A7">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2.</w:t>
            </w:r>
          </w:p>
        </w:tc>
        <w:tc>
          <w:tcPr>
            <w:tcW w:w="1707"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Sabiedrības līdzdalība projekta izstrādē</w:t>
            </w:r>
          </w:p>
        </w:tc>
        <w:tc>
          <w:tcPr>
            <w:tcW w:w="3043" w:type="pct"/>
            <w:tcBorders>
              <w:top w:val="outset" w:sz="6" w:space="0" w:color="414142"/>
              <w:left w:val="outset" w:sz="6" w:space="0" w:color="414142"/>
              <w:bottom w:val="outset" w:sz="6" w:space="0" w:color="414142"/>
              <w:right w:val="outset" w:sz="6" w:space="0" w:color="414142"/>
            </w:tcBorders>
            <w:hideMark/>
          </w:tcPr>
          <w:p w:rsidR="00EB2367" w:rsidRPr="00234064" w:rsidRDefault="00B719CE" w:rsidP="0097561E">
            <w:pPr>
              <w:spacing w:after="120"/>
              <w:ind w:left="113" w:right="142"/>
              <w:jc w:val="both"/>
              <w:rPr>
                <w:lang w:bidi="gu-IN"/>
              </w:rPr>
            </w:pPr>
            <w:r>
              <w:rPr>
                <w:lang w:bidi="gu-IN"/>
              </w:rPr>
              <w:t>Sabiedrisko organizāciju pārstāvji ir pauduši atbalstu Noteikumu projektā paredzētajām normām, kas uzlabos C hepatīta pacientu ārstēšanas rezultātus un mazinās slimības izplatību.</w:t>
            </w:r>
          </w:p>
        </w:tc>
      </w:tr>
      <w:tr w:rsidR="00D07F03" w:rsidRPr="00234064" w:rsidTr="00DE65A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1707"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Sabiedrības līdzdalības rezultāti</w:t>
            </w:r>
          </w:p>
        </w:tc>
        <w:tc>
          <w:tcPr>
            <w:tcW w:w="3043" w:type="pct"/>
            <w:tcBorders>
              <w:top w:val="outset" w:sz="6" w:space="0" w:color="414142"/>
              <w:left w:val="outset" w:sz="6" w:space="0" w:color="414142"/>
              <w:bottom w:val="outset" w:sz="6" w:space="0" w:color="414142"/>
              <w:right w:val="outset" w:sz="6" w:space="0" w:color="414142"/>
            </w:tcBorders>
            <w:hideMark/>
          </w:tcPr>
          <w:p w:rsidR="00E10DDB" w:rsidRPr="0097561E" w:rsidRDefault="00B719CE" w:rsidP="0097561E">
            <w:pPr>
              <w:spacing w:after="120"/>
              <w:ind w:left="113" w:right="142"/>
              <w:jc w:val="both"/>
              <w:rPr>
                <w:lang w:bidi="gu-IN"/>
              </w:rPr>
            </w:pPr>
            <w:r>
              <w:rPr>
                <w:lang w:bidi="gu-IN"/>
              </w:rPr>
              <w:t>Sabiedrisko organizāciju pārstāvji ir pauduši atbalstu Noteikumu projektā paredzētajām normām, kas uzlabos C hepatīta pacientu ārstēšanas rezultātus un mazinās slimības izplatību.</w:t>
            </w:r>
          </w:p>
        </w:tc>
      </w:tr>
      <w:tr w:rsidR="00D07F03" w:rsidRPr="00234064" w:rsidTr="00DE65A7">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4.</w:t>
            </w:r>
          </w:p>
        </w:tc>
        <w:tc>
          <w:tcPr>
            <w:tcW w:w="1707"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FD71D8">
            <w:pPr>
              <w:ind w:left="110"/>
            </w:pPr>
            <w:r w:rsidRPr="00234064">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140B84">
            <w:pPr>
              <w:spacing w:before="100" w:beforeAutospacing="1" w:after="100" w:afterAutospacing="1" w:line="360" w:lineRule="auto"/>
              <w:ind w:left="112" w:right="140"/>
            </w:pPr>
            <w:r w:rsidRPr="00234064">
              <w:t>Nav</w:t>
            </w:r>
          </w:p>
        </w:tc>
      </w:tr>
    </w:tbl>
    <w:p w:rsidR="00D07F03" w:rsidRPr="00234064"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4394"/>
        <w:gridCol w:w="4281"/>
      </w:tblGrid>
      <w:tr w:rsidR="00D07F03" w:rsidRPr="00234064" w:rsidTr="00140B84">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234064" w:rsidRDefault="00D07F03" w:rsidP="00D07F03">
            <w:pPr>
              <w:spacing w:before="100" w:beforeAutospacing="1" w:after="100" w:afterAutospacing="1" w:line="360" w:lineRule="auto"/>
              <w:ind w:firstLine="300"/>
              <w:jc w:val="center"/>
              <w:rPr>
                <w:b/>
                <w:bCs/>
              </w:rPr>
            </w:pPr>
            <w:r w:rsidRPr="00234064">
              <w:rPr>
                <w:b/>
                <w:bCs/>
              </w:rPr>
              <w:t>VII. Tiesību akta projekta izpildes nodrošināšana un tās ietekme uz institūcijām</w:t>
            </w:r>
          </w:p>
        </w:tc>
      </w:tr>
      <w:tr w:rsidR="00D07F03" w:rsidRPr="00234064" w:rsidTr="005C0AC4">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1.</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Projekta izpildē iesaistītās institūcijas</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140B84">
            <w:pPr>
              <w:ind w:left="112" w:right="140"/>
            </w:pPr>
            <w:r w:rsidRPr="00234064">
              <w:t>Nacionālais veselības dienests</w:t>
            </w:r>
          </w:p>
        </w:tc>
      </w:tr>
      <w:tr w:rsidR="00D07F03" w:rsidRPr="00234064" w:rsidTr="005C0AC4">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2.</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r w:rsidRPr="00234064">
              <w:t xml:space="preserve">Projekta izpildes ietekme uz pārvaldes funkcijām un institucionālo struktūru. </w:t>
            </w:r>
          </w:p>
          <w:p w:rsidR="00D07F03" w:rsidRPr="00234064" w:rsidRDefault="00D07F03" w:rsidP="00871F6C">
            <w:r w:rsidRPr="00234064">
              <w:t>Jaunu institūciju izveide, esošu institūciju likvidācija vai reorganizācija, to ietekme uz institūcijas cilvēkresursiem</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140B84" w:rsidP="009A1571">
            <w:pPr>
              <w:ind w:left="113" w:right="142"/>
              <w:jc w:val="both"/>
            </w:pPr>
            <w:r w:rsidRPr="00234064">
              <w:t>Noteikumu p</w:t>
            </w:r>
            <w:r w:rsidR="00303E46" w:rsidRPr="00234064">
              <w:t xml:space="preserve">rojekts šo jomu neskar </w:t>
            </w:r>
          </w:p>
        </w:tc>
      </w:tr>
      <w:tr w:rsidR="00D07F03" w:rsidRPr="00234064" w:rsidTr="005C0AC4">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871F6C">
            <w:pPr>
              <w:jc w:val="center"/>
            </w:pPr>
            <w:r w:rsidRPr="00234064">
              <w:t>3.</w:t>
            </w:r>
          </w:p>
        </w:tc>
        <w:tc>
          <w:tcPr>
            <w:tcW w:w="2406" w:type="pct"/>
            <w:tcBorders>
              <w:top w:val="outset" w:sz="6" w:space="0" w:color="414142"/>
              <w:left w:val="outset" w:sz="6" w:space="0" w:color="414142"/>
              <w:bottom w:val="outset" w:sz="6" w:space="0" w:color="414142"/>
              <w:right w:val="outset" w:sz="6" w:space="0" w:color="414142"/>
            </w:tcBorders>
            <w:hideMark/>
          </w:tcPr>
          <w:p w:rsidR="00D07F03" w:rsidRPr="00234064" w:rsidRDefault="00D07F03" w:rsidP="00D07F03">
            <w:r w:rsidRPr="00234064">
              <w:t>Cita informācija</w:t>
            </w:r>
          </w:p>
        </w:tc>
        <w:tc>
          <w:tcPr>
            <w:tcW w:w="2344" w:type="pct"/>
            <w:tcBorders>
              <w:top w:val="outset" w:sz="6" w:space="0" w:color="414142"/>
              <w:left w:val="outset" w:sz="6" w:space="0" w:color="414142"/>
              <w:bottom w:val="outset" w:sz="6" w:space="0" w:color="414142"/>
              <w:right w:val="outset" w:sz="6" w:space="0" w:color="414142"/>
            </w:tcBorders>
            <w:hideMark/>
          </w:tcPr>
          <w:p w:rsidR="00D07F03" w:rsidRPr="00234064" w:rsidRDefault="005C0AC4" w:rsidP="0097561E">
            <w:pPr>
              <w:spacing w:after="120"/>
              <w:ind w:left="113" w:right="142"/>
              <w:jc w:val="both"/>
            </w:pPr>
            <w:r w:rsidRPr="00234064">
              <w:t>Lai veicinātu anotācijas I un III sadaļā paredzēto HIV/AIDS pacientu ārstēšanas uzlabošanu, Nacionālajam veselības dienestam līdz 201</w:t>
            </w:r>
            <w:r w:rsidR="0097561E">
              <w:t>6</w:t>
            </w:r>
            <w:r w:rsidRPr="00234064">
              <w:t>.gada 1.</w:t>
            </w:r>
            <w:r w:rsidR="0097561E">
              <w:t>janvārim</w:t>
            </w:r>
            <w:r w:rsidRPr="00234064">
              <w:t xml:space="preserve"> ir jāaktualizē Racionālas </w:t>
            </w:r>
            <w:proofErr w:type="spellStart"/>
            <w:r w:rsidRPr="00234064">
              <w:t>farmakoterapijas</w:t>
            </w:r>
            <w:proofErr w:type="spellEnd"/>
            <w:r w:rsidRPr="00234064">
              <w:t xml:space="preserve"> rekomendācijas no valsts budžeta līdzekļiem apmaksātai </w:t>
            </w:r>
            <w:proofErr w:type="spellStart"/>
            <w:r w:rsidRPr="00234064">
              <w:t>antiretrovirālai</w:t>
            </w:r>
            <w:proofErr w:type="spellEnd"/>
            <w:r w:rsidRPr="00234064">
              <w:t xml:space="preserve"> terapijai </w:t>
            </w:r>
            <w:r w:rsidR="00EC0504" w:rsidRPr="00234064">
              <w:t xml:space="preserve"> HIV/AIDS infekcijas ārstēšanai un jāievieto aktualizētās rekomendācijas Nacionālā veselības dienesta interneta </w:t>
            </w:r>
            <w:r w:rsidR="00EC0504" w:rsidRPr="00234064">
              <w:lastRenderedPageBreak/>
              <w:t xml:space="preserve">vietnē sadaļā ”Racionālās </w:t>
            </w:r>
            <w:proofErr w:type="spellStart"/>
            <w:r w:rsidR="00EC0504" w:rsidRPr="00234064">
              <w:t>farmakoterapijas</w:t>
            </w:r>
            <w:proofErr w:type="spellEnd"/>
            <w:r w:rsidR="00EC0504" w:rsidRPr="00234064">
              <w:t xml:space="preserve"> rekomendācijas”.</w:t>
            </w:r>
          </w:p>
        </w:tc>
      </w:tr>
    </w:tbl>
    <w:p w:rsidR="00CA0CB9" w:rsidRPr="00234064" w:rsidRDefault="00CA0CB9" w:rsidP="00FF2231">
      <w:pPr>
        <w:autoSpaceDE w:val="0"/>
        <w:autoSpaceDN w:val="0"/>
        <w:adjustRightInd w:val="0"/>
      </w:pPr>
    </w:p>
    <w:p w:rsidR="00151278" w:rsidRDefault="00151278" w:rsidP="00FF2231">
      <w:pPr>
        <w:autoSpaceDE w:val="0"/>
        <w:autoSpaceDN w:val="0"/>
        <w:adjustRightInd w:val="0"/>
        <w:rPr>
          <w:sz w:val="28"/>
          <w:szCs w:val="28"/>
          <w:lang w:bidi="gu-IN"/>
        </w:rPr>
      </w:pPr>
    </w:p>
    <w:p w:rsidR="004C2122" w:rsidRDefault="004C2122" w:rsidP="00FF2231">
      <w:pPr>
        <w:autoSpaceDE w:val="0"/>
        <w:autoSpaceDN w:val="0"/>
        <w:adjustRightInd w:val="0"/>
        <w:rPr>
          <w:sz w:val="28"/>
          <w:szCs w:val="28"/>
          <w:lang w:bidi="gu-IN"/>
        </w:rPr>
      </w:pPr>
    </w:p>
    <w:p w:rsidR="00FF2231" w:rsidRPr="00234064" w:rsidRDefault="00FF2231" w:rsidP="00FF2231">
      <w:pPr>
        <w:autoSpaceDE w:val="0"/>
        <w:autoSpaceDN w:val="0"/>
        <w:adjustRightInd w:val="0"/>
        <w:rPr>
          <w:sz w:val="28"/>
          <w:szCs w:val="28"/>
          <w:lang w:bidi="gu-IN"/>
        </w:rPr>
      </w:pPr>
      <w:r w:rsidRPr="00234064">
        <w:rPr>
          <w:sz w:val="28"/>
          <w:szCs w:val="28"/>
          <w:lang w:bidi="gu-IN"/>
        </w:rPr>
        <w:t>Veselības</w:t>
      </w:r>
      <w:r w:rsidR="004C3EDB" w:rsidRPr="00234064">
        <w:rPr>
          <w:sz w:val="28"/>
          <w:szCs w:val="28"/>
          <w:lang w:bidi="gu-IN"/>
        </w:rPr>
        <w:t xml:space="preserve"> ministrs  </w:t>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004C3EDB" w:rsidRPr="00234064">
        <w:rPr>
          <w:sz w:val="28"/>
          <w:szCs w:val="28"/>
          <w:lang w:bidi="gu-IN"/>
        </w:rPr>
        <w:tab/>
      </w:r>
      <w:r w:rsidRPr="00234064">
        <w:rPr>
          <w:sz w:val="28"/>
          <w:szCs w:val="28"/>
          <w:lang w:bidi="gu-IN"/>
        </w:rPr>
        <w:tab/>
      </w:r>
      <w:r w:rsidR="004C3EDB" w:rsidRPr="00234064">
        <w:rPr>
          <w:sz w:val="28"/>
          <w:szCs w:val="28"/>
          <w:lang w:bidi="gu-IN"/>
        </w:rPr>
        <w:t>G.Belēvičs</w:t>
      </w:r>
    </w:p>
    <w:p w:rsidR="0019022A" w:rsidRDefault="0019022A" w:rsidP="00024CFD">
      <w:pPr>
        <w:jc w:val="both"/>
        <w:rPr>
          <w:bCs/>
        </w:rPr>
      </w:pPr>
    </w:p>
    <w:p w:rsidR="00793B56" w:rsidRPr="00234064" w:rsidRDefault="00793B56" w:rsidP="00024CFD">
      <w:pPr>
        <w:jc w:val="both"/>
        <w:rPr>
          <w:bCs/>
        </w:rPr>
      </w:pPr>
    </w:p>
    <w:p w:rsidR="006E3805" w:rsidRPr="00B719CE" w:rsidRDefault="006E3805" w:rsidP="00B50C94">
      <w:pPr>
        <w:jc w:val="both"/>
        <w:rPr>
          <w:bCs/>
          <w:sz w:val="28"/>
          <w:szCs w:val="28"/>
        </w:rPr>
      </w:pPr>
    </w:p>
    <w:p w:rsidR="006E3805" w:rsidRPr="00B719CE" w:rsidRDefault="00B719CE" w:rsidP="00B50C94">
      <w:pPr>
        <w:jc w:val="both"/>
        <w:rPr>
          <w:bCs/>
          <w:sz w:val="28"/>
          <w:szCs w:val="28"/>
        </w:rPr>
      </w:pPr>
      <w:r w:rsidRPr="00B719CE">
        <w:rPr>
          <w:bCs/>
          <w:sz w:val="28"/>
          <w:szCs w:val="28"/>
        </w:rPr>
        <w:t>Vīza: Valsts sekretār</w:t>
      </w:r>
      <w:r w:rsidR="00793B56">
        <w:rPr>
          <w:bCs/>
          <w:sz w:val="28"/>
          <w:szCs w:val="28"/>
        </w:rPr>
        <w:t>e</w:t>
      </w:r>
      <w:r w:rsidRPr="00B719CE">
        <w:rPr>
          <w:bCs/>
          <w:sz w:val="28"/>
          <w:szCs w:val="28"/>
        </w:rPr>
        <w:tab/>
      </w:r>
      <w:r w:rsidRPr="00B719CE">
        <w:rPr>
          <w:bCs/>
          <w:sz w:val="28"/>
          <w:szCs w:val="28"/>
        </w:rPr>
        <w:tab/>
      </w:r>
      <w:r w:rsidRPr="00B719CE">
        <w:rPr>
          <w:bCs/>
          <w:sz w:val="28"/>
          <w:szCs w:val="28"/>
        </w:rPr>
        <w:tab/>
      </w:r>
      <w:r w:rsidRPr="00B719CE">
        <w:rPr>
          <w:bCs/>
          <w:sz w:val="28"/>
          <w:szCs w:val="28"/>
        </w:rPr>
        <w:tab/>
      </w:r>
      <w:r w:rsidRPr="00B719CE">
        <w:rPr>
          <w:bCs/>
          <w:sz w:val="28"/>
          <w:szCs w:val="28"/>
        </w:rPr>
        <w:tab/>
      </w:r>
      <w:r w:rsidRPr="00B719CE">
        <w:rPr>
          <w:bCs/>
          <w:sz w:val="28"/>
          <w:szCs w:val="28"/>
        </w:rPr>
        <w:tab/>
      </w:r>
      <w:r w:rsidR="00793B56">
        <w:rPr>
          <w:bCs/>
          <w:sz w:val="28"/>
          <w:szCs w:val="28"/>
        </w:rPr>
        <w:tab/>
      </w:r>
      <w:proofErr w:type="spellStart"/>
      <w:r w:rsidR="00793B56">
        <w:rPr>
          <w:bCs/>
          <w:sz w:val="28"/>
          <w:szCs w:val="28"/>
        </w:rPr>
        <w:t>S.Zvidriņa</w:t>
      </w:r>
      <w:proofErr w:type="spellEnd"/>
    </w:p>
    <w:p w:rsidR="007578DD" w:rsidRDefault="007578DD" w:rsidP="00B50C94">
      <w:pPr>
        <w:jc w:val="both"/>
        <w:rPr>
          <w:bCs/>
          <w:sz w:val="22"/>
          <w:szCs w:val="22"/>
        </w:rPr>
      </w:pPr>
    </w:p>
    <w:p w:rsidR="00B719CE" w:rsidRDefault="00B719CE" w:rsidP="00B50C94">
      <w:pPr>
        <w:jc w:val="both"/>
        <w:rPr>
          <w:bCs/>
          <w:sz w:val="22"/>
          <w:szCs w:val="22"/>
        </w:rPr>
      </w:pPr>
    </w:p>
    <w:p w:rsidR="00B719CE" w:rsidRDefault="00B719CE" w:rsidP="00B50C94">
      <w:pPr>
        <w:jc w:val="both"/>
        <w:rPr>
          <w:bCs/>
          <w:sz w:val="22"/>
          <w:szCs w:val="22"/>
        </w:rPr>
      </w:pPr>
    </w:p>
    <w:p w:rsidR="00B719CE" w:rsidRDefault="00B719CE" w:rsidP="00B50C94">
      <w:pPr>
        <w:jc w:val="both"/>
        <w:rPr>
          <w:bCs/>
          <w:sz w:val="22"/>
          <w:szCs w:val="22"/>
        </w:rPr>
      </w:pPr>
    </w:p>
    <w:p w:rsidR="00DE65A7" w:rsidRDefault="00DE65A7" w:rsidP="00B50C94">
      <w:pPr>
        <w:jc w:val="both"/>
        <w:rPr>
          <w:bCs/>
          <w:sz w:val="22"/>
          <w:szCs w:val="22"/>
        </w:rPr>
      </w:pPr>
    </w:p>
    <w:p w:rsidR="00DE65A7" w:rsidRDefault="00DE65A7" w:rsidP="00B50C94">
      <w:pPr>
        <w:jc w:val="both"/>
        <w:rPr>
          <w:bCs/>
          <w:sz w:val="22"/>
          <w:szCs w:val="22"/>
        </w:rPr>
      </w:pPr>
    </w:p>
    <w:p w:rsidR="00DE65A7" w:rsidRDefault="00DE65A7"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0F7E83" w:rsidRDefault="000F7E83" w:rsidP="00B50C94">
      <w:pPr>
        <w:jc w:val="both"/>
        <w:rPr>
          <w:bCs/>
          <w:sz w:val="22"/>
          <w:szCs w:val="22"/>
        </w:rPr>
      </w:pPr>
    </w:p>
    <w:p w:rsidR="00DE65A7" w:rsidRDefault="00DE65A7" w:rsidP="00B50C94">
      <w:pPr>
        <w:jc w:val="both"/>
        <w:rPr>
          <w:bCs/>
          <w:sz w:val="22"/>
          <w:szCs w:val="22"/>
        </w:rPr>
      </w:pPr>
    </w:p>
    <w:p w:rsidR="00B719CE" w:rsidRDefault="00B719CE" w:rsidP="00B50C94">
      <w:pPr>
        <w:jc w:val="both"/>
        <w:rPr>
          <w:bCs/>
          <w:sz w:val="22"/>
          <w:szCs w:val="22"/>
        </w:rPr>
      </w:pPr>
    </w:p>
    <w:p w:rsidR="00151278" w:rsidRPr="00B719CE" w:rsidRDefault="00151278" w:rsidP="00B50C94">
      <w:pPr>
        <w:jc w:val="both"/>
        <w:rPr>
          <w:bCs/>
          <w:sz w:val="22"/>
          <w:szCs w:val="22"/>
        </w:rPr>
      </w:pPr>
    </w:p>
    <w:p w:rsidR="00B719CE" w:rsidRPr="00B719CE" w:rsidRDefault="000F7E83" w:rsidP="00B719CE">
      <w:pPr>
        <w:pStyle w:val="NoSpacing"/>
        <w:rPr>
          <w:rFonts w:ascii="Times New Roman" w:hAnsi="Times New Roman"/>
          <w:lang w:val="lv-LV"/>
        </w:rPr>
      </w:pPr>
      <w:r>
        <w:rPr>
          <w:rFonts w:ascii="Times New Roman" w:hAnsi="Times New Roman"/>
          <w:lang w:val="lv-LV"/>
        </w:rPr>
        <w:t>04</w:t>
      </w:r>
      <w:r w:rsidR="00B719CE" w:rsidRPr="00B719CE">
        <w:rPr>
          <w:rFonts w:ascii="Times New Roman" w:hAnsi="Times New Roman"/>
          <w:lang w:val="lv-LV"/>
        </w:rPr>
        <w:t>.1</w:t>
      </w:r>
      <w:r w:rsidR="00A22CE9">
        <w:rPr>
          <w:rFonts w:ascii="Times New Roman" w:hAnsi="Times New Roman"/>
          <w:lang w:val="lv-LV"/>
        </w:rPr>
        <w:t>2</w:t>
      </w:r>
      <w:r w:rsidR="00B719CE" w:rsidRPr="00B719CE">
        <w:rPr>
          <w:rFonts w:ascii="Times New Roman" w:hAnsi="Times New Roman"/>
          <w:lang w:val="lv-LV"/>
        </w:rPr>
        <w:t>.2015. 1</w:t>
      </w:r>
      <w:r w:rsidR="00A22CE9">
        <w:rPr>
          <w:rFonts w:ascii="Times New Roman" w:hAnsi="Times New Roman"/>
          <w:lang w:val="lv-LV"/>
        </w:rPr>
        <w:t>9</w:t>
      </w:r>
      <w:r w:rsidR="00B719CE" w:rsidRPr="00B719CE">
        <w:rPr>
          <w:rFonts w:ascii="Times New Roman" w:hAnsi="Times New Roman"/>
          <w:lang w:val="lv-LV"/>
        </w:rPr>
        <w:t>:</w:t>
      </w:r>
      <w:r w:rsidR="00A22CE9">
        <w:rPr>
          <w:rFonts w:ascii="Times New Roman" w:hAnsi="Times New Roman"/>
          <w:lang w:val="lv-LV"/>
        </w:rPr>
        <w:t>19</w:t>
      </w:r>
    </w:p>
    <w:p w:rsidR="00B719CE" w:rsidRPr="00B719CE" w:rsidRDefault="00A05A72" w:rsidP="00B719CE">
      <w:pPr>
        <w:rPr>
          <w:sz w:val="22"/>
          <w:szCs w:val="22"/>
        </w:rPr>
      </w:pPr>
      <w:r>
        <w:rPr>
          <w:sz w:val="22"/>
          <w:szCs w:val="22"/>
        </w:rPr>
        <w:t>2</w:t>
      </w:r>
      <w:r w:rsidR="000F7E83">
        <w:rPr>
          <w:sz w:val="22"/>
          <w:szCs w:val="22"/>
        </w:rPr>
        <w:t xml:space="preserve"> </w:t>
      </w:r>
      <w:r w:rsidR="001D7036">
        <w:rPr>
          <w:sz w:val="22"/>
          <w:szCs w:val="22"/>
        </w:rPr>
        <w:t>85</w:t>
      </w:r>
      <w:r w:rsidR="000F7E83">
        <w:rPr>
          <w:sz w:val="22"/>
          <w:szCs w:val="22"/>
        </w:rPr>
        <w:t>5</w:t>
      </w:r>
    </w:p>
    <w:p w:rsidR="00B719CE" w:rsidRPr="00B719CE" w:rsidRDefault="00B719CE" w:rsidP="00B719CE">
      <w:pPr>
        <w:rPr>
          <w:sz w:val="22"/>
          <w:szCs w:val="22"/>
        </w:rPr>
      </w:pPr>
      <w:r w:rsidRPr="00B719CE">
        <w:rPr>
          <w:sz w:val="22"/>
          <w:szCs w:val="22"/>
        </w:rPr>
        <w:t>D.Arāja</w:t>
      </w:r>
    </w:p>
    <w:p w:rsidR="00B719CE" w:rsidRPr="00B719CE" w:rsidRDefault="00B719CE" w:rsidP="00B719CE">
      <w:pPr>
        <w:rPr>
          <w:sz w:val="22"/>
          <w:szCs w:val="22"/>
        </w:rPr>
      </w:pPr>
      <w:r w:rsidRPr="00B719CE">
        <w:rPr>
          <w:sz w:val="22"/>
          <w:szCs w:val="22"/>
        </w:rPr>
        <w:t>67876114, Diana.Arajs@vm.gov.lv</w:t>
      </w:r>
    </w:p>
    <w:p w:rsidR="00151278" w:rsidRPr="00B719CE" w:rsidRDefault="00151278" w:rsidP="00B50C94">
      <w:pPr>
        <w:jc w:val="both"/>
        <w:rPr>
          <w:bCs/>
          <w:sz w:val="22"/>
          <w:szCs w:val="22"/>
        </w:rPr>
      </w:pPr>
    </w:p>
    <w:sectPr w:rsidR="00151278" w:rsidRPr="00B719CE" w:rsidSect="00A51F1F">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FAD" w:rsidRDefault="00051FAD" w:rsidP="007B67C1">
      <w:r>
        <w:separator/>
      </w:r>
    </w:p>
  </w:endnote>
  <w:endnote w:type="continuationSeparator" w:id="0">
    <w:p w:rsidR="00051FAD" w:rsidRDefault="00051FAD" w:rsidP="007B6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etaPro-Book">
    <w:altName w:val="MS Mincho"/>
    <w:panose1 w:val="00000000000000000000"/>
    <w:charset w:val="80"/>
    <w:family w:val="auto"/>
    <w:notTrueType/>
    <w:pitch w:val="default"/>
    <w:sig w:usb0="00000001" w:usb1="08070000" w:usb2="00000010" w:usb3="00000000" w:csb0="00020000" w:csb1="00000000"/>
  </w:font>
  <w:font w:name="AvenirNext-Regular">
    <w:altName w:val="Times New Roman"/>
    <w:panose1 w:val="00000000000000000000"/>
    <w:charset w:val="EE"/>
    <w:family w:val="auto"/>
    <w:notTrueType/>
    <w:pitch w:val="default"/>
    <w:sig w:usb0="00000005" w:usb1="00000000" w:usb2="00000000" w:usb3="00000000" w:csb0="00000002"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AD" w:rsidRPr="004810EB" w:rsidRDefault="00051FAD" w:rsidP="004810EB">
    <w:pPr>
      <w:pStyle w:val="naisc"/>
      <w:spacing w:before="0" w:beforeAutospacing="0" w:after="0" w:afterAutospacing="0"/>
      <w:jc w:val="both"/>
      <w:rPr>
        <w:sz w:val="20"/>
        <w:szCs w:val="20"/>
      </w:rPr>
    </w:pPr>
    <w:r w:rsidRPr="009D5E37">
      <w:rPr>
        <w:sz w:val="20"/>
        <w:szCs w:val="20"/>
      </w:rPr>
      <w:t>VMAnot_</w:t>
    </w:r>
    <w:r w:rsidR="000F7E83">
      <w:rPr>
        <w:sz w:val="20"/>
        <w:szCs w:val="20"/>
      </w:rPr>
      <w:t>0412</w:t>
    </w:r>
    <w:r>
      <w:rPr>
        <w:sz w:val="20"/>
        <w:szCs w:val="20"/>
      </w:rPr>
      <w:t>15_ZIKS</w:t>
    </w:r>
    <w:r w:rsidRPr="009D5E37">
      <w:rPr>
        <w:sz w:val="20"/>
        <w:szCs w:val="20"/>
      </w:rPr>
      <w:t xml:space="preserve">; </w:t>
    </w:r>
    <w:r>
      <w:rPr>
        <w:sz w:val="20"/>
        <w:szCs w:val="20"/>
      </w:rPr>
      <w:t>Ministru kabineta noteikumu</w:t>
    </w:r>
    <w:r w:rsidRPr="009D5E37">
      <w:rPr>
        <w:sz w:val="20"/>
        <w:szCs w:val="20"/>
      </w:rPr>
      <w:t xml:space="preserve"> projekta ”Grozījum</w:t>
    </w:r>
    <w:r>
      <w:rPr>
        <w:sz w:val="20"/>
        <w:szCs w:val="20"/>
      </w:rPr>
      <w:t>s</w:t>
    </w:r>
    <w:r w:rsidRPr="009D5E37">
      <w:rPr>
        <w:sz w:val="20"/>
        <w:szCs w:val="20"/>
      </w:rPr>
      <w:t xml:space="preserve"> Ministru kabineta 2006.gada 31.oktobra noteikumos Nr. 899 ”Ambulatorajai ārstēšanai paredzēto zāļu un medicīnisko ierīču iegādes izdevumu kompensācijas kārtība”” </w:t>
    </w:r>
    <w:r>
      <w:rPr>
        <w:sz w:val="20"/>
        <w:szCs w:val="20"/>
      </w:rPr>
      <w:t>sākotnējās ietekmes novērtējuma ziņojums (</w:t>
    </w:r>
    <w:r w:rsidRPr="009D5E37">
      <w:rPr>
        <w:sz w:val="20"/>
        <w:szCs w:val="20"/>
      </w:rPr>
      <w:t>anotācija</w:t>
    </w:r>
    <w:r>
      <w:rP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AD" w:rsidRPr="003C4C34" w:rsidRDefault="00051FAD" w:rsidP="00760913">
    <w:pPr>
      <w:pStyle w:val="naisc"/>
      <w:jc w:val="both"/>
      <w:rPr>
        <w:sz w:val="20"/>
        <w:szCs w:val="20"/>
      </w:rPr>
    </w:pPr>
    <w:r w:rsidRPr="003C4C34">
      <w:rPr>
        <w:sz w:val="20"/>
        <w:szCs w:val="20"/>
      </w:rPr>
      <w:t>VMAnot_</w:t>
    </w:r>
    <w:r w:rsidR="000F7E83">
      <w:rPr>
        <w:sz w:val="20"/>
        <w:szCs w:val="20"/>
      </w:rPr>
      <w:t>0412</w:t>
    </w:r>
    <w:r>
      <w:rPr>
        <w:sz w:val="20"/>
        <w:szCs w:val="20"/>
      </w:rPr>
      <w:t>15</w:t>
    </w:r>
    <w:r w:rsidRPr="003C4C34">
      <w:rPr>
        <w:sz w:val="20"/>
        <w:szCs w:val="20"/>
      </w:rPr>
      <w:t>_ZIKS; Ministru kabineta noteikumu projekta ”Grozījum</w:t>
    </w:r>
    <w:r>
      <w:rPr>
        <w:sz w:val="20"/>
        <w:szCs w:val="20"/>
      </w:rPr>
      <w:t>s</w:t>
    </w:r>
    <w:r w:rsidRPr="003C4C34">
      <w:rPr>
        <w:sz w:val="20"/>
        <w:szCs w:val="20"/>
      </w:rPr>
      <w:t xml:space="preserve"> Ministru kabineta 2006.gada 31.oktobra noteikumos Nr. 899 ”Ambulatorajai ārstēšanai paredzēto zāļu un medicīnisko ierīču iegādes izdevumu kompensācijas kārtība””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FAD" w:rsidRDefault="00051FAD" w:rsidP="007B67C1">
      <w:r>
        <w:separator/>
      </w:r>
    </w:p>
  </w:footnote>
  <w:footnote w:type="continuationSeparator" w:id="0">
    <w:p w:rsidR="00051FAD" w:rsidRDefault="00051FAD" w:rsidP="007B67C1">
      <w:r>
        <w:continuationSeparator/>
      </w:r>
    </w:p>
  </w:footnote>
  <w:footnote w:id="1">
    <w:p w:rsidR="00051FAD" w:rsidRPr="00C76728" w:rsidRDefault="00051FAD" w:rsidP="0069761A">
      <w:pPr>
        <w:pStyle w:val="FootnoteText"/>
        <w:jc w:val="both"/>
      </w:pPr>
      <w:r w:rsidRPr="00C76728">
        <w:rPr>
          <w:rStyle w:val="FootnoteReference"/>
        </w:rPr>
        <w:footnoteRef/>
      </w:r>
      <w:r>
        <w:t xml:space="preserve"> ”</w:t>
      </w:r>
      <w:r w:rsidRPr="00C76728">
        <w:t>C vīrushepatīta izplatība Latvijā”, LIC, 2009.</w:t>
      </w:r>
    </w:p>
  </w:footnote>
  <w:footnote w:id="2">
    <w:p w:rsidR="00051FAD" w:rsidRDefault="00051FAD" w:rsidP="0069761A">
      <w:pPr>
        <w:pStyle w:val="FootnoteText"/>
        <w:rPr>
          <w:rStyle w:val="Strong"/>
          <w:b w:val="0"/>
          <w:bCs w:val="0"/>
          <w:color w:val="000000"/>
        </w:rPr>
      </w:pPr>
      <w:r>
        <w:rPr>
          <w:rStyle w:val="FootnoteReference"/>
        </w:rPr>
        <w:footnoteRef/>
      </w:r>
      <w:r>
        <w:t xml:space="preserve"> </w:t>
      </w:r>
      <w:r w:rsidRPr="007845D2">
        <w:rPr>
          <w:rStyle w:val="Strong"/>
          <w:b w:val="0"/>
          <w:bCs w:val="0"/>
          <w:color w:val="000000"/>
        </w:rPr>
        <w:t>Jauno HIV infekcijas un AIDS gadījumu skaita dinamika Latvijā līdz 2015.gada 1.janvārim</w:t>
      </w:r>
      <w:r>
        <w:rPr>
          <w:rStyle w:val="Strong"/>
          <w:b w:val="0"/>
          <w:bCs w:val="0"/>
          <w:color w:val="000000"/>
        </w:rPr>
        <w:t>.</w:t>
      </w:r>
    </w:p>
    <w:p w:rsidR="00051FAD" w:rsidRPr="00FE0D74" w:rsidRDefault="00051FAD" w:rsidP="0069761A">
      <w:pPr>
        <w:ind w:left="142" w:right="142"/>
        <w:jc w:val="both"/>
        <w:rPr>
          <w:color w:val="000000" w:themeColor="text1"/>
          <w:sz w:val="20"/>
          <w:szCs w:val="20"/>
        </w:rPr>
      </w:pPr>
      <w:r w:rsidRPr="00FE0D74">
        <w:rPr>
          <w:rStyle w:val="Strong"/>
          <w:b w:val="0"/>
          <w:bCs w:val="0"/>
          <w:color w:val="000000"/>
          <w:sz w:val="20"/>
          <w:szCs w:val="20"/>
        </w:rPr>
        <w:t xml:space="preserve">Pieejams: </w:t>
      </w:r>
      <w:hyperlink r:id="rId1" w:history="1">
        <w:r w:rsidRPr="00FE0D74">
          <w:rPr>
            <w:rStyle w:val="Hyperlink"/>
            <w:sz w:val="20"/>
            <w:szCs w:val="20"/>
          </w:rPr>
          <w:t>http://www.spkc.gov.lv/hiv-aids/</w:t>
        </w:r>
      </w:hyperlink>
    </w:p>
  </w:footnote>
  <w:footnote w:id="3">
    <w:p w:rsidR="00051FAD" w:rsidRPr="00FA2496" w:rsidRDefault="00051FAD" w:rsidP="0069761A">
      <w:pPr>
        <w:pStyle w:val="FootnoteText"/>
        <w:tabs>
          <w:tab w:val="left" w:pos="8385"/>
        </w:tabs>
      </w:pPr>
      <w:r>
        <w:rPr>
          <w:rStyle w:val="FootnoteReference"/>
        </w:rPr>
        <w:footnoteRef/>
      </w:r>
      <w:r>
        <w:t xml:space="preserve"> Infekcijas slimību statistika. </w:t>
      </w:r>
      <w:r w:rsidRPr="00FE0D74">
        <w:t xml:space="preserve">Pieejams: </w:t>
      </w:r>
      <w:hyperlink r:id="rId2" w:history="1">
        <w:r w:rsidRPr="00FE0D74">
          <w:rPr>
            <w:rStyle w:val="Hyperlink"/>
          </w:rPr>
          <w:t>http://www.spkc.gov.lv/infekcijas-slimibu-statistika/</w:t>
        </w:r>
      </w:hyperlink>
    </w:p>
  </w:footnote>
  <w:footnote w:id="4">
    <w:p w:rsidR="00051FAD" w:rsidRDefault="00051FAD" w:rsidP="0069761A">
      <w:pPr>
        <w:pStyle w:val="FootnoteText"/>
        <w:jc w:val="both"/>
        <w:rPr>
          <w:rFonts w:eastAsia="MetaPro-Book"/>
        </w:rPr>
      </w:pPr>
      <w:r w:rsidRPr="00C76728">
        <w:rPr>
          <w:rStyle w:val="FootnoteReference"/>
        </w:rPr>
        <w:footnoteRef/>
      </w:r>
      <w:r w:rsidRPr="00C76728">
        <w:t xml:space="preserve"> ESPKC/PVO Uzraudzības ziņojums „HIV/AIDS uzraudzība Eiropā 2011. gadā” (</w:t>
      </w:r>
      <w:r w:rsidRPr="00C76728">
        <w:rPr>
          <w:rFonts w:eastAsia="MetaPro-Book"/>
        </w:rPr>
        <w:t xml:space="preserve">ECDC, WHO: </w:t>
      </w:r>
      <w:proofErr w:type="spellStart"/>
      <w:r w:rsidRPr="00C76728">
        <w:rPr>
          <w:rFonts w:eastAsia="MetaPro-Book"/>
        </w:rPr>
        <w:t>Surveillance</w:t>
      </w:r>
      <w:proofErr w:type="spellEnd"/>
      <w:r w:rsidRPr="00C76728">
        <w:rPr>
          <w:rFonts w:eastAsia="MetaPro-Book"/>
        </w:rPr>
        <w:t xml:space="preserve"> </w:t>
      </w:r>
      <w:proofErr w:type="spellStart"/>
      <w:r w:rsidRPr="00C76728">
        <w:rPr>
          <w:rFonts w:eastAsia="MetaPro-Book"/>
        </w:rPr>
        <w:t>Report</w:t>
      </w:r>
      <w:proofErr w:type="spellEnd"/>
      <w:r w:rsidRPr="00C76728">
        <w:rPr>
          <w:rFonts w:eastAsia="MetaPro-Book"/>
        </w:rPr>
        <w:t xml:space="preserve"> “HIV/AIDS </w:t>
      </w:r>
      <w:proofErr w:type="spellStart"/>
      <w:r w:rsidRPr="00C76728">
        <w:rPr>
          <w:rFonts w:eastAsia="MetaPro-Book"/>
        </w:rPr>
        <w:t>Surveillance</w:t>
      </w:r>
      <w:proofErr w:type="spellEnd"/>
      <w:r w:rsidRPr="00C76728">
        <w:rPr>
          <w:rFonts w:eastAsia="MetaPro-Book"/>
        </w:rPr>
        <w:t xml:space="preserve"> </w:t>
      </w:r>
      <w:proofErr w:type="spellStart"/>
      <w:r w:rsidRPr="00C76728">
        <w:rPr>
          <w:rFonts w:eastAsia="MetaPro-Book"/>
        </w:rPr>
        <w:t>in</w:t>
      </w:r>
      <w:proofErr w:type="spellEnd"/>
      <w:r w:rsidRPr="00C76728">
        <w:rPr>
          <w:rFonts w:eastAsia="MetaPro-Book"/>
        </w:rPr>
        <w:t xml:space="preserve"> </w:t>
      </w:r>
      <w:proofErr w:type="spellStart"/>
      <w:r w:rsidRPr="00C76728">
        <w:rPr>
          <w:rFonts w:eastAsia="MetaPro-Book"/>
        </w:rPr>
        <w:t>Europe</w:t>
      </w:r>
      <w:proofErr w:type="spellEnd"/>
      <w:r w:rsidRPr="00C76728">
        <w:rPr>
          <w:rFonts w:eastAsia="MetaPro-Book"/>
        </w:rPr>
        <w:t xml:space="preserve"> 2011”)</w:t>
      </w:r>
      <w:r>
        <w:rPr>
          <w:rFonts w:eastAsia="MetaPro-Book"/>
        </w:rPr>
        <w:t>.</w:t>
      </w:r>
    </w:p>
    <w:p w:rsidR="00051FAD" w:rsidRPr="004810EB" w:rsidRDefault="00051FAD" w:rsidP="0069761A">
      <w:pPr>
        <w:pStyle w:val="FootnoteText"/>
        <w:jc w:val="both"/>
        <w:rPr>
          <w:rFonts w:eastAsia="MetaPro-Book"/>
        </w:rPr>
      </w:pPr>
      <w:r>
        <w:rPr>
          <w:rFonts w:eastAsia="MetaPro-Book"/>
        </w:rPr>
        <w:t xml:space="preserve">Pieejams: </w:t>
      </w:r>
      <w:r w:rsidRPr="00C76728">
        <w:rPr>
          <w:rFonts w:eastAsia="MetaPro-Book"/>
        </w:rPr>
        <w:t xml:space="preserve"> http://ecdc.europa.eu/en/publications/publications/20121130-annual-hiv-surveillance-report.pdf</w:t>
      </w:r>
    </w:p>
  </w:footnote>
  <w:footnote w:id="5">
    <w:p w:rsidR="00051FAD" w:rsidRDefault="00051FAD" w:rsidP="0069761A">
      <w:pPr>
        <w:pStyle w:val="FootnoteText"/>
      </w:pPr>
      <w:r>
        <w:rPr>
          <w:rStyle w:val="FootnoteReference"/>
        </w:rPr>
        <w:footnoteRef/>
      </w:r>
      <w:r>
        <w:t xml:space="preserve"> Veselības ekonomists, 2015.gada marts / Nr.3 Pieejams: </w:t>
      </w:r>
      <w:r w:rsidRPr="00D02503">
        <w:t>http://lvea.lv/publikacijas/veselibas-ekonomists/</w:t>
      </w:r>
    </w:p>
  </w:footnote>
  <w:footnote w:id="6">
    <w:p w:rsidR="00051FAD" w:rsidRPr="00BD3603" w:rsidRDefault="00051FAD" w:rsidP="0069761A">
      <w:pPr>
        <w:tabs>
          <w:tab w:val="left" w:pos="2727"/>
          <w:tab w:val="left" w:pos="2760"/>
        </w:tabs>
        <w:autoSpaceDE w:val="0"/>
        <w:autoSpaceDN w:val="0"/>
        <w:adjustRightInd w:val="0"/>
        <w:ind w:right="142"/>
        <w:jc w:val="both"/>
        <w:rPr>
          <w:sz w:val="20"/>
          <w:szCs w:val="20"/>
          <w:lang w:bidi="gu-IN"/>
        </w:rPr>
      </w:pPr>
      <w:r>
        <w:rPr>
          <w:rStyle w:val="FootnoteReference"/>
        </w:rPr>
        <w:footnoteRef/>
      </w:r>
      <w:r>
        <w:t xml:space="preserve"> </w:t>
      </w:r>
      <w:proofErr w:type="spellStart"/>
      <w:r w:rsidRPr="00BD3603">
        <w:rPr>
          <w:sz w:val="20"/>
          <w:szCs w:val="20"/>
          <w:lang w:bidi="gu-IN"/>
        </w:rPr>
        <w:t>The</w:t>
      </w:r>
      <w:proofErr w:type="spellEnd"/>
      <w:r w:rsidRPr="00BD3603">
        <w:rPr>
          <w:sz w:val="20"/>
          <w:szCs w:val="20"/>
          <w:lang w:bidi="gu-IN"/>
        </w:rPr>
        <w:t xml:space="preserve"> </w:t>
      </w:r>
      <w:proofErr w:type="spellStart"/>
      <w:r w:rsidRPr="00BD3603">
        <w:rPr>
          <w:sz w:val="20"/>
          <w:szCs w:val="20"/>
          <w:lang w:bidi="gu-IN"/>
        </w:rPr>
        <w:t>New</w:t>
      </w:r>
      <w:proofErr w:type="spellEnd"/>
      <w:r w:rsidRPr="00BD3603">
        <w:rPr>
          <w:sz w:val="20"/>
          <w:szCs w:val="20"/>
          <w:lang w:bidi="gu-IN"/>
        </w:rPr>
        <w:t xml:space="preserve"> </w:t>
      </w:r>
      <w:proofErr w:type="spellStart"/>
      <w:r w:rsidRPr="00BD3603">
        <w:rPr>
          <w:sz w:val="20"/>
          <w:szCs w:val="20"/>
          <w:lang w:bidi="gu-IN"/>
        </w:rPr>
        <w:t>England</w:t>
      </w:r>
      <w:proofErr w:type="spellEnd"/>
      <w:r w:rsidRPr="00BD3603">
        <w:rPr>
          <w:sz w:val="20"/>
          <w:szCs w:val="20"/>
          <w:lang w:bidi="gu-IN"/>
        </w:rPr>
        <w:t xml:space="preserve"> </w:t>
      </w:r>
      <w:proofErr w:type="spellStart"/>
      <w:r w:rsidRPr="00BD3603">
        <w:rPr>
          <w:sz w:val="20"/>
          <w:szCs w:val="20"/>
          <w:lang w:bidi="gu-IN"/>
        </w:rPr>
        <w:t>Journal</w:t>
      </w:r>
      <w:proofErr w:type="spellEnd"/>
      <w:r w:rsidRPr="00BD3603">
        <w:rPr>
          <w:sz w:val="20"/>
          <w:szCs w:val="20"/>
          <w:lang w:bidi="gu-IN"/>
        </w:rPr>
        <w:t xml:space="preserve"> </w:t>
      </w:r>
      <w:proofErr w:type="spellStart"/>
      <w:r w:rsidRPr="00BD3603">
        <w:rPr>
          <w:sz w:val="20"/>
          <w:szCs w:val="20"/>
          <w:lang w:bidi="gu-IN"/>
        </w:rPr>
        <w:t>of</w:t>
      </w:r>
      <w:proofErr w:type="spellEnd"/>
      <w:r w:rsidRPr="00BD3603">
        <w:rPr>
          <w:sz w:val="20"/>
          <w:szCs w:val="20"/>
          <w:lang w:bidi="gu-IN"/>
        </w:rPr>
        <w:t xml:space="preserve"> </w:t>
      </w:r>
      <w:proofErr w:type="spellStart"/>
      <w:r w:rsidRPr="00BD3603">
        <w:rPr>
          <w:sz w:val="20"/>
          <w:szCs w:val="20"/>
          <w:lang w:bidi="gu-IN"/>
        </w:rPr>
        <w:t>Medicine</w:t>
      </w:r>
      <w:proofErr w:type="spellEnd"/>
      <w:r w:rsidRPr="00BD3603">
        <w:rPr>
          <w:sz w:val="20"/>
          <w:szCs w:val="20"/>
          <w:lang w:bidi="gu-IN"/>
        </w:rPr>
        <w:t xml:space="preserve">, 2012; 367 (8): 685-687; </w:t>
      </w:r>
      <w:proofErr w:type="spellStart"/>
      <w:r w:rsidRPr="00BD3603">
        <w:rPr>
          <w:sz w:val="20"/>
          <w:szCs w:val="20"/>
          <w:lang w:bidi="gu-IN"/>
        </w:rPr>
        <w:t>World</w:t>
      </w:r>
      <w:proofErr w:type="spellEnd"/>
      <w:r w:rsidRPr="00BD3603">
        <w:rPr>
          <w:sz w:val="20"/>
          <w:szCs w:val="20"/>
          <w:lang w:bidi="gu-IN"/>
        </w:rPr>
        <w:t xml:space="preserve"> </w:t>
      </w:r>
      <w:proofErr w:type="spellStart"/>
      <w:r w:rsidRPr="00BD3603">
        <w:rPr>
          <w:sz w:val="20"/>
          <w:szCs w:val="20"/>
          <w:lang w:bidi="gu-IN"/>
        </w:rPr>
        <w:t>Health</w:t>
      </w:r>
      <w:proofErr w:type="spellEnd"/>
      <w:r w:rsidRPr="00BD3603">
        <w:rPr>
          <w:sz w:val="20"/>
          <w:szCs w:val="20"/>
          <w:lang w:bidi="gu-IN"/>
        </w:rPr>
        <w:t xml:space="preserve"> </w:t>
      </w:r>
      <w:proofErr w:type="spellStart"/>
      <w:r w:rsidRPr="00BD3603">
        <w:rPr>
          <w:sz w:val="20"/>
          <w:szCs w:val="20"/>
          <w:lang w:bidi="gu-IN"/>
        </w:rPr>
        <w:t>Organization</w:t>
      </w:r>
      <w:proofErr w:type="spellEnd"/>
      <w:r w:rsidRPr="00BD3603">
        <w:rPr>
          <w:sz w:val="20"/>
          <w:szCs w:val="20"/>
          <w:lang w:bidi="gu-IN"/>
        </w:rPr>
        <w:t xml:space="preserve">. </w:t>
      </w:r>
      <w:proofErr w:type="spellStart"/>
      <w:r w:rsidRPr="00BD3603">
        <w:rPr>
          <w:sz w:val="20"/>
          <w:szCs w:val="20"/>
          <w:lang w:bidi="gu-IN"/>
        </w:rPr>
        <w:t>Global</w:t>
      </w:r>
      <w:proofErr w:type="spellEnd"/>
      <w:r w:rsidRPr="00BD3603">
        <w:rPr>
          <w:sz w:val="20"/>
          <w:szCs w:val="20"/>
          <w:lang w:bidi="gu-IN"/>
        </w:rPr>
        <w:t xml:space="preserve"> HIV/AIDS </w:t>
      </w:r>
      <w:proofErr w:type="spellStart"/>
      <w:r w:rsidRPr="00BD3603">
        <w:rPr>
          <w:sz w:val="20"/>
          <w:szCs w:val="20"/>
          <w:lang w:bidi="gu-IN"/>
        </w:rPr>
        <w:t>response</w:t>
      </w:r>
      <w:proofErr w:type="spellEnd"/>
      <w:r w:rsidRPr="00BD3603">
        <w:rPr>
          <w:sz w:val="20"/>
          <w:szCs w:val="20"/>
          <w:lang w:bidi="gu-IN"/>
        </w:rPr>
        <w:t xml:space="preserve">: </w:t>
      </w:r>
      <w:proofErr w:type="spellStart"/>
      <w:r w:rsidRPr="00BD3603">
        <w:rPr>
          <w:sz w:val="20"/>
          <w:szCs w:val="20"/>
          <w:lang w:bidi="gu-IN"/>
        </w:rPr>
        <w:t>epidemic</w:t>
      </w:r>
      <w:proofErr w:type="spellEnd"/>
      <w:r w:rsidRPr="00BD3603">
        <w:rPr>
          <w:sz w:val="20"/>
          <w:szCs w:val="20"/>
          <w:lang w:bidi="gu-IN"/>
        </w:rPr>
        <w:t xml:space="preserve"> </w:t>
      </w:r>
      <w:proofErr w:type="spellStart"/>
      <w:r w:rsidRPr="00BD3603">
        <w:rPr>
          <w:sz w:val="20"/>
          <w:szCs w:val="20"/>
          <w:lang w:bidi="gu-IN"/>
        </w:rPr>
        <w:t>update</w:t>
      </w:r>
      <w:proofErr w:type="spellEnd"/>
      <w:r w:rsidRPr="00BD3603">
        <w:rPr>
          <w:sz w:val="20"/>
          <w:szCs w:val="20"/>
          <w:lang w:bidi="gu-IN"/>
        </w:rPr>
        <w:t xml:space="preserve"> </w:t>
      </w:r>
      <w:proofErr w:type="spellStart"/>
      <w:r w:rsidRPr="00BD3603">
        <w:rPr>
          <w:sz w:val="20"/>
          <w:szCs w:val="20"/>
          <w:lang w:bidi="gu-IN"/>
        </w:rPr>
        <w:t>and</w:t>
      </w:r>
      <w:proofErr w:type="spellEnd"/>
      <w:r w:rsidRPr="00BD3603">
        <w:rPr>
          <w:sz w:val="20"/>
          <w:szCs w:val="20"/>
          <w:lang w:bidi="gu-IN"/>
        </w:rPr>
        <w:t xml:space="preserve"> </w:t>
      </w:r>
      <w:proofErr w:type="spellStart"/>
      <w:r w:rsidRPr="00BD3603">
        <w:rPr>
          <w:sz w:val="20"/>
          <w:szCs w:val="20"/>
          <w:lang w:bidi="gu-IN"/>
        </w:rPr>
        <w:t>health</w:t>
      </w:r>
      <w:proofErr w:type="spellEnd"/>
      <w:r w:rsidRPr="00BD3603">
        <w:rPr>
          <w:sz w:val="20"/>
          <w:szCs w:val="20"/>
          <w:lang w:bidi="gu-IN"/>
        </w:rPr>
        <w:t xml:space="preserve"> </w:t>
      </w:r>
      <w:proofErr w:type="spellStart"/>
      <w:r w:rsidRPr="00BD3603">
        <w:rPr>
          <w:sz w:val="20"/>
          <w:szCs w:val="20"/>
          <w:lang w:bidi="gu-IN"/>
        </w:rPr>
        <w:t>sector</w:t>
      </w:r>
      <w:proofErr w:type="spellEnd"/>
      <w:r w:rsidRPr="00BD3603">
        <w:rPr>
          <w:sz w:val="20"/>
          <w:szCs w:val="20"/>
          <w:lang w:bidi="gu-IN"/>
        </w:rPr>
        <w:t xml:space="preserve"> progress </w:t>
      </w:r>
      <w:proofErr w:type="spellStart"/>
      <w:r w:rsidRPr="00BD3603">
        <w:rPr>
          <w:sz w:val="20"/>
          <w:szCs w:val="20"/>
          <w:lang w:bidi="gu-IN"/>
        </w:rPr>
        <w:t>towards</w:t>
      </w:r>
      <w:proofErr w:type="spellEnd"/>
      <w:r w:rsidRPr="00BD3603">
        <w:rPr>
          <w:sz w:val="20"/>
          <w:szCs w:val="20"/>
          <w:lang w:bidi="gu-IN"/>
        </w:rPr>
        <w:t xml:space="preserve"> </w:t>
      </w:r>
      <w:proofErr w:type="spellStart"/>
      <w:r w:rsidRPr="00BD3603">
        <w:rPr>
          <w:sz w:val="20"/>
          <w:szCs w:val="20"/>
          <w:lang w:bidi="gu-IN"/>
        </w:rPr>
        <w:t>universal</w:t>
      </w:r>
      <w:proofErr w:type="spellEnd"/>
      <w:r w:rsidRPr="00BD3603">
        <w:rPr>
          <w:sz w:val="20"/>
          <w:szCs w:val="20"/>
          <w:lang w:bidi="gu-IN"/>
        </w:rPr>
        <w:t xml:space="preserve"> </w:t>
      </w:r>
      <w:proofErr w:type="spellStart"/>
      <w:r w:rsidRPr="00BD3603">
        <w:rPr>
          <w:sz w:val="20"/>
          <w:szCs w:val="20"/>
          <w:lang w:bidi="gu-IN"/>
        </w:rPr>
        <w:t>access</w:t>
      </w:r>
      <w:proofErr w:type="spellEnd"/>
      <w:r w:rsidRPr="00BD3603">
        <w:rPr>
          <w:sz w:val="20"/>
          <w:szCs w:val="20"/>
          <w:lang w:bidi="gu-IN"/>
        </w:rPr>
        <w:t xml:space="preserve">: progress </w:t>
      </w:r>
      <w:proofErr w:type="spellStart"/>
      <w:r w:rsidRPr="00BD3603">
        <w:rPr>
          <w:sz w:val="20"/>
          <w:szCs w:val="20"/>
          <w:lang w:bidi="gu-IN"/>
        </w:rPr>
        <w:t>report</w:t>
      </w:r>
      <w:proofErr w:type="spellEnd"/>
      <w:r w:rsidRPr="00BD3603">
        <w:rPr>
          <w:sz w:val="20"/>
          <w:szCs w:val="20"/>
          <w:lang w:bidi="gu-IN"/>
        </w:rPr>
        <w:t xml:space="preserve"> 2011. </w:t>
      </w:r>
      <w:proofErr w:type="spellStart"/>
      <w:r w:rsidRPr="00BD3603">
        <w:rPr>
          <w:sz w:val="20"/>
          <w:szCs w:val="20"/>
          <w:lang w:bidi="gu-IN"/>
        </w:rPr>
        <w:t>Geneva</w:t>
      </w:r>
      <w:proofErr w:type="spellEnd"/>
      <w:r w:rsidRPr="00BD3603">
        <w:rPr>
          <w:sz w:val="20"/>
          <w:szCs w:val="20"/>
          <w:lang w:bidi="gu-IN"/>
        </w:rPr>
        <w:t xml:space="preserve">: WHO </w:t>
      </w:r>
      <w:proofErr w:type="spellStart"/>
      <w:r w:rsidRPr="00BD3603">
        <w:rPr>
          <w:sz w:val="20"/>
          <w:szCs w:val="20"/>
          <w:lang w:bidi="gu-IN"/>
        </w:rPr>
        <w:t>Production</w:t>
      </w:r>
      <w:proofErr w:type="spellEnd"/>
      <w:r w:rsidRPr="00BD3603">
        <w:rPr>
          <w:sz w:val="20"/>
          <w:szCs w:val="20"/>
          <w:lang w:bidi="gu-IN"/>
        </w:rPr>
        <w:t xml:space="preserve"> </w:t>
      </w:r>
      <w:proofErr w:type="spellStart"/>
      <w:r w:rsidRPr="00BD3603">
        <w:rPr>
          <w:sz w:val="20"/>
          <w:szCs w:val="20"/>
          <w:lang w:bidi="gu-IN"/>
        </w:rPr>
        <w:t>Services</w:t>
      </w:r>
      <w:proofErr w:type="spellEnd"/>
      <w:r w:rsidRPr="00BD3603">
        <w:rPr>
          <w:sz w:val="20"/>
          <w:szCs w:val="20"/>
          <w:lang w:bidi="gu-IN"/>
        </w:rPr>
        <w:t xml:space="preserve">, 2011. − </w:t>
      </w:r>
      <w:proofErr w:type="spellStart"/>
      <w:r w:rsidRPr="00BD3603">
        <w:rPr>
          <w:sz w:val="20"/>
          <w:szCs w:val="20"/>
          <w:lang w:bidi="gu-IN"/>
        </w:rPr>
        <w:t>Pp</w:t>
      </w:r>
      <w:proofErr w:type="spellEnd"/>
      <w:r w:rsidRPr="00BD3603">
        <w:rPr>
          <w:sz w:val="20"/>
          <w:szCs w:val="20"/>
          <w:lang w:bidi="gu-IN"/>
        </w:rPr>
        <w:t xml:space="preserve">. 190-194.; </w:t>
      </w:r>
      <w:proofErr w:type="spellStart"/>
      <w:r w:rsidRPr="00BD3603">
        <w:rPr>
          <w:sz w:val="20"/>
          <w:szCs w:val="20"/>
          <w:lang w:bidi="gu-IN"/>
        </w:rPr>
        <w:t>Laisaar</w:t>
      </w:r>
      <w:proofErr w:type="spellEnd"/>
      <w:r w:rsidRPr="00BD3603">
        <w:rPr>
          <w:sz w:val="20"/>
          <w:szCs w:val="20"/>
          <w:lang w:bidi="gu-IN"/>
        </w:rPr>
        <w:t xml:space="preserve"> K. T., A vi R., </w:t>
      </w:r>
      <w:proofErr w:type="spellStart"/>
      <w:r w:rsidRPr="00BD3603">
        <w:rPr>
          <w:sz w:val="20"/>
          <w:szCs w:val="20"/>
          <w:lang w:bidi="gu-IN"/>
        </w:rPr>
        <w:t>DeHovitz</w:t>
      </w:r>
      <w:proofErr w:type="spellEnd"/>
      <w:r w:rsidRPr="00BD3603">
        <w:rPr>
          <w:sz w:val="20"/>
          <w:szCs w:val="20"/>
          <w:lang w:bidi="gu-IN"/>
        </w:rPr>
        <w:t xml:space="preserve"> J., </w:t>
      </w:r>
      <w:proofErr w:type="spellStart"/>
      <w:r w:rsidRPr="00BD3603">
        <w:rPr>
          <w:sz w:val="20"/>
          <w:szCs w:val="20"/>
          <w:lang w:bidi="gu-IN"/>
        </w:rPr>
        <w:t>Uusküla</w:t>
      </w:r>
      <w:proofErr w:type="spellEnd"/>
      <w:r w:rsidRPr="00BD3603">
        <w:rPr>
          <w:sz w:val="20"/>
          <w:szCs w:val="20"/>
          <w:lang w:bidi="gu-IN"/>
        </w:rPr>
        <w:t xml:space="preserve"> A. </w:t>
      </w:r>
      <w:proofErr w:type="spellStart"/>
      <w:r w:rsidRPr="00BD3603">
        <w:rPr>
          <w:sz w:val="20"/>
          <w:szCs w:val="20"/>
          <w:lang w:bidi="gu-IN"/>
        </w:rPr>
        <w:t>Estonia</w:t>
      </w:r>
      <w:proofErr w:type="spellEnd"/>
      <w:r w:rsidRPr="00BD3603">
        <w:rPr>
          <w:sz w:val="20"/>
          <w:szCs w:val="20"/>
          <w:lang w:bidi="gu-IN"/>
        </w:rPr>
        <w:t xml:space="preserve"> </w:t>
      </w:r>
      <w:proofErr w:type="spellStart"/>
      <w:r w:rsidRPr="00BD3603">
        <w:rPr>
          <w:sz w:val="20"/>
          <w:szCs w:val="20"/>
          <w:lang w:bidi="gu-IN"/>
        </w:rPr>
        <w:t>at</w:t>
      </w:r>
      <w:proofErr w:type="spellEnd"/>
      <w:r w:rsidRPr="00BD3603">
        <w:rPr>
          <w:sz w:val="20"/>
          <w:szCs w:val="20"/>
          <w:lang w:bidi="gu-IN"/>
        </w:rPr>
        <w:t xml:space="preserve"> </w:t>
      </w:r>
      <w:proofErr w:type="spellStart"/>
      <w:r w:rsidRPr="00BD3603">
        <w:rPr>
          <w:sz w:val="20"/>
          <w:szCs w:val="20"/>
          <w:lang w:bidi="gu-IN"/>
        </w:rPr>
        <w:t>the</w:t>
      </w:r>
      <w:proofErr w:type="spellEnd"/>
      <w:r w:rsidRPr="00BD3603">
        <w:rPr>
          <w:sz w:val="20"/>
          <w:szCs w:val="20"/>
          <w:lang w:bidi="gu-IN"/>
        </w:rPr>
        <w:t xml:space="preserve"> </w:t>
      </w:r>
      <w:proofErr w:type="spellStart"/>
      <w:r w:rsidRPr="00BD3603">
        <w:rPr>
          <w:sz w:val="20"/>
          <w:szCs w:val="20"/>
          <w:lang w:bidi="gu-IN"/>
        </w:rPr>
        <w:t>Threshold</w:t>
      </w:r>
      <w:proofErr w:type="spellEnd"/>
      <w:r w:rsidRPr="00BD3603">
        <w:rPr>
          <w:sz w:val="20"/>
          <w:szCs w:val="20"/>
          <w:lang w:bidi="gu-IN"/>
        </w:rPr>
        <w:t xml:space="preserve"> </w:t>
      </w:r>
      <w:proofErr w:type="spellStart"/>
      <w:r w:rsidRPr="00BD3603">
        <w:rPr>
          <w:sz w:val="20"/>
          <w:szCs w:val="20"/>
          <w:lang w:bidi="gu-IN"/>
        </w:rPr>
        <w:t>of</w:t>
      </w:r>
      <w:proofErr w:type="spellEnd"/>
      <w:r w:rsidRPr="00BD3603">
        <w:rPr>
          <w:sz w:val="20"/>
          <w:szCs w:val="20"/>
          <w:lang w:bidi="gu-IN"/>
        </w:rPr>
        <w:t xml:space="preserve"> </w:t>
      </w:r>
      <w:proofErr w:type="spellStart"/>
      <w:r w:rsidRPr="00BD3603">
        <w:rPr>
          <w:sz w:val="20"/>
          <w:szCs w:val="20"/>
          <w:lang w:bidi="gu-IN"/>
        </w:rPr>
        <w:t>the</w:t>
      </w:r>
      <w:proofErr w:type="spellEnd"/>
      <w:r w:rsidRPr="00BD3603">
        <w:rPr>
          <w:sz w:val="20"/>
          <w:szCs w:val="20"/>
          <w:lang w:bidi="gu-IN"/>
        </w:rPr>
        <w:t xml:space="preserve"> </w:t>
      </w:r>
      <w:proofErr w:type="spellStart"/>
      <w:r w:rsidRPr="00BD3603">
        <w:rPr>
          <w:sz w:val="20"/>
          <w:szCs w:val="20"/>
          <w:lang w:bidi="gu-IN"/>
        </w:rPr>
        <w:t>Fourth</w:t>
      </w:r>
      <w:proofErr w:type="spellEnd"/>
      <w:r w:rsidRPr="00BD3603">
        <w:rPr>
          <w:sz w:val="20"/>
          <w:szCs w:val="20"/>
          <w:lang w:bidi="gu-IN"/>
        </w:rPr>
        <w:t xml:space="preserve"> </w:t>
      </w:r>
      <w:proofErr w:type="spellStart"/>
      <w:r w:rsidRPr="00BD3603">
        <w:rPr>
          <w:sz w:val="20"/>
          <w:szCs w:val="20"/>
          <w:lang w:bidi="gu-IN"/>
        </w:rPr>
        <w:t>Decade</w:t>
      </w:r>
      <w:proofErr w:type="spellEnd"/>
      <w:r w:rsidRPr="00BD3603">
        <w:rPr>
          <w:sz w:val="20"/>
          <w:szCs w:val="20"/>
          <w:lang w:bidi="gu-IN"/>
        </w:rPr>
        <w:t xml:space="preserve"> </w:t>
      </w:r>
      <w:proofErr w:type="spellStart"/>
      <w:r w:rsidRPr="00BD3603">
        <w:rPr>
          <w:sz w:val="20"/>
          <w:szCs w:val="20"/>
          <w:lang w:bidi="gu-IN"/>
        </w:rPr>
        <w:t>of</w:t>
      </w:r>
      <w:proofErr w:type="spellEnd"/>
      <w:r w:rsidRPr="00BD3603">
        <w:rPr>
          <w:sz w:val="20"/>
          <w:szCs w:val="20"/>
          <w:lang w:bidi="gu-IN"/>
        </w:rPr>
        <w:t xml:space="preserve"> </w:t>
      </w:r>
      <w:proofErr w:type="spellStart"/>
      <w:r w:rsidRPr="00BD3603">
        <w:rPr>
          <w:sz w:val="20"/>
          <w:szCs w:val="20"/>
          <w:lang w:bidi="gu-IN"/>
        </w:rPr>
        <w:t>the</w:t>
      </w:r>
      <w:proofErr w:type="spellEnd"/>
      <w:r w:rsidRPr="00BD3603">
        <w:rPr>
          <w:sz w:val="20"/>
          <w:szCs w:val="20"/>
          <w:lang w:bidi="gu-IN"/>
        </w:rPr>
        <w:t xml:space="preserve"> AIDS </w:t>
      </w:r>
      <w:proofErr w:type="spellStart"/>
      <w:r w:rsidRPr="00BD3603">
        <w:rPr>
          <w:sz w:val="20"/>
          <w:szCs w:val="20"/>
          <w:lang w:bidi="gu-IN"/>
        </w:rPr>
        <w:t>Era</w:t>
      </w:r>
      <w:proofErr w:type="spellEnd"/>
      <w:r w:rsidRPr="00BD3603">
        <w:rPr>
          <w:sz w:val="20"/>
          <w:szCs w:val="20"/>
          <w:lang w:bidi="gu-IN"/>
        </w:rPr>
        <w:t xml:space="preserve"> </w:t>
      </w:r>
      <w:proofErr w:type="spellStart"/>
      <w:r w:rsidRPr="00BD3603">
        <w:rPr>
          <w:sz w:val="20"/>
          <w:szCs w:val="20"/>
          <w:lang w:bidi="gu-IN"/>
        </w:rPr>
        <w:t>in</w:t>
      </w:r>
      <w:proofErr w:type="spellEnd"/>
      <w:r w:rsidRPr="00BD3603">
        <w:rPr>
          <w:sz w:val="20"/>
          <w:szCs w:val="20"/>
          <w:lang w:bidi="gu-IN"/>
        </w:rPr>
        <w:t xml:space="preserve"> </w:t>
      </w:r>
      <w:proofErr w:type="spellStart"/>
      <w:r w:rsidRPr="00BD3603">
        <w:rPr>
          <w:sz w:val="20"/>
          <w:szCs w:val="20"/>
          <w:lang w:bidi="gu-IN"/>
        </w:rPr>
        <w:t>Europe</w:t>
      </w:r>
      <w:proofErr w:type="spellEnd"/>
      <w:r w:rsidRPr="00BD3603">
        <w:rPr>
          <w:sz w:val="20"/>
          <w:szCs w:val="20"/>
          <w:lang w:bidi="gu-IN"/>
        </w:rPr>
        <w:t xml:space="preserve"> // AIDS </w:t>
      </w:r>
      <w:proofErr w:type="spellStart"/>
      <w:r w:rsidRPr="00BD3603">
        <w:rPr>
          <w:sz w:val="20"/>
          <w:szCs w:val="20"/>
          <w:lang w:bidi="gu-IN"/>
        </w:rPr>
        <w:t>Research</w:t>
      </w:r>
      <w:proofErr w:type="spellEnd"/>
      <w:r w:rsidRPr="00BD3603">
        <w:rPr>
          <w:sz w:val="20"/>
          <w:szCs w:val="20"/>
          <w:lang w:bidi="gu-IN"/>
        </w:rPr>
        <w:t xml:space="preserve"> </w:t>
      </w:r>
      <w:proofErr w:type="spellStart"/>
      <w:r w:rsidRPr="00BD3603">
        <w:rPr>
          <w:sz w:val="20"/>
          <w:szCs w:val="20"/>
          <w:lang w:bidi="gu-IN"/>
        </w:rPr>
        <w:t>and</w:t>
      </w:r>
      <w:proofErr w:type="spellEnd"/>
      <w:r w:rsidRPr="00BD3603">
        <w:rPr>
          <w:sz w:val="20"/>
          <w:szCs w:val="20"/>
          <w:lang w:bidi="gu-IN"/>
        </w:rPr>
        <w:t xml:space="preserve"> </w:t>
      </w:r>
      <w:proofErr w:type="spellStart"/>
      <w:r w:rsidRPr="00BD3603">
        <w:rPr>
          <w:sz w:val="20"/>
          <w:szCs w:val="20"/>
          <w:lang w:bidi="gu-IN"/>
        </w:rPr>
        <w:t>Human</w:t>
      </w:r>
      <w:proofErr w:type="spellEnd"/>
      <w:r w:rsidRPr="00BD3603">
        <w:rPr>
          <w:sz w:val="20"/>
          <w:szCs w:val="20"/>
          <w:lang w:bidi="gu-IN"/>
        </w:rPr>
        <w:t xml:space="preserve"> </w:t>
      </w:r>
      <w:proofErr w:type="spellStart"/>
      <w:r w:rsidRPr="00BD3603">
        <w:rPr>
          <w:sz w:val="20"/>
          <w:szCs w:val="20"/>
          <w:lang w:bidi="gu-IN"/>
        </w:rPr>
        <w:t>Retroviruses</w:t>
      </w:r>
      <w:proofErr w:type="spellEnd"/>
      <w:r w:rsidRPr="00BD3603">
        <w:rPr>
          <w:sz w:val="20"/>
          <w:szCs w:val="20"/>
          <w:lang w:bidi="gu-IN"/>
        </w:rPr>
        <w:t>, 2011; 27 (8): 841-851</w:t>
      </w:r>
    </w:p>
  </w:footnote>
  <w:footnote w:id="7">
    <w:p w:rsidR="00051FAD" w:rsidRPr="00391D1D" w:rsidRDefault="00051FAD" w:rsidP="0069761A">
      <w:pPr>
        <w:pStyle w:val="FootnoteText"/>
        <w:rPr>
          <w:color w:val="000000" w:themeColor="text1"/>
        </w:rPr>
      </w:pPr>
      <w:r>
        <w:rPr>
          <w:rStyle w:val="FootnoteReference"/>
        </w:rPr>
        <w:footnoteRef/>
      </w:r>
      <w:r>
        <w:t xml:space="preserve"> </w:t>
      </w:r>
      <w:r>
        <w:rPr>
          <w:color w:val="000000" w:themeColor="text1"/>
        </w:rPr>
        <w:t xml:space="preserve">Racionālas </w:t>
      </w:r>
      <w:proofErr w:type="spellStart"/>
      <w:r>
        <w:rPr>
          <w:color w:val="000000" w:themeColor="text1"/>
        </w:rPr>
        <w:t>farmakoterapijas</w:t>
      </w:r>
      <w:proofErr w:type="spellEnd"/>
      <w:r>
        <w:rPr>
          <w:color w:val="000000" w:themeColor="text1"/>
        </w:rPr>
        <w:t xml:space="preserve"> rekomendācijas no valsts budžeta līdzekļiem apmaksātai </w:t>
      </w:r>
      <w:proofErr w:type="spellStart"/>
      <w:r>
        <w:rPr>
          <w:color w:val="000000" w:themeColor="text1"/>
        </w:rPr>
        <w:t>antiretrovirālai</w:t>
      </w:r>
      <w:proofErr w:type="spellEnd"/>
      <w:r>
        <w:rPr>
          <w:color w:val="000000" w:themeColor="text1"/>
        </w:rPr>
        <w:t xml:space="preserve"> terapijai  HIV/AIDS infekcijas ārstēšanai. Pieejams: </w:t>
      </w:r>
      <w:hyperlink r:id="rId3" w:history="1">
        <w:r w:rsidRPr="00F55616">
          <w:rPr>
            <w:rStyle w:val="Hyperlink"/>
          </w:rPr>
          <w:t>http://www.vmnvd.gov.lv/uploads/files/4d08c0e910688.pdf</w:t>
        </w:r>
      </w:hyperlink>
    </w:p>
  </w:footnote>
  <w:footnote w:id="8">
    <w:p w:rsidR="00051FAD" w:rsidRPr="00391D1D" w:rsidRDefault="00051FAD" w:rsidP="0069761A">
      <w:pPr>
        <w:pStyle w:val="FootnoteText"/>
        <w:rPr>
          <w:lang w:val="en-GB"/>
        </w:rPr>
      </w:pPr>
      <w:r>
        <w:rPr>
          <w:rStyle w:val="FootnoteReference"/>
        </w:rPr>
        <w:footnoteRef/>
      </w:r>
      <w:r>
        <w:t xml:space="preserve"> </w:t>
      </w:r>
      <w:proofErr w:type="gramStart"/>
      <w:r w:rsidRPr="00391D1D">
        <w:rPr>
          <w:lang w:val="en-GB"/>
        </w:rPr>
        <w:t>Consolidated guidelines on the use of antiretroviral drugs for treating and preventing HIV infection</w:t>
      </w:r>
      <w:r>
        <w:rPr>
          <w:lang w:val="en-GB"/>
        </w:rPr>
        <w:t>.</w:t>
      </w:r>
      <w:proofErr w:type="gramEnd"/>
      <w:r>
        <w:rPr>
          <w:lang w:val="en-GB"/>
        </w:rPr>
        <w:t xml:space="preserve"> </w:t>
      </w:r>
      <w:proofErr w:type="spellStart"/>
      <w:r>
        <w:rPr>
          <w:lang w:val="en-GB"/>
        </w:rPr>
        <w:t>Recomendations</w:t>
      </w:r>
      <w:proofErr w:type="spellEnd"/>
      <w:r>
        <w:rPr>
          <w:lang w:val="en-GB"/>
        </w:rPr>
        <w:t xml:space="preserve"> for a public health approach, World Health Organisation, June 2013.</w:t>
      </w:r>
    </w:p>
    <w:p w:rsidR="00051FAD" w:rsidRPr="00391D1D" w:rsidRDefault="00051FAD" w:rsidP="0069761A">
      <w:pPr>
        <w:pStyle w:val="FootnoteText"/>
        <w:rPr>
          <w:lang w:val="en-GB"/>
        </w:rPr>
      </w:pPr>
      <w:proofErr w:type="spellStart"/>
      <w:r>
        <w:rPr>
          <w:lang w:val="en-GB"/>
        </w:rPr>
        <w:t>Pieejams</w:t>
      </w:r>
      <w:proofErr w:type="spellEnd"/>
      <w:r>
        <w:rPr>
          <w:lang w:val="en-GB"/>
        </w:rPr>
        <w:t xml:space="preserve">: </w:t>
      </w:r>
      <w:r w:rsidRPr="00391D1D">
        <w:rPr>
          <w:lang w:val="en-GB"/>
        </w:rPr>
        <w:t>http://apps.who.int/iris/bitstream/10665/85321/1/9789241505727_eng.pdf?ua=1</w:t>
      </w:r>
    </w:p>
    <w:p w:rsidR="00051FAD" w:rsidRDefault="00051FAD" w:rsidP="0069761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AD" w:rsidRDefault="00A16528" w:rsidP="00760913">
    <w:pPr>
      <w:pStyle w:val="Header"/>
      <w:framePr w:wrap="around" w:vAnchor="text" w:hAnchor="margin" w:xAlign="center" w:y="1"/>
      <w:rPr>
        <w:rStyle w:val="PageNumber"/>
      </w:rPr>
    </w:pPr>
    <w:r>
      <w:rPr>
        <w:rStyle w:val="PageNumber"/>
      </w:rPr>
      <w:fldChar w:fldCharType="begin"/>
    </w:r>
    <w:r w:rsidR="00051FAD">
      <w:rPr>
        <w:rStyle w:val="PageNumber"/>
      </w:rPr>
      <w:instrText xml:space="preserve">PAGE  </w:instrText>
    </w:r>
    <w:r>
      <w:rPr>
        <w:rStyle w:val="PageNumber"/>
      </w:rPr>
      <w:fldChar w:fldCharType="separate"/>
    </w:r>
    <w:r w:rsidR="00051FAD">
      <w:rPr>
        <w:rStyle w:val="PageNumber"/>
        <w:noProof/>
      </w:rPr>
      <w:t>9</w:t>
    </w:r>
    <w:r>
      <w:rPr>
        <w:rStyle w:val="PageNumber"/>
      </w:rPr>
      <w:fldChar w:fldCharType="end"/>
    </w:r>
  </w:p>
  <w:p w:rsidR="00051FAD" w:rsidRDefault="00051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FAD" w:rsidRPr="00EC4EA2" w:rsidRDefault="00A16528" w:rsidP="00760913">
    <w:pPr>
      <w:pStyle w:val="Header"/>
      <w:framePr w:wrap="around" w:vAnchor="text" w:hAnchor="margin" w:xAlign="center" w:y="1"/>
      <w:rPr>
        <w:rStyle w:val="PageNumber"/>
        <w:sz w:val="20"/>
        <w:szCs w:val="20"/>
      </w:rPr>
    </w:pPr>
    <w:r w:rsidRPr="00EC4EA2">
      <w:rPr>
        <w:rStyle w:val="PageNumber"/>
        <w:sz w:val="20"/>
        <w:szCs w:val="20"/>
      </w:rPr>
      <w:fldChar w:fldCharType="begin"/>
    </w:r>
    <w:r w:rsidR="00051FAD" w:rsidRPr="00EC4EA2">
      <w:rPr>
        <w:rStyle w:val="PageNumber"/>
        <w:sz w:val="20"/>
        <w:szCs w:val="20"/>
      </w:rPr>
      <w:instrText xml:space="preserve">PAGE  </w:instrText>
    </w:r>
    <w:r w:rsidRPr="00EC4EA2">
      <w:rPr>
        <w:rStyle w:val="PageNumber"/>
        <w:sz w:val="20"/>
        <w:szCs w:val="20"/>
      </w:rPr>
      <w:fldChar w:fldCharType="separate"/>
    </w:r>
    <w:r w:rsidR="00A22CE9">
      <w:rPr>
        <w:rStyle w:val="PageNumber"/>
        <w:noProof/>
        <w:sz w:val="20"/>
        <w:szCs w:val="20"/>
      </w:rPr>
      <w:t>11</w:t>
    </w:r>
    <w:r w:rsidRPr="00EC4EA2">
      <w:rPr>
        <w:rStyle w:val="PageNumber"/>
        <w:sz w:val="20"/>
        <w:szCs w:val="20"/>
      </w:rPr>
      <w:fldChar w:fldCharType="end"/>
    </w:r>
  </w:p>
  <w:p w:rsidR="00051FAD" w:rsidRDefault="00051F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4EE6"/>
    <w:multiLevelType w:val="hybridMultilevel"/>
    <w:tmpl w:val="DA28C97E"/>
    <w:lvl w:ilvl="0" w:tplc="574206E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
    <w:nsid w:val="08C76ACC"/>
    <w:multiLevelType w:val="hybridMultilevel"/>
    <w:tmpl w:val="CCBA8620"/>
    <w:lvl w:ilvl="0" w:tplc="4B58C47E">
      <w:start w:val="67"/>
      <w:numFmt w:val="bullet"/>
      <w:lvlText w:val="-"/>
      <w:lvlJc w:val="left"/>
      <w:pPr>
        <w:ind w:left="720"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9F779A3"/>
    <w:multiLevelType w:val="hybridMultilevel"/>
    <w:tmpl w:val="5CA2292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0A0A52A2"/>
    <w:multiLevelType w:val="hybridMultilevel"/>
    <w:tmpl w:val="81A8B232"/>
    <w:lvl w:ilvl="0" w:tplc="A1A4AF0A">
      <w:start w:val="1"/>
      <w:numFmt w:val="lowerLetter"/>
      <w:lvlText w:val="%1)"/>
      <w:lvlJc w:val="left"/>
      <w:pPr>
        <w:ind w:left="1110" w:hanging="375"/>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4">
    <w:nsid w:val="0CD15763"/>
    <w:multiLevelType w:val="hybridMultilevel"/>
    <w:tmpl w:val="9544D28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6652B8"/>
    <w:multiLevelType w:val="hybridMultilevel"/>
    <w:tmpl w:val="6860B9DE"/>
    <w:lvl w:ilvl="0" w:tplc="F6A24932">
      <w:start w:val="2"/>
      <w:numFmt w:val="upperRoman"/>
      <w:lvlText w:val="%1."/>
      <w:lvlJc w:val="left"/>
      <w:pPr>
        <w:ind w:left="832" w:hanging="720"/>
      </w:pPr>
      <w:rPr>
        <w:rFonts w:hint="default"/>
        <w:b/>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nsid w:val="143E3551"/>
    <w:multiLevelType w:val="hybridMultilevel"/>
    <w:tmpl w:val="A3D0060A"/>
    <w:lvl w:ilvl="0" w:tplc="1E6467DA">
      <w:start w:val="1"/>
      <w:numFmt w:val="decimal"/>
      <w:lvlText w:val="%1)"/>
      <w:lvlJc w:val="left"/>
      <w:pPr>
        <w:ind w:left="570" w:hanging="360"/>
      </w:pPr>
      <w:rPr>
        <w:rFonts w:hint="default"/>
        <w:b/>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
    <w:nsid w:val="1B9B4100"/>
    <w:multiLevelType w:val="hybridMultilevel"/>
    <w:tmpl w:val="4D94B0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D2A7A3B"/>
    <w:multiLevelType w:val="hybridMultilevel"/>
    <w:tmpl w:val="7E8C6842"/>
    <w:lvl w:ilvl="0" w:tplc="92F083D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9">
    <w:nsid w:val="1FC45F11"/>
    <w:multiLevelType w:val="hybridMultilevel"/>
    <w:tmpl w:val="A380CCDE"/>
    <w:lvl w:ilvl="0" w:tplc="9C04E840">
      <w:start w:val="1"/>
      <w:numFmt w:val="decimal"/>
      <w:lvlText w:val="%1."/>
      <w:lvlJc w:val="left"/>
      <w:pPr>
        <w:ind w:left="1080" w:hanging="360"/>
      </w:pPr>
      <w:rPr>
        <w:rFonts w:hint="default"/>
        <w:color w:val="auto"/>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76B77CB"/>
    <w:multiLevelType w:val="hybridMultilevel"/>
    <w:tmpl w:val="F350DADE"/>
    <w:lvl w:ilvl="0" w:tplc="04260001">
      <w:start w:val="1"/>
      <w:numFmt w:val="bullet"/>
      <w:lvlText w:val=""/>
      <w:lvlJc w:val="left"/>
      <w:pPr>
        <w:ind w:left="1190" w:hanging="360"/>
      </w:pPr>
      <w:rPr>
        <w:rFonts w:ascii="Symbol" w:hAnsi="Symbol" w:hint="default"/>
      </w:rPr>
    </w:lvl>
    <w:lvl w:ilvl="1" w:tplc="04260003" w:tentative="1">
      <w:start w:val="1"/>
      <w:numFmt w:val="bullet"/>
      <w:lvlText w:val="o"/>
      <w:lvlJc w:val="left"/>
      <w:pPr>
        <w:ind w:left="1910" w:hanging="360"/>
      </w:pPr>
      <w:rPr>
        <w:rFonts w:ascii="Courier New" w:hAnsi="Courier New" w:cs="Courier New" w:hint="default"/>
      </w:rPr>
    </w:lvl>
    <w:lvl w:ilvl="2" w:tplc="04260005" w:tentative="1">
      <w:start w:val="1"/>
      <w:numFmt w:val="bullet"/>
      <w:lvlText w:val=""/>
      <w:lvlJc w:val="left"/>
      <w:pPr>
        <w:ind w:left="2630" w:hanging="360"/>
      </w:pPr>
      <w:rPr>
        <w:rFonts w:ascii="Wingdings" w:hAnsi="Wingdings" w:hint="default"/>
      </w:rPr>
    </w:lvl>
    <w:lvl w:ilvl="3" w:tplc="04260001" w:tentative="1">
      <w:start w:val="1"/>
      <w:numFmt w:val="bullet"/>
      <w:lvlText w:val=""/>
      <w:lvlJc w:val="left"/>
      <w:pPr>
        <w:ind w:left="3350" w:hanging="360"/>
      </w:pPr>
      <w:rPr>
        <w:rFonts w:ascii="Symbol" w:hAnsi="Symbol" w:hint="default"/>
      </w:rPr>
    </w:lvl>
    <w:lvl w:ilvl="4" w:tplc="04260003" w:tentative="1">
      <w:start w:val="1"/>
      <w:numFmt w:val="bullet"/>
      <w:lvlText w:val="o"/>
      <w:lvlJc w:val="left"/>
      <w:pPr>
        <w:ind w:left="4070" w:hanging="360"/>
      </w:pPr>
      <w:rPr>
        <w:rFonts w:ascii="Courier New" w:hAnsi="Courier New" w:cs="Courier New" w:hint="default"/>
      </w:rPr>
    </w:lvl>
    <w:lvl w:ilvl="5" w:tplc="04260005" w:tentative="1">
      <w:start w:val="1"/>
      <w:numFmt w:val="bullet"/>
      <w:lvlText w:val=""/>
      <w:lvlJc w:val="left"/>
      <w:pPr>
        <w:ind w:left="4790" w:hanging="360"/>
      </w:pPr>
      <w:rPr>
        <w:rFonts w:ascii="Wingdings" w:hAnsi="Wingdings" w:hint="default"/>
      </w:rPr>
    </w:lvl>
    <w:lvl w:ilvl="6" w:tplc="04260001" w:tentative="1">
      <w:start w:val="1"/>
      <w:numFmt w:val="bullet"/>
      <w:lvlText w:val=""/>
      <w:lvlJc w:val="left"/>
      <w:pPr>
        <w:ind w:left="5510" w:hanging="360"/>
      </w:pPr>
      <w:rPr>
        <w:rFonts w:ascii="Symbol" w:hAnsi="Symbol" w:hint="default"/>
      </w:rPr>
    </w:lvl>
    <w:lvl w:ilvl="7" w:tplc="04260003" w:tentative="1">
      <w:start w:val="1"/>
      <w:numFmt w:val="bullet"/>
      <w:lvlText w:val="o"/>
      <w:lvlJc w:val="left"/>
      <w:pPr>
        <w:ind w:left="6230" w:hanging="360"/>
      </w:pPr>
      <w:rPr>
        <w:rFonts w:ascii="Courier New" w:hAnsi="Courier New" w:cs="Courier New" w:hint="default"/>
      </w:rPr>
    </w:lvl>
    <w:lvl w:ilvl="8" w:tplc="04260005" w:tentative="1">
      <w:start w:val="1"/>
      <w:numFmt w:val="bullet"/>
      <w:lvlText w:val=""/>
      <w:lvlJc w:val="left"/>
      <w:pPr>
        <w:ind w:left="6950" w:hanging="360"/>
      </w:pPr>
      <w:rPr>
        <w:rFonts w:ascii="Wingdings" w:hAnsi="Wingdings" w:hint="default"/>
      </w:rPr>
    </w:lvl>
  </w:abstractNum>
  <w:abstractNum w:abstractNumId="11">
    <w:nsid w:val="2EE82379"/>
    <w:multiLevelType w:val="hybridMultilevel"/>
    <w:tmpl w:val="31CA89B4"/>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01D727C"/>
    <w:multiLevelType w:val="hybridMultilevel"/>
    <w:tmpl w:val="8B62D458"/>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3">
    <w:nsid w:val="32ED7E70"/>
    <w:multiLevelType w:val="hybridMultilevel"/>
    <w:tmpl w:val="D90E9D60"/>
    <w:lvl w:ilvl="0" w:tplc="1F02DC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7AC795D"/>
    <w:multiLevelType w:val="hybridMultilevel"/>
    <w:tmpl w:val="3CCA7198"/>
    <w:lvl w:ilvl="0" w:tplc="A27A9226">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5">
    <w:nsid w:val="382C3D86"/>
    <w:multiLevelType w:val="hybridMultilevel"/>
    <w:tmpl w:val="EFFAD3B0"/>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553" w:hanging="360"/>
      </w:pPr>
      <w:rPr>
        <w:rFonts w:ascii="Courier New" w:hAnsi="Courier New" w:cs="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cs="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cs="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16">
    <w:nsid w:val="39AE0CDA"/>
    <w:multiLevelType w:val="hybridMultilevel"/>
    <w:tmpl w:val="D960B50E"/>
    <w:lvl w:ilvl="0" w:tplc="05587F3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3DE3799D"/>
    <w:multiLevelType w:val="hybridMultilevel"/>
    <w:tmpl w:val="BC9C3D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F3656A"/>
    <w:multiLevelType w:val="hybridMultilevel"/>
    <w:tmpl w:val="D5524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127040"/>
    <w:multiLevelType w:val="hybridMultilevel"/>
    <w:tmpl w:val="116CAF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7164A15"/>
    <w:multiLevelType w:val="hybridMultilevel"/>
    <w:tmpl w:val="7E609324"/>
    <w:lvl w:ilvl="0" w:tplc="4B58C47E">
      <w:start w:val="67"/>
      <w:numFmt w:val="bullet"/>
      <w:lvlText w:val="-"/>
      <w:lvlJc w:val="left"/>
      <w:pPr>
        <w:ind w:left="835" w:hanging="360"/>
      </w:pPr>
      <w:rPr>
        <w:rFonts w:ascii="Times New Roman" w:eastAsia="Times New Roman" w:hAnsi="Times New Roman" w:cs="Times New Roman" w:hint="default"/>
        <w:b w:val="0"/>
        <w:color w:val="000000"/>
      </w:rPr>
    </w:lvl>
    <w:lvl w:ilvl="1" w:tplc="04260003" w:tentative="1">
      <w:start w:val="1"/>
      <w:numFmt w:val="bullet"/>
      <w:lvlText w:val="o"/>
      <w:lvlJc w:val="left"/>
      <w:pPr>
        <w:ind w:left="1555" w:hanging="360"/>
      </w:pPr>
      <w:rPr>
        <w:rFonts w:ascii="Courier New" w:hAnsi="Courier New" w:cs="Courier New" w:hint="default"/>
      </w:rPr>
    </w:lvl>
    <w:lvl w:ilvl="2" w:tplc="04260005" w:tentative="1">
      <w:start w:val="1"/>
      <w:numFmt w:val="bullet"/>
      <w:lvlText w:val=""/>
      <w:lvlJc w:val="left"/>
      <w:pPr>
        <w:ind w:left="2275" w:hanging="360"/>
      </w:pPr>
      <w:rPr>
        <w:rFonts w:ascii="Wingdings" w:hAnsi="Wingdings" w:hint="default"/>
      </w:rPr>
    </w:lvl>
    <w:lvl w:ilvl="3" w:tplc="04260001" w:tentative="1">
      <w:start w:val="1"/>
      <w:numFmt w:val="bullet"/>
      <w:lvlText w:val=""/>
      <w:lvlJc w:val="left"/>
      <w:pPr>
        <w:ind w:left="2995" w:hanging="360"/>
      </w:pPr>
      <w:rPr>
        <w:rFonts w:ascii="Symbol" w:hAnsi="Symbol" w:hint="default"/>
      </w:rPr>
    </w:lvl>
    <w:lvl w:ilvl="4" w:tplc="04260003" w:tentative="1">
      <w:start w:val="1"/>
      <w:numFmt w:val="bullet"/>
      <w:lvlText w:val="o"/>
      <w:lvlJc w:val="left"/>
      <w:pPr>
        <w:ind w:left="3715" w:hanging="360"/>
      </w:pPr>
      <w:rPr>
        <w:rFonts w:ascii="Courier New" w:hAnsi="Courier New" w:cs="Courier New" w:hint="default"/>
      </w:rPr>
    </w:lvl>
    <w:lvl w:ilvl="5" w:tplc="04260005" w:tentative="1">
      <w:start w:val="1"/>
      <w:numFmt w:val="bullet"/>
      <w:lvlText w:val=""/>
      <w:lvlJc w:val="left"/>
      <w:pPr>
        <w:ind w:left="4435" w:hanging="360"/>
      </w:pPr>
      <w:rPr>
        <w:rFonts w:ascii="Wingdings" w:hAnsi="Wingdings" w:hint="default"/>
      </w:rPr>
    </w:lvl>
    <w:lvl w:ilvl="6" w:tplc="04260001" w:tentative="1">
      <w:start w:val="1"/>
      <w:numFmt w:val="bullet"/>
      <w:lvlText w:val=""/>
      <w:lvlJc w:val="left"/>
      <w:pPr>
        <w:ind w:left="5155" w:hanging="360"/>
      </w:pPr>
      <w:rPr>
        <w:rFonts w:ascii="Symbol" w:hAnsi="Symbol" w:hint="default"/>
      </w:rPr>
    </w:lvl>
    <w:lvl w:ilvl="7" w:tplc="04260003" w:tentative="1">
      <w:start w:val="1"/>
      <w:numFmt w:val="bullet"/>
      <w:lvlText w:val="o"/>
      <w:lvlJc w:val="left"/>
      <w:pPr>
        <w:ind w:left="5875" w:hanging="360"/>
      </w:pPr>
      <w:rPr>
        <w:rFonts w:ascii="Courier New" w:hAnsi="Courier New" w:cs="Courier New" w:hint="default"/>
      </w:rPr>
    </w:lvl>
    <w:lvl w:ilvl="8" w:tplc="04260005" w:tentative="1">
      <w:start w:val="1"/>
      <w:numFmt w:val="bullet"/>
      <w:lvlText w:val=""/>
      <w:lvlJc w:val="left"/>
      <w:pPr>
        <w:ind w:left="6595" w:hanging="360"/>
      </w:pPr>
      <w:rPr>
        <w:rFonts w:ascii="Wingdings" w:hAnsi="Wingdings" w:hint="default"/>
      </w:rPr>
    </w:lvl>
  </w:abstractNum>
  <w:abstractNum w:abstractNumId="21">
    <w:nsid w:val="49B022C5"/>
    <w:multiLevelType w:val="hybridMultilevel"/>
    <w:tmpl w:val="E88CBECC"/>
    <w:lvl w:ilvl="0" w:tplc="0C30D8C0">
      <w:start w:val="1"/>
      <w:numFmt w:val="decimal"/>
      <w:lvlText w:val="%1)"/>
      <w:lvlJc w:val="left"/>
      <w:pPr>
        <w:ind w:left="2275" w:hanging="1425"/>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2">
    <w:nsid w:val="4B8F6DEC"/>
    <w:multiLevelType w:val="hybridMultilevel"/>
    <w:tmpl w:val="6DD05DCC"/>
    <w:lvl w:ilvl="0" w:tplc="CE088DB2">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3">
    <w:nsid w:val="4D591154"/>
    <w:multiLevelType w:val="hybridMultilevel"/>
    <w:tmpl w:val="11B0F34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nsid w:val="50226D7C"/>
    <w:multiLevelType w:val="hybridMultilevel"/>
    <w:tmpl w:val="F760DF24"/>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5">
    <w:nsid w:val="5ACC0747"/>
    <w:multiLevelType w:val="hybridMultilevel"/>
    <w:tmpl w:val="270C655E"/>
    <w:lvl w:ilvl="0" w:tplc="7E9A705E">
      <w:start w:val="1"/>
      <w:numFmt w:val="decimal"/>
      <w:lvlText w:val="%1."/>
      <w:lvlJc w:val="left"/>
      <w:pPr>
        <w:ind w:left="472" w:hanging="360"/>
      </w:pPr>
      <w:rPr>
        <w:rFonts w:ascii="Arial" w:hAnsi="Arial" w:cs="Arial"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6">
    <w:nsid w:val="5FF90DFF"/>
    <w:multiLevelType w:val="hybridMultilevel"/>
    <w:tmpl w:val="F4421F4C"/>
    <w:lvl w:ilvl="0" w:tplc="9326AD2C">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27">
    <w:nsid w:val="6C943289"/>
    <w:multiLevelType w:val="hybridMultilevel"/>
    <w:tmpl w:val="FF5284D2"/>
    <w:lvl w:ilvl="0" w:tplc="9C04E840">
      <w:start w:val="1"/>
      <w:numFmt w:val="decimal"/>
      <w:lvlText w:val="%1."/>
      <w:lvlJc w:val="left"/>
      <w:pPr>
        <w:ind w:left="1080" w:hanging="360"/>
      </w:pPr>
      <w:rPr>
        <w:rFonts w:hint="default"/>
        <w:color w:val="auto"/>
      </w:rPr>
    </w:lvl>
    <w:lvl w:ilvl="1" w:tplc="04260011">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20333B6"/>
    <w:multiLevelType w:val="hybridMultilevel"/>
    <w:tmpl w:val="AA144B0C"/>
    <w:lvl w:ilvl="0" w:tplc="0426000B">
      <w:start w:val="1"/>
      <w:numFmt w:val="bullet"/>
      <w:lvlText w:val=""/>
      <w:lvlJc w:val="left"/>
      <w:pPr>
        <w:ind w:left="832" w:hanging="360"/>
      </w:pPr>
      <w:rPr>
        <w:rFonts w:ascii="Wingdings" w:hAnsi="Wingdings"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29">
    <w:nsid w:val="732F11EF"/>
    <w:multiLevelType w:val="hybridMultilevel"/>
    <w:tmpl w:val="46DE0D2E"/>
    <w:lvl w:ilvl="0" w:tplc="7D0A7BD0">
      <w:start w:val="1"/>
      <w:numFmt w:val="decimal"/>
      <w:lvlText w:val="(%1)"/>
      <w:lvlJc w:val="left"/>
      <w:pPr>
        <w:ind w:left="735"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33D298E"/>
    <w:multiLevelType w:val="hybridMultilevel"/>
    <w:tmpl w:val="1918F886"/>
    <w:lvl w:ilvl="0" w:tplc="3BA0DB28">
      <w:start w:val="1"/>
      <w:numFmt w:val="upperRoman"/>
      <w:lvlText w:val="%1."/>
      <w:lvlJc w:val="left"/>
      <w:pPr>
        <w:ind w:left="832" w:hanging="720"/>
      </w:pPr>
      <w:rPr>
        <w:rFonts w:hint="default"/>
      </w:rPr>
    </w:lvl>
    <w:lvl w:ilvl="1" w:tplc="EB6ACBC2">
      <w:start w:val="1"/>
      <w:numFmt w:val="decimal"/>
      <w:lvlText w:val="%2."/>
      <w:lvlJc w:val="left"/>
      <w:pPr>
        <w:ind w:left="1192" w:hanging="360"/>
      </w:pPr>
      <w:rPr>
        <w:rFonts w:hint="default"/>
      </w:r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1"/>
  </w:num>
  <w:num w:numId="2">
    <w:abstractNumId w:val="21"/>
  </w:num>
  <w:num w:numId="3">
    <w:abstractNumId w:val="20"/>
  </w:num>
  <w:num w:numId="4">
    <w:abstractNumId w:val="12"/>
  </w:num>
  <w:num w:numId="5">
    <w:abstractNumId w:val="28"/>
  </w:num>
  <w:num w:numId="6">
    <w:abstractNumId w:val="0"/>
  </w:num>
  <w:num w:numId="7">
    <w:abstractNumId w:val="15"/>
  </w:num>
  <w:num w:numId="8">
    <w:abstractNumId w:val="2"/>
  </w:num>
  <w:num w:numId="9">
    <w:abstractNumId w:val="17"/>
  </w:num>
  <w:num w:numId="10">
    <w:abstractNumId w:val="29"/>
  </w:num>
  <w:num w:numId="11">
    <w:abstractNumId w:val="3"/>
  </w:num>
  <w:num w:numId="12">
    <w:abstractNumId w:val="13"/>
  </w:num>
  <w:num w:numId="13">
    <w:abstractNumId w:val="11"/>
  </w:num>
  <w:num w:numId="14">
    <w:abstractNumId w:val="8"/>
  </w:num>
  <w:num w:numId="15">
    <w:abstractNumId w:val="19"/>
  </w:num>
  <w:num w:numId="16">
    <w:abstractNumId w:val="5"/>
  </w:num>
  <w:num w:numId="17">
    <w:abstractNumId w:val="22"/>
  </w:num>
  <w:num w:numId="18">
    <w:abstractNumId w:val="14"/>
  </w:num>
  <w:num w:numId="19">
    <w:abstractNumId w:val="26"/>
  </w:num>
  <w:num w:numId="20">
    <w:abstractNumId w:val="25"/>
  </w:num>
  <w:num w:numId="21">
    <w:abstractNumId w:val="1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6"/>
  </w:num>
  <w:num w:numId="25">
    <w:abstractNumId w:val="23"/>
  </w:num>
  <w:num w:numId="26">
    <w:abstractNumId w:val="10"/>
  </w:num>
  <w:num w:numId="27">
    <w:abstractNumId w:val="30"/>
  </w:num>
  <w:num w:numId="28">
    <w:abstractNumId w:val="24"/>
  </w:num>
  <w:num w:numId="29">
    <w:abstractNumId w:val="9"/>
  </w:num>
  <w:num w:numId="30">
    <w:abstractNumId w:val="4"/>
  </w:num>
  <w:num w:numId="31">
    <w:abstractNumId w:val="27"/>
  </w:num>
  <w:num w:numId="32">
    <w:abstractNumId w:val="6"/>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0273"/>
    <w:rsid w:val="00001C4C"/>
    <w:rsid w:val="00004D2D"/>
    <w:rsid w:val="00004F97"/>
    <w:rsid w:val="0000621B"/>
    <w:rsid w:val="0000678E"/>
    <w:rsid w:val="00006BF0"/>
    <w:rsid w:val="0000712D"/>
    <w:rsid w:val="00007476"/>
    <w:rsid w:val="0001118D"/>
    <w:rsid w:val="00012251"/>
    <w:rsid w:val="00012723"/>
    <w:rsid w:val="00012742"/>
    <w:rsid w:val="000132F8"/>
    <w:rsid w:val="00013AF5"/>
    <w:rsid w:val="00014660"/>
    <w:rsid w:val="000151F7"/>
    <w:rsid w:val="00015D64"/>
    <w:rsid w:val="0001642C"/>
    <w:rsid w:val="0001649D"/>
    <w:rsid w:val="00017E3D"/>
    <w:rsid w:val="00023D9D"/>
    <w:rsid w:val="00024BAE"/>
    <w:rsid w:val="00024C41"/>
    <w:rsid w:val="00024CFD"/>
    <w:rsid w:val="000250F9"/>
    <w:rsid w:val="0002548F"/>
    <w:rsid w:val="00025560"/>
    <w:rsid w:val="00026054"/>
    <w:rsid w:val="00026DDC"/>
    <w:rsid w:val="00032C41"/>
    <w:rsid w:val="00040146"/>
    <w:rsid w:val="0004096A"/>
    <w:rsid w:val="000409C2"/>
    <w:rsid w:val="000410E3"/>
    <w:rsid w:val="00042158"/>
    <w:rsid w:val="00042176"/>
    <w:rsid w:val="00044AFF"/>
    <w:rsid w:val="00045F78"/>
    <w:rsid w:val="000469F3"/>
    <w:rsid w:val="00046B1D"/>
    <w:rsid w:val="00046D6D"/>
    <w:rsid w:val="00050334"/>
    <w:rsid w:val="0005037E"/>
    <w:rsid w:val="00050EEC"/>
    <w:rsid w:val="00051096"/>
    <w:rsid w:val="00051FAD"/>
    <w:rsid w:val="00054045"/>
    <w:rsid w:val="00055C75"/>
    <w:rsid w:val="00055CCB"/>
    <w:rsid w:val="00055DE2"/>
    <w:rsid w:val="0005759D"/>
    <w:rsid w:val="00057E8D"/>
    <w:rsid w:val="00061DDF"/>
    <w:rsid w:val="00061FD7"/>
    <w:rsid w:val="00062156"/>
    <w:rsid w:val="0006259E"/>
    <w:rsid w:val="000631BD"/>
    <w:rsid w:val="000649D5"/>
    <w:rsid w:val="000651FA"/>
    <w:rsid w:val="00065B49"/>
    <w:rsid w:val="000666BE"/>
    <w:rsid w:val="00067C40"/>
    <w:rsid w:val="0007411C"/>
    <w:rsid w:val="00075212"/>
    <w:rsid w:val="00075D3B"/>
    <w:rsid w:val="0007638D"/>
    <w:rsid w:val="00077563"/>
    <w:rsid w:val="0008018B"/>
    <w:rsid w:val="00080D36"/>
    <w:rsid w:val="00082945"/>
    <w:rsid w:val="00083A7D"/>
    <w:rsid w:val="00085E1D"/>
    <w:rsid w:val="0008604D"/>
    <w:rsid w:val="0008770F"/>
    <w:rsid w:val="00087BD4"/>
    <w:rsid w:val="000917BF"/>
    <w:rsid w:val="0009423F"/>
    <w:rsid w:val="0009519F"/>
    <w:rsid w:val="000965F3"/>
    <w:rsid w:val="000A0C4F"/>
    <w:rsid w:val="000A106D"/>
    <w:rsid w:val="000A195B"/>
    <w:rsid w:val="000A255E"/>
    <w:rsid w:val="000A25ED"/>
    <w:rsid w:val="000A2D8E"/>
    <w:rsid w:val="000A4A3C"/>
    <w:rsid w:val="000A4AEA"/>
    <w:rsid w:val="000A4DA8"/>
    <w:rsid w:val="000A7032"/>
    <w:rsid w:val="000A71A7"/>
    <w:rsid w:val="000A7481"/>
    <w:rsid w:val="000B0691"/>
    <w:rsid w:val="000B1B03"/>
    <w:rsid w:val="000B1C24"/>
    <w:rsid w:val="000B3EF1"/>
    <w:rsid w:val="000B4376"/>
    <w:rsid w:val="000B650A"/>
    <w:rsid w:val="000C04CA"/>
    <w:rsid w:val="000C09CA"/>
    <w:rsid w:val="000C10AD"/>
    <w:rsid w:val="000C2744"/>
    <w:rsid w:val="000C3CFE"/>
    <w:rsid w:val="000C6543"/>
    <w:rsid w:val="000C68CC"/>
    <w:rsid w:val="000C74C6"/>
    <w:rsid w:val="000C7510"/>
    <w:rsid w:val="000C7777"/>
    <w:rsid w:val="000D0768"/>
    <w:rsid w:val="000D0C30"/>
    <w:rsid w:val="000D1589"/>
    <w:rsid w:val="000D18AD"/>
    <w:rsid w:val="000D2F93"/>
    <w:rsid w:val="000D3CEB"/>
    <w:rsid w:val="000D44EC"/>
    <w:rsid w:val="000D66C9"/>
    <w:rsid w:val="000E243C"/>
    <w:rsid w:val="000E5618"/>
    <w:rsid w:val="000E5B86"/>
    <w:rsid w:val="000E5EAB"/>
    <w:rsid w:val="000F0DC1"/>
    <w:rsid w:val="000F19F5"/>
    <w:rsid w:val="000F20EF"/>
    <w:rsid w:val="000F2440"/>
    <w:rsid w:val="000F31E1"/>
    <w:rsid w:val="000F3331"/>
    <w:rsid w:val="000F3B10"/>
    <w:rsid w:val="000F5F23"/>
    <w:rsid w:val="000F7E83"/>
    <w:rsid w:val="001003A5"/>
    <w:rsid w:val="00100A81"/>
    <w:rsid w:val="001011B2"/>
    <w:rsid w:val="0010318E"/>
    <w:rsid w:val="00103E5C"/>
    <w:rsid w:val="0010400F"/>
    <w:rsid w:val="001068CC"/>
    <w:rsid w:val="00106967"/>
    <w:rsid w:val="00107156"/>
    <w:rsid w:val="00107C9F"/>
    <w:rsid w:val="00111B94"/>
    <w:rsid w:val="00112EB6"/>
    <w:rsid w:val="00113C78"/>
    <w:rsid w:val="00116FD9"/>
    <w:rsid w:val="0012135D"/>
    <w:rsid w:val="00122750"/>
    <w:rsid w:val="00125B14"/>
    <w:rsid w:val="00130255"/>
    <w:rsid w:val="00132E75"/>
    <w:rsid w:val="00134715"/>
    <w:rsid w:val="00134821"/>
    <w:rsid w:val="001357DE"/>
    <w:rsid w:val="00135E4D"/>
    <w:rsid w:val="0013647C"/>
    <w:rsid w:val="001364C4"/>
    <w:rsid w:val="00136B00"/>
    <w:rsid w:val="00136CF1"/>
    <w:rsid w:val="00137A0D"/>
    <w:rsid w:val="00140B84"/>
    <w:rsid w:val="0014101D"/>
    <w:rsid w:val="00141593"/>
    <w:rsid w:val="00145375"/>
    <w:rsid w:val="00145A38"/>
    <w:rsid w:val="00151278"/>
    <w:rsid w:val="001514C5"/>
    <w:rsid w:val="0015172E"/>
    <w:rsid w:val="00152114"/>
    <w:rsid w:val="0015343D"/>
    <w:rsid w:val="00153AA1"/>
    <w:rsid w:val="0015425D"/>
    <w:rsid w:val="00154B41"/>
    <w:rsid w:val="00155B98"/>
    <w:rsid w:val="0015701E"/>
    <w:rsid w:val="00162708"/>
    <w:rsid w:val="001631A3"/>
    <w:rsid w:val="001631B0"/>
    <w:rsid w:val="00163E53"/>
    <w:rsid w:val="00164E61"/>
    <w:rsid w:val="00165A49"/>
    <w:rsid w:val="00170BD4"/>
    <w:rsid w:val="00171349"/>
    <w:rsid w:val="00173046"/>
    <w:rsid w:val="001744B0"/>
    <w:rsid w:val="0017695D"/>
    <w:rsid w:val="00177450"/>
    <w:rsid w:val="001779A9"/>
    <w:rsid w:val="00181353"/>
    <w:rsid w:val="00183033"/>
    <w:rsid w:val="00183198"/>
    <w:rsid w:val="00183C27"/>
    <w:rsid w:val="001840B2"/>
    <w:rsid w:val="00186686"/>
    <w:rsid w:val="00186B5E"/>
    <w:rsid w:val="00187133"/>
    <w:rsid w:val="00187DD6"/>
    <w:rsid w:val="0019022A"/>
    <w:rsid w:val="00190615"/>
    <w:rsid w:val="00190ADC"/>
    <w:rsid w:val="001914C2"/>
    <w:rsid w:val="00192ABE"/>
    <w:rsid w:val="00193189"/>
    <w:rsid w:val="00196FAB"/>
    <w:rsid w:val="0019782E"/>
    <w:rsid w:val="001A018E"/>
    <w:rsid w:val="001A0F02"/>
    <w:rsid w:val="001A4FD4"/>
    <w:rsid w:val="001A5D1D"/>
    <w:rsid w:val="001A78A6"/>
    <w:rsid w:val="001A78FF"/>
    <w:rsid w:val="001B2D95"/>
    <w:rsid w:val="001B36A2"/>
    <w:rsid w:val="001B40FF"/>
    <w:rsid w:val="001B4475"/>
    <w:rsid w:val="001B4B74"/>
    <w:rsid w:val="001B57B6"/>
    <w:rsid w:val="001B793F"/>
    <w:rsid w:val="001B7DF3"/>
    <w:rsid w:val="001C0DF8"/>
    <w:rsid w:val="001C10A0"/>
    <w:rsid w:val="001C1FFA"/>
    <w:rsid w:val="001C2513"/>
    <w:rsid w:val="001C3154"/>
    <w:rsid w:val="001C566C"/>
    <w:rsid w:val="001C5D64"/>
    <w:rsid w:val="001C762F"/>
    <w:rsid w:val="001D0A7A"/>
    <w:rsid w:val="001D1551"/>
    <w:rsid w:val="001D20BA"/>
    <w:rsid w:val="001D2117"/>
    <w:rsid w:val="001D7036"/>
    <w:rsid w:val="001E0F8B"/>
    <w:rsid w:val="001E1FD1"/>
    <w:rsid w:val="001E21E5"/>
    <w:rsid w:val="001E2737"/>
    <w:rsid w:val="001E3129"/>
    <w:rsid w:val="001E3F73"/>
    <w:rsid w:val="001E440E"/>
    <w:rsid w:val="001E57E9"/>
    <w:rsid w:val="001E75C6"/>
    <w:rsid w:val="001F01A8"/>
    <w:rsid w:val="001F4AE1"/>
    <w:rsid w:val="001F5FDF"/>
    <w:rsid w:val="001F6B63"/>
    <w:rsid w:val="001F6FAC"/>
    <w:rsid w:val="001F76D8"/>
    <w:rsid w:val="00201F67"/>
    <w:rsid w:val="002020CE"/>
    <w:rsid w:val="002069BF"/>
    <w:rsid w:val="0020786F"/>
    <w:rsid w:val="00210439"/>
    <w:rsid w:val="00210819"/>
    <w:rsid w:val="00211E54"/>
    <w:rsid w:val="002122DC"/>
    <w:rsid w:val="00212E92"/>
    <w:rsid w:val="0021370E"/>
    <w:rsid w:val="002137F3"/>
    <w:rsid w:val="00214265"/>
    <w:rsid w:val="002147CD"/>
    <w:rsid w:val="00214E46"/>
    <w:rsid w:val="00216E34"/>
    <w:rsid w:val="002209E2"/>
    <w:rsid w:val="002237FC"/>
    <w:rsid w:val="0022507F"/>
    <w:rsid w:val="00225453"/>
    <w:rsid w:val="00225B56"/>
    <w:rsid w:val="00225FE2"/>
    <w:rsid w:val="00230CD3"/>
    <w:rsid w:val="00231990"/>
    <w:rsid w:val="00231A25"/>
    <w:rsid w:val="002322CD"/>
    <w:rsid w:val="00232BC4"/>
    <w:rsid w:val="00232EAE"/>
    <w:rsid w:val="00234064"/>
    <w:rsid w:val="002346A1"/>
    <w:rsid w:val="00234CED"/>
    <w:rsid w:val="00235081"/>
    <w:rsid w:val="002401CC"/>
    <w:rsid w:val="002402E3"/>
    <w:rsid w:val="00242A13"/>
    <w:rsid w:val="00242B51"/>
    <w:rsid w:val="00243343"/>
    <w:rsid w:val="002463A4"/>
    <w:rsid w:val="002474AD"/>
    <w:rsid w:val="002505AA"/>
    <w:rsid w:val="002513B5"/>
    <w:rsid w:val="00251DCE"/>
    <w:rsid w:val="0025215D"/>
    <w:rsid w:val="00252D1F"/>
    <w:rsid w:val="00252FCF"/>
    <w:rsid w:val="00253838"/>
    <w:rsid w:val="00254F21"/>
    <w:rsid w:val="0026002F"/>
    <w:rsid w:val="00262196"/>
    <w:rsid w:val="00262853"/>
    <w:rsid w:val="00264241"/>
    <w:rsid w:val="002651A5"/>
    <w:rsid w:val="002658C2"/>
    <w:rsid w:val="002658D1"/>
    <w:rsid w:val="002667AE"/>
    <w:rsid w:val="00267A07"/>
    <w:rsid w:val="00270D4D"/>
    <w:rsid w:val="00274B27"/>
    <w:rsid w:val="002752D2"/>
    <w:rsid w:val="00276CC8"/>
    <w:rsid w:val="002775F4"/>
    <w:rsid w:val="002779A1"/>
    <w:rsid w:val="00277F86"/>
    <w:rsid w:val="002806E1"/>
    <w:rsid w:val="00281D6A"/>
    <w:rsid w:val="00282077"/>
    <w:rsid w:val="00282C54"/>
    <w:rsid w:val="00284AA4"/>
    <w:rsid w:val="00285DC6"/>
    <w:rsid w:val="00285FB8"/>
    <w:rsid w:val="00286A76"/>
    <w:rsid w:val="00286F8B"/>
    <w:rsid w:val="0028766E"/>
    <w:rsid w:val="002904C5"/>
    <w:rsid w:val="00290D31"/>
    <w:rsid w:val="00292916"/>
    <w:rsid w:val="00292BE4"/>
    <w:rsid w:val="002A007B"/>
    <w:rsid w:val="002A017E"/>
    <w:rsid w:val="002A0205"/>
    <w:rsid w:val="002A0631"/>
    <w:rsid w:val="002A3738"/>
    <w:rsid w:val="002A46FF"/>
    <w:rsid w:val="002A701C"/>
    <w:rsid w:val="002A7546"/>
    <w:rsid w:val="002B0388"/>
    <w:rsid w:val="002B0669"/>
    <w:rsid w:val="002B0B9C"/>
    <w:rsid w:val="002B191E"/>
    <w:rsid w:val="002B2B9C"/>
    <w:rsid w:val="002B4158"/>
    <w:rsid w:val="002B4281"/>
    <w:rsid w:val="002B7233"/>
    <w:rsid w:val="002C045F"/>
    <w:rsid w:val="002C067F"/>
    <w:rsid w:val="002C1A82"/>
    <w:rsid w:val="002C313E"/>
    <w:rsid w:val="002C3CCA"/>
    <w:rsid w:val="002C4F5F"/>
    <w:rsid w:val="002C5391"/>
    <w:rsid w:val="002C68CD"/>
    <w:rsid w:val="002C72BF"/>
    <w:rsid w:val="002D040D"/>
    <w:rsid w:val="002D064B"/>
    <w:rsid w:val="002D12FD"/>
    <w:rsid w:val="002D1C12"/>
    <w:rsid w:val="002D2633"/>
    <w:rsid w:val="002D464F"/>
    <w:rsid w:val="002D50B3"/>
    <w:rsid w:val="002D76BE"/>
    <w:rsid w:val="002D7D37"/>
    <w:rsid w:val="002E0C19"/>
    <w:rsid w:val="002E2CF6"/>
    <w:rsid w:val="002E477E"/>
    <w:rsid w:val="002E7799"/>
    <w:rsid w:val="002E78E6"/>
    <w:rsid w:val="002F11F7"/>
    <w:rsid w:val="002F1828"/>
    <w:rsid w:val="002F3275"/>
    <w:rsid w:val="002F456C"/>
    <w:rsid w:val="002F4B17"/>
    <w:rsid w:val="002F739A"/>
    <w:rsid w:val="002F7A3E"/>
    <w:rsid w:val="00300461"/>
    <w:rsid w:val="00301C22"/>
    <w:rsid w:val="00303986"/>
    <w:rsid w:val="00303E46"/>
    <w:rsid w:val="00303F2A"/>
    <w:rsid w:val="0030475C"/>
    <w:rsid w:val="003055E5"/>
    <w:rsid w:val="00305844"/>
    <w:rsid w:val="003058D8"/>
    <w:rsid w:val="00310F04"/>
    <w:rsid w:val="00311EF1"/>
    <w:rsid w:val="00312035"/>
    <w:rsid w:val="003123E4"/>
    <w:rsid w:val="00312FCB"/>
    <w:rsid w:val="003131B3"/>
    <w:rsid w:val="003142D7"/>
    <w:rsid w:val="00314D1A"/>
    <w:rsid w:val="00315333"/>
    <w:rsid w:val="00320335"/>
    <w:rsid w:val="00320996"/>
    <w:rsid w:val="00321A9A"/>
    <w:rsid w:val="00322A9E"/>
    <w:rsid w:val="0032452F"/>
    <w:rsid w:val="00324D06"/>
    <w:rsid w:val="00324D4D"/>
    <w:rsid w:val="00324F84"/>
    <w:rsid w:val="00327754"/>
    <w:rsid w:val="00331807"/>
    <w:rsid w:val="00333467"/>
    <w:rsid w:val="00335E90"/>
    <w:rsid w:val="003364B7"/>
    <w:rsid w:val="00341F55"/>
    <w:rsid w:val="003431F6"/>
    <w:rsid w:val="0034395E"/>
    <w:rsid w:val="003439F5"/>
    <w:rsid w:val="003460A2"/>
    <w:rsid w:val="00346796"/>
    <w:rsid w:val="003520B1"/>
    <w:rsid w:val="00352352"/>
    <w:rsid w:val="0035250C"/>
    <w:rsid w:val="003526D4"/>
    <w:rsid w:val="003532A4"/>
    <w:rsid w:val="003555CF"/>
    <w:rsid w:val="003562D7"/>
    <w:rsid w:val="00357258"/>
    <w:rsid w:val="0035771F"/>
    <w:rsid w:val="0035794F"/>
    <w:rsid w:val="00360C92"/>
    <w:rsid w:val="00361EFB"/>
    <w:rsid w:val="00363261"/>
    <w:rsid w:val="0036402B"/>
    <w:rsid w:val="003654B9"/>
    <w:rsid w:val="00365922"/>
    <w:rsid w:val="00370AC8"/>
    <w:rsid w:val="003718B0"/>
    <w:rsid w:val="00371A0C"/>
    <w:rsid w:val="00373FF4"/>
    <w:rsid w:val="00374CC9"/>
    <w:rsid w:val="00377213"/>
    <w:rsid w:val="0037738C"/>
    <w:rsid w:val="003776B1"/>
    <w:rsid w:val="0038028F"/>
    <w:rsid w:val="0038130D"/>
    <w:rsid w:val="00381414"/>
    <w:rsid w:val="003819BB"/>
    <w:rsid w:val="00382442"/>
    <w:rsid w:val="003827F8"/>
    <w:rsid w:val="00383B09"/>
    <w:rsid w:val="0038483A"/>
    <w:rsid w:val="003854AE"/>
    <w:rsid w:val="00385C82"/>
    <w:rsid w:val="0038629C"/>
    <w:rsid w:val="00387FAC"/>
    <w:rsid w:val="00391572"/>
    <w:rsid w:val="00391D1D"/>
    <w:rsid w:val="00392C91"/>
    <w:rsid w:val="00392CE8"/>
    <w:rsid w:val="00393899"/>
    <w:rsid w:val="00394076"/>
    <w:rsid w:val="003952FA"/>
    <w:rsid w:val="003961F0"/>
    <w:rsid w:val="0039686F"/>
    <w:rsid w:val="003974D7"/>
    <w:rsid w:val="00397983"/>
    <w:rsid w:val="003A0A37"/>
    <w:rsid w:val="003A1108"/>
    <w:rsid w:val="003A1554"/>
    <w:rsid w:val="003A1F14"/>
    <w:rsid w:val="003A5518"/>
    <w:rsid w:val="003A563C"/>
    <w:rsid w:val="003A5A0E"/>
    <w:rsid w:val="003A5B3D"/>
    <w:rsid w:val="003A5BEB"/>
    <w:rsid w:val="003B1871"/>
    <w:rsid w:val="003B28E5"/>
    <w:rsid w:val="003B348F"/>
    <w:rsid w:val="003B3F75"/>
    <w:rsid w:val="003B612E"/>
    <w:rsid w:val="003B65EB"/>
    <w:rsid w:val="003B689E"/>
    <w:rsid w:val="003B7281"/>
    <w:rsid w:val="003B7F25"/>
    <w:rsid w:val="003C10FB"/>
    <w:rsid w:val="003C12A3"/>
    <w:rsid w:val="003C1367"/>
    <w:rsid w:val="003C1E2B"/>
    <w:rsid w:val="003C253F"/>
    <w:rsid w:val="003C387C"/>
    <w:rsid w:val="003C3C51"/>
    <w:rsid w:val="003C46CE"/>
    <w:rsid w:val="003C47E1"/>
    <w:rsid w:val="003C4819"/>
    <w:rsid w:val="003C493F"/>
    <w:rsid w:val="003C4C34"/>
    <w:rsid w:val="003C5947"/>
    <w:rsid w:val="003C5E25"/>
    <w:rsid w:val="003D0E6F"/>
    <w:rsid w:val="003D162E"/>
    <w:rsid w:val="003D2BBC"/>
    <w:rsid w:val="003D336E"/>
    <w:rsid w:val="003D5654"/>
    <w:rsid w:val="003D6599"/>
    <w:rsid w:val="003D7111"/>
    <w:rsid w:val="003E2BBD"/>
    <w:rsid w:val="003E3D0F"/>
    <w:rsid w:val="003E6F2A"/>
    <w:rsid w:val="003E7046"/>
    <w:rsid w:val="003F043A"/>
    <w:rsid w:val="003F0992"/>
    <w:rsid w:val="003F1C74"/>
    <w:rsid w:val="003F3774"/>
    <w:rsid w:val="003F3B3F"/>
    <w:rsid w:val="003F5F51"/>
    <w:rsid w:val="003F62D2"/>
    <w:rsid w:val="003F663A"/>
    <w:rsid w:val="003F78C9"/>
    <w:rsid w:val="004018DF"/>
    <w:rsid w:val="00402AF9"/>
    <w:rsid w:val="004038E8"/>
    <w:rsid w:val="00406F43"/>
    <w:rsid w:val="00407334"/>
    <w:rsid w:val="00410940"/>
    <w:rsid w:val="00411849"/>
    <w:rsid w:val="0041214B"/>
    <w:rsid w:val="0041249D"/>
    <w:rsid w:val="00414A40"/>
    <w:rsid w:val="004155B8"/>
    <w:rsid w:val="0041594F"/>
    <w:rsid w:val="004172B4"/>
    <w:rsid w:val="00417AA5"/>
    <w:rsid w:val="00421597"/>
    <w:rsid w:val="00421714"/>
    <w:rsid w:val="0042482C"/>
    <w:rsid w:val="004264DE"/>
    <w:rsid w:val="0042664C"/>
    <w:rsid w:val="0042781F"/>
    <w:rsid w:val="00427921"/>
    <w:rsid w:val="00431C44"/>
    <w:rsid w:val="00432463"/>
    <w:rsid w:val="004329B9"/>
    <w:rsid w:val="00433E03"/>
    <w:rsid w:val="00434AF8"/>
    <w:rsid w:val="00435A89"/>
    <w:rsid w:val="00436B00"/>
    <w:rsid w:val="004410CF"/>
    <w:rsid w:val="00445F70"/>
    <w:rsid w:val="004469DA"/>
    <w:rsid w:val="0044700A"/>
    <w:rsid w:val="00447A31"/>
    <w:rsid w:val="00450E03"/>
    <w:rsid w:val="004528E3"/>
    <w:rsid w:val="00452E93"/>
    <w:rsid w:val="00454623"/>
    <w:rsid w:val="00454942"/>
    <w:rsid w:val="004549B4"/>
    <w:rsid w:val="004610CF"/>
    <w:rsid w:val="0046415E"/>
    <w:rsid w:val="0046472E"/>
    <w:rsid w:val="00465282"/>
    <w:rsid w:val="004676C4"/>
    <w:rsid w:val="0046790A"/>
    <w:rsid w:val="00470B16"/>
    <w:rsid w:val="00470C46"/>
    <w:rsid w:val="0047105A"/>
    <w:rsid w:val="004711B3"/>
    <w:rsid w:val="00472FCA"/>
    <w:rsid w:val="00473F1A"/>
    <w:rsid w:val="00474164"/>
    <w:rsid w:val="00474DAD"/>
    <w:rsid w:val="00475731"/>
    <w:rsid w:val="00475D82"/>
    <w:rsid w:val="0047673D"/>
    <w:rsid w:val="004803F3"/>
    <w:rsid w:val="00480994"/>
    <w:rsid w:val="00480E85"/>
    <w:rsid w:val="004810EB"/>
    <w:rsid w:val="0048143E"/>
    <w:rsid w:val="00482234"/>
    <w:rsid w:val="004835C0"/>
    <w:rsid w:val="004838FB"/>
    <w:rsid w:val="0048441A"/>
    <w:rsid w:val="00484C17"/>
    <w:rsid w:val="0048564C"/>
    <w:rsid w:val="00485EAD"/>
    <w:rsid w:val="00486C5F"/>
    <w:rsid w:val="0048790B"/>
    <w:rsid w:val="004906DC"/>
    <w:rsid w:val="00491962"/>
    <w:rsid w:val="0049246F"/>
    <w:rsid w:val="00492CB1"/>
    <w:rsid w:val="00495AC4"/>
    <w:rsid w:val="004961E4"/>
    <w:rsid w:val="00496D99"/>
    <w:rsid w:val="00497FFD"/>
    <w:rsid w:val="004A0A49"/>
    <w:rsid w:val="004A123E"/>
    <w:rsid w:val="004A13A7"/>
    <w:rsid w:val="004A1422"/>
    <w:rsid w:val="004A178B"/>
    <w:rsid w:val="004A2527"/>
    <w:rsid w:val="004A34CA"/>
    <w:rsid w:val="004A3FF7"/>
    <w:rsid w:val="004A40AD"/>
    <w:rsid w:val="004A5C27"/>
    <w:rsid w:val="004A6F36"/>
    <w:rsid w:val="004A7F10"/>
    <w:rsid w:val="004B0CEF"/>
    <w:rsid w:val="004B0D23"/>
    <w:rsid w:val="004B2946"/>
    <w:rsid w:val="004B4AA0"/>
    <w:rsid w:val="004B6347"/>
    <w:rsid w:val="004B6F22"/>
    <w:rsid w:val="004B7463"/>
    <w:rsid w:val="004C0093"/>
    <w:rsid w:val="004C0AB0"/>
    <w:rsid w:val="004C0B42"/>
    <w:rsid w:val="004C100D"/>
    <w:rsid w:val="004C1F10"/>
    <w:rsid w:val="004C2122"/>
    <w:rsid w:val="004C3EDB"/>
    <w:rsid w:val="004C441D"/>
    <w:rsid w:val="004C5CBB"/>
    <w:rsid w:val="004D29FB"/>
    <w:rsid w:val="004D3002"/>
    <w:rsid w:val="004D38FA"/>
    <w:rsid w:val="004D408C"/>
    <w:rsid w:val="004D476B"/>
    <w:rsid w:val="004D4C97"/>
    <w:rsid w:val="004D5F3C"/>
    <w:rsid w:val="004D64F0"/>
    <w:rsid w:val="004D6D94"/>
    <w:rsid w:val="004D7BE4"/>
    <w:rsid w:val="004E2248"/>
    <w:rsid w:val="004E247E"/>
    <w:rsid w:val="004E3DB0"/>
    <w:rsid w:val="004E59C2"/>
    <w:rsid w:val="004E5C41"/>
    <w:rsid w:val="004E5D18"/>
    <w:rsid w:val="004E631E"/>
    <w:rsid w:val="004E663E"/>
    <w:rsid w:val="004E7417"/>
    <w:rsid w:val="004E74B9"/>
    <w:rsid w:val="004F12ED"/>
    <w:rsid w:val="004F25D6"/>
    <w:rsid w:val="004F320A"/>
    <w:rsid w:val="004F333E"/>
    <w:rsid w:val="004F5541"/>
    <w:rsid w:val="004F5AA7"/>
    <w:rsid w:val="004F5B63"/>
    <w:rsid w:val="004F6810"/>
    <w:rsid w:val="004F7B79"/>
    <w:rsid w:val="00500414"/>
    <w:rsid w:val="00500440"/>
    <w:rsid w:val="00500E6D"/>
    <w:rsid w:val="0050112B"/>
    <w:rsid w:val="00501A8F"/>
    <w:rsid w:val="00502D96"/>
    <w:rsid w:val="005030D2"/>
    <w:rsid w:val="00503ABC"/>
    <w:rsid w:val="00503DA6"/>
    <w:rsid w:val="0050412C"/>
    <w:rsid w:val="005054A3"/>
    <w:rsid w:val="00506433"/>
    <w:rsid w:val="00506642"/>
    <w:rsid w:val="00507030"/>
    <w:rsid w:val="00507D43"/>
    <w:rsid w:val="005107C0"/>
    <w:rsid w:val="005145EC"/>
    <w:rsid w:val="0051477C"/>
    <w:rsid w:val="0051544B"/>
    <w:rsid w:val="00515772"/>
    <w:rsid w:val="00516279"/>
    <w:rsid w:val="00517E27"/>
    <w:rsid w:val="0052022E"/>
    <w:rsid w:val="0052079D"/>
    <w:rsid w:val="005223BB"/>
    <w:rsid w:val="0052405E"/>
    <w:rsid w:val="00525CBA"/>
    <w:rsid w:val="005309E0"/>
    <w:rsid w:val="00532462"/>
    <w:rsid w:val="00532745"/>
    <w:rsid w:val="00533266"/>
    <w:rsid w:val="00534124"/>
    <w:rsid w:val="00536E7C"/>
    <w:rsid w:val="00543077"/>
    <w:rsid w:val="00544156"/>
    <w:rsid w:val="005457B8"/>
    <w:rsid w:val="00550EC2"/>
    <w:rsid w:val="005525D0"/>
    <w:rsid w:val="00552B84"/>
    <w:rsid w:val="0055346F"/>
    <w:rsid w:val="00556224"/>
    <w:rsid w:val="00557222"/>
    <w:rsid w:val="00560DD1"/>
    <w:rsid w:val="00561C1C"/>
    <w:rsid w:val="00561E73"/>
    <w:rsid w:val="00564545"/>
    <w:rsid w:val="00564658"/>
    <w:rsid w:val="00564818"/>
    <w:rsid w:val="00564BA7"/>
    <w:rsid w:val="00564D85"/>
    <w:rsid w:val="00565EC5"/>
    <w:rsid w:val="00566A41"/>
    <w:rsid w:val="0057144E"/>
    <w:rsid w:val="00571E32"/>
    <w:rsid w:val="00572E03"/>
    <w:rsid w:val="005740C4"/>
    <w:rsid w:val="0057566D"/>
    <w:rsid w:val="00581AF6"/>
    <w:rsid w:val="00582414"/>
    <w:rsid w:val="00582C01"/>
    <w:rsid w:val="00587A6E"/>
    <w:rsid w:val="00592106"/>
    <w:rsid w:val="0059341E"/>
    <w:rsid w:val="0059362C"/>
    <w:rsid w:val="00593F6A"/>
    <w:rsid w:val="00594614"/>
    <w:rsid w:val="00594AC1"/>
    <w:rsid w:val="005965E9"/>
    <w:rsid w:val="005966D0"/>
    <w:rsid w:val="0059687E"/>
    <w:rsid w:val="0059708E"/>
    <w:rsid w:val="00597FC5"/>
    <w:rsid w:val="005A0560"/>
    <w:rsid w:val="005A1082"/>
    <w:rsid w:val="005A1AFD"/>
    <w:rsid w:val="005A2372"/>
    <w:rsid w:val="005A3995"/>
    <w:rsid w:val="005A505C"/>
    <w:rsid w:val="005A5B39"/>
    <w:rsid w:val="005A5D47"/>
    <w:rsid w:val="005B0899"/>
    <w:rsid w:val="005B141A"/>
    <w:rsid w:val="005B27C9"/>
    <w:rsid w:val="005B2B4C"/>
    <w:rsid w:val="005B773B"/>
    <w:rsid w:val="005B78C0"/>
    <w:rsid w:val="005B7D30"/>
    <w:rsid w:val="005C0AC4"/>
    <w:rsid w:val="005C15AA"/>
    <w:rsid w:val="005C34F2"/>
    <w:rsid w:val="005C3FCD"/>
    <w:rsid w:val="005C4FA8"/>
    <w:rsid w:val="005C56BC"/>
    <w:rsid w:val="005C602B"/>
    <w:rsid w:val="005C61D9"/>
    <w:rsid w:val="005C6E43"/>
    <w:rsid w:val="005C7F07"/>
    <w:rsid w:val="005D0A21"/>
    <w:rsid w:val="005D191A"/>
    <w:rsid w:val="005D259A"/>
    <w:rsid w:val="005D4879"/>
    <w:rsid w:val="005D6508"/>
    <w:rsid w:val="005E127D"/>
    <w:rsid w:val="005E1B1D"/>
    <w:rsid w:val="005E36B8"/>
    <w:rsid w:val="005E47DA"/>
    <w:rsid w:val="005E6E40"/>
    <w:rsid w:val="005E7624"/>
    <w:rsid w:val="005F034A"/>
    <w:rsid w:val="005F1C8A"/>
    <w:rsid w:val="005F52D1"/>
    <w:rsid w:val="005F55A1"/>
    <w:rsid w:val="005F60F8"/>
    <w:rsid w:val="005F6491"/>
    <w:rsid w:val="005F727E"/>
    <w:rsid w:val="005F7F6B"/>
    <w:rsid w:val="006025BA"/>
    <w:rsid w:val="006030C0"/>
    <w:rsid w:val="006037F7"/>
    <w:rsid w:val="00603826"/>
    <w:rsid w:val="006043A3"/>
    <w:rsid w:val="00604A5A"/>
    <w:rsid w:val="00605266"/>
    <w:rsid w:val="0060559A"/>
    <w:rsid w:val="006057B5"/>
    <w:rsid w:val="00606720"/>
    <w:rsid w:val="00606A4B"/>
    <w:rsid w:val="00607919"/>
    <w:rsid w:val="00607EF6"/>
    <w:rsid w:val="0061232A"/>
    <w:rsid w:val="00612F5F"/>
    <w:rsid w:val="00613843"/>
    <w:rsid w:val="00614043"/>
    <w:rsid w:val="006142EC"/>
    <w:rsid w:val="0061476B"/>
    <w:rsid w:val="006156EB"/>
    <w:rsid w:val="00616663"/>
    <w:rsid w:val="0061680B"/>
    <w:rsid w:val="006168E4"/>
    <w:rsid w:val="00617CE1"/>
    <w:rsid w:val="00621859"/>
    <w:rsid w:val="00621FB3"/>
    <w:rsid w:val="00622624"/>
    <w:rsid w:val="00622F5F"/>
    <w:rsid w:val="0062576A"/>
    <w:rsid w:val="00627489"/>
    <w:rsid w:val="006275E1"/>
    <w:rsid w:val="00631679"/>
    <w:rsid w:val="006318AA"/>
    <w:rsid w:val="00633D90"/>
    <w:rsid w:val="00635293"/>
    <w:rsid w:val="006427D9"/>
    <w:rsid w:val="006427E4"/>
    <w:rsid w:val="00642E99"/>
    <w:rsid w:val="0064336D"/>
    <w:rsid w:val="0064407A"/>
    <w:rsid w:val="00645599"/>
    <w:rsid w:val="006465CF"/>
    <w:rsid w:val="00647F6D"/>
    <w:rsid w:val="00647FA1"/>
    <w:rsid w:val="00650302"/>
    <w:rsid w:val="00650907"/>
    <w:rsid w:val="00651291"/>
    <w:rsid w:val="00653403"/>
    <w:rsid w:val="0065422A"/>
    <w:rsid w:val="006545A1"/>
    <w:rsid w:val="0065593D"/>
    <w:rsid w:val="0065605D"/>
    <w:rsid w:val="0065741F"/>
    <w:rsid w:val="00661118"/>
    <w:rsid w:val="00661278"/>
    <w:rsid w:val="00662484"/>
    <w:rsid w:val="0066370C"/>
    <w:rsid w:val="00664102"/>
    <w:rsid w:val="00665859"/>
    <w:rsid w:val="00665D1F"/>
    <w:rsid w:val="00666413"/>
    <w:rsid w:val="00666D79"/>
    <w:rsid w:val="0067099B"/>
    <w:rsid w:val="00671362"/>
    <w:rsid w:val="00672948"/>
    <w:rsid w:val="00675410"/>
    <w:rsid w:val="006775F4"/>
    <w:rsid w:val="00677D84"/>
    <w:rsid w:val="00680539"/>
    <w:rsid w:val="00681971"/>
    <w:rsid w:val="00682008"/>
    <w:rsid w:val="0068380F"/>
    <w:rsid w:val="006838DF"/>
    <w:rsid w:val="00683A2F"/>
    <w:rsid w:val="006862A3"/>
    <w:rsid w:val="00687BFC"/>
    <w:rsid w:val="00690F1A"/>
    <w:rsid w:val="00693CDA"/>
    <w:rsid w:val="0069447E"/>
    <w:rsid w:val="00694B1E"/>
    <w:rsid w:val="00694D02"/>
    <w:rsid w:val="00694E91"/>
    <w:rsid w:val="0069658B"/>
    <w:rsid w:val="0069761A"/>
    <w:rsid w:val="006A0610"/>
    <w:rsid w:val="006A0624"/>
    <w:rsid w:val="006A0A8F"/>
    <w:rsid w:val="006A12E9"/>
    <w:rsid w:val="006A147D"/>
    <w:rsid w:val="006A1487"/>
    <w:rsid w:val="006A5856"/>
    <w:rsid w:val="006A722A"/>
    <w:rsid w:val="006A7A73"/>
    <w:rsid w:val="006A7C97"/>
    <w:rsid w:val="006A7F20"/>
    <w:rsid w:val="006B01E0"/>
    <w:rsid w:val="006B08E5"/>
    <w:rsid w:val="006B16D6"/>
    <w:rsid w:val="006B16DB"/>
    <w:rsid w:val="006B1C62"/>
    <w:rsid w:val="006B35E0"/>
    <w:rsid w:val="006B367C"/>
    <w:rsid w:val="006B62BF"/>
    <w:rsid w:val="006B646E"/>
    <w:rsid w:val="006B6B2D"/>
    <w:rsid w:val="006C04D0"/>
    <w:rsid w:val="006C2435"/>
    <w:rsid w:val="006C705B"/>
    <w:rsid w:val="006D0670"/>
    <w:rsid w:val="006D161F"/>
    <w:rsid w:val="006D2487"/>
    <w:rsid w:val="006D2C2F"/>
    <w:rsid w:val="006D4F4C"/>
    <w:rsid w:val="006D5363"/>
    <w:rsid w:val="006D6B37"/>
    <w:rsid w:val="006D6B38"/>
    <w:rsid w:val="006E00C9"/>
    <w:rsid w:val="006E2132"/>
    <w:rsid w:val="006E3805"/>
    <w:rsid w:val="006F0A4E"/>
    <w:rsid w:val="006F0BB6"/>
    <w:rsid w:val="006F194B"/>
    <w:rsid w:val="006F23DC"/>
    <w:rsid w:val="006F4796"/>
    <w:rsid w:val="006F4E2D"/>
    <w:rsid w:val="007001FE"/>
    <w:rsid w:val="00700D13"/>
    <w:rsid w:val="007011D0"/>
    <w:rsid w:val="007012D2"/>
    <w:rsid w:val="007016DF"/>
    <w:rsid w:val="00703182"/>
    <w:rsid w:val="00703604"/>
    <w:rsid w:val="007036F0"/>
    <w:rsid w:val="00704307"/>
    <w:rsid w:val="00705686"/>
    <w:rsid w:val="007103B7"/>
    <w:rsid w:val="007116D8"/>
    <w:rsid w:val="00711FC2"/>
    <w:rsid w:val="0071213B"/>
    <w:rsid w:val="0071315F"/>
    <w:rsid w:val="007151F0"/>
    <w:rsid w:val="00716AFE"/>
    <w:rsid w:val="00716C41"/>
    <w:rsid w:val="00717144"/>
    <w:rsid w:val="00720507"/>
    <w:rsid w:val="007208FA"/>
    <w:rsid w:val="007223CA"/>
    <w:rsid w:val="00722974"/>
    <w:rsid w:val="0072418F"/>
    <w:rsid w:val="00725315"/>
    <w:rsid w:val="00725DFA"/>
    <w:rsid w:val="00726468"/>
    <w:rsid w:val="00732967"/>
    <w:rsid w:val="00733E01"/>
    <w:rsid w:val="00734D24"/>
    <w:rsid w:val="007352C7"/>
    <w:rsid w:val="00735AA1"/>
    <w:rsid w:val="00735B4A"/>
    <w:rsid w:val="00736E58"/>
    <w:rsid w:val="007379F9"/>
    <w:rsid w:val="00741730"/>
    <w:rsid w:val="00741EC2"/>
    <w:rsid w:val="0074228B"/>
    <w:rsid w:val="00742F2D"/>
    <w:rsid w:val="00742FC6"/>
    <w:rsid w:val="007430B5"/>
    <w:rsid w:val="00744DE7"/>
    <w:rsid w:val="00744F86"/>
    <w:rsid w:val="00745B83"/>
    <w:rsid w:val="00746A14"/>
    <w:rsid w:val="00746C22"/>
    <w:rsid w:val="00747030"/>
    <w:rsid w:val="007470F5"/>
    <w:rsid w:val="007476B5"/>
    <w:rsid w:val="00747A82"/>
    <w:rsid w:val="007509EF"/>
    <w:rsid w:val="007512D2"/>
    <w:rsid w:val="0075227D"/>
    <w:rsid w:val="00753A7D"/>
    <w:rsid w:val="007549AB"/>
    <w:rsid w:val="00754BF6"/>
    <w:rsid w:val="007578DD"/>
    <w:rsid w:val="00760673"/>
    <w:rsid w:val="00760913"/>
    <w:rsid w:val="00763DD0"/>
    <w:rsid w:val="007662C5"/>
    <w:rsid w:val="0076700B"/>
    <w:rsid w:val="007672BA"/>
    <w:rsid w:val="0076798F"/>
    <w:rsid w:val="00770496"/>
    <w:rsid w:val="007715C6"/>
    <w:rsid w:val="00773659"/>
    <w:rsid w:val="0077390F"/>
    <w:rsid w:val="00774334"/>
    <w:rsid w:val="007745C7"/>
    <w:rsid w:val="00776A72"/>
    <w:rsid w:val="00780303"/>
    <w:rsid w:val="00781ABC"/>
    <w:rsid w:val="007826D9"/>
    <w:rsid w:val="00782B96"/>
    <w:rsid w:val="00782D74"/>
    <w:rsid w:val="007835C8"/>
    <w:rsid w:val="00783995"/>
    <w:rsid w:val="007845D2"/>
    <w:rsid w:val="00784E5D"/>
    <w:rsid w:val="00784E87"/>
    <w:rsid w:val="007863F2"/>
    <w:rsid w:val="00790726"/>
    <w:rsid w:val="00790C18"/>
    <w:rsid w:val="007918C7"/>
    <w:rsid w:val="00791D2D"/>
    <w:rsid w:val="00792409"/>
    <w:rsid w:val="00792CCD"/>
    <w:rsid w:val="00793B56"/>
    <w:rsid w:val="00795945"/>
    <w:rsid w:val="007A0AF1"/>
    <w:rsid w:val="007A1E01"/>
    <w:rsid w:val="007A296C"/>
    <w:rsid w:val="007A4540"/>
    <w:rsid w:val="007A5CF2"/>
    <w:rsid w:val="007A684F"/>
    <w:rsid w:val="007A73A7"/>
    <w:rsid w:val="007B048C"/>
    <w:rsid w:val="007B0660"/>
    <w:rsid w:val="007B2887"/>
    <w:rsid w:val="007B3742"/>
    <w:rsid w:val="007B51C5"/>
    <w:rsid w:val="007B67C1"/>
    <w:rsid w:val="007C2039"/>
    <w:rsid w:val="007C2D2B"/>
    <w:rsid w:val="007C2DF6"/>
    <w:rsid w:val="007C2DF7"/>
    <w:rsid w:val="007C3F93"/>
    <w:rsid w:val="007C62B3"/>
    <w:rsid w:val="007C6D65"/>
    <w:rsid w:val="007D0319"/>
    <w:rsid w:val="007D1A6B"/>
    <w:rsid w:val="007D1B3F"/>
    <w:rsid w:val="007D2A70"/>
    <w:rsid w:val="007D41F0"/>
    <w:rsid w:val="007D4E4B"/>
    <w:rsid w:val="007D58E7"/>
    <w:rsid w:val="007D60A4"/>
    <w:rsid w:val="007D64AF"/>
    <w:rsid w:val="007D65F3"/>
    <w:rsid w:val="007D68FD"/>
    <w:rsid w:val="007E16D3"/>
    <w:rsid w:val="007E3001"/>
    <w:rsid w:val="007E44E4"/>
    <w:rsid w:val="007E5619"/>
    <w:rsid w:val="007E58BF"/>
    <w:rsid w:val="007E6214"/>
    <w:rsid w:val="007E6456"/>
    <w:rsid w:val="007E6B76"/>
    <w:rsid w:val="007E7EF0"/>
    <w:rsid w:val="007F045F"/>
    <w:rsid w:val="007F120D"/>
    <w:rsid w:val="007F14FF"/>
    <w:rsid w:val="007F1D66"/>
    <w:rsid w:val="007F2BBD"/>
    <w:rsid w:val="007F5C2C"/>
    <w:rsid w:val="00800038"/>
    <w:rsid w:val="00800726"/>
    <w:rsid w:val="008014EA"/>
    <w:rsid w:val="008022BA"/>
    <w:rsid w:val="0080401A"/>
    <w:rsid w:val="008044BA"/>
    <w:rsid w:val="00804E37"/>
    <w:rsid w:val="00806B95"/>
    <w:rsid w:val="008074A9"/>
    <w:rsid w:val="00807B9D"/>
    <w:rsid w:val="00810B26"/>
    <w:rsid w:val="00811205"/>
    <w:rsid w:val="00812FA0"/>
    <w:rsid w:val="0081414F"/>
    <w:rsid w:val="0081434E"/>
    <w:rsid w:val="00814821"/>
    <w:rsid w:val="00816627"/>
    <w:rsid w:val="0081668C"/>
    <w:rsid w:val="00816857"/>
    <w:rsid w:val="0081755E"/>
    <w:rsid w:val="008203CC"/>
    <w:rsid w:val="00822C06"/>
    <w:rsid w:val="008236DB"/>
    <w:rsid w:val="00823B5D"/>
    <w:rsid w:val="008241E1"/>
    <w:rsid w:val="00824AAC"/>
    <w:rsid w:val="00825BDA"/>
    <w:rsid w:val="008273D6"/>
    <w:rsid w:val="00827969"/>
    <w:rsid w:val="00833A77"/>
    <w:rsid w:val="00834638"/>
    <w:rsid w:val="00837FCD"/>
    <w:rsid w:val="0084359C"/>
    <w:rsid w:val="0084433C"/>
    <w:rsid w:val="0084451C"/>
    <w:rsid w:val="0084543A"/>
    <w:rsid w:val="00845CF6"/>
    <w:rsid w:val="00847A11"/>
    <w:rsid w:val="00847B24"/>
    <w:rsid w:val="00851B44"/>
    <w:rsid w:val="00852F1F"/>
    <w:rsid w:val="00853FAA"/>
    <w:rsid w:val="00856B50"/>
    <w:rsid w:val="00857A16"/>
    <w:rsid w:val="00857C61"/>
    <w:rsid w:val="00860D22"/>
    <w:rsid w:val="00864A0D"/>
    <w:rsid w:val="008650EA"/>
    <w:rsid w:val="00866104"/>
    <w:rsid w:val="008667DE"/>
    <w:rsid w:val="00867474"/>
    <w:rsid w:val="008704F2"/>
    <w:rsid w:val="00870BA7"/>
    <w:rsid w:val="00871644"/>
    <w:rsid w:val="0087168D"/>
    <w:rsid w:val="008717D1"/>
    <w:rsid w:val="00871F6C"/>
    <w:rsid w:val="00872FA0"/>
    <w:rsid w:val="0087335E"/>
    <w:rsid w:val="0087382D"/>
    <w:rsid w:val="0087496B"/>
    <w:rsid w:val="00876AD0"/>
    <w:rsid w:val="00880C2E"/>
    <w:rsid w:val="00882209"/>
    <w:rsid w:val="00883BDE"/>
    <w:rsid w:val="00884A11"/>
    <w:rsid w:val="00884C5A"/>
    <w:rsid w:val="0088528E"/>
    <w:rsid w:val="0088563B"/>
    <w:rsid w:val="00885CA3"/>
    <w:rsid w:val="00886320"/>
    <w:rsid w:val="00886A30"/>
    <w:rsid w:val="0088785C"/>
    <w:rsid w:val="008902F4"/>
    <w:rsid w:val="008907B8"/>
    <w:rsid w:val="00890C83"/>
    <w:rsid w:val="00890D6A"/>
    <w:rsid w:val="00895E26"/>
    <w:rsid w:val="008968E4"/>
    <w:rsid w:val="008A0479"/>
    <w:rsid w:val="008A10B5"/>
    <w:rsid w:val="008A14DE"/>
    <w:rsid w:val="008A402F"/>
    <w:rsid w:val="008A5DA2"/>
    <w:rsid w:val="008A66E0"/>
    <w:rsid w:val="008A6D62"/>
    <w:rsid w:val="008B0D08"/>
    <w:rsid w:val="008B0F2F"/>
    <w:rsid w:val="008B1C50"/>
    <w:rsid w:val="008B2CE7"/>
    <w:rsid w:val="008B3BCB"/>
    <w:rsid w:val="008B3E2E"/>
    <w:rsid w:val="008B4640"/>
    <w:rsid w:val="008B5538"/>
    <w:rsid w:val="008C00E9"/>
    <w:rsid w:val="008C217A"/>
    <w:rsid w:val="008C461F"/>
    <w:rsid w:val="008C6AC6"/>
    <w:rsid w:val="008D10F1"/>
    <w:rsid w:val="008D1618"/>
    <w:rsid w:val="008D17B4"/>
    <w:rsid w:val="008D2B89"/>
    <w:rsid w:val="008D3DF9"/>
    <w:rsid w:val="008E0445"/>
    <w:rsid w:val="008E0715"/>
    <w:rsid w:val="008E1CDE"/>
    <w:rsid w:val="008E5D42"/>
    <w:rsid w:val="008E62EB"/>
    <w:rsid w:val="008E7299"/>
    <w:rsid w:val="008E7BAA"/>
    <w:rsid w:val="008F09B2"/>
    <w:rsid w:val="008F2201"/>
    <w:rsid w:val="008F2429"/>
    <w:rsid w:val="008F2907"/>
    <w:rsid w:val="008F3992"/>
    <w:rsid w:val="008F3CF3"/>
    <w:rsid w:val="008F41B8"/>
    <w:rsid w:val="008F41E3"/>
    <w:rsid w:val="008F4B9D"/>
    <w:rsid w:val="008F4DAA"/>
    <w:rsid w:val="008F50AE"/>
    <w:rsid w:val="008F5368"/>
    <w:rsid w:val="008F664A"/>
    <w:rsid w:val="008F6970"/>
    <w:rsid w:val="008F6B66"/>
    <w:rsid w:val="008F7EEB"/>
    <w:rsid w:val="00900704"/>
    <w:rsid w:val="009018B5"/>
    <w:rsid w:val="009019AD"/>
    <w:rsid w:val="00902FB2"/>
    <w:rsid w:val="00903841"/>
    <w:rsid w:val="00904C8A"/>
    <w:rsid w:val="009050C5"/>
    <w:rsid w:val="00912C1C"/>
    <w:rsid w:val="00915AEC"/>
    <w:rsid w:val="00920CE2"/>
    <w:rsid w:val="00920CE5"/>
    <w:rsid w:val="00920D34"/>
    <w:rsid w:val="00920F7C"/>
    <w:rsid w:val="00921239"/>
    <w:rsid w:val="009213BA"/>
    <w:rsid w:val="00922D56"/>
    <w:rsid w:val="0092352A"/>
    <w:rsid w:val="0092363C"/>
    <w:rsid w:val="00925746"/>
    <w:rsid w:val="00926CF2"/>
    <w:rsid w:val="00926DAB"/>
    <w:rsid w:val="009279BD"/>
    <w:rsid w:val="009310FD"/>
    <w:rsid w:val="0093184A"/>
    <w:rsid w:val="009345DE"/>
    <w:rsid w:val="0093558C"/>
    <w:rsid w:val="00936C98"/>
    <w:rsid w:val="00936EB3"/>
    <w:rsid w:val="00941A69"/>
    <w:rsid w:val="00941AE2"/>
    <w:rsid w:val="00942FE5"/>
    <w:rsid w:val="00943061"/>
    <w:rsid w:val="00943145"/>
    <w:rsid w:val="00945A4F"/>
    <w:rsid w:val="009465EF"/>
    <w:rsid w:val="0094710F"/>
    <w:rsid w:val="00951716"/>
    <w:rsid w:val="009517F7"/>
    <w:rsid w:val="00951D91"/>
    <w:rsid w:val="0095202E"/>
    <w:rsid w:val="00952FDE"/>
    <w:rsid w:val="00953E7C"/>
    <w:rsid w:val="0096042A"/>
    <w:rsid w:val="00960FF3"/>
    <w:rsid w:val="0096170A"/>
    <w:rsid w:val="009630DA"/>
    <w:rsid w:val="009637CC"/>
    <w:rsid w:val="0096404E"/>
    <w:rsid w:val="00965891"/>
    <w:rsid w:val="009701FA"/>
    <w:rsid w:val="00970E30"/>
    <w:rsid w:val="00971B9C"/>
    <w:rsid w:val="00972C13"/>
    <w:rsid w:val="00973069"/>
    <w:rsid w:val="00975253"/>
    <w:rsid w:val="0097561E"/>
    <w:rsid w:val="00980104"/>
    <w:rsid w:val="009828FB"/>
    <w:rsid w:val="00983012"/>
    <w:rsid w:val="00983E46"/>
    <w:rsid w:val="0098417B"/>
    <w:rsid w:val="00986E81"/>
    <w:rsid w:val="009870F2"/>
    <w:rsid w:val="0099097A"/>
    <w:rsid w:val="00991FEC"/>
    <w:rsid w:val="00995DD4"/>
    <w:rsid w:val="00996D93"/>
    <w:rsid w:val="009A04A7"/>
    <w:rsid w:val="009A1571"/>
    <w:rsid w:val="009A1D6E"/>
    <w:rsid w:val="009A478F"/>
    <w:rsid w:val="009A5860"/>
    <w:rsid w:val="009A5CA9"/>
    <w:rsid w:val="009A6EC8"/>
    <w:rsid w:val="009B00BE"/>
    <w:rsid w:val="009B0670"/>
    <w:rsid w:val="009B37E4"/>
    <w:rsid w:val="009B382E"/>
    <w:rsid w:val="009B4069"/>
    <w:rsid w:val="009B42CA"/>
    <w:rsid w:val="009B504C"/>
    <w:rsid w:val="009B6262"/>
    <w:rsid w:val="009B6EA9"/>
    <w:rsid w:val="009C044F"/>
    <w:rsid w:val="009C1589"/>
    <w:rsid w:val="009C2705"/>
    <w:rsid w:val="009C3044"/>
    <w:rsid w:val="009C4D36"/>
    <w:rsid w:val="009C604A"/>
    <w:rsid w:val="009C6EE6"/>
    <w:rsid w:val="009C75CA"/>
    <w:rsid w:val="009D0E2C"/>
    <w:rsid w:val="009D0F61"/>
    <w:rsid w:val="009D3419"/>
    <w:rsid w:val="009D3609"/>
    <w:rsid w:val="009D3BE2"/>
    <w:rsid w:val="009D54C3"/>
    <w:rsid w:val="009D5589"/>
    <w:rsid w:val="009D57AA"/>
    <w:rsid w:val="009D581B"/>
    <w:rsid w:val="009D7FEA"/>
    <w:rsid w:val="009E0A31"/>
    <w:rsid w:val="009E0E8B"/>
    <w:rsid w:val="009E0F2E"/>
    <w:rsid w:val="009E3B90"/>
    <w:rsid w:val="009E4386"/>
    <w:rsid w:val="009E66E2"/>
    <w:rsid w:val="009E684E"/>
    <w:rsid w:val="009E6A38"/>
    <w:rsid w:val="009E6BC4"/>
    <w:rsid w:val="009E6E9E"/>
    <w:rsid w:val="009F0273"/>
    <w:rsid w:val="009F0455"/>
    <w:rsid w:val="009F0B81"/>
    <w:rsid w:val="009F3C4C"/>
    <w:rsid w:val="009F3F04"/>
    <w:rsid w:val="009F4352"/>
    <w:rsid w:val="009F5817"/>
    <w:rsid w:val="009F5C47"/>
    <w:rsid w:val="00A01004"/>
    <w:rsid w:val="00A010BA"/>
    <w:rsid w:val="00A04566"/>
    <w:rsid w:val="00A05A72"/>
    <w:rsid w:val="00A076D3"/>
    <w:rsid w:val="00A07E2D"/>
    <w:rsid w:val="00A1062A"/>
    <w:rsid w:val="00A1156F"/>
    <w:rsid w:val="00A13B5A"/>
    <w:rsid w:val="00A155D8"/>
    <w:rsid w:val="00A16528"/>
    <w:rsid w:val="00A17924"/>
    <w:rsid w:val="00A179A7"/>
    <w:rsid w:val="00A22607"/>
    <w:rsid w:val="00A22CE9"/>
    <w:rsid w:val="00A3099D"/>
    <w:rsid w:val="00A317BA"/>
    <w:rsid w:val="00A32F41"/>
    <w:rsid w:val="00A371B8"/>
    <w:rsid w:val="00A37556"/>
    <w:rsid w:val="00A376E5"/>
    <w:rsid w:val="00A40148"/>
    <w:rsid w:val="00A411A7"/>
    <w:rsid w:val="00A42D96"/>
    <w:rsid w:val="00A46D75"/>
    <w:rsid w:val="00A51E3C"/>
    <w:rsid w:val="00A51F1F"/>
    <w:rsid w:val="00A521C3"/>
    <w:rsid w:val="00A52955"/>
    <w:rsid w:val="00A53229"/>
    <w:rsid w:val="00A5422E"/>
    <w:rsid w:val="00A55CD0"/>
    <w:rsid w:val="00A60142"/>
    <w:rsid w:val="00A60DDA"/>
    <w:rsid w:val="00A60ECE"/>
    <w:rsid w:val="00A6151E"/>
    <w:rsid w:val="00A62310"/>
    <w:rsid w:val="00A6278E"/>
    <w:rsid w:val="00A64E71"/>
    <w:rsid w:val="00A64ED8"/>
    <w:rsid w:val="00A663B2"/>
    <w:rsid w:val="00A7013A"/>
    <w:rsid w:val="00A70792"/>
    <w:rsid w:val="00A71F36"/>
    <w:rsid w:val="00A729D0"/>
    <w:rsid w:val="00A7431A"/>
    <w:rsid w:val="00A74903"/>
    <w:rsid w:val="00A750DF"/>
    <w:rsid w:val="00A75266"/>
    <w:rsid w:val="00A76CA9"/>
    <w:rsid w:val="00A76DE6"/>
    <w:rsid w:val="00A81ED2"/>
    <w:rsid w:val="00A82AAF"/>
    <w:rsid w:val="00A83FE8"/>
    <w:rsid w:val="00A84A9C"/>
    <w:rsid w:val="00A86FE4"/>
    <w:rsid w:val="00A91F66"/>
    <w:rsid w:val="00A942A6"/>
    <w:rsid w:val="00AA044C"/>
    <w:rsid w:val="00AA10F5"/>
    <w:rsid w:val="00AA4A99"/>
    <w:rsid w:val="00AA58F8"/>
    <w:rsid w:val="00AA71ED"/>
    <w:rsid w:val="00AB13D0"/>
    <w:rsid w:val="00AB25F1"/>
    <w:rsid w:val="00AB3052"/>
    <w:rsid w:val="00AB3E4F"/>
    <w:rsid w:val="00AB5392"/>
    <w:rsid w:val="00AB61B8"/>
    <w:rsid w:val="00AB6D58"/>
    <w:rsid w:val="00AC1247"/>
    <w:rsid w:val="00AC3780"/>
    <w:rsid w:val="00AC5EAF"/>
    <w:rsid w:val="00AC63E7"/>
    <w:rsid w:val="00AC66B5"/>
    <w:rsid w:val="00AC7767"/>
    <w:rsid w:val="00AC7ADE"/>
    <w:rsid w:val="00AD084D"/>
    <w:rsid w:val="00AD1F4E"/>
    <w:rsid w:val="00AD4F71"/>
    <w:rsid w:val="00AD5758"/>
    <w:rsid w:val="00AD6174"/>
    <w:rsid w:val="00AD6181"/>
    <w:rsid w:val="00AD61C6"/>
    <w:rsid w:val="00AD7130"/>
    <w:rsid w:val="00AD74F9"/>
    <w:rsid w:val="00AD7690"/>
    <w:rsid w:val="00AD7C72"/>
    <w:rsid w:val="00AE0677"/>
    <w:rsid w:val="00AE37A5"/>
    <w:rsid w:val="00AE40A4"/>
    <w:rsid w:val="00AE6E02"/>
    <w:rsid w:val="00AE7167"/>
    <w:rsid w:val="00AE7920"/>
    <w:rsid w:val="00AF0890"/>
    <w:rsid w:val="00AF198C"/>
    <w:rsid w:val="00AF39C6"/>
    <w:rsid w:val="00AF4DBA"/>
    <w:rsid w:val="00B01B6C"/>
    <w:rsid w:val="00B01F45"/>
    <w:rsid w:val="00B02FC2"/>
    <w:rsid w:val="00B039BA"/>
    <w:rsid w:val="00B04136"/>
    <w:rsid w:val="00B04B93"/>
    <w:rsid w:val="00B06DEE"/>
    <w:rsid w:val="00B10655"/>
    <w:rsid w:val="00B10855"/>
    <w:rsid w:val="00B11522"/>
    <w:rsid w:val="00B1197D"/>
    <w:rsid w:val="00B11B70"/>
    <w:rsid w:val="00B12465"/>
    <w:rsid w:val="00B129C1"/>
    <w:rsid w:val="00B1515A"/>
    <w:rsid w:val="00B162EA"/>
    <w:rsid w:val="00B210FA"/>
    <w:rsid w:val="00B2451B"/>
    <w:rsid w:val="00B25AE2"/>
    <w:rsid w:val="00B26712"/>
    <w:rsid w:val="00B26762"/>
    <w:rsid w:val="00B27CC9"/>
    <w:rsid w:val="00B27E53"/>
    <w:rsid w:val="00B30925"/>
    <w:rsid w:val="00B30AB2"/>
    <w:rsid w:val="00B31A01"/>
    <w:rsid w:val="00B31AFD"/>
    <w:rsid w:val="00B31D32"/>
    <w:rsid w:val="00B3447A"/>
    <w:rsid w:val="00B37BB1"/>
    <w:rsid w:val="00B40A6B"/>
    <w:rsid w:val="00B413B6"/>
    <w:rsid w:val="00B415F8"/>
    <w:rsid w:val="00B440FF"/>
    <w:rsid w:val="00B446F2"/>
    <w:rsid w:val="00B44C95"/>
    <w:rsid w:val="00B46A37"/>
    <w:rsid w:val="00B4749D"/>
    <w:rsid w:val="00B5012C"/>
    <w:rsid w:val="00B50C94"/>
    <w:rsid w:val="00B53897"/>
    <w:rsid w:val="00B542F3"/>
    <w:rsid w:val="00B562DA"/>
    <w:rsid w:val="00B57251"/>
    <w:rsid w:val="00B601D1"/>
    <w:rsid w:val="00B6097D"/>
    <w:rsid w:val="00B64626"/>
    <w:rsid w:val="00B646BF"/>
    <w:rsid w:val="00B649D3"/>
    <w:rsid w:val="00B66E02"/>
    <w:rsid w:val="00B67D72"/>
    <w:rsid w:val="00B703EF"/>
    <w:rsid w:val="00B7148A"/>
    <w:rsid w:val="00B719AD"/>
    <w:rsid w:val="00B719CE"/>
    <w:rsid w:val="00B75360"/>
    <w:rsid w:val="00B759CD"/>
    <w:rsid w:val="00B75C41"/>
    <w:rsid w:val="00B7637E"/>
    <w:rsid w:val="00B773D7"/>
    <w:rsid w:val="00B80846"/>
    <w:rsid w:val="00B81BA6"/>
    <w:rsid w:val="00B835FF"/>
    <w:rsid w:val="00B83786"/>
    <w:rsid w:val="00B84334"/>
    <w:rsid w:val="00B84349"/>
    <w:rsid w:val="00B869CA"/>
    <w:rsid w:val="00B86EB6"/>
    <w:rsid w:val="00B8710B"/>
    <w:rsid w:val="00B87C77"/>
    <w:rsid w:val="00B9310B"/>
    <w:rsid w:val="00B9589A"/>
    <w:rsid w:val="00B958DC"/>
    <w:rsid w:val="00B96276"/>
    <w:rsid w:val="00B96DE9"/>
    <w:rsid w:val="00B96EF6"/>
    <w:rsid w:val="00BA0565"/>
    <w:rsid w:val="00BA09A7"/>
    <w:rsid w:val="00BA4184"/>
    <w:rsid w:val="00BA4A51"/>
    <w:rsid w:val="00BA4AAC"/>
    <w:rsid w:val="00BA5176"/>
    <w:rsid w:val="00BA5571"/>
    <w:rsid w:val="00BA6122"/>
    <w:rsid w:val="00BA68B6"/>
    <w:rsid w:val="00BA6AA1"/>
    <w:rsid w:val="00BB0715"/>
    <w:rsid w:val="00BB09AD"/>
    <w:rsid w:val="00BB15CC"/>
    <w:rsid w:val="00BB19B1"/>
    <w:rsid w:val="00BB207B"/>
    <w:rsid w:val="00BB24F6"/>
    <w:rsid w:val="00BB2ACD"/>
    <w:rsid w:val="00BB303B"/>
    <w:rsid w:val="00BB3388"/>
    <w:rsid w:val="00BB3918"/>
    <w:rsid w:val="00BB6352"/>
    <w:rsid w:val="00BB6C7D"/>
    <w:rsid w:val="00BC0A0E"/>
    <w:rsid w:val="00BC3701"/>
    <w:rsid w:val="00BC38C0"/>
    <w:rsid w:val="00BC4ABF"/>
    <w:rsid w:val="00BC5023"/>
    <w:rsid w:val="00BC5E3E"/>
    <w:rsid w:val="00BC7BD1"/>
    <w:rsid w:val="00BD0655"/>
    <w:rsid w:val="00BD0D84"/>
    <w:rsid w:val="00BD1027"/>
    <w:rsid w:val="00BD175D"/>
    <w:rsid w:val="00BD213E"/>
    <w:rsid w:val="00BD403E"/>
    <w:rsid w:val="00BD42FB"/>
    <w:rsid w:val="00BD490E"/>
    <w:rsid w:val="00BD701C"/>
    <w:rsid w:val="00BD7E6D"/>
    <w:rsid w:val="00BE208B"/>
    <w:rsid w:val="00BE25A3"/>
    <w:rsid w:val="00BE5A3B"/>
    <w:rsid w:val="00BE65C4"/>
    <w:rsid w:val="00BF1CDA"/>
    <w:rsid w:val="00BF1ED3"/>
    <w:rsid w:val="00BF358E"/>
    <w:rsid w:val="00BF3C78"/>
    <w:rsid w:val="00BF40B6"/>
    <w:rsid w:val="00BF4D47"/>
    <w:rsid w:val="00BF53B4"/>
    <w:rsid w:val="00BF568E"/>
    <w:rsid w:val="00BF7B01"/>
    <w:rsid w:val="00C00109"/>
    <w:rsid w:val="00C003C8"/>
    <w:rsid w:val="00C00719"/>
    <w:rsid w:val="00C012CD"/>
    <w:rsid w:val="00C01C19"/>
    <w:rsid w:val="00C01D55"/>
    <w:rsid w:val="00C02F82"/>
    <w:rsid w:val="00C04BD6"/>
    <w:rsid w:val="00C0643A"/>
    <w:rsid w:val="00C06AE6"/>
    <w:rsid w:val="00C07763"/>
    <w:rsid w:val="00C07970"/>
    <w:rsid w:val="00C07FD2"/>
    <w:rsid w:val="00C11CDF"/>
    <w:rsid w:val="00C121B8"/>
    <w:rsid w:val="00C12206"/>
    <w:rsid w:val="00C13BD4"/>
    <w:rsid w:val="00C13C33"/>
    <w:rsid w:val="00C16423"/>
    <w:rsid w:val="00C16D6E"/>
    <w:rsid w:val="00C17116"/>
    <w:rsid w:val="00C203B8"/>
    <w:rsid w:val="00C20AE0"/>
    <w:rsid w:val="00C21FD5"/>
    <w:rsid w:val="00C221F0"/>
    <w:rsid w:val="00C23238"/>
    <w:rsid w:val="00C2355E"/>
    <w:rsid w:val="00C25B67"/>
    <w:rsid w:val="00C2760E"/>
    <w:rsid w:val="00C27F69"/>
    <w:rsid w:val="00C31C43"/>
    <w:rsid w:val="00C326CB"/>
    <w:rsid w:val="00C32887"/>
    <w:rsid w:val="00C336C7"/>
    <w:rsid w:val="00C34E3F"/>
    <w:rsid w:val="00C35C49"/>
    <w:rsid w:val="00C36C29"/>
    <w:rsid w:val="00C42BB8"/>
    <w:rsid w:val="00C43D2E"/>
    <w:rsid w:val="00C4471F"/>
    <w:rsid w:val="00C46AB0"/>
    <w:rsid w:val="00C47469"/>
    <w:rsid w:val="00C4785C"/>
    <w:rsid w:val="00C47A34"/>
    <w:rsid w:val="00C47CAA"/>
    <w:rsid w:val="00C50716"/>
    <w:rsid w:val="00C53721"/>
    <w:rsid w:val="00C54BDB"/>
    <w:rsid w:val="00C550E7"/>
    <w:rsid w:val="00C55A21"/>
    <w:rsid w:val="00C55CB3"/>
    <w:rsid w:val="00C57DCD"/>
    <w:rsid w:val="00C619C3"/>
    <w:rsid w:val="00C61C9F"/>
    <w:rsid w:val="00C65377"/>
    <w:rsid w:val="00C6587A"/>
    <w:rsid w:val="00C66C9F"/>
    <w:rsid w:val="00C704E7"/>
    <w:rsid w:val="00C705AD"/>
    <w:rsid w:val="00C741E7"/>
    <w:rsid w:val="00C7423F"/>
    <w:rsid w:val="00C74823"/>
    <w:rsid w:val="00C74DB1"/>
    <w:rsid w:val="00C75622"/>
    <w:rsid w:val="00C75F48"/>
    <w:rsid w:val="00C76414"/>
    <w:rsid w:val="00C77C51"/>
    <w:rsid w:val="00C82B6E"/>
    <w:rsid w:val="00C835DC"/>
    <w:rsid w:val="00C839F2"/>
    <w:rsid w:val="00C83D02"/>
    <w:rsid w:val="00C85189"/>
    <w:rsid w:val="00C85F3B"/>
    <w:rsid w:val="00C865E8"/>
    <w:rsid w:val="00C90965"/>
    <w:rsid w:val="00C92E4C"/>
    <w:rsid w:val="00C93040"/>
    <w:rsid w:val="00C94FA3"/>
    <w:rsid w:val="00C95858"/>
    <w:rsid w:val="00C970F7"/>
    <w:rsid w:val="00CA0CB9"/>
    <w:rsid w:val="00CA121D"/>
    <w:rsid w:val="00CA17BA"/>
    <w:rsid w:val="00CA3074"/>
    <w:rsid w:val="00CA3C16"/>
    <w:rsid w:val="00CA4563"/>
    <w:rsid w:val="00CA4C66"/>
    <w:rsid w:val="00CA5AFE"/>
    <w:rsid w:val="00CA601B"/>
    <w:rsid w:val="00CA7D6B"/>
    <w:rsid w:val="00CB0B7D"/>
    <w:rsid w:val="00CB1360"/>
    <w:rsid w:val="00CB2B5A"/>
    <w:rsid w:val="00CB374C"/>
    <w:rsid w:val="00CB5853"/>
    <w:rsid w:val="00CB5C60"/>
    <w:rsid w:val="00CB6E6D"/>
    <w:rsid w:val="00CB74A5"/>
    <w:rsid w:val="00CC022F"/>
    <w:rsid w:val="00CC0B00"/>
    <w:rsid w:val="00CC1182"/>
    <w:rsid w:val="00CC1698"/>
    <w:rsid w:val="00CC47A0"/>
    <w:rsid w:val="00CC4E8E"/>
    <w:rsid w:val="00CC634F"/>
    <w:rsid w:val="00CC6565"/>
    <w:rsid w:val="00CC67FF"/>
    <w:rsid w:val="00CC6CF3"/>
    <w:rsid w:val="00CC7330"/>
    <w:rsid w:val="00CD0406"/>
    <w:rsid w:val="00CD060F"/>
    <w:rsid w:val="00CD07EA"/>
    <w:rsid w:val="00CD26E6"/>
    <w:rsid w:val="00CD2CC5"/>
    <w:rsid w:val="00CD4BDE"/>
    <w:rsid w:val="00CD569E"/>
    <w:rsid w:val="00CD6E6B"/>
    <w:rsid w:val="00CD6F12"/>
    <w:rsid w:val="00CD71D8"/>
    <w:rsid w:val="00CD761F"/>
    <w:rsid w:val="00CD769C"/>
    <w:rsid w:val="00CE0306"/>
    <w:rsid w:val="00CE1A6E"/>
    <w:rsid w:val="00CE26C9"/>
    <w:rsid w:val="00CE4D6D"/>
    <w:rsid w:val="00CE74F9"/>
    <w:rsid w:val="00CF0467"/>
    <w:rsid w:val="00CF2B30"/>
    <w:rsid w:val="00CF2F32"/>
    <w:rsid w:val="00CF317E"/>
    <w:rsid w:val="00CF5264"/>
    <w:rsid w:val="00CF79D6"/>
    <w:rsid w:val="00D002E7"/>
    <w:rsid w:val="00D0402A"/>
    <w:rsid w:val="00D04E87"/>
    <w:rsid w:val="00D06106"/>
    <w:rsid w:val="00D07576"/>
    <w:rsid w:val="00D07F03"/>
    <w:rsid w:val="00D109FB"/>
    <w:rsid w:val="00D10FE5"/>
    <w:rsid w:val="00D11D30"/>
    <w:rsid w:val="00D11E56"/>
    <w:rsid w:val="00D13A68"/>
    <w:rsid w:val="00D1405E"/>
    <w:rsid w:val="00D15492"/>
    <w:rsid w:val="00D16CCE"/>
    <w:rsid w:val="00D16EA3"/>
    <w:rsid w:val="00D17394"/>
    <w:rsid w:val="00D17DE4"/>
    <w:rsid w:val="00D22F78"/>
    <w:rsid w:val="00D23723"/>
    <w:rsid w:val="00D24FDE"/>
    <w:rsid w:val="00D2542C"/>
    <w:rsid w:val="00D26D63"/>
    <w:rsid w:val="00D278AC"/>
    <w:rsid w:val="00D30E00"/>
    <w:rsid w:val="00D3238C"/>
    <w:rsid w:val="00D33BA5"/>
    <w:rsid w:val="00D33C6C"/>
    <w:rsid w:val="00D42034"/>
    <w:rsid w:val="00D421C9"/>
    <w:rsid w:val="00D42BA9"/>
    <w:rsid w:val="00D42FF6"/>
    <w:rsid w:val="00D43538"/>
    <w:rsid w:val="00D462B4"/>
    <w:rsid w:val="00D4706C"/>
    <w:rsid w:val="00D47E29"/>
    <w:rsid w:val="00D51DB5"/>
    <w:rsid w:val="00D53401"/>
    <w:rsid w:val="00D53729"/>
    <w:rsid w:val="00D53E1F"/>
    <w:rsid w:val="00D546B6"/>
    <w:rsid w:val="00D55163"/>
    <w:rsid w:val="00D56F24"/>
    <w:rsid w:val="00D57FC2"/>
    <w:rsid w:val="00D60744"/>
    <w:rsid w:val="00D613BB"/>
    <w:rsid w:val="00D618ED"/>
    <w:rsid w:val="00D6297B"/>
    <w:rsid w:val="00D62A78"/>
    <w:rsid w:val="00D64FCE"/>
    <w:rsid w:val="00D67EA7"/>
    <w:rsid w:val="00D700A7"/>
    <w:rsid w:val="00D71653"/>
    <w:rsid w:val="00D71846"/>
    <w:rsid w:val="00D719E9"/>
    <w:rsid w:val="00D71B68"/>
    <w:rsid w:val="00D73985"/>
    <w:rsid w:val="00D76220"/>
    <w:rsid w:val="00D76AD9"/>
    <w:rsid w:val="00D77815"/>
    <w:rsid w:val="00D77B00"/>
    <w:rsid w:val="00D82BCB"/>
    <w:rsid w:val="00D83785"/>
    <w:rsid w:val="00D83B70"/>
    <w:rsid w:val="00D83E09"/>
    <w:rsid w:val="00D83EB2"/>
    <w:rsid w:val="00D84452"/>
    <w:rsid w:val="00D85641"/>
    <w:rsid w:val="00D85648"/>
    <w:rsid w:val="00D85A62"/>
    <w:rsid w:val="00D85AD5"/>
    <w:rsid w:val="00D86CC0"/>
    <w:rsid w:val="00D87067"/>
    <w:rsid w:val="00D9391C"/>
    <w:rsid w:val="00D95605"/>
    <w:rsid w:val="00D962F8"/>
    <w:rsid w:val="00DA0A2B"/>
    <w:rsid w:val="00DA0BC2"/>
    <w:rsid w:val="00DA0EA1"/>
    <w:rsid w:val="00DA24AB"/>
    <w:rsid w:val="00DA4DA6"/>
    <w:rsid w:val="00DA505E"/>
    <w:rsid w:val="00DA5D14"/>
    <w:rsid w:val="00DA784A"/>
    <w:rsid w:val="00DB0944"/>
    <w:rsid w:val="00DB0BDF"/>
    <w:rsid w:val="00DB3901"/>
    <w:rsid w:val="00DB45AC"/>
    <w:rsid w:val="00DB5867"/>
    <w:rsid w:val="00DB63E1"/>
    <w:rsid w:val="00DB6423"/>
    <w:rsid w:val="00DB6E53"/>
    <w:rsid w:val="00DB6E9E"/>
    <w:rsid w:val="00DB7014"/>
    <w:rsid w:val="00DB7DD4"/>
    <w:rsid w:val="00DC25BC"/>
    <w:rsid w:val="00DC2A26"/>
    <w:rsid w:val="00DC4EB3"/>
    <w:rsid w:val="00DC4F11"/>
    <w:rsid w:val="00DC5AC4"/>
    <w:rsid w:val="00DC686F"/>
    <w:rsid w:val="00DC743C"/>
    <w:rsid w:val="00DD06BE"/>
    <w:rsid w:val="00DD122A"/>
    <w:rsid w:val="00DD26D6"/>
    <w:rsid w:val="00DD33F1"/>
    <w:rsid w:val="00DD3990"/>
    <w:rsid w:val="00DD40AA"/>
    <w:rsid w:val="00DD4BB5"/>
    <w:rsid w:val="00DD58C4"/>
    <w:rsid w:val="00DD713B"/>
    <w:rsid w:val="00DD7390"/>
    <w:rsid w:val="00DD75FF"/>
    <w:rsid w:val="00DE079A"/>
    <w:rsid w:val="00DE256C"/>
    <w:rsid w:val="00DE265C"/>
    <w:rsid w:val="00DE2ADC"/>
    <w:rsid w:val="00DE2DD5"/>
    <w:rsid w:val="00DE5DD7"/>
    <w:rsid w:val="00DE65A7"/>
    <w:rsid w:val="00DF0B36"/>
    <w:rsid w:val="00DF1A58"/>
    <w:rsid w:val="00DF39BC"/>
    <w:rsid w:val="00DF5366"/>
    <w:rsid w:val="00DF573E"/>
    <w:rsid w:val="00DF66A0"/>
    <w:rsid w:val="00DF6E84"/>
    <w:rsid w:val="00DF757A"/>
    <w:rsid w:val="00E0173E"/>
    <w:rsid w:val="00E022D8"/>
    <w:rsid w:val="00E03130"/>
    <w:rsid w:val="00E03948"/>
    <w:rsid w:val="00E05956"/>
    <w:rsid w:val="00E074A4"/>
    <w:rsid w:val="00E075DA"/>
    <w:rsid w:val="00E10A03"/>
    <w:rsid w:val="00E10B21"/>
    <w:rsid w:val="00E10DDB"/>
    <w:rsid w:val="00E1132D"/>
    <w:rsid w:val="00E12B97"/>
    <w:rsid w:val="00E12E74"/>
    <w:rsid w:val="00E14DA1"/>
    <w:rsid w:val="00E157BE"/>
    <w:rsid w:val="00E16413"/>
    <w:rsid w:val="00E1707E"/>
    <w:rsid w:val="00E1734E"/>
    <w:rsid w:val="00E22C68"/>
    <w:rsid w:val="00E260D7"/>
    <w:rsid w:val="00E26E66"/>
    <w:rsid w:val="00E31E37"/>
    <w:rsid w:val="00E35E8D"/>
    <w:rsid w:val="00E370A0"/>
    <w:rsid w:val="00E37113"/>
    <w:rsid w:val="00E41ABF"/>
    <w:rsid w:val="00E42256"/>
    <w:rsid w:val="00E42616"/>
    <w:rsid w:val="00E45760"/>
    <w:rsid w:val="00E45D28"/>
    <w:rsid w:val="00E460A2"/>
    <w:rsid w:val="00E46B34"/>
    <w:rsid w:val="00E503E3"/>
    <w:rsid w:val="00E50F7E"/>
    <w:rsid w:val="00E5173C"/>
    <w:rsid w:val="00E528DE"/>
    <w:rsid w:val="00E52AB9"/>
    <w:rsid w:val="00E52CF9"/>
    <w:rsid w:val="00E5326C"/>
    <w:rsid w:val="00E545EE"/>
    <w:rsid w:val="00E5561E"/>
    <w:rsid w:val="00E56220"/>
    <w:rsid w:val="00E5637E"/>
    <w:rsid w:val="00E56C69"/>
    <w:rsid w:val="00E62926"/>
    <w:rsid w:val="00E6318B"/>
    <w:rsid w:val="00E632B0"/>
    <w:rsid w:val="00E64592"/>
    <w:rsid w:val="00E65B78"/>
    <w:rsid w:val="00E660E6"/>
    <w:rsid w:val="00E663F0"/>
    <w:rsid w:val="00E665BE"/>
    <w:rsid w:val="00E66779"/>
    <w:rsid w:val="00E67989"/>
    <w:rsid w:val="00E70A6C"/>
    <w:rsid w:val="00E7157F"/>
    <w:rsid w:val="00E7226B"/>
    <w:rsid w:val="00E75193"/>
    <w:rsid w:val="00E75DFD"/>
    <w:rsid w:val="00E76D03"/>
    <w:rsid w:val="00E77344"/>
    <w:rsid w:val="00E8154D"/>
    <w:rsid w:val="00E81DE9"/>
    <w:rsid w:val="00E8385C"/>
    <w:rsid w:val="00E84F69"/>
    <w:rsid w:val="00E85777"/>
    <w:rsid w:val="00E86480"/>
    <w:rsid w:val="00E877D6"/>
    <w:rsid w:val="00E90E1B"/>
    <w:rsid w:val="00E927A4"/>
    <w:rsid w:val="00E92B83"/>
    <w:rsid w:val="00E939AB"/>
    <w:rsid w:val="00E94A48"/>
    <w:rsid w:val="00E94CE8"/>
    <w:rsid w:val="00E94E4C"/>
    <w:rsid w:val="00E9568D"/>
    <w:rsid w:val="00EA0348"/>
    <w:rsid w:val="00EA07E7"/>
    <w:rsid w:val="00EA1AA0"/>
    <w:rsid w:val="00EA1C9F"/>
    <w:rsid w:val="00EA3010"/>
    <w:rsid w:val="00EA450F"/>
    <w:rsid w:val="00EA4537"/>
    <w:rsid w:val="00EA62D1"/>
    <w:rsid w:val="00EB00A7"/>
    <w:rsid w:val="00EB049B"/>
    <w:rsid w:val="00EB2367"/>
    <w:rsid w:val="00EB4840"/>
    <w:rsid w:val="00EB75FE"/>
    <w:rsid w:val="00EC0504"/>
    <w:rsid w:val="00EC1985"/>
    <w:rsid w:val="00EC2D42"/>
    <w:rsid w:val="00EC2D81"/>
    <w:rsid w:val="00EC2EC7"/>
    <w:rsid w:val="00EC3C5E"/>
    <w:rsid w:val="00EC5B9F"/>
    <w:rsid w:val="00EC6983"/>
    <w:rsid w:val="00EC71A9"/>
    <w:rsid w:val="00EC792E"/>
    <w:rsid w:val="00ED1412"/>
    <w:rsid w:val="00ED214B"/>
    <w:rsid w:val="00ED3DB3"/>
    <w:rsid w:val="00EE04D9"/>
    <w:rsid w:val="00EE3460"/>
    <w:rsid w:val="00EE43C4"/>
    <w:rsid w:val="00EE49F9"/>
    <w:rsid w:val="00EE4C2E"/>
    <w:rsid w:val="00EE616A"/>
    <w:rsid w:val="00EE6BB9"/>
    <w:rsid w:val="00EE7BB0"/>
    <w:rsid w:val="00EE7DB0"/>
    <w:rsid w:val="00EF0099"/>
    <w:rsid w:val="00EF0E72"/>
    <w:rsid w:val="00EF159E"/>
    <w:rsid w:val="00EF2BB0"/>
    <w:rsid w:val="00EF5322"/>
    <w:rsid w:val="00EF6E26"/>
    <w:rsid w:val="00EF6E69"/>
    <w:rsid w:val="00F0089E"/>
    <w:rsid w:val="00F00A3F"/>
    <w:rsid w:val="00F02C98"/>
    <w:rsid w:val="00F034E8"/>
    <w:rsid w:val="00F0371B"/>
    <w:rsid w:val="00F064E1"/>
    <w:rsid w:val="00F06A78"/>
    <w:rsid w:val="00F06AEF"/>
    <w:rsid w:val="00F07309"/>
    <w:rsid w:val="00F10E4C"/>
    <w:rsid w:val="00F120AC"/>
    <w:rsid w:val="00F1369F"/>
    <w:rsid w:val="00F136B2"/>
    <w:rsid w:val="00F1426F"/>
    <w:rsid w:val="00F154B2"/>
    <w:rsid w:val="00F16A0C"/>
    <w:rsid w:val="00F23182"/>
    <w:rsid w:val="00F23595"/>
    <w:rsid w:val="00F23C79"/>
    <w:rsid w:val="00F23F71"/>
    <w:rsid w:val="00F26543"/>
    <w:rsid w:val="00F275F1"/>
    <w:rsid w:val="00F30DF8"/>
    <w:rsid w:val="00F34197"/>
    <w:rsid w:val="00F35EC5"/>
    <w:rsid w:val="00F363F8"/>
    <w:rsid w:val="00F36580"/>
    <w:rsid w:val="00F41311"/>
    <w:rsid w:val="00F43D88"/>
    <w:rsid w:val="00F44B46"/>
    <w:rsid w:val="00F4779B"/>
    <w:rsid w:val="00F511F0"/>
    <w:rsid w:val="00F51515"/>
    <w:rsid w:val="00F51728"/>
    <w:rsid w:val="00F51A3E"/>
    <w:rsid w:val="00F5214B"/>
    <w:rsid w:val="00F522EA"/>
    <w:rsid w:val="00F526D6"/>
    <w:rsid w:val="00F52AAF"/>
    <w:rsid w:val="00F53F16"/>
    <w:rsid w:val="00F54F1E"/>
    <w:rsid w:val="00F554AC"/>
    <w:rsid w:val="00F56A12"/>
    <w:rsid w:val="00F56FE6"/>
    <w:rsid w:val="00F57556"/>
    <w:rsid w:val="00F61574"/>
    <w:rsid w:val="00F621BF"/>
    <w:rsid w:val="00F65495"/>
    <w:rsid w:val="00F663FB"/>
    <w:rsid w:val="00F665A6"/>
    <w:rsid w:val="00F66E0C"/>
    <w:rsid w:val="00F70E1C"/>
    <w:rsid w:val="00F71F9E"/>
    <w:rsid w:val="00F7312C"/>
    <w:rsid w:val="00F73757"/>
    <w:rsid w:val="00F73805"/>
    <w:rsid w:val="00F745F4"/>
    <w:rsid w:val="00F74A77"/>
    <w:rsid w:val="00F8213D"/>
    <w:rsid w:val="00F831F1"/>
    <w:rsid w:val="00F83532"/>
    <w:rsid w:val="00F851E4"/>
    <w:rsid w:val="00F85A1C"/>
    <w:rsid w:val="00F86DFC"/>
    <w:rsid w:val="00F87CCF"/>
    <w:rsid w:val="00F90B42"/>
    <w:rsid w:val="00F91193"/>
    <w:rsid w:val="00F93EE2"/>
    <w:rsid w:val="00F941BA"/>
    <w:rsid w:val="00F958E9"/>
    <w:rsid w:val="00F95906"/>
    <w:rsid w:val="00FA0A3E"/>
    <w:rsid w:val="00FA19CB"/>
    <w:rsid w:val="00FA2496"/>
    <w:rsid w:val="00FA2D6E"/>
    <w:rsid w:val="00FA5A4C"/>
    <w:rsid w:val="00FA6713"/>
    <w:rsid w:val="00FB0114"/>
    <w:rsid w:val="00FB0528"/>
    <w:rsid w:val="00FB21B0"/>
    <w:rsid w:val="00FB25FF"/>
    <w:rsid w:val="00FB27C1"/>
    <w:rsid w:val="00FB31DA"/>
    <w:rsid w:val="00FB324C"/>
    <w:rsid w:val="00FB3564"/>
    <w:rsid w:val="00FB3B9F"/>
    <w:rsid w:val="00FB42C0"/>
    <w:rsid w:val="00FB4EC2"/>
    <w:rsid w:val="00FB7C17"/>
    <w:rsid w:val="00FC46D5"/>
    <w:rsid w:val="00FC63FD"/>
    <w:rsid w:val="00FC701E"/>
    <w:rsid w:val="00FD0482"/>
    <w:rsid w:val="00FD2CCD"/>
    <w:rsid w:val="00FD5EAC"/>
    <w:rsid w:val="00FD6ADD"/>
    <w:rsid w:val="00FD71D8"/>
    <w:rsid w:val="00FD7CF6"/>
    <w:rsid w:val="00FD7FE8"/>
    <w:rsid w:val="00FE0D74"/>
    <w:rsid w:val="00FE17F9"/>
    <w:rsid w:val="00FE1F9A"/>
    <w:rsid w:val="00FE5DD5"/>
    <w:rsid w:val="00FE5FA2"/>
    <w:rsid w:val="00FF0CE1"/>
    <w:rsid w:val="00FF1E77"/>
    <w:rsid w:val="00FF2231"/>
    <w:rsid w:val="00FF2DAE"/>
    <w:rsid w:val="00FF30F0"/>
    <w:rsid w:val="00FF3152"/>
    <w:rsid w:val="00FF3950"/>
    <w:rsid w:val="00FF4A1E"/>
    <w:rsid w:val="00FF792D"/>
  </w:rsids>
  <m:mathPr>
    <m:mathFont m:val="Cambria Math"/>
    <m:brkBin m:val="before"/>
    <m:brkBinSub m:val="--"/>
    <m:smallFrac m:val="off"/>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73"/>
    <w:rPr>
      <w:rFonts w:ascii="Times New Roman" w:eastAsia="Times New Roman" w:hAnsi="Times New Roman"/>
      <w:sz w:val="24"/>
      <w:szCs w:val="24"/>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uiPriority w:val="99"/>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9F0273"/>
    <w:pPr>
      <w:tabs>
        <w:tab w:val="center" w:pos="4153"/>
        <w:tab w:val="right" w:pos="8306"/>
      </w:tabs>
    </w:pPr>
  </w:style>
  <w:style w:type="character" w:customStyle="1" w:styleId="FooterChar">
    <w:name w:val="Footer Char"/>
    <w:basedOn w:val="DefaultParagraphFont"/>
    <w:link w:val="Footer"/>
    <w:uiPriority w:val="99"/>
    <w:rsid w:val="009F0273"/>
    <w:rPr>
      <w:rFonts w:ascii="Times New Roman" w:eastAsia="Times New Roman" w:hAnsi="Times New Roman" w:cs="Times New Roman"/>
      <w:sz w:val="24"/>
      <w:szCs w:val="24"/>
      <w:lang w:val="lv-LV" w:eastAsia="lv-LV"/>
    </w:rPr>
  </w:style>
  <w:style w:type="paragraph" w:styleId="NormalWeb">
    <w:name w:val="Normal (Web)"/>
    <w:basedOn w:val="Normal"/>
    <w:uiPriority w:val="99"/>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uiPriority w:val="1"/>
    <w:qFormat/>
    <w:rsid w:val="009F0273"/>
    <w:rPr>
      <w:sz w:val="22"/>
      <w:szCs w:val="22"/>
      <w:lang w:val="en-US" w:eastAsia="en-US"/>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F0B36"/>
    <w:rPr>
      <w:sz w:val="20"/>
      <w:szCs w:val="20"/>
    </w:rPr>
  </w:style>
  <w:style w:type="character" w:customStyle="1" w:styleId="CommentTextChar">
    <w:name w:val="Comment Text Char"/>
    <w:basedOn w:val="DefaultParagraphFont"/>
    <w:link w:val="CommentText"/>
    <w:uiPriority w:val="99"/>
    <w:semiHidden/>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basedOn w:val="Normal"/>
    <w:link w:val="FootnoteTextChar"/>
    <w:uiPriority w:val="99"/>
    <w:qFormat/>
    <w:rsid w:val="00A51F1F"/>
    <w:rPr>
      <w:sz w:val="20"/>
      <w:szCs w:val="20"/>
    </w:rPr>
  </w:style>
  <w:style w:type="character" w:customStyle="1" w:styleId="FootnoteTextChar">
    <w:name w:val="Footnote Text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styleId="Emphasis">
    <w:name w:val="Emphasis"/>
    <w:basedOn w:val="DefaultParagraphFont"/>
    <w:uiPriority w:val="20"/>
    <w:qFormat/>
    <w:rsid w:val="00DD26D6"/>
    <w:rPr>
      <w:i/>
      <w:iCs/>
    </w:rPr>
  </w:style>
  <w:style w:type="character" w:styleId="Strong">
    <w:name w:val="Strong"/>
    <w:basedOn w:val="DefaultParagraphFont"/>
    <w:uiPriority w:val="22"/>
    <w:qFormat/>
    <w:rsid w:val="006F4E2D"/>
    <w:rPr>
      <w:b/>
      <w:bCs/>
    </w:rPr>
  </w:style>
  <w:style w:type="paragraph" w:customStyle="1" w:styleId="tv2132">
    <w:name w:val="tv2132"/>
    <w:basedOn w:val="Normal"/>
    <w:rsid w:val="00E56C69"/>
    <w:pPr>
      <w:spacing w:line="360" w:lineRule="auto"/>
      <w:ind w:firstLine="300"/>
    </w:pPr>
    <w:rPr>
      <w:color w:val="414142"/>
      <w:sz w:val="20"/>
      <w:szCs w:val="20"/>
      <w:lang w:bidi="gu-IN"/>
    </w:rPr>
  </w:style>
  <w:style w:type="table" w:styleId="TableGrid">
    <w:name w:val="Table Grid"/>
    <w:basedOn w:val="TableNormal"/>
    <w:uiPriority w:val="59"/>
    <w:rsid w:val="00E556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2E99"/>
    <w:rPr>
      <w:color w:val="800080" w:themeColor="followedHyperlink"/>
      <w:u w:val="single"/>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rsid w:val="005145EC"/>
    <w:rPr>
      <w:vertAlign w:val="superscript"/>
    </w:rPr>
  </w:style>
  <w:style w:type="paragraph" w:styleId="BodyTextIndent">
    <w:name w:val="Body Text Indent"/>
    <w:basedOn w:val="Normal"/>
    <w:link w:val="BodyTextIndentChar"/>
    <w:uiPriority w:val="99"/>
    <w:unhideWhenUsed/>
    <w:rsid w:val="001D0A7A"/>
    <w:pPr>
      <w:spacing w:after="120"/>
      <w:ind w:left="283"/>
    </w:pPr>
  </w:style>
  <w:style w:type="character" w:customStyle="1" w:styleId="BodyTextIndentChar">
    <w:name w:val="Body Text Indent Char"/>
    <w:basedOn w:val="DefaultParagraphFont"/>
    <w:link w:val="BodyTextIndent"/>
    <w:uiPriority w:val="99"/>
    <w:rsid w:val="001D0A7A"/>
    <w:rPr>
      <w:rFonts w:ascii="Times New Roman" w:eastAsia="Times New Roman" w:hAnsi="Times New Roman"/>
      <w:sz w:val="24"/>
      <w:szCs w:val="24"/>
    </w:rPr>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F85A1C"/>
    <w:rPr>
      <w:rFonts w:ascii="Calibri" w:hAnsi="Calibri" w:cs="Times New Roman"/>
      <w:sz w:val="20"/>
      <w:szCs w:val="20"/>
      <w:lang w:val="lv-LV"/>
    </w:rPr>
  </w:style>
  <w:style w:type="paragraph" w:customStyle="1" w:styleId="bdc">
    <w:name w:val="bdc"/>
    <w:basedOn w:val="Normal"/>
    <w:uiPriority w:val="99"/>
    <w:rsid w:val="000B1C24"/>
    <w:pPr>
      <w:spacing w:before="100" w:beforeAutospacing="1" w:after="100" w:afterAutospacing="1"/>
    </w:pPr>
    <w:rPr>
      <w:b/>
      <w:bCs/>
    </w:rPr>
  </w:style>
  <w:style w:type="character" w:customStyle="1" w:styleId="th1">
    <w:name w:val="th1"/>
    <w:uiPriority w:val="99"/>
    <w:rsid w:val="006B6B2D"/>
    <w:rPr>
      <w:rFonts w:cs="Times New Roman"/>
      <w:b/>
      <w:bCs/>
      <w:color w:val="333333"/>
    </w:rPr>
  </w:style>
</w:styles>
</file>

<file path=word/webSettings.xml><?xml version="1.0" encoding="utf-8"?>
<w:webSettings xmlns:r="http://schemas.openxmlformats.org/officeDocument/2006/relationships" xmlns:w="http://schemas.openxmlformats.org/wordprocessingml/2006/main">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1175">
      <w:bodyDiv w:val="1"/>
      <w:marLeft w:val="0"/>
      <w:marRight w:val="0"/>
      <w:marTop w:val="0"/>
      <w:marBottom w:val="0"/>
      <w:divBdr>
        <w:top w:val="none" w:sz="0" w:space="0" w:color="auto"/>
        <w:left w:val="none" w:sz="0" w:space="0" w:color="auto"/>
        <w:bottom w:val="none" w:sz="0" w:space="0" w:color="auto"/>
        <w:right w:val="none" w:sz="0" w:space="0" w:color="auto"/>
      </w:divBdr>
    </w:div>
    <w:div w:id="118689770">
      <w:bodyDiv w:val="1"/>
      <w:marLeft w:val="0"/>
      <w:marRight w:val="0"/>
      <w:marTop w:val="0"/>
      <w:marBottom w:val="0"/>
      <w:divBdr>
        <w:top w:val="none" w:sz="0" w:space="0" w:color="auto"/>
        <w:left w:val="none" w:sz="0" w:space="0" w:color="auto"/>
        <w:bottom w:val="none" w:sz="0" w:space="0" w:color="auto"/>
        <w:right w:val="none" w:sz="0" w:space="0" w:color="auto"/>
      </w:divBdr>
    </w:div>
    <w:div w:id="206380607">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1766910">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28522">
      <w:bodyDiv w:val="1"/>
      <w:marLeft w:val="0"/>
      <w:marRight w:val="0"/>
      <w:marTop w:val="0"/>
      <w:marBottom w:val="0"/>
      <w:divBdr>
        <w:top w:val="none" w:sz="0" w:space="0" w:color="auto"/>
        <w:left w:val="none" w:sz="0" w:space="0" w:color="auto"/>
        <w:bottom w:val="none" w:sz="0" w:space="0" w:color="auto"/>
        <w:right w:val="none" w:sz="0" w:space="0" w:color="auto"/>
      </w:divBdr>
      <w:divsChild>
        <w:div w:id="1204632041">
          <w:marLeft w:val="0"/>
          <w:marRight w:val="0"/>
          <w:marTop w:val="0"/>
          <w:marBottom w:val="0"/>
          <w:divBdr>
            <w:top w:val="none" w:sz="0" w:space="0" w:color="auto"/>
            <w:left w:val="none" w:sz="0" w:space="0" w:color="auto"/>
            <w:bottom w:val="none" w:sz="0" w:space="0" w:color="auto"/>
            <w:right w:val="none" w:sz="0" w:space="0" w:color="auto"/>
          </w:divBdr>
        </w:div>
        <w:div w:id="1172992755">
          <w:marLeft w:val="0"/>
          <w:marRight w:val="0"/>
          <w:marTop w:val="0"/>
          <w:marBottom w:val="0"/>
          <w:divBdr>
            <w:top w:val="none" w:sz="0" w:space="0" w:color="auto"/>
            <w:left w:val="none" w:sz="0" w:space="0" w:color="auto"/>
            <w:bottom w:val="none" w:sz="0" w:space="0" w:color="auto"/>
            <w:right w:val="none" w:sz="0" w:space="0" w:color="auto"/>
          </w:divBdr>
        </w:div>
        <w:div w:id="1870726898">
          <w:marLeft w:val="0"/>
          <w:marRight w:val="0"/>
          <w:marTop w:val="0"/>
          <w:marBottom w:val="0"/>
          <w:divBdr>
            <w:top w:val="none" w:sz="0" w:space="0" w:color="auto"/>
            <w:left w:val="none" w:sz="0" w:space="0" w:color="auto"/>
            <w:bottom w:val="none" w:sz="0" w:space="0" w:color="auto"/>
            <w:right w:val="none" w:sz="0" w:space="0" w:color="auto"/>
          </w:divBdr>
        </w:div>
        <w:div w:id="2048286842">
          <w:marLeft w:val="0"/>
          <w:marRight w:val="0"/>
          <w:marTop w:val="0"/>
          <w:marBottom w:val="0"/>
          <w:divBdr>
            <w:top w:val="none" w:sz="0" w:space="0" w:color="auto"/>
            <w:left w:val="none" w:sz="0" w:space="0" w:color="auto"/>
            <w:bottom w:val="none" w:sz="0" w:space="0" w:color="auto"/>
            <w:right w:val="none" w:sz="0" w:space="0" w:color="auto"/>
          </w:divBdr>
        </w:div>
        <w:div w:id="1499691225">
          <w:marLeft w:val="0"/>
          <w:marRight w:val="0"/>
          <w:marTop w:val="0"/>
          <w:marBottom w:val="0"/>
          <w:divBdr>
            <w:top w:val="none" w:sz="0" w:space="0" w:color="auto"/>
            <w:left w:val="none" w:sz="0" w:space="0" w:color="auto"/>
            <w:bottom w:val="none" w:sz="0" w:space="0" w:color="auto"/>
            <w:right w:val="none" w:sz="0" w:space="0" w:color="auto"/>
          </w:divBdr>
        </w:div>
        <w:div w:id="1012342058">
          <w:marLeft w:val="0"/>
          <w:marRight w:val="0"/>
          <w:marTop w:val="0"/>
          <w:marBottom w:val="0"/>
          <w:divBdr>
            <w:top w:val="none" w:sz="0" w:space="0" w:color="auto"/>
            <w:left w:val="none" w:sz="0" w:space="0" w:color="auto"/>
            <w:bottom w:val="none" w:sz="0" w:space="0" w:color="auto"/>
            <w:right w:val="none" w:sz="0" w:space="0" w:color="auto"/>
          </w:divBdr>
        </w:div>
        <w:div w:id="1545676907">
          <w:marLeft w:val="0"/>
          <w:marRight w:val="0"/>
          <w:marTop w:val="0"/>
          <w:marBottom w:val="0"/>
          <w:divBdr>
            <w:top w:val="none" w:sz="0" w:space="0" w:color="auto"/>
            <w:left w:val="none" w:sz="0" w:space="0" w:color="auto"/>
            <w:bottom w:val="none" w:sz="0" w:space="0" w:color="auto"/>
            <w:right w:val="none" w:sz="0" w:space="0" w:color="auto"/>
          </w:divBdr>
        </w:div>
        <w:div w:id="410810128">
          <w:marLeft w:val="0"/>
          <w:marRight w:val="0"/>
          <w:marTop w:val="0"/>
          <w:marBottom w:val="0"/>
          <w:divBdr>
            <w:top w:val="none" w:sz="0" w:space="0" w:color="auto"/>
            <w:left w:val="none" w:sz="0" w:space="0" w:color="auto"/>
            <w:bottom w:val="none" w:sz="0" w:space="0" w:color="auto"/>
            <w:right w:val="none" w:sz="0" w:space="0" w:color="auto"/>
          </w:divBdr>
        </w:div>
        <w:div w:id="1401488316">
          <w:marLeft w:val="0"/>
          <w:marRight w:val="0"/>
          <w:marTop w:val="0"/>
          <w:marBottom w:val="0"/>
          <w:divBdr>
            <w:top w:val="none" w:sz="0" w:space="0" w:color="auto"/>
            <w:left w:val="none" w:sz="0" w:space="0" w:color="auto"/>
            <w:bottom w:val="none" w:sz="0" w:space="0" w:color="auto"/>
            <w:right w:val="none" w:sz="0" w:space="0" w:color="auto"/>
          </w:divBdr>
        </w:div>
        <w:div w:id="1164976120">
          <w:marLeft w:val="0"/>
          <w:marRight w:val="0"/>
          <w:marTop w:val="0"/>
          <w:marBottom w:val="0"/>
          <w:divBdr>
            <w:top w:val="none" w:sz="0" w:space="0" w:color="auto"/>
            <w:left w:val="none" w:sz="0" w:space="0" w:color="auto"/>
            <w:bottom w:val="none" w:sz="0" w:space="0" w:color="auto"/>
            <w:right w:val="none" w:sz="0" w:space="0" w:color="auto"/>
          </w:divBdr>
        </w:div>
        <w:div w:id="114106748">
          <w:marLeft w:val="0"/>
          <w:marRight w:val="0"/>
          <w:marTop w:val="0"/>
          <w:marBottom w:val="0"/>
          <w:divBdr>
            <w:top w:val="none" w:sz="0" w:space="0" w:color="auto"/>
            <w:left w:val="none" w:sz="0" w:space="0" w:color="auto"/>
            <w:bottom w:val="none" w:sz="0" w:space="0" w:color="auto"/>
            <w:right w:val="none" w:sz="0" w:space="0" w:color="auto"/>
          </w:divBdr>
        </w:div>
      </w:divsChild>
    </w:div>
    <w:div w:id="304820557">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97989">
      <w:bodyDiv w:val="1"/>
      <w:marLeft w:val="0"/>
      <w:marRight w:val="0"/>
      <w:marTop w:val="0"/>
      <w:marBottom w:val="0"/>
      <w:divBdr>
        <w:top w:val="none" w:sz="0" w:space="0" w:color="auto"/>
        <w:left w:val="none" w:sz="0" w:space="0" w:color="auto"/>
        <w:bottom w:val="none" w:sz="0" w:space="0" w:color="auto"/>
        <w:right w:val="none" w:sz="0" w:space="0" w:color="auto"/>
      </w:divBdr>
    </w:div>
    <w:div w:id="502209592">
      <w:bodyDiv w:val="1"/>
      <w:marLeft w:val="0"/>
      <w:marRight w:val="0"/>
      <w:marTop w:val="0"/>
      <w:marBottom w:val="0"/>
      <w:divBdr>
        <w:top w:val="none" w:sz="0" w:space="0" w:color="auto"/>
        <w:left w:val="none" w:sz="0" w:space="0" w:color="auto"/>
        <w:bottom w:val="none" w:sz="0" w:space="0" w:color="auto"/>
        <w:right w:val="none" w:sz="0" w:space="0" w:color="auto"/>
      </w:divBdr>
    </w:div>
    <w:div w:id="717900052">
      <w:bodyDiv w:val="1"/>
      <w:marLeft w:val="0"/>
      <w:marRight w:val="0"/>
      <w:marTop w:val="0"/>
      <w:marBottom w:val="0"/>
      <w:divBdr>
        <w:top w:val="none" w:sz="0" w:space="0" w:color="auto"/>
        <w:left w:val="none" w:sz="0" w:space="0" w:color="auto"/>
        <w:bottom w:val="none" w:sz="0" w:space="0" w:color="auto"/>
        <w:right w:val="none" w:sz="0" w:space="0" w:color="auto"/>
      </w:divBdr>
      <w:divsChild>
        <w:div w:id="1723602663">
          <w:marLeft w:val="0"/>
          <w:marRight w:val="0"/>
          <w:marTop w:val="0"/>
          <w:marBottom w:val="0"/>
          <w:divBdr>
            <w:top w:val="none" w:sz="0" w:space="0" w:color="auto"/>
            <w:left w:val="none" w:sz="0" w:space="0" w:color="auto"/>
            <w:bottom w:val="none" w:sz="0" w:space="0" w:color="auto"/>
            <w:right w:val="none" w:sz="0" w:space="0" w:color="auto"/>
          </w:divBdr>
          <w:divsChild>
            <w:div w:id="1351252092">
              <w:marLeft w:val="0"/>
              <w:marRight w:val="0"/>
              <w:marTop w:val="0"/>
              <w:marBottom w:val="0"/>
              <w:divBdr>
                <w:top w:val="none" w:sz="0" w:space="0" w:color="auto"/>
                <w:left w:val="none" w:sz="0" w:space="0" w:color="auto"/>
                <w:bottom w:val="none" w:sz="0" w:space="0" w:color="auto"/>
                <w:right w:val="none" w:sz="0" w:space="0" w:color="auto"/>
              </w:divBdr>
              <w:divsChild>
                <w:div w:id="1228805931">
                  <w:marLeft w:val="0"/>
                  <w:marRight w:val="0"/>
                  <w:marTop w:val="0"/>
                  <w:marBottom w:val="0"/>
                  <w:divBdr>
                    <w:top w:val="none" w:sz="0" w:space="0" w:color="auto"/>
                    <w:left w:val="none" w:sz="0" w:space="0" w:color="auto"/>
                    <w:bottom w:val="none" w:sz="0" w:space="0" w:color="auto"/>
                    <w:right w:val="none" w:sz="0" w:space="0" w:color="auto"/>
                  </w:divBdr>
                  <w:divsChild>
                    <w:div w:id="1544099813">
                      <w:marLeft w:val="0"/>
                      <w:marRight w:val="0"/>
                      <w:marTop w:val="0"/>
                      <w:marBottom w:val="0"/>
                      <w:divBdr>
                        <w:top w:val="none" w:sz="0" w:space="0" w:color="auto"/>
                        <w:left w:val="none" w:sz="0" w:space="0" w:color="auto"/>
                        <w:bottom w:val="none" w:sz="0" w:space="0" w:color="auto"/>
                        <w:right w:val="none" w:sz="0" w:space="0" w:color="auto"/>
                      </w:divBdr>
                      <w:divsChild>
                        <w:div w:id="715468452">
                          <w:marLeft w:val="0"/>
                          <w:marRight w:val="0"/>
                          <w:marTop w:val="0"/>
                          <w:marBottom w:val="0"/>
                          <w:divBdr>
                            <w:top w:val="none" w:sz="0" w:space="0" w:color="auto"/>
                            <w:left w:val="none" w:sz="0" w:space="0" w:color="auto"/>
                            <w:bottom w:val="none" w:sz="0" w:space="0" w:color="auto"/>
                            <w:right w:val="none" w:sz="0" w:space="0" w:color="auto"/>
                          </w:divBdr>
                          <w:divsChild>
                            <w:div w:id="854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328961">
      <w:bodyDiv w:val="1"/>
      <w:marLeft w:val="0"/>
      <w:marRight w:val="0"/>
      <w:marTop w:val="0"/>
      <w:marBottom w:val="0"/>
      <w:divBdr>
        <w:top w:val="none" w:sz="0" w:space="0" w:color="auto"/>
        <w:left w:val="none" w:sz="0" w:space="0" w:color="auto"/>
        <w:bottom w:val="none" w:sz="0" w:space="0" w:color="auto"/>
        <w:right w:val="none" w:sz="0" w:space="0" w:color="auto"/>
      </w:divBdr>
      <w:divsChild>
        <w:div w:id="301204348">
          <w:marLeft w:val="0"/>
          <w:marRight w:val="0"/>
          <w:marTop w:val="0"/>
          <w:marBottom w:val="0"/>
          <w:divBdr>
            <w:top w:val="none" w:sz="0" w:space="0" w:color="auto"/>
            <w:left w:val="none" w:sz="0" w:space="0" w:color="auto"/>
            <w:bottom w:val="none" w:sz="0" w:space="0" w:color="auto"/>
            <w:right w:val="none" w:sz="0" w:space="0" w:color="auto"/>
          </w:divBdr>
          <w:divsChild>
            <w:div w:id="196817220">
              <w:marLeft w:val="0"/>
              <w:marRight w:val="0"/>
              <w:marTop w:val="0"/>
              <w:marBottom w:val="0"/>
              <w:divBdr>
                <w:top w:val="none" w:sz="0" w:space="0" w:color="auto"/>
                <w:left w:val="none" w:sz="0" w:space="0" w:color="auto"/>
                <w:bottom w:val="none" w:sz="0" w:space="0" w:color="auto"/>
                <w:right w:val="none" w:sz="0" w:space="0" w:color="auto"/>
              </w:divBdr>
              <w:divsChild>
                <w:div w:id="603806753">
                  <w:marLeft w:val="0"/>
                  <w:marRight w:val="0"/>
                  <w:marTop w:val="0"/>
                  <w:marBottom w:val="0"/>
                  <w:divBdr>
                    <w:top w:val="none" w:sz="0" w:space="0" w:color="auto"/>
                    <w:left w:val="none" w:sz="0" w:space="0" w:color="auto"/>
                    <w:bottom w:val="none" w:sz="0" w:space="0" w:color="auto"/>
                    <w:right w:val="none" w:sz="0" w:space="0" w:color="auto"/>
                  </w:divBdr>
                  <w:divsChild>
                    <w:div w:id="107748475">
                      <w:marLeft w:val="0"/>
                      <w:marRight w:val="0"/>
                      <w:marTop w:val="0"/>
                      <w:marBottom w:val="0"/>
                      <w:divBdr>
                        <w:top w:val="none" w:sz="0" w:space="0" w:color="auto"/>
                        <w:left w:val="none" w:sz="0" w:space="0" w:color="auto"/>
                        <w:bottom w:val="none" w:sz="0" w:space="0" w:color="auto"/>
                        <w:right w:val="none" w:sz="0" w:space="0" w:color="auto"/>
                      </w:divBdr>
                      <w:divsChild>
                        <w:div w:id="1286237622">
                          <w:marLeft w:val="0"/>
                          <w:marRight w:val="0"/>
                          <w:marTop w:val="0"/>
                          <w:marBottom w:val="0"/>
                          <w:divBdr>
                            <w:top w:val="none" w:sz="0" w:space="0" w:color="auto"/>
                            <w:left w:val="none" w:sz="0" w:space="0" w:color="auto"/>
                            <w:bottom w:val="none" w:sz="0" w:space="0" w:color="auto"/>
                            <w:right w:val="none" w:sz="0" w:space="0" w:color="auto"/>
                          </w:divBdr>
                          <w:divsChild>
                            <w:div w:id="10139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88956">
      <w:bodyDiv w:val="1"/>
      <w:marLeft w:val="0"/>
      <w:marRight w:val="0"/>
      <w:marTop w:val="0"/>
      <w:marBottom w:val="0"/>
      <w:divBdr>
        <w:top w:val="none" w:sz="0" w:space="0" w:color="auto"/>
        <w:left w:val="none" w:sz="0" w:space="0" w:color="auto"/>
        <w:bottom w:val="none" w:sz="0" w:space="0" w:color="auto"/>
        <w:right w:val="none" w:sz="0" w:space="0" w:color="auto"/>
      </w:divBdr>
      <w:divsChild>
        <w:div w:id="1983804515">
          <w:marLeft w:val="0"/>
          <w:marRight w:val="0"/>
          <w:marTop w:val="0"/>
          <w:marBottom w:val="0"/>
          <w:divBdr>
            <w:top w:val="none" w:sz="0" w:space="0" w:color="auto"/>
            <w:left w:val="none" w:sz="0" w:space="0" w:color="auto"/>
            <w:bottom w:val="none" w:sz="0" w:space="0" w:color="auto"/>
            <w:right w:val="none" w:sz="0" w:space="0" w:color="auto"/>
          </w:divBdr>
          <w:divsChild>
            <w:div w:id="996566663">
              <w:marLeft w:val="0"/>
              <w:marRight w:val="0"/>
              <w:marTop w:val="0"/>
              <w:marBottom w:val="0"/>
              <w:divBdr>
                <w:top w:val="none" w:sz="0" w:space="0" w:color="auto"/>
                <w:left w:val="none" w:sz="0" w:space="0" w:color="auto"/>
                <w:bottom w:val="none" w:sz="0" w:space="0" w:color="auto"/>
                <w:right w:val="none" w:sz="0" w:space="0" w:color="auto"/>
              </w:divBdr>
              <w:divsChild>
                <w:div w:id="1974215197">
                  <w:marLeft w:val="0"/>
                  <w:marRight w:val="0"/>
                  <w:marTop w:val="0"/>
                  <w:marBottom w:val="0"/>
                  <w:divBdr>
                    <w:top w:val="none" w:sz="0" w:space="0" w:color="auto"/>
                    <w:left w:val="none" w:sz="0" w:space="0" w:color="auto"/>
                    <w:bottom w:val="none" w:sz="0" w:space="0" w:color="auto"/>
                    <w:right w:val="none" w:sz="0" w:space="0" w:color="auto"/>
                  </w:divBdr>
                  <w:divsChild>
                    <w:div w:id="2048481506">
                      <w:marLeft w:val="0"/>
                      <w:marRight w:val="0"/>
                      <w:marTop w:val="0"/>
                      <w:marBottom w:val="0"/>
                      <w:divBdr>
                        <w:top w:val="none" w:sz="0" w:space="0" w:color="auto"/>
                        <w:left w:val="none" w:sz="0" w:space="0" w:color="auto"/>
                        <w:bottom w:val="none" w:sz="0" w:space="0" w:color="auto"/>
                        <w:right w:val="none" w:sz="0" w:space="0" w:color="auto"/>
                      </w:divBdr>
                      <w:divsChild>
                        <w:div w:id="1457600262">
                          <w:marLeft w:val="0"/>
                          <w:marRight w:val="0"/>
                          <w:marTop w:val="0"/>
                          <w:marBottom w:val="0"/>
                          <w:divBdr>
                            <w:top w:val="none" w:sz="0" w:space="0" w:color="auto"/>
                            <w:left w:val="none" w:sz="0" w:space="0" w:color="auto"/>
                            <w:bottom w:val="none" w:sz="0" w:space="0" w:color="auto"/>
                            <w:right w:val="none" w:sz="0" w:space="0" w:color="auto"/>
                          </w:divBdr>
                          <w:divsChild>
                            <w:div w:id="590432734">
                              <w:marLeft w:val="0"/>
                              <w:marRight w:val="0"/>
                              <w:marTop w:val="480"/>
                              <w:marBottom w:val="240"/>
                              <w:divBdr>
                                <w:top w:val="none" w:sz="0" w:space="0" w:color="auto"/>
                                <w:left w:val="none" w:sz="0" w:space="0" w:color="auto"/>
                                <w:bottom w:val="none" w:sz="0" w:space="0" w:color="auto"/>
                                <w:right w:val="none" w:sz="0" w:space="0" w:color="auto"/>
                              </w:divBdr>
                            </w:div>
                            <w:div w:id="193943764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49219">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417135">
      <w:bodyDiv w:val="1"/>
      <w:marLeft w:val="0"/>
      <w:marRight w:val="0"/>
      <w:marTop w:val="0"/>
      <w:marBottom w:val="0"/>
      <w:divBdr>
        <w:top w:val="none" w:sz="0" w:space="0" w:color="auto"/>
        <w:left w:val="none" w:sz="0" w:space="0" w:color="auto"/>
        <w:bottom w:val="none" w:sz="0" w:space="0" w:color="auto"/>
        <w:right w:val="none" w:sz="0" w:space="0" w:color="auto"/>
      </w:divBdr>
      <w:divsChild>
        <w:div w:id="107937887">
          <w:marLeft w:val="0"/>
          <w:marRight w:val="0"/>
          <w:marTop w:val="0"/>
          <w:marBottom w:val="0"/>
          <w:divBdr>
            <w:top w:val="none" w:sz="0" w:space="0" w:color="auto"/>
            <w:left w:val="none" w:sz="0" w:space="0" w:color="auto"/>
            <w:bottom w:val="none" w:sz="0" w:space="0" w:color="auto"/>
            <w:right w:val="none" w:sz="0" w:space="0" w:color="auto"/>
          </w:divBdr>
          <w:divsChild>
            <w:div w:id="1919317834">
              <w:marLeft w:val="0"/>
              <w:marRight w:val="0"/>
              <w:marTop w:val="0"/>
              <w:marBottom w:val="0"/>
              <w:divBdr>
                <w:top w:val="none" w:sz="0" w:space="0" w:color="auto"/>
                <w:left w:val="none" w:sz="0" w:space="0" w:color="auto"/>
                <w:bottom w:val="none" w:sz="0" w:space="0" w:color="auto"/>
                <w:right w:val="none" w:sz="0" w:space="0" w:color="auto"/>
              </w:divBdr>
              <w:divsChild>
                <w:div w:id="251668362">
                  <w:marLeft w:val="0"/>
                  <w:marRight w:val="0"/>
                  <w:marTop w:val="0"/>
                  <w:marBottom w:val="0"/>
                  <w:divBdr>
                    <w:top w:val="none" w:sz="0" w:space="0" w:color="auto"/>
                    <w:left w:val="none" w:sz="0" w:space="0" w:color="auto"/>
                    <w:bottom w:val="none" w:sz="0" w:space="0" w:color="auto"/>
                    <w:right w:val="none" w:sz="0" w:space="0" w:color="auto"/>
                  </w:divBdr>
                  <w:divsChild>
                    <w:div w:id="105932597">
                      <w:marLeft w:val="0"/>
                      <w:marRight w:val="0"/>
                      <w:marTop w:val="0"/>
                      <w:marBottom w:val="0"/>
                      <w:divBdr>
                        <w:top w:val="none" w:sz="0" w:space="0" w:color="auto"/>
                        <w:left w:val="none" w:sz="0" w:space="0" w:color="auto"/>
                        <w:bottom w:val="none" w:sz="0" w:space="0" w:color="auto"/>
                        <w:right w:val="none" w:sz="0" w:space="0" w:color="auto"/>
                      </w:divBdr>
                      <w:divsChild>
                        <w:div w:id="406922960">
                          <w:marLeft w:val="0"/>
                          <w:marRight w:val="0"/>
                          <w:marTop w:val="0"/>
                          <w:marBottom w:val="0"/>
                          <w:divBdr>
                            <w:top w:val="none" w:sz="0" w:space="0" w:color="auto"/>
                            <w:left w:val="none" w:sz="0" w:space="0" w:color="auto"/>
                            <w:bottom w:val="none" w:sz="0" w:space="0" w:color="auto"/>
                            <w:right w:val="none" w:sz="0" w:space="0" w:color="auto"/>
                          </w:divBdr>
                          <w:divsChild>
                            <w:div w:id="13225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487367">
      <w:bodyDiv w:val="1"/>
      <w:marLeft w:val="0"/>
      <w:marRight w:val="0"/>
      <w:marTop w:val="0"/>
      <w:marBottom w:val="0"/>
      <w:divBdr>
        <w:top w:val="none" w:sz="0" w:space="0" w:color="auto"/>
        <w:left w:val="none" w:sz="0" w:space="0" w:color="auto"/>
        <w:bottom w:val="none" w:sz="0" w:space="0" w:color="auto"/>
        <w:right w:val="none" w:sz="0" w:space="0" w:color="auto"/>
      </w:divBdr>
    </w:div>
    <w:div w:id="1215116536">
      <w:bodyDiv w:val="1"/>
      <w:marLeft w:val="0"/>
      <w:marRight w:val="0"/>
      <w:marTop w:val="0"/>
      <w:marBottom w:val="0"/>
      <w:divBdr>
        <w:top w:val="none" w:sz="0" w:space="0" w:color="auto"/>
        <w:left w:val="none" w:sz="0" w:space="0" w:color="auto"/>
        <w:bottom w:val="none" w:sz="0" w:space="0" w:color="auto"/>
        <w:right w:val="none" w:sz="0" w:space="0" w:color="auto"/>
      </w:divBdr>
      <w:divsChild>
        <w:div w:id="134837378">
          <w:marLeft w:val="0"/>
          <w:marRight w:val="0"/>
          <w:marTop w:val="0"/>
          <w:marBottom w:val="0"/>
          <w:divBdr>
            <w:top w:val="none" w:sz="0" w:space="0" w:color="auto"/>
            <w:left w:val="none" w:sz="0" w:space="0" w:color="auto"/>
            <w:bottom w:val="none" w:sz="0" w:space="0" w:color="auto"/>
            <w:right w:val="none" w:sz="0" w:space="0" w:color="auto"/>
          </w:divBdr>
          <w:divsChild>
            <w:div w:id="1926106717">
              <w:marLeft w:val="0"/>
              <w:marRight w:val="0"/>
              <w:marTop w:val="0"/>
              <w:marBottom w:val="0"/>
              <w:divBdr>
                <w:top w:val="none" w:sz="0" w:space="0" w:color="auto"/>
                <w:left w:val="none" w:sz="0" w:space="0" w:color="auto"/>
                <w:bottom w:val="none" w:sz="0" w:space="0" w:color="auto"/>
                <w:right w:val="none" w:sz="0" w:space="0" w:color="auto"/>
              </w:divBdr>
              <w:divsChild>
                <w:div w:id="492650387">
                  <w:marLeft w:val="0"/>
                  <w:marRight w:val="0"/>
                  <w:marTop w:val="0"/>
                  <w:marBottom w:val="0"/>
                  <w:divBdr>
                    <w:top w:val="none" w:sz="0" w:space="0" w:color="auto"/>
                    <w:left w:val="none" w:sz="0" w:space="0" w:color="auto"/>
                    <w:bottom w:val="none" w:sz="0" w:space="0" w:color="auto"/>
                    <w:right w:val="none" w:sz="0" w:space="0" w:color="auto"/>
                  </w:divBdr>
                  <w:divsChild>
                    <w:div w:id="1863782565">
                      <w:marLeft w:val="0"/>
                      <w:marRight w:val="0"/>
                      <w:marTop w:val="0"/>
                      <w:marBottom w:val="0"/>
                      <w:divBdr>
                        <w:top w:val="none" w:sz="0" w:space="0" w:color="auto"/>
                        <w:left w:val="none" w:sz="0" w:space="0" w:color="auto"/>
                        <w:bottom w:val="none" w:sz="0" w:space="0" w:color="auto"/>
                        <w:right w:val="none" w:sz="0" w:space="0" w:color="auto"/>
                      </w:divBdr>
                      <w:divsChild>
                        <w:div w:id="1612322317">
                          <w:marLeft w:val="0"/>
                          <w:marRight w:val="0"/>
                          <w:marTop w:val="0"/>
                          <w:marBottom w:val="0"/>
                          <w:divBdr>
                            <w:top w:val="none" w:sz="0" w:space="0" w:color="auto"/>
                            <w:left w:val="none" w:sz="0" w:space="0" w:color="auto"/>
                            <w:bottom w:val="none" w:sz="0" w:space="0" w:color="auto"/>
                            <w:right w:val="none" w:sz="0" w:space="0" w:color="auto"/>
                          </w:divBdr>
                          <w:divsChild>
                            <w:div w:id="15105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319458481">
      <w:bodyDiv w:val="1"/>
      <w:marLeft w:val="0"/>
      <w:marRight w:val="0"/>
      <w:marTop w:val="0"/>
      <w:marBottom w:val="0"/>
      <w:divBdr>
        <w:top w:val="none" w:sz="0" w:space="0" w:color="auto"/>
        <w:left w:val="none" w:sz="0" w:space="0" w:color="auto"/>
        <w:bottom w:val="none" w:sz="0" w:space="0" w:color="auto"/>
        <w:right w:val="none" w:sz="0" w:space="0" w:color="auto"/>
      </w:divBdr>
    </w:div>
    <w:div w:id="1491211806">
      <w:bodyDiv w:val="1"/>
      <w:marLeft w:val="0"/>
      <w:marRight w:val="0"/>
      <w:marTop w:val="0"/>
      <w:marBottom w:val="0"/>
      <w:divBdr>
        <w:top w:val="none" w:sz="0" w:space="0" w:color="auto"/>
        <w:left w:val="none" w:sz="0" w:space="0" w:color="auto"/>
        <w:bottom w:val="none" w:sz="0" w:space="0" w:color="auto"/>
        <w:right w:val="none" w:sz="0" w:space="0" w:color="auto"/>
      </w:divBdr>
      <w:divsChild>
        <w:div w:id="781263470">
          <w:marLeft w:val="0"/>
          <w:marRight w:val="0"/>
          <w:marTop w:val="0"/>
          <w:marBottom w:val="0"/>
          <w:divBdr>
            <w:top w:val="none" w:sz="0" w:space="0" w:color="auto"/>
            <w:left w:val="none" w:sz="0" w:space="0" w:color="auto"/>
            <w:bottom w:val="none" w:sz="0" w:space="0" w:color="auto"/>
            <w:right w:val="none" w:sz="0" w:space="0" w:color="auto"/>
          </w:divBdr>
          <w:divsChild>
            <w:div w:id="820586453">
              <w:marLeft w:val="0"/>
              <w:marRight w:val="0"/>
              <w:marTop w:val="0"/>
              <w:marBottom w:val="0"/>
              <w:divBdr>
                <w:top w:val="none" w:sz="0" w:space="0" w:color="auto"/>
                <w:left w:val="none" w:sz="0" w:space="0" w:color="auto"/>
                <w:bottom w:val="none" w:sz="0" w:space="0" w:color="auto"/>
                <w:right w:val="none" w:sz="0" w:space="0" w:color="auto"/>
              </w:divBdr>
              <w:divsChild>
                <w:div w:id="50541793">
                  <w:marLeft w:val="0"/>
                  <w:marRight w:val="0"/>
                  <w:marTop w:val="0"/>
                  <w:marBottom w:val="0"/>
                  <w:divBdr>
                    <w:top w:val="none" w:sz="0" w:space="0" w:color="auto"/>
                    <w:left w:val="none" w:sz="0" w:space="0" w:color="auto"/>
                    <w:bottom w:val="none" w:sz="0" w:space="0" w:color="auto"/>
                    <w:right w:val="none" w:sz="0" w:space="0" w:color="auto"/>
                  </w:divBdr>
                  <w:divsChild>
                    <w:div w:id="819462921">
                      <w:marLeft w:val="0"/>
                      <w:marRight w:val="0"/>
                      <w:marTop w:val="0"/>
                      <w:marBottom w:val="0"/>
                      <w:divBdr>
                        <w:top w:val="none" w:sz="0" w:space="0" w:color="auto"/>
                        <w:left w:val="none" w:sz="0" w:space="0" w:color="auto"/>
                        <w:bottom w:val="none" w:sz="0" w:space="0" w:color="auto"/>
                        <w:right w:val="none" w:sz="0" w:space="0" w:color="auto"/>
                      </w:divBdr>
                      <w:divsChild>
                        <w:div w:id="2038892279">
                          <w:marLeft w:val="0"/>
                          <w:marRight w:val="0"/>
                          <w:marTop w:val="0"/>
                          <w:marBottom w:val="0"/>
                          <w:divBdr>
                            <w:top w:val="none" w:sz="0" w:space="0" w:color="auto"/>
                            <w:left w:val="none" w:sz="0" w:space="0" w:color="auto"/>
                            <w:bottom w:val="none" w:sz="0" w:space="0" w:color="auto"/>
                            <w:right w:val="none" w:sz="0" w:space="0" w:color="auto"/>
                          </w:divBdr>
                          <w:divsChild>
                            <w:div w:id="423307638">
                              <w:marLeft w:val="0"/>
                              <w:marRight w:val="0"/>
                              <w:marTop w:val="480"/>
                              <w:marBottom w:val="240"/>
                              <w:divBdr>
                                <w:top w:val="none" w:sz="0" w:space="0" w:color="auto"/>
                                <w:left w:val="none" w:sz="0" w:space="0" w:color="auto"/>
                                <w:bottom w:val="none" w:sz="0" w:space="0" w:color="auto"/>
                                <w:right w:val="none" w:sz="0" w:space="0" w:color="auto"/>
                              </w:divBdr>
                            </w:div>
                            <w:div w:id="6107476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558272">
      <w:bodyDiv w:val="1"/>
      <w:marLeft w:val="0"/>
      <w:marRight w:val="0"/>
      <w:marTop w:val="0"/>
      <w:marBottom w:val="0"/>
      <w:divBdr>
        <w:top w:val="none" w:sz="0" w:space="0" w:color="auto"/>
        <w:left w:val="none" w:sz="0" w:space="0" w:color="auto"/>
        <w:bottom w:val="none" w:sz="0" w:space="0" w:color="auto"/>
        <w:right w:val="none" w:sz="0" w:space="0" w:color="auto"/>
      </w:divBdr>
      <w:divsChild>
        <w:div w:id="106892681">
          <w:marLeft w:val="0"/>
          <w:marRight w:val="0"/>
          <w:marTop w:val="0"/>
          <w:marBottom w:val="0"/>
          <w:divBdr>
            <w:top w:val="none" w:sz="0" w:space="0" w:color="auto"/>
            <w:left w:val="none" w:sz="0" w:space="0" w:color="auto"/>
            <w:bottom w:val="none" w:sz="0" w:space="0" w:color="auto"/>
            <w:right w:val="none" w:sz="0" w:space="0" w:color="auto"/>
          </w:divBdr>
          <w:divsChild>
            <w:div w:id="2090956692">
              <w:marLeft w:val="0"/>
              <w:marRight w:val="0"/>
              <w:marTop w:val="0"/>
              <w:marBottom w:val="0"/>
              <w:divBdr>
                <w:top w:val="none" w:sz="0" w:space="0" w:color="auto"/>
                <w:left w:val="none" w:sz="0" w:space="0" w:color="auto"/>
                <w:bottom w:val="none" w:sz="0" w:space="0" w:color="auto"/>
                <w:right w:val="none" w:sz="0" w:space="0" w:color="auto"/>
              </w:divBdr>
              <w:divsChild>
                <w:div w:id="240675424">
                  <w:marLeft w:val="0"/>
                  <w:marRight w:val="0"/>
                  <w:marTop w:val="0"/>
                  <w:marBottom w:val="0"/>
                  <w:divBdr>
                    <w:top w:val="none" w:sz="0" w:space="0" w:color="auto"/>
                    <w:left w:val="none" w:sz="0" w:space="0" w:color="auto"/>
                    <w:bottom w:val="none" w:sz="0" w:space="0" w:color="auto"/>
                    <w:right w:val="none" w:sz="0" w:space="0" w:color="auto"/>
                  </w:divBdr>
                  <w:divsChild>
                    <w:div w:id="993483953">
                      <w:marLeft w:val="0"/>
                      <w:marRight w:val="0"/>
                      <w:marTop w:val="0"/>
                      <w:marBottom w:val="0"/>
                      <w:divBdr>
                        <w:top w:val="none" w:sz="0" w:space="0" w:color="auto"/>
                        <w:left w:val="none" w:sz="0" w:space="0" w:color="auto"/>
                        <w:bottom w:val="none" w:sz="0" w:space="0" w:color="auto"/>
                        <w:right w:val="none" w:sz="0" w:space="0" w:color="auto"/>
                      </w:divBdr>
                      <w:divsChild>
                        <w:div w:id="1131938474">
                          <w:marLeft w:val="0"/>
                          <w:marRight w:val="0"/>
                          <w:marTop w:val="0"/>
                          <w:marBottom w:val="0"/>
                          <w:divBdr>
                            <w:top w:val="none" w:sz="0" w:space="0" w:color="auto"/>
                            <w:left w:val="none" w:sz="0" w:space="0" w:color="auto"/>
                            <w:bottom w:val="none" w:sz="0" w:space="0" w:color="auto"/>
                            <w:right w:val="none" w:sz="0" w:space="0" w:color="auto"/>
                          </w:divBdr>
                          <w:divsChild>
                            <w:div w:id="1722947890">
                              <w:marLeft w:val="0"/>
                              <w:marRight w:val="0"/>
                              <w:marTop w:val="0"/>
                              <w:marBottom w:val="0"/>
                              <w:divBdr>
                                <w:top w:val="none" w:sz="0" w:space="0" w:color="auto"/>
                                <w:left w:val="none" w:sz="0" w:space="0" w:color="auto"/>
                                <w:bottom w:val="none" w:sz="0" w:space="0" w:color="auto"/>
                                <w:right w:val="none" w:sz="0" w:space="0" w:color="auto"/>
                              </w:divBdr>
                              <w:divsChild>
                                <w:div w:id="1134369740">
                                  <w:marLeft w:val="0"/>
                                  <w:marRight w:val="0"/>
                                  <w:marTop w:val="0"/>
                                  <w:marBottom w:val="0"/>
                                  <w:divBdr>
                                    <w:top w:val="none" w:sz="0" w:space="0" w:color="auto"/>
                                    <w:left w:val="none" w:sz="0" w:space="0" w:color="auto"/>
                                    <w:bottom w:val="none" w:sz="0" w:space="0" w:color="auto"/>
                                    <w:right w:val="none" w:sz="0" w:space="0" w:color="auto"/>
                                  </w:divBdr>
                                </w:div>
                              </w:divsChild>
                            </w:div>
                            <w:div w:id="4028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821273">
      <w:bodyDiv w:val="1"/>
      <w:marLeft w:val="0"/>
      <w:marRight w:val="0"/>
      <w:marTop w:val="0"/>
      <w:marBottom w:val="0"/>
      <w:divBdr>
        <w:top w:val="none" w:sz="0" w:space="0" w:color="auto"/>
        <w:left w:val="none" w:sz="0" w:space="0" w:color="auto"/>
        <w:bottom w:val="none" w:sz="0" w:space="0" w:color="auto"/>
        <w:right w:val="none" w:sz="0" w:space="0" w:color="auto"/>
      </w:divBdr>
    </w:div>
    <w:div w:id="1530483931">
      <w:bodyDiv w:val="1"/>
      <w:marLeft w:val="0"/>
      <w:marRight w:val="0"/>
      <w:marTop w:val="0"/>
      <w:marBottom w:val="0"/>
      <w:divBdr>
        <w:top w:val="none" w:sz="0" w:space="0" w:color="auto"/>
        <w:left w:val="none" w:sz="0" w:space="0" w:color="auto"/>
        <w:bottom w:val="none" w:sz="0" w:space="0" w:color="auto"/>
        <w:right w:val="none" w:sz="0" w:space="0" w:color="auto"/>
      </w:divBdr>
    </w:div>
    <w:div w:id="1605964275">
      <w:bodyDiv w:val="1"/>
      <w:marLeft w:val="0"/>
      <w:marRight w:val="0"/>
      <w:marTop w:val="0"/>
      <w:marBottom w:val="0"/>
      <w:divBdr>
        <w:top w:val="none" w:sz="0" w:space="0" w:color="auto"/>
        <w:left w:val="none" w:sz="0" w:space="0" w:color="auto"/>
        <w:bottom w:val="none" w:sz="0" w:space="0" w:color="auto"/>
        <w:right w:val="none" w:sz="0" w:space="0" w:color="auto"/>
      </w:divBdr>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94416">
      <w:bodyDiv w:val="1"/>
      <w:marLeft w:val="0"/>
      <w:marRight w:val="0"/>
      <w:marTop w:val="0"/>
      <w:marBottom w:val="0"/>
      <w:divBdr>
        <w:top w:val="none" w:sz="0" w:space="0" w:color="auto"/>
        <w:left w:val="none" w:sz="0" w:space="0" w:color="auto"/>
        <w:bottom w:val="none" w:sz="0" w:space="0" w:color="auto"/>
        <w:right w:val="none" w:sz="0" w:space="0" w:color="auto"/>
      </w:divBdr>
      <w:divsChild>
        <w:div w:id="1817262480">
          <w:marLeft w:val="0"/>
          <w:marRight w:val="0"/>
          <w:marTop w:val="0"/>
          <w:marBottom w:val="0"/>
          <w:divBdr>
            <w:top w:val="none" w:sz="0" w:space="0" w:color="auto"/>
            <w:left w:val="none" w:sz="0" w:space="0" w:color="auto"/>
            <w:bottom w:val="none" w:sz="0" w:space="0" w:color="auto"/>
            <w:right w:val="none" w:sz="0" w:space="0" w:color="auto"/>
          </w:divBdr>
          <w:divsChild>
            <w:div w:id="1554734149">
              <w:marLeft w:val="0"/>
              <w:marRight w:val="0"/>
              <w:marTop w:val="0"/>
              <w:marBottom w:val="0"/>
              <w:divBdr>
                <w:top w:val="none" w:sz="0" w:space="0" w:color="auto"/>
                <w:left w:val="none" w:sz="0" w:space="0" w:color="auto"/>
                <w:bottom w:val="none" w:sz="0" w:space="0" w:color="auto"/>
                <w:right w:val="none" w:sz="0" w:space="0" w:color="auto"/>
              </w:divBdr>
              <w:divsChild>
                <w:div w:id="823937502">
                  <w:marLeft w:val="0"/>
                  <w:marRight w:val="0"/>
                  <w:marTop w:val="0"/>
                  <w:marBottom w:val="0"/>
                  <w:divBdr>
                    <w:top w:val="none" w:sz="0" w:space="0" w:color="auto"/>
                    <w:left w:val="none" w:sz="0" w:space="0" w:color="auto"/>
                    <w:bottom w:val="none" w:sz="0" w:space="0" w:color="auto"/>
                    <w:right w:val="none" w:sz="0" w:space="0" w:color="auto"/>
                  </w:divBdr>
                  <w:divsChild>
                    <w:div w:id="1502353638">
                      <w:marLeft w:val="0"/>
                      <w:marRight w:val="0"/>
                      <w:marTop w:val="0"/>
                      <w:marBottom w:val="0"/>
                      <w:divBdr>
                        <w:top w:val="none" w:sz="0" w:space="0" w:color="auto"/>
                        <w:left w:val="none" w:sz="0" w:space="0" w:color="auto"/>
                        <w:bottom w:val="none" w:sz="0" w:space="0" w:color="auto"/>
                        <w:right w:val="none" w:sz="0" w:space="0" w:color="auto"/>
                      </w:divBdr>
                      <w:divsChild>
                        <w:div w:id="2010132742">
                          <w:marLeft w:val="0"/>
                          <w:marRight w:val="0"/>
                          <w:marTop w:val="0"/>
                          <w:marBottom w:val="0"/>
                          <w:divBdr>
                            <w:top w:val="none" w:sz="0" w:space="0" w:color="auto"/>
                            <w:left w:val="none" w:sz="0" w:space="0" w:color="auto"/>
                            <w:bottom w:val="none" w:sz="0" w:space="0" w:color="auto"/>
                            <w:right w:val="none" w:sz="0" w:space="0" w:color="auto"/>
                          </w:divBdr>
                          <w:divsChild>
                            <w:div w:id="3418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645444">
      <w:bodyDiv w:val="1"/>
      <w:marLeft w:val="0"/>
      <w:marRight w:val="0"/>
      <w:marTop w:val="0"/>
      <w:marBottom w:val="0"/>
      <w:divBdr>
        <w:top w:val="none" w:sz="0" w:space="0" w:color="auto"/>
        <w:left w:val="none" w:sz="0" w:space="0" w:color="auto"/>
        <w:bottom w:val="none" w:sz="0" w:space="0" w:color="auto"/>
        <w:right w:val="none" w:sz="0" w:space="0" w:color="auto"/>
      </w:divBdr>
      <w:divsChild>
        <w:div w:id="1653487903">
          <w:marLeft w:val="0"/>
          <w:marRight w:val="0"/>
          <w:marTop w:val="0"/>
          <w:marBottom w:val="0"/>
          <w:divBdr>
            <w:top w:val="none" w:sz="0" w:space="0" w:color="auto"/>
            <w:left w:val="none" w:sz="0" w:space="0" w:color="auto"/>
            <w:bottom w:val="none" w:sz="0" w:space="0" w:color="auto"/>
            <w:right w:val="none" w:sz="0" w:space="0" w:color="auto"/>
          </w:divBdr>
          <w:divsChild>
            <w:div w:id="1874883851">
              <w:marLeft w:val="0"/>
              <w:marRight w:val="0"/>
              <w:marTop w:val="0"/>
              <w:marBottom w:val="0"/>
              <w:divBdr>
                <w:top w:val="none" w:sz="0" w:space="0" w:color="auto"/>
                <w:left w:val="none" w:sz="0" w:space="0" w:color="auto"/>
                <w:bottom w:val="none" w:sz="0" w:space="0" w:color="auto"/>
                <w:right w:val="none" w:sz="0" w:space="0" w:color="auto"/>
              </w:divBdr>
              <w:divsChild>
                <w:div w:id="1417634943">
                  <w:marLeft w:val="0"/>
                  <w:marRight w:val="0"/>
                  <w:marTop w:val="0"/>
                  <w:marBottom w:val="0"/>
                  <w:divBdr>
                    <w:top w:val="none" w:sz="0" w:space="0" w:color="auto"/>
                    <w:left w:val="none" w:sz="0" w:space="0" w:color="auto"/>
                    <w:bottom w:val="none" w:sz="0" w:space="0" w:color="auto"/>
                    <w:right w:val="none" w:sz="0" w:space="0" w:color="auto"/>
                  </w:divBdr>
                  <w:divsChild>
                    <w:div w:id="1144812931">
                      <w:marLeft w:val="0"/>
                      <w:marRight w:val="0"/>
                      <w:marTop w:val="0"/>
                      <w:marBottom w:val="0"/>
                      <w:divBdr>
                        <w:top w:val="none" w:sz="0" w:space="0" w:color="auto"/>
                        <w:left w:val="none" w:sz="0" w:space="0" w:color="auto"/>
                        <w:bottom w:val="none" w:sz="0" w:space="0" w:color="auto"/>
                        <w:right w:val="none" w:sz="0" w:space="0" w:color="auto"/>
                      </w:divBdr>
                      <w:divsChild>
                        <w:div w:id="2040858880">
                          <w:marLeft w:val="0"/>
                          <w:marRight w:val="0"/>
                          <w:marTop w:val="0"/>
                          <w:marBottom w:val="0"/>
                          <w:divBdr>
                            <w:top w:val="none" w:sz="0" w:space="0" w:color="auto"/>
                            <w:left w:val="none" w:sz="0" w:space="0" w:color="auto"/>
                            <w:bottom w:val="none" w:sz="0" w:space="0" w:color="auto"/>
                            <w:right w:val="none" w:sz="0" w:space="0" w:color="auto"/>
                          </w:divBdr>
                          <w:divsChild>
                            <w:div w:id="660743910">
                              <w:marLeft w:val="0"/>
                              <w:marRight w:val="0"/>
                              <w:marTop w:val="480"/>
                              <w:marBottom w:val="240"/>
                              <w:divBdr>
                                <w:top w:val="none" w:sz="0" w:space="0" w:color="auto"/>
                                <w:left w:val="none" w:sz="0" w:space="0" w:color="auto"/>
                                <w:bottom w:val="none" w:sz="0" w:space="0" w:color="auto"/>
                                <w:right w:val="none" w:sz="0" w:space="0" w:color="auto"/>
                              </w:divBdr>
                            </w:div>
                            <w:div w:id="173408669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28531">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14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836">
          <w:marLeft w:val="0"/>
          <w:marRight w:val="0"/>
          <w:marTop w:val="0"/>
          <w:marBottom w:val="0"/>
          <w:divBdr>
            <w:top w:val="none" w:sz="0" w:space="0" w:color="auto"/>
            <w:left w:val="none" w:sz="0" w:space="0" w:color="auto"/>
            <w:bottom w:val="none" w:sz="0" w:space="0" w:color="auto"/>
            <w:right w:val="none" w:sz="0" w:space="0" w:color="auto"/>
          </w:divBdr>
          <w:divsChild>
            <w:div w:id="298876402">
              <w:marLeft w:val="0"/>
              <w:marRight w:val="0"/>
              <w:marTop w:val="0"/>
              <w:marBottom w:val="0"/>
              <w:divBdr>
                <w:top w:val="none" w:sz="0" w:space="0" w:color="auto"/>
                <w:left w:val="none" w:sz="0" w:space="0" w:color="auto"/>
                <w:bottom w:val="none" w:sz="0" w:space="0" w:color="auto"/>
                <w:right w:val="none" w:sz="0" w:space="0" w:color="auto"/>
              </w:divBdr>
              <w:divsChild>
                <w:div w:id="680009710">
                  <w:marLeft w:val="0"/>
                  <w:marRight w:val="0"/>
                  <w:marTop w:val="0"/>
                  <w:marBottom w:val="0"/>
                  <w:divBdr>
                    <w:top w:val="none" w:sz="0" w:space="0" w:color="auto"/>
                    <w:left w:val="none" w:sz="0" w:space="0" w:color="auto"/>
                    <w:bottom w:val="none" w:sz="0" w:space="0" w:color="auto"/>
                    <w:right w:val="none" w:sz="0" w:space="0" w:color="auto"/>
                  </w:divBdr>
                  <w:divsChild>
                    <w:div w:id="464201048">
                      <w:marLeft w:val="0"/>
                      <w:marRight w:val="0"/>
                      <w:marTop w:val="0"/>
                      <w:marBottom w:val="0"/>
                      <w:divBdr>
                        <w:top w:val="none" w:sz="0" w:space="0" w:color="auto"/>
                        <w:left w:val="none" w:sz="0" w:space="0" w:color="auto"/>
                        <w:bottom w:val="none" w:sz="0" w:space="0" w:color="auto"/>
                        <w:right w:val="none" w:sz="0" w:space="0" w:color="auto"/>
                      </w:divBdr>
                      <w:divsChild>
                        <w:div w:id="1427262980">
                          <w:marLeft w:val="0"/>
                          <w:marRight w:val="0"/>
                          <w:marTop w:val="0"/>
                          <w:marBottom w:val="0"/>
                          <w:divBdr>
                            <w:top w:val="none" w:sz="0" w:space="0" w:color="auto"/>
                            <w:left w:val="none" w:sz="0" w:space="0" w:color="auto"/>
                            <w:bottom w:val="none" w:sz="0" w:space="0" w:color="auto"/>
                            <w:right w:val="none" w:sz="0" w:space="0" w:color="auto"/>
                          </w:divBdr>
                          <w:divsChild>
                            <w:div w:id="202161729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3676">
      <w:bodyDiv w:val="1"/>
      <w:marLeft w:val="0"/>
      <w:marRight w:val="0"/>
      <w:marTop w:val="0"/>
      <w:marBottom w:val="0"/>
      <w:divBdr>
        <w:top w:val="none" w:sz="0" w:space="0" w:color="auto"/>
        <w:left w:val="none" w:sz="0" w:space="0" w:color="auto"/>
        <w:bottom w:val="none" w:sz="0" w:space="0" w:color="auto"/>
        <w:right w:val="none" w:sz="0" w:space="0" w:color="auto"/>
      </w:divBdr>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125072">
      <w:bodyDiv w:val="1"/>
      <w:marLeft w:val="0"/>
      <w:marRight w:val="0"/>
      <w:marTop w:val="0"/>
      <w:marBottom w:val="0"/>
      <w:divBdr>
        <w:top w:val="none" w:sz="0" w:space="0" w:color="auto"/>
        <w:left w:val="none" w:sz="0" w:space="0" w:color="auto"/>
        <w:bottom w:val="none" w:sz="0" w:space="0" w:color="auto"/>
        <w:right w:val="none" w:sz="0" w:space="0" w:color="auto"/>
      </w:divBdr>
    </w:div>
    <w:div w:id="21168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vmnvd.gov.lv/uploads/files/4d08c0e910688.pdf" TargetMode="External"/><Relationship Id="rId2" Type="http://schemas.openxmlformats.org/officeDocument/2006/relationships/hyperlink" Target="http://www.spkc.gov.lv/infekcijas-slimibu-statistika/" TargetMode="External"/><Relationship Id="rId1" Type="http://schemas.openxmlformats.org/officeDocument/2006/relationships/hyperlink" Target="http://www.spkc.gov.lv/hiv-aid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nozare.pri\vm\Redirect_profiles\darajs\My%20Documents\Finance\Energija\MK_899\2015_grozijumi\Statistika\C-hepati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lv-LV"/>
  <c:chart>
    <c:plotArea>
      <c:layout>
        <c:manualLayout>
          <c:layoutTarget val="inner"/>
          <c:xMode val="edge"/>
          <c:yMode val="edge"/>
          <c:x val="0.10015507436570428"/>
          <c:y val="5.1400554097404488E-2"/>
          <c:w val="0.67399912510936477"/>
          <c:h val="0.8326195683872849"/>
        </c:manualLayout>
      </c:layout>
      <c:barChart>
        <c:barDir val="col"/>
        <c:grouping val="clustered"/>
        <c:ser>
          <c:idx val="0"/>
          <c:order val="0"/>
          <c:tx>
            <c:strRef>
              <c:f>Sheet1!$F$7</c:f>
              <c:strCache>
                <c:ptCount val="1"/>
                <c:pt idx="0">
                  <c:v>Jaunatklāto hroniskā C hepatīta gadījumu skaits</c:v>
                </c:pt>
              </c:strCache>
            </c:strRef>
          </c:tx>
          <c:dLbls>
            <c:spPr>
              <a:noFill/>
              <a:ln>
                <a:noFill/>
              </a:ln>
              <a:effectLst/>
            </c:spPr>
            <c:showVal val="1"/>
            <c:extLst>
              <c:ext xmlns:c15="http://schemas.microsoft.com/office/drawing/2012/chart" uri="{CE6537A1-D6FC-4f65-9D91-7224C49458BB}">
                <c15:showLeaderLines val="0"/>
              </c:ext>
            </c:extLst>
          </c:dLbls>
          <c:cat>
            <c:strRef>
              <c:f>Sheet1!$G$6:$L$6</c:f>
              <c:strCache>
                <c:ptCount val="6"/>
                <c:pt idx="0">
                  <c:v>2009.</c:v>
                </c:pt>
                <c:pt idx="1">
                  <c:v>2010.</c:v>
                </c:pt>
                <c:pt idx="2">
                  <c:v>2011.</c:v>
                </c:pt>
                <c:pt idx="3">
                  <c:v>2012.</c:v>
                </c:pt>
                <c:pt idx="4">
                  <c:v>2013.</c:v>
                </c:pt>
                <c:pt idx="5">
                  <c:v>2014.</c:v>
                </c:pt>
              </c:strCache>
            </c:strRef>
          </c:cat>
          <c:val>
            <c:numRef>
              <c:f>Sheet1!$G$7:$L$7</c:f>
              <c:numCache>
                <c:formatCode>General</c:formatCode>
                <c:ptCount val="6"/>
                <c:pt idx="0">
                  <c:v>1271</c:v>
                </c:pt>
                <c:pt idx="1">
                  <c:v>1051</c:v>
                </c:pt>
                <c:pt idx="2">
                  <c:v>1269</c:v>
                </c:pt>
                <c:pt idx="3">
                  <c:v>1361</c:v>
                </c:pt>
                <c:pt idx="4">
                  <c:v>1221</c:v>
                </c:pt>
                <c:pt idx="5">
                  <c:v>1706</c:v>
                </c:pt>
              </c:numCache>
            </c:numRef>
          </c:val>
        </c:ser>
        <c:ser>
          <c:idx val="1"/>
          <c:order val="1"/>
          <c:tx>
            <c:strRef>
              <c:f>Sheet1!$F$8</c:f>
              <c:strCache>
                <c:ptCount val="1"/>
                <c:pt idx="0">
                  <c:v>HIV reģistrēto jauno gadījumu skaits</c:v>
                </c:pt>
              </c:strCache>
            </c:strRef>
          </c:tx>
          <c:dLbls>
            <c:dLbl>
              <c:idx val="0"/>
              <c:layout>
                <c:manualLayout>
                  <c:x val="2.005012531328321E-2"/>
                  <c:y val="4.6296296296296684E-3"/>
                </c:manualLayout>
              </c:layout>
              <c:showVal val="1"/>
              <c:extLst>
                <c:ext xmlns:c15="http://schemas.microsoft.com/office/drawing/2012/chart" uri="{CE6537A1-D6FC-4f65-9D91-7224C49458BB}"/>
              </c:extLst>
            </c:dLbl>
            <c:dLbl>
              <c:idx val="1"/>
              <c:layout>
                <c:manualLayout>
                  <c:x val="3.007518796992513E-2"/>
                  <c:y val="1.3888888888889011E-2"/>
                </c:manualLayout>
              </c:layout>
              <c:showVal val="1"/>
              <c:extLst>
                <c:ext xmlns:c15="http://schemas.microsoft.com/office/drawing/2012/chart" uri="{CE6537A1-D6FC-4f65-9D91-7224C49458BB}"/>
              </c:extLst>
            </c:dLbl>
            <c:dLbl>
              <c:idx val="2"/>
              <c:layout>
                <c:manualLayout>
                  <c:x val="2.6733500417711224E-2"/>
                  <c:y val="2.3148148148148147E-2"/>
                </c:manualLayout>
              </c:layout>
              <c:showVal val="1"/>
              <c:extLst>
                <c:ext xmlns:c15="http://schemas.microsoft.com/office/drawing/2012/chart" uri="{CE6537A1-D6FC-4f65-9D91-7224C49458BB}"/>
              </c:extLst>
            </c:dLbl>
            <c:dLbl>
              <c:idx val="3"/>
              <c:layout>
                <c:manualLayout>
                  <c:x val="2.0050125313283276E-2"/>
                  <c:y val="-8.4875562720136303E-17"/>
                </c:manualLayout>
              </c:layout>
              <c:showVal val="1"/>
              <c:extLst>
                <c:ext xmlns:c15="http://schemas.microsoft.com/office/drawing/2012/chart" uri="{CE6537A1-D6FC-4f65-9D91-7224C49458BB}"/>
              </c:extLst>
            </c:dLbl>
            <c:dLbl>
              <c:idx val="4"/>
              <c:layout>
                <c:manualLayout>
                  <c:x val="2.005012531328321E-2"/>
                  <c:y val="-8.4875562720136303E-17"/>
                </c:manualLayout>
              </c:layout>
              <c:showVal val="1"/>
              <c:extLst>
                <c:ext xmlns:c15="http://schemas.microsoft.com/office/drawing/2012/chart" uri="{CE6537A1-D6FC-4f65-9D91-7224C49458BB}"/>
              </c:extLst>
            </c:dLbl>
            <c:dLbl>
              <c:idx val="5"/>
              <c:layout>
                <c:manualLayout>
                  <c:x val="3.007518796992513E-2"/>
                  <c:y val="0"/>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Sheet1!$G$6:$L$6</c:f>
              <c:strCache>
                <c:ptCount val="6"/>
                <c:pt idx="0">
                  <c:v>2009.</c:v>
                </c:pt>
                <c:pt idx="1">
                  <c:v>2010.</c:v>
                </c:pt>
                <c:pt idx="2">
                  <c:v>2011.</c:v>
                </c:pt>
                <c:pt idx="3">
                  <c:v>2012.</c:v>
                </c:pt>
                <c:pt idx="4">
                  <c:v>2013.</c:v>
                </c:pt>
                <c:pt idx="5">
                  <c:v>2014.</c:v>
                </c:pt>
              </c:strCache>
            </c:strRef>
          </c:cat>
          <c:val>
            <c:numRef>
              <c:f>Sheet1!$G$8:$L$8</c:f>
              <c:numCache>
                <c:formatCode>General</c:formatCode>
                <c:ptCount val="6"/>
                <c:pt idx="0">
                  <c:v>275</c:v>
                </c:pt>
                <c:pt idx="1">
                  <c:v>274</c:v>
                </c:pt>
                <c:pt idx="2">
                  <c:v>299</c:v>
                </c:pt>
                <c:pt idx="3">
                  <c:v>339</c:v>
                </c:pt>
                <c:pt idx="4">
                  <c:v>340</c:v>
                </c:pt>
                <c:pt idx="5">
                  <c:v>347</c:v>
                </c:pt>
              </c:numCache>
            </c:numRef>
          </c:val>
        </c:ser>
        <c:ser>
          <c:idx val="2"/>
          <c:order val="2"/>
          <c:tx>
            <c:strRef>
              <c:f>Sheet1!$F$9</c:f>
              <c:strCache>
                <c:ptCount val="1"/>
                <c:pt idx="0">
                  <c:v>AIDS reģistrēto jauno gadījumu skaits</c:v>
                </c:pt>
              </c:strCache>
            </c:strRef>
          </c:tx>
          <c:dLbls>
            <c:dLbl>
              <c:idx val="0"/>
              <c:layout>
                <c:manualLayout>
                  <c:x val="1.6708437761069454E-2"/>
                  <c:y val="2.3148148148148147E-2"/>
                </c:manualLayout>
              </c:layout>
              <c:showVal val="1"/>
              <c:extLst>
                <c:ext xmlns:c15="http://schemas.microsoft.com/office/drawing/2012/chart" uri="{CE6537A1-D6FC-4f65-9D91-7224C49458BB}"/>
              </c:extLst>
            </c:dLbl>
            <c:dLbl>
              <c:idx val="1"/>
              <c:layout>
                <c:manualLayout>
                  <c:x val="2.005012531328321E-2"/>
                  <c:y val="1.8518518518518715E-2"/>
                </c:manualLayout>
              </c:layout>
              <c:showVal val="1"/>
              <c:extLst>
                <c:ext xmlns:c15="http://schemas.microsoft.com/office/drawing/2012/chart" uri="{CE6537A1-D6FC-4f65-9D91-7224C49458BB}"/>
              </c:extLst>
            </c:dLbl>
            <c:dLbl>
              <c:idx val="2"/>
              <c:layout>
                <c:manualLayout>
                  <c:x val="2.005012531328321E-2"/>
                  <c:y val="2.3148148148148147E-2"/>
                </c:manualLayout>
              </c:layout>
              <c:showVal val="1"/>
              <c:extLst>
                <c:ext xmlns:c15="http://schemas.microsoft.com/office/drawing/2012/chart" uri="{CE6537A1-D6FC-4f65-9D91-7224C49458BB}"/>
              </c:extLst>
            </c:dLbl>
            <c:dLbl>
              <c:idx val="3"/>
              <c:layout>
                <c:manualLayout>
                  <c:x val="2.0050125313283276E-2"/>
                  <c:y val="1.8518518518518611E-2"/>
                </c:manualLayout>
              </c:layout>
              <c:showVal val="1"/>
              <c:extLst>
                <c:ext xmlns:c15="http://schemas.microsoft.com/office/drawing/2012/chart" uri="{CE6537A1-D6FC-4f65-9D91-7224C49458BB}"/>
              </c:extLst>
            </c:dLbl>
            <c:dLbl>
              <c:idx val="4"/>
              <c:layout>
                <c:manualLayout>
                  <c:x val="2.3391812865497092E-2"/>
                  <c:y val="1.3888524351122807E-2"/>
                </c:manualLayout>
              </c:layout>
              <c:showVal val="1"/>
              <c:extLst>
                <c:ext xmlns:c15="http://schemas.microsoft.com/office/drawing/2012/chart" uri="{CE6537A1-D6FC-4f65-9D91-7224C49458BB}"/>
              </c:extLst>
            </c:dLbl>
            <c:dLbl>
              <c:idx val="5"/>
              <c:layout>
                <c:manualLayout>
                  <c:x val="2.3391812865497092E-2"/>
                  <c:y val="1.3888888888888916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strRef>
              <c:f>Sheet1!$G$6:$L$6</c:f>
              <c:strCache>
                <c:ptCount val="6"/>
                <c:pt idx="0">
                  <c:v>2009.</c:v>
                </c:pt>
                <c:pt idx="1">
                  <c:v>2010.</c:v>
                </c:pt>
                <c:pt idx="2">
                  <c:v>2011.</c:v>
                </c:pt>
                <c:pt idx="3">
                  <c:v>2012.</c:v>
                </c:pt>
                <c:pt idx="4">
                  <c:v>2013.</c:v>
                </c:pt>
                <c:pt idx="5">
                  <c:v>2014.</c:v>
                </c:pt>
              </c:strCache>
            </c:strRef>
          </c:cat>
          <c:val>
            <c:numRef>
              <c:f>Sheet1!$G$9:$L$9</c:f>
              <c:numCache>
                <c:formatCode>General</c:formatCode>
                <c:ptCount val="6"/>
                <c:pt idx="0">
                  <c:v>101</c:v>
                </c:pt>
                <c:pt idx="1">
                  <c:v>133</c:v>
                </c:pt>
                <c:pt idx="2">
                  <c:v>113</c:v>
                </c:pt>
                <c:pt idx="3">
                  <c:v>144</c:v>
                </c:pt>
                <c:pt idx="4">
                  <c:v>135</c:v>
                </c:pt>
                <c:pt idx="5">
                  <c:v>149</c:v>
                </c:pt>
              </c:numCache>
            </c:numRef>
          </c:val>
        </c:ser>
        <c:axId val="113698304"/>
        <c:axId val="113699840"/>
      </c:barChart>
      <c:catAx>
        <c:axId val="113698304"/>
        <c:scaling>
          <c:orientation val="minMax"/>
        </c:scaling>
        <c:axPos val="b"/>
        <c:numFmt formatCode="General" sourceLinked="0"/>
        <c:tickLblPos val="nextTo"/>
        <c:crossAx val="113699840"/>
        <c:crosses val="autoZero"/>
        <c:auto val="1"/>
        <c:lblAlgn val="ctr"/>
        <c:lblOffset val="100"/>
      </c:catAx>
      <c:valAx>
        <c:axId val="113699840"/>
        <c:scaling>
          <c:orientation val="minMax"/>
        </c:scaling>
        <c:axPos val="l"/>
        <c:majorGridlines>
          <c:spPr>
            <a:ln>
              <a:solidFill>
                <a:schemeClr val="accent1">
                  <a:lumMod val="40000"/>
                  <a:lumOff val="60000"/>
                </a:schemeClr>
              </a:solidFill>
            </a:ln>
          </c:spPr>
        </c:majorGridlines>
        <c:numFmt formatCode="General" sourceLinked="1"/>
        <c:tickLblPos val="nextTo"/>
        <c:crossAx val="113698304"/>
        <c:crosses val="autoZero"/>
        <c:crossBetween val="between"/>
      </c:valAx>
    </c:plotArea>
    <c:legend>
      <c:legendPos val="r"/>
      <c:layout>
        <c:manualLayout>
          <c:xMode val="edge"/>
          <c:yMode val="edge"/>
          <c:x val="0.7991541994750655"/>
          <c:y val="7.2922499270924576E-2"/>
          <c:w val="0.18417913385826876"/>
          <c:h val="0.88193277923592439"/>
        </c:manualLayout>
      </c:layout>
      <c:txPr>
        <a:bodyPr/>
        <a:lstStyle/>
        <a:p>
          <a:pPr>
            <a:defRPr sz="900"/>
          </a:pPr>
          <a:endParaRPr lang="lv-LV"/>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F05E04-CCFD-4FAE-A4CD-E6019998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2514</Words>
  <Characters>17951</Characters>
  <Application>Microsoft Office Word</Application>
  <DocSecurity>0</DocSecurity>
  <Lines>897</Lines>
  <Paragraphs>330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2006.gada 31.oktobra noteikumos Nr.899 "Ambulatorajai ārstēšanai paredze'to zāļu un medicīnisko ierīču iegādes izdevumu kompensācijas kārtība"</vt:lpstr>
      <vt:lpstr>Grozījumi Ministru kabineta 2006.gada 31.oktobra noteikumos Nr.899 "Ambulatorajai ārstēšanai paredze'to zāļu un medicīnisko ierīču iegādes izdevumu kompensācijas kārtība"</vt:lpstr>
    </vt:vector>
  </TitlesOfParts>
  <Company>Veselības ministrija</Company>
  <LinksUpToDate>false</LinksUpToDate>
  <CharactersWithSpaces>20135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2006.gada 31.oktobra noteikumos Nr.899 "Ambulatorajai ārstēšanai paredze'to zāļu un medicīnisko ierīču iegādes izdevumu kompensācijas kārtība"</dc:title>
  <dc:subject>Anotācija</dc:subject>
  <dc:creator>Diāna Arāja</dc:creator>
  <dc:description>Diana.Arajs@vm.gov.lv; tālr.: 67876114
fakss: 67876071</dc:description>
  <cp:lastModifiedBy>darajs</cp:lastModifiedBy>
  <cp:revision>3</cp:revision>
  <cp:lastPrinted>2015-12-04T08:38:00Z</cp:lastPrinted>
  <dcterms:created xsi:type="dcterms:W3CDTF">2015-12-04T17:17:00Z</dcterms:created>
  <dcterms:modified xsi:type="dcterms:W3CDTF">2015-12-04T17:19:00Z</dcterms:modified>
</cp:coreProperties>
</file>